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3EC6F" w14:textId="77777777" w:rsidR="0098482B" w:rsidRDefault="00226640">
      <w:pPr>
        <w:rPr>
          <w:rFonts w:ascii="Arial" w:eastAsia="Arial" w:hAnsi="Arial" w:cs="Arial"/>
          <w:b/>
          <w:sz w:val="36"/>
          <w:szCs w:val="36"/>
        </w:rPr>
      </w:pPr>
      <w:r>
        <w:rPr>
          <w:rFonts w:ascii="Arial" w:eastAsia="Arial" w:hAnsi="Arial" w:cs="Arial"/>
          <w:b/>
          <w:sz w:val="36"/>
          <w:szCs w:val="36"/>
        </w:rPr>
        <w:t>Joint Schedule 5 (Corporate Social Responsibility)</w:t>
      </w:r>
    </w:p>
    <w:p w14:paraId="014230AD" w14:textId="77777777" w:rsidR="0098482B" w:rsidRDefault="00226640">
      <w:pPr>
        <w:spacing w:line="240" w:lineRule="auto"/>
        <w:rPr>
          <w:rFonts w:ascii="Arial" w:eastAsia="Arial" w:hAnsi="Arial" w:cs="Arial"/>
          <w:color w:val="000000"/>
        </w:rPr>
      </w:pPr>
      <w:r>
        <w:rPr>
          <w:rFonts w:ascii="Arial" w:eastAsia="Arial" w:hAnsi="Arial" w:cs="Arial"/>
          <w:b/>
          <w:color w:val="000000"/>
          <w:sz w:val="24"/>
          <w:szCs w:val="24"/>
        </w:rPr>
        <w:t>Definitions </w:t>
      </w:r>
    </w:p>
    <w:p w14:paraId="635201DC" w14:textId="77777777" w:rsidR="0098482B" w:rsidRDefault="00226640">
      <w:pPr>
        <w:shd w:val="clear" w:color="auto" w:fill="FFFFFF"/>
        <w:spacing w:line="240" w:lineRule="auto"/>
        <w:rPr>
          <w:rFonts w:ascii="Arial" w:eastAsia="Arial" w:hAnsi="Arial" w:cs="Arial"/>
          <w:color w:val="222222"/>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
        <w:tblW w:w="9026" w:type="dxa"/>
        <w:tblLayout w:type="fixed"/>
        <w:tblLook w:val="0400" w:firstRow="0" w:lastRow="0" w:firstColumn="0" w:lastColumn="0" w:noHBand="0" w:noVBand="1"/>
      </w:tblPr>
      <w:tblGrid>
        <w:gridCol w:w="2127"/>
        <w:gridCol w:w="6899"/>
      </w:tblGrid>
      <w:tr w:rsidR="0098482B" w14:paraId="4120BA4D" w14:textId="77777777">
        <w:trPr>
          <w:trHeight w:val="20"/>
        </w:trPr>
        <w:tc>
          <w:tcPr>
            <w:tcW w:w="2127" w:type="dxa"/>
            <w:tcMar>
              <w:top w:w="0" w:type="dxa"/>
              <w:left w:w="108" w:type="dxa"/>
              <w:bottom w:w="0" w:type="dxa"/>
              <w:right w:w="108" w:type="dxa"/>
            </w:tcMar>
          </w:tcPr>
          <w:p w14:paraId="5C1E4AC9" w14:textId="77777777"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"First Tier"</w:t>
            </w:r>
          </w:p>
        </w:tc>
        <w:tc>
          <w:tcPr>
            <w:tcW w:w="6899" w:type="dxa"/>
            <w:tcMar>
              <w:top w:w="0" w:type="dxa"/>
              <w:left w:w="108" w:type="dxa"/>
              <w:bottom w:w="0" w:type="dxa"/>
              <w:right w:w="108" w:type="dxa"/>
            </w:tcMar>
          </w:tcPr>
          <w:p w14:paraId="1127DB9C" w14:textId="77777777" w:rsidR="0098482B" w:rsidRDefault="00226640">
            <w:pPr>
              <w:spacing w:before="120" w:after="120" w:line="240" w:lineRule="auto"/>
              <w:rPr>
                <w:rFonts w:ascii="Times New Roman" w:eastAsia="Times New Roman" w:hAnsi="Times New Roman" w:cs="Times New Roman"/>
                <w:sz w:val="24"/>
                <w:szCs w:val="24"/>
              </w:rPr>
            </w:pPr>
            <w:r>
              <w:rPr>
                <w:rFonts w:ascii="Arial" w:eastAsia="Arial" w:hAnsi="Arial" w:cs="Arial"/>
                <w:color w:val="000000"/>
              </w:rPr>
              <w:t>the brand company</w:t>
            </w:r>
            <w:r>
              <w:rPr>
                <w:rFonts w:ascii="Arial" w:eastAsia="Arial" w:hAnsi="Arial" w:cs="Arial"/>
                <w:color w:val="000000"/>
                <w:sz w:val="24"/>
                <w:szCs w:val="24"/>
              </w:rPr>
              <w:t>; </w:t>
            </w:r>
          </w:p>
        </w:tc>
      </w:tr>
      <w:tr w:rsidR="0098482B" w14:paraId="56B4E9FF" w14:textId="77777777">
        <w:trPr>
          <w:trHeight w:val="20"/>
        </w:trPr>
        <w:tc>
          <w:tcPr>
            <w:tcW w:w="2127" w:type="dxa"/>
            <w:tcMar>
              <w:top w:w="0" w:type="dxa"/>
              <w:left w:w="108" w:type="dxa"/>
              <w:bottom w:w="0" w:type="dxa"/>
              <w:right w:w="108" w:type="dxa"/>
            </w:tcMar>
          </w:tcPr>
          <w:p w14:paraId="1F97F284" w14:textId="77777777"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"Second Tier"</w:t>
            </w:r>
          </w:p>
        </w:tc>
        <w:tc>
          <w:tcPr>
            <w:tcW w:w="6899" w:type="dxa"/>
            <w:tcMar>
              <w:top w:w="0" w:type="dxa"/>
              <w:left w:w="108" w:type="dxa"/>
              <w:bottom w:w="0" w:type="dxa"/>
              <w:right w:w="108" w:type="dxa"/>
            </w:tcMar>
          </w:tcPr>
          <w:p w14:paraId="233F83ED" w14:textId="77777777" w:rsidR="0098482B" w:rsidRDefault="00226640">
            <w:pPr>
              <w:spacing w:before="120" w:after="120" w:line="240" w:lineRule="auto"/>
              <w:rPr>
                <w:rFonts w:ascii="Times New Roman" w:eastAsia="Times New Roman" w:hAnsi="Times New Roman" w:cs="Times New Roman"/>
                <w:sz w:val="24"/>
                <w:szCs w:val="24"/>
              </w:rPr>
            </w:pPr>
            <w:r>
              <w:rPr>
                <w:rFonts w:ascii="Arial" w:eastAsia="Arial" w:hAnsi="Arial" w:cs="Arial"/>
                <w:color w:val="000000"/>
                <w:sz w:val="24"/>
                <w:szCs w:val="24"/>
              </w:rPr>
              <w:t>the</w:t>
            </w:r>
            <w:r>
              <w:rPr>
                <w:rFonts w:ascii="Arial" w:eastAsia="Arial" w:hAnsi="Arial" w:cs="Arial"/>
                <w:color w:val="000000"/>
              </w:rPr>
              <w:t xml:space="preserve"> final assembly factory linked to the procured product model;</w:t>
            </w:r>
            <w:r>
              <w:rPr>
                <w:rFonts w:ascii="Arial" w:eastAsia="Arial" w:hAnsi="Arial" w:cs="Arial"/>
                <w:color w:val="000000"/>
                <w:sz w:val="24"/>
                <w:szCs w:val="24"/>
              </w:rPr>
              <w:t> and</w:t>
            </w:r>
          </w:p>
        </w:tc>
      </w:tr>
      <w:tr w:rsidR="0098482B" w14:paraId="275BC6C3" w14:textId="77777777">
        <w:trPr>
          <w:trHeight w:val="20"/>
        </w:trPr>
        <w:tc>
          <w:tcPr>
            <w:tcW w:w="2127" w:type="dxa"/>
            <w:tcMar>
              <w:top w:w="0" w:type="dxa"/>
              <w:left w:w="108" w:type="dxa"/>
              <w:bottom w:w="0" w:type="dxa"/>
              <w:right w:w="108" w:type="dxa"/>
            </w:tcMar>
          </w:tcPr>
          <w:p w14:paraId="7581BFBD" w14:textId="77777777" w:rsidR="0098482B" w:rsidRDefault="00226640">
            <w:pPr>
              <w:spacing w:before="120" w:after="12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rPr>
              <w:t>“Third Tier”</w:t>
            </w:r>
          </w:p>
        </w:tc>
        <w:tc>
          <w:tcPr>
            <w:tcW w:w="6899" w:type="dxa"/>
            <w:tcMar>
              <w:top w:w="0" w:type="dxa"/>
              <w:left w:w="108" w:type="dxa"/>
              <w:bottom w:w="0" w:type="dxa"/>
              <w:right w:w="108" w:type="dxa"/>
            </w:tcMar>
          </w:tcPr>
          <w:p w14:paraId="0DA5A947" w14:textId="77777777" w:rsidR="0098482B" w:rsidRDefault="00226640">
            <w:pPr>
              <w:spacing w:after="0" w:line="240" w:lineRule="auto"/>
              <w:rPr>
                <w:rFonts w:ascii="Times New Roman" w:eastAsia="Times New Roman" w:hAnsi="Times New Roman" w:cs="Times New Roman"/>
                <w:sz w:val="24"/>
                <w:szCs w:val="24"/>
              </w:rPr>
            </w:pPr>
            <w:r>
              <w:rPr>
                <w:rFonts w:ascii="Arial" w:eastAsia="Arial" w:hAnsi="Arial" w:cs="Arial"/>
                <w:color w:val="000000"/>
              </w:rPr>
              <w:t>component production factory linked to the procured product model for strategic components, such as CPU, memory, main logic board, display, battery, power supply unit etc.</w:t>
            </w:r>
          </w:p>
        </w:tc>
      </w:tr>
    </w:tbl>
    <w:p w14:paraId="06E4E2A3" w14:textId="77777777" w:rsidR="0098482B" w:rsidRDefault="0098482B">
      <w:pPr>
        <w:rPr>
          <w:rFonts w:ascii="Arial" w:eastAsia="Arial" w:hAnsi="Arial" w:cs="Arial"/>
          <w:sz w:val="20"/>
          <w:szCs w:val="20"/>
        </w:rPr>
      </w:pPr>
    </w:p>
    <w:p w14:paraId="15D738BF" w14:textId="77777777" w:rsidR="0098482B" w:rsidRDefault="00226640">
      <w:pPr>
        <w:keepNext/>
        <w:numPr>
          <w:ilvl w:val="0"/>
          <w:numId w:val="2"/>
        </w:numPr>
        <w:tabs>
          <w:tab w:val="left" w:pos="142"/>
        </w:tabs>
        <w:spacing w:before="120" w:after="240" w:line="240" w:lineRule="auto"/>
      </w:pPr>
      <w:r>
        <w:rPr>
          <w:rFonts w:ascii="Arial" w:eastAsia="Arial" w:hAnsi="Arial" w:cs="Arial"/>
          <w:b/>
          <w:sz w:val="24"/>
          <w:szCs w:val="24"/>
        </w:rPr>
        <w:t>What we expect from our Suppliers</w:t>
      </w:r>
    </w:p>
    <w:p w14:paraId="7CA8AD55" w14:textId="77777777" w:rsidR="0098482B" w:rsidRDefault="00226640">
      <w:pPr>
        <w:numPr>
          <w:ilvl w:val="1"/>
          <w:numId w:val="2"/>
        </w:numPr>
        <w:spacing w:before="120" w:after="120" w:line="240" w:lineRule="auto"/>
        <w:ind w:left="900" w:hanging="540"/>
      </w:pPr>
      <w:r>
        <w:rPr>
          <w:rFonts w:ascii="Arial" w:eastAsia="Arial" w:hAnsi="Arial" w:cs="Arial"/>
          <w:sz w:val="24"/>
          <w:szCs w:val="24"/>
        </w:rPr>
        <w:t>In September 2017, HM Government published a Supplier Code of Conduct setting out the standards and behaviours expected of suppliers who work with government. (</w:t>
      </w:r>
      <w:hyperlink r:id="rId11">
        <w:r>
          <w:rPr>
            <w:rFonts w:ascii="Arial" w:eastAsia="Arial" w:hAnsi="Arial" w:cs="Arial"/>
            <w:color w:val="0000FF"/>
            <w:sz w:val="24"/>
            <w:szCs w:val="24"/>
            <w:u w:val="single"/>
          </w:rPr>
          <w:t>https://www.gov.uk/government/uploads/system/uploads/attachment_data/file/646497/2017-09-13_Official_Sensitive_Supplier_Code_of_Conduct_September_2017.pdf</w:t>
        </w:r>
      </w:hyperlink>
      <w:r>
        <w:rPr>
          <w:rFonts w:ascii="Arial" w:eastAsia="Arial" w:hAnsi="Arial" w:cs="Arial"/>
          <w:sz w:val="24"/>
          <w:szCs w:val="24"/>
        </w:rPr>
        <w:t>)</w:t>
      </w:r>
    </w:p>
    <w:p w14:paraId="6E0E8DB0" w14:textId="77777777" w:rsidR="0098482B" w:rsidRDefault="00226640">
      <w:pPr>
        <w:numPr>
          <w:ilvl w:val="1"/>
          <w:numId w:val="2"/>
        </w:numP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F5E83DC" w14:textId="77777777" w:rsidR="0098482B" w:rsidRDefault="00226640">
      <w:pPr>
        <w:numPr>
          <w:ilvl w:val="1"/>
          <w:numId w:val="2"/>
        </w:numP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27F5708E" w14:textId="77777777" w:rsidR="0098482B" w:rsidRDefault="00226640">
      <w:pPr>
        <w:keepNext/>
        <w:numPr>
          <w:ilvl w:val="0"/>
          <w:numId w:val="2"/>
        </w:numPr>
        <w:tabs>
          <w:tab w:val="left" w:pos="142"/>
        </w:tabs>
        <w:spacing w:before="120" w:after="240" w:line="240" w:lineRule="auto"/>
      </w:pPr>
      <w:r>
        <w:rPr>
          <w:rFonts w:ascii="Arial" w:eastAsia="Arial" w:hAnsi="Arial" w:cs="Arial"/>
          <w:b/>
          <w:sz w:val="24"/>
          <w:szCs w:val="24"/>
        </w:rPr>
        <w:t>Equality and Accessibility</w:t>
      </w:r>
    </w:p>
    <w:p w14:paraId="0DEBC511" w14:textId="77777777" w:rsidR="0098482B" w:rsidRDefault="00226640">
      <w:pPr>
        <w:numPr>
          <w:ilvl w:val="1"/>
          <w:numId w:val="2"/>
        </w:numP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28F3C99C"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t>eliminate discrimination, harassment or victimisation of any kind; and</w:t>
      </w:r>
    </w:p>
    <w:p w14:paraId="700CC945" w14:textId="2282B38D" w:rsidR="0098482B" w:rsidRPr="000D4044" w:rsidRDefault="00226640" w:rsidP="000D4044">
      <w:pPr>
        <w:numPr>
          <w:ilvl w:val="2"/>
          <w:numId w:val="2"/>
        </w:numPr>
        <w:tabs>
          <w:tab w:val="left" w:pos="1985"/>
        </w:tabs>
        <w:spacing w:before="120" w:after="120" w:line="240" w:lineRule="auto"/>
        <w:rPr>
          <w:rFonts w:ascii="Arial" w:eastAsia="Arial" w:hAnsi="Arial" w:cs="Arial"/>
          <w:sz w:val="24"/>
          <w:szCs w:val="24"/>
        </w:rPr>
      </w:pPr>
      <w:r w:rsidRPr="000D4044">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59253CE" w14:textId="77777777" w:rsidR="0098482B" w:rsidRDefault="00226640">
      <w:pPr>
        <w:keepNext/>
        <w:numPr>
          <w:ilvl w:val="0"/>
          <w:numId w:val="2"/>
        </w:numPr>
        <w:tabs>
          <w:tab w:val="left" w:pos="142"/>
        </w:tabs>
        <w:spacing w:before="120" w:after="240" w:line="240" w:lineRule="auto"/>
        <w:ind w:left="425"/>
      </w:pPr>
      <w:r>
        <w:rPr>
          <w:rFonts w:ascii="Arial" w:eastAsia="Arial" w:hAnsi="Arial" w:cs="Arial"/>
          <w:b/>
          <w:sz w:val="24"/>
          <w:szCs w:val="24"/>
        </w:rPr>
        <w:lastRenderedPageBreak/>
        <w:t>Modern Slavery, Child Labour and Inhumane Treatment</w:t>
      </w:r>
    </w:p>
    <w:p w14:paraId="49A5C380" w14:textId="3AA47362" w:rsidR="0098482B" w:rsidRPr="00051308" w:rsidRDefault="00226640">
      <w:pPr>
        <w:numPr>
          <w:ilvl w:val="1"/>
          <w:numId w:val="2"/>
        </w:numPr>
        <w:pBdr>
          <w:top w:val="nil"/>
          <w:left w:val="nil"/>
          <w:bottom w:val="nil"/>
          <w:right w:val="nil"/>
          <w:between w:val="nil"/>
        </w:pBdr>
        <w:spacing w:before="120" w:after="120" w:line="240" w:lineRule="auto"/>
        <w:ind w:left="900" w:hanging="540"/>
      </w:pPr>
      <w:r w:rsidRPr="00051308">
        <w:rPr>
          <w:rFonts w:ascii="Arial" w:eastAsia="Arial" w:hAnsi="Arial" w:cs="Arial"/>
          <w:sz w:val="24"/>
          <w:szCs w:val="24"/>
        </w:rPr>
        <w:t>The Supplier shall fully cooperate with the appointed independent monitoring organisation (which is subject to change at the sole discretion of the Authority) to monitor the rights of workers in electronics supply chains.</w:t>
      </w:r>
    </w:p>
    <w:p w14:paraId="7749F225" w14:textId="4E9764F7" w:rsidR="0098482B" w:rsidRPr="00051308" w:rsidRDefault="00226640">
      <w:pPr>
        <w:numPr>
          <w:ilvl w:val="2"/>
          <w:numId w:val="2"/>
        </w:numPr>
        <w:pBdr>
          <w:top w:val="nil"/>
          <w:left w:val="nil"/>
          <w:bottom w:val="nil"/>
          <w:right w:val="nil"/>
          <w:between w:val="nil"/>
        </w:pBdr>
        <w:spacing w:before="120" w:after="120" w:line="240" w:lineRule="auto"/>
      </w:pPr>
      <w:r w:rsidRPr="00051308">
        <w:rPr>
          <w:rFonts w:ascii="Arial" w:eastAsia="Arial" w:hAnsi="Arial" w:cs="Arial"/>
          <w:sz w:val="24"/>
          <w:szCs w:val="24"/>
        </w:rPr>
        <w:t xml:space="preserve">The current monitoring organisation is: - Electronics Watch a not-for-profit non-governmental organisation incorporated under Dutch law (No. 62721445 in the Dutch Chamber of Commerce Trade Register). </w:t>
      </w:r>
    </w:p>
    <w:p w14:paraId="6ADB5DD0" w14:textId="21092F8C" w:rsidR="0098482B" w:rsidRPr="00051308" w:rsidRDefault="00226640">
      <w:pPr>
        <w:numPr>
          <w:ilvl w:val="1"/>
          <w:numId w:val="2"/>
        </w:numPr>
        <w:pBdr>
          <w:top w:val="nil"/>
          <w:left w:val="nil"/>
          <w:bottom w:val="nil"/>
          <w:right w:val="nil"/>
          <w:between w:val="nil"/>
        </w:pBdr>
        <w:spacing w:before="120" w:after="120" w:line="240" w:lineRule="auto"/>
        <w:ind w:left="900" w:hanging="540"/>
      </w:pPr>
      <w:r w:rsidRPr="00051308">
        <w:rPr>
          <w:rFonts w:ascii="Arial" w:eastAsia="Arial" w:hAnsi="Arial" w:cs="Arial"/>
          <w:sz w:val="24"/>
          <w:szCs w:val="24"/>
        </w:rPr>
        <w:t>For any hardware procured through this Framework Agreement RM6098, the Supplier shall disclose in the prescribed format (see Annex 1) details of its First Tier and/or Second Tier and/or Third Tier supply chains (including country and city factory locations). The Authority will provide this information to Electronics Watch to ensure supply chain labour conditions can be assessed.</w:t>
      </w:r>
    </w:p>
    <w:p w14:paraId="45A51324" w14:textId="77777777" w:rsidR="0098482B" w:rsidRDefault="00226640">
      <w:pPr>
        <w:keepNext/>
        <w:numPr>
          <w:ilvl w:val="1"/>
          <w:numId w:val="2"/>
        </w:numPr>
        <w:spacing w:before="120" w:after="120" w:line="240" w:lineRule="auto"/>
        <w:ind w:left="900" w:hanging="540"/>
      </w:pPr>
      <w:r>
        <w:rPr>
          <w:rFonts w:ascii="Arial" w:eastAsia="Arial" w:hAnsi="Arial" w:cs="Arial"/>
          <w:sz w:val="24"/>
          <w:szCs w:val="24"/>
        </w:rPr>
        <w:t>The Supplier:</w:t>
      </w:r>
    </w:p>
    <w:p w14:paraId="68DC192D"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5EBED007"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593F7FF9"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and represents that it has not been convicted of any slavery or human trafficking offences anywhere around the world.  </w:t>
      </w:r>
    </w:p>
    <w:p w14:paraId="741D4EB8"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offences anywhere around the world.  </w:t>
      </w:r>
    </w:p>
    <w:p w14:paraId="2361CBD3"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make reasonable enquiries to ensure that its officers, employees and Subcontractors have not been convicted of slavery or human trafficking offences anywhere around the world.</w:t>
      </w:r>
    </w:p>
    <w:p w14:paraId="79D5358A"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0373F1D0"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121063A6"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19CB9BCB"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 xml:space="preserve">shall not use, nor allow its employees or Subcontractors to use physical abuse or discipline, the threat of physical abuse, sexual or </w:t>
      </w:r>
      <w:r>
        <w:rPr>
          <w:rFonts w:ascii="Arial" w:eastAsia="Arial" w:hAnsi="Arial" w:cs="Arial"/>
          <w:sz w:val="24"/>
          <w:szCs w:val="24"/>
        </w:rPr>
        <w:lastRenderedPageBreak/>
        <w:t>other harassment and verbal abuse or other forms of intimidation of its employees or Subcontractors;</w:t>
      </w:r>
    </w:p>
    <w:p w14:paraId="33246EF9"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17C21117" w14:textId="77777777" w:rsidR="0098482B" w:rsidRDefault="00226640">
      <w:pPr>
        <w:numPr>
          <w:ilvl w:val="2"/>
          <w:numId w:val="2"/>
        </w:numPr>
        <w:tabs>
          <w:tab w:val="left" w:pos="1985"/>
        </w:tabs>
        <w:spacing w:before="120" w:after="120" w:line="240" w:lineRule="auto"/>
        <w:ind w:left="1800" w:hanging="900"/>
      </w:pPr>
      <w:r>
        <w:rPr>
          <w:rFonts w:ascii="Arial" w:eastAsia="Arial" w:hAnsi="Arial" w:cs="Arial"/>
          <w:sz w:val="24"/>
          <w:szCs w:val="24"/>
        </w:rPr>
        <w:t>shall report the discovery or suspicion of any slavery or trafficking by it or its Subcontractors to CCS, the Buyer and Modern Slavery Helpline.</w:t>
      </w:r>
      <w:r>
        <w:rPr>
          <w:rFonts w:ascii="Arial" w:eastAsia="Arial" w:hAnsi="Arial" w:cs="Arial"/>
          <w:sz w:val="24"/>
          <w:szCs w:val="24"/>
        </w:rPr>
        <w:tab/>
      </w:r>
    </w:p>
    <w:p w14:paraId="0B164F8A" w14:textId="77777777" w:rsidR="0098482B" w:rsidRDefault="00226640">
      <w:pPr>
        <w:spacing w:before="120" w:after="120" w:line="240" w:lineRule="auto"/>
        <w:ind w:left="1800"/>
        <w:rPr>
          <w:rFonts w:ascii="Arial" w:eastAsia="Arial" w:hAnsi="Arial" w:cs="Arial"/>
          <w:sz w:val="24"/>
          <w:szCs w:val="24"/>
        </w:rPr>
      </w:pPr>
      <w:r>
        <w:rPr>
          <w:rFonts w:ascii="Arial" w:eastAsia="Arial" w:hAnsi="Arial" w:cs="Arial"/>
          <w:b/>
          <w:sz w:val="24"/>
          <w:szCs w:val="24"/>
        </w:rPr>
        <w:t>“Helpline"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12">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71F60CBD" w14:textId="77777777" w:rsidR="0098482B" w:rsidRDefault="00226640">
      <w:pPr>
        <w:tabs>
          <w:tab w:val="left" w:pos="1985"/>
        </w:tabs>
        <w:spacing w:before="120" w:after="120" w:line="240" w:lineRule="auto"/>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p>
    <w:p w14:paraId="0753A3ED" w14:textId="77777777" w:rsidR="0098482B" w:rsidRDefault="00226640">
      <w:pPr>
        <w:keepNext/>
        <w:numPr>
          <w:ilvl w:val="0"/>
          <w:numId w:val="2"/>
        </w:numPr>
        <w:tabs>
          <w:tab w:val="left" w:pos="142"/>
        </w:tabs>
        <w:spacing w:before="120" w:after="240" w:line="240" w:lineRule="auto"/>
        <w:ind w:left="426" w:hanging="426"/>
      </w:pPr>
      <w:r>
        <w:rPr>
          <w:rFonts w:ascii="Arial" w:eastAsia="Arial" w:hAnsi="Arial" w:cs="Arial"/>
          <w:b/>
          <w:sz w:val="24"/>
          <w:szCs w:val="24"/>
        </w:rPr>
        <w:t xml:space="preserve">Income Security   </w:t>
      </w:r>
    </w:p>
    <w:p w14:paraId="2EC478EA" w14:textId="77777777" w:rsidR="0098482B" w:rsidRDefault="00226640">
      <w:pPr>
        <w:keepNext/>
        <w:numPr>
          <w:ilvl w:val="1"/>
          <w:numId w:val="2"/>
        </w:numPr>
        <w:spacing w:before="120" w:after="120" w:line="240" w:lineRule="auto"/>
        <w:ind w:left="900" w:hanging="468"/>
      </w:pPr>
      <w:r>
        <w:rPr>
          <w:rFonts w:ascii="Arial" w:eastAsia="Arial" w:hAnsi="Arial" w:cs="Arial"/>
          <w:sz w:val="24"/>
          <w:szCs w:val="24"/>
        </w:rPr>
        <w:t>The Supplier shall:</w:t>
      </w:r>
    </w:p>
    <w:p w14:paraId="425F7D3A"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6453FA34" w14:textId="04A961FA" w:rsidR="0098482B" w:rsidRDefault="00226640">
      <w:pPr>
        <w:numPr>
          <w:ilvl w:val="2"/>
          <w:numId w:val="2"/>
        </w:numPr>
        <w:tabs>
          <w:tab w:val="left" w:pos="1985"/>
        </w:tabs>
        <w:spacing w:before="120" w:after="120" w:line="240" w:lineRule="auto"/>
        <w:jc w:val="both"/>
      </w:pPr>
      <w:bookmarkStart w:id="0" w:name="_heading=h.gjdgxs" w:colFirst="0" w:colLast="0"/>
      <w:bookmarkEnd w:id="0"/>
      <w:r>
        <w:rPr>
          <w:rFonts w:ascii="Arial" w:eastAsia="Arial" w:hAnsi="Arial" w:cs="Arial"/>
          <w:sz w:val="24"/>
          <w:szCs w:val="24"/>
        </w:rPr>
        <w:t>ensure that all Supplier Staff are provided with written and understandable Information about their employment conditions in respect of wages before they enter employment and about the particulars of their wages for the pay period concerned each time that they are paid;</w:t>
      </w:r>
    </w:p>
    <w:p w14:paraId="04B27875" w14:textId="77777777" w:rsidR="0098482B" w:rsidRDefault="00226640">
      <w:pPr>
        <w:keepNext/>
        <w:numPr>
          <w:ilvl w:val="2"/>
          <w:numId w:val="2"/>
        </w:numPr>
        <w:tabs>
          <w:tab w:val="left" w:pos="1985"/>
        </w:tabs>
        <w:spacing w:before="120" w:after="120" w:line="240" w:lineRule="auto"/>
      </w:pPr>
      <w:r>
        <w:rPr>
          <w:rFonts w:ascii="Arial" w:eastAsia="Arial" w:hAnsi="Arial" w:cs="Arial"/>
          <w:sz w:val="24"/>
          <w:szCs w:val="24"/>
        </w:rPr>
        <w:t>not make deductions from wages:</w:t>
      </w:r>
    </w:p>
    <w:p w14:paraId="4DC3D2A1" w14:textId="77777777"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 xml:space="preserve">as a disciplinary measure </w:t>
      </w:r>
    </w:p>
    <w:p w14:paraId="6C74582E" w14:textId="77777777"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except where permitted by law; or</w:t>
      </w:r>
    </w:p>
    <w:p w14:paraId="4667D9EB" w14:textId="77777777" w:rsidR="0098482B" w:rsidRDefault="00226640">
      <w:pPr>
        <w:numPr>
          <w:ilvl w:val="3"/>
          <w:numId w:val="2"/>
        </w:numPr>
        <w:tabs>
          <w:tab w:val="left" w:pos="1985"/>
        </w:tabs>
        <w:spacing w:before="120" w:after="120" w:line="240" w:lineRule="auto"/>
        <w:ind w:left="3543"/>
      </w:pPr>
      <w:r>
        <w:rPr>
          <w:rFonts w:ascii="Arial" w:eastAsia="Arial" w:hAnsi="Arial" w:cs="Arial"/>
          <w:sz w:val="24"/>
          <w:szCs w:val="24"/>
        </w:rPr>
        <w:t>without expressed permission of the worker concerned;</w:t>
      </w:r>
    </w:p>
    <w:p w14:paraId="191FD3EE"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t>record all disciplinary measures taken against Supplier Staff; and</w:t>
      </w:r>
    </w:p>
    <w:p w14:paraId="751216D7"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t>ensure that Supplier Staff are engaged under a recognised employment relationship established through national law and practice.</w:t>
      </w:r>
    </w:p>
    <w:p w14:paraId="52033DF3" w14:textId="77777777" w:rsidR="0098482B" w:rsidRDefault="00226640">
      <w:pPr>
        <w:keepNext/>
        <w:numPr>
          <w:ilvl w:val="0"/>
          <w:numId w:val="2"/>
        </w:numPr>
        <w:tabs>
          <w:tab w:val="left" w:pos="142"/>
        </w:tabs>
        <w:spacing w:before="120" w:after="240" w:line="240" w:lineRule="auto"/>
        <w:ind w:left="426" w:hanging="426"/>
      </w:pPr>
      <w:r>
        <w:rPr>
          <w:rFonts w:ascii="Arial" w:eastAsia="Arial" w:hAnsi="Arial" w:cs="Arial"/>
          <w:b/>
          <w:sz w:val="24"/>
          <w:szCs w:val="24"/>
        </w:rPr>
        <w:t>Working Hours</w:t>
      </w:r>
    </w:p>
    <w:p w14:paraId="616C7941" w14:textId="77777777" w:rsidR="0098482B" w:rsidRDefault="00226640">
      <w:pPr>
        <w:pStyle w:val="Heading1"/>
        <w:numPr>
          <w:ilvl w:val="1"/>
          <w:numId w:val="2"/>
        </w:numPr>
        <w:spacing w:before="120" w:line="240" w:lineRule="auto"/>
        <w:ind w:left="900" w:hanging="468"/>
      </w:pPr>
      <w:bookmarkStart w:id="1" w:name="_heading=h.vb7m9ru9phx5" w:colFirst="0" w:colLast="0"/>
      <w:bookmarkEnd w:id="1"/>
      <w:r>
        <w:rPr>
          <w:rFonts w:ascii="Arial" w:eastAsia="Arial" w:hAnsi="Arial" w:cs="Arial"/>
          <w:b w:val="0"/>
          <w:sz w:val="24"/>
          <w:szCs w:val="24"/>
        </w:rPr>
        <w:t>The Supplier shall:</w:t>
      </w:r>
    </w:p>
    <w:p w14:paraId="1974949F" w14:textId="77777777" w:rsidR="0098482B" w:rsidRDefault="00226640">
      <w:pPr>
        <w:pStyle w:val="Heading3"/>
        <w:numPr>
          <w:ilvl w:val="2"/>
          <w:numId w:val="2"/>
        </w:numPr>
        <w:tabs>
          <w:tab w:val="left" w:pos="1985"/>
        </w:tabs>
        <w:rPr>
          <w:sz w:val="20"/>
          <w:szCs w:val="20"/>
        </w:rPr>
      </w:pPr>
      <w:bookmarkStart w:id="2" w:name="_heading=h.rs7vztked8yy" w:colFirst="0" w:colLast="0"/>
      <w:bookmarkEnd w:id="2"/>
      <w:r>
        <w:rPr>
          <w:rFonts w:ascii="Arial" w:eastAsia="Arial" w:hAnsi="Arial" w:cs="Arial"/>
          <w:b w:val="0"/>
          <w:sz w:val="24"/>
          <w:szCs w:val="24"/>
        </w:rPr>
        <w:t>ensure that the working hours of Supplier Staff comply with national laws, and any collective agreements;</w:t>
      </w:r>
    </w:p>
    <w:p w14:paraId="287661B8"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608F8E08" w14:textId="77777777" w:rsidR="0098482B" w:rsidRDefault="00226640">
      <w:pPr>
        <w:numPr>
          <w:ilvl w:val="2"/>
          <w:numId w:val="2"/>
        </w:numPr>
        <w:tabs>
          <w:tab w:val="left" w:pos="1985"/>
        </w:tabs>
        <w:spacing w:before="120" w:after="120" w:line="240" w:lineRule="auto"/>
      </w:pPr>
      <w:r>
        <w:rPr>
          <w:rFonts w:ascii="Arial" w:eastAsia="Arial" w:hAnsi="Arial" w:cs="Arial"/>
          <w:sz w:val="24"/>
          <w:szCs w:val="24"/>
        </w:rPr>
        <w:lastRenderedPageBreak/>
        <w:t xml:space="preserve">ensure that use of overtime used responsibly, </w:t>
      </w:r>
      <w:proofErr w:type="gramStart"/>
      <w:r>
        <w:rPr>
          <w:rFonts w:ascii="Arial" w:eastAsia="Arial" w:hAnsi="Arial" w:cs="Arial"/>
          <w:sz w:val="24"/>
          <w:szCs w:val="24"/>
        </w:rPr>
        <w:t>taking into account</w:t>
      </w:r>
      <w:proofErr w:type="gramEnd"/>
      <w:r>
        <w:rPr>
          <w:rFonts w:ascii="Arial" w:eastAsia="Arial" w:hAnsi="Arial" w:cs="Arial"/>
          <w:sz w:val="24"/>
          <w:szCs w:val="24"/>
        </w:rPr>
        <w:t>:</w:t>
      </w:r>
    </w:p>
    <w:p w14:paraId="7E48BFF7" w14:textId="77777777" w:rsidR="0098482B" w:rsidRDefault="00226640">
      <w:pPr>
        <w:keepNext/>
        <w:numPr>
          <w:ilvl w:val="0"/>
          <w:numId w:val="1"/>
        </w:numPr>
        <w:tabs>
          <w:tab w:val="left" w:pos="1985"/>
        </w:tabs>
        <w:spacing w:before="120" w:after="0" w:line="240" w:lineRule="auto"/>
        <w:rPr>
          <w:rFonts w:ascii="Arial" w:eastAsia="Arial" w:hAnsi="Arial" w:cs="Arial"/>
          <w:sz w:val="24"/>
          <w:szCs w:val="24"/>
        </w:rPr>
      </w:pPr>
      <w:r>
        <w:rPr>
          <w:rFonts w:ascii="Arial" w:eastAsia="Arial" w:hAnsi="Arial" w:cs="Arial"/>
          <w:sz w:val="24"/>
          <w:szCs w:val="24"/>
        </w:rPr>
        <w:t>the extent;</w:t>
      </w:r>
    </w:p>
    <w:p w14:paraId="47F9589F" w14:textId="77777777" w:rsidR="0098482B" w:rsidRDefault="00226640">
      <w:pPr>
        <w:keepNext/>
        <w:numPr>
          <w:ilvl w:val="0"/>
          <w:numId w:val="1"/>
        </w:numPr>
        <w:tabs>
          <w:tab w:val="left" w:pos="1985"/>
        </w:tabs>
        <w:spacing w:after="0" w:line="240" w:lineRule="auto"/>
        <w:rPr>
          <w:rFonts w:ascii="Arial" w:eastAsia="Arial" w:hAnsi="Arial" w:cs="Arial"/>
          <w:sz w:val="24"/>
          <w:szCs w:val="24"/>
        </w:rPr>
      </w:pPr>
      <w:r>
        <w:rPr>
          <w:rFonts w:ascii="Arial" w:eastAsia="Arial" w:hAnsi="Arial" w:cs="Arial"/>
          <w:sz w:val="24"/>
          <w:szCs w:val="24"/>
        </w:rPr>
        <w:t xml:space="preserve">frequency; and </w:t>
      </w:r>
    </w:p>
    <w:p w14:paraId="43C9A933" w14:textId="77777777" w:rsidR="0098482B" w:rsidRDefault="00226640">
      <w:pPr>
        <w:keepNext/>
        <w:numPr>
          <w:ilvl w:val="0"/>
          <w:numId w:val="1"/>
        </w:numPr>
        <w:tabs>
          <w:tab w:val="left" w:pos="1985"/>
        </w:tabs>
        <w:spacing w:after="120" w:line="240" w:lineRule="auto"/>
        <w:rPr>
          <w:rFonts w:ascii="Arial" w:eastAsia="Arial" w:hAnsi="Arial" w:cs="Arial"/>
          <w:sz w:val="24"/>
          <w:szCs w:val="24"/>
        </w:rPr>
      </w:pPr>
      <w:r>
        <w:rPr>
          <w:rFonts w:ascii="Arial" w:eastAsia="Arial" w:hAnsi="Arial" w:cs="Arial"/>
          <w:sz w:val="24"/>
          <w:szCs w:val="24"/>
        </w:rPr>
        <w:t xml:space="preserve">hours worked; </w:t>
      </w:r>
    </w:p>
    <w:p w14:paraId="2A6CD069" w14:textId="77777777" w:rsidR="0098482B" w:rsidRDefault="00226640">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by individuals and by the Supplier Staff as a whole;</w:t>
      </w:r>
    </w:p>
    <w:p w14:paraId="2B841F8B" w14:textId="03B19A14"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The total hours worked in any </w:t>
      </w:r>
      <w:r w:rsidR="008670ED">
        <w:rPr>
          <w:rFonts w:ascii="Arial" w:eastAsia="Arial" w:hAnsi="Arial" w:cs="Arial"/>
          <w:sz w:val="24"/>
          <w:szCs w:val="24"/>
        </w:rPr>
        <w:t>seven-day</w:t>
      </w:r>
      <w:r>
        <w:rPr>
          <w:rFonts w:ascii="Arial" w:eastAsia="Arial" w:hAnsi="Arial" w:cs="Arial"/>
          <w:sz w:val="24"/>
          <w:szCs w:val="24"/>
        </w:rPr>
        <w:t xml:space="preserve"> period shall not exceed 60 hours, except </w:t>
      </w:r>
      <w:proofErr w:type="gramStart"/>
      <w:r>
        <w:rPr>
          <w:rFonts w:ascii="Arial" w:eastAsia="Arial" w:hAnsi="Arial" w:cs="Arial"/>
          <w:sz w:val="24"/>
          <w:szCs w:val="24"/>
        </w:rPr>
        <w:t>where</w:t>
      </w:r>
      <w:proofErr w:type="gramEnd"/>
      <w:r>
        <w:rPr>
          <w:rFonts w:ascii="Arial" w:eastAsia="Arial" w:hAnsi="Arial" w:cs="Arial"/>
          <w:sz w:val="24"/>
          <w:szCs w:val="24"/>
        </w:rPr>
        <w:t xml:space="preserve"> covered by Paragraph 5.3 below.</w:t>
      </w:r>
    </w:p>
    <w:p w14:paraId="06BAD158" w14:textId="2E7B698F"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 xml:space="preserve">Working hours may exceed 60 hours in any </w:t>
      </w:r>
      <w:r w:rsidR="008670ED">
        <w:rPr>
          <w:rFonts w:ascii="Arial" w:eastAsia="Arial" w:hAnsi="Arial" w:cs="Arial"/>
          <w:sz w:val="24"/>
          <w:szCs w:val="24"/>
        </w:rPr>
        <w:t>seven-day</w:t>
      </w:r>
      <w:r>
        <w:rPr>
          <w:rFonts w:ascii="Arial" w:eastAsia="Arial" w:hAnsi="Arial" w:cs="Arial"/>
          <w:sz w:val="24"/>
          <w:szCs w:val="24"/>
        </w:rPr>
        <w:t xml:space="preserve"> period only in exceptional circumstances where all of the following are met:</w:t>
      </w:r>
    </w:p>
    <w:p w14:paraId="47FDD923" w14:textId="77777777"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national law;</w:t>
      </w:r>
    </w:p>
    <w:p w14:paraId="707FE815" w14:textId="77777777"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this is allowed by a collective agreement freely negotiated with a workers’ organisation representing a significant portion of the workforce;</w:t>
      </w:r>
    </w:p>
    <w:p w14:paraId="75F75BB2" w14:textId="77777777" w:rsidR="0098482B" w:rsidRDefault="00226640">
      <w:pPr>
        <w:keepNext/>
        <w:tabs>
          <w:tab w:val="left" w:pos="1985"/>
        </w:tabs>
        <w:spacing w:before="120" w:after="120" w:line="240" w:lineRule="auto"/>
        <w:ind w:left="2409"/>
        <w:rPr>
          <w:rFonts w:ascii="Arial" w:eastAsia="Arial" w:hAnsi="Arial" w:cs="Arial"/>
          <w:sz w:val="24"/>
          <w:szCs w:val="24"/>
        </w:rPr>
      </w:pPr>
      <w:r>
        <w:rPr>
          <w:rFonts w:ascii="Arial" w:eastAsia="Arial" w:hAnsi="Arial" w:cs="Arial"/>
          <w:sz w:val="24"/>
          <w:szCs w:val="24"/>
        </w:rPr>
        <w:t>appropriate safeguards are taken to protect the workers’ health and safety; and</w:t>
      </w:r>
    </w:p>
    <w:p w14:paraId="2D85B56D" w14:textId="77777777" w:rsidR="0098482B" w:rsidRDefault="00226640">
      <w:pPr>
        <w:keepNext/>
        <w:numPr>
          <w:ilvl w:val="2"/>
          <w:numId w:val="2"/>
        </w:numPr>
        <w:tabs>
          <w:tab w:val="left" w:pos="1985"/>
        </w:tabs>
        <w:spacing w:before="120" w:after="120" w:line="240" w:lineRule="auto"/>
        <w:rPr>
          <w:rFonts w:ascii="Arial" w:eastAsia="Arial" w:hAnsi="Arial" w:cs="Arial"/>
          <w:sz w:val="24"/>
          <w:szCs w:val="24"/>
        </w:rPr>
      </w:pPr>
      <w:r>
        <w:rPr>
          <w:rFonts w:ascii="Arial" w:eastAsia="Arial" w:hAnsi="Arial" w:cs="Arial"/>
          <w:sz w:val="24"/>
          <w:szCs w:val="24"/>
        </w:rPr>
        <w:t>the employer can demonstrate that exceptional circumstances apply such as unexpected production peaks, accidents or emergencies.</w:t>
      </w:r>
    </w:p>
    <w:p w14:paraId="7D8DD084" w14:textId="77777777" w:rsidR="0098482B" w:rsidRDefault="00226640">
      <w:pPr>
        <w:keepNext/>
        <w:numPr>
          <w:ilvl w:val="1"/>
          <w:numId w:val="2"/>
        </w:numPr>
        <w:tabs>
          <w:tab w:val="left" w:pos="1985"/>
        </w:tabs>
        <w:spacing w:before="120" w:after="120" w:line="240" w:lineRule="auto"/>
        <w:ind w:left="992" w:hanging="566"/>
        <w:rPr>
          <w:rFonts w:ascii="Arial" w:eastAsia="Arial" w:hAnsi="Arial" w:cs="Arial"/>
          <w:sz w:val="24"/>
          <w:szCs w:val="24"/>
        </w:rPr>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4854174" w14:textId="77777777" w:rsidR="0098482B" w:rsidRDefault="0098482B">
      <w:pPr>
        <w:spacing w:after="0" w:line="240" w:lineRule="auto"/>
        <w:rPr>
          <w:rFonts w:ascii="Arial" w:eastAsia="Arial" w:hAnsi="Arial" w:cs="Arial"/>
          <w:color w:val="FFFFFF"/>
          <w:sz w:val="24"/>
          <w:szCs w:val="24"/>
          <w:highlight w:val="cyan"/>
        </w:rPr>
      </w:pPr>
    </w:p>
    <w:p w14:paraId="472CCF64" w14:textId="77777777" w:rsidR="0098482B" w:rsidRDefault="00226640">
      <w:pPr>
        <w:keepNext/>
        <w:numPr>
          <w:ilvl w:val="0"/>
          <w:numId w:val="2"/>
        </w:numPr>
        <w:tabs>
          <w:tab w:val="left" w:pos="142"/>
        </w:tabs>
        <w:spacing w:before="120" w:after="240" w:line="240" w:lineRule="auto"/>
      </w:pPr>
      <w:r>
        <w:rPr>
          <w:rFonts w:ascii="Arial" w:eastAsia="Arial" w:hAnsi="Arial" w:cs="Arial"/>
          <w:b/>
          <w:smallCaps/>
          <w:sz w:val="24"/>
          <w:szCs w:val="24"/>
        </w:rPr>
        <w:t>S</w:t>
      </w:r>
      <w:r>
        <w:rPr>
          <w:rFonts w:ascii="Arial" w:eastAsia="Arial" w:hAnsi="Arial" w:cs="Arial"/>
          <w:b/>
          <w:sz w:val="24"/>
          <w:szCs w:val="24"/>
        </w:rPr>
        <w:t>ustainability</w:t>
      </w:r>
    </w:p>
    <w:p w14:paraId="1D1CF769" w14:textId="77777777" w:rsidR="0098482B" w:rsidRDefault="00226640">
      <w:pPr>
        <w:keepNext/>
        <w:numPr>
          <w:ilvl w:val="1"/>
          <w:numId w:val="2"/>
        </w:numPr>
        <w:spacing w:before="120" w:after="120" w:line="240" w:lineRule="auto"/>
        <w:ind w:left="992" w:hanging="566"/>
      </w:pPr>
      <w:r>
        <w:rPr>
          <w:rFonts w:ascii="Arial" w:eastAsia="Arial" w:hAnsi="Arial" w:cs="Arial"/>
          <w:sz w:val="24"/>
          <w:szCs w:val="24"/>
        </w:rPr>
        <w:t xml:space="preserve">The supplier shall meet the applicable Government Buying Standards applicable to Deliverables which can be found online at: </w:t>
      </w:r>
    </w:p>
    <w:p w14:paraId="7B4C46F1" w14:textId="77777777" w:rsidR="0098482B" w:rsidRDefault="008670ED">
      <w:pPr>
        <w:spacing w:before="120" w:after="120" w:line="240" w:lineRule="auto"/>
        <w:ind w:left="992"/>
        <w:rPr>
          <w:rFonts w:ascii="Arial" w:eastAsia="Arial" w:hAnsi="Arial" w:cs="Arial"/>
          <w:sz w:val="24"/>
          <w:szCs w:val="24"/>
        </w:rPr>
      </w:pPr>
      <w:hyperlink r:id="rId13">
        <w:r w:rsidR="00226640">
          <w:rPr>
            <w:rFonts w:ascii="Arial" w:eastAsia="Arial" w:hAnsi="Arial" w:cs="Arial"/>
            <w:color w:val="0000FF"/>
            <w:sz w:val="24"/>
            <w:szCs w:val="24"/>
            <w:u w:val="single"/>
          </w:rPr>
          <w:t>https://www.gov.uk/government/collections/sustainable-procurement-the-government-buying-standards-gbs</w:t>
        </w:r>
      </w:hyperlink>
    </w:p>
    <w:p w14:paraId="384A768D" w14:textId="77777777" w:rsidR="0098482B" w:rsidRDefault="0098482B">
      <w:pPr>
        <w:spacing w:before="120" w:after="120" w:line="240" w:lineRule="auto"/>
        <w:ind w:left="992"/>
        <w:rPr>
          <w:rFonts w:ascii="Arial" w:eastAsia="Arial" w:hAnsi="Arial" w:cs="Arial"/>
          <w:sz w:val="24"/>
          <w:szCs w:val="24"/>
        </w:rPr>
      </w:pPr>
    </w:p>
    <w:p w14:paraId="1BB2C163" w14:textId="77777777" w:rsidR="0098482B" w:rsidRDefault="00226640">
      <w:pPr>
        <w:keepNext/>
        <w:numPr>
          <w:ilvl w:val="1"/>
          <w:numId w:val="2"/>
        </w:numPr>
        <w:pBdr>
          <w:top w:val="nil"/>
          <w:left w:val="nil"/>
          <w:bottom w:val="nil"/>
          <w:right w:val="nil"/>
          <w:between w:val="nil"/>
        </w:pBdr>
        <w:spacing w:before="120" w:after="120" w:line="240" w:lineRule="auto"/>
        <w:ind w:left="992" w:hanging="566"/>
      </w:pPr>
      <w:r>
        <w:rPr>
          <w:rFonts w:ascii="Arial" w:eastAsia="Arial" w:hAnsi="Arial" w:cs="Arial"/>
          <w:sz w:val="24"/>
          <w:szCs w:val="24"/>
        </w:rPr>
        <w:t>The Supplier shall use reasonable endeavours to avoid the use of paper and card in carrying out its obligations under this Contract. Where unavoidable under reasonable endeavours, the Supplier shall ensure that any paper or card deployed in the performance of the Services consists of one hundred percent (100%) recycled content and used on both sides where feasible to do so</w:t>
      </w:r>
    </w:p>
    <w:p w14:paraId="33B1B55A" w14:textId="77777777" w:rsidR="0098482B" w:rsidRDefault="00226640">
      <w:pPr>
        <w:keepNext/>
        <w:numPr>
          <w:ilvl w:val="1"/>
          <w:numId w:val="2"/>
        </w:numPr>
        <w:pBdr>
          <w:top w:val="nil"/>
          <w:left w:val="nil"/>
          <w:bottom w:val="nil"/>
          <w:right w:val="nil"/>
          <w:between w:val="nil"/>
        </w:pBdr>
        <w:spacing w:before="120" w:after="120" w:line="240" w:lineRule="auto"/>
        <w:ind w:left="992" w:hanging="566"/>
      </w:pPr>
      <w:bookmarkStart w:id="3" w:name="_heading=h.jk4h84btv7qx" w:colFirst="0" w:colLast="0"/>
      <w:bookmarkEnd w:id="3"/>
      <w:r>
        <w:rPr>
          <w:rFonts w:ascii="Arial" w:eastAsia="Arial" w:hAnsi="Arial" w:cs="Arial"/>
          <w:sz w:val="24"/>
          <w:szCs w:val="24"/>
        </w:rPr>
        <w:t xml:space="preserve">The Supplier shall complete and provide CCS with a Carbon Reduction Plan. </w:t>
      </w:r>
    </w:p>
    <w:p w14:paraId="438714FD" w14:textId="77777777" w:rsidR="0098482B" w:rsidRDefault="00226640">
      <w:pPr>
        <w:keepNext/>
        <w:numPr>
          <w:ilvl w:val="1"/>
          <w:numId w:val="2"/>
        </w:numPr>
        <w:spacing w:before="120" w:after="120" w:line="240" w:lineRule="auto"/>
        <w:ind w:left="992" w:hanging="566"/>
        <w:rPr>
          <w:color w:val="000000"/>
        </w:rPr>
      </w:pPr>
      <w:r>
        <w:rPr>
          <w:rFonts w:ascii="Arial" w:eastAsia="Arial" w:hAnsi="Arial" w:cs="Arial"/>
          <w:sz w:val="24"/>
          <w:szCs w:val="24"/>
        </w:rPr>
        <w:t>The Supplier shall progress towards carbon net zero during the lifetime of the framework.</w:t>
      </w:r>
    </w:p>
    <w:p w14:paraId="303CF8D7" w14:textId="77777777" w:rsidR="0098482B" w:rsidRDefault="0098482B">
      <w:pPr>
        <w:rPr>
          <w:rFonts w:ascii="Arial" w:eastAsia="Arial" w:hAnsi="Arial" w:cs="Arial"/>
          <w:sz w:val="24"/>
          <w:szCs w:val="24"/>
        </w:rPr>
      </w:pPr>
    </w:p>
    <w:p w14:paraId="2E231C29" w14:textId="77777777" w:rsidR="0098482B" w:rsidRDefault="0098482B">
      <w:pPr>
        <w:rPr>
          <w:rFonts w:ascii="Arial" w:eastAsia="Arial" w:hAnsi="Arial" w:cs="Arial"/>
          <w:sz w:val="24"/>
          <w:szCs w:val="24"/>
        </w:rPr>
      </w:pPr>
    </w:p>
    <w:p w14:paraId="13FC1263" w14:textId="77777777" w:rsidR="0098482B" w:rsidRDefault="00226640">
      <w:pPr>
        <w:rPr>
          <w:rFonts w:ascii="Arial" w:eastAsia="Arial" w:hAnsi="Arial" w:cs="Arial"/>
          <w:sz w:val="28"/>
          <w:szCs w:val="28"/>
        </w:rPr>
      </w:pPr>
      <w:r>
        <w:rPr>
          <w:rFonts w:ascii="Arial" w:eastAsia="Arial" w:hAnsi="Arial" w:cs="Arial"/>
          <w:sz w:val="24"/>
          <w:szCs w:val="24"/>
        </w:rPr>
        <w:lastRenderedPageBreak/>
        <w:t xml:space="preserve">Annex 1 </w:t>
      </w:r>
    </w:p>
    <w:p w14:paraId="485A0A00" w14:textId="77777777" w:rsidR="0098482B" w:rsidRDefault="00226640">
      <w:pPr>
        <w:rPr>
          <w:rFonts w:ascii="Arial" w:eastAsia="Arial" w:hAnsi="Arial" w:cs="Arial"/>
          <w:sz w:val="28"/>
          <w:szCs w:val="28"/>
        </w:rPr>
      </w:pPr>
      <w:r>
        <w:rPr>
          <w:rFonts w:ascii="Arial" w:eastAsia="Arial" w:hAnsi="Arial" w:cs="Arial"/>
          <w:color w:val="000000"/>
          <w:highlight w:val="white"/>
        </w:rPr>
        <w:t>Joint Schedule 5 - Annex 1 Factory Disclosure Form - TePAS2 RM 6098</w:t>
      </w:r>
    </w:p>
    <w:p w14:paraId="413E7805" w14:textId="77777777" w:rsidR="0098482B" w:rsidRDefault="0098482B">
      <w:pPr>
        <w:rPr>
          <w:rFonts w:ascii="Arial" w:eastAsia="Arial" w:hAnsi="Arial" w:cs="Arial"/>
          <w:sz w:val="24"/>
          <w:szCs w:val="24"/>
        </w:rPr>
      </w:pPr>
    </w:p>
    <w:p w14:paraId="148F1F60" w14:textId="77777777" w:rsidR="0098482B" w:rsidRDefault="00226640">
      <w:pPr>
        <w:rPr>
          <w:rFonts w:ascii="Arial" w:eastAsia="Arial" w:hAnsi="Arial" w:cs="Arial"/>
          <w:sz w:val="24"/>
          <w:szCs w:val="24"/>
        </w:rPr>
      </w:pPr>
      <w:r>
        <w:rPr>
          <w:rFonts w:ascii="Arial" w:eastAsia="Arial" w:hAnsi="Arial" w:cs="Arial"/>
          <w:sz w:val="24"/>
          <w:szCs w:val="24"/>
        </w:rPr>
        <w:object w:dxaOrig="1500" w:dyaOrig="980" w14:anchorId="448002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pt" o:ole="">
            <v:imagedata r:id="rId14" o:title=""/>
          </v:shape>
          <o:OLEObject Type="Embed" ProgID="Excel.Sheet.12" ShapeID="_x0000_i1025" DrawAspect="Icon" ObjectID="_1810986137" r:id="rId15"/>
        </w:object>
      </w:r>
    </w:p>
    <w:p w14:paraId="51B36B42" w14:textId="77777777" w:rsidR="0098482B" w:rsidRDefault="0098482B">
      <w:pPr>
        <w:rPr>
          <w:rFonts w:ascii="Arial" w:eastAsia="Arial" w:hAnsi="Arial" w:cs="Arial"/>
          <w:sz w:val="24"/>
          <w:szCs w:val="24"/>
        </w:rPr>
      </w:pPr>
    </w:p>
    <w:p w14:paraId="6B26A475" w14:textId="77777777" w:rsidR="0098482B" w:rsidRDefault="00226640">
      <w:pPr>
        <w:tabs>
          <w:tab w:val="left" w:pos="1870"/>
        </w:tabs>
        <w:rPr>
          <w:rFonts w:ascii="Arial" w:eastAsia="Arial" w:hAnsi="Arial" w:cs="Arial"/>
          <w:sz w:val="24"/>
          <w:szCs w:val="24"/>
        </w:rPr>
      </w:pPr>
      <w:r>
        <w:rPr>
          <w:rFonts w:ascii="Arial" w:eastAsia="Arial" w:hAnsi="Arial" w:cs="Arial"/>
          <w:sz w:val="24"/>
          <w:szCs w:val="24"/>
        </w:rPr>
        <w:tab/>
      </w:r>
    </w:p>
    <w:sectPr w:rsidR="0098482B">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23C05" w14:textId="77777777" w:rsidR="00226640" w:rsidRDefault="00226640">
      <w:pPr>
        <w:spacing w:after="0" w:line="240" w:lineRule="auto"/>
      </w:pPr>
      <w:r>
        <w:separator/>
      </w:r>
    </w:p>
  </w:endnote>
  <w:endnote w:type="continuationSeparator" w:id="0">
    <w:p w14:paraId="42043047" w14:textId="77777777" w:rsidR="00226640" w:rsidRDefault="00226640">
      <w:pPr>
        <w:spacing w:after="0" w:line="240" w:lineRule="auto"/>
      </w:pPr>
      <w:r>
        <w:continuationSeparator/>
      </w:r>
    </w:p>
  </w:endnote>
  <w:endnote w:type="continuationNotice" w:id="1">
    <w:p w14:paraId="004F42B7" w14:textId="77777777" w:rsidR="00AE4AA3" w:rsidRDefault="00AE4A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649D1" w14:textId="77777777" w:rsidR="0098482B" w:rsidRDefault="0098482B">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519E" w14:textId="77777777" w:rsidR="0098482B" w:rsidRDefault="00226640">
    <w:pPr>
      <w:tabs>
        <w:tab w:val="center" w:pos="4513"/>
        <w:tab w:val="right" w:pos="9026"/>
      </w:tabs>
      <w:spacing w:after="0"/>
      <w:rPr>
        <w:rFonts w:ascii="Arial" w:eastAsia="Arial" w:hAnsi="Arial" w:cs="Arial"/>
        <w:sz w:val="20"/>
        <w:szCs w:val="20"/>
      </w:rPr>
    </w:pPr>
    <w:bookmarkStart w:id="4" w:name="_heading=h.1fob9te" w:colFirst="0" w:colLast="0"/>
    <w:bookmarkEnd w:id="4"/>
    <w:r>
      <w:rPr>
        <w:rFonts w:ascii="Arial" w:eastAsia="Arial" w:hAnsi="Arial" w:cs="Arial"/>
        <w:sz w:val="20"/>
        <w:szCs w:val="20"/>
      </w:rPr>
      <w:t>Framework Ref: RM6098</w:t>
    </w:r>
    <w:r>
      <w:rPr>
        <w:rFonts w:ascii="Arial" w:eastAsia="Arial" w:hAnsi="Arial" w:cs="Arial"/>
        <w:sz w:val="20"/>
        <w:szCs w:val="20"/>
      </w:rPr>
      <w:tab/>
      <w:t xml:space="preserve">                                           </w:t>
    </w:r>
  </w:p>
  <w:p w14:paraId="531AD9DD" w14:textId="77777777" w:rsidR="0098482B" w:rsidRDefault="0022664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v3.0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65315A">
      <w:rPr>
        <w:rFonts w:ascii="Arial" w:eastAsia="Arial" w:hAnsi="Arial" w:cs="Arial"/>
        <w:noProof/>
        <w:sz w:val="20"/>
        <w:szCs w:val="20"/>
      </w:rPr>
      <w:t>1</w:t>
    </w:r>
    <w:r>
      <w:rPr>
        <w:rFonts w:ascii="Arial" w:eastAsia="Arial" w:hAnsi="Arial" w:cs="Arial"/>
        <w:sz w:val="20"/>
        <w:szCs w:val="20"/>
      </w:rPr>
      <w:fldChar w:fldCharType="end"/>
    </w:r>
  </w:p>
  <w:p w14:paraId="4824C75B" w14:textId="77777777" w:rsidR="0098482B" w:rsidRDefault="00226640">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5" w:name="bookmark=id.3znysh7" w:colFirst="0" w:colLast="0"/>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F3BD5" w14:textId="77777777" w:rsidR="0098482B" w:rsidRDefault="0098482B">
    <w:pPr>
      <w:tabs>
        <w:tab w:val="center" w:pos="4513"/>
        <w:tab w:val="right" w:pos="9026"/>
      </w:tabs>
      <w:spacing w:after="0"/>
      <w:rPr>
        <w:color w:val="BFBFBF"/>
      </w:rPr>
    </w:pPr>
  </w:p>
  <w:p w14:paraId="2A77447B" w14:textId="77777777" w:rsidR="0098482B" w:rsidRDefault="00226640">
    <w:pPr>
      <w:tabs>
        <w:tab w:val="center" w:pos="4513"/>
        <w:tab w:val="right" w:pos="9026"/>
      </w:tabs>
      <w:spacing w:after="0"/>
      <w:rPr>
        <w:color w:val="BFBFBF"/>
      </w:rPr>
    </w:pPr>
    <w:r>
      <w:rPr>
        <w:color w:val="BFBFBF"/>
      </w:rPr>
      <w:t>Framework Ref: RM</w:t>
    </w:r>
    <w:r>
      <w:rPr>
        <w:color w:val="BFBFBF"/>
      </w:rPr>
      <w:tab/>
      <w:t xml:space="preserve">                                           </w:t>
    </w:r>
  </w:p>
  <w:p w14:paraId="3C8ADDF4" w14:textId="77777777" w:rsidR="0098482B" w:rsidRDefault="00226640">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3671A71E" w14:textId="77777777" w:rsidR="0098482B" w:rsidRDefault="00226640">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3E2CB" w14:textId="77777777" w:rsidR="00226640" w:rsidRDefault="00226640">
      <w:pPr>
        <w:spacing w:after="0" w:line="240" w:lineRule="auto"/>
      </w:pPr>
      <w:r>
        <w:separator/>
      </w:r>
    </w:p>
  </w:footnote>
  <w:footnote w:type="continuationSeparator" w:id="0">
    <w:p w14:paraId="72B1F070" w14:textId="77777777" w:rsidR="00226640" w:rsidRDefault="00226640">
      <w:pPr>
        <w:spacing w:after="0" w:line="240" w:lineRule="auto"/>
      </w:pPr>
      <w:r>
        <w:continuationSeparator/>
      </w:r>
    </w:p>
  </w:footnote>
  <w:footnote w:type="continuationNotice" w:id="1">
    <w:p w14:paraId="750729C3" w14:textId="77777777" w:rsidR="00AE4AA3" w:rsidRDefault="00AE4A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AF9A" w14:textId="77777777" w:rsidR="0098482B" w:rsidRDefault="0098482B">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EABC7" w14:textId="77777777" w:rsidR="0098482B" w:rsidRDefault="00226640">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420C78A" w14:textId="77777777" w:rsidR="0098482B" w:rsidRDefault="00226640">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616B" w14:textId="77777777" w:rsidR="0098482B" w:rsidRDefault="0098482B">
    <w:pPr>
      <w:tabs>
        <w:tab w:val="center" w:pos="4513"/>
        <w:tab w:val="right" w:pos="9026"/>
      </w:tabs>
      <w:spacing w:after="0" w:line="240" w:lineRule="auto"/>
    </w:pPr>
  </w:p>
  <w:p w14:paraId="12921D9D" w14:textId="77777777" w:rsidR="0098482B" w:rsidRDefault="0098482B">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6263E"/>
    <w:multiLevelType w:val="multilevel"/>
    <w:tmpl w:val="BF000916"/>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1" w15:restartNumberingAfterBreak="0">
    <w:nsid w:val="72F03F7F"/>
    <w:multiLevelType w:val="multilevel"/>
    <w:tmpl w:val="5C2EB72E"/>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650787521">
    <w:abstractNumId w:val="0"/>
  </w:num>
  <w:num w:numId="2" w16cid:durableId="1980961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2B"/>
    <w:rsid w:val="000161DB"/>
    <w:rsid w:val="00051308"/>
    <w:rsid w:val="000D4044"/>
    <w:rsid w:val="00226640"/>
    <w:rsid w:val="00272A41"/>
    <w:rsid w:val="002E1911"/>
    <w:rsid w:val="0065315A"/>
    <w:rsid w:val="008670ED"/>
    <w:rsid w:val="0093102B"/>
    <w:rsid w:val="0098482B"/>
    <w:rsid w:val="00AE4AA3"/>
    <w:rsid w:val="00AF4DD7"/>
    <w:rsid w:val="00C45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193833B"/>
  <w15:docId w15:val="{3D87FF21-A44C-4971-8CE6-3A4D93E2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 w:type="paragraph" w:styleId="NormalWeb">
    <w:name w:val="Normal (Web)"/>
    <w:basedOn w:val="Normal"/>
    <w:uiPriority w:val="99"/>
    <w:semiHidden/>
    <w:unhideWhenUsed/>
    <w:rsid w:val="00CA5EB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5E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EB3"/>
    <w:rPr>
      <w:rFonts w:ascii="Segoe UI" w:hAnsi="Segoe UI" w:cs="Segoe UI"/>
      <w:sz w:val="18"/>
      <w:szCs w:val="18"/>
    </w:rPr>
  </w:style>
  <w:style w:type="paragraph" w:styleId="ListParagraph">
    <w:name w:val="List Paragraph"/>
    <w:basedOn w:val="Normal"/>
    <w:uiPriority w:val="34"/>
    <w:qFormat/>
    <w:rsid w:val="003939D8"/>
    <w:pPr>
      <w:ind w:left="720"/>
      <w:contextualSpacing/>
    </w:p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semiHidden/>
    <w:unhideWhenUsed/>
    <w:rsid w:val="00AE4AA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E4AA3"/>
  </w:style>
  <w:style w:type="paragraph" w:styleId="Footer">
    <w:name w:val="footer"/>
    <w:basedOn w:val="Normal"/>
    <w:link w:val="FooterChar"/>
    <w:uiPriority w:val="99"/>
    <w:semiHidden/>
    <w:unhideWhenUsed/>
    <w:rsid w:val="00AE4AA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E4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ustainable-procurement-the-government-buying-standards-gb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modernslaveryhelpline.org/repo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646497/2017-09-13_Official_Sensitive_Supplier_Code_of_Conduct_September_2017.pdf" TargetMode="External"/><Relationship Id="rId5" Type="http://schemas.openxmlformats.org/officeDocument/2006/relationships/numbering" Target="numbering.xml"/><Relationship Id="rId15" Type="http://schemas.openxmlformats.org/officeDocument/2006/relationships/package" Target="embeddings/Microsoft_Excel_Worksheet.xlsx"/><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A5vUglKuiS2YfcuYVrY4TGdKPQ==">CgMxLjAyCGguZ2pkZ3hzMg5oLnZiN205cnU5cGh4NTIOaC5yczd2enRrZWQ4eXkyDmguams0aDg0YnR2N3F4MgloLjFmb2I5dGUyCmlkLjN6bnlzaDc4AHIhMUN0dUFIbW9RU2RjWWFDMEZ3TVV5eUZBY1poZ2M5WTM2</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339EEC0-0550-403D-B3AA-553021E8A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C01EDB-BAB5-4D50-916A-434BF285A40B}">
  <ds:schemaRefs>
    <ds:schemaRef ds:uri="http://schemas.microsoft.com/sharepoint/v3/contenttype/forms"/>
  </ds:schemaRefs>
</ds:datastoreItem>
</file>

<file path=customXml/itemProps4.xml><?xml version="1.0" encoding="utf-8"?>
<ds:datastoreItem xmlns:ds="http://schemas.openxmlformats.org/officeDocument/2006/customXml" ds:itemID="{415B3A3F-FC67-4653-AE2D-E4349A8DB875}">
  <ds:schemaRefs>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04738c6d-ecc8-46f1-821f-82e308eab3d9"/>
    <ds:schemaRef ds:uri="http://schemas.microsoft.com/office/infopath/2007/PartnerControls"/>
    <ds:schemaRef ds:uri="e2b35971-f043-4b2c-90be-32503d656b9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Hanlon</dc:creator>
  <cp:lastModifiedBy>Chapman, David Mr (UKStratCom DD-CM-SW-SCO-10)</cp:lastModifiedBy>
  <cp:revision>7</cp:revision>
  <dcterms:created xsi:type="dcterms:W3CDTF">2025-05-19T08:44:00Z</dcterms:created>
  <dcterms:modified xsi:type="dcterms:W3CDTF">2025-06-09T13:56:00Z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2025-05-19T08:40:04Z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ab6a228b-87e7-4b5c-9324-7c8c30a31627</vt:lpwstr>
  </property>
  <property fmtid="{D5CDD505-2E9C-101B-9397-08002B2CF9AE}" pid="8" name="MSIP_Label_d8a60473-494b-4586-a1bb-b0e663054676_ContentBits">
    <vt:lpwstr>0</vt:lpwstr>
  </property>
  <property fmtid="{D5CDD505-2E9C-101B-9397-08002B2CF9AE}" pid="9" name="ContentTypeId">
    <vt:lpwstr>0x010100DFC963FEBEAFFD439F1407C2DB1A7594</vt:lpwstr>
  </property>
  <property fmtid="{D5CDD505-2E9C-101B-9397-08002B2CF9AE}" pid="10" name="MediaServiceImageTags">
    <vt:lpwstr/>
  </property>
  <property fmtid="{D5CDD505-2E9C-101B-9397-08002B2CF9AE}" pid="11" name="Order">
    <vt:r8>6639400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