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21"/>
        <w:gridCol w:w="4621"/>
      </w:tblGrid>
      <w:tr w:rsidR="005662B8" w:rsidTr="005662B8">
        <w:tc>
          <w:tcPr>
            <w:tcW w:w="9242" w:type="dxa"/>
            <w:gridSpan w:val="2"/>
            <w:shd w:val="clear" w:color="auto" w:fill="8DB3E2" w:themeFill="text2" w:themeFillTint="66"/>
          </w:tcPr>
          <w:p w:rsidR="005662B8" w:rsidRPr="005662B8" w:rsidRDefault="005662B8" w:rsidP="005662B8">
            <w:pPr>
              <w:jc w:val="center"/>
              <w:rPr>
                <w:b/>
                <w:sz w:val="28"/>
                <w:szCs w:val="28"/>
              </w:rPr>
            </w:pPr>
            <w:r w:rsidRPr="005662B8">
              <w:rPr>
                <w:b/>
                <w:sz w:val="28"/>
                <w:szCs w:val="28"/>
              </w:rPr>
              <w:t>Clarifications to CASD ITT</w:t>
            </w:r>
          </w:p>
        </w:tc>
      </w:tr>
      <w:tr w:rsidR="0092179D" w:rsidTr="0092179D">
        <w:tc>
          <w:tcPr>
            <w:tcW w:w="4621" w:type="dxa"/>
          </w:tcPr>
          <w:p w:rsidR="0092179D" w:rsidRPr="0092179D" w:rsidRDefault="0092179D">
            <w:r w:rsidRPr="0092179D">
              <w:t>Query</w:t>
            </w:r>
          </w:p>
        </w:tc>
        <w:tc>
          <w:tcPr>
            <w:tcW w:w="4621" w:type="dxa"/>
          </w:tcPr>
          <w:p w:rsidR="0092179D" w:rsidRPr="0092179D" w:rsidRDefault="0092179D">
            <w:r w:rsidRPr="0092179D">
              <w:t>Answer</w:t>
            </w:r>
          </w:p>
        </w:tc>
      </w:tr>
      <w:tr w:rsidR="0092179D" w:rsidTr="0092179D">
        <w:tc>
          <w:tcPr>
            <w:tcW w:w="4621" w:type="dxa"/>
          </w:tcPr>
          <w:p w:rsidR="0092179D" w:rsidRPr="0092179D" w:rsidRDefault="0092179D"/>
        </w:tc>
        <w:tc>
          <w:tcPr>
            <w:tcW w:w="4621" w:type="dxa"/>
          </w:tcPr>
          <w:p w:rsidR="0092179D" w:rsidRPr="0092179D" w:rsidRDefault="0092179D"/>
        </w:tc>
      </w:tr>
      <w:tr w:rsidR="00A214A1" w:rsidTr="0092179D">
        <w:tc>
          <w:tcPr>
            <w:tcW w:w="4621" w:type="dxa"/>
          </w:tcPr>
          <w:p w:rsidR="00A214A1" w:rsidRPr="0092179D" w:rsidRDefault="00A214A1">
            <w:pPr>
              <w:rPr>
                <w:rFonts w:eastAsia="Times New Roman"/>
              </w:rPr>
            </w:pPr>
            <w:r>
              <w:rPr>
                <w:rFonts w:eastAsia="Times New Roman"/>
              </w:rPr>
              <w:t>Would you accommodate an extension to the deadline?</w:t>
            </w:r>
          </w:p>
        </w:tc>
        <w:tc>
          <w:tcPr>
            <w:tcW w:w="4621" w:type="dxa"/>
          </w:tcPr>
          <w:p w:rsidR="00A214A1" w:rsidRPr="0092179D" w:rsidRDefault="00A214A1" w:rsidP="00A214A1">
            <w:r>
              <w:t>We will accommodate an extension to 12pm on Wednesday 24</w:t>
            </w:r>
            <w:r w:rsidRPr="00A214A1">
              <w:rPr>
                <w:vertAlign w:val="superscript"/>
              </w:rPr>
              <w:t>th</w:t>
            </w:r>
            <w:r>
              <w:t xml:space="preserve"> January.</w:t>
            </w:r>
          </w:p>
        </w:tc>
      </w:tr>
      <w:tr w:rsidR="0092179D" w:rsidTr="0092179D">
        <w:tc>
          <w:tcPr>
            <w:tcW w:w="4621" w:type="dxa"/>
          </w:tcPr>
          <w:p w:rsidR="0092179D" w:rsidRPr="0092179D" w:rsidRDefault="0092179D">
            <w:r w:rsidRPr="0092179D">
              <w:rPr>
                <w:rFonts w:eastAsia="Times New Roman"/>
              </w:rPr>
              <w:t>Are works to be conducted out of hours?</w:t>
            </w:r>
          </w:p>
        </w:tc>
        <w:tc>
          <w:tcPr>
            <w:tcW w:w="4621" w:type="dxa"/>
          </w:tcPr>
          <w:p w:rsidR="0092179D" w:rsidRPr="0092179D" w:rsidRDefault="0092179D">
            <w:r w:rsidRPr="0092179D">
              <w:t>This has not been determined yet. We can close the gallery in advance to carry out any work. This needs to be discussed further with our General Manager as out of hours would mean a staff member having</w:t>
            </w:r>
            <w:r w:rsidR="00AE5005">
              <w:t xml:space="preserve"> to be on site during that time but if a strong business case is made it can certainly be considered.</w:t>
            </w:r>
          </w:p>
        </w:tc>
      </w:tr>
      <w:tr w:rsidR="0092179D" w:rsidTr="0092179D">
        <w:tc>
          <w:tcPr>
            <w:tcW w:w="4621" w:type="dxa"/>
          </w:tcPr>
          <w:p w:rsidR="0092179D" w:rsidRPr="0092179D" w:rsidRDefault="0092179D" w:rsidP="0092179D">
            <w:pPr>
              <w:spacing w:before="100" w:beforeAutospacing="1" w:after="100" w:afterAutospacing="1"/>
              <w:rPr>
                <w:rFonts w:eastAsia="Times New Roman"/>
              </w:rPr>
            </w:pPr>
            <w:r w:rsidRPr="0092179D">
              <w:rPr>
                <w:rFonts w:eastAsia="Times New Roman"/>
              </w:rPr>
              <w:t>Is there a suitable, nearby location to site a skip and vehicular access to it?</w:t>
            </w:r>
          </w:p>
          <w:p w:rsidR="0092179D" w:rsidRPr="0092179D" w:rsidRDefault="0092179D"/>
        </w:tc>
        <w:tc>
          <w:tcPr>
            <w:tcW w:w="4621" w:type="dxa"/>
          </w:tcPr>
          <w:p w:rsidR="0092179D" w:rsidRPr="0092179D" w:rsidRDefault="0092179D" w:rsidP="0092179D">
            <w:r w:rsidRPr="0092179D">
              <w:t>There is a compound at the back of the Museum that we can use for a skip with vehicle access.</w:t>
            </w:r>
          </w:p>
        </w:tc>
      </w:tr>
      <w:tr w:rsidR="0092179D" w:rsidTr="0092179D">
        <w:tc>
          <w:tcPr>
            <w:tcW w:w="4621" w:type="dxa"/>
          </w:tcPr>
          <w:p w:rsidR="0092179D" w:rsidRPr="0092179D" w:rsidRDefault="0092179D" w:rsidP="0092179D">
            <w:pPr>
              <w:spacing w:before="100" w:beforeAutospacing="1" w:after="100" w:afterAutospacing="1"/>
              <w:rPr>
                <w:rFonts w:eastAsia="Times New Roman"/>
              </w:rPr>
            </w:pPr>
            <w:r w:rsidRPr="0092179D">
              <w:rPr>
                <w:rFonts w:eastAsia="Times New Roman"/>
              </w:rPr>
              <w:t>Can we use the 'alarmed fire escape exit' off the rear staircase to remove waste out of hours?</w:t>
            </w:r>
          </w:p>
          <w:p w:rsidR="0092179D" w:rsidRPr="0092179D" w:rsidRDefault="0092179D"/>
        </w:tc>
        <w:tc>
          <w:tcPr>
            <w:tcW w:w="4621" w:type="dxa"/>
          </w:tcPr>
          <w:p w:rsidR="0092179D" w:rsidRPr="0092179D" w:rsidRDefault="005662B8" w:rsidP="0092179D">
            <w:r>
              <w:t>This</w:t>
            </w:r>
            <w:r w:rsidR="0092179D" w:rsidRPr="0092179D">
              <w:t xml:space="preserve"> will need</w:t>
            </w:r>
            <w:r>
              <w:t xml:space="preserve"> to be</w:t>
            </w:r>
            <w:r w:rsidR="0092179D" w:rsidRPr="0092179D">
              <w:t xml:space="preserve"> check</w:t>
            </w:r>
            <w:r>
              <w:t>ed</w:t>
            </w:r>
            <w:r w:rsidR="0092179D" w:rsidRPr="0092179D">
              <w:t xml:space="preserve"> with our Facilities Team. If it’s out of hours it </w:t>
            </w:r>
            <w:r>
              <w:t>sh</w:t>
            </w:r>
            <w:r w:rsidR="0092179D" w:rsidRPr="0092179D">
              <w:t>o</w:t>
            </w:r>
            <w:r>
              <w:t>uldn’t matter which exit we use</w:t>
            </w:r>
            <w:r w:rsidR="0092179D" w:rsidRPr="0092179D">
              <w:t>.</w:t>
            </w:r>
          </w:p>
          <w:p w:rsidR="0092179D" w:rsidRPr="0092179D" w:rsidRDefault="0092179D"/>
        </w:tc>
      </w:tr>
      <w:tr w:rsidR="0092179D" w:rsidTr="0092179D">
        <w:tc>
          <w:tcPr>
            <w:tcW w:w="4621" w:type="dxa"/>
          </w:tcPr>
          <w:p w:rsidR="0092179D" w:rsidRPr="0092179D" w:rsidRDefault="0092179D" w:rsidP="0092179D">
            <w:pPr>
              <w:spacing w:before="100" w:beforeAutospacing="1" w:after="100" w:afterAutospacing="1"/>
              <w:rPr>
                <w:rFonts w:eastAsia="Times New Roman"/>
              </w:rPr>
            </w:pPr>
            <w:r w:rsidRPr="0092179D">
              <w:rPr>
                <w:rFonts w:eastAsia="Times New Roman"/>
              </w:rPr>
              <w:t>Will the NMRN Facilities team assist in the removal / relocation of existing radiators?</w:t>
            </w:r>
          </w:p>
          <w:p w:rsidR="0092179D" w:rsidRPr="0092179D" w:rsidRDefault="0092179D"/>
        </w:tc>
        <w:tc>
          <w:tcPr>
            <w:tcW w:w="4621" w:type="dxa"/>
          </w:tcPr>
          <w:p w:rsidR="0092179D" w:rsidRPr="0092179D" w:rsidRDefault="0092179D" w:rsidP="0092179D">
            <w:r w:rsidRPr="0092179D">
              <w:t>We have not confirmed if we will be relocating any radiators at this point so we have not had this discussion with Facilities yet.</w:t>
            </w:r>
          </w:p>
          <w:p w:rsidR="0092179D" w:rsidRPr="0092179D" w:rsidRDefault="0092179D"/>
        </w:tc>
      </w:tr>
      <w:tr w:rsidR="0092179D" w:rsidTr="0092179D">
        <w:tc>
          <w:tcPr>
            <w:tcW w:w="4621" w:type="dxa"/>
          </w:tcPr>
          <w:p w:rsidR="0092179D" w:rsidRPr="0092179D" w:rsidRDefault="0092179D" w:rsidP="0092179D">
            <w:pPr>
              <w:spacing w:before="100" w:beforeAutospacing="1" w:after="100" w:afterAutospacing="1"/>
              <w:rPr>
                <w:rFonts w:eastAsia="Times New Roman"/>
              </w:rPr>
            </w:pPr>
            <w:r w:rsidRPr="0092179D">
              <w:rPr>
                <w:rFonts w:eastAsia="Times New Roman"/>
              </w:rPr>
              <w:t>Can you confirm if there are any existing TV screens that can be reused?</w:t>
            </w:r>
          </w:p>
          <w:p w:rsidR="0092179D" w:rsidRPr="0092179D" w:rsidRDefault="0092179D"/>
        </w:tc>
        <w:tc>
          <w:tcPr>
            <w:tcW w:w="4621" w:type="dxa"/>
          </w:tcPr>
          <w:p w:rsidR="0092179D" w:rsidRPr="0092179D" w:rsidRDefault="0092179D">
            <w:r w:rsidRPr="0092179D">
              <w:t>There are no existing TV screens that can be used.</w:t>
            </w:r>
          </w:p>
        </w:tc>
      </w:tr>
      <w:tr w:rsidR="0092179D" w:rsidTr="0092179D">
        <w:tc>
          <w:tcPr>
            <w:tcW w:w="4621" w:type="dxa"/>
          </w:tcPr>
          <w:p w:rsidR="0092179D" w:rsidRPr="0092179D" w:rsidRDefault="0092179D" w:rsidP="0092179D">
            <w:pPr>
              <w:spacing w:before="100" w:beforeAutospacing="1" w:after="100" w:afterAutospacing="1"/>
              <w:rPr>
                <w:rFonts w:eastAsia="Times New Roman"/>
              </w:rPr>
            </w:pPr>
            <w:r w:rsidRPr="0092179D">
              <w:rPr>
                <w:rFonts w:eastAsia="Times New Roman"/>
              </w:rPr>
              <w:t>Are there any NMRN costs that should be included within the £50k budget?</w:t>
            </w:r>
          </w:p>
          <w:p w:rsidR="0092179D" w:rsidRPr="0092179D" w:rsidRDefault="0092179D"/>
        </w:tc>
        <w:tc>
          <w:tcPr>
            <w:tcW w:w="4621" w:type="dxa"/>
          </w:tcPr>
          <w:p w:rsidR="0092179D" w:rsidRPr="0092179D" w:rsidRDefault="00AE5005" w:rsidP="00AE5005">
            <w:r>
              <w:t>Associated m</w:t>
            </w:r>
            <w:r w:rsidR="0092179D" w:rsidRPr="0092179D">
              <w:t>arketing</w:t>
            </w:r>
            <w:r>
              <w:t xml:space="preserve"> and </w:t>
            </w:r>
            <w:proofErr w:type="gramStart"/>
            <w:r>
              <w:t xml:space="preserve">learning </w:t>
            </w:r>
            <w:r w:rsidR="0092179D" w:rsidRPr="0092179D">
              <w:t xml:space="preserve"> </w:t>
            </w:r>
            <w:r>
              <w:t>activity</w:t>
            </w:r>
            <w:proofErr w:type="gramEnd"/>
            <w:r>
              <w:t xml:space="preserve"> </w:t>
            </w:r>
            <w:proofErr w:type="spellStart"/>
            <w:r>
              <w:t>ahs</w:t>
            </w:r>
            <w:proofErr w:type="spellEnd"/>
            <w:r>
              <w:t xml:space="preserve"> been separately funded. Movement of small artefacts may have to be funded from the exhibition budget.</w:t>
            </w:r>
          </w:p>
        </w:tc>
      </w:tr>
      <w:tr w:rsidR="0092179D" w:rsidTr="0092179D">
        <w:tc>
          <w:tcPr>
            <w:tcW w:w="4621" w:type="dxa"/>
          </w:tcPr>
          <w:p w:rsidR="0092179D" w:rsidRPr="0092179D" w:rsidRDefault="0092179D" w:rsidP="0092179D">
            <w:pPr>
              <w:spacing w:before="100" w:beforeAutospacing="1" w:after="100" w:afterAutospacing="1"/>
              <w:rPr>
                <w:rFonts w:eastAsia="Times New Roman"/>
              </w:rPr>
            </w:pPr>
            <w:r w:rsidRPr="0092179D">
              <w:rPr>
                <w:rFonts w:eastAsia="Times New Roman"/>
              </w:rPr>
              <w:t>Will the NMRN undertake labelling, mounting and installing all artefacts?</w:t>
            </w:r>
          </w:p>
        </w:tc>
        <w:tc>
          <w:tcPr>
            <w:tcW w:w="4621" w:type="dxa"/>
          </w:tcPr>
          <w:p w:rsidR="0092179D" w:rsidRPr="0092179D" w:rsidRDefault="0092179D">
            <w:r w:rsidRPr="0092179D">
              <w:t>The NMRN will write labels, and install the objects in the cases. However, the production of labels and any mounts is something that we would expect included as part of the design and build.</w:t>
            </w:r>
          </w:p>
        </w:tc>
      </w:tr>
      <w:tr w:rsidR="0092179D" w:rsidTr="0092179D">
        <w:tc>
          <w:tcPr>
            <w:tcW w:w="4621" w:type="dxa"/>
          </w:tcPr>
          <w:p w:rsidR="0092179D" w:rsidRPr="005662B8" w:rsidRDefault="0092179D" w:rsidP="005662B8">
            <w:pPr>
              <w:numPr>
                <w:ilvl w:val="0"/>
                <w:numId w:val="7"/>
              </w:numPr>
              <w:spacing w:before="100" w:beforeAutospacing="1" w:after="100" w:afterAutospacing="1"/>
              <w:ind w:left="0"/>
              <w:rPr>
                <w:rFonts w:ascii="Calibri" w:eastAsia="Times New Roman" w:hAnsi="Calibri"/>
              </w:rPr>
            </w:pPr>
            <w:r>
              <w:rPr>
                <w:rFonts w:ascii="Calibri" w:eastAsia="Times New Roman" w:hAnsi="Calibri"/>
              </w:rPr>
              <w:t>The checklist (Annex 2) seems to be numbered incorrectly and the Content Titles do not match the </w:t>
            </w:r>
            <w:r w:rsidR="005662B8">
              <w:rPr>
                <w:rFonts w:ascii="Calibri" w:eastAsia="Times New Roman" w:hAnsi="Calibri"/>
              </w:rPr>
              <w:t>‘Detail’</w:t>
            </w:r>
            <w:r>
              <w:rPr>
                <w:rFonts w:ascii="Calibri" w:eastAsia="Times New Roman" w:hAnsi="Calibri"/>
              </w:rPr>
              <w:t>. Could you please verify and amend?</w:t>
            </w:r>
          </w:p>
          <w:p w:rsidR="0092179D" w:rsidRPr="0092179D" w:rsidRDefault="0092179D" w:rsidP="0092179D">
            <w:pPr>
              <w:spacing w:before="100" w:beforeAutospacing="1" w:after="100" w:afterAutospacing="1"/>
              <w:rPr>
                <w:rFonts w:eastAsia="Times New Roman"/>
              </w:rPr>
            </w:pPr>
          </w:p>
        </w:tc>
        <w:tc>
          <w:tcPr>
            <w:tcW w:w="4621" w:type="dxa"/>
          </w:tcPr>
          <w:p w:rsidR="0092179D" w:rsidRPr="00AE5005" w:rsidRDefault="00A214A1" w:rsidP="0092179D">
            <w:pPr>
              <w:rPr>
                <w:color w:val="000000" w:themeColor="text1"/>
              </w:rPr>
            </w:pPr>
            <w:r w:rsidRPr="00AE5005">
              <w:rPr>
                <w:color w:val="000000" w:themeColor="text1"/>
              </w:rPr>
              <w:t>Page 13.</w:t>
            </w:r>
          </w:p>
          <w:p w:rsidR="00A214A1" w:rsidRDefault="00A214A1" w:rsidP="0092179D">
            <w:pPr>
              <w:rPr>
                <w:i/>
                <w:color w:val="000000" w:themeColor="text1"/>
              </w:rPr>
            </w:pPr>
            <w:r w:rsidRPr="00AE5005">
              <w:rPr>
                <w:color w:val="000000" w:themeColor="text1"/>
              </w:rPr>
              <w:t>Costs – this needs to be ‘see Annex 3 for Pricing Approach’ not Annex 4 as listed.</w:t>
            </w:r>
          </w:p>
          <w:p w:rsidR="00AE5005" w:rsidRDefault="00AE5005" w:rsidP="0092179D">
            <w:pPr>
              <w:rPr>
                <w:i/>
                <w:color w:val="000000" w:themeColor="text1"/>
              </w:rPr>
            </w:pPr>
          </w:p>
          <w:p w:rsidR="00AE5005" w:rsidRPr="00AE5005" w:rsidRDefault="00AE5005" w:rsidP="0092179D">
            <w:pPr>
              <w:rPr>
                <w:color w:val="FF0000"/>
              </w:rPr>
            </w:pPr>
            <w:r>
              <w:rPr>
                <w:color w:val="000000" w:themeColor="text1"/>
              </w:rPr>
              <w:t xml:space="preserve">Verified and ITT </w:t>
            </w:r>
            <w:bookmarkStart w:id="0" w:name="_GoBack"/>
            <w:bookmarkEnd w:id="0"/>
            <w:r>
              <w:rPr>
                <w:color w:val="000000" w:themeColor="text1"/>
              </w:rPr>
              <w:t>amended</w:t>
            </w:r>
          </w:p>
        </w:tc>
      </w:tr>
      <w:tr w:rsidR="005662B8" w:rsidTr="0092179D">
        <w:tc>
          <w:tcPr>
            <w:tcW w:w="4621" w:type="dxa"/>
          </w:tcPr>
          <w:p w:rsidR="005662B8" w:rsidRDefault="005662B8" w:rsidP="005662B8">
            <w:pPr>
              <w:rPr>
                <w:rFonts w:ascii="Calibri" w:eastAsia="Times New Roman" w:hAnsi="Calibri"/>
              </w:rPr>
            </w:pPr>
            <w:r>
              <w:rPr>
                <w:rFonts w:ascii="Calibri" w:eastAsia="Times New Roman" w:hAnsi="Calibri"/>
              </w:rPr>
              <w:t xml:space="preserve">Annex 2 is divided into 7 Content questions – question no 2 (2.1) (CVs and qualifications) has as description a request for 3 projects, therefore I believe this to be a typo, since the CVs are requested at q 1.6. </w:t>
            </w:r>
          </w:p>
          <w:p w:rsidR="005662B8" w:rsidRDefault="005662B8" w:rsidP="005662B8">
            <w:pPr>
              <w:rPr>
                <w:rFonts w:ascii="Calibri" w:eastAsia="Times New Roman" w:hAnsi="Calibri"/>
              </w:rPr>
            </w:pPr>
            <w:r>
              <w:rPr>
                <w:rFonts w:ascii="Calibri" w:eastAsia="Times New Roman" w:hAnsi="Calibri"/>
              </w:rPr>
              <w:t> </w:t>
            </w:r>
          </w:p>
          <w:p w:rsidR="005662B8" w:rsidRDefault="005662B8" w:rsidP="005662B8">
            <w:pPr>
              <w:rPr>
                <w:rFonts w:ascii="Calibri" w:eastAsia="Times New Roman" w:hAnsi="Calibri"/>
              </w:rPr>
            </w:pPr>
            <w:r>
              <w:rPr>
                <w:rFonts w:ascii="Calibri" w:eastAsia="Times New Roman" w:hAnsi="Calibri"/>
              </w:rPr>
              <w:t>So should q 2 be named Relevant Experience instead?</w:t>
            </w:r>
          </w:p>
          <w:p w:rsidR="005662B8" w:rsidRDefault="005662B8" w:rsidP="0092179D">
            <w:pPr>
              <w:numPr>
                <w:ilvl w:val="0"/>
                <w:numId w:val="7"/>
              </w:numPr>
              <w:spacing w:before="100" w:beforeAutospacing="1" w:after="100" w:afterAutospacing="1"/>
              <w:ind w:left="0"/>
              <w:rPr>
                <w:rFonts w:ascii="Calibri" w:eastAsia="Times New Roman" w:hAnsi="Calibri"/>
              </w:rPr>
            </w:pPr>
          </w:p>
        </w:tc>
        <w:tc>
          <w:tcPr>
            <w:tcW w:w="4621" w:type="dxa"/>
          </w:tcPr>
          <w:p w:rsidR="005662B8" w:rsidRDefault="005A0714" w:rsidP="0092179D">
            <w:pPr>
              <w:rPr>
                <w:color w:val="000000" w:themeColor="text1"/>
              </w:rPr>
            </w:pPr>
            <w:r w:rsidRPr="00AE5005">
              <w:rPr>
                <w:color w:val="000000" w:themeColor="text1"/>
              </w:rPr>
              <w:lastRenderedPageBreak/>
              <w:t>We do ask for CVs twice and this should be renamed.</w:t>
            </w:r>
          </w:p>
          <w:p w:rsidR="00AE5005" w:rsidRDefault="00AE5005" w:rsidP="0092179D">
            <w:pPr>
              <w:rPr>
                <w:color w:val="000000" w:themeColor="text1"/>
              </w:rPr>
            </w:pPr>
          </w:p>
          <w:p w:rsidR="00AE5005" w:rsidRPr="00AE5005" w:rsidRDefault="00AE5005" w:rsidP="0092179D">
            <w:pPr>
              <w:rPr>
                <w:color w:val="FF0000"/>
              </w:rPr>
            </w:pPr>
            <w:r>
              <w:rPr>
                <w:color w:val="000000" w:themeColor="text1"/>
              </w:rPr>
              <w:t>Verified and ITT amended</w:t>
            </w:r>
          </w:p>
        </w:tc>
      </w:tr>
      <w:tr w:rsidR="005662B8" w:rsidTr="0092179D">
        <w:tc>
          <w:tcPr>
            <w:tcW w:w="4621" w:type="dxa"/>
          </w:tcPr>
          <w:p w:rsidR="005662B8" w:rsidRDefault="005662B8" w:rsidP="005662B8">
            <w:pPr>
              <w:numPr>
                <w:ilvl w:val="0"/>
                <w:numId w:val="8"/>
              </w:numPr>
              <w:spacing w:before="100" w:beforeAutospacing="1" w:after="100" w:afterAutospacing="1"/>
              <w:ind w:left="0"/>
              <w:rPr>
                <w:rFonts w:ascii="Calibri" w:eastAsia="Times New Roman" w:hAnsi="Calibri"/>
              </w:rPr>
            </w:pPr>
            <w:r>
              <w:rPr>
                <w:rFonts w:ascii="Calibri" w:eastAsia="Times New Roman" w:hAnsi="Calibri"/>
              </w:rPr>
              <w:t>You refer to deliverables in Annex 1 2.1-2.4 but there is no 2.4. (</w:t>
            </w:r>
            <w:proofErr w:type="gramStart"/>
            <w:r>
              <w:rPr>
                <w:rFonts w:ascii="Calibri" w:eastAsia="Times New Roman" w:hAnsi="Calibri"/>
              </w:rPr>
              <w:t>this</w:t>
            </w:r>
            <w:proofErr w:type="gramEnd"/>
            <w:r>
              <w:rPr>
                <w:rFonts w:ascii="Calibri" w:eastAsia="Times New Roman" w:hAnsi="Calibri"/>
              </w:rPr>
              <w:t xml:space="preserve"> only appears in your Portsmouth project – Coastal Forces). Our understanding is that these heading 2.1-2.4 "detailed description of your method for each deliverable", seem to relate to items below.  Is that correct?</w:t>
            </w:r>
          </w:p>
          <w:p w:rsidR="005662B8" w:rsidRDefault="005662B8" w:rsidP="005662B8">
            <w:pPr>
              <w:rPr>
                <w:rFonts w:ascii="Calibri" w:eastAsia="Times New Roman" w:hAnsi="Calibri"/>
              </w:rPr>
            </w:pPr>
            <w:r>
              <w:rPr>
                <w:rFonts w:ascii="Calibri" w:eastAsia="Times New Roman" w:hAnsi="Calibri"/>
              </w:rPr>
              <w:t>2.1 Experience of large museum builds</w:t>
            </w:r>
          </w:p>
          <w:p w:rsidR="005662B8" w:rsidRDefault="005662B8" w:rsidP="005662B8">
            <w:pPr>
              <w:rPr>
                <w:rFonts w:ascii="Calibri" w:eastAsia="Times New Roman" w:hAnsi="Calibri"/>
              </w:rPr>
            </w:pPr>
            <w:r>
              <w:rPr>
                <w:rFonts w:ascii="Calibri" w:eastAsia="Times New Roman" w:hAnsi="Calibri"/>
              </w:rPr>
              <w:t>2.2 Budget</w:t>
            </w:r>
          </w:p>
          <w:p w:rsidR="005662B8" w:rsidRDefault="005662B8" w:rsidP="005662B8">
            <w:pPr>
              <w:rPr>
                <w:rFonts w:ascii="Calibri" w:eastAsia="Times New Roman" w:hAnsi="Calibri"/>
              </w:rPr>
            </w:pPr>
            <w:r>
              <w:rPr>
                <w:rFonts w:ascii="Calibri" w:eastAsia="Times New Roman" w:hAnsi="Calibri"/>
              </w:rPr>
              <w:t>2.3 Programme</w:t>
            </w:r>
          </w:p>
          <w:p w:rsidR="005662B8" w:rsidRDefault="005662B8" w:rsidP="005662B8">
            <w:pPr>
              <w:rPr>
                <w:rFonts w:ascii="Calibri" w:eastAsia="Times New Roman" w:hAnsi="Calibri"/>
              </w:rPr>
            </w:pPr>
            <w:r>
              <w:rPr>
                <w:rFonts w:ascii="Calibri" w:eastAsia="Times New Roman" w:hAnsi="Calibri"/>
                <w:color w:val="FF0000"/>
              </w:rPr>
              <w:t>2.4 Safe access while surveying vessels (Coastal Forces project only) </w:t>
            </w:r>
          </w:p>
          <w:p w:rsidR="005662B8" w:rsidRDefault="005662B8" w:rsidP="005662B8">
            <w:pPr>
              <w:rPr>
                <w:rFonts w:ascii="Calibri" w:eastAsia="Times New Roman" w:hAnsi="Calibri"/>
              </w:rPr>
            </w:pPr>
          </w:p>
        </w:tc>
        <w:tc>
          <w:tcPr>
            <w:tcW w:w="4621" w:type="dxa"/>
          </w:tcPr>
          <w:p w:rsidR="005662B8" w:rsidRDefault="005A0714" w:rsidP="0092179D">
            <w:pPr>
              <w:rPr>
                <w:color w:val="000000" w:themeColor="text1"/>
              </w:rPr>
            </w:pPr>
            <w:r w:rsidRPr="00AE5005">
              <w:rPr>
                <w:color w:val="000000" w:themeColor="text1"/>
              </w:rPr>
              <w:t xml:space="preserve">Page 12 no 5 needs altering to remove 2.4. </w:t>
            </w:r>
          </w:p>
          <w:p w:rsidR="00AE5005" w:rsidRDefault="00AE5005" w:rsidP="0092179D">
            <w:pPr>
              <w:rPr>
                <w:color w:val="000000" w:themeColor="text1"/>
              </w:rPr>
            </w:pPr>
          </w:p>
          <w:p w:rsidR="00AE5005" w:rsidRPr="00AE5005" w:rsidRDefault="00AE5005" w:rsidP="0092179D">
            <w:r>
              <w:rPr>
                <w:color w:val="000000" w:themeColor="text1"/>
              </w:rPr>
              <w:t>Verified and ITT amended</w:t>
            </w:r>
          </w:p>
        </w:tc>
      </w:tr>
    </w:tbl>
    <w:p w:rsidR="00027EAD" w:rsidRDefault="00027EAD"/>
    <w:sectPr w:rsidR="00027E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17D6"/>
    <w:multiLevelType w:val="multilevel"/>
    <w:tmpl w:val="52EED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32356B"/>
    <w:multiLevelType w:val="multilevel"/>
    <w:tmpl w:val="EF565B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2E045F"/>
    <w:multiLevelType w:val="hybridMultilevel"/>
    <w:tmpl w:val="A380D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1D1735A"/>
    <w:multiLevelType w:val="hybridMultilevel"/>
    <w:tmpl w:val="A380D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07246BF"/>
    <w:multiLevelType w:val="hybridMultilevel"/>
    <w:tmpl w:val="A380D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F205F05"/>
    <w:multiLevelType w:val="hybridMultilevel"/>
    <w:tmpl w:val="A380D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AD91AB2"/>
    <w:multiLevelType w:val="multilevel"/>
    <w:tmpl w:val="C7F47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9D"/>
    <w:rsid w:val="00027EAD"/>
    <w:rsid w:val="005662B8"/>
    <w:rsid w:val="005A0714"/>
    <w:rsid w:val="0092179D"/>
    <w:rsid w:val="00A214A1"/>
    <w:rsid w:val="00AE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617E5-9FF6-4D83-A88C-E2AA5C05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1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179D"/>
    <w:pPr>
      <w:spacing w:after="0" w:line="240" w:lineRule="auto"/>
      <w:ind w:left="72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989995">
      <w:bodyDiv w:val="1"/>
      <w:marLeft w:val="0"/>
      <w:marRight w:val="0"/>
      <w:marTop w:val="0"/>
      <w:marBottom w:val="0"/>
      <w:divBdr>
        <w:top w:val="none" w:sz="0" w:space="0" w:color="auto"/>
        <w:left w:val="none" w:sz="0" w:space="0" w:color="auto"/>
        <w:bottom w:val="none" w:sz="0" w:space="0" w:color="auto"/>
        <w:right w:val="none" w:sz="0" w:space="0" w:color="auto"/>
      </w:divBdr>
    </w:div>
    <w:div w:id="1033924338">
      <w:bodyDiv w:val="1"/>
      <w:marLeft w:val="0"/>
      <w:marRight w:val="0"/>
      <w:marTop w:val="0"/>
      <w:marBottom w:val="0"/>
      <w:divBdr>
        <w:top w:val="none" w:sz="0" w:space="0" w:color="auto"/>
        <w:left w:val="none" w:sz="0" w:space="0" w:color="auto"/>
        <w:bottom w:val="none" w:sz="0" w:space="0" w:color="auto"/>
        <w:right w:val="none" w:sz="0" w:space="0" w:color="auto"/>
      </w:divBdr>
    </w:div>
    <w:div w:id="1153914550">
      <w:bodyDiv w:val="1"/>
      <w:marLeft w:val="0"/>
      <w:marRight w:val="0"/>
      <w:marTop w:val="0"/>
      <w:marBottom w:val="0"/>
      <w:divBdr>
        <w:top w:val="none" w:sz="0" w:space="0" w:color="auto"/>
        <w:left w:val="none" w:sz="0" w:space="0" w:color="auto"/>
        <w:bottom w:val="none" w:sz="0" w:space="0" w:color="auto"/>
        <w:right w:val="none" w:sz="0" w:space="0" w:color="auto"/>
      </w:divBdr>
    </w:div>
    <w:div w:id="1202937142">
      <w:bodyDiv w:val="1"/>
      <w:marLeft w:val="0"/>
      <w:marRight w:val="0"/>
      <w:marTop w:val="0"/>
      <w:marBottom w:val="0"/>
      <w:divBdr>
        <w:top w:val="none" w:sz="0" w:space="0" w:color="auto"/>
        <w:left w:val="none" w:sz="0" w:space="0" w:color="auto"/>
        <w:bottom w:val="none" w:sz="0" w:space="0" w:color="auto"/>
        <w:right w:val="none" w:sz="0" w:space="0" w:color="auto"/>
      </w:divBdr>
    </w:div>
    <w:div w:id="1487894042">
      <w:bodyDiv w:val="1"/>
      <w:marLeft w:val="0"/>
      <w:marRight w:val="0"/>
      <w:marTop w:val="0"/>
      <w:marBottom w:val="0"/>
      <w:divBdr>
        <w:top w:val="none" w:sz="0" w:space="0" w:color="auto"/>
        <w:left w:val="none" w:sz="0" w:space="0" w:color="auto"/>
        <w:bottom w:val="none" w:sz="0" w:space="0" w:color="auto"/>
        <w:right w:val="none" w:sz="0" w:space="0" w:color="auto"/>
      </w:divBdr>
    </w:div>
    <w:div w:id="1694962192">
      <w:bodyDiv w:val="1"/>
      <w:marLeft w:val="0"/>
      <w:marRight w:val="0"/>
      <w:marTop w:val="0"/>
      <w:marBottom w:val="0"/>
      <w:divBdr>
        <w:top w:val="none" w:sz="0" w:space="0" w:color="auto"/>
        <w:left w:val="none" w:sz="0" w:space="0" w:color="auto"/>
        <w:bottom w:val="none" w:sz="0" w:space="0" w:color="auto"/>
        <w:right w:val="none" w:sz="0" w:space="0" w:color="auto"/>
      </w:divBdr>
    </w:div>
    <w:div w:id="1934124585">
      <w:bodyDiv w:val="1"/>
      <w:marLeft w:val="0"/>
      <w:marRight w:val="0"/>
      <w:marTop w:val="0"/>
      <w:marBottom w:val="0"/>
      <w:divBdr>
        <w:top w:val="none" w:sz="0" w:space="0" w:color="auto"/>
        <w:left w:val="none" w:sz="0" w:space="0" w:color="auto"/>
        <w:bottom w:val="none" w:sz="0" w:space="0" w:color="auto"/>
        <w:right w:val="none" w:sz="0" w:space="0" w:color="auto"/>
      </w:divBdr>
    </w:div>
    <w:div w:id="19493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Geary</dc:creator>
  <cp:lastModifiedBy>Nick Hewitt</cp:lastModifiedBy>
  <cp:revision>2</cp:revision>
  <dcterms:created xsi:type="dcterms:W3CDTF">2018-01-18T13:28:00Z</dcterms:created>
  <dcterms:modified xsi:type="dcterms:W3CDTF">2018-01-18T17:30:00Z</dcterms:modified>
</cp:coreProperties>
</file>