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4B70C115" w:rsidR="00A0536F" w:rsidRPr="00A0536F" w:rsidRDefault="00A0536F" w:rsidP="004D2DDC">
          <w:pPr>
            <w:pStyle w:val="Subtitle"/>
            <w:jc w:val="left"/>
            <w:rPr>
              <w:rStyle w:val="IntenseEmphasis"/>
            </w:rPr>
          </w:pPr>
          <w:r w:rsidRPr="00A0536F">
            <w:rPr>
              <w:rStyle w:val="IntenseEmphasis"/>
            </w:rPr>
            <w:t xml:space="preserve">Invitation to </w:t>
          </w:r>
          <w:r w:rsidR="00370B68">
            <w:rPr>
              <w:rStyle w:val="IntenseEmphasis"/>
            </w:rPr>
            <w:t>T</w:t>
          </w:r>
          <w:r w:rsidRPr="00A0536F">
            <w:rPr>
              <w:rStyle w:val="IntenseEmphasis"/>
            </w:rPr>
            <w:t>ender</w:t>
          </w:r>
        </w:p>
        <w:p w14:paraId="428723AD" w14:textId="3B6E1736" w:rsidR="0091018E" w:rsidRPr="000442DE" w:rsidRDefault="0091018E" w:rsidP="005B64E0">
          <w:pPr>
            <w:pStyle w:val="Subtitle"/>
            <w:jc w:val="left"/>
            <w:rPr>
              <w:rStyle w:val="IntenseEmphasis"/>
              <w:sz w:val="48"/>
              <w:szCs w:val="48"/>
            </w:rPr>
          </w:pPr>
          <w:proofErr w:type="gramStart"/>
          <w:r w:rsidRPr="000442DE">
            <w:rPr>
              <w:rStyle w:val="IntenseEmphasis"/>
              <w:sz w:val="48"/>
              <w:szCs w:val="48"/>
            </w:rPr>
            <w:t>for</w:t>
          </w:r>
          <w:proofErr w:type="gramEnd"/>
          <w:r w:rsidRPr="000442DE">
            <w:rPr>
              <w:rStyle w:val="IntenseEmphasis"/>
              <w:sz w:val="48"/>
              <w:szCs w:val="48"/>
            </w:rPr>
            <w:t xml:space="preserve"> </w:t>
          </w:r>
          <w:r w:rsidR="00D23536">
            <w:rPr>
              <w:rStyle w:val="IntenseEmphasis"/>
              <w:sz w:val="48"/>
              <w:szCs w:val="48"/>
            </w:rPr>
            <w:t>Transformation</w:t>
          </w:r>
          <w:r w:rsidR="005B64E0" w:rsidRPr="000442DE">
            <w:rPr>
              <w:rStyle w:val="IntenseEmphasis"/>
              <w:sz w:val="48"/>
              <w:szCs w:val="48"/>
            </w:rPr>
            <w:t xml:space="preserve"> Services to support the creation of an Intelligent Client Co-Ordinator for the Supply Chain Future Operating Model</w:t>
          </w:r>
        </w:p>
        <w:p w14:paraId="428723AE" w14:textId="77777777" w:rsidR="0091018E" w:rsidRDefault="0091018E" w:rsidP="004D2DDC">
          <w:pPr>
            <w:pStyle w:val="Subtitle"/>
            <w:jc w:val="left"/>
            <w:rPr>
              <w:rFonts w:ascii="Arial" w:hAnsi="Arial"/>
              <w:sz w:val="44"/>
              <w:szCs w:val="44"/>
            </w:rPr>
          </w:pPr>
        </w:p>
        <w:p w14:paraId="428723AF" w14:textId="17D70C37" w:rsidR="0091018E" w:rsidRDefault="008B669E" w:rsidP="004D2DDC">
          <w:pPr>
            <w:pStyle w:val="Subtitle"/>
            <w:jc w:val="left"/>
            <w:rPr>
              <w:rFonts w:ascii="Arial" w:hAnsi="Arial"/>
              <w:sz w:val="44"/>
              <w:szCs w:val="44"/>
            </w:rPr>
          </w:pPr>
          <w:r>
            <w:rPr>
              <w:rFonts w:ascii="Arial" w:hAnsi="Arial"/>
              <w:sz w:val="44"/>
              <w:szCs w:val="44"/>
            </w:rPr>
            <w:t>ITT60296</w:t>
          </w:r>
          <w:r w:rsidR="005B64E0">
            <w:rPr>
              <w:rFonts w:ascii="Arial" w:hAnsi="Arial"/>
              <w:sz w:val="44"/>
              <w:szCs w:val="44"/>
            </w:rPr>
            <w:t>/6794</w:t>
          </w:r>
        </w:p>
        <w:p w14:paraId="428723B0" w14:textId="77777777" w:rsidR="0091018E" w:rsidRPr="004D2DDC" w:rsidRDefault="0091018E" w:rsidP="004D2DDC">
          <w:pPr>
            <w:pStyle w:val="Subtitle"/>
            <w:jc w:val="left"/>
            <w:rPr>
              <w:rFonts w:ascii="Arial" w:hAnsi="Arial"/>
              <w:sz w:val="44"/>
              <w:szCs w:val="44"/>
            </w:rPr>
          </w:pPr>
        </w:p>
        <w:p w14:paraId="428723B1" w14:textId="77777777" w:rsidR="00DC3AFD" w:rsidRPr="00991E48" w:rsidRDefault="00DC3AFD" w:rsidP="001570F0"/>
        <w:p w14:paraId="428723B2" w14:textId="77777777" w:rsidR="00DC3AFD" w:rsidRPr="00991E48" w:rsidRDefault="00DC3AFD" w:rsidP="001570F0"/>
        <w:p w14:paraId="428723B3" w14:textId="77777777" w:rsidR="00DC3AFD" w:rsidRPr="00991E48" w:rsidRDefault="00DC3AFD" w:rsidP="001570F0"/>
        <w:p w14:paraId="428723B4" w14:textId="77777777" w:rsidR="00D70656" w:rsidRDefault="00D70656" w:rsidP="00D70656">
          <w:pPr>
            <w:spacing w:line="-240" w:lineRule="auto"/>
            <w:jc w:val="both"/>
          </w:pPr>
        </w:p>
        <w:p w14:paraId="428723B5" w14:textId="7EE09D70" w:rsidR="00D70656" w:rsidRDefault="00D70656" w:rsidP="00D70656">
          <w:pPr>
            <w:spacing w:line="-240" w:lineRule="auto"/>
            <w:jc w:val="both"/>
            <w:rPr>
              <w:sz w:val="24"/>
            </w:rPr>
          </w:pPr>
          <w:r w:rsidRPr="0091018E">
            <w:rPr>
              <w:b/>
              <w:sz w:val="24"/>
            </w:rPr>
            <w:t>Version:</w:t>
          </w:r>
          <w:r w:rsidRPr="0091018E">
            <w:rPr>
              <w:sz w:val="24"/>
            </w:rPr>
            <w:tab/>
          </w:r>
          <w:r w:rsidR="00370B68">
            <w:rPr>
              <w:sz w:val="24"/>
            </w:rPr>
            <w:tab/>
          </w:r>
          <w:r w:rsidR="00370B68">
            <w:rPr>
              <w:sz w:val="24"/>
            </w:rPr>
            <w:tab/>
          </w:r>
          <w:r w:rsidR="00370B68">
            <w:rPr>
              <w:sz w:val="24"/>
            </w:rPr>
            <w:tab/>
          </w:r>
          <w:r w:rsidR="00370B68">
            <w:rPr>
              <w:sz w:val="24"/>
            </w:rPr>
            <w:tab/>
            <w:t>Final</w:t>
          </w:r>
        </w:p>
        <w:p w14:paraId="428723B6" w14:textId="77777777" w:rsidR="00D70656" w:rsidRPr="0091018E" w:rsidRDefault="00D70656" w:rsidP="00D70656">
          <w:pPr>
            <w:spacing w:line="-240" w:lineRule="auto"/>
            <w:jc w:val="both"/>
            <w:rPr>
              <w:sz w:val="24"/>
            </w:rPr>
          </w:pPr>
        </w:p>
        <w:p w14:paraId="3BF0E542" w14:textId="3D36A0FF" w:rsidR="005B64E0" w:rsidRDefault="00D70656" w:rsidP="00D70656">
          <w:pPr>
            <w:spacing w:line="-240" w:lineRule="auto"/>
            <w:rPr>
              <w:sz w:val="24"/>
            </w:rPr>
          </w:pPr>
          <w:r w:rsidRPr="0091018E">
            <w:rPr>
              <w:b/>
              <w:sz w:val="24"/>
            </w:rPr>
            <w:t>Date</w:t>
          </w:r>
          <w:r w:rsidR="005B64E0">
            <w:rPr>
              <w:b/>
              <w:sz w:val="24"/>
            </w:rPr>
            <w:t xml:space="preserve"> Issued</w:t>
          </w:r>
          <w:r w:rsidRPr="0091018E">
            <w:rPr>
              <w:b/>
              <w:sz w:val="24"/>
            </w:rPr>
            <w:t>:</w:t>
          </w:r>
          <w:r w:rsidRPr="0091018E">
            <w:rPr>
              <w:sz w:val="24"/>
            </w:rPr>
            <w:t xml:space="preserve"> </w:t>
          </w:r>
          <w:r w:rsidR="00370B68">
            <w:rPr>
              <w:sz w:val="24"/>
            </w:rPr>
            <w:tab/>
          </w:r>
          <w:r w:rsidR="00370B68">
            <w:rPr>
              <w:sz w:val="24"/>
            </w:rPr>
            <w:tab/>
          </w:r>
          <w:r w:rsidR="00370B68">
            <w:rPr>
              <w:sz w:val="24"/>
            </w:rPr>
            <w:tab/>
          </w:r>
          <w:r w:rsidR="00370B68">
            <w:rPr>
              <w:sz w:val="24"/>
            </w:rPr>
            <w:tab/>
          </w:r>
          <w:r w:rsidR="004516E6">
            <w:rPr>
              <w:sz w:val="24"/>
            </w:rPr>
            <w:t>2</w:t>
          </w:r>
          <w:r w:rsidR="00B47D23">
            <w:rPr>
              <w:sz w:val="24"/>
            </w:rPr>
            <w:t>4</w:t>
          </w:r>
          <w:r w:rsidR="00FE7DE9">
            <w:rPr>
              <w:sz w:val="24"/>
            </w:rPr>
            <w:t xml:space="preserve"> November</w:t>
          </w:r>
          <w:r w:rsidR="00871EC0" w:rsidRPr="009A6C6D">
            <w:rPr>
              <w:sz w:val="24"/>
            </w:rPr>
            <w:t xml:space="preserve"> 2016</w:t>
          </w:r>
        </w:p>
        <w:p w14:paraId="2397FB68" w14:textId="77777777" w:rsidR="005B64E0" w:rsidRDefault="005B64E0" w:rsidP="00D70656">
          <w:pPr>
            <w:spacing w:line="-240" w:lineRule="auto"/>
            <w:rPr>
              <w:sz w:val="24"/>
            </w:rPr>
          </w:pPr>
        </w:p>
        <w:p w14:paraId="7B5D0E0C" w14:textId="09BBEF12" w:rsidR="005B64E0" w:rsidRDefault="005B64E0" w:rsidP="00D70656">
          <w:pPr>
            <w:spacing w:line="-240" w:lineRule="auto"/>
            <w:rPr>
              <w:sz w:val="24"/>
            </w:rPr>
          </w:pPr>
          <w:r w:rsidRPr="000442DE">
            <w:rPr>
              <w:b/>
              <w:sz w:val="24"/>
            </w:rPr>
            <w:t>Deadline for Receipt of Tenders</w:t>
          </w:r>
          <w:r>
            <w:rPr>
              <w:sz w:val="24"/>
            </w:rPr>
            <w:t>:</w:t>
          </w:r>
          <w:r>
            <w:rPr>
              <w:sz w:val="24"/>
            </w:rPr>
            <w:tab/>
          </w:r>
          <w:r w:rsidR="00853F30">
            <w:rPr>
              <w:sz w:val="24"/>
            </w:rPr>
            <w:t>11</w:t>
          </w:r>
          <w:r w:rsidR="00E538D2">
            <w:rPr>
              <w:sz w:val="24"/>
            </w:rPr>
            <w:t xml:space="preserve">:00 </w:t>
          </w:r>
          <w:r w:rsidR="003F3C97">
            <w:rPr>
              <w:sz w:val="24"/>
            </w:rPr>
            <w:t>9</w:t>
          </w:r>
          <w:r w:rsidR="004516E6">
            <w:rPr>
              <w:sz w:val="24"/>
            </w:rPr>
            <w:t xml:space="preserve"> January </w:t>
          </w:r>
          <w:r>
            <w:rPr>
              <w:sz w:val="24"/>
            </w:rPr>
            <w:t>201</w:t>
          </w:r>
          <w:r w:rsidR="004516E6">
            <w:rPr>
              <w:sz w:val="24"/>
            </w:rPr>
            <w:t>7</w:t>
          </w:r>
        </w:p>
        <w:p w14:paraId="4A8F70C6" w14:textId="77777777" w:rsidR="005B64E0" w:rsidRDefault="005B64E0" w:rsidP="00D70656">
          <w:pPr>
            <w:spacing w:line="-240" w:lineRule="auto"/>
            <w:rPr>
              <w:b/>
              <w:sz w:val="24"/>
              <w:lang w:val="en-US"/>
            </w:rPr>
          </w:pPr>
        </w:p>
        <w:p w14:paraId="428723B9" w14:textId="719E0C1B" w:rsidR="00D70656" w:rsidRPr="00A0536F" w:rsidRDefault="00D70656" w:rsidP="00D70656">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370B68">
            <w:rPr>
              <w:sz w:val="24"/>
              <w:lang w:val="en-US"/>
            </w:rPr>
            <w:tab/>
          </w:r>
          <w:r w:rsidR="00370B68">
            <w:rPr>
              <w:sz w:val="24"/>
              <w:lang w:val="en-US"/>
            </w:rPr>
            <w:tab/>
          </w:r>
          <w:r w:rsidR="00370B68">
            <w:rPr>
              <w:sz w:val="24"/>
              <w:lang w:val="en-US"/>
            </w:rPr>
            <w:tab/>
          </w:r>
          <w:r w:rsidR="00370B68">
            <w:rPr>
              <w:sz w:val="24"/>
              <w:lang w:val="en-US"/>
            </w:rPr>
            <w:tab/>
          </w:r>
          <w:r w:rsidR="005B64E0">
            <w:rPr>
              <w:sz w:val="24"/>
              <w:lang w:val="en-US"/>
            </w:rPr>
            <w:t>Suzanne Thomas</w:t>
          </w:r>
        </w:p>
        <w:p w14:paraId="428723BA" w14:textId="77777777" w:rsidR="00DC3AFD" w:rsidRPr="00991E48" w:rsidRDefault="00DC3AFD" w:rsidP="00D70656">
          <w:pPr>
            <w:tabs>
              <w:tab w:val="left" w:pos="1005"/>
            </w:tabs>
          </w:pPr>
        </w:p>
        <w:p w14:paraId="428723BD" w14:textId="77777777" w:rsidR="00DC3AFD" w:rsidRPr="00991E48" w:rsidRDefault="00DC3AFD" w:rsidP="001570F0"/>
        <w:p w14:paraId="428723BE" w14:textId="77777777" w:rsidR="00DC3AFD" w:rsidRPr="00991E48" w:rsidRDefault="00DC3AFD" w:rsidP="001570F0"/>
        <w:p w14:paraId="428723BF" w14:textId="77777777" w:rsidR="00DC3AFD" w:rsidRDefault="00DC3AFD" w:rsidP="001570F0"/>
        <w:p w14:paraId="428723C0" w14:textId="77777777" w:rsidR="00DC3AFD" w:rsidRPr="00991E48" w:rsidRDefault="00DC3AFD" w:rsidP="001570F0">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0" w:name="_Toc467764400"/>
          <w:r w:rsidRPr="00D80539">
            <w:lastRenderedPageBreak/>
            <w:t>Contents</w:t>
          </w:r>
        </w:p>
      </w:sdtContent>
    </w:sdt>
    <w:bookmarkEnd w:id="0" w:displacedByCustomXml="prev"/>
    <w:p w14:paraId="428723C2" w14:textId="77777777" w:rsidR="004D6816" w:rsidRDefault="004D6816" w:rsidP="00861D08">
      <w:pPr>
        <w:rPr>
          <w:rFonts w:ascii="Calibri" w:hAnsi="Calibri"/>
        </w:rPr>
      </w:pPr>
    </w:p>
    <w:p w14:paraId="61E094D8" w14:textId="77777777" w:rsidR="00093B31" w:rsidRDefault="00093B31" w:rsidP="00861D08">
      <w:pPr>
        <w:rPr>
          <w:rFonts w:ascii="Calibri" w:hAnsi="Calibri"/>
        </w:rPr>
      </w:pPr>
    </w:p>
    <w:p w14:paraId="428723C3" w14:textId="77777777" w:rsidR="00DF1F7E" w:rsidRPr="001F70E1" w:rsidRDefault="00DF1F7E" w:rsidP="00861D08">
      <w:pPr>
        <w:rPr>
          <w:rFonts w:ascii="Calibri" w:hAnsi="Calibri"/>
        </w:rPr>
      </w:pPr>
    </w:p>
    <w:p w14:paraId="5FE3BFB7" w14:textId="77777777" w:rsidR="00EC4F93"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67764400" w:history="1">
        <w:r w:rsidR="00EC4F93" w:rsidRPr="00151901">
          <w:rPr>
            <w:rStyle w:val="Hyperlink"/>
            <w:noProof/>
          </w:rPr>
          <w:t>Contents</w:t>
        </w:r>
        <w:r w:rsidR="00EC4F93">
          <w:rPr>
            <w:noProof/>
            <w:webHidden/>
          </w:rPr>
          <w:tab/>
        </w:r>
        <w:r w:rsidR="00EC4F93">
          <w:rPr>
            <w:noProof/>
            <w:webHidden/>
          </w:rPr>
          <w:fldChar w:fldCharType="begin"/>
        </w:r>
        <w:r w:rsidR="00EC4F93">
          <w:rPr>
            <w:noProof/>
            <w:webHidden/>
          </w:rPr>
          <w:instrText xml:space="preserve"> PAGEREF _Toc467764400 \h </w:instrText>
        </w:r>
        <w:r w:rsidR="00EC4F93">
          <w:rPr>
            <w:noProof/>
            <w:webHidden/>
          </w:rPr>
        </w:r>
        <w:r w:rsidR="00EC4F93">
          <w:rPr>
            <w:noProof/>
            <w:webHidden/>
          </w:rPr>
          <w:fldChar w:fldCharType="separate"/>
        </w:r>
        <w:r w:rsidR="00EC4F93">
          <w:rPr>
            <w:noProof/>
            <w:webHidden/>
          </w:rPr>
          <w:t>1</w:t>
        </w:r>
        <w:r w:rsidR="00EC4F93">
          <w:rPr>
            <w:noProof/>
            <w:webHidden/>
          </w:rPr>
          <w:fldChar w:fldCharType="end"/>
        </w:r>
      </w:hyperlink>
    </w:p>
    <w:p w14:paraId="3F3EB383" w14:textId="77777777" w:rsidR="00EC4F93" w:rsidRDefault="00F903F0">
      <w:pPr>
        <w:pStyle w:val="TOC1"/>
        <w:rPr>
          <w:rFonts w:asciiTheme="minorHAnsi" w:eastAsiaTheme="minorEastAsia" w:hAnsiTheme="minorHAnsi" w:cstheme="minorBidi"/>
          <w:caps w:val="0"/>
          <w:noProof/>
          <w:sz w:val="22"/>
          <w:lang w:eastAsia="en-GB"/>
        </w:rPr>
      </w:pPr>
      <w:hyperlink w:anchor="_Toc467764401" w:history="1">
        <w:r w:rsidR="00EC4F93" w:rsidRPr="00151901">
          <w:rPr>
            <w:rStyle w:val="Hyperlink"/>
            <w:noProof/>
          </w:rPr>
          <w:t>1.</w:t>
        </w:r>
        <w:r w:rsidR="00EC4F93">
          <w:rPr>
            <w:rFonts w:asciiTheme="minorHAnsi" w:eastAsiaTheme="minorEastAsia" w:hAnsiTheme="minorHAnsi" w:cstheme="minorBidi"/>
            <w:caps w:val="0"/>
            <w:noProof/>
            <w:sz w:val="22"/>
            <w:lang w:eastAsia="en-GB"/>
          </w:rPr>
          <w:tab/>
        </w:r>
        <w:r w:rsidR="00EC4F93" w:rsidRPr="00151901">
          <w:rPr>
            <w:rStyle w:val="Hyperlink"/>
            <w:noProof/>
          </w:rPr>
          <w:t>Introduction</w:t>
        </w:r>
        <w:r w:rsidR="00EC4F93">
          <w:rPr>
            <w:noProof/>
            <w:webHidden/>
          </w:rPr>
          <w:tab/>
        </w:r>
        <w:r w:rsidR="00EC4F93">
          <w:rPr>
            <w:noProof/>
            <w:webHidden/>
          </w:rPr>
          <w:fldChar w:fldCharType="begin"/>
        </w:r>
        <w:r w:rsidR="00EC4F93">
          <w:rPr>
            <w:noProof/>
            <w:webHidden/>
          </w:rPr>
          <w:instrText xml:space="preserve"> PAGEREF _Toc467764401 \h </w:instrText>
        </w:r>
        <w:r w:rsidR="00EC4F93">
          <w:rPr>
            <w:noProof/>
            <w:webHidden/>
          </w:rPr>
        </w:r>
        <w:r w:rsidR="00EC4F93">
          <w:rPr>
            <w:noProof/>
            <w:webHidden/>
          </w:rPr>
          <w:fldChar w:fldCharType="separate"/>
        </w:r>
        <w:r w:rsidR="00EC4F93">
          <w:rPr>
            <w:noProof/>
            <w:webHidden/>
          </w:rPr>
          <w:t>2</w:t>
        </w:r>
        <w:r w:rsidR="00EC4F93">
          <w:rPr>
            <w:noProof/>
            <w:webHidden/>
          </w:rPr>
          <w:fldChar w:fldCharType="end"/>
        </w:r>
      </w:hyperlink>
    </w:p>
    <w:p w14:paraId="63796EDF" w14:textId="77777777" w:rsidR="00EC4F93" w:rsidRDefault="00F903F0">
      <w:pPr>
        <w:pStyle w:val="TOC1"/>
        <w:rPr>
          <w:rFonts w:asciiTheme="minorHAnsi" w:eastAsiaTheme="minorEastAsia" w:hAnsiTheme="minorHAnsi" w:cstheme="minorBidi"/>
          <w:caps w:val="0"/>
          <w:noProof/>
          <w:sz w:val="22"/>
          <w:lang w:eastAsia="en-GB"/>
        </w:rPr>
      </w:pPr>
      <w:hyperlink w:anchor="_Toc467764402" w:history="1">
        <w:r w:rsidR="00EC4F93" w:rsidRPr="00151901">
          <w:rPr>
            <w:rStyle w:val="Hyperlink"/>
            <w:noProof/>
          </w:rPr>
          <w:t>2.</w:t>
        </w:r>
        <w:r w:rsidR="00EC4F93">
          <w:rPr>
            <w:rFonts w:asciiTheme="minorHAnsi" w:eastAsiaTheme="minorEastAsia" w:hAnsiTheme="minorHAnsi" w:cstheme="minorBidi"/>
            <w:caps w:val="0"/>
            <w:noProof/>
            <w:sz w:val="22"/>
            <w:lang w:eastAsia="en-GB"/>
          </w:rPr>
          <w:tab/>
        </w:r>
        <w:r w:rsidR="00EC4F93" w:rsidRPr="00151901">
          <w:rPr>
            <w:rStyle w:val="Hyperlink"/>
            <w:noProof/>
          </w:rPr>
          <w:t>OVERVIEW OF Invitation to tender</w:t>
        </w:r>
        <w:r w:rsidR="00EC4F93">
          <w:rPr>
            <w:noProof/>
            <w:webHidden/>
          </w:rPr>
          <w:tab/>
        </w:r>
        <w:r w:rsidR="00EC4F93">
          <w:rPr>
            <w:noProof/>
            <w:webHidden/>
          </w:rPr>
          <w:fldChar w:fldCharType="begin"/>
        </w:r>
        <w:r w:rsidR="00EC4F93">
          <w:rPr>
            <w:noProof/>
            <w:webHidden/>
          </w:rPr>
          <w:instrText xml:space="preserve"> PAGEREF _Toc467764402 \h </w:instrText>
        </w:r>
        <w:r w:rsidR="00EC4F93">
          <w:rPr>
            <w:noProof/>
            <w:webHidden/>
          </w:rPr>
        </w:r>
        <w:r w:rsidR="00EC4F93">
          <w:rPr>
            <w:noProof/>
            <w:webHidden/>
          </w:rPr>
          <w:fldChar w:fldCharType="separate"/>
        </w:r>
        <w:r w:rsidR="00EC4F93">
          <w:rPr>
            <w:noProof/>
            <w:webHidden/>
          </w:rPr>
          <w:t>4</w:t>
        </w:r>
        <w:r w:rsidR="00EC4F93">
          <w:rPr>
            <w:noProof/>
            <w:webHidden/>
          </w:rPr>
          <w:fldChar w:fldCharType="end"/>
        </w:r>
      </w:hyperlink>
    </w:p>
    <w:p w14:paraId="449F4963" w14:textId="77777777" w:rsidR="00EC4F93" w:rsidRDefault="00F903F0">
      <w:pPr>
        <w:pStyle w:val="TOC1"/>
        <w:rPr>
          <w:rFonts w:asciiTheme="minorHAnsi" w:eastAsiaTheme="minorEastAsia" w:hAnsiTheme="minorHAnsi" w:cstheme="minorBidi"/>
          <w:caps w:val="0"/>
          <w:noProof/>
          <w:sz w:val="22"/>
          <w:lang w:eastAsia="en-GB"/>
        </w:rPr>
      </w:pPr>
      <w:hyperlink w:anchor="_Toc467764403" w:history="1">
        <w:r w:rsidR="00EC4F93" w:rsidRPr="00151901">
          <w:rPr>
            <w:rStyle w:val="Hyperlink"/>
            <w:noProof/>
          </w:rPr>
          <w:t>3.</w:t>
        </w:r>
        <w:r w:rsidR="00EC4F93">
          <w:rPr>
            <w:rFonts w:asciiTheme="minorHAnsi" w:eastAsiaTheme="minorEastAsia" w:hAnsiTheme="minorHAnsi" w:cstheme="minorBidi"/>
            <w:caps w:val="0"/>
            <w:noProof/>
            <w:sz w:val="22"/>
            <w:lang w:eastAsia="en-GB"/>
          </w:rPr>
          <w:tab/>
        </w:r>
        <w:r w:rsidR="00EC4F93" w:rsidRPr="00151901">
          <w:rPr>
            <w:rStyle w:val="Hyperlink"/>
            <w:noProof/>
          </w:rPr>
          <w:t>The Contract</w:t>
        </w:r>
        <w:r w:rsidR="00EC4F93">
          <w:rPr>
            <w:noProof/>
            <w:webHidden/>
          </w:rPr>
          <w:tab/>
        </w:r>
        <w:r w:rsidR="00EC4F93">
          <w:rPr>
            <w:noProof/>
            <w:webHidden/>
          </w:rPr>
          <w:fldChar w:fldCharType="begin"/>
        </w:r>
        <w:r w:rsidR="00EC4F93">
          <w:rPr>
            <w:noProof/>
            <w:webHidden/>
          </w:rPr>
          <w:instrText xml:space="preserve"> PAGEREF _Toc467764403 \h </w:instrText>
        </w:r>
        <w:r w:rsidR="00EC4F93">
          <w:rPr>
            <w:noProof/>
            <w:webHidden/>
          </w:rPr>
        </w:r>
        <w:r w:rsidR="00EC4F93">
          <w:rPr>
            <w:noProof/>
            <w:webHidden/>
          </w:rPr>
          <w:fldChar w:fldCharType="separate"/>
        </w:r>
        <w:r w:rsidR="00EC4F93">
          <w:rPr>
            <w:noProof/>
            <w:webHidden/>
          </w:rPr>
          <w:t>5</w:t>
        </w:r>
        <w:r w:rsidR="00EC4F93">
          <w:rPr>
            <w:noProof/>
            <w:webHidden/>
          </w:rPr>
          <w:fldChar w:fldCharType="end"/>
        </w:r>
      </w:hyperlink>
    </w:p>
    <w:p w14:paraId="2DCF35C8" w14:textId="77777777" w:rsidR="00EC4F93" w:rsidRDefault="00F903F0">
      <w:pPr>
        <w:pStyle w:val="TOC1"/>
        <w:rPr>
          <w:rFonts w:asciiTheme="minorHAnsi" w:eastAsiaTheme="minorEastAsia" w:hAnsiTheme="minorHAnsi" w:cstheme="minorBidi"/>
          <w:caps w:val="0"/>
          <w:noProof/>
          <w:sz w:val="22"/>
          <w:lang w:eastAsia="en-GB"/>
        </w:rPr>
      </w:pPr>
      <w:hyperlink w:anchor="_Toc467764404" w:history="1">
        <w:r w:rsidR="00EC4F93" w:rsidRPr="00151901">
          <w:rPr>
            <w:rStyle w:val="Hyperlink"/>
            <w:noProof/>
          </w:rPr>
          <w:t>4.</w:t>
        </w:r>
        <w:r w:rsidR="00EC4F93">
          <w:rPr>
            <w:rFonts w:asciiTheme="minorHAnsi" w:eastAsiaTheme="minorEastAsia" w:hAnsiTheme="minorHAnsi" w:cstheme="minorBidi"/>
            <w:caps w:val="0"/>
            <w:noProof/>
            <w:sz w:val="22"/>
            <w:lang w:eastAsia="en-GB"/>
          </w:rPr>
          <w:tab/>
        </w:r>
        <w:r w:rsidR="00EC4F93" w:rsidRPr="00151901">
          <w:rPr>
            <w:rStyle w:val="Hyperlink"/>
            <w:noProof/>
          </w:rPr>
          <w:t>Requirements and contract value</w:t>
        </w:r>
        <w:r w:rsidR="00EC4F93">
          <w:rPr>
            <w:noProof/>
            <w:webHidden/>
          </w:rPr>
          <w:tab/>
        </w:r>
        <w:r w:rsidR="00EC4F93">
          <w:rPr>
            <w:noProof/>
            <w:webHidden/>
          </w:rPr>
          <w:fldChar w:fldCharType="begin"/>
        </w:r>
        <w:r w:rsidR="00EC4F93">
          <w:rPr>
            <w:noProof/>
            <w:webHidden/>
          </w:rPr>
          <w:instrText xml:space="preserve"> PAGEREF _Toc467764404 \h </w:instrText>
        </w:r>
        <w:r w:rsidR="00EC4F93">
          <w:rPr>
            <w:noProof/>
            <w:webHidden/>
          </w:rPr>
        </w:r>
        <w:r w:rsidR="00EC4F93">
          <w:rPr>
            <w:noProof/>
            <w:webHidden/>
          </w:rPr>
          <w:fldChar w:fldCharType="separate"/>
        </w:r>
        <w:r w:rsidR="00EC4F93">
          <w:rPr>
            <w:noProof/>
            <w:webHidden/>
          </w:rPr>
          <w:t>5</w:t>
        </w:r>
        <w:r w:rsidR="00EC4F93">
          <w:rPr>
            <w:noProof/>
            <w:webHidden/>
          </w:rPr>
          <w:fldChar w:fldCharType="end"/>
        </w:r>
      </w:hyperlink>
    </w:p>
    <w:p w14:paraId="014EF2D5" w14:textId="77777777" w:rsidR="00EC4F93" w:rsidRDefault="00F903F0">
      <w:pPr>
        <w:pStyle w:val="TOC1"/>
        <w:rPr>
          <w:rFonts w:asciiTheme="minorHAnsi" w:eastAsiaTheme="minorEastAsia" w:hAnsiTheme="minorHAnsi" w:cstheme="minorBidi"/>
          <w:caps w:val="0"/>
          <w:noProof/>
          <w:sz w:val="22"/>
          <w:lang w:eastAsia="en-GB"/>
        </w:rPr>
      </w:pPr>
      <w:hyperlink w:anchor="_Toc467764405" w:history="1">
        <w:r w:rsidR="00EC4F93" w:rsidRPr="00151901">
          <w:rPr>
            <w:rStyle w:val="Hyperlink"/>
            <w:noProof/>
          </w:rPr>
          <w:t>5.</w:t>
        </w:r>
        <w:r w:rsidR="00EC4F93">
          <w:rPr>
            <w:rFonts w:asciiTheme="minorHAnsi" w:eastAsiaTheme="minorEastAsia" w:hAnsiTheme="minorHAnsi" w:cstheme="minorBidi"/>
            <w:caps w:val="0"/>
            <w:noProof/>
            <w:sz w:val="22"/>
            <w:lang w:eastAsia="en-GB"/>
          </w:rPr>
          <w:tab/>
        </w:r>
        <w:r w:rsidR="00EC4F93" w:rsidRPr="00151901">
          <w:rPr>
            <w:rStyle w:val="Hyperlink"/>
            <w:noProof/>
          </w:rPr>
          <w:t>PROCUREMENT TIMETABLE</w:t>
        </w:r>
        <w:r w:rsidR="00EC4F93">
          <w:rPr>
            <w:noProof/>
            <w:webHidden/>
          </w:rPr>
          <w:tab/>
        </w:r>
        <w:r w:rsidR="00EC4F93">
          <w:rPr>
            <w:noProof/>
            <w:webHidden/>
          </w:rPr>
          <w:fldChar w:fldCharType="begin"/>
        </w:r>
        <w:r w:rsidR="00EC4F93">
          <w:rPr>
            <w:noProof/>
            <w:webHidden/>
          </w:rPr>
          <w:instrText xml:space="preserve"> PAGEREF _Toc467764405 \h </w:instrText>
        </w:r>
        <w:r w:rsidR="00EC4F93">
          <w:rPr>
            <w:noProof/>
            <w:webHidden/>
          </w:rPr>
        </w:r>
        <w:r w:rsidR="00EC4F93">
          <w:rPr>
            <w:noProof/>
            <w:webHidden/>
          </w:rPr>
          <w:fldChar w:fldCharType="separate"/>
        </w:r>
        <w:r w:rsidR="00EC4F93">
          <w:rPr>
            <w:noProof/>
            <w:webHidden/>
          </w:rPr>
          <w:t>5</w:t>
        </w:r>
        <w:r w:rsidR="00EC4F93">
          <w:rPr>
            <w:noProof/>
            <w:webHidden/>
          </w:rPr>
          <w:fldChar w:fldCharType="end"/>
        </w:r>
      </w:hyperlink>
    </w:p>
    <w:p w14:paraId="4CC67932" w14:textId="77777777" w:rsidR="00EC4F93" w:rsidRDefault="00F903F0">
      <w:pPr>
        <w:pStyle w:val="TOC1"/>
        <w:rPr>
          <w:rFonts w:asciiTheme="minorHAnsi" w:eastAsiaTheme="minorEastAsia" w:hAnsiTheme="minorHAnsi" w:cstheme="minorBidi"/>
          <w:caps w:val="0"/>
          <w:noProof/>
          <w:sz w:val="22"/>
          <w:lang w:eastAsia="en-GB"/>
        </w:rPr>
      </w:pPr>
      <w:hyperlink w:anchor="_Toc467764406" w:history="1">
        <w:r w:rsidR="00EC4F93" w:rsidRPr="00151901">
          <w:rPr>
            <w:rStyle w:val="Hyperlink"/>
            <w:noProof/>
          </w:rPr>
          <w:t>6.</w:t>
        </w:r>
        <w:r w:rsidR="00EC4F93">
          <w:rPr>
            <w:rFonts w:asciiTheme="minorHAnsi" w:eastAsiaTheme="minorEastAsia" w:hAnsiTheme="minorHAnsi" w:cstheme="minorBidi"/>
            <w:caps w:val="0"/>
            <w:noProof/>
            <w:sz w:val="22"/>
            <w:lang w:eastAsia="en-GB"/>
          </w:rPr>
          <w:tab/>
        </w:r>
        <w:r w:rsidR="00EC4F93" w:rsidRPr="00151901">
          <w:rPr>
            <w:rStyle w:val="Hyperlink"/>
            <w:noProof/>
          </w:rPr>
          <w:t>questions AND CLARIFICATIONS</w:t>
        </w:r>
        <w:r w:rsidR="00EC4F93">
          <w:rPr>
            <w:noProof/>
            <w:webHidden/>
          </w:rPr>
          <w:tab/>
        </w:r>
        <w:r w:rsidR="00EC4F93">
          <w:rPr>
            <w:noProof/>
            <w:webHidden/>
          </w:rPr>
          <w:fldChar w:fldCharType="begin"/>
        </w:r>
        <w:r w:rsidR="00EC4F93">
          <w:rPr>
            <w:noProof/>
            <w:webHidden/>
          </w:rPr>
          <w:instrText xml:space="preserve"> PAGEREF _Toc467764406 \h </w:instrText>
        </w:r>
        <w:r w:rsidR="00EC4F93">
          <w:rPr>
            <w:noProof/>
            <w:webHidden/>
          </w:rPr>
        </w:r>
        <w:r w:rsidR="00EC4F93">
          <w:rPr>
            <w:noProof/>
            <w:webHidden/>
          </w:rPr>
          <w:fldChar w:fldCharType="separate"/>
        </w:r>
        <w:r w:rsidR="00EC4F93">
          <w:rPr>
            <w:noProof/>
            <w:webHidden/>
          </w:rPr>
          <w:t>6</w:t>
        </w:r>
        <w:r w:rsidR="00EC4F93">
          <w:rPr>
            <w:noProof/>
            <w:webHidden/>
          </w:rPr>
          <w:fldChar w:fldCharType="end"/>
        </w:r>
      </w:hyperlink>
    </w:p>
    <w:p w14:paraId="75244642" w14:textId="77777777" w:rsidR="00EC4F93" w:rsidRDefault="00F903F0">
      <w:pPr>
        <w:pStyle w:val="TOC1"/>
        <w:rPr>
          <w:rFonts w:asciiTheme="minorHAnsi" w:eastAsiaTheme="minorEastAsia" w:hAnsiTheme="minorHAnsi" w:cstheme="minorBidi"/>
          <w:caps w:val="0"/>
          <w:noProof/>
          <w:sz w:val="22"/>
          <w:lang w:eastAsia="en-GB"/>
        </w:rPr>
      </w:pPr>
      <w:hyperlink w:anchor="_Toc467764407" w:history="1">
        <w:r w:rsidR="00EC4F93" w:rsidRPr="00151901">
          <w:rPr>
            <w:rStyle w:val="Hyperlink"/>
            <w:noProof/>
          </w:rPr>
          <w:t>7.</w:t>
        </w:r>
        <w:r w:rsidR="00EC4F93">
          <w:rPr>
            <w:rFonts w:asciiTheme="minorHAnsi" w:eastAsiaTheme="minorEastAsia" w:hAnsiTheme="minorHAnsi" w:cstheme="minorBidi"/>
            <w:caps w:val="0"/>
            <w:noProof/>
            <w:sz w:val="22"/>
            <w:lang w:eastAsia="en-GB"/>
          </w:rPr>
          <w:tab/>
        </w:r>
        <w:r w:rsidR="00EC4F93" w:rsidRPr="00151901">
          <w:rPr>
            <w:rStyle w:val="Hyperlink"/>
            <w:noProof/>
          </w:rPr>
          <w:t>Conference</w:t>
        </w:r>
        <w:r w:rsidR="00EC4F93">
          <w:rPr>
            <w:noProof/>
            <w:webHidden/>
          </w:rPr>
          <w:tab/>
        </w:r>
        <w:r w:rsidR="00EC4F93">
          <w:rPr>
            <w:noProof/>
            <w:webHidden/>
          </w:rPr>
          <w:fldChar w:fldCharType="begin"/>
        </w:r>
        <w:r w:rsidR="00EC4F93">
          <w:rPr>
            <w:noProof/>
            <w:webHidden/>
          </w:rPr>
          <w:instrText xml:space="preserve"> PAGEREF _Toc467764407 \h </w:instrText>
        </w:r>
        <w:r w:rsidR="00EC4F93">
          <w:rPr>
            <w:noProof/>
            <w:webHidden/>
          </w:rPr>
        </w:r>
        <w:r w:rsidR="00EC4F93">
          <w:rPr>
            <w:noProof/>
            <w:webHidden/>
          </w:rPr>
          <w:fldChar w:fldCharType="separate"/>
        </w:r>
        <w:r w:rsidR="00EC4F93">
          <w:rPr>
            <w:noProof/>
            <w:webHidden/>
          </w:rPr>
          <w:t>7</w:t>
        </w:r>
        <w:r w:rsidR="00EC4F93">
          <w:rPr>
            <w:noProof/>
            <w:webHidden/>
          </w:rPr>
          <w:fldChar w:fldCharType="end"/>
        </w:r>
      </w:hyperlink>
    </w:p>
    <w:p w14:paraId="0BA84824" w14:textId="77777777" w:rsidR="00EC4F93" w:rsidRDefault="00F903F0">
      <w:pPr>
        <w:pStyle w:val="TOC1"/>
        <w:rPr>
          <w:rFonts w:asciiTheme="minorHAnsi" w:eastAsiaTheme="minorEastAsia" w:hAnsiTheme="minorHAnsi" w:cstheme="minorBidi"/>
          <w:caps w:val="0"/>
          <w:noProof/>
          <w:sz w:val="22"/>
          <w:lang w:eastAsia="en-GB"/>
        </w:rPr>
      </w:pPr>
      <w:hyperlink w:anchor="_Toc467764408" w:history="1">
        <w:r w:rsidR="00EC4F93" w:rsidRPr="00151901">
          <w:rPr>
            <w:rStyle w:val="Hyperlink"/>
            <w:noProof/>
          </w:rPr>
          <w:t>8.</w:t>
        </w:r>
        <w:r w:rsidR="00EC4F93">
          <w:rPr>
            <w:rFonts w:asciiTheme="minorHAnsi" w:eastAsiaTheme="minorEastAsia" w:hAnsiTheme="minorHAnsi" w:cstheme="minorBidi"/>
            <w:caps w:val="0"/>
            <w:noProof/>
            <w:sz w:val="22"/>
            <w:lang w:eastAsia="en-GB"/>
          </w:rPr>
          <w:tab/>
        </w:r>
        <w:r w:rsidR="00EC4F93" w:rsidRPr="00151901">
          <w:rPr>
            <w:rStyle w:val="Hyperlink"/>
            <w:noProof/>
          </w:rPr>
          <w:t>Price</w:t>
        </w:r>
        <w:r w:rsidR="00EC4F93">
          <w:rPr>
            <w:noProof/>
            <w:webHidden/>
          </w:rPr>
          <w:tab/>
        </w:r>
        <w:r w:rsidR="00EC4F93">
          <w:rPr>
            <w:noProof/>
            <w:webHidden/>
          </w:rPr>
          <w:fldChar w:fldCharType="begin"/>
        </w:r>
        <w:r w:rsidR="00EC4F93">
          <w:rPr>
            <w:noProof/>
            <w:webHidden/>
          </w:rPr>
          <w:instrText xml:space="preserve"> PAGEREF _Toc467764408 \h </w:instrText>
        </w:r>
        <w:r w:rsidR="00EC4F93">
          <w:rPr>
            <w:noProof/>
            <w:webHidden/>
          </w:rPr>
        </w:r>
        <w:r w:rsidR="00EC4F93">
          <w:rPr>
            <w:noProof/>
            <w:webHidden/>
          </w:rPr>
          <w:fldChar w:fldCharType="separate"/>
        </w:r>
        <w:r w:rsidR="00EC4F93">
          <w:rPr>
            <w:noProof/>
            <w:webHidden/>
          </w:rPr>
          <w:t>7</w:t>
        </w:r>
        <w:r w:rsidR="00EC4F93">
          <w:rPr>
            <w:noProof/>
            <w:webHidden/>
          </w:rPr>
          <w:fldChar w:fldCharType="end"/>
        </w:r>
      </w:hyperlink>
    </w:p>
    <w:p w14:paraId="51E451C9" w14:textId="77777777" w:rsidR="00EC4F93" w:rsidRDefault="00F903F0">
      <w:pPr>
        <w:pStyle w:val="TOC1"/>
        <w:rPr>
          <w:rFonts w:asciiTheme="minorHAnsi" w:eastAsiaTheme="minorEastAsia" w:hAnsiTheme="minorHAnsi" w:cstheme="minorBidi"/>
          <w:caps w:val="0"/>
          <w:noProof/>
          <w:sz w:val="22"/>
          <w:lang w:eastAsia="en-GB"/>
        </w:rPr>
      </w:pPr>
      <w:hyperlink w:anchor="_Toc467764409" w:history="1">
        <w:r w:rsidR="00EC4F93" w:rsidRPr="00151901">
          <w:rPr>
            <w:rStyle w:val="Hyperlink"/>
            <w:noProof/>
          </w:rPr>
          <w:t>9.</w:t>
        </w:r>
        <w:r w:rsidR="00EC4F93">
          <w:rPr>
            <w:rFonts w:asciiTheme="minorHAnsi" w:eastAsiaTheme="minorEastAsia" w:hAnsiTheme="minorHAnsi" w:cstheme="minorBidi"/>
            <w:caps w:val="0"/>
            <w:noProof/>
            <w:sz w:val="22"/>
            <w:lang w:eastAsia="en-GB"/>
          </w:rPr>
          <w:tab/>
        </w:r>
        <w:r w:rsidR="00EC4F93" w:rsidRPr="00151901">
          <w:rPr>
            <w:rStyle w:val="Hyperlink"/>
            <w:noProof/>
          </w:rPr>
          <w:t>Submitting a tender</w:t>
        </w:r>
        <w:r w:rsidR="00EC4F93">
          <w:rPr>
            <w:noProof/>
            <w:webHidden/>
          </w:rPr>
          <w:tab/>
        </w:r>
        <w:r w:rsidR="00EC4F93">
          <w:rPr>
            <w:noProof/>
            <w:webHidden/>
          </w:rPr>
          <w:fldChar w:fldCharType="begin"/>
        </w:r>
        <w:r w:rsidR="00EC4F93">
          <w:rPr>
            <w:noProof/>
            <w:webHidden/>
          </w:rPr>
          <w:instrText xml:space="preserve"> PAGEREF _Toc467764409 \h </w:instrText>
        </w:r>
        <w:r w:rsidR="00EC4F93">
          <w:rPr>
            <w:noProof/>
            <w:webHidden/>
          </w:rPr>
        </w:r>
        <w:r w:rsidR="00EC4F93">
          <w:rPr>
            <w:noProof/>
            <w:webHidden/>
          </w:rPr>
          <w:fldChar w:fldCharType="separate"/>
        </w:r>
        <w:r w:rsidR="00EC4F93">
          <w:rPr>
            <w:noProof/>
            <w:webHidden/>
          </w:rPr>
          <w:t>7</w:t>
        </w:r>
        <w:r w:rsidR="00EC4F93">
          <w:rPr>
            <w:noProof/>
            <w:webHidden/>
          </w:rPr>
          <w:fldChar w:fldCharType="end"/>
        </w:r>
      </w:hyperlink>
    </w:p>
    <w:p w14:paraId="3F227B83" w14:textId="77777777" w:rsidR="00EC4F93" w:rsidRDefault="00F903F0">
      <w:pPr>
        <w:pStyle w:val="TOC1"/>
        <w:rPr>
          <w:rFonts w:asciiTheme="minorHAnsi" w:eastAsiaTheme="minorEastAsia" w:hAnsiTheme="minorHAnsi" w:cstheme="minorBidi"/>
          <w:caps w:val="0"/>
          <w:noProof/>
          <w:sz w:val="22"/>
          <w:lang w:eastAsia="en-GB"/>
        </w:rPr>
      </w:pPr>
      <w:hyperlink w:anchor="_Toc467764410" w:history="1">
        <w:r w:rsidR="00EC4F93" w:rsidRPr="00151901">
          <w:rPr>
            <w:rStyle w:val="Hyperlink"/>
            <w:noProof/>
          </w:rPr>
          <w:t>10.</w:t>
        </w:r>
        <w:r w:rsidR="00EC4F93">
          <w:rPr>
            <w:rFonts w:asciiTheme="minorHAnsi" w:eastAsiaTheme="minorEastAsia" w:hAnsiTheme="minorHAnsi" w:cstheme="minorBidi"/>
            <w:caps w:val="0"/>
            <w:noProof/>
            <w:sz w:val="22"/>
            <w:lang w:eastAsia="en-GB"/>
          </w:rPr>
          <w:tab/>
        </w:r>
        <w:r w:rsidR="00EC4F93" w:rsidRPr="00151901">
          <w:rPr>
            <w:rStyle w:val="Hyperlink"/>
            <w:noProof/>
          </w:rPr>
          <w:t>CONTRACTING ARRANGEMENTS (Sub-contractORS AND GROUPS OF ECONOMIC OPERATORS)</w:t>
        </w:r>
        <w:r w:rsidR="00EC4F93">
          <w:rPr>
            <w:noProof/>
            <w:webHidden/>
          </w:rPr>
          <w:tab/>
        </w:r>
        <w:r w:rsidR="00EC4F93">
          <w:rPr>
            <w:noProof/>
            <w:webHidden/>
          </w:rPr>
          <w:fldChar w:fldCharType="begin"/>
        </w:r>
        <w:r w:rsidR="00EC4F93">
          <w:rPr>
            <w:noProof/>
            <w:webHidden/>
          </w:rPr>
          <w:instrText xml:space="preserve"> PAGEREF _Toc467764410 \h </w:instrText>
        </w:r>
        <w:r w:rsidR="00EC4F93">
          <w:rPr>
            <w:noProof/>
            <w:webHidden/>
          </w:rPr>
        </w:r>
        <w:r w:rsidR="00EC4F93">
          <w:rPr>
            <w:noProof/>
            <w:webHidden/>
          </w:rPr>
          <w:fldChar w:fldCharType="separate"/>
        </w:r>
        <w:r w:rsidR="00EC4F93">
          <w:rPr>
            <w:noProof/>
            <w:webHidden/>
          </w:rPr>
          <w:t>9</w:t>
        </w:r>
        <w:r w:rsidR="00EC4F93">
          <w:rPr>
            <w:noProof/>
            <w:webHidden/>
          </w:rPr>
          <w:fldChar w:fldCharType="end"/>
        </w:r>
      </w:hyperlink>
    </w:p>
    <w:p w14:paraId="28E93538" w14:textId="77777777" w:rsidR="00EC4F93" w:rsidRDefault="00F903F0">
      <w:pPr>
        <w:pStyle w:val="TOC1"/>
        <w:rPr>
          <w:rFonts w:asciiTheme="minorHAnsi" w:eastAsiaTheme="minorEastAsia" w:hAnsiTheme="minorHAnsi" w:cstheme="minorBidi"/>
          <w:caps w:val="0"/>
          <w:noProof/>
          <w:sz w:val="22"/>
          <w:lang w:eastAsia="en-GB"/>
        </w:rPr>
      </w:pPr>
      <w:hyperlink w:anchor="_Toc467764411" w:history="1">
        <w:r w:rsidR="00EC4F93" w:rsidRPr="00151901">
          <w:rPr>
            <w:rStyle w:val="Hyperlink"/>
            <w:noProof/>
          </w:rPr>
          <w:t>11.</w:t>
        </w:r>
        <w:r w:rsidR="00EC4F93">
          <w:rPr>
            <w:rFonts w:asciiTheme="minorHAnsi" w:eastAsiaTheme="minorEastAsia" w:hAnsiTheme="minorHAnsi" w:cstheme="minorBidi"/>
            <w:caps w:val="0"/>
            <w:noProof/>
            <w:sz w:val="22"/>
            <w:lang w:eastAsia="en-GB"/>
          </w:rPr>
          <w:tab/>
        </w:r>
        <w:r w:rsidR="00EC4F93" w:rsidRPr="00151901">
          <w:rPr>
            <w:rStyle w:val="Hyperlink"/>
            <w:noProof/>
          </w:rPr>
          <w:t>tender EVALUATION</w:t>
        </w:r>
        <w:r w:rsidR="00EC4F93">
          <w:rPr>
            <w:noProof/>
            <w:webHidden/>
          </w:rPr>
          <w:tab/>
        </w:r>
        <w:r w:rsidR="00EC4F93">
          <w:rPr>
            <w:noProof/>
            <w:webHidden/>
          </w:rPr>
          <w:fldChar w:fldCharType="begin"/>
        </w:r>
        <w:r w:rsidR="00EC4F93">
          <w:rPr>
            <w:noProof/>
            <w:webHidden/>
          </w:rPr>
          <w:instrText xml:space="preserve"> PAGEREF _Toc467764411 \h </w:instrText>
        </w:r>
        <w:r w:rsidR="00EC4F93">
          <w:rPr>
            <w:noProof/>
            <w:webHidden/>
          </w:rPr>
        </w:r>
        <w:r w:rsidR="00EC4F93">
          <w:rPr>
            <w:noProof/>
            <w:webHidden/>
          </w:rPr>
          <w:fldChar w:fldCharType="separate"/>
        </w:r>
        <w:r w:rsidR="00EC4F93">
          <w:rPr>
            <w:noProof/>
            <w:webHidden/>
          </w:rPr>
          <w:t>11</w:t>
        </w:r>
        <w:r w:rsidR="00EC4F93">
          <w:rPr>
            <w:noProof/>
            <w:webHidden/>
          </w:rPr>
          <w:fldChar w:fldCharType="end"/>
        </w:r>
      </w:hyperlink>
    </w:p>
    <w:p w14:paraId="15AB7D03" w14:textId="77777777" w:rsidR="00EC4F93" w:rsidRDefault="00F903F0">
      <w:pPr>
        <w:pStyle w:val="TOC1"/>
        <w:rPr>
          <w:rFonts w:asciiTheme="minorHAnsi" w:eastAsiaTheme="minorEastAsia" w:hAnsiTheme="minorHAnsi" w:cstheme="minorBidi"/>
          <w:caps w:val="0"/>
          <w:noProof/>
          <w:sz w:val="22"/>
          <w:lang w:eastAsia="en-GB"/>
        </w:rPr>
      </w:pPr>
      <w:hyperlink w:anchor="_Toc467764412" w:history="1">
        <w:r w:rsidR="00EC4F93" w:rsidRPr="00151901">
          <w:rPr>
            <w:rStyle w:val="Hyperlink"/>
            <w:noProof/>
          </w:rPr>
          <w:t>12.</w:t>
        </w:r>
        <w:r w:rsidR="00EC4F93">
          <w:rPr>
            <w:rFonts w:asciiTheme="minorHAnsi" w:eastAsiaTheme="minorEastAsia" w:hAnsiTheme="minorHAnsi" w:cstheme="minorBidi"/>
            <w:caps w:val="0"/>
            <w:noProof/>
            <w:sz w:val="22"/>
            <w:lang w:eastAsia="en-GB"/>
          </w:rPr>
          <w:tab/>
        </w:r>
        <w:r w:rsidR="00EC4F93" w:rsidRPr="00151901">
          <w:rPr>
            <w:rStyle w:val="Hyperlink"/>
            <w:noProof/>
          </w:rPr>
          <w:t>CONTRACT AWARD</w:t>
        </w:r>
        <w:r w:rsidR="00EC4F93">
          <w:rPr>
            <w:noProof/>
            <w:webHidden/>
          </w:rPr>
          <w:tab/>
        </w:r>
        <w:r w:rsidR="00EC4F93">
          <w:rPr>
            <w:noProof/>
            <w:webHidden/>
          </w:rPr>
          <w:fldChar w:fldCharType="begin"/>
        </w:r>
        <w:r w:rsidR="00EC4F93">
          <w:rPr>
            <w:noProof/>
            <w:webHidden/>
          </w:rPr>
          <w:instrText xml:space="preserve"> PAGEREF _Toc467764412 \h </w:instrText>
        </w:r>
        <w:r w:rsidR="00EC4F93">
          <w:rPr>
            <w:noProof/>
            <w:webHidden/>
          </w:rPr>
        </w:r>
        <w:r w:rsidR="00EC4F93">
          <w:rPr>
            <w:noProof/>
            <w:webHidden/>
          </w:rPr>
          <w:fldChar w:fldCharType="separate"/>
        </w:r>
        <w:r w:rsidR="00EC4F93">
          <w:rPr>
            <w:noProof/>
            <w:webHidden/>
          </w:rPr>
          <w:t>11</w:t>
        </w:r>
        <w:r w:rsidR="00EC4F93">
          <w:rPr>
            <w:noProof/>
            <w:webHidden/>
          </w:rPr>
          <w:fldChar w:fldCharType="end"/>
        </w:r>
      </w:hyperlink>
    </w:p>
    <w:p w14:paraId="6EE7A37E" w14:textId="77777777" w:rsidR="00EC4F93" w:rsidRDefault="00F903F0">
      <w:pPr>
        <w:pStyle w:val="TOC1"/>
        <w:rPr>
          <w:rFonts w:asciiTheme="minorHAnsi" w:eastAsiaTheme="minorEastAsia" w:hAnsiTheme="minorHAnsi" w:cstheme="minorBidi"/>
          <w:caps w:val="0"/>
          <w:noProof/>
          <w:sz w:val="22"/>
          <w:lang w:eastAsia="en-GB"/>
        </w:rPr>
      </w:pPr>
      <w:hyperlink w:anchor="_Toc467764413" w:history="1">
        <w:r w:rsidR="00EC4F93" w:rsidRPr="00151901">
          <w:rPr>
            <w:rStyle w:val="Hyperlink"/>
            <w:noProof/>
          </w:rPr>
          <w:t>13.</w:t>
        </w:r>
        <w:r w:rsidR="00EC4F93">
          <w:rPr>
            <w:rFonts w:asciiTheme="minorHAnsi" w:eastAsiaTheme="minorEastAsia" w:hAnsiTheme="minorHAnsi" w:cstheme="minorBidi"/>
            <w:caps w:val="0"/>
            <w:noProof/>
            <w:sz w:val="22"/>
            <w:lang w:eastAsia="en-GB"/>
          </w:rPr>
          <w:tab/>
        </w:r>
        <w:r w:rsidR="00EC4F93" w:rsidRPr="00151901">
          <w:rPr>
            <w:rStyle w:val="Hyperlink"/>
            <w:noProof/>
          </w:rPr>
          <w:t>Procurement Contact</w:t>
        </w:r>
        <w:r w:rsidR="00EC4F93">
          <w:rPr>
            <w:noProof/>
            <w:webHidden/>
          </w:rPr>
          <w:tab/>
        </w:r>
        <w:r w:rsidR="00EC4F93">
          <w:rPr>
            <w:noProof/>
            <w:webHidden/>
          </w:rPr>
          <w:fldChar w:fldCharType="begin"/>
        </w:r>
        <w:r w:rsidR="00EC4F93">
          <w:rPr>
            <w:noProof/>
            <w:webHidden/>
          </w:rPr>
          <w:instrText xml:space="preserve"> PAGEREF _Toc467764413 \h </w:instrText>
        </w:r>
        <w:r w:rsidR="00EC4F93">
          <w:rPr>
            <w:noProof/>
            <w:webHidden/>
          </w:rPr>
        </w:r>
        <w:r w:rsidR="00EC4F93">
          <w:rPr>
            <w:noProof/>
            <w:webHidden/>
          </w:rPr>
          <w:fldChar w:fldCharType="separate"/>
        </w:r>
        <w:r w:rsidR="00EC4F93">
          <w:rPr>
            <w:noProof/>
            <w:webHidden/>
          </w:rPr>
          <w:t>11</w:t>
        </w:r>
        <w:r w:rsidR="00EC4F93">
          <w:rPr>
            <w:noProof/>
            <w:webHidden/>
          </w:rPr>
          <w:fldChar w:fldCharType="end"/>
        </w:r>
      </w:hyperlink>
    </w:p>
    <w:p w14:paraId="47781CF2" w14:textId="77777777" w:rsidR="00EC4F93" w:rsidRDefault="00F903F0">
      <w:pPr>
        <w:pStyle w:val="TOC1"/>
        <w:rPr>
          <w:rFonts w:asciiTheme="minorHAnsi" w:eastAsiaTheme="minorEastAsia" w:hAnsiTheme="minorHAnsi" w:cstheme="minorBidi"/>
          <w:caps w:val="0"/>
          <w:noProof/>
          <w:sz w:val="22"/>
          <w:lang w:eastAsia="en-GB"/>
        </w:rPr>
      </w:pPr>
      <w:hyperlink w:anchor="_Toc467764414" w:history="1">
        <w:r w:rsidR="00EC4F93" w:rsidRPr="00151901">
          <w:rPr>
            <w:rStyle w:val="Hyperlink"/>
            <w:noProof/>
          </w:rPr>
          <w:t>14.</w:t>
        </w:r>
        <w:r w:rsidR="00EC4F93">
          <w:rPr>
            <w:rFonts w:asciiTheme="minorHAnsi" w:eastAsiaTheme="minorEastAsia" w:hAnsiTheme="minorHAnsi" w:cstheme="minorBidi"/>
            <w:caps w:val="0"/>
            <w:noProof/>
            <w:sz w:val="22"/>
            <w:lang w:eastAsia="en-GB"/>
          </w:rPr>
          <w:tab/>
        </w:r>
        <w:r w:rsidR="00EC4F93" w:rsidRPr="00151901">
          <w:rPr>
            <w:rStyle w:val="Hyperlink"/>
            <w:noProof/>
          </w:rPr>
          <w:t>glossary</w:t>
        </w:r>
        <w:r w:rsidR="00EC4F93">
          <w:rPr>
            <w:noProof/>
            <w:webHidden/>
          </w:rPr>
          <w:tab/>
        </w:r>
        <w:r w:rsidR="00EC4F93">
          <w:rPr>
            <w:noProof/>
            <w:webHidden/>
          </w:rPr>
          <w:fldChar w:fldCharType="begin"/>
        </w:r>
        <w:r w:rsidR="00EC4F93">
          <w:rPr>
            <w:noProof/>
            <w:webHidden/>
          </w:rPr>
          <w:instrText xml:space="preserve"> PAGEREF _Toc467764414 \h </w:instrText>
        </w:r>
        <w:r w:rsidR="00EC4F93">
          <w:rPr>
            <w:noProof/>
            <w:webHidden/>
          </w:rPr>
        </w:r>
        <w:r w:rsidR="00EC4F93">
          <w:rPr>
            <w:noProof/>
            <w:webHidden/>
          </w:rPr>
          <w:fldChar w:fldCharType="separate"/>
        </w:r>
        <w:r w:rsidR="00EC4F93">
          <w:rPr>
            <w:noProof/>
            <w:webHidden/>
          </w:rPr>
          <w:t>11</w:t>
        </w:r>
        <w:r w:rsidR="00EC4F93">
          <w:rPr>
            <w:noProof/>
            <w:webHidden/>
          </w:rPr>
          <w:fldChar w:fldCharType="end"/>
        </w:r>
      </w:hyperlink>
    </w:p>
    <w:p w14:paraId="65FB59A3" w14:textId="77777777" w:rsidR="00EC4F93" w:rsidRDefault="00F903F0">
      <w:pPr>
        <w:pStyle w:val="TOC1"/>
        <w:rPr>
          <w:rFonts w:asciiTheme="minorHAnsi" w:eastAsiaTheme="minorEastAsia" w:hAnsiTheme="minorHAnsi" w:cstheme="minorBidi"/>
          <w:caps w:val="0"/>
          <w:noProof/>
          <w:sz w:val="22"/>
          <w:lang w:eastAsia="en-GB"/>
        </w:rPr>
      </w:pPr>
      <w:hyperlink w:anchor="_Toc467764415" w:history="1">
        <w:r w:rsidR="00EC4F93" w:rsidRPr="00151901">
          <w:rPr>
            <w:rStyle w:val="Hyperlink"/>
            <w:noProof/>
          </w:rPr>
          <w:t>APPENDIX A – QUESTIONS TEMPLATE</w:t>
        </w:r>
        <w:r w:rsidR="00EC4F93">
          <w:rPr>
            <w:noProof/>
            <w:webHidden/>
          </w:rPr>
          <w:tab/>
        </w:r>
        <w:r w:rsidR="00EC4F93">
          <w:rPr>
            <w:noProof/>
            <w:webHidden/>
          </w:rPr>
          <w:fldChar w:fldCharType="begin"/>
        </w:r>
        <w:r w:rsidR="00EC4F93">
          <w:rPr>
            <w:noProof/>
            <w:webHidden/>
          </w:rPr>
          <w:instrText xml:space="preserve"> PAGEREF _Toc467764415 \h </w:instrText>
        </w:r>
        <w:r w:rsidR="00EC4F93">
          <w:rPr>
            <w:noProof/>
            <w:webHidden/>
          </w:rPr>
        </w:r>
        <w:r w:rsidR="00EC4F93">
          <w:rPr>
            <w:noProof/>
            <w:webHidden/>
          </w:rPr>
          <w:fldChar w:fldCharType="separate"/>
        </w:r>
        <w:r w:rsidR="00EC4F93">
          <w:rPr>
            <w:noProof/>
            <w:webHidden/>
          </w:rPr>
          <w:t>14</w:t>
        </w:r>
        <w:r w:rsidR="00EC4F93">
          <w:rPr>
            <w:noProof/>
            <w:webHidden/>
          </w:rPr>
          <w:fldChar w:fldCharType="end"/>
        </w:r>
      </w:hyperlink>
    </w:p>
    <w:p w14:paraId="26D49229" w14:textId="6B01403C" w:rsidR="00093B31" w:rsidRPr="00B24577" w:rsidRDefault="0024068B" w:rsidP="00093B31">
      <w:r>
        <w:rPr>
          <w:rFonts w:ascii="Calibri" w:hAnsi="Calibri" w:cs="Times New Roman"/>
          <w:caps/>
          <w:sz w:val="22"/>
          <w:szCs w:val="20"/>
        </w:rPr>
        <w:fldChar w:fldCharType="end"/>
      </w:r>
    </w:p>
    <w:p w14:paraId="428723D1" w14:textId="7C3B2B01" w:rsidR="00DF1F7E" w:rsidRPr="00DF1F7E" w:rsidRDefault="00DF1F7E" w:rsidP="00E479E2"/>
    <w:p w14:paraId="687FE8C6" w14:textId="7340A3F6" w:rsidR="005B64E0" w:rsidRDefault="005B64E0">
      <w:r>
        <w:br w:type="page"/>
      </w:r>
    </w:p>
    <w:p w14:paraId="11DF1AA4" w14:textId="77777777" w:rsidR="00B1039F" w:rsidRPr="00795C59" w:rsidRDefault="00B1039F" w:rsidP="00795C59"/>
    <w:p w14:paraId="428723D5" w14:textId="77777777" w:rsidR="00E479E2" w:rsidRDefault="00E479E2" w:rsidP="00E479E2">
      <w:pPr>
        <w:pStyle w:val="Heading1"/>
      </w:pPr>
      <w:bookmarkStart w:id="1" w:name="_Toc467764401"/>
      <w:r>
        <w:t>Introduction</w:t>
      </w:r>
      <w:bookmarkEnd w:id="1"/>
    </w:p>
    <w:p w14:paraId="428723D6" w14:textId="564CCABC" w:rsidR="004D6816" w:rsidRPr="00871EC0" w:rsidRDefault="004D6816" w:rsidP="004D2DDC">
      <w:pPr>
        <w:pStyle w:val="Heading2"/>
      </w:pPr>
      <w:r w:rsidRPr="004D2DDC">
        <w:t>This Invitation to Tender</w:t>
      </w:r>
      <w:r w:rsidRPr="00DC3AFD">
        <w:t xml:space="preserve"> </w:t>
      </w:r>
      <w:r w:rsidR="00795C59">
        <w:t xml:space="preserve">(ITT) </w:t>
      </w:r>
      <w:r w:rsidRPr="00DC3AFD">
        <w:t xml:space="preserve">relates to the Procurement to award a </w:t>
      </w:r>
      <w:r w:rsidR="008A68D0" w:rsidRPr="000442DE">
        <w:t xml:space="preserve">single </w:t>
      </w:r>
      <w:r w:rsidR="00EC4F93" w:rsidRPr="000442DE">
        <w:t xml:space="preserve">Supplier </w:t>
      </w:r>
      <w:r w:rsidR="00EC4F93">
        <w:t>Contract</w:t>
      </w:r>
      <w:r w:rsidR="004C2558" w:rsidRPr="00DC3AFD">
        <w:t xml:space="preserve"> for the </w:t>
      </w:r>
      <w:r w:rsidR="008A68D0">
        <w:t xml:space="preserve">provision of </w:t>
      </w:r>
      <w:r w:rsidR="005B64E0" w:rsidRPr="000442DE">
        <w:t xml:space="preserve">leadership, resourcing, capacity and expertise to deliver and establish the Intelligent Client Co-Ordinator (“ICC”) as a fully-functioning and resourced </w:t>
      </w:r>
      <w:r w:rsidR="005B64E0" w:rsidRPr="00871EC0">
        <w:t>unit within the Authority</w:t>
      </w:r>
      <w:r w:rsidR="00093B31" w:rsidRPr="00871EC0">
        <w:t>.</w:t>
      </w:r>
    </w:p>
    <w:p w14:paraId="428723D7" w14:textId="36B1E129" w:rsidR="008A68D0" w:rsidRPr="00871EC0" w:rsidRDefault="008A68D0" w:rsidP="004D2DDC">
      <w:pPr>
        <w:pStyle w:val="Heading2"/>
      </w:pPr>
      <w:r w:rsidRPr="00871EC0">
        <w:t>The procurement is being managed</w:t>
      </w:r>
      <w:r w:rsidR="0094632A" w:rsidRPr="00A23413">
        <w:t xml:space="preserve"> by the Department of Health on behalf of the Secretary of State for Health (the Authority).</w:t>
      </w:r>
    </w:p>
    <w:p w14:paraId="24FA5812" w14:textId="59540B56" w:rsidR="00B21B64" w:rsidRPr="00015C2D" w:rsidRDefault="00B21B64" w:rsidP="00B21B64">
      <w:pPr>
        <w:pStyle w:val="Heading2"/>
      </w:pPr>
      <w:r w:rsidRPr="00DC3AFD">
        <w:t xml:space="preserve">The Contract will be for an initial </w:t>
      </w:r>
      <w:r w:rsidR="005B64E0" w:rsidRPr="00A23413">
        <w:t>two</w:t>
      </w:r>
      <w:r>
        <w:t xml:space="preserve"> year period with options </w:t>
      </w:r>
      <w:r w:rsidRPr="00DC3AFD">
        <w:t xml:space="preserve">to extend </w:t>
      </w:r>
      <w:r w:rsidR="00015C2D">
        <w:t xml:space="preserve">by one or more </w:t>
      </w:r>
      <w:r w:rsidR="00EB4FD7">
        <w:t xml:space="preserve">consecutive </w:t>
      </w:r>
      <w:r w:rsidR="00015C2D">
        <w:t xml:space="preserve">periods, each for a duration of two months or longer provided that the total Contract </w:t>
      </w:r>
      <w:r w:rsidR="00015C2D" w:rsidRPr="00015C2D">
        <w:t xml:space="preserve">Period does not exceed </w:t>
      </w:r>
      <w:r w:rsidR="00D35CBD">
        <w:t>48</w:t>
      </w:r>
      <w:r w:rsidR="00D35CBD" w:rsidRPr="00015C2D">
        <w:t xml:space="preserve"> </w:t>
      </w:r>
      <w:r w:rsidR="00015C2D" w:rsidRPr="00015C2D">
        <w:t xml:space="preserve">months in total. </w:t>
      </w:r>
      <w:r w:rsidR="00EB4FD7">
        <w:t xml:space="preserve"> Such extensions shall be subject to the conditions set within Clause 5 within the Contract.</w:t>
      </w:r>
    </w:p>
    <w:p w14:paraId="02D30667" w14:textId="06E59057" w:rsidR="00795C59" w:rsidRPr="00DC3AFD" w:rsidRDefault="00093B31" w:rsidP="00093B31">
      <w:pPr>
        <w:pStyle w:val="Heading2"/>
      </w:pPr>
      <w:r>
        <w:t xml:space="preserve">The procurement is managed in accordance with the </w:t>
      </w:r>
      <w:r w:rsidRPr="00C23E08">
        <w:rPr>
          <w:b/>
        </w:rPr>
        <w:t>open procedure</w:t>
      </w:r>
      <w:r>
        <w:t xml:space="preserve"> under the</w:t>
      </w:r>
      <w:r w:rsidRPr="00093B31">
        <w:t xml:space="preserve"> Public Contracts Regulations 2015</w:t>
      </w:r>
      <w:r>
        <w:t>.</w:t>
      </w:r>
      <w:r w:rsidR="00C23E08">
        <w:t xml:space="preserve">  Any reference to specific Regulations shall refer to this instrument unless otherwise stated.</w:t>
      </w:r>
    </w:p>
    <w:p w14:paraId="71A6C4C2" w14:textId="77777777" w:rsidR="00B21B64"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r w:rsidR="00795C59">
        <w:t xml:space="preserve">  </w:t>
      </w:r>
    </w:p>
    <w:p w14:paraId="428723D8" w14:textId="2D1331A4" w:rsidR="00011778" w:rsidRPr="00DC3AFD" w:rsidRDefault="00795C59" w:rsidP="004D2DDC">
      <w:pPr>
        <w:pStyle w:val="Heading2"/>
      </w:pPr>
      <w:r>
        <w:t xml:space="preserve">The Terms of Participation </w:t>
      </w:r>
      <w:r w:rsidR="00DA5336">
        <w:t xml:space="preserve">within </w:t>
      </w:r>
      <w:r>
        <w:t xml:space="preserve">Attachment </w:t>
      </w:r>
      <w:r w:rsidR="006D1504">
        <w:t xml:space="preserve">1 </w:t>
      </w:r>
      <w:r>
        <w:t>will apply throughout this procurement.  Potential Providers are required to confirm acceptance of these terms in order to be included in this procurement exercise.</w:t>
      </w:r>
    </w:p>
    <w:p w14:paraId="66F05762" w14:textId="07224F3C" w:rsidR="00EE6007" w:rsidRDefault="0024068B" w:rsidP="00A87ED9">
      <w:pPr>
        <w:pStyle w:val="Heading2"/>
      </w:pPr>
      <w:r>
        <w:t>The Authority is using its</w:t>
      </w:r>
      <w:r w:rsidR="004D6816" w:rsidRPr="00DC3AFD">
        <w:t xml:space="preserve"> e</w:t>
      </w:r>
      <w:r w:rsidR="002F0FDB" w:rsidRPr="00DC3AFD">
        <w:t>-</w:t>
      </w:r>
      <w:r w:rsidR="004D6816" w:rsidRPr="00DC3AFD">
        <w:t>Sourcing Portal</w:t>
      </w:r>
      <w:r w:rsidR="00A87ED9">
        <w:t xml:space="preserve"> (use link: </w:t>
      </w:r>
      <w:hyperlink r:id="rId13" w:history="1">
        <w:r w:rsidR="00A87ED9" w:rsidRPr="00526FD6">
          <w:rPr>
            <w:rStyle w:val="Hyperlink"/>
          </w:rPr>
          <w:t>https://www.gov.uk/government/organisations/department-of-health/about/procurement</w:t>
        </w:r>
      </w:hyperlink>
      <w:proofErr w:type="gramStart"/>
      <w:r w:rsidR="00A87ED9">
        <w:t xml:space="preserve">) </w:t>
      </w:r>
      <w:r>
        <w:t>,</w:t>
      </w:r>
      <w:proofErr w:type="gramEnd"/>
      <w:r w:rsidR="004D6816" w:rsidRPr="00DC3AFD">
        <w:t xml:space="preserve"> to manage this </w:t>
      </w:r>
      <w:r w:rsidR="00795C59">
        <w:t xml:space="preserve">Procurement.  </w:t>
      </w:r>
      <w:r w:rsidR="004D6816" w:rsidRPr="00DC3AFD">
        <w:t>Tender</w:t>
      </w:r>
      <w:r w:rsidR="00795C59">
        <w:t>s</w:t>
      </w:r>
      <w:r w:rsidR="004D6816" w:rsidRPr="00DC3AFD">
        <w:t xml:space="preserve"> mu</w:t>
      </w:r>
      <w:r w:rsidR="00795C59">
        <w:t>st be submitted via this portal</w:t>
      </w:r>
      <w:r w:rsidR="008A2EB6" w:rsidRPr="00DC3AFD">
        <w:t>.</w:t>
      </w:r>
      <w:r w:rsidR="00133E04">
        <w:t xml:space="preserve">  All communications relating to the Procurement will conducted through this </w:t>
      </w:r>
      <w:r w:rsidR="00133E04" w:rsidRPr="00DC3AFD">
        <w:t>e-Sourcing Portal</w:t>
      </w:r>
      <w:r w:rsidR="00192128">
        <w:t xml:space="preserve"> (unless otherwise stated</w:t>
      </w:r>
      <w:r w:rsidR="00CA7215">
        <w:t xml:space="preserve"> – refer to </w:t>
      </w:r>
      <w:r w:rsidR="00F9225B">
        <w:t>s</w:t>
      </w:r>
      <w:r w:rsidR="00370B68">
        <w:t>ection 6 Questions and Clarifications</w:t>
      </w:r>
      <w:r w:rsidR="00F9225B">
        <w:t xml:space="preserve"> within the document</w:t>
      </w:r>
      <w:r w:rsidR="00192128">
        <w:t>)</w:t>
      </w:r>
      <w:r w:rsidR="00133E04">
        <w:t>.</w:t>
      </w:r>
    </w:p>
    <w:p w14:paraId="69693D2C" w14:textId="08149388" w:rsidR="00EE6007" w:rsidRPr="00DC3AFD" w:rsidRDefault="00EE6007" w:rsidP="00203A53">
      <w:pPr>
        <w:pStyle w:val="Heading2"/>
      </w:pPr>
      <w:bookmarkStart w:id="2" w:name="_Ref451937600"/>
      <w:r>
        <w:t xml:space="preserve">In order to ensure the primary contact receives messages in relation to this </w:t>
      </w:r>
      <w:r w:rsidR="00F9225B">
        <w:t>P</w:t>
      </w:r>
      <w:r>
        <w:t xml:space="preserve">rocurement (including responses to questions), </w:t>
      </w:r>
      <w:r w:rsidRPr="001F70E1">
        <w:t>Potential Providers</w:t>
      </w:r>
      <w:r w:rsidRPr="00EE6007">
        <w:t xml:space="preserve"> should express interest by sending an online message via</w:t>
      </w:r>
      <w:r>
        <w:t xml:space="preserve"> </w:t>
      </w:r>
      <w:r w:rsidR="00A87ED9">
        <w:t xml:space="preserve">the </w:t>
      </w:r>
      <w:r w:rsidR="00F373AE">
        <w:t xml:space="preserve">e-Sourcing Portal </w:t>
      </w:r>
      <w:r>
        <w:t xml:space="preserve">using their primary login. Online </w:t>
      </w:r>
      <w:r w:rsidRPr="00EE6007">
        <w:t xml:space="preserve">messaging is accessible via the ‘Actions’ drop down in the top </w:t>
      </w:r>
      <w:r>
        <w:t xml:space="preserve">right hand corner of the screen.  </w:t>
      </w:r>
      <w:r w:rsidRPr="000442DE">
        <w:rPr>
          <w:b/>
        </w:rPr>
        <w:t>Messages</w:t>
      </w:r>
      <w:r w:rsidR="00203A53">
        <w:rPr>
          <w:b/>
        </w:rPr>
        <w:t xml:space="preserve"> from the Authority</w:t>
      </w:r>
      <w:r w:rsidRPr="000442DE">
        <w:rPr>
          <w:b/>
        </w:rPr>
        <w:t xml:space="preserve"> are only sent to Potential Providers who have expressed </w:t>
      </w:r>
      <w:r w:rsidRPr="000442DE">
        <w:rPr>
          <w:b/>
        </w:rPr>
        <w:lastRenderedPageBreak/>
        <w:t>interest in this way</w:t>
      </w:r>
      <w:r>
        <w:t>.</w:t>
      </w:r>
      <w:bookmarkEnd w:id="2"/>
      <w:r>
        <w:t xml:space="preserve">  </w:t>
      </w:r>
      <w:r w:rsidR="00192128">
        <w:t>For further assistance please refer to the e-tendering guidance provided on the DH Website</w:t>
      </w:r>
      <w:r w:rsidR="00203A53">
        <w:t xml:space="preserve"> </w:t>
      </w:r>
      <w:r w:rsidR="00192128">
        <w:t>(</w:t>
      </w:r>
      <w:r w:rsidR="00203A53" w:rsidRPr="00203A53">
        <w:t>https://www.gov.uk/government/organisations/department-of-health/about/procurement</w:t>
      </w:r>
      <w:r w:rsidR="00192128">
        <w:t>)</w:t>
      </w:r>
      <w:r w:rsidR="00203A53">
        <w:t>.</w:t>
      </w:r>
    </w:p>
    <w:p w14:paraId="170E0118" w14:textId="77777777" w:rsidR="00B10BF3" w:rsidRPr="00D8654C" w:rsidRDefault="00B10BF3">
      <w:pPr>
        <w:rPr>
          <w:rFonts w:ascii="Arial" w:eastAsia="STZhongsong" w:hAnsi="Arial"/>
          <w:b/>
          <w:caps/>
          <w:color w:val="00AE9C"/>
          <w:sz w:val="24"/>
          <w:szCs w:val="24"/>
          <w:lang w:eastAsia="zh-CN"/>
        </w:rPr>
      </w:pPr>
      <w:r w:rsidRPr="00D8654C">
        <w:br w:type="page"/>
      </w:r>
    </w:p>
    <w:p w14:paraId="428723DD" w14:textId="77777777" w:rsidR="004D6816" w:rsidRPr="0082469B" w:rsidRDefault="004D6816" w:rsidP="0082469B">
      <w:pPr>
        <w:pStyle w:val="Heading1"/>
      </w:pPr>
      <w:bookmarkStart w:id="3" w:name="_Ref284694562"/>
      <w:bookmarkStart w:id="4" w:name="_Toc467764402"/>
      <w:r w:rsidRPr="0082469B">
        <w:lastRenderedPageBreak/>
        <w:t>OVERVIEW OF Invitation to tender</w:t>
      </w:r>
      <w:bookmarkEnd w:id="3"/>
      <w:bookmarkEnd w:id="4"/>
    </w:p>
    <w:p w14:paraId="2FFC6463" w14:textId="2997BBD5" w:rsidR="0095277D" w:rsidRDefault="004D6816">
      <w:pPr>
        <w:pStyle w:val="Heading2"/>
      </w:pPr>
      <w:r w:rsidRPr="004D2DDC">
        <w:t xml:space="preserve">The following </w:t>
      </w:r>
      <w:r w:rsidR="006D1504">
        <w:t>documents</w:t>
      </w:r>
      <w:r w:rsidR="006D1504" w:rsidRPr="004D2DDC">
        <w:t xml:space="preserve"> </w:t>
      </w:r>
      <w:r w:rsidR="006D1504">
        <w:t>form part of</w:t>
      </w:r>
      <w:r w:rsidR="006D1504" w:rsidRPr="004D2DDC">
        <w:t xml:space="preserve"> </w:t>
      </w:r>
      <w:r w:rsidRPr="004D2DDC">
        <w:t xml:space="preserve">this </w:t>
      </w:r>
      <w:r w:rsidR="00943AA2">
        <w:t>Invitation to Tender</w:t>
      </w:r>
      <w:r w:rsidRPr="004D2DDC">
        <w:t>:</w:t>
      </w:r>
    </w:p>
    <w:tbl>
      <w:tblPr>
        <w:tblStyle w:val="TableGrid"/>
        <w:tblW w:w="0" w:type="auto"/>
        <w:tblInd w:w="720" w:type="dxa"/>
        <w:tblLook w:val="04A0" w:firstRow="1" w:lastRow="0" w:firstColumn="1" w:lastColumn="0" w:noHBand="0" w:noVBand="1"/>
      </w:tblPr>
      <w:tblGrid>
        <w:gridCol w:w="8525"/>
      </w:tblGrid>
      <w:tr w:rsidR="00AE62BA" w:rsidRPr="00AE62BA" w14:paraId="55C3B5A7" w14:textId="77777777" w:rsidTr="00AE62BA">
        <w:tc>
          <w:tcPr>
            <w:tcW w:w="9245" w:type="dxa"/>
            <w:shd w:val="clear" w:color="auto" w:fill="00AE9C"/>
          </w:tcPr>
          <w:p w14:paraId="1ED7BEE9" w14:textId="1B8778B8" w:rsidR="00943AA2" w:rsidRPr="005B78B4" w:rsidRDefault="005B78B4" w:rsidP="005B78B4">
            <w:pPr>
              <w:spacing w:before="120" w:after="120"/>
              <w:rPr>
                <w:rFonts w:ascii="Arial" w:hAnsi="Arial"/>
                <w:b/>
                <w:sz w:val="24"/>
                <w:szCs w:val="24"/>
              </w:rPr>
            </w:pPr>
            <w:r w:rsidRPr="005B78B4">
              <w:rPr>
                <w:rFonts w:ascii="Arial" w:hAnsi="Arial"/>
                <w:b/>
                <w:color w:val="FFFFFF" w:themeColor="background1"/>
                <w:sz w:val="24"/>
                <w:szCs w:val="24"/>
              </w:rPr>
              <w:t>INVITATION TO TENDER DOCUMENTS</w:t>
            </w:r>
          </w:p>
        </w:tc>
      </w:tr>
      <w:tr w:rsidR="00943AA2" w14:paraId="771916A0" w14:textId="77777777" w:rsidTr="00943AA2">
        <w:tc>
          <w:tcPr>
            <w:tcW w:w="9245" w:type="dxa"/>
          </w:tcPr>
          <w:p w14:paraId="19D25070" w14:textId="77777777" w:rsidR="00943AA2" w:rsidRPr="0091018E" w:rsidRDefault="00943AA2" w:rsidP="00C33386">
            <w:pPr>
              <w:pStyle w:val="Heading3"/>
              <w:numPr>
                <w:ilvl w:val="2"/>
                <w:numId w:val="28"/>
              </w:numPr>
              <w:spacing w:after="0"/>
              <w:ind w:left="414" w:hanging="284"/>
              <w:outlineLvl w:val="2"/>
              <w:rPr>
                <w:b/>
              </w:rPr>
            </w:pPr>
            <w:r>
              <w:rPr>
                <w:b/>
              </w:rPr>
              <w:t>Invitation to Tender – Instructions to Potential Providers (this document)</w:t>
            </w:r>
          </w:p>
          <w:p w14:paraId="501CACAC" w14:textId="214FC230" w:rsidR="00FA0820" w:rsidRDefault="00C3332F" w:rsidP="007D7D2D">
            <w:pPr>
              <w:pStyle w:val="Heading3"/>
              <w:numPr>
                <w:ilvl w:val="0"/>
                <w:numId w:val="0"/>
              </w:numPr>
              <w:spacing w:after="0"/>
              <w:ind w:left="414" w:hanging="284"/>
              <w:outlineLvl w:val="2"/>
            </w:pPr>
            <w:r>
              <w:tab/>
            </w:r>
            <w:proofErr w:type="gramStart"/>
            <w:r w:rsidR="00943AA2">
              <w:t>Provides an introduction to the Procurement and signposts key information.</w:t>
            </w:r>
            <w:proofErr w:type="gramEnd"/>
          </w:p>
        </w:tc>
      </w:tr>
      <w:tr w:rsidR="00C33386" w14:paraId="66607695" w14:textId="77777777" w:rsidTr="007D7D2D">
        <w:tc>
          <w:tcPr>
            <w:tcW w:w="9245" w:type="dxa"/>
            <w:shd w:val="clear" w:color="auto" w:fill="auto"/>
          </w:tcPr>
          <w:p w14:paraId="214DD99C" w14:textId="77777777" w:rsidR="00C33386" w:rsidRPr="0091018E" w:rsidRDefault="00C33386" w:rsidP="00C33386">
            <w:pPr>
              <w:pStyle w:val="Heading3"/>
              <w:numPr>
                <w:ilvl w:val="2"/>
                <w:numId w:val="28"/>
              </w:numPr>
              <w:spacing w:after="0"/>
              <w:ind w:left="414" w:hanging="284"/>
              <w:outlineLvl w:val="2"/>
              <w:rPr>
                <w:b/>
              </w:rPr>
            </w:pPr>
            <w:r>
              <w:rPr>
                <w:b/>
              </w:rPr>
              <w:t>Attachment 1</w:t>
            </w:r>
            <w:r w:rsidRPr="0091018E">
              <w:rPr>
                <w:b/>
              </w:rPr>
              <w:t xml:space="preserve"> – Terms of </w:t>
            </w:r>
            <w:r>
              <w:rPr>
                <w:b/>
              </w:rPr>
              <w:t>Participation</w:t>
            </w:r>
          </w:p>
          <w:p w14:paraId="506C50B1" w14:textId="344A1832" w:rsidR="00C33386" w:rsidRPr="00C33386" w:rsidRDefault="00C33386" w:rsidP="007D7D2D">
            <w:pPr>
              <w:pStyle w:val="Heading3"/>
              <w:numPr>
                <w:ilvl w:val="0"/>
                <w:numId w:val="0"/>
              </w:numPr>
              <w:spacing w:after="0"/>
              <w:ind w:left="414" w:hanging="284"/>
              <w:outlineLvl w:val="2"/>
            </w:pPr>
            <w:r>
              <w:tab/>
            </w:r>
            <w:proofErr w:type="gramStart"/>
            <w:r w:rsidRPr="0091018E">
              <w:t xml:space="preserve">Sets out rights and obligations which apply to the Potential Provider and the </w:t>
            </w:r>
            <w:r>
              <w:t>Authority</w:t>
            </w:r>
            <w:r w:rsidRPr="0091018E">
              <w:t xml:space="preserve"> during this Procurement.</w:t>
            </w:r>
            <w:proofErr w:type="gramEnd"/>
          </w:p>
        </w:tc>
      </w:tr>
      <w:tr w:rsidR="00C33386" w14:paraId="2B2E7158" w14:textId="77777777" w:rsidTr="00C33386">
        <w:tc>
          <w:tcPr>
            <w:tcW w:w="9245" w:type="dxa"/>
            <w:shd w:val="clear" w:color="auto" w:fill="auto"/>
          </w:tcPr>
          <w:p w14:paraId="7B4438E1" w14:textId="77777777" w:rsidR="00C33386" w:rsidRPr="0091018E" w:rsidRDefault="00C33386" w:rsidP="00C33386">
            <w:pPr>
              <w:pStyle w:val="Heading3"/>
              <w:numPr>
                <w:ilvl w:val="2"/>
                <w:numId w:val="28"/>
              </w:numPr>
              <w:spacing w:after="0"/>
              <w:ind w:left="414" w:hanging="284"/>
              <w:outlineLvl w:val="2"/>
              <w:rPr>
                <w:b/>
              </w:rPr>
            </w:pPr>
            <w:r>
              <w:rPr>
                <w:b/>
              </w:rPr>
              <w:t>Attachment 2</w:t>
            </w:r>
            <w:r w:rsidRPr="0091018E">
              <w:rPr>
                <w:b/>
              </w:rPr>
              <w:t xml:space="preserve"> – Service Description</w:t>
            </w:r>
          </w:p>
          <w:p w14:paraId="54CF2E42" w14:textId="198F0F2E" w:rsidR="00C33386" w:rsidRDefault="00C33386" w:rsidP="007D7D2D">
            <w:pPr>
              <w:pStyle w:val="Heading3"/>
              <w:numPr>
                <w:ilvl w:val="0"/>
                <w:numId w:val="0"/>
              </w:numPr>
              <w:spacing w:after="0"/>
              <w:ind w:left="414" w:hanging="284"/>
              <w:outlineLvl w:val="2"/>
              <w:rPr>
                <w:b/>
              </w:rPr>
            </w:pPr>
            <w:r>
              <w:tab/>
            </w:r>
            <w:proofErr w:type="gramStart"/>
            <w:r w:rsidRPr="001F70E1">
              <w:t>A detailed description of the services that the Supplier will be required to supply to the Autho</w:t>
            </w:r>
            <w:r>
              <w:t>rity.</w:t>
            </w:r>
            <w:proofErr w:type="gramEnd"/>
          </w:p>
        </w:tc>
      </w:tr>
      <w:tr w:rsidR="00C33386" w14:paraId="799C0470" w14:textId="77777777" w:rsidTr="00C33386">
        <w:tc>
          <w:tcPr>
            <w:tcW w:w="9245" w:type="dxa"/>
            <w:shd w:val="clear" w:color="auto" w:fill="auto"/>
          </w:tcPr>
          <w:p w14:paraId="74A457DD" w14:textId="2F4CEAC3" w:rsidR="00C33386" w:rsidRPr="0091018E" w:rsidRDefault="00C33386" w:rsidP="00C33386">
            <w:pPr>
              <w:pStyle w:val="Heading3"/>
              <w:numPr>
                <w:ilvl w:val="2"/>
                <w:numId w:val="28"/>
              </w:numPr>
              <w:spacing w:after="0"/>
              <w:ind w:left="414" w:hanging="284"/>
              <w:outlineLvl w:val="2"/>
              <w:rPr>
                <w:b/>
              </w:rPr>
            </w:pPr>
            <w:r>
              <w:rPr>
                <w:b/>
              </w:rPr>
              <w:t>Attachment 3</w:t>
            </w:r>
            <w:r w:rsidRPr="0091018E">
              <w:rPr>
                <w:b/>
              </w:rPr>
              <w:t xml:space="preserve"> – </w:t>
            </w:r>
            <w:r w:rsidRPr="00A23413">
              <w:rPr>
                <w:b/>
              </w:rPr>
              <w:t xml:space="preserve">Contract for the provision of ICC </w:t>
            </w:r>
            <w:r w:rsidR="00D23536">
              <w:rPr>
                <w:b/>
              </w:rPr>
              <w:t>Transformation</w:t>
            </w:r>
            <w:r w:rsidRPr="00A23413">
              <w:rPr>
                <w:b/>
              </w:rPr>
              <w:t xml:space="preserve"> Services</w:t>
            </w:r>
          </w:p>
          <w:p w14:paraId="7A7BC75C" w14:textId="20462976" w:rsidR="00C33386" w:rsidRDefault="00C33386" w:rsidP="007D7D2D">
            <w:pPr>
              <w:pStyle w:val="Heading3"/>
              <w:numPr>
                <w:ilvl w:val="0"/>
                <w:numId w:val="0"/>
              </w:numPr>
              <w:spacing w:after="0"/>
              <w:ind w:left="414" w:hanging="284"/>
              <w:outlineLvl w:val="2"/>
              <w:rPr>
                <w:b/>
              </w:rPr>
            </w:pPr>
            <w:r>
              <w:tab/>
            </w:r>
            <w:proofErr w:type="gramStart"/>
            <w:r>
              <w:t>Provides the contract document, including the c</w:t>
            </w:r>
            <w:r w:rsidRPr="00B470D8">
              <w:t>onditions of Contract</w:t>
            </w:r>
            <w:r>
              <w:t xml:space="preserve"> that </w:t>
            </w:r>
            <w:r w:rsidRPr="001F70E1">
              <w:t xml:space="preserve">will exist between </w:t>
            </w:r>
            <w:r>
              <w:t>the Authority and the Supplier.</w:t>
            </w:r>
            <w:proofErr w:type="gramEnd"/>
          </w:p>
        </w:tc>
      </w:tr>
      <w:tr w:rsidR="00C33386" w14:paraId="22128BC1" w14:textId="77777777" w:rsidTr="00C33386">
        <w:tc>
          <w:tcPr>
            <w:tcW w:w="9245" w:type="dxa"/>
            <w:shd w:val="clear" w:color="auto" w:fill="auto"/>
          </w:tcPr>
          <w:p w14:paraId="236C97CA" w14:textId="77777777" w:rsidR="00C33386" w:rsidRPr="006D1504" w:rsidRDefault="00C33386" w:rsidP="00C33386">
            <w:pPr>
              <w:pStyle w:val="Heading3"/>
              <w:numPr>
                <w:ilvl w:val="2"/>
                <w:numId w:val="28"/>
              </w:numPr>
              <w:spacing w:after="0"/>
              <w:ind w:left="414" w:hanging="284"/>
              <w:outlineLvl w:val="2"/>
              <w:rPr>
                <w:b/>
              </w:rPr>
            </w:pPr>
            <w:r w:rsidRPr="006D1504">
              <w:rPr>
                <w:b/>
              </w:rPr>
              <w:t xml:space="preserve">Attachment </w:t>
            </w:r>
            <w:r>
              <w:rPr>
                <w:b/>
              </w:rPr>
              <w:t>4</w:t>
            </w:r>
            <w:r w:rsidRPr="006D1504">
              <w:rPr>
                <w:b/>
              </w:rPr>
              <w:t xml:space="preserve"> – </w:t>
            </w:r>
            <w:r>
              <w:rPr>
                <w:b/>
              </w:rPr>
              <w:t>Evaluation</w:t>
            </w:r>
            <w:r w:rsidRPr="006D1504">
              <w:rPr>
                <w:b/>
              </w:rPr>
              <w:t xml:space="preserve"> Guidance</w:t>
            </w:r>
          </w:p>
          <w:p w14:paraId="59DFCD47" w14:textId="77777777" w:rsidR="00C33386" w:rsidRDefault="00C33386" w:rsidP="007D7D2D">
            <w:pPr>
              <w:pStyle w:val="Heading3"/>
              <w:numPr>
                <w:ilvl w:val="0"/>
                <w:numId w:val="0"/>
              </w:numPr>
              <w:spacing w:after="0"/>
              <w:ind w:left="414" w:hanging="284"/>
              <w:outlineLvl w:val="2"/>
            </w:pPr>
            <w:r>
              <w:tab/>
            </w:r>
            <w:proofErr w:type="gramStart"/>
            <w:r>
              <w:t>A template describing the evaluation methodology and evaluation criteria for the ITT.</w:t>
            </w:r>
            <w:proofErr w:type="gramEnd"/>
          </w:p>
          <w:p w14:paraId="509C9525" w14:textId="3304E164" w:rsidR="00C33386" w:rsidRDefault="00C33386" w:rsidP="007D7D2D">
            <w:pPr>
              <w:pStyle w:val="Heading3"/>
              <w:numPr>
                <w:ilvl w:val="0"/>
                <w:numId w:val="0"/>
              </w:numPr>
              <w:spacing w:after="0"/>
              <w:ind w:left="414" w:hanging="284"/>
              <w:outlineLvl w:val="2"/>
              <w:rPr>
                <w:b/>
              </w:rPr>
            </w:pPr>
          </w:p>
        </w:tc>
      </w:tr>
      <w:tr w:rsidR="00AE62BA" w:rsidRPr="00AE62BA" w14:paraId="2F599956" w14:textId="77777777" w:rsidTr="00AE62BA">
        <w:tc>
          <w:tcPr>
            <w:tcW w:w="9245" w:type="dxa"/>
            <w:shd w:val="clear" w:color="auto" w:fill="00AE9C"/>
          </w:tcPr>
          <w:p w14:paraId="34836229" w14:textId="1B3DBF3F" w:rsidR="00943AA2" w:rsidRPr="00AE62BA" w:rsidRDefault="00943AA2" w:rsidP="005B78B4">
            <w:pPr>
              <w:spacing w:before="120" w:after="120"/>
              <w:rPr>
                <w:color w:val="FFFFFF" w:themeColor="background1"/>
              </w:rPr>
            </w:pPr>
            <w:r w:rsidRPr="005B78B4">
              <w:rPr>
                <w:rFonts w:ascii="Arial" w:hAnsi="Arial"/>
                <w:b/>
                <w:color w:val="FFFFFF" w:themeColor="background1"/>
                <w:sz w:val="24"/>
                <w:szCs w:val="24"/>
              </w:rPr>
              <w:t>TENDER DOCUMENTS</w:t>
            </w:r>
          </w:p>
        </w:tc>
      </w:tr>
      <w:tr w:rsidR="00C3332F" w14:paraId="61C3D2A2" w14:textId="77777777" w:rsidTr="00943AA2">
        <w:tc>
          <w:tcPr>
            <w:tcW w:w="9245" w:type="dxa"/>
          </w:tcPr>
          <w:p w14:paraId="19CAA727" w14:textId="77777777" w:rsidR="00C3332F" w:rsidRPr="0091018E" w:rsidRDefault="00C3332F" w:rsidP="00C33386">
            <w:pPr>
              <w:pStyle w:val="Heading3"/>
              <w:numPr>
                <w:ilvl w:val="2"/>
                <w:numId w:val="28"/>
              </w:numPr>
              <w:spacing w:after="0"/>
              <w:ind w:left="414" w:hanging="284"/>
              <w:outlineLvl w:val="2"/>
              <w:rPr>
                <w:b/>
              </w:rPr>
            </w:pPr>
            <w:r>
              <w:rPr>
                <w:b/>
              </w:rPr>
              <w:t>Attachment 5</w:t>
            </w:r>
            <w:r w:rsidRPr="0091018E">
              <w:rPr>
                <w:b/>
              </w:rPr>
              <w:t xml:space="preserve"> – </w:t>
            </w:r>
            <w:r>
              <w:rPr>
                <w:b/>
              </w:rPr>
              <w:t>Selection Questionnaire</w:t>
            </w:r>
          </w:p>
          <w:p w14:paraId="6344CEF1" w14:textId="7095457D" w:rsidR="00C3332F" w:rsidRPr="00C33386" w:rsidRDefault="00C3332F" w:rsidP="00C33386">
            <w:pPr>
              <w:pStyle w:val="Heading3"/>
              <w:numPr>
                <w:ilvl w:val="0"/>
                <w:numId w:val="0"/>
              </w:numPr>
              <w:spacing w:after="0"/>
              <w:ind w:left="414" w:hanging="284"/>
              <w:outlineLvl w:val="2"/>
            </w:pPr>
            <w:r>
              <w:tab/>
            </w:r>
            <w:r w:rsidRPr="001F70E1">
              <w:t xml:space="preserve">A template containing </w:t>
            </w:r>
            <w:r>
              <w:t xml:space="preserve">selection </w:t>
            </w:r>
            <w:r w:rsidRPr="001F70E1">
              <w:t>questions which the Potential Provider is requ</w:t>
            </w:r>
            <w:r>
              <w:t>ired to respond to.</w:t>
            </w:r>
          </w:p>
        </w:tc>
      </w:tr>
      <w:tr w:rsidR="00C33386" w14:paraId="39F96174" w14:textId="77777777" w:rsidTr="00943AA2">
        <w:tc>
          <w:tcPr>
            <w:tcW w:w="9245" w:type="dxa"/>
          </w:tcPr>
          <w:p w14:paraId="2E3F713D" w14:textId="365AA831" w:rsidR="00C33386" w:rsidRPr="0091018E" w:rsidRDefault="00C33386" w:rsidP="00C33386">
            <w:pPr>
              <w:pStyle w:val="Heading3"/>
              <w:numPr>
                <w:ilvl w:val="2"/>
                <w:numId w:val="28"/>
              </w:numPr>
              <w:spacing w:after="0"/>
              <w:ind w:left="414" w:hanging="284"/>
              <w:outlineLvl w:val="2"/>
              <w:rPr>
                <w:b/>
              </w:rPr>
            </w:pPr>
            <w:r>
              <w:rPr>
                <w:b/>
              </w:rPr>
              <w:t>Attachment 6</w:t>
            </w:r>
            <w:r w:rsidRPr="0091018E">
              <w:rPr>
                <w:b/>
              </w:rPr>
              <w:t xml:space="preserve"> –</w:t>
            </w:r>
            <w:r>
              <w:rPr>
                <w:b/>
              </w:rPr>
              <w:t xml:space="preserve"> </w:t>
            </w:r>
            <w:r w:rsidR="001E5F5A">
              <w:rPr>
                <w:b/>
              </w:rPr>
              <w:t>Award Questionnaire</w:t>
            </w:r>
          </w:p>
          <w:p w14:paraId="70CB1534" w14:textId="7181A775" w:rsidR="00C33386" w:rsidRDefault="00C33386" w:rsidP="007D7D2D">
            <w:pPr>
              <w:pStyle w:val="Heading3"/>
              <w:numPr>
                <w:ilvl w:val="0"/>
                <w:numId w:val="0"/>
              </w:numPr>
              <w:spacing w:after="0"/>
              <w:ind w:left="414" w:hanging="284"/>
              <w:outlineLvl w:val="2"/>
              <w:rPr>
                <w:b/>
              </w:rPr>
            </w:pPr>
            <w:r>
              <w:tab/>
            </w:r>
            <w:r w:rsidRPr="001F70E1">
              <w:t xml:space="preserve">A template containing </w:t>
            </w:r>
            <w:r>
              <w:t xml:space="preserve">award </w:t>
            </w:r>
            <w:r w:rsidRPr="001F70E1">
              <w:t xml:space="preserve">questions </w:t>
            </w:r>
            <w:r>
              <w:t xml:space="preserve">and administrative templates </w:t>
            </w:r>
            <w:r w:rsidRPr="001F70E1">
              <w:t xml:space="preserve">which the Potential Provider is </w:t>
            </w:r>
            <w:r>
              <w:t xml:space="preserve">expected to respond to or complete. </w:t>
            </w:r>
          </w:p>
        </w:tc>
      </w:tr>
      <w:tr w:rsidR="00C33386" w14:paraId="2639052B" w14:textId="77777777" w:rsidTr="00943AA2">
        <w:tc>
          <w:tcPr>
            <w:tcW w:w="9245" w:type="dxa"/>
          </w:tcPr>
          <w:p w14:paraId="44F18C3C" w14:textId="77777777" w:rsidR="00C33386" w:rsidRPr="0091018E" w:rsidRDefault="00C33386" w:rsidP="00C33386">
            <w:pPr>
              <w:pStyle w:val="Heading3"/>
              <w:numPr>
                <w:ilvl w:val="2"/>
                <w:numId w:val="28"/>
              </w:numPr>
              <w:spacing w:after="0"/>
              <w:ind w:left="414" w:hanging="284"/>
              <w:outlineLvl w:val="2"/>
              <w:rPr>
                <w:b/>
              </w:rPr>
            </w:pPr>
            <w:r>
              <w:rPr>
                <w:b/>
              </w:rPr>
              <w:t>Attachment 7</w:t>
            </w:r>
            <w:r w:rsidRPr="0091018E">
              <w:rPr>
                <w:b/>
              </w:rPr>
              <w:t xml:space="preserve"> – </w:t>
            </w:r>
            <w:r>
              <w:rPr>
                <w:b/>
              </w:rPr>
              <w:t>Pricing Matrix</w:t>
            </w:r>
          </w:p>
          <w:p w14:paraId="7254471D" w14:textId="6C85E3F8" w:rsidR="00C33386" w:rsidRDefault="00C33386" w:rsidP="007D7D2D">
            <w:pPr>
              <w:pStyle w:val="Heading3"/>
              <w:numPr>
                <w:ilvl w:val="0"/>
                <w:numId w:val="0"/>
              </w:numPr>
              <w:spacing w:after="0"/>
              <w:ind w:left="414" w:hanging="284"/>
              <w:outlineLvl w:val="2"/>
              <w:rPr>
                <w:b/>
              </w:rPr>
            </w:pPr>
            <w:r>
              <w:tab/>
            </w:r>
            <w:proofErr w:type="gramStart"/>
            <w:r w:rsidRPr="001F70E1">
              <w:t xml:space="preserve">A template </w:t>
            </w:r>
            <w:r>
              <w:t>requiring pricing</w:t>
            </w:r>
            <w:r w:rsidR="004C231C">
              <w:t>/cost</w:t>
            </w:r>
            <w:r>
              <w:t xml:space="preserve"> detail </w:t>
            </w:r>
            <w:r w:rsidRPr="001F70E1">
              <w:t>which the Potential Provider is requ</w:t>
            </w:r>
            <w:r>
              <w:t>ired to respond to.</w:t>
            </w:r>
            <w:proofErr w:type="gramEnd"/>
          </w:p>
        </w:tc>
      </w:tr>
      <w:tr w:rsidR="00C33386" w14:paraId="36A42D9B" w14:textId="77777777" w:rsidTr="00943AA2">
        <w:tc>
          <w:tcPr>
            <w:tcW w:w="9245" w:type="dxa"/>
          </w:tcPr>
          <w:p w14:paraId="70E42D00" w14:textId="77777777" w:rsidR="00C33386" w:rsidRPr="00A23413" w:rsidRDefault="00C33386" w:rsidP="00C33386">
            <w:pPr>
              <w:pStyle w:val="Heading3"/>
              <w:numPr>
                <w:ilvl w:val="2"/>
                <w:numId w:val="28"/>
              </w:numPr>
              <w:spacing w:after="0"/>
              <w:ind w:left="414" w:hanging="284"/>
              <w:outlineLvl w:val="2"/>
              <w:rPr>
                <w:b/>
              </w:rPr>
            </w:pPr>
            <w:r w:rsidRPr="00A23413">
              <w:rPr>
                <w:b/>
              </w:rPr>
              <w:t>Attachment 8 – Non Disclosure Agreement</w:t>
            </w:r>
          </w:p>
          <w:p w14:paraId="22E141C0" w14:textId="2E946C7A" w:rsidR="00C33386" w:rsidRDefault="004C40EE" w:rsidP="00D23536">
            <w:pPr>
              <w:pStyle w:val="Heading3"/>
              <w:numPr>
                <w:ilvl w:val="0"/>
                <w:numId w:val="0"/>
              </w:numPr>
              <w:spacing w:after="0"/>
              <w:ind w:left="414" w:hanging="283"/>
              <w:outlineLvl w:val="2"/>
              <w:rPr>
                <w:b/>
              </w:rPr>
            </w:pPr>
            <w:r>
              <w:tab/>
            </w:r>
            <w:r w:rsidR="002C78AD">
              <w:t xml:space="preserve">A </w:t>
            </w:r>
            <w:r w:rsidR="00D23536">
              <w:t>programme</w:t>
            </w:r>
            <w:r w:rsidR="002C78AD">
              <w:t xml:space="preserve"> wide </w:t>
            </w:r>
            <w:r w:rsidR="00C33386" w:rsidRPr="00A23413">
              <w:t xml:space="preserve">Non-Disclosure Agreement </w:t>
            </w:r>
            <w:r w:rsidR="002C78AD">
              <w:t>must</w:t>
            </w:r>
            <w:r w:rsidR="00C33386" w:rsidRPr="00A23413">
              <w:t xml:space="preserve"> be signed by the Potential Provider in support of their submission</w:t>
            </w:r>
            <w:r w:rsidR="002C78AD">
              <w:t xml:space="preserve"> </w:t>
            </w:r>
            <w:r w:rsidR="00D23536">
              <w:t>(please confirm if you have already signed the agreement during programme wide market engagements)</w:t>
            </w:r>
            <w:r w:rsidR="00C33386" w:rsidRPr="00A23413">
              <w:t>.</w:t>
            </w:r>
          </w:p>
        </w:tc>
      </w:tr>
    </w:tbl>
    <w:p w14:paraId="295A742B" w14:textId="77777777" w:rsidR="00943AA2" w:rsidRPr="004D2DDC" w:rsidRDefault="00943AA2" w:rsidP="00C33386">
      <w:pPr>
        <w:pStyle w:val="Heading1"/>
        <w:numPr>
          <w:ilvl w:val="0"/>
          <w:numId w:val="0"/>
        </w:numPr>
        <w:ind w:left="720" w:hanging="720"/>
      </w:pPr>
    </w:p>
    <w:p w14:paraId="0DDDD3FE" w14:textId="77777777" w:rsidR="00B10BF3" w:rsidRDefault="00B10BF3">
      <w:pPr>
        <w:rPr>
          <w:rFonts w:ascii="Arial" w:eastAsia="STZhongsong" w:hAnsi="Arial"/>
          <w:b/>
          <w:caps/>
          <w:color w:val="00AE9C"/>
          <w:sz w:val="24"/>
          <w:szCs w:val="24"/>
          <w:lang w:eastAsia="zh-CN"/>
        </w:rPr>
      </w:pPr>
      <w:r>
        <w:br w:type="page"/>
      </w:r>
    </w:p>
    <w:p w14:paraId="377029B4" w14:textId="0F4CBC3B" w:rsidR="00A216C7" w:rsidRDefault="00A216C7" w:rsidP="0082469B">
      <w:pPr>
        <w:pStyle w:val="Heading1"/>
      </w:pPr>
      <w:bookmarkStart w:id="5" w:name="_Toc467764403"/>
      <w:r>
        <w:lastRenderedPageBreak/>
        <w:t>The Contract</w:t>
      </w:r>
      <w:bookmarkEnd w:id="5"/>
    </w:p>
    <w:p w14:paraId="16E37738" w14:textId="17E7827F" w:rsidR="00A216C7" w:rsidRDefault="00A216C7" w:rsidP="00A216C7">
      <w:pPr>
        <w:pStyle w:val="Heading2"/>
      </w:pPr>
      <w:r>
        <w:t>This Procurement will result in the award of the Contract.  Once the Contract has been executed, the Potential Provider will become the Supplier.</w:t>
      </w:r>
    </w:p>
    <w:p w14:paraId="3D14E9F5" w14:textId="36AC3223" w:rsidR="00A216C7" w:rsidRDefault="00A216C7" w:rsidP="00A216C7">
      <w:pPr>
        <w:pStyle w:val="Heading2"/>
      </w:pPr>
      <w:r w:rsidRPr="00DC3AFD">
        <w:t>This Contract is being offered under</w:t>
      </w:r>
      <w:r>
        <w:t xml:space="preserve"> the Authority’s</w:t>
      </w:r>
      <w:r w:rsidRPr="00DC3AFD">
        <w:t xml:space="preserve"> </w:t>
      </w:r>
      <w:r w:rsidR="00F9225B">
        <w:t>c</w:t>
      </w:r>
      <w:r w:rsidRPr="00192128">
        <w:t xml:space="preserve">onditions of Contract for the provision of </w:t>
      </w:r>
      <w:r w:rsidR="00A23413">
        <w:t xml:space="preserve">ICC </w:t>
      </w:r>
      <w:r w:rsidR="00D23536">
        <w:t>Transformation</w:t>
      </w:r>
      <w:r w:rsidR="00A23413">
        <w:t xml:space="preserve"> </w:t>
      </w:r>
      <w:r w:rsidRPr="00192128">
        <w:t>Services (including the Schedules) available at Attachment</w:t>
      </w:r>
      <w:r w:rsidR="00DA5336" w:rsidRPr="00192128">
        <w:t xml:space="preserve"> </w:t>
      </w:r>
      <w:r w:rsidR="00B10BF3">
        <w:t>3</w:t>
      </w:r>
      <w:r>
        <w:t>.</w:t>
      </w:r>
    </w:p>
    <w:p w14:paraId="64FCA199" w14:textId="28EE392B" w:rsidR="00A216C7" w:rsidRDefault="00A216C7" w:rsidP="0022330A">
      <w:pPr>
        <w:pStyle w:val="Heading2"/>
      </w:pPr>
      <w:r>
        <w:t xml:space="preserve">The </w:t>
      </w:r>
      <w:r w:rsidR="00F9225B">
        <w:t>c</w:t>
      </w:r>
      <w:r>
        <w:t xml:space="preserve">onditions of Contract are non-negotiable.  Where clarification is sought during the clarification period on points of ambiguity or apparent error, the Authority may at its sole discretion make amendment. </w:t>
      </w:r>
    </w:p>
    <w:p w14:paraId="5FFD6CFC" w14:textId="08F4C822" w:rsidR="00A216C7" w:rsidRDefault="00A216C7" w:rsidP="0082469B">
      <w:pPr>
        <w:pStyle w:val="Heading1"/>
      </w:pPr>
      <w:bookmarkStart w:id="6" w:name="_Toc467764404"/>
      <w:r>
        <w:t xml:space="preserve">Requirements </w:t>
      </w:r>
      <w:r w:rsidRPr="000442DE">
        <w:t>and contract value</w:t>
      </w:r>
      <w:bookmarkEnd w:id="6"/>
    </w:p>
    <w:p w14:paraId="24666289" w14:textId="58F07F43" w:rsidR="00A216C7" w:rsidRPr="000C258B" w:rsidRDefault="00A216C7" w:rsidP="000C258B">
      <w:pPr>
        <w:pStyle w:val="Heading2"/>
      </w:pPr>
      <w:r w:rsidRPr="000C258B">
        <w:t xml:space="preserve">A detailed description of the </w:t>
      </w:r>
      <w:r w:rsidRPr="00F373AE">
        <w:t>Services</w:t>
      </w:r>
      <w:r w:rsidRPr="000C258B">
        <w:t xml:space="preserve"> that a Supplier will be required to supply is set out at </w:t>
      </w:r>
      <w:r w:rsidR="000C258B" w:rsidRPr="000C258B">
        <w:t xml:space="preserve">Attachment </w:t>
      </w:r>
      <w:r w:rsidR="00B10BF3">
        <w:t>2</w:t>
      </w:r>
      <w:r w:rsidR="00DA5336" w:rsidRPr="000C258B">
        <w:t xml:space="preserve"> </w:t>
      </w:r>
      <w:r w:rsidR="000C258B" w:rsidRPr="000C258B">
        <w:t>- Service Description</w:t>
      </w:r>
      <w:r w:rsidR="000C258B">
        <w:t xml:space="preserve"> </w:t>
      </w:r>
      <w:r w:rsidRPr="000C258B">
        <w:t>and a short description is contained in the OJEU Contract Notice</w:t>
      </w:r>
      <w:r w:rsidR="00B10BF3">
        <w:t xml:space="preserve"> (Ref </w:t>
      </w:r>
      <w:r w:rsidR="00BB43FC">
        <w:rPr>
          <w:rStyle w:val="Strong"/>
          <w:rFonts w:ascii="Verdana" w:hAnsi="Verdana"/>
          <w:sz w:val="18"/>
          <w:szCs w:val="18"/>
        </w:rPr>
        <w:t>2016/S 228-415434</w:t>
      </w:r>
      <w:r w:rsidR="00B10BF3">
        <w:t>)</w:t>
      </w:r>
      <w:r w:rsidRPr="000C258B">
        <w:t xml:space="preserve">. </w:t>
      </w:r>
    </w:p>
    <w:p w14:paraId="305D6CD5" w14:textId="554A9B4C" w:rsidR="00A216C7" w:rsidRPr="00F373AE" w:rsidRDefault="00A216C7" w:rsidP="000442DE">
      <w:pPr>
        <w:pStyle w:val="Heading2"/>
      </w:pPr>
      <w:r w:rsidRPr="00F373AE">
        <w:t>The Services covered by this Procurement have</w:t>
      </w:r>
      <w:r w:rsidR="00DE7CA3" w:rsidRPr="00F373AE">
        <w:t xml:space="preserve"> </w:t>
      </w:r>
      <w:r w:rsidRPr="00F373AE">
        <w:t>not been sub-divided into Lots because</w:t>
      </w:r>
      <w:r w:rsidR="00DE7CA3" w:rsidRPr="00F373AE">
        <w:t xml:space="preserve"> the delivery of the Core Services requires a lead provider of resources to ensure a continued and consistent level of developed skills and knowledge are provided over the life of the contract.  Optional Services as described within the Service Description will be supplied on a non-exclusive basis in order to provide an option to use alternative resources where value for money/capacity cannot be provided.</w:t>
      </w:r>
    </w:p>
    <w:p w14:paraId="034567B3" w14:textId="5396CB8B" w:rsidR="00A216C7" w:rsidRDefault="005F29C0" w:rsidP="005F29C0">
      <w:pPr>
        <w:pStyle w:val="Heading2"/>
      </w:pPr>
      <w:r>
        <w:t>T</w:t>
      </w:r>
      <w:r w:rsidR="00A216C7" w:rsidRPr="005F29C0">
        <w:t>he estimated value of the Contract is</w:t>
      </w:r>
      <w:r>
        <w:t xml:space="preserve"> </w:t>
      </w:r>
      <w:r w:rsidR="00A216C7" w:rsidRPr="000442DE">
        <w:t>set out in the OJEU Contract Notice</w:t>
      </w:r>
      <w:r w:rsidR="00A216C7" w:rsidRPr="005F29C0">
        <w:t>.</w:t>
      </w:r>
    </w:p>
    <w:p w14:paraId="428723EA" w14:textId="77777777" w:rsidR="004D6816" w:rsidRPr="001F70E1" w:rsidRDefault="004D6816" w:rsidP="0082469B">
      <w:pPr>
        <w:pStyle w:val="Heading1"/>
      </w:pPr>
      <w:bookmarkStart w:id="7" w:name="_Toc467764405"/>
      <w:r w:rsidRPr="001F70E1">
        <w:t>PROCUREMENT TIMETABLE</w:t>
      </w:r>
      <w:bookmarkEnd w:id="7"/>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4D6816" w:rsidRPr="001F70E1" w14:paraId="428723EF" w14:textId="77777777" w:rsidTr="005F29C0">
        <w:trPr>
          <w:cantSplit/>
          <w:tblHeader/>
        </w:trPr>
        <w:tc>
          <w:tcPr>
            <w:tcW w:w="2552"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3" w14:textId="77777777" w:rsidTr="005F29C0">
        <w:trPr>
          <w:cantSplit/>
        </w:trPr>
        <w:tc>
          <w:tcPr>
            <w:tcW w:w="2552" w:type="dxa"/>
          </w:tcPr>
          <w:p w14:paraId="428723F1" w14:textId="521B8C01" w:rsidR="004D6816" w:rsidRPr="001E5F5A" w:rsidRDefault="00B47D23" w:rsidP="00B47D23">
            <w:pPr>
              <w:pStyle w:val="MarginText"/>
              <w:spacing w:before="60" w:after="60"/>
              <w:jc w:val="center"/>
              <w:rPr>
                <w:rFonts w:ascii="Helvetica Neue" w:hAnsi="Helvetica Neue"/>
                <w:sz w:val="20"/>
              </w:rPr>
            </w:pPr>
            <w:r>
              <w:rPr>
                <w:rFonts w:ascii="Helvetica Neue" w:hAnsi="Helvetica Neue"/>
                <w:sz w:val="20"/>
              </w:rPr>
              <w:t>24 November</w:t>
            </w:r>
            <w:r w:rsidR="00871EC0" w:rsidRPr="001E5F5A">
              <w:rPr>
                <w:rFonts w:ascii="Helvetica Neue" w:hAnsi="Helvetica Neue"/>
                <w:sz w:val="20"/>
              </w:rPr>
              <w:t xml:space="preserve"> 2016</w:t>
            </w:r>
          </w:p>
        </w:tc>
        <w:tc>
          <w:tcPr>
            <w:tcW w:w="5811" w:type="dxa"/>
          </w:tcPr>
          <w:p w14:paraId="428723F2" w14:textId="7F4F790F" w:rsidR="004D6816" w:rsidRPr="0091018E" w:rsidRDefault="00A95E8A" w:rsidP="00C22B7B">
            <w:pPr>
              <w:pStyle w:val="MarginText"/>
              <w:spacing w:before="60" w:after="60"/>
              <w:rPr>
                <w:rFonts w:ascii="Helvetica Neue" w:hAnsi="Helvetica Neue"/>
                <w:sz w:val="20"/>
              </w:rPr>
            </w:pPr>
            <w:r>
              <w:rPr>
                <w:rFonts w:ascii="Helvetica Neue" w:hAnsi="Helvetica Neue"/>
                <w:sz w:val="20"/>
              </w:rPr>
              <w:t>Despatch of the OJEU Contract Notice</w:t>
            </w:r>
            <w:r w:rsidR="004D6816" w:rsidRPr="0091018E">
              <w:rPr>
                <w:rFonts w:ascii="Helvetica Neue" w:hAnsi="Helvetica Neue"/>
                <w:sz w:val="20"/>
              </w:rPr>
              <w:t xml:space="preserve"> </w:t>
            </w:r>
          </w:p>
        </w:tc>
      </w:tr>
      <w:tr w:rsidR="004D6816" w:rsidRPr="001F70E1" w14:paraId="428723F7" w14:textId="77777777" w:rsidTr="005F29C0">
        <w:trPr>
          <w:cantSplit/>
        </w:trPr>
        <w:tc>
          <w:tcPr>
            <w:tcW w:w="2552" w:type="dxa"/>
          </w:tcPr>
          <w:p w14:paraId="428723F5" w14:textId="7F45B9AD" w:rsidR="004D6816" w:rsidRPr="001E5F5A" w:rsidRDefault="00B47D23" w:rsidP="00BB43FC">
            <w:pPr>
              <w:pStyle w:val="MarginText"/>
              <w:spacing w:before="60" w:after="60"/>
              <w:jc w:val="center"/>
              <w:rPr>
                <w:rFonts w:ascii="Helvetica Neue" w:hAnsi="Helvetica Neue"/>
                <w:sz w:val="20"/>
              </w:rPr>
            </w:pPr>
            <w:r>
              <w:rPr>
                <w:rFonts w:ascii="Helvetica Neue" w:hAnsi="Helvetica Neue"/>
                <w:sz w:val="20"/>
              </w:rPr>
              <w:t>2</w:t>
            </w:r>
            <w:r w:rsidR="00BB43FC">
              <w:rPr>
                <w:rFonts w:ascii="Helvetica Neue" w:hAnsi="Helvetica Neue"/>
                <w:sz w:val="20"/>
              </w:rPr>
              <w:t>5</w:t>
            </w:r>
            <w:r>
              <w:rPr>
                <w:rFonts w:ascii="Helvetica Neue" w:hAnsi="Helvetica Neue"/>
                <w:sz w:val="20"/>
              </w:rPr>
              <w:t xml:space="preserve"> November</w:t>
            </w:r>
            <w:r w:rsidR="00871EC0" w:rsidRPr="001E5F5A">
              <w:rPr>
                <w:rFonts w:ascii="Helvetica Neue" w:hAnsi="Helvetica Neue"/>
                <w:sz w:val="20"/>
              </w:rPr>
              <w:t xml:space="preserve"> 2016</w:t>
            </w:r>
          </w:p>
        </w:tc>
        <w:tc>
          <w:tcPr>
            <w:tcW w:w="5811" w:type="dxa"/>
          </w:tcPr>
          <w:p w14:paraId="428723F6"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7D7D2D" w:rsidRPr="001F70E1" w14:paraId="004371C5" w14:textId="77777777" w:rsidTr="005F29C0">
        <w:trPr>
          <w:cantSplit/>
        </w:trPr>
        <w:tc>
          <w:tcPr>
            <w:tcW w:w="2552" w:type="dxa"/>
          </w:tcPr>
          <w:p w14:paraId="63B094B6" w14:textId="38A9AF95" w:rsidR="007D7D2D" w:rsidRPr="001E5F5A" w:rsidRDefault="003F3C97" w:rsidP="003F3C97">
            <w:pPr>
              <w:pStyle w:val="MarginText"/>
              <w:spacing w:before="60" w:after="60"/>
              <w:jc w:val="center"/>
              <w:rPr>
                <w:rFonts w:ascii="Helvetica Neue" w:hAnsi="Helvetica Neue"/>
                <w:sz w:val="20"/>
              </w:rPr>
            </w:pPr>
            <w:r>
              <w:rPr>
                <w:rFonts w:ascii="Helvetica Neue" w:hAnsi="Helvetica Neue"/>
                <w:sz w:val="20"/>
              </w:rPr>
              <w:t>09:30-11:30</w:t>
            </w:r>
            <w:r w:rsidR="004C231C">
              <w:rPr>
                <w:rFonts w:ascii="Helvetica Neue" w:hAnsi="Helvetica Neue"/>
                <w:sz w:val="20"/>
              </w:rPr>
              <w:t xml:space="preserve"> GMT </w:t>
            </w:r>
            <w:r>
              <w:rPr>
                <w:rFonts w:ascii="Helvetica Neue" w:hAnsi="Helvetica Neue"/>
                <w:sz w:val="20"/>
              </w:rPr>
              <w:t>8</w:t>
            </w:r>
            <w:r w:rsidR="00B47D23">
              <w:rPr>
                <w:rFonts w:ascii="Helvetica Neue" w:hAnsi="Helvetica Neue"/>
                <w:sz w:val="20"/>
              </w:rPr>
              <w:t xml:space="preserve"> December 2016</w:t>
            </w:r>
          </w:p>
        </w:tc>
        <w:tc>
          <w:tcPr>
            <w:tcW w:w="5811" w:type="dxa"/>
          </w:tcPr>
          <w:p w14:paraId="0845FE8F" w14:textId="01D57596" w:rsidR="007D7D2D" w:rsidRPr="0091018E" w:rsidRDefault="007D7D2D" w:rsidP="003F3C97">
            <w:pPr>
              <w:pStyle w:val="MarginText"/>
              <w:spacing w:before="60" w:after="60"/>
              <w:rPr>
                <w:rFonts w:ascii="Helvetica Neue" w:hAnsi="Helvetica Neue"/>
                <w:sz w:val="20"/>
              </w:rPr>
            </w:pPr>
            <w:r>
              <w:rPr>
                <w:rFonts w:ascii="Helvetica Neue" w:hAnsi="Helvetica Neue"/>
                <w:sz w:val="20"/>
              </w:rPr>
              <w:t>Supplier Conference</w:t>
            </w:r>
            <w:r w:rsidR="002D6307">
              <w:rPr>
                <w:rFonts w:ascii="Helvetica Neue" w:hAnsi="Helvetica Neue"/>
                <w:sz w:val="20"/>
              </w:rPr>
              <w:t xml:space="preserve"> </w:t>
            </w:r>
            <w:r w:rsidR="003F3C97">
              <w:rPr>
                <w:rFonts w:ascii="Helvetica Neue" w:hAnsi="Helvetica Neue"/>
                <w:sz w:val="20"/>
              </w:rPr>
              <w:t>– venue to be confirmed</w:t>
            </w:r>
            <w:r w:rsidR="00EA0897">
              <w:rPr>
                <w:rFonts w:ascii="Helvetica Neue" w:hAnsi="Helvetica Neue"/>
                <w:sz w:val="20"/>
              </w:rPr>
              <w:t xml:space="preserve">.  </w:t>
            </w:r>
            <w:r w:rsidR="003F3C97">
              <w:rPr>
                <w:rFonts w:ascii="Helvetica Neue" w:hAnsi="Helvetica Neue"/>
                <w:sz w:val="20"/>
              </w:rPr>
              <w:t>09:30 registration for 09:45</w:t>
            </w:r>
            <w:r w:rsidR="00EA0897">
              <w:rPr>
                <w:rFonts w:ascii="Helvetica Neue" w:hAnsi="Helvetica Neue"/>
                <w:sz w:val="20"/>
              </w:rPr>
              <w:t xml:space="preserve"> start.</w:t>
            </w:r>
          </w:p>
        </w:tc>
      </w:tr>
      <w:tr w:rsidR="00A95E8A" w:rsidRPr="001F70E1" w14:paraId="428723FB" w14:textId="77777777" w:rsidTr="005F29C0">
        <w:trPr>
          <w:cantSplit/>
        </w:trPr>
        <w:tc>
          <w:tcPr>
            <w:tcW w:w="2552" w:type="dxa"/>
          </w:tcPr>
          <w:p w14:paraId="428723F9" w14:textId="2AFF3E4B" w:rsidR="00A95E8A" w:rsidRPr="001E5F5A" w:rsidRDefault="00407485" w:rsidP="003F3C97">
            <w:pPr>
              <w:pStyle w:val="MarginText"/>
              <w:spacing w:before="60" w:after="60"/>
              <w:jc w:val="center"/>
              <w:rPr>
                <w:rFonts w:ascii="Helvetica Neue" w:hAnsi="Helvetica Neue"/>
                <w:sz w:val="20"/>
              </w:rPr>
            </w:pPr>
            <w:r w:rsidRPr="001E5F5A">
              <w:rPr>
                <w:rFonts w:ascii="Helvetica Neue" w:hAnsi="Helvetica Neue"/>
                <w:sz w:val="20"/>
              </w:rPr>
              <w:lastRenderedPageBreak/>
              <w:t>1</w:t>
            </w:r>
            <w:r w:rsidR="00B633B4">
              <w:rPr>
                <w:rFonts w:ascii="Helvetica Neue" w:hAnsi="Helvetica Neue"/>
                <w:sz w:val="20"/>
              </w:rPr>
              <w:t>0</w:t>
            </w:r>
            <w:r w:rsidR="00EA0897">
              <w:rPr>
                <w:rFonts w:ascii="Helvetica Neue" w:hAnsi="Helvetica Neue"/>
                <w:sz w:val="20"/>
              </w:rPr>
              <w:t>:00</w:t>
            </w:r>
            <w:r w:rsidR="00A95E8A" w:rsidRPr="001E5F5A">
              <w:rPr>
                <w:rFonts w:ascii="Helvetica Neue" w:hAnsi="Helvetica Neue"/>
                <w:sz w:val="20"/>
              </w:rPr>
              <w:t xml:space="preserve"> GMT </w:t>
            </w:r>
            <w:r w:rsidR="00B633B4">
              <w:rPr>
                <w:rFonts w:ascii="Helvetica Neue" w:hAnsi="Helvetica Neue"/>
                <w:sz w:val="20"/>
              </w:rPr>
              <w:t>2</w:t>
            </w:r>
            <w:r w:rsidR="003F3C97">
              <w:rPr>
                <w:rFonts w:ascii="Helvetica Neue" w:hAnsi="Helvetica Neue"/>
                <w:sz w:val="20"/>
              </w:rPr>
              <w:t>1</w:t>
            </w:r>
            <w:r w:rsidR="00EA0897">
              <w:rPr>
                <w:rFonts w:ascii="Helvetica Neue" w:hAnsi="Helvetica Neue"/>
                <w:sz w:val="20"/>
              </w:rPr>
              <w:t xml:space="preserve"> December</w:t>
            </w:r>
            <w:r w:rsidR="00871EC0" w:rsidRPr="001E5F5A">
              <w:rPr>
                <w:rFonts w:ascii="Helvetica Neue" w:hAnsi="Helvetica Neue"/>
                <w:sz w:val="20"/>
              </w:rPr>
              <w:t xml:space="preserve"> 2016</w:t>
            </w:r>
          </w:p>
        </w:tc>
        <w:tc>
          <w:tcPr>
            <w:tcW w:w="5811" w:type="dxa"/>
          </w:tcPr>
          <w:p w14:paraId="428723FA" w14:textId="77777777" w:rsidR="00A95E8A" w:rsidRPr="0091018E" w:rsidRDefault="00A95E8A" w:rsidP="00C22B7B">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A95E8A" w:rsidRPr="001F70E1" w14:paraId="428723FF" w14:textId="77777777" w:rsidTr="005F29C0">
        <w:trPr>
          <w:cantSplit/>
        </w:trPr>
        <w:tc>
          <w:tcPr>
            <w:tcW w:w="2552" w:type="dxa"/>
          </w:tcPr>
          <w:p w14:paraId="428723FD" w14:textId="2DC27DC0" w:rsidR="00A95E8A" w:rsidRPr="001E5F5A" w:rsidRDefault="00A95E8A" w:rsidP="00BB43FC">
            <w:pPr>
              <w:pStyle w:val="MarginText"/>
              <w:spacing w:before="60" w:after="60"/>
              <w:jc w:val="center"/>
              <w:rPr>
                <w:rFonts w:ascii="Helvetica Neue" w:hAnsi="Helvetica Neue"/>
                <w:sz w:val="20"/>
              </w:rPr>
            </w:pPr>
            <w:r w:rsidRPr="001E5F5A">
              <w:rPr>
                <w:rFonts w:ascii="Helvetica Neue" w:hAnsi="Helvetica Neue"/>
                <w:sz w:val="20"/>
              </w:rPr>
              <w:t>1</w:t>
            </w:r>
            <w:r w:rsidR="00B633B4">
              <w:rPr>
                <w:rFonts w:ascii="Helvetica Neue" w:hAnsi="Helvetica Neue"/>
                <w:sz w:val="20"/>
              </w:rPr>
              <w:t>1</w:t>
            </w:r>
            <w:r w:rsidRPr="001E5F5A">
              <w:rPr>
                <w:rFonts w:ascii="Helvetica Neue" w:hAnsi="Helvetica Neue"/>
                <w:sz w:val="20"/>
              </w:rPr>
              <w:t xml:space="preserve">:00 GMT </w:t>
            </w:r>
            <w:r w:rsidR="00BB43FC">
              <w:rPr>
                <w:rFonts w:ascii="Helvetica Neue" w:hAnsi="Helvetica Neue"/>
                <w:sz w:val="20"/>
              </w:rPr>
              <w:t>4</w:t>
            </w:r>
            <w:r w:rsidR="003F3C97">
              <w:rPr>
                <w:rFonts w:ascii="Helvetica Neue" w:hAnsi="Helvetica Neue"/>
                <w:sz w:val="20"/>
              </w:rPr>
              <w:t xml:space="preserve"> January</w:t>
            </w:r>
            <w:r w:rsidR="00407485" w:rsidRPr="001E5F5A">
              <w:rPr>
                <w:rFonts w:ascii="Helvetica Neue" w:hAnsi="Helvetica Neue"/>
                <w:sz w:val="20"/>
              </w:rPr>
              <w:t xml:space="preserve"> 201</w:t>
            </w:r>
            <w:r w:rsidR="003F3C97">
              <w:rPr>
                <w:rFonts w:ascii="Helvetica Neue" w:hAnsi="Helvetica Neue"/>
                <w:sz w:val="20"/>
              </w:rPr>
              <w:t>7</w:t>
            </w:r>
          </w:p>
        </w:tc>
        <w:tc>
          <w:tcPr>
            <w:tcW w:w="5811" w:type="dxa"/>
          </w:tcPr>
          <w:p w14:paraId="428723FE" w14:textId="77777777" w:rsidR="00A95E8A" w:rsidRPr="0091018E" w:rsidRDefault="00A95E8A" w:rsidP="00C22B7B">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A95E8A" w:rsidRPr="001F70E1" w14:paraId="42872403" w14:textId="77777777" w:rsidTr="005F29C0">
        <w:trPr>
          <w:cantSplit/>
        </w:trPr>
        <w:tc>
          <w:tcPr>
            <w:tcW w:w="2552" w:type="dxa"/>
          </w:tcPr>
          <w:p w14:paraId="42872401" w14:textId="3E4C2C5E" w:rsidR="00A95E8A" w:rsidRPr="001E5F5A" w:rsidRDefault="003F3C97" w:rsidP="003F3C97">
            <w:pPr>
              <w:pStyle w:val="MarginText"/>
              <w:spacing w:before="60" w:after="60"/>
              <w:jc w:val="center"/>
              <w:rPr>
                <w:rFonts w:ascii="Helvetica Neue" w:hAnsi="Helvetica Neue"/>
                <w:sz w:val="20"/>
              </w:rPr>
            </w:pPr>
            <w:r>
              <w:rPr>
                <w:rFonts w:ascii="Helvetica Neue" w:hAnsi="Helvetica Neue"/>
                <w:sz w:val="20"/>
              </w:rPr>
              <w:t>11</w:t>
            </w:r>
            <w:r w:rsidR="00A95E8A" w:rsidRPr="001E5F5A">
              <w:rPr>
                <w:rFonts w:ascii="Helvetica Neue" w:hAnsi="Helvetica Neue"/>
                <w:sz w:val="20"/>
              </w:rPr>
              <w:t xml:space="preserve">:00 GMT </w:t>
            </w:r>
            <w:r>
              <w:rPr>
                <w:rFonts w:ascii="Helvetica Neue" w:hAnsi="Helvetica Neue"/>
                <w:sz w:val="20"/>
              </w:rPr>
              <w:t>9</w:t>
            </w:r>
            <w:r w:rsidR="00B633B4">
              <w:rPr>
                <w:rFonts w:ascii="Helvetica Neue" w:hAnsi="Helvetica Neue"/>
                <w:sz w:val="20"/>
              </w:rPr>
              <w:t xml:space="preserve"> January</w:t>
            </w:r>
            <w:r w:rsidR="00407485" w:rsidRPr="001E5F5A">
              <w:rPr>
                <w:rFonts w:ascii="Helvetica Neue" w:hAnsi="Helvetica Neue"/>
                <w:sz w:val="20"/>
              </w:rPr>
              <w:t xml:space="preserve"> 201</w:t>
            </w:r>
            <w:r w:rsidR="00B633B4">
              <w:rPr>
                <w:rFonts w:ascii="Helvetica Neue" w:hAnsi="Helvetica Neue"/>
                <w:sz w:val="20"/>
              </w:rPr>
              <w:t>7</w:t>
            </w:r>
          </w:p>
        </w:tc>
        <w:tc>
          <w:tcPr>
            <w:tcW w:w="5811" w:type="dxa"/>
          </w:tcPr>
          <w:p w14:paraId="42872402" w14:textId="10C1AEC2" w:rsidR="00A95E8A" w:rsidRPr="0091018E" w:rsidRDefault="00A95E8A" w:rsidP="006D1504">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Pr>
                <w:rFonts w:ascii="Helvetica Neue" w:hAnsi="Helvetica Neue"/>
                <w:sz w:val="20"/>
              </w:rPr>
              <w:t xml:space="preserve"> </w:t>
            </w:r>
          </w:p>
        </w:tc>
      </w:tr>
      <w:tr w:rsidR="00A95E8A" w:rsidRPr="001F70E1" w14:paraId="42872407" w14:textId="77777777" w:rsidTr="005F29C0">
        <w:trPr>
          <w:cantSplit/>
        </w:trPr>
        <w:tc>
          <w:tcPr>
            <w:tcW w:w="2552" w:type="dxa"/>
          </w:tcPr>
          <w:p w14:paraId="42872405" w14:textId="685273D9" w:rsidR="00A95E8A" w:rsidRPr="001E5F5A" w:rsidRDefault="003F3C97" w:rsidP="00EC4F93">
            <w:pPr>
              <w:jc w:val="center"/>
            </w:pPr>
            <w:r>
              <w:t>9</w:t>
            </w:r>
            <w:r w:rsidR="00EC4F93">
              <w:t>-27</w:t>
            </w:r>
            <w:r w:rsidR="00407485" w:rsidRPr="001E5F5A">
              <w:t xml:space="preserve"> </w:t>
            </w:r>
            <w:r>
              <w:t xml:space="preserve">Jan </w:t>
            </w:r>
            <w:r w:rsidR="00EA0897">
              <w:t>2017</w:t>
            </w:r>
          </w:p>
        </w:tc>
        <w:tc>
          <w:tcPr>
            <w:tcW w:w="5811" w:type="dxa"/>
          </w:tcPr>
          <w:p w14:paraId="42872406" w14:textId="1D5AC575" w:rsidR="00A95E8A" w:rsidRPr="0091018E" w:rsidRDefault="00A95E8A" w:rsidP="00B860E8">
            <w:pPr>
              <w:pStyle w:val="MarginText"/>
              <w:spacing w:before="60" w:after="60"/>
              <w:rPr>
                <w:rFonts w:ascii="Helvetica Neue" w:hAnsi="Helvetica Neue"/>
                <w:sz w:val="20"/>
              </w:rPr>
            </w:pPr>
            <w:r w:rsidRPr="0091018E">
              <w:rPr>
                <w:rFonts w:ascii="Helvetica Neue" w:hAnsi="Helvetica Neue"/>
                <w:sz w:val="20"/>
              </w:rPr>
              <w:t>Evaluation Period</w:t>
            </w:r>
          </w:p>
        </w:tc>
      </w:tr>
      <w:tr w:rsidR="00B860E8" w:rsidRPr="001F70E1" w14:paraId="4F43E042" w14:textId="77777777" w:rsidTr="005F29C0">
        <w:trPr>
          <w:cantSplit/>
        </w:trPr>
        <w:tc>
          <w:tcPr>
            <w:tcW w:w="2552" w:type="dxa"/>
          </w:tcPr>
          <w:p w14:paraId="398CDAE5" w14:textId="4EA8A195" w:rsidR="00B860E8" w:rsidRDefault="00EC4F93" w:rsidP="00BA1418">
            <w:pPr>
              <w:pStyle w:val="MarginText"/>
              <w:spacing w:before="60" w:after="60"/>
              <w:jc w:val="center"/>
              <w:rPr>
                <w:rFonts w:ascii="Helvetica Neue" w:hAnsi="Helvetica Neue"/>
                <w:sz w:val="20"/>
              </w:rPr>
            </w:pPr>
            <w:r>
              <w:rPr>
                <w:rFonts w:ascii="Helvetica Neue" w:hAnsi="Helvetica Neue"/>
                <w:sz w:val="20"/>
              </w:rPr>
              <w:t>25-26</w:t>
            </w:r>
            <w:r w:rsidR="00EA0897">
              <w:rPr>
                <w:rFonts w:ascii="Helvetica Neue" w:hAnsi="Helvetica Neue"/>
                <w:sz w:val="20"/>
              </w:rPr>
              <w:t xml:space="preserve"> January 2017</w:t>
            </w:r>
          </w:p>
        </w:tc>
        <w:tc>
          <w:tcPr>
            <w:tcW w:w="5811" w:type="dxa"/>
          </w:tcPr>
          <w:p w14:paraId="6BB664BF" w14:textId="4ABA7183" w:rsidR="00B860E8" w:rsidRPr="006103D9" w:rsidRDefault="00B860E8" w:rsidP="00A95E8A">
            <w:r>
              <w:t>Tender Clarification Meeting (if required)</w:t>
            </w:r>
          </w:p>
        </w:tc>
      </w:tr>
      <w:tr w:rsidR="00A95E8A" w:rsidRPr="001F70E1" w14:paraId="1BF72B91" w14:textId="77777777" w:rsidTr="005F29C0">
        <w:trPr>
          <w:cantSplit/>
        </w:trPr>
        <w:tc>
          <w:tcPr>
            <w:tcW w:w="2552" w:type="dxa"/>
          </w:tcPr>
          <w:p w14:paraId="14B0780A" w14:textId="6AB19EDE" w:rsidR="00A95E8A" w:rsidRPr="001E5F5A" w:rsidRDefault="00BB43FC" w:rsidP="00BA1418">
            <w:pPr>
              <w:pStyle w:val="MarginText"/>
              <w:spacing w:before="60" w:after="60"/>
              <w:jc w:val="center"/>
              <w:rPr>
                <w:rFonts w:ascii="Helvetica Neue" w:hAnsi="Helvetica Neue"/>
                <w:sz w:val="20"/>
              </w:rPr>
            </w:pPr>
            <w:r>
              <w:rPr>
                <w:rFonts w:ascii="Helvetica Neue" w:hAnsi="Helvetica Neue"/>
                <w:sz w:val="20"/>
              </w:rPr>
              <w:t>16</w:t>
            </w:r>
            <w:r w:rsidR="00EA0897">
              <w:rPr>
                <w:rFonts w:ascii="Helvetica Neue" w:hAnsi="Helvetica Neue"/>
                <w:sz w:val="20"/>
              </w:rPr>
              <w:t xml:space="preserve"> March</w:t>
            </w:r>
            <w:r w:rsidR="00CC65B5" w:rsidRPr="001E5F5A">
              <w:rPr>
                <w:rFonts w:ascii="Helvetica Neue" w:hAnsi="Helvetica Neue"/>
                <w:sz w:val="20"/>
              </w:rPr>
              <w:t xml:space="preserve"> 2017</w:t>
            </w:r>
          </w:p>
        </w:tc>
        <w:tc>
          <w:tcPr>
            <w:tcW w:w="5811" w:type="dxa"/>
          </w:tcPr>
          <w:p w14:paraId="50F9D898" w14:textId="2E055257" w:rsidR="00A95E8A" w:rsidRPr="0091018E" w:rsidRDefault="00A95E8A" w:rsidP="00A95E8A">
            <w:r w:rsidRPr="006103D9">
              <w:t>Intention to award notices issued to successful and unsuccessful Potential Providers.</w:t>
            </w:r>
          </w:p>
        </w:tc>
      </w:tr>
      <w:tr w:rsidR="00A95E8A" w:rsidRPr="001F70E1" w14:paraId="4DEC8574" w14:textId="77777777" w:rsidTr="005F29C0">
        <w:trPr>
          <w:cantSplit/>
        </w:trPr>
        <w:tc>
          <w:tcPr>
            <w:tcW w:w="2552" w:type="dxa"/>
          </w:tcPr>
          <w:p w14:paraId="462152CE" w14:textId="1D6F5593" w:rsidR="00A95E8A" w:rsidRPr="001E5F5A" w:rsidRDefault="00BB43FC" w:rsidP="00EA0897">
            <w:pPr>
              <w:jc w:val="center"/>
            </w:pPr>
            <w:r>
              <w:t>17-27</w:t>
            </w:r>
            <w:r w:rsidR="00EA0897">
              <w:t xml:space="preserve"> March</w:t>
            </w:r>
            <w:r w:rsidR="00CC65B5" w:rsidRPr="001E5F5A">
              <w:t xml:space="preserve"> 2017</w:t>
            </w:r>
          </w:p>
        </w:tc>
        <w:tc>
          <w:tcPr>
            <w:tcW w:w="5811" w:type="dxa"/>
          </w:tcPr>
          <w:p w14:paraId="1D3499E4" w14:textId="1E07EC4A" w:rsidR="00A95E8A" w:rsidRPr="006103D9" w:rsidRDefault="00A95E8A" w:rsidP="00A95E8A">
            <w:r w:rsidRPr="00C01604">
              <w:t>10 day Standstill</w:t>
            </w:r>
            <w:r w:rsidRPr="006103D9">
              <w:t xml:space="preserve"> Period (in accordance with Regulation 87)</w:t>
            </w:r>
          </w:p>
          <w:p w14:paraId="07727B30" w14:textId="18381E81" w:rsidR="00A95E8A" w:rsidRPr="0091018E" w:rsidRDefault="00A95E8A" w:rsidP="00A95E8A"/>
        </w:tc>
      </w:tr>
      <w:tr w:rsidR="00A95E8A" w:rsidRPr="001F70E1" w14:paraId="4287240B" w14:textId="77777777" w:rsidTr="005F29C0">
        <w:trPr>
          <w:cantSplit/>
        </w:trPr>
        <w:tc>
          <w:tcPr>
            <w:tcW w:w="2552" w:type="dxa"/>
          </w:tcPr>
          <w:p w14:paraId="42872409" w14:textId="5A085C16" w:rsidR="00A95E8A" w:rsidRPr="001E5F5A" w:rsidRDefault="00EC4F93" w:rsidP="00BB43FC">
            <w:pPr>
              <w:pStyle w:val="MarginText"/>
              <w:spacing w:before="60" w:after="60"/>
              <w:jc w:val="center"/>
              <w:rPr>
                <w:rFonts w:ascii="Helvetica Neue" w:hAnsi="Helvetica Neue"/>
                <w:sz w:val="20"/>
              </w:rPr>
            </w:pPr>
            <w:r>
              <w:rPr>
                <w:rFonts w:ascii="Helvetica Neue" w:hAnsi="Helvetica Neue"/>
                <w:sz w:val="20"/>
              </w:rPr>
              <w:t>2</w:t>
            </w:r>
            <w:r w:rsidR="00BB43FC">
              <w:rPr>
                <w:rFonts w:ascii="Helvetica Neue" w:hAnsi="Helvetica Neue"/>
                <w:sz w:val="20"/>
              </w:rPr>
              <w:t>8</w:t>
            </w:r>
            <w:r w:rsidR="00EA0897">
              <w:rPr>
                <w:rFonts w:ascii="Helvetica Neue" w:hAnsi="Helvetica Neue"/>
                <w:sz w:val="20"/>
              </w:rPr>
              <w:t xml:space="preserve"> March</w:t>
            </w:r>
            <w:r w:rsidR="00CC65B5" w:rsidRPr="001E5F5A">
              <w:rPr>
                <w:rFonts w:ascii="Helvetica Neue" w:hAnsi="Helvetica Neue"/>
                <w:sz w:val="20"/>
              </w:rPr>
              <w:t xml:space="preserve"> 2017</w:t>
            </w:r>
          </w:p>
        </w:tc>
        <w:tc>
          <w:tcPr>
            <w:tcW w:w="5811" w:type="dxa"/>
          </w:tcPr>
          <w:p w14:paraId="4287240A" w14:textId="09A6B3DF" w:rsidR="00A95E8A" w:rsidRPr="0091018E" w:rsidRDefault="00A95E8A" w:rsidP="008D1E6C">
            <w:pPr>
              <w:pStyle w:val="MarginText"/>
              <w:spacing w:before="60" w:after="60"/>
              <w:rPr>
                <w:rFonts w:ascii="Helvetica Neue" w:hAnsi="Helvetica Neue"/>
                <w:sz w:val="20"/>
              </w:rPr>
            </w:pPr>
            <w:r w:rsidRPr="0091018E">
              <w:rPr>
                <w:rFonts w:ascii="Helvetica Neue" w:hAnsi="Helvetica Neue"/>
                <w:sz w:val="20"/>
              </w:rPr>
              <w:t xml:space="preserve">Expected </w:t>
            </w:r>
            <w:r w:rsidR="001570F0" w:rsidRPr="001570F0">
              <w:rPr>
                <w:rFonts w:ascii="Helvetica Neue" w:hAnsi="Helvetica Neue"/>
                <w:sz w:val="20"/>
              </w:rPr>
              <w:t>execution (signature</w:t>
            </w:r>
            <w:r w:rsidR="001570F0">
              <w:rPr>
                <w:rFonts w:ascii="Helvetica Neue" w:hAnsi="Helvetica Neue"/>
                <w:sz w:val="20"/>
              </w:rPr>
              <w:t xml:space="preserve">) </w:t>
            </w:r>
            <w:r w:rsidRPr="0091018E">
              <w:rPr>
                <w:rFonts w:ascii="Helvetica Neue" w:hAnsi="Helvetica Neue"/>
                <w:sz w:val="20"/>
              </w:rPr>
              <w:t>date of contract</w:t>
            </w:r>
          </w:p>
        </w:tc>
      </w:tr>
      <w:tr w:rsidR="00A95E8A" w:rsidRPr="001F70E1" w14:paraId="4287240F" w14:textId="77777777" w:rsidTr="005F29C0">
        <w:trPr>
          <w:cantSplit/>
        </w:trPr>
        <w:tc>
          <w:tcPr>
            <w:tcW w:w="2552" w:type="dxa"/>
          </w:tcPr>
          <w:p w14:paraId="4287240D" w14:textId="58ADAB66" w:rsidR="00A95E8A" w:rsidRPr="001E5F5A" w:rsidRDefault="00EC4F93" w:rsidP="00BB43FC">
            <w:pPr>
              <w:pStyle w:val="MarginText"/>
              <w:spacing w:before="60" w:after="60"/>
              <w:jc w:val="center"/>
              <w:rPr>
                <w:rFonts w:ascii="Helvetica Neue" w:hAnsi="Helvetica Neue"/>
                <w:sz w:val="20"/>
              </w:rPr>
            </w:pPr>
            <w:r>
              <w:rPr>
                <w:rFonts w:ascii="Helvetica Neue" w:hAnsi="Helvetica Neue"/>
                <w:sz w:val="20"/>
              </w:rPr>
              <w:t>2</w:t>
            </w:r>
            <w:r w:rsidR="00BB43FC">
              <w:rPr>
                <w:rFonts w:ascii="Helvetica Neue" w:hAnsi="Helvetica Neue"/>
                <w:sz w:val="20"/>
              </w:rPr>
              <w:t>9</w:t>
            </w:r>
            <w:r w:rsidR="00EA0897">
              <w:rPr>
                <w:rFonts w:ascii="Helvetica Neue" w:hAnsi="Helvetica Neue"/>
                <w:sz w:val="20"/>
              </w:rPr>
              <w:t xml:space="preserve"> March</w:t>
            </w:r>
            <w:r w:rsidR="00C01604" w:rsidRPr="001E5F5A">
              <w:rPr>
                <w:rFonts w:ascii="Helvetica Neue" w:hAnsi="Helvetica Neue"/>
                <w:sz w:val="20"/>
              </w:rPr>
              <w:t xml:space="preserve"> 201</w:t>
            </w:r>
            <w:r w:rsidR="00CC65B5" w:rsidRPr="001E5F5A">
              <w:rPr>
                <w:rFonts w:ascii="Helvetica Neue" w:hAnsi="Helvetica Neue"/>
                <w:sz w:val="20"/>
              </w:rPr>
              <w:t>7</w:t>
            </w:r>
          </w:p>
        </w:tc>
        <w:tc>
          <w:tcPr>
            <w:tcW w:w="5811" w:type="dxa"/>
          </w:tcPr>
          <w:p w14:paraId="4287240E" w14:textId="77777777" w:rsidR="00A95E8A" w:rsidRPr="0091018E" w:rsidRDefault="00A95E8A" w:rsidP="008D1E6C">
            <w:pPr>
              <w:pStyle w:val="MarginText"/>
              <w:spacing w:before="60" w:after="60"/>
              <w:rPr>
                <w:rFonts w:ascii="Helvetica Neue" w:hAnsi="Helvetica Neue"/>
                <w:sz w:val="20"/>
              </w:rPr>
            </w:pPr>
            <w:r w:rsidRPr="0091018E">
              <w:rPr>
                <w:rFonts w:ascii="Helvetica Neue" w:hAnsi="Helvetica Neue"/>
                <w:sz w:val="20"/>
              </w:rPr>
              <w:t>Anticipated contract commencement date</w:t>
            </w:r>
          </w:p>
        </w:tc>
      </w:tr>
    </w:tbl>
    <w:p w14:paraId="42872411" w14:textId="62177DEC" w:rsidR="00E87430" w:rsidRPr="001F70E1" w:rsidRDefault="00E87430" w:rsidP="00B21B64">
      <w:pPr>
        <w:pStyle w:val="Heading2"/>
        <w:numPr>
          <w:ilvl w:val="0"/>
          <w:numId w:val="0"/>
        </w:numPr>
      </w:pPr>
    </w:p>
    <w:p w14:paraId="42872412" w14:textId="77777777" w:rsidR="004D6816" w:rsidRPr="001F70E1" w:rsidRDefault="004D6816" w:rsidP="0082469B">
      <w:pPr>
        <w:pStyle w:val="Heading1"/>
      </w:pPr>
      <w:bookmarkStart w:id="8" w:name="_Toc467764406"/>
      <w:r w:rsidRPr="001F70E1">
        <w:t>questions AND CLARIFICATIONS</w:t>
      </w:r>
      <w:bookmarkEnd w:id="8"/>
    </w:p>
    <w:p w14:paraId="42872413" w14:textId="7B1A5405"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w:t>
      </w:r>
      <w:r w:rsidR="007D0E92">
        <w:t xml:space="preserve">using the Question Template </w:t>
      </w:r>
      <w:r w:rsidR="00B10BF3">
        <w:t>(Instructions to Bidders</w:t>
      </w:r>
      <w:r w:rsidR="00203A53">
        <w:t xml:space="preserve"> </w:t>
      </w:r>
      <w:r w:rsidR="00203A53" w:rsidRPr="00FC1B21">
        <w:t>-</w:t>
      </w:r>
      <w:r w:rsidR="00203A53" w:rsidRPr="00C01604">
        <w:t xml:space="preserve"> Appendix A</w:t>
      </w:r>
      <w:r w:rsidR="00B10BF3">
        <w:t xml:space="preserve">) </w:t>
      </w:r>
      <w:r w:rsidR="007D0E92">
        <w:t xml:space="preserve">and submitted via the following email box: </w:t>
      </w:r>
      <w:hyperlink r:id="rId14" w:history="1">
        <w:r w:rsidR="007D0E92" w:rsidRPr="00BA190C">
          <w:rPr>
            <w:rStyle w:val="Hyperlink"/>
          </w:rPr>
          <w:t>iccadvisory@dh.gsi.gov.uk</w:t>
        </w:r>
      </w:hyperlink>
      <w:r w:rsidR="007D0E92">
        <w:t>.  The Authority will answer all questions via the e-</w:t>
      </w:r>
      <w:r w:rsidR="00BB43FC">
        <w:t>S</w:t>
      </w:r>
      <w:r w:rsidR="007D0E92">
        <w:t>ourcing Portal only</w:t>
      </w:r>
      <w:r w:rsidRPr="001F70E1">
        <w:t>.</w:t>
      </w:r>
    </w:p>
    <w:p w14:paraId="2AF5CF09" w14:textId="6A9A18AD" w:rsidR="00CC2FCD" w:rsidRPr="001F70E1" w:rsidRDefault="00CC2FCD" w:rsidP="00CC2FCD">
      <w:pPr>
        <w:pStyle w:val="Heading2"/>
      </w:pPr>
      <w:r>
        <w:t xml:space="preserve">If a Potential Provider believes that their question is commercially sensitive, then they will need to indicate this in advance. The Authority will then consider the sensitivity of the question, and if it deems the question not to be commercially sensitive give the Potential Provider the opportunity to retract the question without receiving an answer or, if not retracted, </w:t>
      </w:r>
      <w:r w:rsidRPr="00EA0897">
        <w:t>that</w:t>
      </w:r>
      <w:r>
        <w:t xml:space="preserve"> the question and response will be circulated to all Potential Providers.</w:t>
      </w:r>
    </w:p>
    <w:p w14:paraId="42872415" w14:textId="1118BCD2" w:rsidR="004D6816" w:rsidRPr="001F70E1" w:rsidRDefault="004D6816" w:rsidP="00E51313">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will publish all its responses to questions raised by Potential P</w:t>
      </w:r>
      <w:r w:rsidR="008A2EB6">
        <w:t>roviders</w:t>
      </w:r>
      <w:r w:rsidR="00522159">
        <w:t xml:space="preserve"> via the e-</w:t>
      </w:r>
      <w:r w:rsidR="00BB43FC">
        <w:t>S</w:t>
      </w:r>
      <w:r w:rsidR="00522159">
        <w:t>ourcing Portal only</w:t>
      </w:r>
      <w:r w:rsidR="008A2EB6">
        <w:t>.</w:t>
      </w:r>
      <w:r w:rsidR="00EE6007" w:rsidRPr="00EE6007">
        <w:t xml:space="preserve"> </w:t>
      </w:r>
      <w:r w:rsidR="00EE6007">
        <w:t xml:space="preserve">  </w:t>
      </w:r>
    </w:p>
    <w:p w14:paraId="42872416" w14:textId="174244B8" w:rsidR="004D6816"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p>
    <w:p w14:paraId="67B7F47B" w14:textId="040A40D8" w:rsidR="00E51313" w:rsidRPr="00F373AE" w:rsidRDefault="00E51313" w:rsidP="00E51313">
      <w:pPr>
        <w:pStyle w:val="Heading1"/>
      </w:pPr>
      <w:bookmarkStart w:id="9" w:name="_Toc467764407"/>
      <w:r w:rsidRPr="00F373AE">
        <w:lastRenderedPageBreak/>
        <w:t>Conference</w:t>
      </w:r>
      <w:bookmarkEnd w:id="9"/>
    </w:p>
    <w:p w14:paraId="1159519F" w14:textId="067213A5" w:rsidR="004C40EE" w:rsidRPr="00AE62BA" w:rsidRDefault="004C40EE" w:rsidP="004C40EE">
      <w:pPr>
        <w:pStyle w:val="Heading2"/>
      </w:pPr>
      <w:r w:rsidRPr="00AE62BA">
        <w:t xml:space="preserve">A conference will be held on </w:t>
      </w:r>
      <w:r w:rsidR="00EC4F93">
        <w:t>Thursday</w:t>
      </w:r>
      <w:r w:rsidR="002D6307">
        <w:t xml:space="preserve">, </w:t>
      </w:r>
      <w:r w:rsidR="00EC4F93">
        <w:t>8</w:t>
      </w:r>
      <w:r w:rsidR="00CC65B5">
        <w:t xml:space="preserve"> </w:t>
      </w:r>
      <w:r w:rsidR="00440B5E">
        <w:t>December</w:t>
      </w:r>
      <w:r w:rsidR="002D6307">
        <w:t xml:space="preserve"> 2016 </w:t>
      </w:r>
      <w:r w:rsidR="00A87ED9">
        <w:t xml:space="preserve">with </w:t>
      </w:r>
      <w:r w:rsidR="00440B5E">
        <w:t>r</w:t>
      </w:r>
      <w:r w:rsidR="00A87ED9">
        <w:t>egistration from</w:t>
      </w:r>
      <w:r w:rsidR="002D6307">
        <w:t xml:space="preserve"> </w:t>
      </w:r>
      <w:r w:rsidR="00EC4F93">
        <w:t>09</w:t>
      </w:r>
      <w:r w:rsidR="00440B5E">
        <w:t>:30</w:t>
      </w:r>
      <w:r w:rsidR="00A87ED9">
        <w:t xml:space="preserve"> for </w:t>
      </w:r>
      <w:r w:rsidR="00EC4F93">
        <w:t>09</w:t>
      </w:r>
      <w:r w:rsidR="00440B5E">
        <w:t>:45</w:t>
      </w:r>
      <w:r w:rsidR="00A87ED9">
        <w:t xml:space="preserve"> start t</w:t>
      </w:r>
      <w:r w:rsidR="002D6307">
        <w:t xml:space="preserve">o </w:t>
      </w:r>
      <w:r w:rsidR="00EC4F93">
        <w:t>11</w:t>
      </w:r>
      <w:r w:rsidR="00EA0897">
        <w:t>:30</w:t>
      </w:r>
      <w:r w:rsidR="00EC4F93">
        <w:t>.  Venue to be confirmed but will be in London</w:t>
      </w:r>
      <w:r w:rsidRPr="00AE62BA">
        <w:t xml:space="preserve">. The conference will provide you with an opportunity to seek clarification on any matters relating to this Procurement and the requirements in an open forum. </w:t>
      </w:r>
    </w:p>
    <w:p w14:paraId="2A9CEB2C" w14:textId="7BBA702F" w:rsidR="004C40EE" w:rsidRPr="00AE62BA" w:rsidRDefault="004C40EE" w:rsidP="004C40EE">
      <w:pPr>
        <w:pStyle w:val="Heading2"/>
      </w:pPr>
      <w:r w:rsidRPr="00AE62BA">
        <w:t xml:space="preserve">As space at the conference is limited, please nominate a maximum of </w:t>
      </w:r>
      <w:r w:rsidR="007D7D2D">
        <w:t>two</w:t>
      </w:r>
      <w:r w:rsidRPr="00AE62BA">
        <w:t xml:space="preserve"> key personnel to attend. Details of those attending must be provided to the Authority </w:t>
      </w:r>
      <w:r w:rsidR="007D7D2D">
        <w:t xml:space="preserve">via the project email box: </w:t>
      </w:r>
      <w:hyperlink r:id="rId15" w:history="1">
        <w:r w:rsidR="007D7D2D" w:rsidRPr="00CB7DD5">
          <w:rPr>
            <w:rStyle w:val="Hyperlink"/>
          </w:rPr>
          <w:t>iccadvisory@dh.gsi.gov.uk</w:t>
        </w:r>
      </w:hyperlink>
      <w:r w:rsidR="007D7D2D">
        <w:t xml:space="preserve"> </w:t>
      </w:r>
      <w:r w:rsidR="00A87ED9">
        <w:t xml:space="preserve">by no later than </w:t>
      </w:r>
      <w:r w:rsidR="00440B5E">
        <w:t>11:00</w:t>
      </w:r>
      <w:r w:rsidR="00A87ED9">
        <w:t xml:space="preserve">, </w:t>
      </w:r>
      <w:r w:rsidR="00EC4F93">
        <w:t>6</w:t>
      </w:r>
      <w:r w:rsidR="00440B5E">
        <w:t xml:space="preserve"> December</w:t>
      </w:r>
      <w:r w:rsidR="002D6307">
        <w:t xml:space="preserve"> 2016</w:t>
      </w:r>
      <w:r w:rsidR="009F1DDB">
        <w:t>.</w:t>
      </w:r>
      <w:r w:rsidRPr="00AE62BA">
        <w:t xml:space="preserve"> </w:t>
      </w:r>
    </w:p>
    <w:p w14:paraId="42872417" w14:textId="77777777" w:rsidR="004D6816" w:rsidRPr="001F70E1" w:rsidRDefault="004D6816" w:rsidP="0082469B">
      <w:pPr>
        <w:pStyle w:val="Heading1"/>
      </w:pPr>
      <w:bookmarkStart w:id="10" w:name="_Toc467764408"/>
      <w:r w:rsidRPr="001F70E1">
        <w:t>Price</w:t>
      </w:r>
      <w:bookmarkEnd w:id="10"/>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7B532E08" w14:textId="0789AE2C" w:rsidR="00DC5CF5" w:rsidRPr="004C231C" w:rsidRDefault="00DC5CF5" w:rsidP="004D2DDC">
      <w:pPr>
        <w:pStyle w:val="Heading2"/>
      </w:pPr>
      <w:bookmarkStart w:id="11" w:name="_Toc464138432"/>
      <w:r>
        <w:rPr>
          <w:rFonts w:eastAsia="Times New Roman"/>
        </w:rPr>
        <w:t>Potential Providers are required to enter a price within the e-</w:t>
      </w:r>
      <w:r w:rsidR="00BB43FC">
        <w:rPr>
          <w:rFonts w:eastAsia="Times New Roman"/>
        </w:rPr>
        <w:t>S</w:t>
      </w:r>
      <w:r>
        <w:rPr>
          <w:rFonts w:eastAsia="Times New Roman"/>
        </w:rPr>
        <w:t xml:space="preserve">ourcing </w:t>
      </w:r>
      <w:r w:rsidR="00BB43FC">
        <w:rPr>
          <w:rFonts w:eastAsia="Times New Roman"/>
        </w:rPr>
        <w:t>P</w:t>
      </w:r>
      <w:r>
        <w:rPr>
          <w:rFonts w:eastAsia="Times New Roman"/>
        </w:rPr>
        <w:t xml:space="preserve">ortal in order to submit their </w:t>
      </w:r>
      <w:proofErr w:type="gramStart"/>
      <w:r>
        <w:rPr>
          <w:rFonts w:eastAsia="Times New Roman"/>
        </w:rPr>
        <w:t>response,</w:t>
      </w:r>
      <w:proofErr w:type="gramEnd"/>
      <w:r>
        <w:rPr>
          <w:rFonts w:eastAsia="Times New Roman"/>
        </w:rPr>
        <w:t xml:space="preserve"> however, a single total price </w:t>
      </w:r>
      <w:r w:rsidR="00BB43FC">
        <w:rPr>
          <w:rFonts w:eastAsia="Times New Roman"/>
        </w:rPr>
        <w:t>will not be expected</w:t>
      </w:r>
      <w:r>
        <w:rPr>
          <w:rFonts w:eastAsia="Times New Roman"/>
        </w:rPr>
        <w:t xml:space="preserve"> for this tender.  Potential Providers should therefore enter a nominal £1 value when ‘submitting a quote’ on the e-</w:t>
      </w:r>
      <w:r w:rsidR="00BB43FC">
        <w:rPr>
          <w:rFonts w:eastAsia="Times New Roman"/>
        </w:rPr>
        <w:t>S</w:t>
      </w:r>
      <w:r>
        <w:rPr>
          <w:rFonts w:eastAsia="Times New Roman"/>
        </w:rPr>
        <w:t xml:space="preserve">ourcing </w:t>
      </w:r>
      <w:r w:rsidR="00BB43FC">
        <w:rPr>
          <w:rFonts w:eastAsia="Times New Roman"/>
        </w:rPr>
        <w:t>P</w:t>
      </w:r>
      <w:r>
        <w:rPr>
          <w:rFonts w:eastAsia="Times New Roman"/>
        </w:rPr>
        <w:t>ortal in order to complete the online submission.  All pricing information should be provided by completing the Price Matrix (Attachment 7) of the ITT.</w:t>
      </w:r>
      <w:bookmarkEnd w:id="11"/>
    </w:p>
    <w:p w14:paraId="4287241C" w14:textId="77777777" w:rsidR="004D6816" w:rsidRPr="001F70E1" w:rsidRDefault="004D6816" w:rsidP="0082469B">
      <w:pPr>
        <w:pStyle w:val="Heading1"/>
      </w:pPr>
      <w:bookmarkStart w:id="12" w:name="_Toc467764409"/>
      <w:r w:rsidRPr="001F70E1">
        <w:t>Submitting a tender</w:t>
      </w:r>
      <w:bookmarkEnd w:id="12"/>
    </w:p>
    <w:p w14:paraId="398AC201" w14:textId="163A79F1" w:rsidR="001570F0" w:rsidRPr="0022330A" w:rsidRDefault="001570F0" w:rsidP="001570F0">
      <w:pPr>
        <w:pStyle w:val="Heading2"/>
      </w:pPr>
      <w:r w:rsidRPr="0022330A">
        <w:t xml:space="preserve">To participate in this competitive tendering exercise, </w:t>
      </w:r>
      <w:r w:rsidR="0022330A" w:rsidRPr="0022330A">
        <w:t xml:space="preserve">Potential Providers </w:t>
      </w:r>
      <w:r w:rsidRPr="0022330A">
        <w:t xml:space="preserve">are required to submit a Tender which fully complies with the instructions in this ITT and its Attachments.  </w:t>
      </w:r>
      <w:r w:rsidR="0022330A" w:rsidRPr="0022330A">
        <w:t>Potential Providers</w:t>
      </w:r>
      <w:r w:rsidRPr="0022330A">
        <w:t xml:space="preserve"> are strongly advised to read through all</w:t>
      </w:r>
      <w:r w:rsidR="0022330A">
        <w:t xml:space="preserve"> documentation first to ensure they</w:t>
      </w:r>
      <w:r w:rsidRPr="0022330A">
        <w:t xml:space="preserve"> understand how to submit a fully compliant Tender.</w:t>
      </w:r>
    </w:p>
    <w:p w14:paraId="4E9D627A" w14:textId="340E1FA9" w:rsidR="007B1C64" w:rsidRPr="0022330A" w:rsidRDefault="007B1C64" w:rsidP="007B1C64">
      <w:pPr>
        <w:pStyle w:val="Heading2"/>
      </w:pPr>
      <w:r w:rsidRPr="0022330A">
        <w:t>Potential Providers must submit their proposals/answer all questions via the e-Sourcing portal unless otherwise stated.  Tenders submitted by any other means will not be accepted.</w:t>
      </w:r>
    </w:p>
    <w:p w14:paraId="53DF44A4" w14:textId="1CE15C61" w:rsidR="00655836" w:rsidRPr="0022330A" w:rsidRDefault="00655836" w:rsidP="00655836">
      <w:pPr>
        <w:pStyle w:val="Heading2"/>
      </w:pPr>
      <w:r w:rsidRPr="0022330A">
        <w:t xml:space="preserve">Potential Providers should refer to the </w:t>
      </w:r>
      <w:hyperlink r:id="rId16" w:history="1">
        <w:r w:rsidRPr="0022330A">
          <w:rPr>
            <w:rStyle w:val="Hyperlink"/>
            <w:color w:val="auto"/>
          </w:rPr>
          <w:t>e-Tendering Manual</w:t>
        </w:r>
      </w:hyperlink>
      <w:r w:rsidRPr="0022330A">
        <w:t xml:space="preserve"> for guidance on how to use the e-Sourcing Portal.  Tenders must be uploaded via the Sourcing Home Page using the ‘Actions’ window and selecting ‘Create Quote’.  Documents uploaded using the ‘New Message/Documents’ tab are not correctly linked to the ITT and therefore will be rejected.</w:t>
      </w:r>
    </w:p>
    <w:p w14:paraId="147D2DDC" w14:textId="55D40B24" w:rsidR="00655836" w:rsidRPr="0022330A" w:rsidRDefault="00655836" w:rsidP="00655836">
      <w:pPr>
        <w:pStyle w:val="Heading2"/>
      </w:pPr>
      <w:r w:rsidRPr="0022330A">
        <w:t xml:space="preserve">Should Potential Providers experience any technical difficulties uploading their Tender, they must contact the helpdesk on 0113 254 5777 prior to the </w:t>
      </w:r>
      <w:r w:rsidR="00C23675" w:rsidRPr="0022330A">
        <w:t>Tender Submission Deadline</w:t>
      </w:r>
      <w:r w:rsidRPr="0022330A">
        <w:t xml:space="preserve">.  The helpdesk is open Monday to Friday between 10.00am and 4.00pm excluding public and bank holidays.  </w:t>
      </w:r>
    </w:p>
    <w:p w14:paraId="1B417EA0" w14:textId="053BDE3B" w:rsidR="001570F0" w:rsidRPr="0022330A" w:rsidRDefault="007B1C64" w:rsidP="001570F0">
      <w:pPr>
        <w:pStyle w:val="Heading2"/>
      </w:pPr>
      <w:r w:rsidRPr="0022330A">
        <w:lastRenderedPageBreak/>
        <w:t>It is the Potential Provider’s responsibility to:</w:t>
      </w:r>
    </w:p>
    <w:p w14:paraId="3AA386EF" w14:textId="64C93E82" w:rsidR="001570F0" w:rsidRPr="0022330A" w:rsidRDefault="001570F0" w:rsidP="001570F0">
      <w:pPr>
        <w:pStyle w:val="Heading3"/>
      </w:pPr>
      <w:proofErr w:type="gramStart"/>
      <w:r w:rsidRPr="0022330A">
        <w:t>ensure</w:t>
      </w:r>
      <w:proofErr w:type="gramEnd"/>
      <w:r w:rsidRPr="0022330A">
        <w:t xml:space="preserve"> that </w:t>
      </w:r>
      <w:r w:rsidR="007B1C64" w:rsidRPr="0022330A">
        <w:t>a fully compliant Tender is submitted</w:t>
      </w:r>
    </w:p>
    <w:p w14:paraId="2E7C4B41" w14:textId="3FC51D05" w:rsidR="001570F0" w:rsidRPr="0022330A" w:rsidRDefault="001570F0" w:rsidP="001570F0">
      <w:pPr>
        <w:pStyle w:val="Heading3"/>
      </w:pPr>
      <w:proofErr w:type="gramStart"/>
      <w:r w:rsidRPr="0022330A">
        <w:t>ensure</w:t>
      </w:r>
      <w:proofErr w:type="gramEnd"/>
      <w:r w:rsidRPr="0022330A">
        <w:t xml:space="preserve"> that the latest versions of this document and its Attachments</w:t>
      </w:r>
      <w:r w:rsidR="007B1C64" w:rsidRPr="0022330A">
        <w:t xml:space="preserve"> are used</w:t>
      </w:r>
    </w:p>
    <w:p w14:paraId="715FBA94" w14:textId="705FC7A5" w:rsidR="001570F0" w:rsidRPr="0022330A" w:rsidRDefault="007B1C64" w:rsidP="001570F0">
      <w:pPr>
        <w:pStyle w:val="Heading3"/>
      </w:pPr>
      <w:proofErr w:type="gramStart"/>
      <w:r w:rsidRPr="0022330A">
        <w:t>a</w:t>
      </w:r>
      <w:r w:rsidR="001570F0" w:rsidRPr="0022330A">
        <w:t>llow</w:t>
      </w:r>
      <w:proofErr w:type="gramEnd"/>
      <w:r w:rsidR="001570F0" w:rsidRPr="0022330A">
        <w:t xml:space="preserve"> plenty of time for the entering of responses into the </w:t>
      </w:r>
      <w:r w:rsidRPr="0022330A">
        <w:t xml:space="preserve">e-Sourcing portal </w:t>
      </w:r>
    </w:p>
    <w:p w14:paraId="5354402E" w14:textId="76FDA22D" w:rsidR="001570F0" w:rsidRPr="0022330A" w:rsidRDefault="007B1C64" w:rsidP="001570F0">
      <w:pPr>
        <w:pStyle w:val="Heading2"/>
      </w:pPr>
      <w:r w:rsidRPr="0022330A">
        <w:t xml:space="preserve">No </w:t>
      </w:r>
      <w:r w:rsidR="001570F0" w:rsidRPr="0022330A">
        <w:t xml:space="preserve">additional attachments should be submitted with a Tender unless specifically requested by the Authority. </w:t>
      </w:r>
    </w:p>
    <w:p w14:paraId="49059D01" w14:textId="77777777" w:rsidR="001570F0" w:rsidRPr="0022330A" w:rsidRDefault="001570F0" w:rsidP="001570F0">
      <w:pPr>
        <w:pStyle w:val="Heading2"/>
      </w:pPr>
      <w:r w:rsidRPr="0022330A">
        <w:t>A fully compliant Tender must adhere to the following instructions:</w:t>
      </w:r>
    </w:p>
    <w:p w14:paraId="7CD96222" w14:textId="77777777" w:rsidR="001570F0" w:rsidRPr="0022330A" w:rsidRDefault="001570F0" w:rsidP="007B1C64">
      <w:pPr>
        <w:pStyle w:val="Heading3"/>
      </w:pPr>
      <w:r w:rsidRPr="0022330A">
        <w:t>The Tender must be submitted in the English (UK) language.</w:t>
      </w:r>
    </w:p>
    <w:p w14:paraId="3A96AE35" w14:textId="2E5941B5" w:rsidR="001570F0" w:rsidRDefault="007B1C64" w:rsidP="007B1C64">
      <w:pPr>
        <w:pStyle w:val="Heading3"/>
      </w:pPr>
      <w:r w:rsidRPr="0022330A">
        <w:t>A</w:t>
      </w:r>
      <w:r w:rsidR="001570F0" w:rsidRPr="0022330A">
        <w:t>ll questions</w:t>
      </w:r>
      <w:r w:rsidRPr="0022330A">
        <w:t xml:space="preserve"> must be answered</w:t>
      </w:r>
      <w:r w:rsidR="001570F0" w:rsidRPr="0022330A">
        <w:t xml:space="preserve"> accurately and as </w:t>
      </w:r>
      <w:r w:rsidRPr="0022330A">
        <w:t>fully as possible, within any</w:t>
      </w:r>
      <w:r w:rsidR="001570F0" w:rsidRPr="0022330A">
        <w:t xml:space="preserve"> word / character</w:t>
      </w:r>
      <w:r w:rsidR="0027482F">
        <w:t xml:space="preserve"> or page</w:t>
      </w:r>
      <w:r w:rsidR="001570F0" w:rsidRPr="0022330A">
        <w:t xml:space="preserve"> limits specified.</w:t>
      </w:r>
    </w:p>
    <w:p w14:paraId="31E0F86D" w14:textId="77777777" w:rsidR="005331F4" w:rsidRDefault="005331F4" w:rsidP="005331F4">
      <w:pPr>
        <w:pStyle w:val="Heading3"/>
      </w:pPr>
      <w:r>
        <w:t xml:space="preserve">All pages of the Tender Response must be sequentially numbered (including any forms to be completed and returned). </w:t>
      </w:r>
    </w:p>
    <w:p w14:paraId="3332A282" w14:textId="1E212D9A" w:rsidR="005331F4" w:rsidRPr="0022330A" w:rsidRDefault="005331F4" w:rsidP="005331F4">
      <w:pPr>
        <w:pStyle w:val="Heading3"/>
      </w:pPr>
      <w:r>
        <w:t>All Tenderers must submit their Tender Responses in a Microsoft Word compatible format.</w:t>
      </w:r>
    </w:p>
    <w:p w14:paraId="19FA7695" w14:textId="026FC4CE" w:rsidR="001570F0" w:rsidRPr="0022330A" w:rsidRDefault="007B1C64" w:rsidP="007B1C64">
      <w:pPr>
        <w:pStyle w:val="Heading3"/>
      </w:pPr>
      <w:r w:rsidRPr="0022330A">
        <w:t>Q</w:t>
      </w:r>
      <w:r w:rsidR="001570F0" w:rsidRPr="0022330A">
        <w:t>uestions</w:t>
      </w:r>
      <w:r w:rsidRPr="0022330A">
        <w:t xml:space="preserve"> should not be answered</w:t>
      </w:r>
      <w:r w:rsidR="001570F0" w:rsidRPr="0022330A">
        <w:t xml:space="preserve"> by cross referring to other answers or to other materials (e.g. annual company reports located on a web site). Each question answered must be complete in its own right.</w:t>
      </w:r>
    </w:p>
    <w:p w14:paraId="38A3E681" w14:textId="7C61B1FB" w:rsidR="001570F0" w:rsidRPr="0022330A" w:rsidRDefault="007B1C64" w:rsidP="007B1C64">
      <w:pPr>
        <w:pStyle w:val="Heading3"/>
      </w:pPr>
      <w:r w:rsidRPr="0022330A">
        <w:t>The Authority may</w:t>
      </w:r>
      <w:r w:rsidR="001570F0" w:rsidRPr="0022330A">
        <w:t xml:space="preserve"> disregard any part of a response to a question which exceeds the specified character limit (i.e. the excess will be disregarded, not the whole response). </w:t>
      </w:r>
    </w:p>
    <w:p w14:paraId="05F8FEC4" w14:textId="4DC086B4" w:rsidR="001570F0" w:rsidRPr="0022330A" w:rsidRDefault="001570F0" w:rsidP="007B1C64">
      <w:pPr>
        <w:pStyle w:val="Heading2"/>
      </w:pPr>
      <w:r w:rsidRPr="0022330A">
        <w:t>All Tenders must be received by the Authority before</w:t>
      </w:r>
      <w:r w:rsidR="007B1C64" w:rsidRPr="0022330A">
        <w:t xml:space="preserve"> the Tender Submission Deadline.  </w:t>
      </w:r>
      <w:r w:rsidRPr="0022330A">
        <w:t xml:space="preserve">Tenders received </w:t>
      </w:r>
      <w:r w:rsidR="007451CF">
        <w:t xml:space="preserve">on or </w:t>
      </w:r>
      <w:r w:rsidRPr="0022330A">
        <w:t xml:space="preserve">after the Tender Submission Deadline will be considered irregular and will be </w:t>
      </w:r>
      <w:r w:rsidR="007451CF">
        <w:t>excluded from this Procurement.</w:t>
      </w:r>
    </w:p>
    <w:p w14:paraId="03F762C5" w14:textId="77777777" w:rsidR="007B1C64" w:rsidRPr="0022330A" w:rsidRDefault="007B1C64" w:rsidP="007B1C64">
      <w:pPr>
        <w:pStyle w:val="Heading2"/>
      </w:pPr>
      <w:r w:rsidRPr="0022330A">
        <w:t xml:space="preserve">Potential Providers may modify and resubmit a </w:t>
      </w:r>
      <w:r w:rsidR="001570F0" w:rsidRPr="0022330A">
        <w:t xml:space="preserve">Tender at any time prior to </w:t>
      </w:r>
      <w:r w:rsidRPr="0022330A">
        <w:t>the Tender Submission Deadline</w:t>
      </w:r>
      <w:r w:rsidR="001570F0" w:rsidRPr="0022330A">
        <w:t>.</w:t>
      </w:r>
      <w:r w:rsidRPr="0022330A">
        <w:t xml:space="preserve">   </w:t>
      </w:r>
    </w:p>
    <w:p w14:paraId="3C2133E7" w14:textId="4494C3E8" w:rsidR="001570F0" w:rsidRPr="0022330A" w:rsidRDefault="007B1C64" w:rsidP="007B1C64">
      <w:pPr>
        <w:pStyle w:val="Heading2"/>
      </w:pPr>
      <w:r w:rsidRPr="0022330A">
        <w:t xml:space="preserve">Potential Providers </w:t>
      </w:r>
      <w:r w:rsidR="001570F0" w:rsidRPr="0022330A">
        <w:t xml:space="preserve">may withdraw from this Procurement by choosing not to submit a Tender by the Tender Submission Deadline. </w:t>
      </w:r>
    </w:p>
    <w:p w14:paraId="4D6B22E8" w14:textId="49C3442F" w:rsidR="001570F0" w:rsidRDefault="001570F0" w:rsidP="00655836">
      <w:pPr>
        <w:pStyle w:val="Heading2"/>
      </w:pPr>
      <w:r w:rsidRPr="0022330A">
        <w:t>Tender</w:t>
      </w:r>
      <w:r w:rsidR="007B1C64" w:rsidRPr="0022330A">
        <w:t>s</w:t>
      </w:r>
      <w:r w:rsidRPr="0022330A">
        <w:t xml:space="preserve"> must remain valid and capable of acceptance by the Authority for a period of </w:t>
      </w:r>
      <w:r w:rsidR="007B1C64" w:rsidRPr="000442DE">
        <w:t>120</w:t>
      </w:r>
      <w:r w:rsidRPr="0022330A">
        <w:t xml:space="preserve"> days following the Tender Submission Deadline.</w:t>
      </w:r>
    </w:p>
    <w:p w14:paraId="4E2DFD64" w14:textId="77777777" w:rsidR="005331F4" w:rsidRPr="005331F4" w:rsidRDefault="005331F4" w:rsidP="005331F4">
      <w:pPr>
        <w:pStyle w:val="Heading1"/>
      </w:pPr>
      <w:bookmarkStart w:id="13" w:name="_Toc431551147"/>
      <w:bookmarkStart w:id="14" w:name="_Ref432578311"/>
      <w:bookmarkStart w:id="15" w:name="_Toc467764410"/>
      <w:r w:rsidRPr="005331F4">
        <w:lastRenderedPageBreak/>
        <w:t>CONTRACTING ARRANGEMENTS (Sub-contractORS AND GROUPS OF ECONOMIC OPERATORS)</w:t>
      </w:r>
      <w:bookmarkEnd w:id="13"/>
      <w:bookmarkEnd w:id="14"/>
      <w:bookmarkEnd w:id="15"/>
    </w:p>
    <w:p w14:paraId="35E81A89" w14:textId="059C78AB" w:rsidR="00EC1D97" w:rsidRPr="006103D9" w:rsidRDefault="00EC1D97" w:rsidP="00EC1D9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(Attachment </w:t>
      </w:r>
      <w:r w:rsidR="00203A53">
        <w:t>5</w:t>
      </w:r>
      <w:r w:rsidRPr="006103D9">
        <w:t>). The Authority needs clarity on how bids are structured in terms of organisations contributing to them.</w:t>
      </w:r>
    </w:p>
    <w:p w14:paraId="244EC693" w14:textId="3CD59418" w:rsidR="00EC1D97" w:rsidRPr="006103D9" w:rsidRDefault="00EC1D97" w:rsidP="00EC1D97">
      <w:pPr>
        <w:pStyle w:val="Heading2"/>
      </w:pPr>
      <w:bookmarkStart w:id="16"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7D24AFD8" w14:textId="1F868B0C" w:rsidR="00EC1D97" w:rsidRPr="006103D9" w:rsidRDefault="00EC1D97" w:rsidP="00EC1D97">
      <w:pPr>
        <w:pStyle w:val="Heading2"/>
      </w:pPr>
      <w:bookmarkStart w:id="17" w:name="_Ref414958893"/>
      <w:r w:rsidRPr="006103D9">
        <w:t>The Tender must be completed in the name and ‘</w:t>
      </w:r>
      <w:r w:rsidRPr="0002669F">
        <w:t>voice’</w:t>
      </w:r>
      <w:r w:rsidRPr="006103D9">
        <w:t xml:space="preserv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6"/>
      <w:bookmarkEnd w:id="17"/>
      <w:r>
        <w:t>.</w:t>
      </w:r>
    </w:p>
    <w:p w14:paraId="2E84262A" w14:textId="1EB8ED55" w:rsidR="000530EC" w:rsidRPr="000530EC" w:rsidRDefault="000530EC" w:rsidP="000530EC">
      <w:pPr>
        <w:pStyle w:val="Heading2"/>
        <w:numPr>
          <w:ilvl w:val="0"/>
          <w:numId w:val="0"/>
        </w:numPr>
        <w:ind w:left="720"/>
        <w:rPr>
          <w:b/>
        </w:rPr>
      </w:pPr>
      <w:bookmarkStart w:id="18" w:name="_Ref286761748"/>
      <w:r w:rsidRPr="000530EC">
        <w:rPr>
          <w:b/>
        </w:rPr>
        <w:t>Sub-Contracting Proposals</w:t>
      </w:r>
    </w:p>
    <w:p w14:paraId="30A52D8D" w14:textId="01C683DA" w:rsidR="000530EC" w:rsidRPr="00F313A4" w:rsidRDefault="000530EC" w:rsidP="000530EC">
      <w:pPr>
        <w:pStyle w:val="Heading2"/>
        <w:rPr>
          <w:vanish/>
          <w:specVanish/>
        </w:rPr>
      </w:pPr>
      <w:bookmarkStart w:id="19" w:name="_Ref316390160"/>
      <w:r>
        <w:t>Only</w:t>
      </w:r>
      <w:r w:rsidRPr="006103D9">
        <w:t xml:space="preserve"> Sub-Contractors identified in the Tender will be able to provide </w:t>
      </w:r>
      <w:r w:rsidRPr="000442DE">
        <w:t>Services</w:t>
      </w:r>
      <w:r>
        <w:t xml:space="preserve"> </w:t>
      </w:r>
      <w:r w:rsidRPr="006103D9">
        <w:t>through the Contract.</w:t>
      </w:r>
      <w:bookmarkEnd w:id="19"/>
    </w:p>
    <w:p w14:paraId="22A1B4E3" w14:textId="641C3820" w:rsidR="000530EC" w:rsidRDefault="000530EC" w:rsidP="000530EC">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2B40DC03" w14:textId="24CCA8D7" w:rsidR="000530EC" w:rsidRDefault="000530EC" w:rsidP="000530EC">
      <w:pPr>
        <w:pStyle w:val="Heading2"/>
      </w:pPr>
      <w:r>
        <w:t xml:space="preserve">Where Potential Providers propose to use </w:t>
      </w:r>
      <w:bookmarkEnd w:id="18"/>
      <w:r w:rsidRPr="006103D9">
        <w:t>one or more Sub-Contractors</w:t>
      </w:r>
      <w:r>
        <w:t xml:space="preserve">, they should </w:t>
      </w:r>
      <w:r w:rsidR="00EC1D97" w:rsidRPr="006103D9">
        <w:t xml:space="preserve">complete question </w:t>
      </w:r>
      <w:r w:rsidR="00EC1D97" w:rsidRPr="00302B92">
        <w:t>1.2</w:t>
      </w:r>
      <w:r w:rsidR="00302B92">
        <w:t>(b)</w:t>
      </w:r>
      <w:r w:rsidR="00EC1D97" w:rsidRPr="006103D9">
        <w:t xml:space="preserve"> in the Selection Questionnaire </w:t>
      </w:r>
    </w:p>
    <w:p w14:paraId="1743D56D" w14:textId="77777777" w:rsidR="00887FD4" w:rsidRDefault="00EC1D97" w:rsidP="00887FD4">
      <w:pPr>
        <w:pStyle w:val="Heading2"/>
      </w:pPr>
      <w:r w:rsidRPr="006103D9">
        <w:t xml:space="preserve">The Authority does not require all sub-contractors to </w:t>
      </w:r>
      <w:r w:rsidR="000530EC">
        <w:t xml:space="preserve">be disclosed.  Only </w:t>
      </w:r>
      <w:r w:rsidRPr="006103D9">
        <w:t xml:space="preserve">those sub-contractors who directly contribute to </w:t>
      </w:r>
      <w:r w:rsidR="000530EC">
        <w:t xml:space="preserve">the </w:t>
      </w:r>
      <w:r w:rsidRPr="006103D9">
        <w:t xml:space="preserve">ability to meet </w:t>
      </w:r>
      <w:r w:rsidR="000530EC">
        <w:t xml:space="preserve">obligations under the Contract must be disclosed.  </w:t>
      </w:r>
      <w:r w:rsidRPr="006103D9">
        <w:t xml:space="preserve">There is no need to specify sub-contractors supplying general services to you (such as </w:t>
      </w:r>
      <w:r w:rsidR="000530EC">
        <w:t>window cleaners, lawyers, desktop software providers etc.)</w:t>
      </w:r>
    </w:p>
    <w:p w14:paraId="73ADFBF3" w14:textId="3BB3DE62" w:rsidR="00EC1D97" w:rsidRPr="006103D9" w:rsidRDefault="00887FD4" w:rsidP="00887FD4">
      <w:pPr>
        <w:pStyle w:val="Heading2"/>
      </w:pPr>
      <w:r>
        <w:t xml:space="preserve">Reliance </w:t>
      </w:r>
      <w:r w:rsidR="00EC1D97" w:rsidRPr="006103D9">
        <w:t xml:space="preserve">on the capability and/or experience of one or more Sub-Contractors to demonstrate ability to provide the </w:t>
      </w:r>
      <w:r w:rsidR="00EC1D97" w:rsidRPr="000442DE">
        <w:t>Services</w:t>
      </w:r>
      <w:r w:rsidR="00EC1D97" w:rsidRPr="006103D9">
        <w:t xml:space="preserve"> must </w:t>
      </w:r>
      <w:r>
        <w:t xml:space="preserve">be described in the </w:t>
      </w:r>
      <w:r w:rsidR="00EC1D97" w:rsidRPr="006103D9">
        <w:t>Tender.</w:t>
      </w:r>
      <w:r>
        <w:t xml:space="preserve">  Potential Providers </w:t>
      </w:r>
      <w:r w:rsidR="00EC1D97" w:rsidRPr="006103D9">
        <w:t xml:space="preserve">must clearly identify </w:t>
      </w:r>
      <w:r>
        <w:t xml:space="preserve">in </w:t>
      </w:r>
      <w:r w:rsidR="00EC1D97" w:rsidRPr="006103D9">
        <w:t>response</w:t>
      </w:r>
      <w:r>
        <w:t xml:space="preserve">s to </w:t>
      </w:r>
      <w:r w:rsidR="00EC1D97" w:rsidRPr="006103D9">
        <w:t>question</w:t>
      </w:r>
      <w:r>
        <w:t>s when it is relying on a Sub-Contractor.</w:t>
      </w:r>
    </w:p>
    <w:p w14:paraId="74A78B9D" w14:textId="77777777" w:rsidR="00EC1D97" w:rsidRPr="006103D9" w:rsidRDefault="00EC1D97" w:rsidP="00887FD4">
      <w:pPr>
        <w:pStyle w:val="Heading2"/>
        <w:numPr>
          <w:ilvl w:val="0"/>
          <w:numId w:val="0"/>
        </w:numPr>
        <w:ind w:left="720"/>
        <w:rPr>
          <w:b/>
        </w:rPr>
      </w:pPr>
      <w:bookmarkStart w:id="20" w:name="_Ref286761761"/>
      <w:r w:rsidRPr="006103D9">
        <w:rPr>
          <w:b/>
        </w:rPr>
        <w:t xml:space="preserve">Group of Economic Operator </w:t>
      </w:r>
      <w:bookmarkEnd w:id="20"/>
      <w:r w:rsidRPr="006103D9">
        <w:rPr>
          <w:b/>
        </w:rPr>
        <w:t>proposals:</w:t>
      </w:r>
    </w:p>
    <w:p w14:paraId="5AA40D6E" w14:textId="02FAB064" w:rsidR="00EC1D97" w:rsidRPr="006103D9" w:rsidRDefault="00EC1D97" w:rsidP="00EC1D97">
      <w:pPr>
        <w:pStyle w:val="Heading2"/>
      </w:pPr>
      <w:r w:rsidRPr="006103D9">
        <w:lastRenderedPageBreak/>
        <w:t>If a Group of Economic Operators wish</w:t>
      </w:r>
      <w:r w:rsidR="00887FD4">
        <w:t>es</w:t>
      </w:r>
      <w:r w:rsidRPr="006103D9">
        <w:t xml:space="preserve"> to act jointly to provide the </w:t>
      </w:r>
      <w:r w:rsidRPr="000442DE">
        <w:t>Services</w:t>
      </w:r>
      <w:r w:rsidR="0098048F">
        <w:t xml:space="preserve">, </w:t>
      </w:r>
      <w:r w:rsidR="00887FD4">
        <w:t xml:space="preserve">it </w:t>
      </w:r>
      <w:r w:rsidRPr="006103D9">
        <w:t xml:space="preserve">may do so with all parties signing the Contract and assuming joint and several responsibility for performance.  </w:t>
      </w:r>
    </w:p>
    <w:p w14:paraId="62A4177D" w14:textId="25904946" w:rsidR="00EC1D97" w:rsidRPr="006103D9" w:rsidRDefault="00887FD4" w:rsidP="00EC1D97">
      <w:pPr>
        <w:pStyle w:val="Heading2"/>
      </w:pPr>
      <w:r>
        <w:t xml:space="preserve">The </w:t>
      </w:r>
      <w:r w:rsidR="00EC1D97" w:rsidRPr="006103D9">
        <w:t>Authority may require the Group of Economic Operators to assume a specific legal form for the purpose of concluding the Contract</w:t>
      </w:r>
      <w:r>
        <w:t xml:space="preserve">.  In the case </w:t>
      </w:r>
      <w:r w:rsidR="00EC1D97" w:rsidRPr="006103D9">
        <w:t xml:space="preserve">the Authority </w:t>
      </w:r>
      <w:r>
        <w:t xml:space="preserve">may </w:t>
      </w:r>
      <w:r w:rsidR="00EC1D97" w:rsidRPr="006103D9">
        <w:t>require the members of the Group of Economic Operators to nominate a Guarantor for the single legal entity’s performance of the Contract.</w:t>
      </w:r>
    </w:p>
    <w:p w14:paraId="65FFC874" w14:textId="4E7098E9" w:rsidR="00887FD4" w:rsidRPr="006103D9" w:rsidRDefault="00887FD4" w:rsidP="00887FD4">
      <w:pPr>
        <w:pStyle w:val="Heading2"/>
      </w:pPr>
      <w:r>
        <w:t>A</w:t>
      </w:r>
      <w:r w:rsidR="00EC1D97" w:rsidRPr="006103D9">
        <w:t xml:space="preserve"> Lead Contact </w:t>
      </w:r>
      <w:r>
        <w:t xml:space="preserve">should be nominated to </w:t>
      </w:r>
      <w:r w:rsidR="00EC1D97"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w:t>
      </w:r>
      <w:r w:rsidR="0098048F">
        <w:t xml:space="preserve">requested in </w:t>
      </w:r>
      <w:r w:rsidRPr="006103D9">
        <w:t xml:space="preserve">question </w:t>
      </w:r>
      <w:r w:rsidRPr="00302B92">
        <w:t>1.2</w:t>
      </w:r>
      <w:r w:rsidR="00140F05" w:rsidRPr="00302B92">
        <w:t>(a)</w:t>
      </w:r>
      <w:r w:rsidR="0098048F">
        <w:t xml:space="preserve"> of</w:t>
      </w:r>
      <w:r w:rsidRPr="006103D9">
        <w:t xml:space="preserve"> the Selection Questionnaire</w:t>
      </w:r>
    </w:p>
    <w:p w14:paraId="1A338AB3" w14:textId="512CE508" w:rsidR="0098048F" w:rsidRPr="006103D9" w:rsidRDefault="0098048F" w:rsidP="0098048F">
      <w:pPr>
        <w:pStyle w:val="Heading2"/>
      </w:pPr>
      <w:r>
        <w:t xml:space="preserve">Reliance </w:t>
      </w:r>
      <w:r w:rsidRPr="006103D9">
        <w:t xml:space="preserve">on the capability and/or experience of one or more members of the Group of Economic Operators to demonstrate ability to provide the </w:t>
      </w:r>
      <w:r w:rsidRPr="000442DE">
        <w:t>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5091024D" w14:textId="77777777" w:rsidR="00EC1D97" w:rsidRPr="0098048F" w:rsidRDefault="00EC1D97" w:rsidP="0098048F">
      <w:pPr>
        <w:pStyle w:val="Heading2"/>
        <w:numPr>
          <w:ilvl w:val="0"/>
          <w:numId w:val="0"/>
        </w:numPr>
        <w:ind w:left="720"/>
        <w:rPr>
          <w:b/>
        </w:rPr>
      </w:pPr>
      <w:bookmarkStart w:id="21" w:name="_Ref320716532"/>
      <w:r w:rsidRPr="0098048F">
        <w:rPr>
          <w:b/>
        </w:rPr>
        <w:t>Changes to the contracting arrangements</w:t>
      </w:r>
      <w:bookmarkEnd w:id="21"/>
    </w:p>
    <w:p w14:paraId="66122BE5" w14:textId="2D3ED83F" w:rsidR="00EC1D97" w:rsidRPr="006103D9" w:rsidRDefault="00EC1D97" w:rsidP="00EC1D97">
      <w:pPr>
        <w:pStyle w:val="Heading2"/>
      </w:pPr>
      <w:bookmarkStart w:id="22"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rsidR="0098048F">
        <w:t xml:space="preserve">the </w:t>
      </w:r>
      <w:r w:rsidRPr="006103D9">
        <w:t xml:space="preserve">ability to deliver the requirements. </w:t>
      </w:r>
      <w:r w:rsidR="0098048F">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23F648A2" w14:textId="77777777" w:rsidR="00EC1D97" w:rsidRPr="0098048F" w:rsidRDefault="00EC1D97" w:rsidP="0098048F">
      <w:pPr>
        <w:pStyle w:val="Heading2"/>
        <w:numPr>
          <w:ilvl w:val="0"/>
          <w:numId w:val="0"/>
        </w:numPr>
        <w:ind w:left="720"/>
        <w:rPr>
          <w:b/>
        </w:rPr>
      </w:pPr>
      <w:bookmarkStart w:id="23" w:name="_Ref432002788"/>
      <w:r w:rsidRPr="0098048F">
        <w:rPr>
          <w:b/>
        </w:rPr>
        <w:t>Terms of Participation</w:t>
      </w:r>
      <w:bookmarkEnd w:id="23"/>
    </w:p>
    <w:p w14:paraId="1EA7BE37" w14:textId="6879EA06" w:rsidR="005331F4" w:rsidRPr="00655836" w:rsidRDefault="00EC1D97" w:rsidP="005331F4">
      <w:pPr>
        <w:pStyle w:val="Heading2"/>
        <w:numPr>
          <w:ilvl w:val="0"/>
          <w:numId w:val="0"/>
        </w:numPr>
        <w:ind w:left="720"/>
      </w:pPr>
      <w:r w:rsidRPr="006103D9">
        <w:t xml:space="preserve">The Authority requires </w:t>
      </w:r>
      <w:r w:rsidR="0098048F">
        <w:t>single-</w:t>
      </w:r>
      <w:r>
        <w:t>entity</w:t>
      </w:r>
      <w:r w:rsidRPr="006103D9">
        <w:t xml:space="preserve"> Potential Provider</w:t>
      </w:r>
      <w:r w:rsidR="0098048F">
        <w:t>s</w:t>
      </w:r>
      <w:r w:rsidRPr="006103D9">
        <w:t xml:space="preserve"> or Lead Contact</w:t>
      </w:r>
      <w:r w:rsidR="0098048F">
        <w:t>s</w:t>
      </w:r>
      <w:r w:rsidRPr="006103D9">
        <w:t xml:space="preserve"> to confirm </w:t>
      </w:r>
      <w:r w:rsidR="0098048F">
        <w:t xml:space="preserve">that any </w:t>
      </w:r>
      <w:r w:rsidRPr="006103D9">
        <w:t xml:space="preserve">Sub-Contractor and/or member of </w:t>
      </w:r>
      <w:r w:rsidR="0098048F">
        <w:t>a</w:t>
      </w:r>
      <w:r w:rsidRPr="006103D9">
        <w:t xml:space="preserve"> Group of Economic Operators has read, understood and complied with</w:t>
      </w:r>
      <w:r>
        <w:t xml:space="preserve"> all</w:t>
      </w:r>
      <w:r w:rsidRPr="006103D9">
        <w:t xml:space="preserve"> the statements contained within the </w:t>
      </w:r>
      <w:r>
        <w:t>Terms of Participation</w:t>
      </w:r>
      <w:r w:rsidRPr="006103D9">
        <w:t xml:space="preserve"> (Attachment</w:t>
      </w:r>
      <w:r w:rsidR="00CE3245">
        <w:t xml:space="preserve"> 1</w:t>
      </w:r>
      <w:r w:rsidRPr="006103D9">
        <w:t xml:space="preserve">). </w:t>
      </w:r>
      <w:bookmarkEnd w:id="22"/>
    </w:p>
    <w:p w14:paraId="42872423" w14:textId="77777777" w:rsidR="004D6816" w:rsidRPr="001F70E1" w:rsidRDefault="004D6816" w:rsidP="0082469B">
      <w:pPr>
        <w:pStyle w:val="Heading1"/>
      </w:pPr>
      <w:bookmarkStart w:id="24" w:name="_Toc467764411"/>
      <w:r w:rsidRPr="001F70E1">
        <w:lastRenderedPageBreak/>
        <w:t>tender EVALUATION</w:t>
      </w:r>
      <w:bookmarkEnd w:id="24"/>
    </w:p>
    <w:p w14:paraId="42872425" w14:textId="1D415958" w:rsidR="004D6816" w:rsidRPr="007451CF" w:rsidRDefault="00801093" w:rsidP="004D2DDC">
      <w:pPr>
        <w:pStyle w:val="Heading2"/>
      </w:pPr>
      <w:r w:rsidRPr="007451CF">
        <w:t>An</w:t>
      </w:r>
      <w:r w:rsidR="004D6816" w:rsidRPr="007451CF">
        <w:t xml:space="preserve"> Evaluation Guidance document </w:t>
      </w:r>
      <w:r w:rsidRPr="007451CF">
        <w:t xml:space="preserve">(Attachment </w:t>
      </w:r>
      <w:r w:rsidR="00203A53" w:rsidRPr="007451CF">
        <w:t>4</w:t>
      </w:r>
      <w:r w:rsidRPr="007451CF">
        <w:t xml:space="preserve">) </w:t>
      </w:r>
      <w:r w:rsidR="004D6816" w:rsidRPr="007451CF">
        <w:t>has been provided to Potential Providers to ensure full understanding of how Tenders are to be eva</w:t>
      </w:r>
      <w:r w:rsidR="008A2EB6" w:rsidRPr="007451CF">
        <w:t>luated by the evaluation teams.</w:t>
      </w:r>
    </w:p>
    <w:p w14:paraId="42872426" w14:textId="73BC2DC7" w:rsidR="004D6816" w:rsidRPr="007451CF" w:rsidRDefault="0002669F" w:rsidP="004D2DDC">
      <w:pPr>
        <w:pStyle w:val="Heading2"/>
      </w:pPr>
      <w:r w:rsidRPr="007451CF">
        <w:t xml:space="preserve">Evaluation is based on MEAT in accordance </w:t>
      </w:r>
      <w:r w:rsidR="00203A53" w:rsidRPr="007451CF">
        <w:t>with methodology in Attachment 4</w:t>
      </w:r>
      <w:r w:rsidRPr="007451CF">
        <w:t xml:space="preserve">. </w:t>
      </w:r>
    </w:p>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25" w:name="_Toc467764412"/>
      <w:r w:rsidRPr="001F70E1">
        <w:t>CONTRACT AWARD</w:t>
      </w:r>
      <w:bookmarkEnd w:id="25"/>
    </w:p>
    <w:p w14:paraId="42872452" w14:textId="6DFC7D2E" w:rsidR="004D6816" w:rsidRPr="001F70E1" w:rsidRDefault="004D6816" w:rsidP="004D2DDC">
      <w:pPr>
        <w:pStyle w:val="Heading2"/>
      </w:pPr>
      <w:r w:rsidRPr="001F70E1">
        <w:t>The Potential Provider that achieves the highest total scor</w:t>
      </w:r>
      <w:r w:rsidR="008A2EB6">
        <w:t>e will be awarded the Contract.</w:t>
      </w:r>
      <w:r w:rsidR="007424B1">
        <w:t xml:space="preserve">  </w:t>
      </w:r>
    </w:p>
    <w:p w14:paraId="42872453" w14:textId="03E8567F" w:rsidR="004D6816" w:rsidRDefault="004D6816" w:rsidP="004D2DDC">
      <w:pPr>
        <w:pStyle w:val="Heading2"/>
      </w:pPr>
      <w:r w:rsidRPr="001F70E1">
        <w:t xml:space="preserve">If two or more Potential Providers obtain the </w:t>
      </w:r>
      <w:r w:rsidR="00FC1B21">
        <w:t xml:space="preserve">same </w:t>
      </w:r>
      <w:r w:rsidRPr="001F70E1">
        <w:t xml:space="preserve">highest </w:t>
      </w:r>
      <w:r w:rsidR="00A23413">
        <w:t xml:space="preserve">combined </w:t>
      </w:r>
      <w:r w:rsidRPr="001F70E1">
        <w:t xml:space="preserve">total score, the Potential Provider with the highest score for </w:t>
      </w:r>
      <w:r w:rsidR="00054244">
        <w:t xml:space="preserve">the Core Team within </w:t>
      </w:r>
      <w:r w:rsidR="00A23413">
        <w:t>Technical Evaluation</w:t>
      </w:r>
      <w:r w:rsidR="00A23413" w:rsidRPr="001F70E1">
        <w:t xml:space="preserve"> </w:t>
      </w:r>
      <w:r w:rsidR="00054244">
        <w:t>(</w:t>
      </w:r>
      <w:r w:rsidR="002D6307">
        <w:t>Award</w:t>
      </w:r>
      <w:r w:rsidR="00A23413">
        <w:t xml:space="preserve"> Criteria </w:t>
      </w:r>
      <w:r w:rsidR="00DA173C">
        <w:t>AQ</w:t>
      </w:r>
      <w:r w:rsidR="00A23413">
        <w:t>2</w:t>
      </w:r>
      <w:r w:rsidR="00054244">
        <w:t xml:space="preserve"> and </w:t>
      </w:r>
      <w:r w:rsidR="00DA173C">
        <w:t>AQ</w:t>
      </w:r>
      <w:r w:rsidR="00A23413">
        <w:t>3</w:t>
      </w:r>
      <w:r w:rsidR="00054244">
        <w:t>)</w:t>
      </w:r>
      <w:r w:rsidRPr="001F70E1">
        <w:t xml:space="preserve"> will be deemed the wi</w:t>
      </w:r>
      <w:r w:rsidR="008A2EB6">
        <w:t>nner and awarded the Contract.</w:t>
      </w:r>
    </w:p>
    <w:p w14:paraId="6EB487F2" w14:textId="643DC026" w:rsidR="00362700" w:rsidRDefault="00362700" w:rsidP="00362700">
      <w:pPr>
        <w:pStyle w:val="Heading2"/>
      </w:pPr>
      <w:r>
        <w:t>Contract Award is subject to the formal approval process of the Authority. Until all necessary approvals are obtained and the standstill period completed, no contract will be entered into.</w:t>
      </w:r>
    </w:p>
    <w:p w14:paraId="505F8A10" w14:textId="5D957623" w:rsidR="00362700" w:rsidRDefault="00362700" w:rsidP="00362700">
      <w:pPr>
        <w:pStyle w:val="Heading2"/>
      </w:pPr>
      <w:r>
        <w:t xml:space="preserve">Once the Authority has reached a decision in respect of a contract award, it will notify all </w:t>
      </w:r>
      <w:r w:rsidRPr="001F70E1">
        <w:t xml:space="preserve">Potential Providers </w:t>
      </w:r>
      <w:r>
        <w:t>of that decision and provide for a standstill period in accordance with the Regulations be</w:t>
      </w:r>
      <w:r w:rsidR="002D6307">
        <w:t>fore entering into any contract</w:t>
      </w:r>
      <w:r>
        <w:t>.</w:t>
      </w:r>
    </w:p>
    <w:p w14:paraId="42872455" w14:textId="77777777" w:rsidR="002F0FDB" w:rsidRPr="001F70E1" w:rsidRDefault="002F0FDB" w:rsidP="0082469B">
      <w:pPr>
        <w:pStyle w:val="Heading1"/>
      </w:pPr>
      <w:bookmarkStart w:id="26" w:name="_Toc467764413"/>
      <w:r w:rsidRPr="001F70E1">
        <w:t>Procurement Contact</w:t>
      </w:r>
      <w:bookmarkEnd w:id="26"/>
    </w:p>
    <w:p w14:paraId="42872456" w14:textId="77777777" w:rsidR="002F0FDB" w:rsidRPr="001F70E1" w:rsidRDefault="002F0FDB" w:rsidP="004D2DDC">
      <w:pPr>
        <w:pStyle w:val="Heading2"/>
      </w:pPr>
      <w:r w:rsidRPr="001F70E1">
        <w:t>The procureme</w:t>
      </w:r>
      <w:r w:rsidR="008A2EB6">
        <w:t>nt lead for this requirement is:</w:t>
      </w:r>
    </w:p>
    <w:p w14:paraId="42872457" w14:textId="2813E922" w:rsidR="002F0FDB" w:rsidRPr="000442DE" w:rsidRDefault="003F7D02" w:rsidP="004C231C">
      <w:pPr>
        <w:pStyle w:val="Heading3"/>
        <w:numPr>
          <w:ilvl w:val="0"/>
          <w:numId w:val="0"/>
        </w:numPr>
        <w:spacing w:after="0"/>
        <w:ind w:left="720"/>
      </w:pPr>
      <w:r w:rsidRPr="000442DE">
        <w:t>Suzanne Thomas, Commercial Specialist</w:t>
      </w:r>
    </w:p>
    <w:p w14:paraId="42872459" w14:textId="67747992" w:rsidR="002F0FDB" w:rsidRDefault="00F903F0" w:rsidP="004C231C">
      <w:pPr>
        <w:pStyle w:val="Heading3"/>
        <w:numPr>
          <w:ilvl w:val="0"/>
          <w:numId w:val="0"/>
        </w:numPr>
        <w:spacing w:after="0"/>
        <w:ind w:left="720"/>
      </w:pPr>
      <w:hyperlink r:id="rId17" w:history="1">
        <w:r w:rsidR="001E5F5A" w:rsidRPr="00337E02">
          <w:rPr>
            <w:rStyle w:val="Hyperlink"/>
          </w:rPr>
          <w:t>iccadvisory@dh.gsi.gov.uk</w:t>
        </w:r>
      </w:hyperlink>
    </w:p>
    <w:p w14:paraId="03A78207" w14:textId="77777777" w:rsidR="001E5F5A" w:rsidRDefault="001E5F5A" w:rsidP="001E5F5A">
      <w:pPr>
        <w:pStyle w:val="Heading3"/>
        <w:numPr>
          <w:ilvl w:val="0"/>
          <w:numId w:val="0"/>
        </w:numPr>
        <w:spacing w:after="0"/>
        <w:ind w:left="720"/>
      </w:pPr>
    </w:p>
    <w:p w14:paraId="4287245A" w14:textId="77777777" w:rsidR="004D6816" w:rsidRPr="001F70E1" w:rsidRDefault="004D6816" w:rsidP="0082469B">
      <w:pPr>
        <w:pStyle w:val="Heading1"/>
      </w:pPr>
      <w:bookmarkStart w:id="27" w:name="_Toc467764414"/>
      <w:r w:rsidRPr="001F70E1">
        <w:t>glossary</w:t>
      </w:r>
      <w:bookmarkEnd w:id="27"/>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t>“</w:t>
      </w:r>
      <w:r w:rsidRPr="001F70E1">
        <w:rPr>
          <w:b/>
        </w:rPr>
        <w:t>Authority</w:t>
      </w:r>
      <w:r w:rsidRPr="001F70E1">
        <w:t xml:space="preserve">” means </w:t>
      </w:r>
      <w:r w:rsidR="0094632A" w:rsidRPr="0094632A">
        <w:t>Department of Health on behalf of the Secretary of State for Health</w:t>
      </w:r>
      <w:r w:rsidRPr="001F70E1">
        <w:t>;</w:t>
      </w:r>
    </w:p>
    <w:p w14:paraId="4287245E" w14:textId="7D6BD526"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3F7D02">
        <w:t xml:space="preserve">Attachment </w:t>
      </w:r>
      <w:r w:rsidR="0024068B">
        <w:t>3</w:t>
      </w:r>
      <w:r w:rsidRPr="001F70E1">
        <w:t xml:space="preserve"> </w:t>
      </w:r>
      <w:r w:rsidRPr="00A23413">
        <w:t>(Contract</w:t>
      </w:r>
      <w:r w:rsidR="00302B92" w:rsidRPr="00A23413">
        <w:t xml:space="preserve"> for the provision of </w:t>
      </w:r>
      <w:r w:rsidR="00A23413" w:rsidRPr="00A23413">
        <w:t xml:space="preserve">ICC </w:t>
      </w:r>
      <w:r w:rsidR="00D23536">
        <w:t>Transformation</w:t>
      </w:r>
      <w:r w:rsidR="00A23413" w:rsidRPr="00A23413">
        <w:t xml:space="preserve"> </w:t>
      </w:r>
      <w:r w:rsidR="00302B92" w:rsidRPr="00A23413">
        <w:t>Services</w:t>
      </w:r>
      <w:r w:rsidRPr="00A23413">
        <w:t>)</w:t>
      </w:r>
      <w:r w:rsidRPr="001F70E1">
        <w:t>;</w:t>
      </w:r>
    </w:p>
    <w:p w14:paraId="65CFBA23" w14:textId="16E6D368" w:rsidR="00A87ED9" w:rsidRPr="001F70E1" w:rsidRDefault="004D6816" w:rsidP="00A87ED9">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xml:space="preserve">” </w:t>
      </w:r>
      <w:r w:rsidR="00A87ED9" w:rsidRPr="001F70E1">
        <w:t>means the online t</w:t>
      </w:r>
      <w:bookmarkStart w:id="28" w:name="_GoBack"/>
      <w:bookmarkEnd w:id="28"/>
      <w:r w:rsidR="00A87ED9" w:rsidRPr="001F70E1">
        <w:t xml:space="preserve">ender management system which is being used by the </w:t>
      </w:r>
      <w:r w:rsidR="00A87ED9">
        <w:t xml:space="preserve">Authority </w:t>
      </w:r>
      <w:r w:rsidR="00A87ED9" w:rsidRPr="001F70E1">
        <w:t>for this Procurement which can be found at</w:t>
      </w:r>
      <w:r w:rsidR="00A87ED9">
        <w:t xml:space="preserve"> </w:t>
      </w:r>
      <w:hyperlink r:id="rId18" w:history="1">
        <w:r w:rsidR="00A87ED9" w:rsidRPr="00932404">
          <w:rPr>
            <w:rStyle w:val="Hyperlink"/>
          </w:rPr>
          <w:t>https://www.gov.uk/government/organisations/department-of-health/about/procurement</w:t>
        </w:r>
      </w:hyperlink>
      <w:r w:rsidR="00A87ED9">
        <w:rPr>
          <w:rStyle w:val="Hyperlink"/>
        </w:rPr>
        <w:t>;</w:t>
      </w:r>
      <w:r w:rsidR="00A87ED9">
        <w:t xml:space="preserve"> </w:t>
      </w:r>
      <w:r w:rsidR="00A87ED9" w:rsidRPr="001F70E1">
        <w:t xml:space="preserve"> </w:t>
      </w:r>
    </w:p>
    <w:p w14:paraId="3CD8523C" w14:textId="158949D6" w:rsidR="00B573F9" w:rsidRPr="001F70E1" w:rsidRDefault="00B573F9" w:rsidP="004D2DDC">
      <w:pPr>
        <w:pStyle w:val="Heading2"/>
        <w:numPr>
          <w:ilvl w:val="0"/>
          <w:numId w:val="0"/>
        </w:numPr>
        <w:ind w:left="720"/>
      </w:pPr>
      <w:r w:rsidRPr="00B573F9">
        <w:lastRenderedPageBreak/>
        <w:t>“</w:t>
      </w:r>
      <w:r w:rsidRPr="00B573F9">
        <w:rPr>
          <w:b/>
        </w:rPr>
        <w:t>Group of Economic Operators</w:t>
      </w:r>
      <w:r w:rsidRPr="00B573F9">
        <w:t>”</w:t>
      </w:r>
      <w:r>
        <w:t xml:space="preserve"> </w:t>
      </w:r>
      <w:r w:rsidRPr="00B573F9">
        <w:t>means a group of economic operators acting jointly and severally to provide the Services;</w:t>
      </w:r>
    </w:p>
    <w:p w14:paraId="42872460" w14:textId="77777777" w:rsidR="004D6816" w:rsidRDefault="00BA4D4F" w:rsidP="004D2DDC">
      <w:pPr>
        <w:pStyle w:val="Heading2"/>
        <w:numPr>
          <w:ilvl w:val="0"/>
          <w:numId w:val="0"/>
        </w:numPr>
        <w:ind w:left="720"/>
      </w:pPr>
      <w:r w:rsidRPr="001F70E1">
        <w:t xml:space="preserve"> </w:t>
      </w:r>
      <w:r w:rsidR="004D6816" w:rsidRPr="001F70E1">
        <w:t>“</w:t>
      </w:r>
      <w:r w:rsidR="004D6816" w:rsidRPr="001F70E1">
        <w:rPr>
          <w:b/>
        </w:rPr>
        <w:t xml:space="preserve">Invitation to </w:t>
      </w:r>
      <w:proofErr w:type="gramStart"/>
      <w:r w:rsidR="004D6816" w:rsidRPr="001F70E1">
        <w:rPr>
          <w:b/>
        </w:rPr>
        <w:t>Tender</w:t>
      </w:r>
      <w:proofErr w:type="gramEnd"/>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FA8770" w14:textId="63515A6B" w:rsidR="0098048F" w:rsidRPr="001F70E1" w:rsidRDefault="0098048F" w:rsidP="004D2DDC">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t>“</w:t>
      </w:r>
      <w:r w:rsidRPr="001F70E1">
        <w:rPr>
          <w:b/>
        </w:rPr>
        <w:t>Minimum Total Score</w:t>
      </w:r>
      <w:r w:rsidRPr="001F70E1">
        <w:t>” means the minimum score that the Potential Provider must obtain in order to be awarded the Contract;</w:t>
      </w:r>
    </w:p>
    <w:p w14:paraId="42872464" w14:textId="269FCC8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408082F0" w:rsidR="004D6816" w:rsidRDefault="004D6816" w:rsidP="004D2DDC">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3F7D02">
        <w:t xml:space="preserve">ICC </w:t>
      </w:r>
      <w:r w:rsidR="00D23536">
        <w:t>Transformation</w:t>
      </w:r>
      <w:r w:rsidR="003F7D02">
        <w:t xml:space="preserve"> Services</w:t>
      </w:r>
      <w:r w:rsidR="00AC1E46">
        <w:t>;</w:t>
      </w:r>
    </w:p>
    <w:p w14:paraId="10437258" w14:textId="77777777" w:rsidR="00B573F9" w:rsidRDefault="00B573F9" w:rsidP="00B573F9">
      <w:pPr>
        <w:pStyle w:val="Heading2"/>
        <w:numPr>
          <w:ilvl w:val="0"/>
          <w:numId w:val="0"/>
        </w:numPr>
        <w:ind w:left="720"/>
      </w:pPr>
      <w:r w:rsidRPr="001F70E1">
        <w:t>“</w:t>
      </w:r>
      <w:r>
        <w:rPr>
          <w:b/>
        </w:rPr>
        <w:t>Sub-Contractor</w:t>
      </w:r>
      <w:r w:rsidRPr="001F70E1">
        <w:t xml:space="preserve">” </w:t>
      </w:r>
      <w:r w:rsidR="000530EC">
        <w:t xml:space="preserve">means a third party which: </w:t>
      </w:r>
    </w:p>
    <w:p w14:paraId="0CA17EFF" w14:textId="77777777" w:rsidR="00B573F9" w:rsidRDefault="000530EC" w:rsidP="00B573F9">
      <w:pPr>
        <w:pStyle w:val="Heading2"/>
        <w:numPr>
          <w:ilvl w:val="0"/>
          <w:numId w:val="27"/>
        </w:numPr>
      </w:pPr>
      <w:proofErr w:type="gramStart"/>
      <w:r>
        <w:t>provides</w:t>
      </w:r>
      <w:proofErr w:type="gramEnd"/>
      <w:r>
        <w:t xml:space="preserve"> the Services (or any part of them); </w:t>
      </w:r>
    </w:p>
    <w:p w14:paraId="6B9B8492" w14:textId="77777777" w:rsidR="00B573F9" w:rsidRDefault="000530EC" w:rsidP="00B573F9">
      <w:pPr>
        <w:pStyle w:val="Heading2"/>
        <w:numPr>
          <w:ilvl w:val="0"/>
          <w:numId w:val="27"/>
        </w:numPr>
      </w:pPr>
      <w:proofErr w:type="gramStart"/>
      <w:r>
        <w:t>provides</w:t>
      </w:r>
      <w:proofErr w:type="gramEnd"/>
      <w:r>
        <w:t xml:space="preserve"> facilities or services necessary for the provision of the Services (or any part of them); and/or</w:t>
      </w:r>
    </w:p>
    <w:p w14:paraId="6DCFB730" w14:textId="77777777" w:rsidR="00B573F9" w:rsidRDefault="000530EC" w:rsidP="00B573F9">
      <w:pPr>
        <w:pStyle w:val="Heading2"/>
        <w:numPr>
          <w:ilvl w:val="0"/>
          <w:numId w:val="27"/>
        </w:numPr>
      </w:pPr>
      <w:proofErr w:type="gramStart"/>
      <w:r>
        <w:t>is</w:t>
      </w:r>
      <w:proofErr w:type="gramEnd"/>
      <w:r>
        <w:t xml:space="preserve"> responsible for the management, direction or control of the Services (or any part of them);</w:t>
      </w:r>
    </w:p>
    <w:p w14:paraId="00F910FE" w14:textId="745E2AEA" w:rsidR="000530EC" w:rsidRPr="001F70E1" w:rsidRDefault="000530EC" w:rsidP="00B573F9">
      <w:pPr>
        <w:pStyle w:val="Heading2"/>
        <w:numPr>
          <w:ilvl w:val="0"/>
          <w:numId w:val="0"/>
        </w:numPr>
        <w:ind w:left="720"/>
      </w:pPr>
      <w:proofErr w:type="gramStart"/>
      <w:r>
        <w:t>pursuant</w:t>
      </w:r>
      <w:proofErr w:type="gramEnd"/>
      <w:r>
        <w:t xml:space="preserve"> to any contract or agreement (or proposed contrac</w:t>
      </w:r>
      <w:r w:rsidR="00B573F9">
        <w:t xml:space="preserve">t or agreement), other than the </w:t>
      </w:r>
      <w:r>
        <w:t>Contract;</w:t>
      </w:r>
    </w:p>
    <w:p w14:paraId="42872466" w14:textId="082BA692"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1DBC819B"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lastRenderedPageBreak/>
        <w:t xml:space="preserve">having </w:t>
      </w:r>
      <w:r w:rsidR="00E724F8">
        <w:rPr>
          <w:rFonts w:ascii="Helvetica Neue" w:hAnsi="Helvetica Neue"/>
          <w:sz w:val="20"/>
          <w:szCs w:val="20"/>
        </w:rPr>
        <w:t>fewer</w:t>
      </w:r>
      <w:r w:rsidR="00E724F8" w:rsidRPr="00BC6AFC">
        <w:rPr>
          <w:rFonts w:ascii="Helvetica Neue" w:hAnsi="Helvetica Neue"/>
          <w:sz w:val="20"/>
          <w:szCs w:val="20"/>
        </w:rPr>
        <w:t xml:space="preserve"> </w:t>
      </w:r>
      <w:r w:rsidRPr="00BC6AFC">
        <w:rPr>
          <w:rFonts w:ascii="Helvetica Neue" w:hAnsi="Helvetica Neue"/>
          <w:sz w:val="20"/>
          <w:szCs w:val="20"/>
        </w:rPr>
        <w:t>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54993879" w:rsidR="004D6816" w:rsidRPr="001F70E1" w:rsidRDefault="004D6816" w:rsidP="004D2DDC">
      <w:pPr>
        <w:pStyle w:val="Heading2"/>
        <w:numPr>
          <w:ilvl w:val="0"/>
          <w:numId w:val="0"/>
        </w:numPr>
        <w:ind w:left="720"/>
      </w:pPr>
      <w:r w:rsidRPr="001F70E1">
        <w:t>“</w:t>
      </w:r>
      <w:r w:rsidRPr="001F70E1">
        <w:rPr>
          <w:b/>
        </w:rPr>
        <w:t>Tender Clarifications Deadline</w:t>
      </w:r>
      <w:r w:rsidRPr="001F70E1">
        <w:t xml:space="preserve">” means the time and date set out in paragraph </w:t>
      </w:r>
      <w:r w:rsidR="00C24DAF">
        <w:t>5</w:t>
      </w:r>
      <w:r w:rsidRPr="001F70E1">
        <w:t xml:space="preserve"> for the latest submiss</w:t>
      </w:r>
      <w:r w:rsidR="008A2EB6">
        <w:t>ion of clarification questions;</w:t>
      </w:r>
    </w:p>
    <w:p w14:paraId="4287246F" w14:textId="6133EC34" w:rsidR="004D6816" w:rsidRPr="001F70E1" w:rsidRDefault="004D6816" w:rsidP="004D2DDC">
      <w:pPr>
        <w:pStyle w:val="Heading2"/>
        <w:numPr>
          <w:ilvl w:val="0"/>
          <w:numId w:val="0"/>
        </w:numPr>
        <w:ind w:left="720"/>
      </w:pPr>
      <w:r w:rsidRPr="001F70E1">
        <w:t>“</w:t>
      </w:r>
      <w:r w:rsidRPr="001F70E1">
        <w:rPr>
          <w:b/>
        </w:rPr>
        <w:t>Tender Submission Deadline</w:t>
      </w:r>
      <w:r w:rsidRPr="001F70E1">
        <w:t xml:space="preserve">” means the time and date set out in paragraph </w:t>
      </w:r>
      <w:r w:rsidR="00C24DAF">
        <w:t>5</w:t>
      </w:r>
      <w:r w:rsidRPr="001F70E1">
        <w:t xml:space="preserve"> for the latest uploading of Tenders; and</w:t>
      </w:r>
    </w:p>
    <w:p w14:paraId="42872470" w14:textId="77777777" w:rsidR="004D6816" w:rsidRDefault="004D6816" w:rsidP="004D2DDC">
      <w:pPr>
        <w:pStyle w:val="Heading2"/>
        <w:numPr>
          <w:ilvl w:val="0"/>
          <w:numId w:val="0"/>
        </w:numPr>
        <w:ind w:left="720"/>
      </w:pPr>
      <w:r w:rsidRPr="001F70E1">
        <w:t>“</w:t>
      </w:r>
      <w:r w:rsidRPr="001F70E1">
        <w:rPr>
          <w:b/>
        </w:rPr>
        <w:t>Tender</w:t>
      </w:r>
      <w:r w:rsidRPr="001F70E1">
        <w:t>” means the Potential Provider’s formal offer in respon</w:t>
      </w:r>
      <w:r w:rsidR="008A2EB6">
        <w:t>se to the Invitation to Tender.</w:t>
      </w:r>
    </w:p>
    <w:p w14:paraId="456ED5C8" w14:textId="480C4495" w:rsidR="00522159" w:rsidRDefault="00522159">
      <w:pPr>
        <w:rPr>
          <w:rFonts w:eastAsia="STZhongsong" w:cs="Times New Roman"/>
          <w:szCs w:val="20"/>
          <w:lang w:eastAsia="zh-CN"/>
        </w:rPr>
      </w:pPr>
      <w:r>
        <w:br w:type="page"/>
      </w:r>
    </w:p>
    <w:p w14:paraId="6EC62D35" w14:textId="3DFACC5B" w:rsidR="00140F05" w:rsidRDefault="00522159" w:rsidP="00522159">
      <w:pPr>
        <w:pStyle w:val="Heading1"/>
        <w:numPr>
          <w:ilvl w:val="0"/>
          <w:numId w:val="0"/>
        </w:numPr>
      </w:pPr>
      <w:bookmarkStart w:id="29" w:name="_Toc467764415"/>
      <w:r>
        <w:lastRenderedPageBreak/>
        <w:t>APPENDIX A –</w:t>
      </w:r>
      <w:r w:rsidR="00C24DAF">
        <w:t xml:space="preserve"> </w:t>
      </w:r>
      <w:r>
        <w:t>QUESTIONS TEMPLATE</w:t>
      </w:r>
      <w:bookmarkEnd w:id="29"/>
    </w:p>
    <w:p w14:paraId="68A8A3CE" w14:textId="77777777" w:rsidR="00140F05" w:rsidRDefault="00140F05" w:rsidP="00522159">
      <w:pPr>
        <w:pStyle w:val="Heading1"/>
        <w:numPr>
          <w:ilvl w:val="0"/>
          <w:numId w:val="0"/>
        </w:numPr>
      </w:pPr>
    </w:p>
    <w:p w14:paraId="28A0FC31" w14:textId="765EB700" w:rsidR="00140F05" w:rsidRDefault="00FA62A1" w:rsidP="00140F05">
      <w:pPr>
        <w:pStyle w:val="ListParagraph"/>
        <w:numPr>
          <w:ilvl w:val="0"/>
          <w:numId w:val="25"/>
        </w:numPr>
        <w:ind w:left="1440"/>
        <w:rPr>
          <w:rFonts w:ascii="Helvetica Neue" w:hAnsi="Helvetica Neue"/>
          <w:sz w:val="20"/>
          <w:szCs w:val="20"/>
        </w:rPr>
      </w:pPr>
      <w:r>
        <w:rPr>
          <w:rFonts w:ascii="Helvetica Neue" w:hAnsi="Helvetica Neue"/>
          <w:sz w:val="20"/>
          <w:szCs w:val="20"/>
        </w:rPr>
        <w:t xml:space="preserve">See </w:t>
      </w:r>
      <w:r w:rsidR="00140F05">
        <w:rPr>
          <w:rFonts w:ascii="Helvetica Neue" w:hAnsi="Helvetica Neue"/>
          <w:sz w:val="20"/>
          <w:szCs w:val="20"/>
        </w:rPr>
        <w:t xml:space="preserve">Appendix </w:t>
      </w:r>
      <w:proofErr w:type="gramStart"/>
      <w:r w:rsidR="00140F05">
        <w:rPr>
          <w:rFonts w:ascii="Helvetica Neue" w:hAnsi="Helvetica Neue"/>
          <w:sz w:val="20"/>
          <w:szCs w:val="20"/>
        </w:rPr>
        <w:t>A</w:t>
      </w:r>
      <w:proofErr w:type="gramEnd"/>
      <w:r w:rsidR="00140F05">
        <w:rPr>
          <w:rFonts w:ascii="Helvetica Neue" w:hAnsi="Helvetica Neue"/>
          <w:sz w:val="20"/>
          <w:szCs w:val="20"/>
        </w:rPr>
        <w:t xml:space="preserve"> contained within the ITT pack downloadable from </w:t>
      </w:r>
      <w:r w:rsidR="005D31C6">
        <w:rPr>
          <w:rFonts w:ascii="Helvetica Neue" w:hAnsi="Helvetica Neue"/>
          <w:sz w:val="20"/>
          <w:szCs w:val="20"/>
        </w:rPr>
        <w:t>the</w:t>
      </w:r>
      <w:r w:rsidR="00140F05">
        <w:rPr>
          <w:rFonts w:ascii="Helvetica Neue" w:hAnsi="Helvetica Neue"/>
          <w:sz w:val="20"/>
          <w:szCs w:val="20"/>
        </w:rPr>
        <w:t xml:space="preserve"> e-</w:t>
      </w:r>
      <w:r w:rsidR="00F903F0">
        <w:rPr>
          <w:rFonts w:ascii="Helvetica Neue" w:hAnsi="Helvetica Neue"/>
          <w:sz w:val="20"/>
          <w:szCs w:val="20"/>
        </w:rPr>
        <w:t>S</w:t>
      </w:r>
      <w:r w:rsidR="00140F05">
        <w:rPr>
          <w:rFonts w:ascii="Helvetica Neue" w:hAnsi="Helvetica Neue"/>
          <w:sz w:val="20"/>
          <w:szCs w:val="20"/>
        </w:rPr>
        <w:t>ourcing Portal</w:t>
      </w:r>
      <w:r w:rsidR="00140F05" w:rsidRPr="00140F05">
        <w:rPr>
          <w:rFonts w:ascii="Helvetica Neue" w:hAnsi="Helvetica Neue"/>
          <w:sz w:val="20"/>
          <w:szCs w:val="20"/>
        </w:rPr>
        <w:t>.</w:t>
      </w:r>
      <w:r>
        <w:rPr>
          <w:rFonts w:ascii="Helvetica Neue" w:hAnsi="Helvetica Neue"/>
          <w:sz w:val="20"/>
          <w:szCs w:val="20"/>
        </w:rPr>
        <w:t xml:space="preserve">  </w:t>
      </w:r>
    </w:p>
    <w:p w14:paraId="1379D650" w14:textId="77777777" w:rsidR="00FA62A1" w:rsidRPr="00FA62A1" w:rsidRDefault="00FA62A1" w:rsidP="00FA62A1">
      <w:pPr>
        <w:ind w:left="1080"/>
        <w:rPr>
          <w:szCs w:val="20"/>
        </w:rPr>
      </w:pPr>
    </w:p>
    <w:p w14:paraId="1655721E" w14:textId="1ED37044" w:rsidR="00302B92" w:rsidRPr="00356BED" w:rsidRDefault="00302B92" w:rsidP="00356BED">
      <w:pPr>
        <w:ind w:left="1080"/>
        <w:rPr>
          <w:szCs w:val="20"/>
        </w:rPr>
      </w:pPr>
    </w:p>
    <w:sectPr w:rsidR="00302B92" w:rsidRPr="00356BED" w:rsidSect="009E22EF">
      <w:headerReference w:type="even" r:id="rId19"/>
      <w:headerReference w:type="default" r:id="rId20"/>
      <w:footerReference w:type="default" r:id="rId21"/>
      <w:headerReference w:type="first" r:id="rId22"/>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570F0" w:rsidRDefault="001570F0">
      <w:pPr>
        <w:spacing w:line="20" w:lineRule="exact"/>
      </w:pPr>
    </w:p>
  </w:endnote>
  <w:endnote w:type="continuationSeparator" w:id="0">
    <w:p w14:paraId="4287247D" w14:textId="77777777" w:rsidR="001570F0" w:rsidRDefault="001570F0">
      <w:pPr>
        <w:spacing w:line="20" w:lineRule="exact"/>
      </w:pPr>
      <w:r>
        <w:t xml:space="preserve"> </w:t>
      </w:r>
    </w:p>
  </w:endnote>
  <w:endnote w:type="continuationNotice" w:id="1">
    <w:p w14:paraId="4287247E" w14:textId="77777777" w:rsidR="001570F0" w:rsidRDefault="001570F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1570F0" w:rsidRDefault="001570F0"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1570F0" w:rsidRDefault="001570F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1570F0" w:rsidRDefault="001570F0"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2DE">
      <w:rPr>
        <w:rStyle w:val="PageNumber"/>
        <w:noProof/>
      </w:rPr>
      <w:t>1</w:t>
    </w:r>
    <w:r>
      <w:rPr>
        <w:rStyle w:val="PageNumber"/>
      </w:rPr>
      <w:fldChar w:fldCharType="end"/>
    </w:r>
  </w:p>
  <w:p w14:paraId="42872483" w14:textId="77777777" w:rsidR="001570F0" w:rsidRDefault="001570F0">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1570F0" w:rsidRDefault="001570F0" w:rsidP="00074357">
    <w:pPr>
      <w:pStyle w:val="Footer"/>
      <w:pBdr>
        <w:top w:val="single" w:sz="6" w:space="1" w:color="auto"/>
      </w:pBdr>
      <w:tabs>
        <w:tab w:val="clear" w:pos="4153"/>
        <w:tab w:val="clear" w:pos="8306"/>
      </w:tabs>
      <w:ind w:right="-43"/>
      <w:jc w:val="center"/>
      <w:rPr>
        <w:sz w:val="18"/>
        <w:szCs w:val="18"/>
      </w:rPr>
    </w:pPr>
  </w:p>
  <w:p w14:paraId="4287248C" w14:textId="77777777" w:rsidR="001570F0" w:rsidRDefault="001570F0" w:rsidP="00074357">
    <w:pPr>
      <w:pStyle w:val="Footer"/>
      <w:pBdr>
        <w:top w:val="single" w:sz="6" w:space="1" w:color="auto"/>
      </w:pBdr>
      <w:tabs>
        <w:tab w:val="clear" w:pos="4153"/>
        <w:tab w:val="clear" w:pos="8306"/>
      </w:tabs>
      <w:ind w:right="-43"/>
      <w:jc w:val="center"/>
    </w:pPr>
  </w:p>
  <w:p w14:paraId="4287248D" w14:textId="77777777" w:rsidR="001570F0" w:rsidRPr="002754C8" w:rsidRDefault="001570F0"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F903F0">
      <w:rPr>
        <w:noProof/>
        <w:szCs w:val="20"/>
      </w:rPr>
      <w:t>2</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F903F0">
      <w:rPr>
        <w:noProof/>
        <w:szCs w:val="20"/>
      </w:rPr>
      <w:t>14</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570F0" w:rsidRDefault="001570F0">
      <w:r>
        <w:separator/>
      </w:r>
    </w:p>
  </w:footnote>
  <w:footnote w:type="continuationSeparator" w:id="0">
    <w:p w14:paraId="4287247A" w14:textId="77777777" w:rsidR="001570F0" w:rsidRDefault="001570F0">
      <w:r>
        <w:continuationSeparator/>
      </w:r>
    </w:p>
  </w:footnote>
  <w:footnote w:type="continuationNotice" w:id="1">
    <w:p w14:paraId="4287247B" w14:textId="77777777" w:rsidR="001570F0" w:rsidRDefault="001570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1570F0" w:rsidRDefault="001570F0">
    <w:pPr>
      <w:pStyle w:val="Header"/>
    </w:pPr>
    <w:r>
      <w:fldChar w:fldCharType="begin"/>
    </w:r>
    <w:r>
      <w:instrText xml:space="preserve"> STYLEREF "Chapter Head" \* MERGEFORMAT </w:instrText>
    </w:r>
    <w:r>
      <w:fldChar w:fldCharType="separate"/>
    </w:r>
    <w:r w:rsidR="00312073">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1570F0" w:rsidRDefault="001570F0">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1570F0" w:rsidRDefault="001570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1570F0" w:rsidRDefault="001570F0" w:rsidP="00074357">
    <w:pPr>
      <w:pStyle w:val="Header"/>
      <w:jc w:val="center"/>
      <w:rPr>
        <w:b/>
      </w:rPr>
    </w:pPr>
  </w:p>
  <w:p w14:paraId="42872487" w14:textId="2480F1FC" w:rsidR="001570F0" w:rsidRPr="00FB22F1" w:rsidRDefault="008B669E" w:rsidP="008D4B02">
    <w:pPr>
      <w:pStyle w:val="Header"/>
      <w:jc w:val="center"/>
      <w:rPr>
        <w:szCs w:val="20"/>
      </w:rPr>
    </w:pPr>
    <w:r w:rsidRPr="008B669E">
      <w:rPr>
        <w:szCs w:val="20"/>
      </w:rPr>
      <w:t>ITT</w:t>
    </w:r>
    <w:r>
      <w:rPr>
        <w:szCs w:val="20"/>
      </w:rPr>
      <w:t>60296</w:t>
    </w:r>
    <w:r w:rsidR="005B64E0" w:rsidRPr="000442DE">
      <w:rPr>
        <w:szCs w:val="20"/>
      </w:rPr>
      <w:t>/6794</w:t>
    </w:r>
    <w:r w:rsidR="001570F0" w:rsidRPr="000442DE">
      <w:rPr>
        <w:szCs w:val="20"/>
      </w:rPr>
      <w:t xml:space="preserve"> – </w:t>
    </w:r>
    <w:r w:rsidR="005B64E0" w:rsidRPr="000442DE">
      <w:rPr>
        <w:szCs w:val="20"/>
      </w:rPr>
      <w:t xml:space="preserve">ICC </w:t>
    </w:r>
    <w:r w:rsidR="00D23536">
      <w:rPr>
        <w:szCs w:val="20"/>
      </w:rPr>
      <w:t>Transformation</w:t>
    </w:r>
    <w:r w:rsidR="005B64E0" w:rsidRPr="000442DE">
      <w:rPr>
        <w:szCs w:val="20"/>
      </w:rPr>
      <w:t xml:space="preserve"> Services</w:t>
    </w:r>
  </w:p>
  <w:p w14:paraId="42872488" w14:textId="6A181356" w:rsidR="001570F0" w:rsidRPr="00FB22F1" w:rsidRDefault="001570F0" w:rsidP="00074357">
    <w:pPr>
      <w:pStyle w:val="Header"/>
      <w:jc w:val="center"/>
      <w:rPr>
        <w:szCs w:val="20"/>
      </w:rPr>
    </w:pPr>
    <w:r w:rsidRPr="00FB22F1">
      <w:rPr>
        <w:szCs w:val="20"/>
      </w:rPr>
      <w:t>Invitation to Tender</w:t>
    </w:r>
    <w:r w:rsidR="00B10BF3">
      <w:rPr>
        <w:szCs w:val="20"/>
      </w:rPr>
      <w:t xml:space="preserve"> – Instructions to </w:t>
    </w:r>
    <w:r w:rsidR="001362D7">
      <w:rPr>
        <w:szCs w:val="20"/>
      </w:rPr>
      <w:t xml:space="preserve">Potential </w:t>
    </w:r>
    <w:r w:rsidR="00B10BF3">
      <w:rPr>
        <w:szCs w:val="20"/>
      </w:rPr>
      <w:t>Providers</w:t>
    </w:r>
    <w:r w:rsidRPr="00FB22F1">
      <w:rPr>
        <w:szCs w:val="20"/>
      </w:rPr>
      <w:t xml:space="preserve"> </w:t>
    </w:r>
  </w:p>
  <w:p w14:paraId="42872489" w14:textId="77777777" w:rsidR="001570F0" w:rsidRDefault="001570F0" w:rsidP="00074357">
    <w:pPr>
      <w:pStyle w:val="Header"/>
      <w:tabs>
        <w:tab w:val="clear" w:pos="4153"/>
        <w:tab w:val="clear" w:pos="8306"/>
        <w:tab w:val="center" w:pos="4514"/>
      </w:tabs>
    </w:pPr>
    <w:r>
      <w:tab/>
    </w:r>
  </w:p>
  <w:p w14:paraId="4287248A" w14:textId="77777777" w:rsidR="001570F0" w:rsidRPr="00074357" w:rsidRDefault="001570F0"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1570F0" w:rsidRDefault="00157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E564D3"/>
    <w:multiLevelType w:val="multilevel"/>
    <w:tmpl w:val="0186EF62"/>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B6C2C5C"/>
    <w:multiLevelType w:val="multilevel"/>
    <w:tmpl w:val="1332CCD4"/>
    <w:name w:val="Plato Schedule Numbering List"/>
    <w:numStyleLink w:val="111111"/>
  </w:abstractNum>
  <w:abstractNum w:abstractNumId="23">
    <w:nsid w:val="50965CCA"/>
    <w:multiLevelType w:val="multilevel"/>
    <w:tmpl w:val="1332CCD4"/>
    <w:name w:val="Appendicies Heading List"/>
    <w:numStyleLink w:val="111111"/>
  </w:abstractNum>
  <w:abstractNum w:abstractNumId="24">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A534487"/>
    <w:multiLevelType w:val="hybridMultilevel"/>
    <w:tmpl w:val="6FB05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1">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5"/>
  </w:num>
  <w:num w:numId="8">
    <w:abstractNumId w:val="16"/>
  </w:num>
  <w:num w:numId="9">
    <w:abstractNumId w:val="5"/>
  </w:num>
  <w:num w:numId="10">
    <w:abstractNumId w:val="21"/>
  </w:num>
  <w:num w:numId="11">
    <w:abstractNumId w:val="18"/>
  </w:num>
  <w:num w:numId="12">
    <w:abstractNumId w:val="14"/>
  </w:num>
  <w:num w:numId="13">
    <w:abstractNumId w:val="30"/>
  </w:num>
  <w:num w:numId="14">
    <w:abstractNumId w:val="10"/>
  </w:num>
  <w:num w:numId="15">
    <w:abstractNumId w:val="27"/>
  </w:num>
  <w:num w:numId="16">
    <w:abstractNumId w:val="9"/>
  </w:num>
  <w:num w:numId="17">
    <w:abstractNumId w:val="19"/>
  </w:num>
  <w:num w:numId="18">
    <w:abstractNumId w:val="17"/>
  </w:num>
  <w:num w:numId="19">
    <w:abstractNumId w:val="25"/>
  </w:num>
  <w:num w:numId="20">
    <w:abstractNumId w:val="13"/>
  </w:num>
  <w:num w:numId="21">
    <w:abstractNumId w:val="24"/>
  </w:num>
  <w:num w:numId="22">
    <w:abstractNumId w:val="24"/>
  </w:num>
  <w:num w:numId="23">
    <w:abstractNumId w:val="7"/>
  </w:num>
  <w:num w:numId="24">
    <w:abstractNumId w:val="20"/>
  </w:num>
  <w:num w:numId="25">
    <w:abstractNumId w:val="11"/>
  </w:num>
  <w:num w:numId="26">
    <w:abstractNumId w:val="8"/>
  </w:num>
  <w:num w:numId="27">
    <w:abstractNumId w:val="29"/>
  </w:num>
  <w:num w:numId="28">
    <w:abstractNumId w:val="28"/>
  </w:num>
  <w:num w:numId="29">
    <w:abstractNumId w:val="24"/>
  </w:num>
  <w:num w:numId="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15C2D"/>
    <w:rsid w:val="00020611"/>
    <w:rsid w:val="0002117B"/>
    <w:rsid w:val="0002119E"/>
    <w:rsid w:val="000213ED"/>
    <w:rsid w:val="00022304"/>
    <w:rsid w:val="0002409B"/>
    <w:rsid w:val="00024B2F"/>
    <w:rsid w:val="0002669F"/>
    <w:rsid w:val="00026CBD"/>
    <w:rsid w:val="00026E28"/>
    <w:rsid w:val="00027C05"/>
    <w:rsid w:val="000318CA"/>
    <w:rsid w:val="0003289F"/>
    <w:rsid w:val="00035A45"/>
    <w:rsid w:val="00036181"/>
    <w:rsid w:val="00037CB6"/>
    <w:rsid w:val="00040A60"/>
    <w:rsid w:val="000442DE"/>
    <w:rsid w:val="000459DD"/>
    <w:rsid w:val="00052A65"/>
    <w:rsid w:val="000530EC"/>
    <w:rsid w:val="0005414E"/>
    <w:rsid w:val="00054244"/>
    <w:rsid w:val="00056F7F"/>
    <w:rsid w:val="00060D0E"/>
    <w:rsid w:val="00066D70"/>
    <w:rsid w:val="000715C8"/>
    <w:rsid w:val="0007280F"/>
    <w:rsid w:val="00074357"/>
    <w:rsid w:val="000744CD"/>
    <w:rsid w:val="00074D97"/>
    <w:rsid w:val="000763EA"/>
    <w:rsid w:val="00076448"/>
    <w:rsid w:val="000769CF"/>
    <w:rsid w:val="000812AE"/>
    <w:rsid w:val="0008330B"/>
    <w:rsid w:val="00083EE6"/>
    <w:rsid w:val="00090D6B"/>
    <w:rsid w:val="000910A7"/>
    <w:rsid w:val="00092145"/>
    <w:rsid w:val="00092C56"/>
    <w:rsid w:val="00093B31"/>
    <w:rsid w:val="00094E2D"/>
    <w:rsid w:val="00096F76"/>
    <w:rsid w:val="000A0C5F"/>
    <w:rsid w:val="000A0D22"/>
    <w:rsid w:val="000A5E95"/>
    <w:rsid w:val="000A72F8"/>
    <w:rsid w:val="000B1C66"/>
    <w:rsid w:val="000B21A8"/>
    <w:rsid w:val="000B254C"/>
    <w:rsid w:val="000B29B2"/>
    <w:rsid w:val="000B3946"/>
    <w:rsid w:val="000B5C9F"/>
    <w:rsid w:val="000B5CCF"/>
    <w:rsid w:val="000C2484"/>
    <w:rsid w:val="000C258B"/>
    <w:rsid w:val="000C2E05"/>
    <w:rsid w:val="000C68BF"/>
    <w:rsid w:val="000C7C2B"/>
    <w:rsid w:val="000D3881"/>
    <w:rsid w:val="000D4DCD"/>
    <w:rsid w:val="000E13A7"/>
    <w:rsid w:val="000E4C53"/>
    <w:rsid w:val="000F232D"/>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2D7"/>
    <w:rsid w:val="001368D7"/>
    <w:rsid w:val="00136BDD"/>
    <w:rsid w:val="00136D23"/>
    <w:rsid w:val="0013718C"/>
    <w:rsid w:val="00140F05"/>
    <w:rsid w:val="00144867"/>
    <w:rsid w:val="00144F3B"/>
    <w:rsid w:val="00145725"/>
    <w:rsid w:val="00151142"/>
    <w:rsid w:val="00156231"/>
    <w:rsid w:val="0015696A"/>
    <w:rsid w:val="00156E2F"/>
    <w:rsid w:val="001570F0"/>
    <w:rsid w:val="00157D99"/>
    <w:rsid w:val="001609A4"/>
    <w:rsid w:val="0016322B"/>
    <w:rsid w:val="0016383C"/>
    <w:rsid w:val="00164E3E"/>
    <w:rsid w:val="00166299"/>
    <w:rsid w:val="00167897"/>
    <w:rsid w:val="0017225B"/>
    <w:rsid w:val="00173352"/>
    <w:rsid w:val="0017368C"/>
    <w:rsid w:val="00175332"/>
    <w:rsid w:val="00176DF8"/>
    <w:rsid w:val="00181D58"/>
    <w:rsid w:val="00183EB0"/>
    <w:rsid w:val="00184673"/>
    <w:rsid w:val="001863E6"/>
    <w:rsid w:val="0018756A"/>
    <w:rsid w:val="00192128"/>
    <w:rsid w:val="001962E6"/>
    <w:rsid w:val="001A1780"/>
    <w:rsid w:val="001A18DF"/>
    <w:rsid w:val="001A3C4D"/>
    <w:rsid w:val="001A3D83"/>
    <w:rsid w:val="001A7AB1"/>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5F5A"/>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3A53"/>
    <w:rsid w:val="00204498"/>
    <w:rsid w:val="00205334"/>
    <w:rsid w:val="00205CD6"/>
    <w:rsid w:val="00206015"/>
    <w:rsid w:val="0021062F"/>
    <w:rsid w:val="00210749"/>
    <w:rsid w:val="00212B43"/>
    <w:rsid w:val="002136EC"/>
    <w:rsid w:val="00215015"/>
    <w:rsid w:val="00216383"/>
    <w:rsid w:val="00217776"/>
    <w:rsid w:val="0022047E"/>
    <w:rsid w:val="002222F1"/>
    <w:rsid w:val="002229A8"/>
    <w:rsid w:val="0022330A"/>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482F"/>
    <w:rsid w:val="002754C8"/>
    <w:rsid w:val="00277524"/>
    <w:rsid w:val="00280B5B"/>
    <w:rsid w:val="00283BE6"/>
    <w:rsid w:val="002848C1"/>
    <w:rsid w:val="00285357"/>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C78AD"/>
    <w:rsid w:val="002D2841"/>
    <w:rsid w:val="002D3A27"/>
    <w:rsid w:val="002D3DBD"/>
    <w:rsid w:val="002D6307"/>
    <w:rsid w:val="002E05A6"/>
    <w:rsid w:val="002E5436"/>
    <w:rsid w:val="002E7996"/>
    <w:rsid w:val="002F0FDB"/>
    <w:rsid w:val="002F13FD"/>
    <w:rsid w:val="002F1F7F"/>
    <w:rsid w:val="002F2B0E"/>
    <w:rsid w:val="002F42F4"/>
    <w:rsid w:val="0030038A"/>
    <w:rsid w:val="00300737"/>
    <w:rsid w:val="0030185A"/>
    <w:rsid w:val="0030285B"/>
    <w:rsid w:val="00302B92"/>
    <w:rsid w:val="00312073"/>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6BED"/>
    <w:rsid w:val="00357E6F"/>
    <w:rsid w:val="00360D7C"/>
    <w:rsid w:val="00362700"/>
    <w:rsid w:val="003627B1"/>
    <w:rsid w:val="003631FE"/>
    <w:rsid w:val="00363D74"/>
    <w:rsid w:val="0036574F"/>
    <w:rsid w:val="003660F6"/>
    <w:rsid w:val="00366F85"/>
    <w:rsid w:val="00370B68"/>
    <w:rsid w:val="003729F0"/>
    <w:rsid w:val="00373767"/>
    <w:rsid w:val="0037526E"/>
    <w:rsid w:val="00376922"/>
    <w:rsid w:val="00376FF7"/>
    <w:rsid w:val="00386338"/>
    <w:rsid w:val="00386706"/>
    <w:rsid w:val="003874EB"/>
    <w:rsid w:val="00390123"/>
    <w:rsid w:val="003908EB"/>
    <w:rsid w:val="00390BC3"/>
    <w:rsid w:val="0039193D"/>
    <w:rsid w:val="00393BB5"/>
    <w:rsid w:val="00396B62"/>
    <w:rsid w:val="003A0CDA"/>
    <w:rsid w:val="003A199A"/>
    <w:rsid w:val="003A2C48"/>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3C97"/>
    <w:rsid w:val="003F5C20"/>
    <w:rsid w:val="003F7D02"/>
    <w:rsid w:val="00402F0D"/>
    <w:rsid w:val="00404F9C"/>
    <w:rsid w:val="0040508D"/>
    <w:rsid w:val="00405140"/>
    <w:rsid w:val="00405871"/>
    <w:rsid w:val="00407485"/>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0B5E"/>
    <w:rsid w:val="0044116E"/>
    <w:rsid w:val="00442436"/>
    <w:rsid w:val="00442EDE"/>
    <w:rsid w:val="00447F11"/>
    <w:rsid w:val="004516E6"/>
    <w:rsid w:val="004526A1"/>
    <w:rsid w:val="0045279B"/>
    <w:rsid w:val="00453EE6"/>
    <w:rsid w:val="00456D72"/>
    <w:rsid w:val="00461688"/>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B4E34"/>
    <w:rsid w:val="004B6951"/>
    <w:rsid w:val="004C0636"/>
    <w:rsid w:val="004C1460"/>
    <w:rsid w:val="004C231C"/>
    <w:rsid w:val="004C2558"/>
    <w:rsid w:val="004C40EE"/>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3BFB"/>
    <w:rsid w:val="0050537E"/>
    <w:rsid w:val="00505473"/>
    <w:rsid w:val="00507DAF"/>
    <w:rsid w:val="005147FE"/>
    <w:rsid w:val="00515D51"/>
    <w:rsid w:val="00517904"/>
    <w:rsid w:val="00522159"/>
    <w:rsid w:val="00522AAC"/>
    <w:rsid w:val="00523DF9"/>
    <w:rsid w:val="00525158"/>
    <w:rsid w:val="00527040"/>
    <w:rsid w:val="00527446"/>
    <w:rsid w:val="0053220D"/>
    <w:rsid w:val="005331F4"/>
    <w:rsid w:val="00533F76"/>
    <w:rsid w:val="005364E3"/>
    <w:rsid w:val="00551094"/>
    <w:rsid w:val="005534F2"/>
    <w:rsid w:val="00561BB6"/>
    <w:rsid w:val="00564CCA"/>
    <w:rsid w:val="0056534C"/>
    <w:rsid w:val="005750D7"/>
    <w:rsid w:val="005750F5"/>
    <w:rsid w:val="005759DD"/>
    <w:rsid w:val="005764B3"/>
    <w:rsid w:val="00576C34"/>
    <w:rsid w:val="005821EF"/>
    <w:rsid w:val="0058297A"/>
    <w:rsid w:val="0058346B"/>
    <w:rsid w:val="0058409F"/>
    <w:rsid w:val="00586CC2"/>
    <w:rsid w:val="005924FF"/>
    <w:rsid w:val="00593CFF"/>
    <w:rsid w:val="00597B02"/>
    <w:rsid w:val="005A273E"/>
    <w:rsid w:val="005B28B1"/>
    <w:rsid w:val="005B2BA5"/>
    <w:rsid w:val="005B3C3B"/>
    <w:rsid w:val="005B466A"/>
    <w:rsid w:val="005B64E0"/>
    <w:rsid w:val="005B78B4"/>
    <w:rsid w:val="005C2951"/>
    <w:rsid w:val="005C3B95"/>
    <w:rsid w:val="005C47DF"/>
    <w:rsid w:val="005C6291"/>
    <w:rsid w:val="005C6503"/>
    <w:rsid w:val="005D2362"/>
    <w:rsid w:val="005D31C6"/>
    <w:rsid w:val="005D4FC9"/>
    <w:rsid w:val="005E2029"/>
    <w:rsid w:val="005E29A1"/>
    <w:rsid w:val="005E4205"/>
    <w:rsid w:val="005E4793"/>
    <w:rsid w:val="005E4F6C"/>
    <w:rsid w:val="005E5DD9"/>
    <w:rsid w:val="005E77ED"/>
    <w:rsid w:val="005E7C19"/>
    <w:rsid w:val="005F11AF"/>
    <w:rsid w:val="005F29C0"/>
    <w:rsid w:val="005F2A14"/>
    <w:rsid w:val="005F2F66"/>
    <w:rsid w:val="005F3E1B"/>
    <w:rsid w:val="005F6E6D"/>
    <w:rsid w:val="005F79C0"/>
    <w:rsid w:val="006000B1"/>
    <w:rsid w:val="00600C1E"/>
    <w:rsid w:val="00600D97"/>
    <w:rsid w:val="00600EA9"/>
    <w:rsid w:val="00604B69"/>
    <w:rsid w:val="00605194"/>
    <w:rsid w:val="006054F0"/>
    <w:rsid w:val="006072D7"/>
    <w:rsid w:val="0061104D"/>
    <w:rsid w:val="00613C61"/>
    <w:rsid w:val="00617E70"/>
    <w:rsid w:val="00627B4B"/>
    <w:rsid w:val="0063134B"/>
    <w:rsid w:val="00632838"/>
    <w:rsid w:val="006373DB"/>
    <w:rsid w:val="00641ACD"/>
    <w:rsid w:val="0064354C"/>
    <w:rsid w:val="006455A0"/>
    <w:rsid w:val="0064629E"/>
    <w:rsid w:val="00646B4C"/>
    <w:rsid w:val="00650B3E"/>
    <w:rsid w:val="00653D40"/>
    <w:rsid w:val="00654173"/>
    <w:rsid w:val="00655836"/>
    <w:rsid w:val="00657699"/>
    <w:rsid w:val="00657DE2"/>
    <w:rsid w:val="006600A8"/>
    <w:rsid w:val="00660E0B"/>
    <w:rsid w:val="00663DDC"/>
    <w:rsid w:val="006641E1"/>
    <w:rsid w:val="006645BF"/>
    <w:rsid w:val="00664F16"/>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97E52"/>
    <w:rsid w:val="006A2A0F"/>
    <w:rsid w:val="006A385C"/>
    <w:rsid w:val="006B1F15"/>
    <w:rsid w:val="006B32CD"/>
    <w:rsid w:val="006B3676"/>
    <w:rsid w:val="006B4F77"/>
    <w:rsid w:val="006C0828"/>
    <w:rsid w:val="006C2069"/>
    <w:rsid w:val="006C25AD"/>
    <w:rsid w:val="006C3FE6"/>
    <w:rsid w:val="006C466F"/>
    <w:rsid w:val="006C7377"/>
    <w:rsid w:val="006D0864"/>
    <w:rsid w:val="006D0B91"/>
    <w:rsid w:val="006D1504"/>
    <w:rsid w:val="006D2324"/>
    <w:rsid w:val="006D3910"/>
    <w:rsid w:val="006D39BC"/>
    <w:rsid w:val="006D50D6"/>
    <w:rsid w:val="006D6196"/>
    <w:rsid w:val="006D64A7"/>
    <w:rsid w:val="006D7362"/>
    <w:rsid w:val="006E09FF"/>
    <w:rsid w:val="006E28A2"/>
    <w:rsid w:val="006E5B51"/>
    <w:rsid w:val="006E5FFB"/>
    <w:rsid w:val="006F098A"/>
    <w:rsid w:val="006F0C06"/>
    <w:rsid w:val="006F114F"/>
    <w:rsid w:val="006F490F"/>
    <w:rsid w:val="006F6878"/>
    <w:rsid w:val="006F6F85"/>
    <w:rsid w:val="006F7674"/>
    <w:rsid w:val="007003CC"/>
    <w:rsid w:val="00702C1F"/>
    <w:rsid w:val="00704A4D"/>
    <w:rsid w:val="00706FCC"/>
    <w:rsid w:val="007110A9"/>
    <w:rsid w:val="007145F1"/>
    <w:rsid w:val="0072081F"/>
    <w:rsid w:val="00724885"/>
    <w:rsid w:val="0072546C"/>
    <w:rsid w:val="00727880"/>
    <w:rsid w:val="00733ACF"/>
    <w:rsid w:val="00734908"/>
    <w:rsid w:val="00735032"/>
    <w:rsid w:val="0073540C"/>
    <w:rsid w:val="00735D7F"/>
    <w:rsid w:val="00740B2E"/>
    <w:rsid w:val="007424B1"/>
    <w:rsid w:val="007435B9"/>
    <w:rsid w:val="00744A4E"/>
    <w:rsid w:val="007451CF"/>
    <w:rsid w:val="00745F7F"/>
    <w:rsid w:val="0075008F"/>
    <w:rsid w:val="0075299C"/>
    <w:rsid w:val="0075444C"/>
    <w:rsid w:val="00755A73"/>
    <w:rsid w:val="00756064"/>
    <w:rsid w:val="00756CF8"/>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95C59"/>
    <w:rsid w:val="007A1EDB"/>
    <w:rsid w:val="007A4212"/>
    <w:rsid w:val="007B1C64"/>
    <w:rsid w:val="007B22E8"/>
    <w:rsid w:val="007B3FCD"/>
    <w:rsid w:val="007B5019"/>
    <w:rsid w:val="007B52CD"/>
    <w:rsid w:val="007B7B17"/>
    <w:rsid w:val="007C0317"/>
    <w:rsid w:val="007C33F9"/>
    <w:rsid w:val="007C389F"/>
    <w:rsid w:val="007C40D2"/>
    <w:rsid w:val="007C70CC"/>
    <w:rsid w:val="007C79FC"/>
    <w:rsid w:val="007D04CE"/>
    <w:rsid w:val="007D0E92"/>
    <w:rsid w:val="007D1C75"/>
    <w:rsid w:val="007D2B47"/>
    <w:rsid w:val="007D5356"/>
    <w:rsid w:val="007D5C41"/>
    <w:rsid w:val="007D7D2D"/>
    <w:rsid w:val="007D7EEC"/>
    <w:rsid w:val="007E2733"/>
    <w:rsid w:val="007E3BEA"/>
    <w:rsid w:val="007E4D19"/>
    <w:rsid w:val="007E581E"/>
    <w:rsid w:val="007E5ED3"/>
    <w:rsid w:val="007E69D2"/>
    <w:rsid w:val="007F062B"/>
    <w:rsid w:val="007F280E"/>
    <w:rsid w:val="007F521C"/>
    <w:rsid w:val="007F7176"/>
    <w:rsid w:val="007F78F3"/>
    <w:rsid w:val="00800097"/>
    <w:rsid w:val="00801093"/>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6256"/>
    <w:rsid w:val="008465F9"/>
    <w:rsid w:val="008519A1"/>
    <w:rsid w:val="0085331D"/>
    <w:rsid w:val="00853F30"/>
    <w:rsid w:val="00854513"/>
    <w:rsid w:val="008556F2"/>
    <w:rsid w:val="00861D08"/>
    <w:rsid w:val="00862C72"/>
    <w:rsid w:val="00862E1D"/>
    <w:rsid w:val="008633FF"/>
    <w:rsid w:val="0086454D"/>
    <w:rsid w:val="00867F30"/>
    <w:rsid w:val="00871EC0"/>
    <w:rsid w:val="00873E83"/>
    <w:rsid w:val="00877AA1"/>
    <w:rsid w:val="00877C1C"/>
    <w:rsid w:val="0088161D"/>
    <w:rsid w:val="00882465"/>
    <w:rsid w:val="00887FD4"/>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669E"/>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B8A"/>
    <w:rsid w:val="008E21EF"/>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2DBC"/>
    <w:rsid w:val="00934359"/>
    <w:rsid w:val="00943AA2"/>
    <w:rsid w:val="009448C5"/>
    <w:rsid w:val="0094512F"/>
    <w:rsid w:val="0094632A"/>
    <w:rsid w:val="00951437"/>
    <w:rsid w:val="00951F13"/>
    <w:rsid w:val="00951FEC"/>
    <w:rsid w:val="0095277D"/>
    <w:rsid w:val="009572E2"/>
    <w:rsid w:val="00961DF3"/>
    <w:rsid w:val="00964906"/>
    <w:rsid w:val="00965F19"/>
    <w:rsid w:val="00965F55"/>
    <w:rsid w:val="00970943"/>
    <w:rsid w:val="00970C86"/>
    <w:rsid w:val="00971A11"/>
    <w:rsid w:val="00972498"/>
    <w:rsid w:val="009738CD"/>
    <w:rsid w:val="00973F5F"/>
    <w:rsid w:val="0097525F"/>
    <w:rsid w:val="0097705B"/>
    <w:rsid w:val="009778D9"/>
    <w:rsid w:val="0098048F"/>
    <w:rsid w:val="00982350"/>
    <w:rsid w:val="0098237E"/>
    <w:rsid w:val="00983AEF"/>
    <w:rsid w:val="009842C2"/>
    <w:rsid w:val="00984502"/>
    <w:rsid w:val="00985750"/>
    <w:rsid w:val="00986DDB"/>
    <w:rsid w:val="00993750"/>
    <w:rsid w:val="00995864"/>
    <w:rsid w:val="00996944"/>
    <w:rsid w:val="00997639"/>
    <w:rsid w:val="00997A9A"/>
    <w:rsid w:val="009A041A"/>
    <w:rsid w:val="009A0DA6"/>
    <w:rsid w:val="009A28B5"/>
    <w:rsid w:val="009A37CD"/>
    <w:rsid w:val="009A535E"/>
    <w:rsid w:val="009A6C6D"/>
    <w:rsid w:val="009B0A14"/>
    <w:rsid w:val="009B0E63"/>
    <w:rsid w:val="009C2B62"/>
    <w:rsid w:val="009C3578"/>
    <w:rsid w:val="009C3DAF"/>
    <w:rsid w:val="009D08E6"/>
    <w:rsid w:val="009D12CD"/>
    <w:rsid w:val="009D1F66"/>
    <w:rsid w:val="009D7801"/>
    <w:rsid w:val="009E2289"/>
    <w:rsid w:val="009E22EF"/>
    <w:rsid w:val="009E38B3"/>
    <w:rsid w:val="009E447F"/>
    <w:rsid w:val="009E46E8"/>
    <w:rsid w:val="009E4E01"/>
    <w:rsid w:val="009E7CA6"/>
    <w:rsid w:val="009F0DAB"/>
    <w:rsid w:val="009F1DD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3DA"/>
    <w:rsid w:val="00A216C7"/>
    <w:rsid w:val="00A23413"/>
    <w:rsid w:val="00A26DB5"/>
    <w:rsid w:val="00A3180D"/>
    <w:rsid w:val="00A3269F"/>
    <w:rsid w:val="00A33F0B"/>
    <w:rsid w:val="00A35CA9"/>
    <w:rsid w:val="00A3630D"/>
    <w:rsid w:val="00A363DA"/>
    <w:rsid w:val="00A37384"/>
    <w:rsid w:val="00A3746A"/>
    <w:rsid w:val="00A4055F"/>
    <w:rsid w:val="00A425FC"/>
    <w:rsid w:val="00A46AE8"/>
    <w:rsid w:val="00A520BB"/>
    <w:rsid w:val="00A533C7"/>
    <w:rsid w:val="00A53C90"/>
    <w:rsid w:val="00A544DF"/>
    <w:rsid w:val="00A54A82"/>
    <w:rsid w:val="00A54C8F"/>
    <w:rsid w:val="00A5594A"/>
    <w:rsid w:val="00A57890"/>
    <w:rsid w:val="00A61283"/>
    <w:rsid w:val="00A61BC1"/>
    <w:rsid w:val="00A63F3F"/>
    <w:rsid w:val="00A646DE"/>
    <w:rsid w:val="00A72352"/>
    <w:rsid w:val="00A73E58"/>
    <w:rsid w:val="00A81243"/>
    <w:rsid w:val="00A828AA"/>
    <w:rsid w:val="00A845EC"/>
    <w:rsid w:val="00A852B4"/>
    <w:rsid w:val="00A87ED9"/>
    <w:rsid w:val="00A90772"/>
    <w:rsid w:val="00A949A8"/>
    <w:rsid w:val="00A959B8"/>
    <w:rsid w:val="00A95BAF"/>
    <w:rsid w:val="00A95E8A"/>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36E5"/>
    <w:rsid w:val="00AE62BA"/>
    <w:rsid w:val="00AF00EB"/>
    <w:rsid w:val="00AF21E6"/>
    <w:rsid w:val="00AF483C"/>
    <w:rsid w:val="00AF5288"/>
    <w:rsid w:val="00AF5D31"/>
    <w:rsid w:val="00AF7B04"/>
    <w:rsid w:val="00B008C0"/>
    <w:rsid w:val="00B0302C"/>
    <w:rsid w:val="00B0421A"/>
    <w:rsid w:val="00B072AE"/>
    <w:rsid w:val="00B07973"/>
    <w:rsid w:val="00B1039F"/>
    <w:rsid w:val="00B10BF3"/>
    <w:rsid w:val="00B10FF2"/>
    <w:rsid w:val="00B1155E"/>
    <w:rsid w:val="00B1289A"/>
    <w:rsid w:val="00B12987"/>
    <w:rsid w:val="00B13340"/>
    <w:rsid w:val="00B21B64"/>
    <w:rsid w:val="00B238B0"/>
    <w:rsid w:val="00B240CE"/>
    <w:rsid w:val="00B316A1"/>
    <w:rsid w:val="00B32B5E"/>
    <w:rsid w:val="00B345AB"/>
    <w:rsid w:val="00B366A1"/>
    <w:rsid w:val="00B37052"/>
    <w:rsid w:val="00B40976"/>
    <w:rsid w:val="00B42707"/>
    <w:rsid w:val="00B432A0"/>
    <w:rsid w:val="00B46D5E"/>
    <w:rsid w:val="00B470D8"/>
    <w:rsid w:val="00B4720A"/>
    <w:rsid w:val="00B47D23"/>
    <w:rsid w:val="00B507CC"/>
    <w:rsid w:val="00B50FC5"/>
    <w:rsid w:val="00B55F78"/>
    <w:rsid w:val="00B561E8"/>
    <w:rsid w:val="00B573F9"/>
    <w:rsid w:val="00B57549"/>
    <w:rsid w:val="00B607B4"/>
    <w:rsid w:val="00B62C3D"/>
    <w:rsid w:val="00B62FDE"/>
    <w:rsid w:val="00B633B4"/>
    <w:rsid w:val="00B63F2F"/>
    <w:rsid w:val="00B64C19"/>
    <w:rsid w:val="00B67970"/>
    <w:rsid w:val="00B704C0"/>
    <w:rsid w:val="00B720D3"/>
    <w:rsid w:val="00B72164"/>
    <w:rsid w:val="00B7286F"/>
    <w:rsid w:val="00B7431E"/>
    <w:rsid w:val="00B74E47"/>
    <w:rsid w:val="00B768E2"/>
    <w:rsid w:val="00B769AD"/>
    <w:rsid w:val="00B775CB"/>
    <w:rsid w:val="00B81D11"/>
    <w:rsid w:val="00B82F46"/>
    <w:rsid w:val="00B8471A"/>
    <w:rsid w:val="00B860E8"/>
    <w:rsid w:val="00B8720C"/>
    <w:rsid w:val="00B87270"/>
    <w:rsid w:val="00B9252C"/>
    <w:rsid w:val="00B92A35"/>
    <w:rsid w:val="00B9498B"/>
    <w:rsid w:val="00B951B1"/>
    <w:rsid w:val="00B9680E"/>
    <w:rsid w:val="00B979BD"/>
    <w:rsid w:val="00B97A23"/>
    <w:rsid w:val="00BA1418"/>
    <w:rsid w:val="00BA4A84"/>
    <w:rsid w:val="00BA4D4F"/>
    <w:rsid w:val="00BA53B5"/>
    <w:rsid w:val="00BA68DB"/>
    <w:rsid w:val="00BB0A71"/>
    <w:rsid w:val="00BB43FC"/>
    <w:rsid w:val="00BB5C1E"/>
    <w:rsid w:val="00BB6D98"/>
    <w:rsid w:val="00BB6DF6"/>
    <w:rsid w:val="00BB7AA8"/>
    <w:rsid w:val="00BC0359"/>
    <w:rsid w:val="00BC1EBF"/>
    <w:rsid w:val="00BC2E68"/>
    <w:rsid w:val="00BC44B6"/>
    <w:rsid w:val="00BC6AFC"/>
    <w:rsid w:val="00BC6D3E"/>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1604"/>
    <w:rsid w:val="00C02A15"/>
    <w:rsid w:val="00C02C4F"/>
    <w:rsid w:val="00C0327F"/>
    <w:rsid w:val="00C1747F"/>
    <w:rsid w:val="00C22B7B"/>
    <w:rsid w:val="00C23675"/>
    <w:rsid w:val="00C2383B"/>
    <w:rsid w:val="00C23E08"/>
    <w:rsid w:val="00C24DAF"/>
    <w:rsid w:val="00C25BEE"/>
    <w:rsid w:val="00C26F1C"/>
    <w:rsid w:val="00C3280C"/>
    <w:rsid w:val="00C3332F"/>
    <w:rsid w:val="00C33386"/>
    <w:rsid w:val="00C35E26"/>
    <w:rsid w:val="00C36C28"/>
    <w:rsid w:val="00C3701E"/>
    <w:rsid w:val="00C37671"/>
    <w:rsid w:val="00C37B61"/>
    <w:rsid w:val="00C4024C"/>
    <w:rsid w:val="00C44504"/>
    <w:rsid w:val="00C44DC2"/>
    <w:rsid w:val="00C5443A"/>
    <w:rsid w:val="00C55D77"/>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44BE"/>
    <w:rsid w:val="00C959C7"/>
    <w:rsid w:val="00CA2595"/>
    <w:rsid w:val="00CA3052"/>
    <w:rsid w:val="00CA3130"/>
    <w:rsid w:val="00CA3A4A"/>
    <w:rsid w:val="00CA482E"/>
    <w:rsid w:val="00CA69F1"/>
    <w:rsid w:val="00CA7215"/>
    <w:rsid w:val="00CA7764"/>
    <w:rsid w:val="00CB14F9"/>
    <w:rsid w:val="00CB1680"/>
    <w:rsid w:val="00CB3318"/>
    <w:rsid w:val="00CB7AAC"/>
    <w:rsid w:val="00CC2078"/>
    <w:rsid w:val="00CC2F9F"/>
    <w:rsid w:val="00CC2FCD"/>
    <w:rsid w:val="00CC5CB2"/>
    <w:rsid w:val="00CC65B5"/>
    <w:rsid w:val="00CC7CA2"/>
    <w:rsid w:val="00CD10B1"/>
    <w:rsid w:val="00CD2FCE"/>
    <w:rsid w:val="00CD3EE5"/>
    <w:rsid w:val="00CD4D5D"/>
    <w:rsid w:val="00CD7168"/>
    <w:rsid w:val="00CE2942"/>
    <w:rsid w:val="00CE3245"/>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3536"/>
    <w:rsid w:val="00D26721"/>
    <w:rsid w:val="00D32B32"/>
    <w:rsid w:val="00D336B8"/>
    <w:rsid w:val="00D353B7"/>
    <w:rsid w:val="00D35CBD"/>
    <w:rsid w:val="00D42A06"/>
    <w:rsid w:val="00D440C9"/>
    <w:rsid w:val="00D44A45"/>
    <w:rsid w:val="00D47512"/>
    <w:rsid w:val="00D47B67"/>
    <w:rsid w:val="00D5114F"/>
    <w:rsid w:val="00D525F1"/>
    <w:rsid w:val="00D53F84"/>
    <w:rsid w:val="00D62E47"/>
    <w:rsid w:val="00D672E0"/>
    <w:rsid w:val="00D70656"/>
    <w:rsid w:val="00D70A58"/>
    <w:rsid w:val="00D7211C"/>
    <w:rsid w:val="00D731D6"/>
    <w:rsid w:val="00D74C4C"/>
    <w:rsid w:val="00D76A04"/>
    <w:rsid w:val="00D80252"/>
    <w:rsid w:val="00D80539"/>
    <w:rsid w:val="00D8251C"/>
    <w:rsid w:val="00D82A24"/>
    <w:rsid w:val="00D82DB4"/>
    <w:rsid w:val="00D83B95"/>
    <w:rsid w:val="00D846CA"/>
    <w:rsid w:val="00D84A3C"/>
    <w:rsid w:val="00D8654C"/>
    <w:rsid w:val="00D87254"/>
    <w:rsid w:val="00D909EF"/>
    <w:rsid w:val="00D92179"/>
    <w:rsid w:val="00D94567"/>
    <w:rsid w:val="00D9647E"/>
    <w:rsid w:val="00DA173C"/>
    <w:rsid w:val="00DA5336"/>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5CF5"/>
    <w:rsid w:val="00DC6E1E"/>
    <w:rsid w:val="00DD4374"/>
    <w:rsid w:val="00DD6502"/>
    <w:rsid w:val="00DD6E07"/>
    <w:rsid w:val="00DD714C"/>
    <w:rsid w:val="00DD74FC"/>
    <w:rsid w:val="00DE0844"/>
    <w:rsid w:val="00DE0CDD"/>
    <w:rsid w:val="00DE1254"/>
    <w:rsid w:val="00DE224D"/>
    <w:rsid w:val="00DE29D7"/>
    <w:rsid w:val="00DE3681"/>
    <w:rsid w:val="00DE4715"/>
    <w:rsid w:val="00DE4E31"/>
    <w:rsid w:val="00DE5090"/>
    <w:rsid w:val="00DE7CA3"/>
    <w:rsid w:val="00DF1F7E"/>
    <w:rsid w:val="00DF43EC"/>
    <w:rsid w:val="00E00BEB"/>
    <w:rsid w:val="00E024D2"/>
    <w:rsid w:val="00E030C9"/>
    <w:rsid w:val="00E0380D"/>
    <w:rsid w:val="00E053ED"/>
    <w:rsid w:val="00E05439"/>
    <w:rsid w:val="00E05F1D"/>
    <w:rsid w:val="00E10534"/>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51E6"/>
    <w:rsid w:val="00E479E2"/>
    <w:rsid w:val="00E50B0C"/>
    <w:rsid w:val="00E51313"/>
    <w:rsid w:val="00E538D2"/>
    <w:rsid w:val="00E53E5F"/>
    <w:rsid w:val="00E54518"/>
    <w:rsid w:val="00E5747E"/>
    <w:rsid w:val="00E57A45"/>
    <w:rsid w:val="00E613F6"/>
    <w:rsid w:val="00E63261"/>
    <w:rsid w:val="00E63383"/>
    <w:rsid w:val="00E63E21"/>
    <w:rsid w:val="00E7010B"/>
    <w:rsid w:val="00E70221"/>
    <w:rsid w:val="00E70BA3"/>
    <w:rsid w:val="00E7139A"/>
    <w:rsid w:val="00E7148B"/>
    <w:rsid w:val="00E724F8"/>
    <w:rsid w:val="00E83567"/>
    <w:rsid w:val="00E839C0"/>
    <w:rsid w:val="00E84FBC"/>
    <w:rsid w:val="00E8578F"/>
    <w:rsid w:val="00E86F90"/>
    <w:rsid w:val="00E87430"/>
    <w:rsid w:val="00E876BF"/>
    <w:rsid w:val="00E90397"/>
    <w:rsid w:val="00E90BDB"/>
    <w:rsid w:val="00E9160D"/>
    <w:rsid w:val="00E92407"/>
    <w:rsid w:val="00E927E9"/>
    <w:rsid w:val="00E96B4D"/>
    <w:rsid w:val="00EA0897"/>
    <w:rsid w:val="00EA3CBF"/>
    <w:rsid w:val="00EA3DDD"/>
    <w:rsid w:val="00EA6A93"/>
    <w:rsid w:val="00EB1275"/>
    <w:rsid w:val="00EB4FD7"/>
    <w:rsid w:val="00EB512C"/>
    <w:rsid w:val="00EB6DB1"/>
    <w:rsid w:val="00EC1B98"/>
    <w:rsid w:val="00EC1D97"/>
    <w:rsid w:val="00EC212C"/>
    <w:rsid w:val="00EC3A14"/>
    <w:rsid w:val="00EC4F93"/>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3AE"/>
    <w:rsid w:val="00F37B26"/>
    <w:rsid w:val="00F40B47"/>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03F0"/>
    <w:rsid w:val="00F9225B"/>
    <w:rsid w:val="00F950A3"/>
    <w:rsid w:val="00FA0820"/>
    <w:rsid w:val="00FA0C0A"/>
    <w:rsid w:val="00FA0D97"/>
    <w:rsid w:val="00FA11A4"/>
    <w:rsid w:val="00FA136F"/>
    <w:rsid w:val="00FA27DB"/>
    <w:rsid w:val="00FA52F7"/>
    <w:rsid w:val="00FA5C55"/>
    <w:rsid w:val="00FA62A1"/>
    <w:rsid w:val="00FA79DC"/>
    <w:rsid w:val="00FB1A3D"/>
    <w:rsid w:val="00FB22F1"/>
    <w:rsid w:val="00FB2431"/>
    <w:rsid w:val="00FB654B"/>
    <w:rsid w:val="00FB7F1C"/>
    <w:rsid w:val="00FC0100"/>
    <w:rsid w:val="00FC0D7C"/>
    <w:rsid w:val="00FC1B21"/>
    <w:rsid w:val="00FC2C34"/>
    <w:rsid w:val="00FC38BB"/>
    <w:rsid w:val="00FC56BC"/>
    <w:rsid w:val="00FC7CF2"/>
    <w:rsid w:val="00FD0FBD"/>
    <w:rsid w:val="00FD330F"/>
    <w:rsid w:val="00FD4289"/>
    <w:rsid w:val="00FD6F08"/>
    <w:rsid w:val="00FE008E"/>
    <w:rsid w:val="00FE038C"/>
    <w:rsid w:val="00FE0D7E"/>
    <w:rsid w:val="00FE2F86"/>
    <w:rsid w:val="00FE2F95"/>
    <w:rsid w:val="00FE7D76"/>
    <w:rsid w:val="00FE7DE9"/>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 w:type="paragraph" w:customStyle="1" w:styleId="DHTitle">
    <w:name w:val="DH Title"/>
    <w:basedOn w:val="Normal"/>
    <w:rsid w:val="005B64E0"/>
    <w:pPr>
      <w:spacing w:line="660" w:lineRule="exact"/>
    </w:pPr>
    <w:rPr>
      <w:rFonts w:ascii="Arial" w:eastAsia="Times New Roman" w:hAnsi="Arial"/>
      <w:b/>
      <w:color w:val="009966"/>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 w:type="paragraph" w:customStyle="1" w:styleId="DHTitle">
    <w:name w:val="DH Title"/>
    <w:basedOn w:val="Normal"/>
    <w:rsid w:val="005B64E0"/>
    <w:pPr>
      <w:spacing w:line="660" w:lineRule="exact"/>
    </w:pPr>
    <w:rPr>
      <w:rFonts w:ascii="Arial" w:eastAsia="Times New Roman" w:hAnsi="Arial"/>
      <w:b/>
      <w:color w:val="009966"/>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yperlink" Target="https://www.gov.uk/government/organisations/department-of-health/about/procuremen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ccadvisory@dh.gsi.gov.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175887/dh_132575.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ccadvisory@dh.gsi.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ccadvisory@dh.gsi.gov.uk" TargetMode="Externa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87C0A-8CAC-4A25-8DDF-F2135DBF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1081</TotalTime>
  <Pages>15</Pages>
  <Words>3251</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26</cp:revision>
  <cp:lastPrinted>2016-11-23T11:54:00Z</cp:lastPrinted>
  <dcterms:created xsi:type="dcterms:W3CDTF">2016-09-26T15:55:00Z</dcterms:created>
  <dcterms:modified xsi:type="dcterms:W3CDTF">2016-11-25T10:34:00Z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_AdHocReviewCycleID">
    <vt:i4>581194533</vt:i4>
  </property>
  <property fmtid="{D5CDD505-2E9C-101B-9397-08002B2CF9AE}" pid="13" name="_NewReviewCycle">
    <vt:lpwstr/>
  </property>
  <property fmtid="{D5CDD505-2E9C-101B-9397-08002B2CF9AE}" pid="14" name="_EmailSubject">
    <vt:lpwstr>ICC Contract</vt:lpwstr>
  </property>
  <property fmtid="{D5CDD505-2E9C-101B-9397-08002B2CF9AE}" pid="15" name="_AuthorEmail">
    <vt:lpwstr>MATT.HORLOCK@DWP.GSI.GOV.UK</vt:lpwstr>
  </property>
  <property fmtid="{D5CDD505-2E9C-101B-9397-08002B2CF9AE}" pid="16" name="_AuthorEmailDisplayName">
    <vt:lpwstr>Horlock Matt DWP DH LEGAL SERVICES</vt:lpwstr>
  </property>
  <property fmtid="{D5CDD505-2E9C-101B-9397-08002B2CF9AE}" pid="17" name="_ReviewingToolsShownOnce">
    <vt:lpwstr/>
  </property>
</Properties>
</file>