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E9A43" w14:textId="77777777" w:rsidR="000E51ED" w:rsidRDefault="000E51ED" w:rsidP="000E51ED">
      <w:pPr>
        <w:jc w:val="right"/>
      </w:pPr>
    </w:p>
    <w:p w14:paraId="4710B656" w14:textId="77777777" w:rsidR="000E51ED" w:rsidRDefault="000E51ED" w:rsidP="000E51ED">
      <w:pPr>
        <w:jc w:val="right"/>
      </w:pPr>
    </w:p>
    <w:p w14:paraId="672FCB58" w14:textId="35026CA1" w:rsidR="000E51ED" w:rsidRPr="00974CBD" w:rsidRDefault="00345F56" w:rsidP="000E51ED">
      <w:pPr>
        <w:rPr>
          <w:u w:val="single"/>
        </w:rPr>
      </w:pPr>
      <w:r>
        <w:rPr>
          <w:u w:val="single"/>
        </w:rPr>
        <w:t xml:space="preserve">ICAVS(D) </w:t>
      </w:r>
      <w:r w:rsidR="00394C92">
        <w:rPr>
          <w:u w:val="single"/>
        </w:rPr>
        <w:t xml:space="preserve">- </w:t>
      </w:r>
      <w:r w:rsidR="000E51ED" w:rsidRPr="00974CBD">
        <w:rPr>
          <w:u w:val="single"/>
        </w:rPr>
        <w:t>KEY PERFORMANCE INDICATORS (KPI)</w:t>
      </w:r>
    </w:p>
    <w:p w14:paraId="2F98E176" w14:textId="77777777" w:rsidR="000E51ED" w:rsidRPr="00974CBD" w:rsidRDefault="000E51ED" w:rsidP="000E51ED">
      <w:pPr>
        <w:rPr>
          <w:u w:val="single"/>
        </w:rPr>
      </w:pPr>
    </w:p>
    <w:p w14:paraId="170E3453" w14:textId="77777777" w:rsidR="000E51ED" w:rsidRDefault="000E51ED" w:rsidP="000E51ED"/>
    <w:p w14:paraId="16FA206F" w14:textId="745486BF" w:rsidR="000E51ED" w:rsidRPr="0085610F" w:rsidRDefault="000E51ED" w:rsidP="0085610F">
      <w:pPr>
        <w:pStyle w:val="Heading1"/>
        <w:numPr>
          <w:ilvl w:val="0"/>
          <w:numId w:val="4"/>
        </w:numPr>
        <w:rPr>
          <w:rFonts w:ascii="Arial" w:hAnsi="Arial" w:cs="Arial"/>
          <w:b/>
          <w:bCs/>
          <w:color w:val="auto"/>
          <w:sz w:val="22"/>
          <w:szCs w:val="22"/>
        </w:rPr>
      </w:pPr>
      <w:r w:rsidRPr="0085610F">
        <w:rPr>
          <w:rFonts w:ascii="Arial" w:hAnsi="Arial" w:cs="Arial"/>
          <w:b/>
          <w:bCs/>
          <w:color w:val="auto"/>
          <w:sz w:val="22"/>
          <w:szCs w:val="22"/>
        </w:rPr>
        <w:t>P</w:t>
      </w:r>
      <w:r w:rsidR="0085610F">
        <w:rPr>
          <w:rFonts w:ascii="Arial" w:hAnsi="Arial" w:cs="Arial"/>
          <w:b/>
          <w:bCs/>
          <w:color w:val="auto"/>
          <w:sz w:val="22"/>
          <w:szCs w:val="22"/>
        </w:rPr>
        <w:t>ayment Mechanism</w:t>
      </w:r>
    </w:p>
    <w:p w14:paraId="14BAF25B" w14:textId="77777777" w:rsidR="000E51ED" w:rsidRPr="00EE58AA" w:rsidRDefault="000E51ED" w:rsidP="000E51ED">
      <w:pPr>
        <w:rPr>
          <w:szCs w:val="22"/>
        </w:rPr>
      </w:pPr>
    </w:p>
    <w:p w14:paraId="62F05117" w14:textId="77777777" w:rsidR="000E51ED" w:rsidRPr="00EE58AA" w:rsidRDefault="000E51ED" w:rsidP="000E51ED">
      <w:pPr>
        <w:rPr>
          <w:szCs w:val="22"/>
        </w:rPr>
      </w:pPr>
      <w:r w:rsidRPr="00EE58AA">
        <w:rPr>
          <w:szCs w:val="22"/>
        </w:rPr>
        <w:t>Definitions</w:t>
      </w:r>
    </w:p>
    <w:p w14:paraId="3863DCDC" w14:textId="77777777" w:rsidR="000E51ED" w:rsidRPr="00EE58AA" w:rsidRDefault="000E51ED" w:rsidP="000E51ED">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900"/>
      </w:tblGrid>
      <w:tr w:rsidR="000E51ED" w:rsidRPr="00EE58AA" w14:paraId="0B92122A" w14:textId="77777777" w:rsidTr="00A54189">
        <w:tc>
          <w:tcPr>
            <w:tcW w:w="2628" w:type="dxa"/>
            <w:shd w:val="clear" w:color="auto" w:fill="auto"/>
          </w:tcPr>
          <w:p w14:paraId="6A1CC746" w14:textId="77777777" w:rsidR="000E51ED" w:rsidRPr="00EE58AA" w:rsidRDefault="000E51ED" w:rsidP="00A54189">
            <w:pPr>
              <w:rPr>
                <w:szCs w:val="22"/>
              </w:rPr>
            </w:pPr>
            <w:r w:rsidRPr="00EE58AA">
              <w:rPr>
                <w:szCs w:val="22"/>
              </w:rPr>
              <w:t>Failure</w:t>
            </w:r>
          </w:p>
        </w:tc>
        <w:tc>
          <w:tcPr>
            <w:tcW w:w="5900" w:type="dxa"/>
            <w:shd w:val="clear" w:color="auto" w:fill="auto"/>
          </w:tcPr>
          <w:p w14:paraId="6D15C316" w14:textId="1660B4DE" w:rsidR="000E51ED" w:rsidRPr="00EE58AA" w:rsidRDefault="000E51ED" w:rsidP="00A54189">
            <w:pPr>
              <w:rPr>
                <w:szCs w:val="22"/>
              </w:rPr>
            </w:pPr>
            <w:r w:rsidRPr="00EE58AA">
              <w:rPr>
                <w:szCs w:val="22"/>
              </w:rPr>
              <w:t>Means a failure to meet the KPIs for the provision of the Services in accordance with the Statement of Requirement</w:t>
            </w:r>
            <w:r w:rsidR="00394C92">
              <w:rPr>
                <w:szCs w:val="22"/>
              </w:rPr>
              <w:t xml:space="preserve"> (Schedule 1)</w:t>
            </w:r>
          </w:p>
          <w:p w14:paraId="76EA0A17" w14:textId="77777777" w:rsidR="000E51ED" w:rsidRPr="00EE58AA" w:rsidRDefault="000E51ED" w:rsidP="00A54189">
            <w:pPr>
              <w:rPr>
                <w:szCs w:val="22"/>
              </w:rPr>
            </w:pPr>
          </w:p>
        </w:tc>
      </w:tr>
      <w:tr w:rsidR="000E51ED" w:rsidRPr="00EE58AA" w14:paraId="4973C494" w14:textId="77777777" w:rsidTr="00A54189">
        <w:tc>
          <w:tcPr>
            <w:tcW w:w="2628" w:type="dxa"/>
            <w:shd w:val="clear" w:color="auto" w:fill="auto"/>
          </w:tcPr>
          <w:p w14:paraId="7DCF87D5" w14:textId="77777777" w:rsidR="000E51ED" w:rsidRPr="00EE58AA" w:rsidRDefault="000E51ED" w:rsidP="00A54189">
            <w:pPr>
              <w:rPr>
                <w:szCs w:val="22"/>
              </w:rPr>
            </w:pPr>
            <w:r w:rsidRPr="00EE58AA">
              <w:rPr>
                <w:szCs w:val="22"/>
              </w:rPr>
              <w:t>KPI or Key Performance Indicator</w:t>
            </w:r>
          </w:p>
        </w:tc>
        <w:tc>
          <w:tcPr>
            <w:tcW w:w="5900" w:type="dxa"/>
            <w:shd w:val="clear" w:color="auto" w:fill="auto"/>
          </w:tcPr>
          <w:p w14:paraId="1D9AE786" w14:textId="321DFFCB" w:rsidR="000E51ED" w:rsidRPr="00EE58AA" w:rsidRDefault="000E51ED" w:rsidP="00A54189">
            <w:pPr>
              <w:rPr>
                <w:szCs w:val="22"/>
              </w:rPr>
            </w:pPr>
            <w:r w:rsidRPr="00EE58AA">
              <w:rPr>
                <w:szCs w:val="22"/>
              </w:rPr>
              <w:t xml:space="preserve">Means the performance standards set out in the Schedule of Requirement under each heading </w:t>
            </w:r>
            <w:proofErr w:type="gramStart"/>
            <w:r w:rsidRPr="00EE58AA">
              <w:rPr>
                <w:szCs w:val="22"/>
              </w:rPr>
              <w:t>and also</w:t>
            </w:r>
            <w:proofErr w:type="gramEnd"/>
            <w:r w:rsidRPr="00EE58AA">
              <w:rPr>
                <w:szCs w:val="22"/>
              </w:rPr>
              <w:t xml:space="preserve"> set out in the table at </w:t>
            </w:r>
            <w:r>
              <w:rPr>
                <w:szCs w:val="22"/>
              </w:rPr>
              <w:t>Appendix</w:t>
            </w:r>
            <w:r w:rsidRPr="00EE58AA">
              <w:rPr>
                <w:szCs w:val="22"/>
              </w:rPr>
              <w:t xml:space="preserve"> 1 to this</w:t>
            </w:r>
            <w:r w:rsidR="00394C92">
              <w:rPr>
                <w:szCs w:val="22"/>
              </w:rPr>
              <w:t xml:space="preserve"> Schedule 3. </w:t>
            </w:r>
          </w:p>
          <w:p w14:paraId="5AB0BDF2" w14:textId="77777777" w:rsidR="000E51ED" w:rsidRPr="00EE58AA" w:rsidRDefault="000E51ED" w:rsidP="00A54189">
            <w:pPr>
              <w:rPr>
                <w:szCs w:val="22"/>
              </w:rPr>
            </w:pPr>
          </w:p>
        </w:tc>
      </w:tr>
      <w:tr w:rsidR="000E51ED" w:rsidRPr="00EE58AA" w14:paraId="3D38D390" w14:textId="77777777" w:rsidTr="00A54189">
        <w:tc>
          <w:tcPr>
            <w:tcW w:w="2628" w:type="dxa"/>
            <w:shd w:val="clear" w:color="auto" w:fill="auto"/>
          </w:tcPr>
          <w:p w14:paraId="79494F88" w14:textId="77777777" w:rsidR="000E51ED" w:rsidRPr="00EE58AA" w:rsidRDefault="000E51ED" w:rsidP="00A54189">
            <w:pPr>
              <w:rPr>
                <w:szCs w:val="22"/>
              </w:rPr>
            </w:pPr>
            <w:r>
              <w:rPr>
                <w:szCs w:val="22"/>
              </w:rPr>
              <w:t>Quarterly</w:t>
            </w:r>
            <w:r w:rsidRPr="00EE58AA">
              <w:rPr>
                <w:szCs w:val="22"/>
              </w:rPr>
              <w:t xml:space="preserve"> Service Payment</w:t>
            </w:r>
          </w:p>
        </w:tc>
        <w:tc>
          <w:tcPr>
            <w:tcW w:w="5900" w:type="dxa"/>
            <w:shd w:val="clear" w:color="auto" w:fill="auto"/>
          </w:tcPr>
          <w:p w14:paraId="0C7D1895" w14:textId="70577757" w:rsidR="000E51ED" w:rsidRPr="00EE58AA" w:rsidRDefault="000E51ED" w:rsidP="00A54189">
            <w:pPr>
              <w:rPr>
                <w:szCs w:val="22"/>
              </w:rPr>
            </w:pPr>
            <w:r w:rsidRPr="00EE58AA">
              <w:rPr>
                <w:szCs w:val="22"/>
              </w:rPr>
              <w:t xml:space="preserve">Shall have the meaning given to that term in paragraph 1 of Part 1 of this </w:t>
            </w:r>
            <w:r w:rsidR="00C52812">
              <w:rPr>
                <w:szCs w:val="22"/>
              </w:rPr>
              <w:t>Schedule</w:t>
            </w:r>
            <w:r w:rsidR="00AD147D">
              <w:rPr>
                <w:szCs w:val="22"/>
              </w:rPr>
              <w:t xml:space="preserve"> 3</w:t>
            </w:r>
          </w:p>
          <w:p w14:paraId="3624CF7E" w14:textId="77777777" w:rsidR="000E51ED" w:rsidRPr="00EE58AA" w:rsidRDefault="000E51ED" w:rsidP="00A54189">
            <w:pPr>
              <w:rPr>
                <w:szCs w:val="22"/>
              </w:rPr>
            </w:pPr>
          </w:p>
        </w:tc>
      </w:tr>
      <w:tr w:rsidR="000E51ED" w:rsidRPr="00EE58AA" w14:paraId="052093AC" w14:textId="77777777" w:rsidTr="00A54189">
        <w:tc>
          <w:tcPr>
            <w:tcW w:w="2628" w:type="dxa"/>
            <w:shd w:val="clear" w:color="auto" w:fill="auto"/>
          </w:tcPr>
          <w:p w14:paraId="48191D65" w14:textId="77777777" w:rsidR="000E51ED" w:rsidRPr="00EE58AA" w:rsidRDefault="000E51ED" w:rsidP="00A54189">
            <w:pPr>
              <w:rPr>
                <w:szCs w:val="22"/>
              </w:rPr>
            </w:pPr>
            <w:r>
              <w:rPr>
                <w:szCs w:val="22"/>
              </w:rPr>
              <w:t>Quarterly</w:t>
            </w:r>
            <w:r w:rsidRPr="00EE58AA">
              <w:rPr>
                <w:szCs w:val="22"/>
              </w:rPr>
              <w:t xml:space="preserve"> Invoice Amount</w:t>
            </w:r>
          </w:p>
        </w:tc>
        <w:tc>
          <w:tcPr>
            <w:tcW w:w="5900" w:type="dxa"/>
            <w:shd w:val="clear" w:color="auto" w:fill="auto"/>
          </w:tcPr>
          <w:p w14:paraId="06897C9E" w14:textId="25E32562" w:rsidR="000E51ED" w:rsidRPr="00EE58AA" w:rsidRDefault="000E51ED" w:rsidP="00A54189">
            <w:pPr>
              <w:rPr>
                <w:szCs w:val="22"/>
              </w:rPr>
            </w:pPr>
            <w:r w:rsidRPr="00EE58AA">
              <w:rPr>
                <w:szCs w:val="22"/>
              </w:rPr>
              <w:t xml:space="preserve">Shall have the meaning given to that term in paragraph 2 of Part 1 of this </w:t>
            </w:r>
            <w:r w:rsidR="00AD147D">
              <w:rPr>
                <w:szCs w:val="22"/>
              </w:rPr>
              <w:t>Schedule 3</w:t>
            </w:r>
          </w:p>
          <w:p w14:paraId="637E7377" w14:textId="77777777" w:rsidR="000E51ED" w:rsidRPr="00EE58AA" w:rsidRDefault="000E51ED" w:rsidP="00A54189">
            <w:pPr>
              <w:rPr>
                <w:szCs w:val="22"/>
              </w:rPr>
            </w:pPr>
          </w:p>
        </w:tc>
      </w:tr>
      <w:tr w:rsidR="000E51ED" w:rsidRPr="00EE58AA" w14:paraId="14C24039" w14:textId="77777777" w:rsidTr="00A54189">
        <w:tc>
          <w:tcPr>
            <w:tcW w:w="2628" w:type="dxa"/>
            <w:shd w:val="clear" w:color="auto" w:fill="auto"/>
          </w:tcPr>
          <w:p w14:paraId="4DCDCF20" w14:textId="77777777" w:rsidR="000E51ED" w:rsidRPr="00EE58AA" w:rsidRDefault="000E51ED" w:rsidP="00A54189">
            <w:pPr>
              <w:rPr>
                <w:szCs w:val="22"/>
              </w:rPr>
            </w:pPr>
            <w:r w:rsidRPr="00EE58AA">
              <w:rPr>
                <w:szCs w:val="22"/>
              </w:rPr>
              <w:t>Service Credit</w:t>
            </w:r>
          </w:p>
        </w:tc>
        <w:tc>
          <w:tcPr>
            <w:tcW w:w="5900" w:type="dxa"/>
            <w:shd w:val="clear" w:color="auto" w:fill="auto"/>
          </w:tcPr>
          <w:p w14:paraId="0BA35A0C" w14:textId="375D764D" w:rsidR="000E51ED" w:rsidRPr="00EE58AA" w:rsidRDefault="000E51ED" w:rsidP="00AD147D">
            <w:pPr>
              <w:rPr>
                <w:szCs w:val="22"/>
              </w:rPr>
            </w:pPr>
            <w:r w:rsidRPr="00EE58AA">
              <w:rPr>
                <w:szCs w:val="22"/>
              </w:rPr>
              <w:t xml:space="preserve">Shall mean the deductions to be made from the </w:t>
            </w:r>
            <w:r>
              <w:rPr>
                <w:szCs w:val="22"/>
              </w:rPr>
              <w:t>Quarterly</w:t>
            </w:r>
            <w:r w:rsidRPr="00EE58AA">
              <w:rPr>
                <w:szCs w:val="22"/>
              </w:rPr>
              <w:t xml:space="preserve"> Service Payment in accordance with Part 2 of this </w:t>
            </w:r>
            <w:r w:rsidR="00AD147D">
              <w:rPr>
                <w:szCs w:val="22"/>
              </w:rPr>
              <w:t xml:space="preserve">Schedule 3 </w:t>
            </w:r>
          </w:p>
        </w:tc>
      </w:tr>
      <w:tr w:rsidR="000E51ED" w:rsidRPr="00EE58AA" w14:paraId="63507F20" w14:textId="77777777" w:rsidTr="00A54189">
        <w:tc>
          <w:tcPr>
            <w:tcW w:w="2628" w:type="dxa"/>
            <w:shd w:val="clear" w:color="auto" w:fill="auto"/>
          </w:tcPr>
          <w:p w14:paraId="7B269795" w14:textId="77777777" w:rsidR="000E51ED" w:rsidRPr="00EE58AA" w:rsidRDefault="000E51ED" w:rsidP="00A54189">
            <w:pPr>
              <w:rPr>
                <w:szCs w:val="22"/>
              </w:rPr>
            </w:pPr>
            <w:r w:rsidRPr="00EE58AA">
              <w:rPr>
                <w:szCs w:val="22"/>
              </w:rPr>
              <w:t>Service Failure Point</w:t>
            </w:r>
          </w:p>
        </w:tc>
        <w:tc>
          <w:tcPr>
            <w:tcW w:w="5900" w:type="dxa"/>
            <w:shd w:val="clear" w:color="auto" w:fill="auto"/>
          </w:tcPr>
          <w:p w14:paraId="09858BCA" w14:textId="74E4E900" w:rsidR="000E51ED" w:rsidRPr="00EE58AA" w:rsidRDefault="000E51ED" w:rsidP="00AD147D">
            <w:pPr>
              <w:rPr>
                <w:szCs w:val="22"/>
              </w:rPr>
            </w:pPr>
            <w:r w:rsidRPr="00EE58AA">
              <w:rPr>
                <w:szCs w:val="22"/>
              </w:rPr>
              <w:t>Shall mean the points to be accrued by the Contractor in accordance with Part 2 of thi</w:t>
            </w:r>
            <w:r w:rsidR="00AD147D">
              <w:rPr>
                <w:szCs w:val="22"/>
              </w:rPr>
              <w:t xml:space="preserve">s Schedule (Key Performance Indicators) </w:t>
            </w:r>
          </w:p>
        </w:tc>
      </w:tr>
    </w:tbl>
    <w:p w14:paraId="2229D80D" w14:textId="77777777" w:rsidR="000E51ED" w:rsidRPr="00EE58AA" w:rsidRDefault="000E51ED" w:rsidP="000E51ED">
      <w:pPr>
        <w:rPr>
          <w:szCs w:val="22"/>
        </w:rPr>
      </w:pPr>
    </w:p>
    <w:p w14:paraId="3A523401" w14:textId="77777777" w:rsidR="000E51ED" w:rsidRPr="00EE58AA" w:rsidRDefault="000E51ED" w:rsidP="000E51ED">
      <w:pPr>
        <w:rPr>
          <w:szCs w:val="22"/>
        </w:rPr>
      </w:pPr>
    </w:p>
    <w:p w14:paraId="7EA1D690" w14:textId="77777777" w:rsidR="000E51ED" w:rsidRPr="0085610F" w:rsidRDefault="000E51ED" w:rsidP="0085610F">
      <w:pPr>
        <w:pStyle w:val="Heading2"/>
        <w:rPr>
          <w:rFonts w:ascii="Arial" w:hAnsi="Arial" w:cs="Arial"/>
          <w:b/>
          <w:bCs/>
          <w:sz w:val="22"/>
          <w:szCs w:val="22"/>
        </w:rPr>
      </w:pPr>
      <w:r w:rsidRPr="00EE58AA">
        <w:br w:type="page"/>
      </w:r>
      <w:r w:rsidRPr="0085610F">
        <w:rPr>
          <w:rFonts w:ascii="Arial" w:hAnsi="Arial" w:cs="Arial"/>
          <w:b/>
          <w:bCs/>
          <w:color w:val="auto"/>
          <w:sz w:val="22"/>
          <w:szCs w:val="22"/>
        </w:rPr>
        <w:lastRenderedPageBreak/>
        <w:t>Part 1 – Monthly Payments</w:t>
      </w:r>
    </w:p>
    <w:p w14:paraId="21B1481A" w14:textId="77777777" w:rsidR="000E51ED" w:rsidRPr="00EE58AA" w:rsidRDefault="000E51ED" w:rsidP="000E51ED">
      <w:pPr>
        <w:rPr>
          <w:szCs w:val="22"/>
        </w:rPr>
      </w:pPr>
    </w:p>
    <w:p w14:paraId="2927D59A" w14:textId="6C644664" w:rsidR="000E51ED" w:rsidRPr="00EE58AA" w:rsidRDefault="000E51ED" w:rsidP="000E51ED">
      <w:pPr>
        <w:numPr>
          <w:ilvl w:val="0"/>
          <w:numId w:val="1"/>
        </w:numPr>
        <w:rPr>
          <w:szCs w:val="22"/>
        </w:rPr>
      </w:pPr>
      <w:r w:rsidRPr="00EE58AA">
        <w:rPr>
          <w:szCs w:val="22"/>
        </w:rPr>
        <w:t xml:space="preserve">The Authority shall pay the </w:t>
      </w:r>
      <w:r>
        <w:rPr>
          <w:szCs w:val="22"/>
        </w:rPr>
        <w:t>Quarterly</w:t>
      </w:r>
      <w:r w:rsidRPr="00EE58AA">
        <w:rPr>
          <w:szCs w:val="22"/>
        </w:rPr>
        <w:t xml:space="preserve"> Payment to the Contractor in consideration of the provision</w:t>
      </w:r>
      <w:r>
        <w:rPr>
          <w:szCs w:val="22"/>
        </w:rPr>
        <w:t xml:space="preserve"> of services provided</w:t>
      </w:r>
      <w:r w:rsidRPr="00EE58AA">
        <w:rPr>
          <w:szCs w:val="22"/>
        </w:rPr>
        <w:t xml:space="preserve"> by the Contractor.  </w:t>
      </w:r>
      <w:r>
        <w:rPr>
          <w:szCs w:val="22"/>
        </w:rPr>
        <w:t>As defined in Statement of Requirement (</w:t>
      </w:r>
      <w:r w:rsidR="006C03E1">
        <w:rPr>
          <w:szCs w:val="22"/>
        </w:rPr>
        <w:t>Schedule 1 to the Terms and Conditions)</w:t>
      </w:r>
      <w:r>
        <w:rPr>
          <w:szCs w:val="22"/>
        </w:rPr>
        <w:t xml:space="preserve"> </w:t>
      </w:r>
    </w:p>
    <w:p w14:paraId="783A4BB6" w14:textId="77777777" w:rsidR="000E51ED" w:rsidRPr="00EE58AA" w:rsidRDefault="000E51ED" w:rsidP="000E51ED">
      <w:pPr>
        <w:rPr>
          <w:szCs w:val="22"/>
        </w:rPr>
      </w:pPr>
    </w:p>
    <w:p w14:paraId="6F776BFE" w14:textId="63A1D177" w:rsidR="000E51ED" w:rsidRPr="00EE58AA" w:rsidRDefault="000E51ED" w:rsidP="000E51ED">
      <w:pPr>
        <w:numPr>
          <w:ilvl w:val="0"/>
          <w:numId w:val="1"/>
        </w:numPr>
        <w:rPr>
          <w:szCs w:val="22"/>
        </w:rPr>
      </w:pPr>
      <w:r w:rsidRPr="00EE58AA">
        <w:rPr>
          <w:szCs w:val="22"/>
        </w:rPr>
        <w:t xml:space="preserve">In respect of any given </w:t>
      </w:r>
      <w:r>
        <w:rPr>
          <w:szCs w:val="22"/>
        </w:rPr>
        <w:t>quarter</w:t>
      </w:r>
      <w:r w:rsidRPr="00EE58AA">
        <w:rPr>
          <w:szCs w:val="22"/>
        </w:rPr>
        <w:t xml:space="preserve">, the Contractor shall deduct from the </w:t>
      </w:r>
      <w:r>
        <w:rPr>
          <w:szCs w:val="22"/>
        </w:rPr>
        <w:t>Quarterly</w:t>
      </w:r>
      <w:r w:rsidRPr="00EE58AA">
        <w:rPr>
          <w:szCs w:val="22"/>
        </w:rPr>
        <w:t xml:space="preserve"> Service Payment the Service Credits, as </w:t>
      </w:r>
      <w:proofErr w:type="gramStart"/>
      <w:r w:rsidRPr="00EE58AA">
        <w:rPr>
          <w:szCs w:val="22"/>
        </w:rPr>
        <w:t>agreed</w:t>
      </w:r>
      <w:proofErr w:type="gramEnd"/>
      <w:r w:rsidRPr="00EE58AA">
        <w:rPr>
          <w:szCs w:val="22"/>
        </w:rPr>
        <w:t xml:space="preserve"> or determined following the provision by the Contractor of the performance monitoring report in accordance with </w:t>
      </w:r>
      <w:r w:rsidRPr="00927A08">
        <w:rPr>
          <w:szCs w:val="22"/>
        </w:rPr>
        <w:t xml:space="preserve">Clause </w:t>
      </w:r>
      <w:r w:rsidR="00F830BF">
        <w:rPr>
          <w:szCs w:val="22"/>
        </w:rPr>
        <w:t>9</w:t>
      </w:r>
      <w:r w:rsidR="00927A08" w:rsidRPr="00927A08">
        <w:rPr>
          <w:szCs w:val="22"/>
        </w:rPr>
        <w:t>.1</w:t>
      </w:r>
      <w:r w:rsidRPr="00927A08">
        <w:rPr>
          <w:szCs w:val="22"/>
        </w:rPr>
        <w:t>.</w:t>
      </w:r>
      <w:r w:rsidRPr="00EE58AA">
        <w:rPr>
          <w:szCs w:val="22"/>
        </w:rPr>
        <w:t xml:space="preserve">  Following the deduction of the Service Credits the total amount payable by the Authority in respect of that </w:t>
      </w:r>
      <w:r>
        <w:rPr>
          <w:szCs w:val="22"/>
        </w:rPr>
        <w:t>quarter</w:t>
      </w:r>
      <w:r w:rsidRPr="00EE58AA">
        <w:rPr>
          <w:szCs w:val="22"/>
        </w:rPr>
        <w:t xml:space="preserve"> shall be the </w:t>
      </w:r>
      <w:r>
        <w:rPr>
          <w:szCs w:val="22"/>
        </w:rPr>
        <w:t>Quarterly</w:t>
      </w:r>
      <w:r w:rsidRPr="00EE58AA">
        <w:rPr>
          <w:szCs w:val="22"/>
        </w:rPr>
        <w:t xml:space="preserve"> Invoice Amount.  </w:t>
      </w:r>
    </w:p>
    <w:p w14:paraId="5376D83F" w14:textId="77777777" w:rsidR="000E51ED" w:rsidRPr="00EE58AA" w:rsidRDefault="000E51ED" w:rsidP="000E51ED">
      <w:pPr>
        <w:rPr>
          <w:szCs w:val="22"/>
        </w:rPr>
      </w:pPr>
    </w:p>
    <w:p w14:paraId="31C84B6E" w14:textId="19DC51DC" w:rsidR="000E51ED" w:rsidRDefault="000E51ED" w:rsidP="000E51ED">
      <w:pPr>
        <w:numPr>
          <w:ilvl w:val="0"/>
          <w:numId w:val="1"/>
        </w:numPr>
        <w:rPr>
          <w:szCs w:val="22"/>
        </w:rPr>
      </w:pPr>
      <w:r w:rsidRPr="00EE58AA">
        <w:rPr>
          <w:szCs w:val="22"/>
        </w:rPr>
        <w:t xml:space="preserve">No Service Credits will be deducted from the </w:t>
      </w:r>
      <w:r>
        <w:rPr>
          <w:szCs w:val="22"/>
        </w:rPr>
        <w:t>Quarterly</w:t>
      </w:r>
      <w:r w:rsidRPr="00EE58AA">
        <w:rPr>
          <w:szCs w:val="22"/>
        </w:rPr>
        <w:t xml:space="preserve"> Service Payment in respect of the first </w:t>
      </w:r>
      <w:r>
        <w:rPr>
          <w:szCs w:val="22"/>
        </w:rPr>
        <w:t>quarter</w:t>
      </w:r>
      <w:r w:rsidRPr="00EE58AA">
        <w:rPr>
          <w:szCs w:val="22"/>
        </w:rPr>
        <w:t xml:space="preserve"> of the Contract Period</w:t>
      </w:r>
      <w:r>
        <w:rPr>
          <w:szCs w:val="22"/>
        </w:rPr>
        <w:t xml:space="preserve"> (Apr – Jun </w:t>
      </w:r>
      <w:r w:rsidR="00166EE1">
        <w:rPr>
          <w:szCs w:val="22"/>
        </w:rPr>
        <w:t>2022</w:t>
      </w:r>
      <w:r>
        <w:rPr>
          <w:szCs w:val="22"/>
        </w:rPr>
        <w:t>) when it is anticipated the first training events will commence</w:t>
      </w:r>
      <w:r w:rsidRPr="00EE58AA">
        <w:rPr>
          <w:szCs w:val="22"/>
        </w:rPr>
        <w:t xml:space="preserve">.  </w:t>
      </w:r>
      <w:r>
        <w:rPr>
          <w:szCs w:val="22"/>
        </w:rPr>
        <w:t xml:space="preserve">KPI’s will still be monitored and reported on during this period. </w:t>
      </w:r>
      <w:r w:rsidRPr="00EE58AA">
        <w:rPr>
          <w:szCs w:val="22"/>
        </w:rPr>
        <w:t xml:space="preserve">If any Service Credits are accrued by the Contractor in the last </w:t>
      </w:r>
      <w:r>
        <w:rPr>
          <w:szCs w:val="22"/>
        </w:rPr>
        <w:t>quarter</w:t>
      </w:r>
      <w:r w:rsidRPr="00EE58AA">
        <w:rPr>
          <w:szCs w:val="22"/>
        </w:rPr>
        <w:t xml:space="preserve"> of the Contract Period, the amount of those Service Credits may be set off by the Authority against any sums due from the Authority to the Contractor or may be recoverable by the Authority from the Contractor as a debt.  </w:t>
      </w:r>
    </w:p>
    <w:p w14:paraId="343D1866" w14:textId="77777777" w:rsidR="00EA323E" w:rsidRDefault="00EA323E" w:rsidP="00EA323E">
      <w:pPr>
        <w:ind w:left="360"/>
        <w:rPr>
          <w:szCs w:val="22"/>
        </w:rPr>
      </w:pPr>
    </w:p>
    <w:p w14:paraId="64E8FE31" w14:textId="74C111A9" w:rsidR="00EA323E" w:rsidRPr="009C71B3" w:rsidRDefault="00EA323E" w:rsidP="000E51ED">
      <w:pPr>
        <w:numPr>
          <w:ilvl w:val="0"/>
          <w:numId w:val="1"/>
        </w:numPr>
        <w:rPr>
          <w:szCs w:val="22"/>
        </w:rPr>
      </w:pPr>
      <w:r w:rsidRPr="00EA323E">
        <w:rPr>
          <w:szCs w:val="22"/>
        </w:rPr>
        <w:t xml:space="preserve">The Contractor shall submit to the Authority an invoice in accordance with DEFCON  522 which shall show the Quarterly Invoice Amount; and where applicable </w:t>
      </w:r>
      <w:r w:rsidRPr="00EA323E">
        <w:rPr>
          <w:szCs w:val="22"/>
        </w:rPr>
        <w:tab/>
        <w:t>reductions in accordance with paragraph 2 above.</w:t>
      </w:r>
    </w:p>
    <w:p w14:paraId="6C028403" w14:textId="77777777" w:rsidR="000E51ED" w:rsidRPr="00EE58AA" w:rsidRDefault="000E51ED" w:rsidP="000E51ED">
      <w:pPr>
        <w:rPr>
          <w:szCs w:val="22"/>
        </w:rPr>
      </w:pPr>
    </w:p>
    <w:p w14:paraId="140D137A" w14:textId="77777777" w:rsidR="000E51ED" w:rsidRPr="00EE58AA" w:rsidRDefault="000E51ED" w:rsidP="000E51ED">
      <w:pPr>
        <w:rPr>
          <w:szCs w:val="22"/>
        </w:rPr>
      </w:pPr>
    </w:p>
    <w:p w14:paraId="54B0DDED" w14:textId="77777777" w:rsidR="000E51ED" w:rsidRPr="0085610F" w:rsidRDefault="000E51ED" w:rsidP="0085610F">
      <w:pPr>
        <w:pStyle w:val="Heading2"/>
        <w:rPr>
          <w:rFonts w:ascii="Arial" w:hAnsi="Arial" w:cs="Arial"/>
          <w:b/>
          <w:bCs/>
          <w:color w:val="auto"/>
          <w:sz w:val="22"/>
          <w:szCs w:val="22"/>
        </w:rPr>
      </w:pPr>
      <w:r w:rsidRPr="0085610F">
        <w:rPr>
          <w:rFonts w:ascii="Arial" w:hAnsi="Arial" w:cs="Arial"/>
          <w:b/>
          <w:bCs/>
          <w:color w:val="auto"/>
          <w:sz w:val="22"/>
          <w:szCs w:val="22"/>
        </w:rPr>
        <w:t>Part 2 – Service Levels &amp; Service Credits</w:t>
      </w:r>
    </w:p>
    <w:p w14:paraId="203EA631" w14:textId="77777777" w:rsidR="000E51ED" w:rsidRPr="00EE58AA" w:rsidRDefault="000E51ED" w:rsidP="000E51ED">
      <w:pPr>
        <w:rPr>
          <w:szCs w:val="22"/>
        </w:rPr>
      </w:pPr>
    </w:p>
    <w:p w14:paraId="1E7A5828" w14:textId="04059B46" w:rsidR="000E51ED" w:rsidRPr="00EE58AA" w:rsidRDefault="000E51ED" w:rsidP="01AFD310">
      <w:pPr>
        <w:numPr>
          <w:ilvl w:val="0"/>
          <w:numId w:val="2"/>
        </w:numPr>
      </w:pPr>
      <w:r>
        <w:t xml:space="preserve">The Service Credits which shall be deducted from the Quarterly Service Payment in accordance with paragraph 2 of Part 1 above shall be calculated in accordance with the paragraphs below in this Part 2 of this </w:t>
      </w:r>
      <w:r w:rsidR="005323D9">
        <w:t>Schedule 3</w:t>
      </w:r>
      <w:r>
        <w:t xml:space="preserve">.  Each Service Credit shall have a value of 0.5% of the Quarterly Service Payment.  </w:t>
      </w:r>
    </w:p>
    <w:p w14:paraId="5694AC67" w14:textId="77777777" w:rsidR="000E51ED" w:rsidRPr="00EE58AA" w:rsidRDefault="000E51ED" w:rsidP="000E51ED">
      <w:pPr>
        <w:rPr>
          <w:szCs w:val="22"/>
        </w:rPr>
      </w:pPr>
    </w:p>
    <w:p w14:paraId="20A6DC43" w14:textId="77777777" w:rsidR="000E51ED" w:rsidRPr="00EE58AA" w:rsidRDefault="000E51ED" w:rsidP="000E51ED">
      <w:pPr>
        <w:rPr>
          <w:szCs w:val="22"/>
        </w:rPr>
      </w:pPr>
      <w:r w:rsidRPr="00EE58AA">
        <w:rPr>
          <w:szCs w:val="22"/>
        </w:rPr>
        <w:t>Service Credits &amp; Service Failure Points</w:t>
      </w:r>
    </w:p>
    <w:p w14:paraId="3C5CBEF2" w14:textId="77777777" w:rsidR="000E51ED" w:rsidRPr="00EE58AA" w:rsidRDefault="000E51ED" w:rsidP="000E51ED">
      <w:pPr>
        <w:rPr>
          <w:szCs w:val="22"/>
        </w:rPr>
      </w:pPr>
    </w:p>
    <w:p w14:paraId="4D162421" w14:textId="701DC76B" w:rsidR="000E51ED" w:rsidRPr="00EE58AA" w:rsidRDefault="000E51ED" w:rsidP="01AFD310">
      <w:pPr>
        <w:numPr>
          <w:ilvl w:val="0"/>
          <w:numId w:val="2"/>
        </w:numPr>
      </w:pPr>
      <w:r>
        <w:t xml:space="preserve">In the event of a Failure by the Contractor, the Contractor shall </w:t>
      </w:r>
      <w:r w:rsidR="1CDCE2E6">
        <w:t>incur: -</w:t>
      </w:r>
      <w:r>
        <w:t xml:space="preserve"> </w:t>
      </w:r>
    </w:p>
    <w:p w14:paraId="6574D423" w14:textId="77777777" w:rsidR="000E51ED" w:rsidRPr="00EE58AA" w:rsidRDefault="000E51ED" w:rsidP="000E51ED">
      <w:pPr>
        <w:rPr>
          <w:szCs w:val="22"/>
        </w:rPr>
      </w:pPr>
    </w:p>
    <w:p w14:paraId="4DFB2DDD" w14:textId="77777777" w:rsidR="000E51ED" w:rsidRPr="00EE58AA" w:rsidRDefault="000E51ED" w:rsidP="01AFD310">
      <w:pPr>
        <w:numPr>
          <w:ilvl w:val="1"/>
          <w:numId w:val="2"/>
        </w:numPr>
      </w:pPr>
      <w:r>
        <w:t>one or more Service Credits;</w:t>
      </w:r>
      <w:r w:rsidRPr="01AFD310">
        <w:rPr>
          <w:color w:val="FF0000"/>
        </w:rPr>
        <w:t xml:space="preserve"> </w:t>
      </w:r>
      <w:r>
        <w:t xml:space="preserve">and/or </w:t>
      </w:r>
    </w:p>
    <w:p w14:paraId="381B4762" w14:textId="77777777" w:rsidR="000E51ED" w:rsidRPr="00EE58AA" w:rsidRDefault="000E51ED" w:rsidP="000E51ED">
      <w:pPr>
        <w:rPr>
          <w:szCs w:val="22"/>
        </w:rPr>
      </w:pPr>
    </w:p>
    <w:p w14:paraId="098E5B1D" w14:textId="77777777" w:rsidR="000E51ED" w:rsidRPr="00EE58AA" w:rsidRDefault="000E51ED" w:rsidP="01AFD310">
      <w:pPr>
        <w:numPr>
          <w:ilvl w:val="1"/>
          <w:numId w:val="2"/>
        </w:numPr>
      </w:pPr>
      <w:r>
        <w:t xml:space="preserve">one or more Service Failure </w:t>
      </w:r>
      <w:proofErr w:type="gramStart"/>
      <w:r>
        <w:t>Points;</w:t>
      </w:r>
      <w:proofErr w:type="gramEnd"/>
      <w:r>
        <w:t xml:space="preserve"> </w:t>
      </w:r>
    </w:p>
    <w:p w14:paraId="354A1937" w14:textId="77777777" w:rsidR="000E51ED" w:rsidRPr="00EE58AA" w:rsidRDefault="000E51ED" w:rsidP="000E51ED">
      <w:pPr>
        <w:rPr>
          <w:szCs w:val="22"/>
        </w:rPr>
      </w:pPr>
    </w:p>
    <w:p w14:paraId="76B616DD" w14:textId="4F5D2193" w:rsidR="000E51ED" w:rsidRDefault="00EA323E" w:rsidP="000E51ED">
      <w:pPr>
        <w:rPr>
          <w:szCs w:val="22"/>
        </w:rPr>
      </w:pPr>
      <w:r>
        <w:rPr>
          <w:szCs w:val="22"/>
        </w:rPr>
        <w:t>I</w:t>
      </w:r>
      <w:r w:rsidR="000E51ED">
        <w:rPr>
          <w:szCs w:val="22"/>
        </w:rPr>
        <w:t>n the amounts set out in Appendix</w:t>
      </w:r>
      <w:r w:rsidR="000E51ED" w:rsidRPr="00EE58AA">
        <w:rPr>
          <w:szCs w:val="22"/>
        </w:rPr>
        <w:t xml:space="preserve"> 1 of </w:t>
      </w:r>
      <w:r w:rsidR="00BF734C">
        <w:rPr>
          <w:szCs w:val="22"/>
        </w:rPr>
        <w:t xml:space="preserve">this Schedule </w:t>
      </w:r>
      <w:r w:rsidR="000E51ED" w:rsidRPr="00EE58AA">
        <w:rPr>
          <w:szCs w:val="22"/>
        </w:rPr>
        <w:t>subject to paragraph 3 below.</w:t>
      </w:r>
    </w:p>
    <w:p w14:paraId="42980BDB" w14:textId="77777777" w:rsidR="000E51ED" w:rsidRPr="00EE58AA" w:rsidRDefault="000E51ED" w:rsidP="000E51ED">
      <w:pPr>
        <w:rPr>
          <w:szCs w:val="22"/>
        </w:rPr>
      </w:pPr>
      <w:r w:rsidRPr="00EE58AA">
        <w:rPr>
          <w:szCs w:val="22"/>
        </w:rPr>
        <w:t xml:space="preserve">  </w:t>
      </w:r>
    </w:p>
    <w:p w14:paraId="5E0B95DE" w14:textId="77777777" w:rsidR="000E51ED" w:rsidRPr="00EE58AA" w:rsidRDefault="000E51ED" w:rsidP="000E51ED">
      <w:pPr>
        <w:rPr>
          <w:szCs w:val="22"/>
        </w:rPr>
      </w:pPr>
      <w:r w:rsidRPr="00EE58AA">
        <w:rPr>
          <w:szCs w:val="22"/>
        </w:rPr>
        <w:t>Service Credit Ceiling</w:t>
      </w:r>
    </w:p>
    <w:p w14:paraId="7D814029" w14:textId="77777777" w:rsidR="000E51ED" w:rsidRPr="00EE58AA" w:rsidRDefault="000E51ED" w:rsidP="000E51ED">
      <w:pPr>
        <w:rPr>
          <w:szCs w:val="22"/>
        </w:rPr>
      </w:pPr>
    </w:p>
    <w:p w14:paraId="62874EEB" w14:textId="77777777" w:rsidR="000E51ED" w:rsidRPr="00EE58AA" w:rsidRDefault="000E51ED" w:rsidP="01AFD310">
      <w:pPr>
        <w:numPr>
          <w:ilvl w:val="0"/>
          <w:numId w:val="2"/>
        </w:numPr>
      </w:pPr>
      <w:r>
        <w:t xml:space="preserve">The Contractor shall not in any given quarter be subject to the deduction of Service Credits which have a value </w:t>
      </w:r>
      <w:proofErr w:type="gramStart"/>
      <w:r>
        <w:t>in excess of</w:t>
      </w:r>
      <w:proofErr w:type="gramEnd"/>
      <w:r>
        <w:t xml:space="preserve"> 12% of the Quarterly Service Payment.  </w:t>
      </w:r>
    </w:p>
    <w:p w14:paraId="7BEB681B" w14:textId="77777777" w:rsidR="000E51ED" w:rsidRPr="00EE58AA" w:rsidRDefault="000E51ED" w:rsidP="000E51ED">
      <w:pPr>
        <w:rPr>
          <w:szCs w:val="22"/>
        </w:rPr>
      </w:pPr>
    </w:p>
    <w:p w14:paraId="1105D2BE" w14:textId="77777777" w:rsidR="000E51ED" w:rsidRPr="00EE58AA" w:rsidRDefault="000E51ED" w:rsidP="000E51ED">
      <w:pPr>
        <w:rPr>
          <w:szCs w:val="22"/>
        </w:rPr>
      </w:pPr>
      <w:r w:rsidRPr="00EE58AA">
        <w:rPr>
          <w:szCs w:val="22"/>
        </w:rPr>
        <w:t>Persistent Failures</w:t>
      </w:r>
    </w:p>
    <w:p w14:paraId="27726B1D" w14:textId="77777777" w:rsidR="000E51ED" w:rsidRPr="00EE58AA" w:rsidRDefault="000E51ED" w:rsidP="000E51ED">
      <w:pPr>
        <w:rPr>
          <w:szCs w:val="22"/>
        </w:rPr>
      </w:pPr>
    </w:p>
    <w:p w14:paraId="6B83F1D4" w14:textId="77777777" w:rsidR="000E51ED" w:rsidRPr="00EE58AA" w:rsidRDefault="000E51ED" w:rsidP="01AFD310">
      <w:pPr>
        <w:numPr>
          <w:ilvl w:val="0"/>
          <w:numId w:val="2"/>
        </w:numPr>
      </w:pPr>
      <w:r>
        <w:t xml:space="preserve">Should the Contractor incur a total of eight (8) or more Service Credits associated with the same KPI or KPIs over a period of three (3) consecutive quarters, the value of said Service Credits shall be doubled from that quarter forward.  Service Failure Points shall accrue during this period at the usual rate (and for the avoidance of doubt shall not be doubled).  The incurring of double value Service Credits in respect of the recurring failure(s) shall continue until such time as there has been a further period of three (3) </w:t>
      </w:r>
      <w:r>
        <w:lastRenderedPageBreak/>
        <w:t>consecutive</w:t>
      </w:r>
      <w:r w:rsidRPr="01AFD310">
        <w:rPr>
          <w:color w:val="FF0000"/>
        </w:rPr>
        <w:t xml:space="preserve"> </w:t>
      </w:r>
      <w:r>
        <w:t xml:space="preserve">quarters in which the total number of Service Credits accrued has been less than six (6).  </w:t>
      </w:r>
    </w:p>
    <w:p w14:paraId="3FE137FE" w14:textId="77777777" w:rsidR="000E51ED" w:rsidRPr="00EE58AA" w:rsidRDefault="000E51ED" w:rsidP="000E51ED">
      <w:pPr>
        <w:rPr>
          <w:szCs w:val="22"/>
        </w:rPr>
      </w:pPr>
    </w:p>
    <w:p w14:paraId="3E2DED5B" w14:textId="7DF8BB7B" w:rsidR="000E51ED" w:rsidRPr="00EE58AA" w:rsidRDefault="000E51ED" w:rsidP="000E51ED">
      <w:pPr>
        <w:numPr>
          <w:ilvl w:val="0"/>
          <w:numId w:val="2"/>
        </w:numPr>
      </w:pPr>
      <w:r>
        <w:t xml:space="preserve">Where the Contractor accrues more than three hundred and twenty-five (325) Service Failure Points in a rolling three (3) quarter period this shall constitute a Contractor Default and the Authority shall have the right to terminate the Contract in accordance with Clause 9.1 of the Contract.  </w:t>
      </w:r>
    </w:p>
    <w:p w14:paraId="4E3F8900" w14:textId="1467E28F" w:rsidR="01AFD310" w:rsidRDefault="01AFD310" w:rsidP="01AFD310"/>
    <w:p w14:paraId="1ECBA3EF" w14:textId="59F50F85" w:rsidR="6C6837B2" w:rsidRDefault="6C6837B2" w:rsidP="01AFD310">
      <w:pPr>
        <w:numPr>
          <w:ilvl w:val="0"/>
          <w:numId w:val="2"/>
        </w:numPr>
        <w:rPr>
          <w:rFonts w:asciiTheme="minorHAnsi" w:eastAsiaTheme="minorEastAsia" w:hAnsiTheme="minorHAnsi" w:cstheme="minorBidi"/>
          <w:szCs w:val="22"/>
        </w:rPr>
      </w:pPr>
      <w:r w:rsidRPr="01AFD310">
        <w:t xml:space="preserve">Providing that where a KPI is not met, </w:t>
      </w:r>
      <w:proofErr w:type="gramStart"/>
      <w:r w:rsidRPr="01AFD310">
        <w:t>as a result of</w:t>
      </w:r>
      <w:proofErr w:type="gramEnd"/>
      <w:r w:rsidRPr="01AFD310">
        <w:t xml:space="preserve"> an act or omission of the Authority, then the KPI will be treated as met, the issue will be discussed at the sentencing committee.</w:t>
      </w:r>
    </w:p>
    <w:p w14:paraId="02F78CFC" w14:textId="77777777" w:rsidR="000E51ED" w:rsidRPr="00EE58AA" w:rsidRDefault="000E51ED" w:rsidP="000E51ED">
      <w:pPr>
        <w:rPr>
          <w:szCs w:val="22"/>
        </w:rPr>
      </w:pPr>
    </w:p>
    <w:p w14:paraId="1E37A80B" w14:textId="47BC6D4A" w:rsidR="000E51ED" w:rsidRPr="0085610F" w:rsidRDefault="000E51ED" w:rsidP="005214C0">
      <w:pPr>
        <w:jc w:val="right"/>
        <w:rPr>
          <w:szCs w:val="22"/>
        </w:rPr>
      </w:pPr>
      <w:r w:rsidRPr="00EE58AA">
        <w:rPr>
          <w:szCs w:val="22"/>
        </w:rPr>
        <w:br w:type="page"/>
      </w:r>
      <w:r w:rsidR="005214C0">
        <w:rPr>
          <w:szCs w:val="22"/>
        </w:rPr>
        <w:lastRenderedPageBreak/>
        <w:t xml:space="preserve"> </w:t>
      </w:r>
    </w:p>
    <w:p w14:paraId="583674BA" w14:textId="333AC325" w:rsidR="000E51ED" w:rsidRPr="0085610F" w:rsidRDefault="0085610F" w:rsidP="0085610F">
      <w:pPr>
        <w:pStyle w:val="Heading1"/>
        <w:rPr>
          <w:rFonts w:ascii="Arial" w:hAnsi="Arial" w:cs="Arial"/>
          <w:b/>
          <w:bCs/>
          <w:color w:val="auto"/>
          <w:sz w:val="22"/>
          <w:szCs w:val="22"/>
        </w:rPr>
      </w:pPr>
      <w:r w:rsidRPr="0085610F">
        <w:rPr>
          <w:rFonts w:ascii="Arial" w:hAnsi="Arial" w:cs="Arial"/>
          <w:b/>
          <w:bCs/>
          <w:color w:val="auto"/>
          <w:sz w:val="22"/>
          <w:szCs w:val="22"/>
        </w:rPr>
        <w:t xml:space="preserve">2. </w:t>
      </w:r>
      <w:r w:rsidR="005214C0">
        <w:rPr>
          <w:rFonts w:ascii="Arial" w:hAnsi="Arial" w:cs="Arial"/>
          <w:b/>
          <w:bCs/>
          <w:color w:val="auto"/>
          <w:sz w:val="22"/>
          <w:szCs w:val="22"/>
        </w:rPr>
        <w:t xml:space="preserve">Appendix 1 - </w:t>
      </w:r>
      <w:r w:rsidR="000E51ED" w:rsidRPr="0085610F">
        <w:rPr>
          <w:rFonts w:ascii="Arial" w:hAnsi="Arial" w:cs="Arial"/>
          <w:b/>
          <w:bCs/>
          <w:color w:val="auto"/>
          <w:sz w:val="22"/>
          <w:szCs w:val="22"/>
        </w:rPr>
        <w:t>Key Performance Indicators (KPI)</w:t>
      </w:r>
    </w:p>
    <w:p w14:paraId="3C28EF65" w14:textId="77777777" w:rsidR="000E51ED" w:rsidRPr="00EE58AA" w:rsidRDefault="000E51ED" w:rsidP="000E51ED">
      <w:pPr>
        <w:rPr>
          <w:szCs w:val="22"/>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5"/>
        <w:gridCol w:w="3745"/>
        <w:gridCol w:w="3240"/>
      </w:tblGrid>
      <w:tr w:rsidR="000E51ED" w:rsidRPr="00EE58AA" w14:paraId="1F3038FB" w14:textId="77777777" w:rsidTr="1DB07F94">
        <w:tc>
          <w:tcPr>
            <w:tcW w:w="1295" w:type="dxa"/>
            <w:tcBorders>
              <w:top w:val="single" w:sz="4" w:space="0" w:color="auto"/>
              <w:left w:val="single" w:sz="4" w:space="0" w:color="auto"/>
              <w:bottom w:val="single" w:sz="4" w:space="0" w:color="auto"/>
              <w:right w:val="single" w:sz="4" w:space="0" w:color="auto"/>
            </w:tcBorders>
            <w:shd w:val="clear" w:color="auto" w:fill="auto"/>
          </w:tcPr>
          <w:p w14:paraId="0974B7C8" w14:textId="77777777" w:rsidR="000E51ED" w:rsidRPr="00EE58AA" w:rsidRDefault="000E51ED" w:rsidP="06C553A2">
            <w:pPr>
              <w:rPr>
                <w:b/>
                <w:bCs/>
              </w:rPr>
            </w:pPr>
            <w:r w:rsidRPr="06C553A2">
              <w:rPr>
                <w:b/>
                <w:bCs/>
              </w:rPr>
              <w:t>Number</w:t>
            </w:r>
          </w:p>
        </w:tc>
        <w:tc>
          <w:tcPr>
            <w:tcW w:w="3745" w:type="dxa"/>
            <w:tcBorders>
              <w:top w:val="single" w:sz="4" w:space="0" w:color="auto"/>
              <w:left w:val="single" w:sz="4" w:space="0" w:color="auto"/>
              <w:bottom w:val="single" w:sz="4" w:space="0" w:color="auto"/>
              <w:right w:val="single" w:sz="4" w:space="0" w:color="auto"/>
            </w:tcBorders>
            <w:shd w:val="clear" w:color="auto" w:fill="auto"/>
          </w:tcPr>
          <w:p w14:paraId="5DBB2F13" w14:textId="77777777" w:rsidR="000E51ED" w:rsidRPr="00EE58AA" w:rsidRDefault="000E51ED" w:rsidP="06C553A2">
            <w:pPr>
              <w:rPr>
                <w:b/>
                <w:bCs/>
              </w:rPr>
            </w:pPr>
            <w:r w:rsidRPr="06C553A2">
              <w:rPr>
                <w:b/>
                <w:bCs/>
              </w:rPr>
              <w:t>KPI</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109C750" w14:textId="77777777" w:rsidR="000E51ED" w:rsidRPr="009B7EC6" w:rsidRDefault="000E51ED" w:rsidP="06C553A2">
            <w:pPr>
              <w:rPr>
                <w:b/>
                <w:bCs/>
                <w:highlight w:val="yellow"/>
              </w:rPr>
            </w:pPr>
            <w:r w:rsidRPr="06C553A2">
              <w:rPr>
                <w:b/>
                <w:bCs/>
              </w:rPr>
              <w:t>Service Credits (SC) / Service Failure Points (SFP)</w:t>
            </w:r>
          </w:p>
        </w:tc>
      </w:tr>
      <w:tr w:rsidR="000E51ED" w:rsidRPr="00EE58AA" w14:paraId="61727A48" w14:textId="77777777" w:rsidTr="1DB07F94">
        <w:tc>
          <w:tcPr>
            <w:tcW w:w="1295" w:type="dxa"/>
            <w:tcBorders>
              <w:top w:val="single" w:sz="4" w:space="0" w:color="auto"/>
              <w:left w:val="single" w:sz="4" w:space="0" w:color="auto"/>
              <w:bottom w:val="single" w:sz="4" w:space="0" w:color="auto"/>
              <w:right w:val="single" w:sz="4" w:space="0" w:color="auto"/>
            </w:tcBorders>
            <w:shd w:val="clear" w:color="auto" w:fill="auto"/>
          </w:tcPr>
          <w:p w14:paraId="1806C4D6" w14:textId="77777777" w:rsidR="000E51ED" w:rsidRPr="00EE58AA" w:rsidRDefault="000E51ED" w:rsidP="000E51ED">
            <w:pPr>
              <w:numPr>
                <w:ilvl w:val="0"/>
                <w:numId w:val="3"/>
              </w:numPr>
              <w:rPr>
                <w:szCs w:val="22"/>
              </w:rPr>
            </w:pPr>
          </w:p>
        </w:tc>
        <w:tc>
          <w:tcPr>
            <w:tcW w:w="3745" w:type="dxa"/>
            <w:tcBorders>
              <w:top w:val="single" w:sz="4" w:space="0" w:color="auto"/>
              <w:left w:val="single" w:sz="4" w:space="0" w:color="auto"/>
              <w:bottom w:val="single" w:sz="4" w:space="0" w:color="auto"/>
              <w:right w:val="single" w:sz="4" w:space="0" w:color="auto"/>
            </w:tcBorders>
            <w:shd w:val="clear" w:color="auto" w:fill="auto"/>
          </w:tcPr>
          <w:p w14:paraId="56B9FC70" w14:textId="77777777" w:rsidR="000E51ED" w:rsidRPr="00641AFB" w:rsidRDefault="000E51ED" w:rsidP="00A54189">
            <w:pPr>
              <w:rPr>
                <w:rFonts w:cs="Arial"/>
                <w:szCs w:val="22"/>
              </w:rPr>
            </w:pPr>
            <w:r w:rsidRPr="00641AFB">
              <w:rPr>
                <w:rFonts w:cs="Arial"/>
              </w:rPr>
              <w:t xml:space="preserve">Online booking service to be available at 99% 24 hours a day 7 days a week. </w:t>
            </w:r>
            <w:r w:rsidRPr="00641AFB">
              <w:rPr>
                <w:rFonts w:cs="Arial"/>
                <w:i/>
                <w:iCs/>
              </w:rPr>
              <w:t>*Subject to access to EGS gateway being available.</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8164575" w14:textId="52DDB07A" w:rsidR="000E51ED" w:rsidRPr="00641AFB" w:rsidRDefault="000E51ED" w:rsidP="1DB07F94">
            <w:pPr>
              <w:rPr>
                <w:rFonts w:cs="Arial"/>
              </w:rPr>
            </w:pPr>
            <w:r w:rsidRPr="1DB07F94">
              <w:rPr>
                <w:rFonts w:cs="Arial"/>
              </w:rPr>
              <w:t>10 SFP per day less than 99% available</w:t>
            </w:r>
          </w:p>
          <w:p w14:paraId="49735B24" w14:textId="77777777" w:rsidR="000E51ED" w:rsidRPr="00641AFB" w:rsidRDefault="000E51ED" w:rsidP="00A54189">
            <w:pPr>
              <w:rPr>
                <w:rFonts w:cs="Arial"/>
                <w:szCs w:val="22"/>
              </w:rPr>
            </w:pPr>
          </w:p>
          <w:p w14:paraId="697C5269" w14:textId="2ED49A9A" w:rsidR="000E51ED" w:rsidRPr="00641AFB" w:rsidRDefault="000E51ED" w:rsidP="1DB07F94">
            <w:pPr>
              <w:rPr>
                <w:rFonts w:cs="Arial"/>
              </w:rPr>
            </w:pPr>
            <w:r w:rsidRPr="1DB07F94">
              <w:rPr>
                <w:rFonts w:cs="Arial"/>
              </w:rPr>
              <w:t xml:space="preserve">3 SC per day less than 99% available </w:t>
            </w:r>
          </w:p>
        </w:tc>
      </w:tr>
      <w:tr w:rsidR="000E51ED" w:rsidRPr="00EE58AA" w14:paraId="01F0D4F3" w14:textId="77777777" w:rsidTr="1DB07F94">
        <w:trPr>
          <w:trHeight w:val="1635"/>
        </w:trPr>
        <w:tc>
          <w:tcPr>
            <w:tcW w:w="1295" w:type="dxa"/>
            <w:tcBorders>
              <w:top w:val="single" w:sz="4" w:space="0" w:color="auto"/>
              <w:left w:val="single" w:sz="4" w:space="0" w:color="auto"/>
              <w:bottom w:val="single" w:sz="4" w:space="0" w:color="auto"/>
              <w:right w:val="single" w:sz="4" w:space="0" w:color="auto"/>
            </w:tcBorders>
            <w:shd w:val="clear" w:color="auto" w:fill="auto"/>
          </w:tcPr>
          <w:p w14:paraId="7FCA0AD2" w14:textId="77777777" w:rsidR="000E51ED" w:rsidRPr="00EE58AA" w:rsidRDefault="000E51ED" w:rsidP="000E51ED">
            <w:pPr>
              <w:numPr>
                <w:ilvl w:val="0"/>
                <w:numId w:val="3"/>
              </w:numPr>
              <w:rPr>
                <w:szCs w:val="22"/>
              </w:rPr>
            </w:pPr>
          </w:p>
        </w:tc>
        <w:tc>
          <w:tcPr>
            <w:tcW w:w="3745" w:type="dxa"/>
            <w:tcBorders>
              <w:top w:val="single" w:sz="4" w:space="0" w:color="auto"/>
              <w:left w:val="single" w:sz="4" w:space="0" w:color="auto"/>
              <w:bottom w:val="single" w:sz="4" w:space="0" w:color="auto"/>
              <w:right w:val="single" w:sz="4" w:space="0" w:color="auto"/>
            </w:tcBorders>
            <w:shd w:val="clear" w:color="auto" w:fill="auto"/>
          </w:tcPr>
          <w:p w14:paraId="050E255C" w14:textId="70064647" w:rsidR="000E51ED" w:rsidRPr="00641AFB" w:rsidRDefault="000E51ED" w:rsidP="00A54189">
            <w:pPr>
              <w:pStyle w:val="ListParagraph"/>
              <w:spacing w:line="240" w:lineRule="auto"/>
              <w:ind w:left="0"/>
              <w:rPr>
                <w:rFonts w:ascii="Arial" w:hAnsi="Arial" w:cs="Arial"/>
              </w:rPr>
            </w:pPr>
            <w:r w:rsidRPr="00641AFB">
              <w:rPr>
                <w:rFonts w:ascii="Arial" w:hAnsi="Arial" w:cs="Arial"/>
              </w:rPr>
              <w:t>All training events to start each day with 100% availability</w:t>
            </w:r>
            <w:r w:rsidR="00256122">
              <w:rPr>
                <w:rFonts w:ascii="Arial" w:hAnsi="Arial" w:cs="Arial"/>
              </w:rPr>
              <w:t xml:space="preserve"> of all hard</w:t>
            </w:r>
            <w:r w:rsidR="003F0E4C">
              <w:rPr>
                <w:rFonts w:ascii="Arial" w:hAnsi="Arial" w:cs="Arial"/>
              </w:rPr>
              <w:t xml:space="preserve">ware and software required to deliver the event. </w:t>
            </w:r>
          </w:p>
          <w:p w14:paraId="0ABBF2B2" w14:textId="77777777" w:rsidR="000E51ED" w:rsidRPr="00641AFB" w:rsidRDefault="000E51ED" w:rsidP="00A54189">
            <w:pPr>
              <w:rPr>
                <w:rFonts w:cs="Arial"/>
                <w:szCs w:val="22"/>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75A59F3" w14:textId="77777777" w:rsidR="000E51ED" w:rsidRPr="00641AFB" w:rsidRDefault="000E51ED" w:rsidP="00A54189">
            <w:pPr>
              <w:rPr>
                <w:rFonts w:cs="Arial"/>
                <w:szCs w:val="22"/>
              </w:rPr>
            </w:pPr>
            <w:r w:rsidRPr="00641AFB">
              <w:rPr>
                <w:rFonts w:cs="Arial"/>
                <w:szCs w:val="22"/>
              </w:rPr>
              <w:t>10 SFP per day not available 100%</w:t>
            </w:r>
          </w:p>
          <w:p w14:paraId="10399D77" w14:textId="77777777" w:rsidR="000E51ED" w:rsidRPr="00641AFB" w:rsidRDefault="000E51ED" w:rsidP="00A54189">
            <w:pPr>
              <w:rPr>
                <w:rFonts w:cs="Arial"/>
                <w:szCs w:val="22"/>
              </w:rPr>
            </w:pPr>
          </w:p>
          <w:p w14:paraId="0D5A9E13" w14:textId="77777777" w:rsidR="000E51ED" w:rsidRPr="00641AFB" w:rsidRDefault="000E51ED" w:rsidP="00A54189">
            <w:pPr>
              <w:rPr>
                <w:rFonts w:cs="Arial"/>
                <w:szCs w:val="22"/>
              </w:rPr>
            </w:pPr>
            <w:r w:rsidRPr="00641AFB">
              <w:rPr>
                <w:rFonts w:cs="Arial"/>
                <w:szCs w:val="22"/>
              </w:rPr>
              <w:t>3 SC per day not available 100%</w:t>
            </w:r>
          </w:p>
          <w:p w14:paraId="686EE916" w14:textId="77777777" w:rsidR="000E51ED" w:rsidRPr="00641AFB" w:rsidRDefault="000E51ED" w:rsidP="00A54189">
            <w:pPr>
              <w:rPr>
                <w:rFonts w:cs="Arial"/>
                <w:szCs w:val="22"/>
              </w:rPr>
            </w:pPr>
          </w:p>
        </w:tc>
      </w:tr>
      <w:tr w:rsidR="000E51ED" w:rsidRPr="00EE58AA" w14:paraId="60EF02C7" w14:textId="77777777" w:rsidTr="1DB07F94">
        <w:tc>
          <w:tcPr>
            <w:tcW w:w="1295" w:type="dxa"/>
            <w:tcBorders>
              <w:top w:val="single" w:sz="4" w:space="0" w:color="auto"/>
              <w:left w:val="single" w:sz="4" w:space="0" w:color="auto"/>
              <w:bottom w:val="single" w:sz="4" w:space="0" w:color="auto"/>
              <w:right w:val="single" w:sz="4" w:space="0" w:color="auto"/>
            </w:tcBorders>
            <w:shd w:val="clear" w:color="auto" w:fill="auto"/>
          </w:tcPr>
          <w:p w14:paraId="0F262D98" w14:textId="77777777" w:rsidR="000E51ED" w:rsidRPr="00EE58AA" w:rsidRDefault="000E51ED" w:rsidP="000E51ED">
            <w:pPr>
              <w:numPr>
                <w:ilvl w:val="0"/>
                <w:numId w:val="3"/>
              </w:numPr>
              <w:rPr>
                <w:szCs w:val="22"/>
              </w:rPr>
            </w:pPr>
          </w:p>
        </w:tc>
        <w:tc>
          <w:tcPr>
            <w:tcW w:w="3745" w:type="dxa"/>
            <w:tcBorders>
              <w:top w:val="single" w:sz="4" w:space="0" w:color="auto"/>
              <w:left w:val="single" w:sz="4" w:space="0" w:color="auto"/>
              <w:bottom w:val="single" w:sz="4" w:space="0" w:color="auto"/>
              <w:right w:val="single" w:sz="4" w:space="0" w:color="auto"/>
            </w:tcBorders>
            <w:shd w:val="clear" w:color="auto" w:fill="auto"/>
          </w:tcPr>
          <w:p w14:paraId="46AFE65B" w14:textId="49C57B29" w:rsidR="000E51ED" w:rsidRPr="00641AFB" w:rsidRDefault="000E51ED" w:rsidP="00A54189">
            <w:pPr>
              <w:rPr>
                <w:rFonts w:cs="Arial"/>
                <w:szCs w:val="22"/>
              </w:rPr>
            </w:pPr>
            <w:r w:rsidRPr="00641AFB">
              <w:rPr>
                <w:rFonts w:cs="Arial"/>
              </w:rPr>
              <w:t>Maximum of 15 minutes total interruptions</w:t>
            </w:r>
            <w:r w:rsidR="00256122">
              <w:rPr>
                <w:rFonts w:cs="Arial"/>
              </w:rPr>
              <w:t xml:space="preserve"> against the system. </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524FC23" w14:textId="77777777" w:rsidR="000E51ED" w:rsidRPr="00641AFB" w:rsidRDefault="000E51ED" w:rsidP="00A54189">
            <w:pPr>
              <w:rPr>
                <w:rFonts w:cs="Arial"/>
                <w:szCs w:val="22"/>
              </w:rPr>
            </w:pPr>
            <w:r w:rsidRPr="00641AFB">
              <w:rPr>
                <w:rFonts w:cs="Arial"/>
                <w:szCs w:val="22"/>
              </w:rPr>
              <w:t xml:space="preserve">10 SFP per minute failure </w:t>
            </w:r>
            <w:proofErr w:type="gramStart"/>
            <w:r w:rsidRPr="00641AFB">
              <w:rPr>
                <w:rFonts w:cs="Arial"/>
                <w:szCs w:val="22"/>
              </w:rPr>
              <w:t>in excess of</w:t>
            </w:r>
            <w:proofErr w:type="gramEnd"/>
            <w:r w:rsidRPr="00641AFB">
              <w:rPr>
                <w:rFonts w:cs="Arial"/>
                <w:szCs w:val="22"/>
              </w:rPr>
              <w:t xml:space="preserve"> 15 minutes</w:t>
            </w:r>
          </w:p>
          <w:p w14:paraId="56E9A4B4" w14:textId="77777777" w:rsidR="000E51ED" w:rsidRPr="00641AFB" w:rsidRDefault="000E51ED" w:rsidP="00A54189">
            <w:pPr>
              <w:rPr>
                <w:rFonts w:cs="Arial"/>
                <w:szCs w:val="22"/>
              </w:rPr>
            </w:pPr>
          </w:p>
          <w:p w14:paraId="5C606CFF" w14:textId="77777777" w:rsidR="000E51ED" w:rsidRPr="00641AFB" w:rsidRDefault="000E51ED" w:rsidP="00A54189">
            <w:pPr>
              <w:rPr>
                <w:rFonts w:cs="Arial"/>
                <w:szCs w:val="22"/>
              </w:rPr>
            </w:pPr>
            <w:r w:rsidRPr="00641AFB">
              <w:rPr>
                <w:rFonts w:cs="Arial"/>
                <w:szCs w:val="22"/>
              </w:rPr>
              <w:t xml:space="preserve">3 SC per minute failure </w:t>
            </w:r>
            <w:proofErr w:type="gramStart"/>
            <w:r w:rsidRPr="00641AFB">
              <w:rPr>
                <w:rFonts w:cs="Arial"/>
                <w:szCs w:val="22"/>
              </w:rPr>
              <w:t>in excess of</w:t>
            </w:r>
            <w:proofErr w:type="gramEnd"/>
            <w:r w:rsidRPr="00641AFB">
              <w:rPr>
                <w:rFonts w:cs="Arial"/>
                <w:szCs w:val="22"/>
              </w:rPr>
              <w:t xml:space="preserve"> 15 minutes</w:t>
            </w:r>
          </w:p>
          <w:p w14:paraId="7A426A25" w14:textId="77777777" w:rsidR="000E51ED" w:rsidRPr="00641AFB" w:rsidRDefault="000E51ED" w:rsidP="00A54189">
            <w:pPr>
              <w:rPr>
                <w:rFonts w:cs="Arial"/>
                <w:szCs w:val="22"/>
              </w:rPr>
            </w:pPr>
          </w:p>
        </w:tc>
      </w:tr>
      <w:tr w:rsidR="000E51ED" w:rsidRPr="00EE58AA" w14:paraId="448AC566" w14:textId="77777777" w:rsidTr="1DB07F94">
        <w:tc>
          <w:tcPr>
            <w:tcW w:w="1295" w:type="dxa"/>
            <w:tcBorders>
              <w:top w:val="single" w:sz="4" w:space="0" w:color="auto"/>
              <w:left w:val="single" w:sz="4" w:space="0" w:color="auto"/>
              <w:bottom w:val="single" w:sz="4" w:space="0" w:color="auto"/>
              <w:right w:val="single" w:sz="4" w:space="0" w:color="auto"/>
            </w:tcBorders>
            <w:shd w:val="clear" w:color="auto" w:fill="auto"/>
          </w:tcPr>
          <w:p w14:paraId="4C4A7784" w14:textId="77777777" w:rsidR="000E51ED" w:rsidRPr="00EE58AA" w:rsidRDefault="000E51ED" w:rsidP="000E51ED">
            <w:pPr>
              <w:numPr>
                <w:ilvl w:val="0"/>
                <w:numId w:val="3"/>
              </w:numPr>
              <w:rPr>
                <w:szCs w:val="22"/>
              </w:rPr>
            </w:pPr>
          </w:p>
        </w:tc>
        <w:tc>
          <w:tcPr>
            <w:tcW w:w="3745" w:type="dxa"/>
            <w:tcBorders>
              <w:top w:val="single" w:sz="4" w:space="0" w:color="auto"/>
              <w:left w:val="single" w:sz="4" w:space="0" w:color="auto"/>
              <w:bottom w:val="single" w:sz="4" w:space="0" w:color="auto"/>
              <w:right w:val="single" w:sz="4" w:space="0" w:color="auto"/>
            </w:tcBorders>
            <w:shd w:val="clear" w:color="auto" w:fill="auto"/>
          </w:tcPr>
          <w:p w14:paraId="5FD7DA05" w14:textId="77777777" w:rsidR="000E51ED" w:rsidRPr="00641AFB" w:rsidRDefault="000E51ED" w:rsidP="00A54189">
            <w:pPr>
              <w:rPr>
                <w:rFonts w:cs="Arial"/>
              </w:rPr>
            </w:pPr>
            <w:r w:rsidRPr="00641AFB">
              <w:rPr>
                <w:rFonts w:cs="Arial"/>
              </w:rPr>
              <w:t>Maximum 3 failures per training day.</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6D3CE33" w14:textId="26161908" w:rsidR="000E51ED" w:rsidRPr="00641AFB" w:rsidRDefault="000E51ED" w:rsidP="1DB07F94">
            <w:pPr>
              <w:rPr>
                <w:rFonts w:cs="Arial"/>
              </w:rPr>
            </w:pPr>
            <w:r w:rsidRPr="1DB07F94">
              <w:rPr>
                <w:rFonts w:cs="Arial"/>
              </w:rPr>
              <w:t xml:space="preserve">10 SFP per failure </w:t>
            </w:r>
            <w:proofErr w:type="gramStart"/>
            <w:r w:rsidRPr="1DB07F94">
              <w:rPr>
                <w:rFonts w:cs="Arial"/>
              </w:rPr>
              <w:t>in excess of</w:t>
            </w:r>
            <w:proofErr w:type="gramEnd"/>
            <w:r w:rsidRPr="1DB07F94">
              <w:rPr>
                <w:rFonts w:cs="Arial"/>
              </w:rPr>
              <w:t xml:space="preserve"> 3</w:t>
            </w:r>
            <w:r w:rsidR="7A767794" w:rsidRPr="1DB07F94">
              <w:rPr>
                <w:rFonts w:cs="Arial"/>
              </w:rPr>
              <w:t xml:space="preserve"> minutes</w:t>
            </w:r>
          </w:p>
          <w:p w14:paraId="369A794F" w14:textId="77777777" w:rsidR="000E51ED" w:rsidRPr="00641AFB" w:rsidRDefault="000E51ED" w:rsidP="00A54189">
            <w:pPr>
              <w:rPr>
                <w:rFonts w:cs="Arial"/>
                <w:szCs w:val="22"/>
              </w:rPr>
            </w:pPr>
          </w:p>
          <w:p w14:paraId="5F2C8C10" w14:textId="77777777" w:rsidR="000E51ED" w:rsidRPr="00641AFB" w:rsidRDefault="000E51ED" w:rsidP="00A54189">
            <w:pPr>
              <w:rPr>
                <w:rFonts w:cs="Arial"/>
                <w:szCs w:val="22"/>
              </w:rPr>
            </w:pPr>
            <w:r w:rsidRPr="00641AFB">
              <w:rPr>
                <w:rFonts w:cs="Arial"/>
                <w:szCs w:val="22"/>
              </w:rPr>
              <w:t xml:space="preserve">3 SC per failure </w:t>
            </w:r>
            <w:proofErr w:type="gramStart"/>
            <w:r w:rsidRPr="00641AFB">
              <w:rPr>
                <w:rFonts w:cs="Arial"/>
                <w:szCs w:val="22"/>
              </w:rPr>
              <w:t>in excess of</w:t>
            </w:r>
            <w:proofErr w:type="gramEnd"/>
            <w:r w:rsidRPr="00641AFB">
              <w:rPr>
                <w:rFonts w:cs="Arial"/>
                <w:szCs w:val="22"/>
              </w:rPr>
              <w:t xml:space="preserve"> 3 minutes</w:t>
            </w:r>
          </w:p>
          <w:p w14:paraId="4B061CC6" w14:textId="77777777" w:rsidR="000E51ED" w:rsidRPr="00641AFB" w:rsidRDefault="000E51ED" w:rsidP="00A54189">
            <w:pPr>
              <w:rPr>
                <w:rFonts w:cs="Arial"/>
                <w:szCs w:val="22"/>
              </w:rPr>
            </w:pPr>
          </w:p>
        </w:tc>
      </w:tr>
      <w:tr w:rsidR="000E51ED" w:rsidRPr="00EE58AA" w14:paraId="07B7876C" w14:textId="77777777" w:rsidTr="1DB07F94">
        <w:tc>
          <w:tcPr>
            <w:tcW w:w="1295" w:type="dxa"/>
            <w:tcBorders>
              <w:top w:val="single" w:sz="4" w:space="0" w:color="auto"/>
              <w:left w:val="single" w:sz="4" w:space="0" w:color="auto"/>
              <w:bottom w:val="single" w:sz="4" w:space="0" w:color="auto"/>
              <w:right w:val="single" w:sz="4" w:space="0" w:color="auto"/>
            </w:tcBorders>
            <w:shd w:val="clear" w:color="auto" w:fill="auto"/>
          </w:tcPr>
          <w:p w14:paraId="1AC3C25C" w14:textId="77777777" w:rsidR="000E51ED" w:rsidRPr="00EE58AA" w:rsidRDefault="000E51ED" w:rsidP="000E51ED">
            <w:pPr>
              <w:numPr>
                <w:ilvl w:val="0"/>
                <w:numId w:val="3"/>
              </w:numPr>
              <w:rPr>
                <w:szCs w:val="22"/>
              </w:rPr>
            </w:pPr>
          </w:p>
        </w:tc>
        <w:tc>
          <w:tcPr>
            <w:tcW w:w="3745" w:type="dxa"/>
            <w:tcBorders>
              <w:top w:val="single" w:sz="4" w:space="0" w:color="auto"/>
              <w:left w:val="single" w:sz="4" w:space="0" w:color="auto"/>
              <w:bottom w:val="single" w:sz="4" w:space="0" w:color="auto"/>
              <w:right w:val="single" w:sz="4" w:space="0" w:color="auto"/>
            </w:tcBorders>
            <w:shd w:val="clear" w:color="auto" w:fill="auto"/>
          </w:tcPr>
          <w:p w14:paraId="6303F0E7" w14:textId="7099AD5D" w:rsidR="000E51ED" w:rsidRPr="00641AFB" w:rsidRDefault="000E51ED" w:rsidP="00A54189">
            <w:pPr>
              <w:pStyle w:val="ListParagraph"/>
              <w:spacing w:line="240" w:lineRule="auto"/>
              <w:ind w:left="0"/>
              <w:rPr>
                <w:rFonts w:ascii="Arial" w:hAnsi="Arial" w:cs="Arial"/>
                <w:sz w:val="20"/>
                <w:szCs w:val="20"/>
              </w:rPr>
            </w:pPr>
            <w:r w:rsidRPr="06C553A2">
              <w:rPr>
                <w:rFonts w:ascii="Arial" w:hAnsi="Arial" w:cs="Arial"/>
              </w:rPr>
              <w:t xml:space="preserve">Maximum 1 failure per training day (Where the </w:t>
            </w:r>
            <w:r w:rsidR="38C8477D" w:rsidRPr="06C553A2">
              <w:rPr>
                <w:rFonts w:ascii="Arial" w:hAnsi="Arial" w:cs="Arial"/>
              </w:rPr>
              <w:t>individual training</w:t>
            </w:r>
            <w:r w:rsidRPr="06C553A2">
              <w:rPr>
                <w:rFonts w:ascii="Arial" w:hAnsi="Arial" w:cs="Arial"/>
              </w:rPr>
              <w:t xml:space="preserve"> event is less than 8 hours (e.g.</w:t>
            </w:r>
            <w:r w:rsidR="00671F42" w:rsidRPr="06C553A2">
              <w:rPr>
                <w:rFonts w:ascii="Arial" w:hAnsi="Arial" w:cs="Arial"/>
              </w:rPr>
              <w:t xml:space="preserve"> </w:t>
            </w:r>
            <w:r w:rsidRPr="06C553A2">
              <w:rPr>
                <w:rFonts w:ascii="Arial" w:hAnsi="Arial" w:cs="Arial"/>
              </w:rPr>
              <w:t>a reservist evening which will typically be between 2 – 4 hours)</w:t>
            </w:r>
            <w:r w:rsidR="00671F42" w:rsidRPr="06C553A2">
              <w:rPr>
                <w:rFonts w:ascii="Arial" w:hAnsi="Arial" w:cs="Arial"/>
              </w:rPr>
              <w:t>.</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93DB193" w14:textId="1F9D0F8F" w:rsidR="000E51ED" w:rsidRPr="00641AFB" w:rsidRDefault="000E51ED" w:rsidP="1DB07F94">
            <w:pPr>
              <w:rPr>
                <w:rFonts w:cs="Arial"/>
              </w:rPr>
            </w:pPr>
            <w:r w:rsidRPr="1DB07F94">
              <w:rPr>
                <w:rFonts w:cs="Arial"/>
              </w:rPr>
              <w:t xml:space="preserve">10 SFP per failure </w:t>
            </w:r>
            <w:proofErr w:type="gramStart"/>
            <w:r w:rsidRPr="1DB07F94">
              <w:rPr>
                <w:rFonts w:cs="Arial"/>
              </w:rPr>
              <w:t>in excess of</w:t>
            </w:r>
            <w:proofErr w:type="gramEnd"/>
            <w:r w:rsidRPr="1DB07F94">
              <w:rPr>
                <w:rFonts w:cs="Arial"/>
              </w:rPr>
              <w:t xml:space="preserve"> 1</w:t>
            </w:r>
            <w:r w:rsidR="072D2B78" w:rsidRPr="1DB07F94">
              <w:rPr>
                <w:rFonts w:cs="Arial"/>
              </w:rPr>
              <w:t xml:space="preserve"> minutes</w:t>
            </w:r>
          </w:p>
          <w:p w14:paraId="3ED21E35" w14:textId="77777777" w:rsidR="000E51ED" w:rsidRPr="00641AFB" w:rsidRDefault="000E51ED" w:rsidP="00A54189">
            <w:pPr>
              <w:rPr>
                <w:rFonts w:cs="Arial"/>
                <w:szCs w:val="22"/>
              </w:rPr>
            </w:pPr>
          </w:p>
          <w:p w14:paraId="1DDDADE0" w14:textId="77777777" w:rsidR="000E51ED" w:rsidRPr="00641AFB" w:rsidRDefault="000E51ED" w:rsidP="00A54189">
            <w:pPr>
              <w:rPr>
                <w:rFonts w:cs="Arial"/>
                <w:szCs w:val="22"/>
              </w:rPr>
            </w:pPr>
            <w:r w:rsidRPr="00641AFB">
              <w:rPr>
                <w:rFonts w:cs="Arial"/>
                <w:szCs w:val="22"/>
              </w:rPr>
              <w:t xml:space="preserve">3 SC per failure </w:t>
            </w:r>
            <w:proofErr w:type="gramStart"/>
            <w:r w:rsidRPr="00641AFB">
              <w:rPr>
                <w:rFonts w:cs="Arial"/>
                <w:szCs w:val="22"/>
              </w:rPr>
              <w:t>in excess of</w:t>
            </w:r>
            <w:proofErr w:type="gramEnd"/>
            <w:r w:rsidRPr="00641AFB">
              <w:rPr>
                <w:rFonts w:cs="Arial"/>
                <w:szCs w:val="22"/>
              </w:rPr>
              <w:t xml:space="preserve"> 1 minutes</w:t>
            </w:r>
          </w:p>
          <w:p w14:paraId="5C641CF3" w14:textId="77777777" w:rsidR="000E51ED" w:rsidRPr="00641AFB" w:rsidRDefault="000E51ED" w:rsidP="00A54189">
            <w:pPr>
              <w:rPr>
                <w:rFonts w:cs="Arial"/>
                <w:szCs w:val="22"/>
              </w:rPr>
            </w:pPr>
          </w:p>
        </w:tc>
      </w:tr>
      <w:tr w:rsidR="000E51ED" w:rsidRPr="00EE58AA" w14:paraId="24A0B4F4" w14:textId="77777777" w:rsidTr="1DB07F94">
        <w:tc>
          <w:tcPr>
            <w:tcW w:w="1295" w:type="dxa"/>
            <w:tcBorders>
              <w:top w:val="single" w:sz="4" w:space="0" w:color="auto"/>
              <w:left w:val="single" w:sz="4" w:space="0" w:color="auto"/>
              <w:bottom w:val="single" w:sz="4" w:space="0" w:color="auto"/>
              <w:right w:val="single" w:sz="4" w:space="0" w:color="auto"/>
            </w:tcBorders>
            <w:shd w:val="clear" w:color="auto" w:fill="auto"/>
          </w:tcPr>
          <w:p w14:paraId="26D2F85A" w14:textId="77777777" w:rsidR="000E51ED" w:rsidRPr="00EE58AA" w:rsidRDefault="000E51ED" w:rsidP="000E51ED">
            <w:pPr>
              <w:numPr>
                <w:ilvl w:val="0"/>
                <w:numId w:val="3"/>
              </w:numPr>
              <w:rPr>
                <w:szCs w:val="22"/>
              </w:rPr>
            </w:pPr>
          </w:p>
        </w:tc>
        <w:tc>
          <w:tcPr>
            <w:tcW w:w="3745" w:type="dxa"/>
            <w:tcBorders>
              <w:top w:val="single" w:sz="4" w:space="0" w:color="auto"/>
              <w:left w:val="single" w:sz="4" w:space="0" w:color="auto"/>
              <w:bottom w:val="single" w:sz="4" w:space="0" w:color="auto"/>
              <w:right w:val="single" w:sz="4" w:space="0" w:color="auto"/>
            </w:tcBorders>
            <w:shd w:val="clear" w:color="auto" w:fill="auto"/>
          </w:tcPr>
          <w:p w14:paraId="068E5E6E" w14:textId="77777777" w:rsidR="000E51ED" w:rsidRPr="00641AFB" w:rsidRDefault="000E51ED" w:rsidP="00A54189">
            <w:pPr>
              <w:pStyle w:val="ListParagraph"/>
              <w:spacing w:line="240" w:lineRule="auto"/>
              <w:ind w:left="0"/>
              <w:rPr>
                <w:rFonts w:ascii="Arial" w:hAnsi="Arial" w:cs="Arial"/>
              </w:rPr>
            </w:pPr>
            <w:r w:rsidRPr="02BF985C">
              <w:rPr>
                <w:rFonts w:ascii="Arial" w:hAnsi="Arial" w:cs="Arial"/>
              </w:rPr>
              <w:t xml:space="preserve">No more than 48 minutes total interruptions per complete training event. </w:t>
            </w:r>
          </w:p>
          <w:p w14:paraId="77E0CEA1" w14:textId="5EA5C859" w:rsidR="02BF985C" w:rsidRDefault="02BF985C" w:rsidP="02BF985C">
            <w:pPr>
              <w:pStyle w:val="ListParagraph"/>
              <w:spacing w:line="240" w:lineRule="auto"/>
              <w:ind w:left="0"/>
            </w:pPr>
          </w:p>
          <w:p w14:paraId="1EC94B40" w14:textId="78A66A3F" w:rsidR="000E51ED" w:rsidRPr="00641AFB" w:rsidRDefault="19D3F981" w:rsidP="06C553A2">
            <w:pPr>
              <w:pStyle w:val="ListParagraph"/>
              <w:spacing w:line="240" w:lineRule="auto"/>
              <w:ind w:left="0"/>
              <w:rPr>
                <w:rFonts w:ascii="Arial" w:hAnsi="Arial" w:cs="Arial"/>
              </w:rPr>
            </w:pPr>
            <w:r w:rsidRPr="06C553A2">
              <w:rPr>
                <w:rFonts w:ascii="Arial" w:hAnsi="Arial" w:cs="Arial"/>
              </w:rPr>
              <w:t>No more than 24 minutes total interruptions per Reservist training event.</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B588CF3" w14:textId="2538D5F3" w:rsidR="000E51ED" w:rsidRPr="00641AFB" w:rsidRDefault="000E51ED" w:rsidP="06C553A2">
            <w:pPr>
              <w:rPr>
                <w:rFonts w:cs="Arial"/>
              </w:rPr>
            </w:pPr>
            <w:r w:rsidRPr="06C553A2">
              <w:rPr>
                <w:rFonts w:cs="Arial"/>
              </w:rPr>
              <w:t xml:space="preserve">5 SFP per interruption </w:t>
            </w:r>
            <w:proofErr w:type="gramStart"/>
            <w:r w:rsidRPr="06C553A2">
              <w:rPr>
                <w:rFonts w:cs="Arial"/>
              </w:rPr>
              <w:t>in excess of</w:t>
            </w:r>
            <w:proofErr w:type="gramEnd"/>
            <w:r w:rsidRPr="06C553A2">
              <w:rPr>
                <w:rFonts w:cs="Arial"/>
              </w:rPr>
              <w:t xml:space="preserve"> 48 minutes per training event</w:t>
            </w:r>
            <w:r w:rsidR="4275DD99" w:rsidRPr="06C553A2">
              <w:rPr>
                <w:rFonts w:cs="Arial"/>
              </w:rPr>
              <w:t>, OR,</w:t>
            </w:r>
            <w:r w:rsidR="18358B29" w:rsidRPr="06C553A2">
              <w:rPr>
                <w:rFonts w:cs="Arial"/>
              </w:rPr>
              <w:t xml:space="preserve"> per interruption in excess of 24 mints per Reservist training event.</w:t>
            </w:r>
          </w:p>
          <w:p w14:paraId="7F2410AD" w14:textId="77777777" w:rsidR="000E51ED" w:rsidRPr="00641AFB" w:rsidRDefault="000E51ED" w:rsidP="00A54189">
            <w:pPr>
              <w:rPr>
                <w:rFonts w:cs="Arial"/>
                <w:szCs w:val="22"/>
              </w:rPr>
            </w:pPr>
          </w:p>
          <w:p w14:paraId="25A0CB37" w14:textId="7C31A2CD" w:rsidR="000E51ED" w:rsidRPr="00641AFB" w:rsidRDefault="000E51ED" w:rsidP="06C553A2">
            <w:r w:rsidRPr="06C553A2">
              <w:rPr>
                <w:rFonts w:cs="Arial"/>
              </w:rPr>
              <w:t xml:space="preserve">2 SC per interruption </w:t>
            </w:r>
            <w:proofErr w:type="gramStart"/>
            <w:r w:rsidRPr="06C553A2">
              <w:rPr>
                <w:rFonts w:cs="Arial"/>
              </w:rPr>
              <w:t>in excess of</w:t>
            </w:r>
            <w:proofErr w:type="gramEnd"/>
            <w:r w:rsidRPr="06C553A2">
              <w:rPr>
                <w:rFonts w:cs="Arial"/>
              </w:rPr>
              <w:t xml:space="preserve"> 48 minutes per training event</w:t>
            </w:r>
            <w:r w:rsidR="015E9E0B" w:rsidRPr="06C553A2">
              <w:rPr>
                <w:rFonts w:cs="Arial"/>
              </w:rPr>
              <w:t xml:space="preserve">, OR, </w:t>
            </w:r>
            <w:r w:rsidR="72583D69" w:rsidRPr="06C553A2">
              <w:rPr>
                <w:rFonts w:cs="Arial"/>
              </w:rPr>
              <w:t>per interruption in excess of 24 mints per Reservist training event.</w:t>
            </w:r>
          </w:p>
        </w:tc>
      </w:tr>
    </w:tbl>
    <w:p w14:paraId="29F8D4FF" w14:textId="401FB890" w:rsidR="002A0687" w:rsidRDefault="002A0687" w:rsidP="06C553A2">
      <w:pPr>
        <w:rPr>
          <w:szCs w:val="22"/>
        </w:rPr>
      </w:pPr>
    </w:p>
    <w:sectPr w:rsidR="002A068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9E17B" w14:textId="77777777" w:rsidR="00A358BB" w:rsidRDefault="00A358BB" w:rsidP="00C24206">
      <w:r>
        <w:separator/>
      </w:r>
    </w:p>
  </w:endnote>
  <w:endnote w:type="continuationSeparator" w:id="0">
    <w:p w14:paraId="6625D357" w14:textId="77777777" w:rsidR="00A358BB" w:rsidRDefault="00A358BB" w:rsidP="00C24206">
      <w:r>
        <w:continuationSeparator/>
      </w:r>
    </w:p>
  </w:endnote>
  <w:endnote w:type="continuationNotice" w:id="1">
    <w:p w14:paraId="5C7C9D5F" w14:textId="77777777" w:rsidR="00A358BB" w:rsidRDefault="00A35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E01F5" w14:textId="77777777" w:rsidR="00A13F64" w:rsidRDefault="00A13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03A8C" w14:textId="77777777" w:rsidR="00A13F64" w:rsidRDefault="00A13F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9AF74" w14:textId="77777777" w:rsidR="00A13F64" w:rsidRDefault="00A13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BF65F" w14:textId="77777777" w:rsidR="00A358BB" w:rsidRDefault="00A358BB" w:rsidP="00C24206">
      <w:r>
        <w:separator/>
      </w:r>
    </w:p>
  </w:footnote>
  <w:footnote w:type="continuationSeparator" w:id="0">
    <w:p w14:paraId="5B66182F" w14:textId="77777777" w:rsidR="00A358BB" w:rsidRDefault="00A358BB" w:rsidP="00C24206">
      <w:r>
        <w:continuationSeparator/>
      </w:r>
    </w:p>
  </w:footnote>
  <w:footnote w:type="continuationNotice" w:id="1">
    <w:p w14:paraId="74DCB83B" w14:textId="77777777" w:rsidR="00A358BB" w:rsidRDefault="00A358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34315" w14:textId="77777777" w:rsidR="00A13F64" w:rsidRDefault="00A1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3DA25" w14:textId="41FD2FF3" w:rsidR="00C24206" w:rsidRDefault="00C24206" w:rsidP="00C24206">
    <w:pPr>
      <w:jc w:val="right"/>
    </w:pPr>
    <w:r>
      <w:t>TSSP/129</w:t>
    </w:r>
  </w:p>
  <w:p w14:paraId="15944B65" w14:textId="036E9505" w:rsidR="00C24206" w:rsidRDefault="000D4B70">
    <w:pPr>
      <w:pStyle w:val="Header"/>
    </w:pPr>
    <w:r>
      <w:tab/>
    </w:r>
    <w:r>
      <w:tab/>
    </w:r>
    <w:r w:rsidR="00A13F64">
      <w:t>Schedule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BF35D" w14:textId="77777777" w:rsidR="00A13F64" w:rsidRDefault="00A1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F0239"/>
    <w:multiLevelType w:val="hybridMultilevel"/>
    <w:tmpl w:val="C5444D84"/>
    <w:lvl w:ilvl="0" w:tplc="25DCABB4">
      <w:start w:val="1"/>
      <w:numFmt w:val="decimal"/>
      <w:lvlText w:val="%1)"/>
      <w:lvlJc w:val="left"/>
      <w:pPr>
        <w:tabs>
          <w:tab w:val="num" w:pos="360"/>
        </w:tabs>
        <w:ind w:left="360" w:hanging="360"/>
      </w:pPr>
      <w:rPr>
        <w:rFonts w:ascii="Arial" w:hAnsi="Arial" w:cs="Arial" w:hint="default"/>
        <w:sz w:val="22"/>
        <w:szCs w:val="22"/>
      </w:rPr>
    </w:lvl>
    <w:lvl w:ilvl="1" w:tplc="B4E8CF1C">
      <w:start w:val="1"/>
      <w:numFmt w:val="lowerLetter"/>
      <w:lvlText w:val="%2)"/>
      <w:lvlJc w:val="left"/>
      <w:pPr>
        <w:tabs>
          <w:tab w:val="num" w:pos="720"/>
        </w:tabs>
        <w:ind w:left="720" w:hanging="360"/>
      </w:pPr>
    </w:lvl>
    <w:lvl w:ilvl="2" w:tplc="E6A85CF6">
      <w:start w:val="1"/>
      <w:numFmt w:val="lowerRoman"/>
      <w:lvlText w:val="%3)"/>
      <w:lvlJc w:val="left"/>
      <w:pPr>
        <w:tabs>
          <w:tab w:val="num" w:pos="1080"/>
        </w:tabs>
        <w:ind w:left="1080" w:hanging="360"/>
      </w:pPr>
    </w:lvl>
    <w:lvl w:ilvl="3" w:tplc="D0A85116">
      <w:start w:val="1"/>
      <w:numFmt w:val="decimal"/>
      <w:lvlText w:val="(%4)"/>
      <w:lvlJc w:val="left"/>
      <w:pPr>
        <w:tabs>
          <w:tab w:val="num" w:pos="1440"/>
        </w:tabs>
        <w:ind w:left="1440" w:hanging="360"/>
      </w:pPr>
    </w:lvl>
    <w:lvl w:ilvl="4" w:tplc="1214C96C">
      <w:start w:val="1"/>
      <w:numFmt w:val="lowerLetter"/>
      <w:lvlText w:val="(%5)"/>
      <w:lvlJc w:val="left"/>
      <w:pPr>
        <w:tabs>
          <w:tab w:val="num" w:pos="1800"/>
        </w:tabs>
        <w:ind w:left="1800" w:hanging="360"/>
      </w:pPr>
    </w:lvl>
    <w:lvl w:ilvl="5" w:tplc="E758B64E">
      <w:start w:val="1"/>
      <w:numFmt w:val="lowerRoman"/>
      <w:lvlText w:val="(%6)"/>
      <w:lvlJc w:val="left"/>
      <w:pPr>
        <w:tabs>
          <w:tab w:val="num" w:pos="2160"/>
        </w:tabs>
        <w:ind w:left="2160" w:hanging="360"/>
      </w:pPr>
    </w:lvl>
    <w:lvl w:ilvl="6" w:tplc="85A8F7F6">
      <w:start w:val="1"/>
      <w:numFmt w:val="decimal"/>
      <w:lvlText w:val="%7."/>
      <w:lvlJc w:val="left"/>
      <w:pPr>
        <w:tabs>
          <w:tab w:val="num" w:pos="2520"/>
        </w:tabs>
        <w:ind w:left="2520" w:hanging="360"/>
      </w:pPr>
    </w:lvl>
    <w:lvl w:ilvl="7" w:tplc="4B1601C8">
      <w:start w:val="1"/>
      <w:numFmt w:val="lowerLetter"/>
      <w:lvlText w:val="%8."/>
      <w:lvlJc w:val="left"/>
      <w:pPr>
        <w:tabs>
          <w:tab w:val="num" w:pos="2880"/>
        </w:tabs>
        <w:ind w:left="2880" w:hanging="360"/>
      </w:pPr>
    </w:lvl>
    <w:lvl w:ilvl="8" w:tplc="901ABA16">
      <w:start w:val="1"/>
      <w:numFmt w:val="lowerRoman"/>
      <w:lvlText w:val="%9."/>
      <w:lvlJc w:val="left"/>
      <w:pPr>
        <w:tabs>
          <w:tab w:val="num" w:pos="3240"/>
        </w:tabs>
        <w:ind w:left="3240" w:hanging="360"/>
      </w:pPr>
    </w:lvl>
  </w:abstractNum>
  <w:abstractNum w:abstractNumId="1" w15:restartNumberingAfterBreak="0">
    <w:nsid w:val="130D030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3EC75E4"/>
    <w:multiLevelType w:val="hybridMultilevel"/>
    <w:tmpl w:val="8BA81F9A"/>
    <w:lvl w:ilvl="0" w:tplc="A53C7C94">
      <w:start w:val="1"/>
      <w:numFmt w:val="decimal"/>
      <w:lvlText w:val="K%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E5973CA"/>
    <w:multiLevelType w:val="hybridMultilevel"/>
    <w:tmpl w:val="A836B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1ED"/>
    <w:rsid w:val="000A7E25"/>
    <w:rsid w:val="000D4B70"/>
    <w:rsid w:val="000E51ED"/>
    <w:rsid w:val="000F5064"/>
    <w:rsid w:val="00166EE1"/>
    <w:rsid w:val="00225143"/>
    <w:rsid w:val="00256122"/>
    <w:rsid w:val="00276B27"/>
    <w:rsid w:val="002845A8"/>
    <w:rsid w:val="002A0687"/>
    <w:rsid w:val="00345F56"/>
    <w:rsid w:val="0035217F"/>
    <w:rsid w:val="00394C92"/>
    <w:rsid w:val="003F0E4C"/>
    <w:rsid w:val="00442F54"/>
    <w:rsid w:val="004679A0"/>
    <w:rsid w:val="005044E8"/>
    <w:rsid w:val="005214C0"/>
    <w:rsid w:val="005323D9"/>
    <w:rsid w:val="00671F42"/>
    <w:rsid w:val="0067413A"/>
    <w:rsid w:val="006C03E1"/>
    <w:rsid w:val="006E2313"/>
    <w:rsid w:val="00796690"/>
    <w:rsid w:val="0080338D"/>
    <w:rsid w:val="00821FCC"/>
    <w:rsid w:val="0085610F"/>
    <w:rsid w:val="008E1BCF"/>
    <w:rsid w:val="00927A08"/>
    <w:rsid w:val="009C71B3"/>
    <w:rsid w:val="00A13F64"/>
    <w:rsid w:val="00A358BB"/>
    <w:rsid w:val="00A54189"/>
    <w:rsid w:val="00AD147D"/>
    <w:rsid w:val="00AD61D3"/>
    <w:rsid w:val="00B2589D"/>
    <w:rsid w:val="00B53BDA"/>
    <w:rsid w:val="00B73527"/>
    <w:rsid w:val="00BF734C"/>
    <w:rsid w:val="00C24206"/>
    <w:rsid w:val="00C52812"/>
    <w:rsid w:val="00D627B8"/>
    <w:rsid w:val="00D91D47"/>
    <w:rsid w:val="00E561C2"/>
    <w:rsid w:val="00EA323E"/>
    <w:rsid w:val="00EE2F4A"/>
    <w:rsid w:val="00EE6E0F"/>
    <w:rsid w:val="00F830BF"/>
    <w:rsid w:val="015E9E0B"/>
    <w:rsid w:val="01AFD310"/>
    <w:rsid w:val="02BF985C"/>
    <w:rsid w:val="056001E0"/>
    <w:rsid w:val="06796C47"/>
    <w:rsid w:val="06C553A2"/>
    <w:rsid w:val="072D2B78"/>
    <w:rsid w:val="095D0652"/>
    <w:rsid w:val="120AB607"/>
    <w:rsid w:val="13FFCAE7"/>
    <w:rsid w:val="171E434C"/>
    <w:rsid w:val="18358B29"/>
    <w:rsid w:val="19D3F981"/>
    <w:rsid w:val="1B906458"/>
    <w:rsid w:val="1CDCE2E6"/>
    <w:rsid w:val="1DB07F94"/>
    <w:rsid w:val="20FBA431"/>
    <w:rsid w:val="33BE0CF4"/>
    <w:rsid w:val="33DC39A9"/>
    <w:rsid w:val="38C8477D"/>
    <w:rsid w:val="405E969E"/>
    <w:rsid w:val="40D812F3"/>
    <w:rsid w:val="4275DD99"/>
    <w:rsid w:val="43FA4AF9"/>
    <w:rsid w:val="445C6559"/>
    <w:rsid w:val="44A40B72"/>
    <w:rsid w:val="45E15A57"/>
    <w:rsid w:val="462DEA10"/>
    <w:rsid w:val="4731EBBB"/>
    <w:rsid w:val="48DB057C"/>
    <w:rsid w:val="4B73A673"/>
    <w:rsid w:val="4CC2A132"/>
    <w:rsid w:val="4E8EB5B7"/>
    <w:rsid w:val="51961255"/>
    <w:rsid w:val="522097AB"/>
    <w:rsid w:val="552B8C35"/>
    <w:rsid w:val="55DEFE22"/>
    <w:rsid w:val="560473C0"/>
    <w:rsid w:val="57724331"/>
    <w:rsid w:val="57FD347D"/>
    <w:rsid w:val="581F0051"/>
    <w:rsid w:val="5B0E6382"/>
    <w:rsid w:val="62DAD76C"/>
    <w:rsid w:val="6C6837B2"/>
    <w:rsid w:val="72583D69"/>
    <w:rsid w:val="7630897E"/>
    <w:rsid w:val="78531F94"/>
    <w:rsid w:val="7A767794"/>
    <w:rsid w:val="7E8CAC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BA9A1"/>
  <w15:chartTrackingRefBased/>
  <w15:docId w15:val="{F9042989-3E27-48CA-A1E6-FFE1A616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1ED"/>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8561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561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1ED"/>
    <w:pPr>
      <w:spacing w:after="200" w:line="276" w:lineRule="auto"/>
      <w:ind w:left="720"/>
      <w:contextualSpacing/>
    </w:pPr>
    <w:rPr>
      <w:rFonts w:ascii="Calibri" w:hAnsi="Calibri"/>
      <w:szCs w:val="22"/>
    </w:rPr>
  </w:style>
  <w:style w:type="paragraph" w:styleId="Title">
    <w:name w:val="Title"/>
    <w:basedOn w:val="Normal"/>
    <w:link w:val="TitleChar"/>
    <w:qFormat/>
    <w:rsid w:val="000E51ED"/>
    <w:pPr>
      <w:jc w:val="center"/>
    </w:pPr>
    <w:rPr>
      <w:rFonts w:ascii="Times New Roman" w:hAnsi="Times New Roman"/>
      <w:b/>
      <w:sz w:val="20"/>
      <w:szCs w:val="20"/>
    </w:rPr>
  </w:style>
  <w:style w:type="character" w:customStyle="1" w:styleId="TitleChar">
    <w:name w:val="Title Char"/>
    <w:basedOn w:val="DefaultParagraphFont"/>
    <w:link w:val="Title"/>
    <w:rsid w:val="000E51ED"/>
    <w:rPr>
      <w:rFonts w:ascii="Times New Roman" w:eastAsia="Times New Roman" w:hAnsi="Times New Roman" w:cs="Times New Roman"/>
      <w:b/>
      <w:sz w:val="20"/>
      <w:szCs w:val="20"/>
    </w:rPr>
  </w:style>
  <w:style w:type="character" w:styleId="CommentReference">
    <w:name w:val="annotation reference"/>
    <w:basedOn w:val="DefaultParagraphFont"/>
    <w:uiPriority w:val="99"/>
    <w:semiHidden/>
    <w:unhideWhenUsed/>
    <w:rsid w:val="008E1BCF"/>
    <w:rPr>
      <w:sz w:val="16"/>
      <w:szCs w:val="16"/>
    </w:rPr>
  </w:style>
  <w:style w:type="paragraph" w:styleId="CommentText">
    <w:name w:val="annotation text"/>
    <w:basedOn w:val="Normal"/>
    <w:link w:val="CommentTextChar"/>
    <w:uiPriority w:val="99"/>
    <w:semiHidden/>
    <w:unhideWhenUsed/>
    <w:rsid w:val="008E1BCF"/>
    <w:rPr>
      <w:sz w:val="20"/>
      <w:szCs w:val="20"/>
    </w:rPr>
  </w:style>
  <w:style w:type="character" w:customStyle="1" w:styleId="CommentTextChar">
    <w:name w:val="Comment Text Char"/>
    <w:basedOn w:val="DefaultParagraphFont"/>
    <w:link w:val="CommentText"/>
    <w:uiPriority w:val="99"/>
    <w:semiHidden/>
    <w:rsid w:val="008E1BC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E1BCF"/>
    <w:rPr>
      <w:b/>
      <w:bCs/>
    </w:rPr>
  </w:style>
  <w:style w:type="character" w:customStyle="1" w:styleId="CommentSubjectChar">
    <w:name w:val="Comment Subject Char"/>
    <w:basedOn w:val="CommentTextChar"/>
    <w:link w:val="CommentSubject"/>
    <w:uiPriority w:val="99"/>
    <w:semiHidden/>
    <w:rsid w:val="008E1BCF"/>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8E1B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BCF"/>
    <w:rPr>
      <w:rFonts w:ascii="Segoe UI" w:eastAsia="Times New Roman" w:hAnsi="Segoe UI" w:cs="Segoe UI"/>
      <w:sz w:val="18"/>
      <w:szCs w:val="18"/>
    </w:rPr>
  </w:style>
  <w:style w:type="paragraph" w:styleId="Header">
    <w:name w:val="header"/>
    <w:basedOn w:val="Normal"/>
    <w:link w:val="HeaderChar"/>
    <w:uiPriority w:val="99"/>
    <w:unhideWhenUsed/>
    <w:rsid w:val="00C24206"/>
    <w:pPr>
      <w:tabs>
        <w:tab w:val="center" w:pos="4513"/>
        <w:tab w:val="right" w:pos="9026"/>
      </w:tabs>
    </w:pPr>
  </w:style>
  <w:style w:type="character" w:customStyle="1" w:styleId="HeaderChar">
    <w:name w:val="Header Char"/>
    <w:basedOn w:val="DefaultParagraphFont"/>
    <w:link w:val="Header"/>
    <w:uiPriority w:val="99"/>
    <w:rsid w:val="00C24206"/>
    <w:rPr>
      <w:rFonts w:ascii="Arial" w:eastAsia="Times New Roman" w:hAnsi="Arial" w:cs="Times New Roman"/>
      <w:szCs w:val="24"/>
    </w:rPr>
  </w:style>
  <w:style w:type="paragraph" w:styleId="Footer">
    <w:name w:val="footer"/>
    <w:basedOn w:val="Normal"/>
    <w:link w:val="FooterChar"/>
    <w:uiPriority w:val="99"/>
    <w:unhideWhenUsed/>
    <w:rsid w:val="00C24206"/>
    <w:pPr>
      <w:tabs>
        <w:tab w:val="center" w:pos="4513"/>
        <w:tab w:val="right" w:pos="9026"/>
      </w:tabs>
    </w:pPr>
  </w:style>
  <w:style w:type="character" w:customStyle="1" w:styleId="FooterChar">
    <w:name w:val="Footer Char"/>
    <w:basedOn w:val="DefaultParagraphFont"/>
    <w:link w:val="Footer"/>
    <w:uiPriority w:val="99"/>
    <w:rsid w:val="00C24206"/>
    <w:rPr>
      <w:rFonts w:ascii="Arial" w:eastAsia="Times New Roman" w:hAnsi="Arial" w:cs="Times New Roman"/>
      <w:szCs w:val="24"/>
    </w:rPr>
  </w:style>
  <w:style w:type="character" w:customStyle="1" w:styleId="Heading1Char">
    <w:name w:val="Heading 1 Char"/>
    <w:basedOn w:val="DefaultParagraphFont"/>
    <w:link w:val="Heading1"/>
    <w:uiPriority w:val="9"/>
    <w:rsid w:val="008561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5610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A04BC8E80D24F85A4166A277E1BDD" ma:contentTypeVersion="12" ma:contentTypeDescription="Create a new document." ma:contentTypeScope="" ma:versionID="a2d0c1f111915b0f2336ca15b90b3c43">
  <xsd:schema xmlns:xsd="http://www.w3.org/2001/XMLSchema" xmlns:xs="http://www.w3.org/2001/XMLSchema" xmlns:p="http://schemas.microsoft.com/office/2006/metadata/properties" xmlns:ns2="bdb01797-5f17-4529-82b2-39bef18898c0" xmlns:ns3="51320b14-d0de-4297-9f42-42e290a04e11" targetNamespace="http://schemas.microsoft.com/office/2006/metadata/properties" ma:root="true" ma:fieldsID="e906dde2c3ed742c78312a441645c473" ns2:_="" ns3:_="">
    <xsd:import namespace="bdb01797-5f17-4529-82b2-39bef18898c0"/>
    <xsd:import namespace="51320b14-d0de-4297-9f42-42e290a04e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01797-5f17-4529-82b2-39bef1889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320b14-d0de-4297-9f42-42e290a04e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1320b14-d0de-4297-9f42-42e290a04e1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1656C0-AEC9-4D40-80A7-A1E214395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01797-5f17-4529-82b2-39bef18898c0"/>
    <ds:schemaRef ds:uri="51320b14-d0de-4297-9f42-42e290a04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BF253-C9AC-481A-83AC-B458F36DB6AB}">
  <ds:schemaRefs>
    <ds:schemaRef ds:uri="http://schemas.microsoft.com/office/2006/metadata/properties"/>
    <ds:schemaRef ds:uri="http://schemas.microsoft.com/office/infopath/2007/PartnerControls"/>
    <ds:schemaRef ds:uri="51320b14-d0de-4297-9f42-42e290a04e11"/>
  </ds:schemaRefs>
</ds:datastoreItem>
</file>

<file path=customXml/itemProps3.xml><?xml version="1.0" encoding="utf-8"?>
<ds:datastoreItem xmlns:ds="http://schemas.openxmlformats.org/officeDocument/2006/customXml" ds:itemID="{428DD2AA-D3FE-4B75-80B9-E1ADA38393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Whitworth, Sally C2 (DES LE STSP-TSSP-ComMgr3)</cp:lastModifiedBy>
  <cp:revision>2</cp:revision>
  <dcterms:created xsi:type="dcterms:W3CDTF">2020-12-17T21:48:00Z</dcterms:created>
  <dcterms:modified xsi:type="dcterms:W3CDTF">2021-10-14T14:29:00Z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0x010100B07A04BC8E80D24F85A4166A277E1BDD</vt:lpwstr>
  </property>
  <property fmtid="{D5CDD505-2E9C-101B-9397-08002B2CF9AE}" pid="3" name="Order">
    <vt:r8>726600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