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A351" w14:textId="5B33277E" w:rsidR="007F40E9" w:rsidRPr="00C401DC" w:rsidRDefault="007F40E9" w:rsidP="007F40E9">
      <w:pPr>
        <w:rPr>
          <w:rFonts w:asciiTheme="minorHAnsi" w:hAnsiTheme="minorHAnsi" w:cstheme="minorHAnsi"/>
          <w:b/>
          <w:bCs/>
          <w:sz w:val="22"/>
          <w:szCs w:val="22"/>
          <w:u w:val="single"/>
          <w:lang w:eastAsia="en-US"/>
        </w:rPr>
      </w:pPr>
      <w:r w:rsidRPr="00C401DC">
        <w:rPr>
          <w:rFonts w:asciiTheme="minorHAnsi" w:hAnsiTheme="minorHAnsi" w:cstheme="minorHAnsi"/>
          <w:b/>
          <w:bCs/>
          <w:sz w:val="22"/>
          <w:szCs w:val="22"/>
          <w:u w:val="single"/>
          <w:lang w:eastAsia="en-US"/>
        </w:rPr>
        <w:t>Introduction</w:t>
      </w:r>
    </w:p>
    <w:p w14:paraId="00575EC1" w14:textId="77777777" w:rsidR="007F40E9" w:rsidRPr="00C401DC" w:rsidRDefault="007F40E9" w:rsidP="007F40E9">
      <w:pPr>
        <w:rPr>
          <w:rFonts w:asciiTheme="minorHAnsi" w:hAnsiTheme="minorHAnsi" w:cstheme="minorHAnsi"/>
          <w:sz w:val="22"/>
          <w:szCs w:val="22"/>
          <w:lang w:eastAsia="en-US"/>
        </w:rPr>
      </w:pPr>
    </w:p>
    <w:p w14:paraId="32DABD33" w14:textId="77777777" w:rsidR="007F40E9" w:rsidRPr="00C401DC" w:rsidRDefault="007F40E9" w:rsidP="007F40E9">
      <w:pPr>
        <w:rPr>
          <w:rFonts w:asciiTheme="minorHAnsi" w:hAnsiTheme="minorHAnsi" w:cstheme="minorHAnsi"/>
          <w:sz w:val="22"/>
          <w:szCs w:val="22"/>
          <w:lang w:eastAsia="en-US"/>
        </w:rPr>
      </w:pPr>
    </w:p>
    <w:p w14:paraId="0C991204" w14:textId="77777777" w:rsidR="007F40E9" w:rsidRPr="00C401DC" w:rsidRDefault="007F40E9" w:rsidP="007F40E9">
      <w:pPr>
        <w:rPr>
          <w:rFonts w:asciiTheme="minorHAnsi" w:hAnsiTheme="minorHAnsi" w:cstheme="minorHAnsi"/>
          <w:sz w:val="22"/>
          <w:szCs w:val="22"/>
          <w:lang w:eastAsia="en-US"/>
        </w:rPr>
      </w:pPr>
      <w:r w:rsidRPr="00C401DC">
        <w:rPr>
          <w:rFonts w:asciiTheme="minorHAnsi" w:hAnsiTheme="minorHAnsi" w:cstheme="minorHAnsi"/>
          <w:sz w:val="22"/>
          <w:szCs w:val="22"/>
          <w:lang w:eastAsia="en-US"/>
        </w:rPr>
        <w:t xml:space="preserve">County Durham and Darlington Fire and Rescue Service </w:t>
      </w:r>
      <w:r>
        <w:rPr>
          <w:rFonts w:asciiTheme="minorHAnsi" w:hAnsiTheme="minorHAnsi" w:cstheme="minorHAnsi"/>
          <w:sz w:val="22"/>
          <w:szCs w:val="22"/>
          <w:lang w:eastAsia="en-US"/>
        </w:rPr>
        <w:t xml:space="preserve">(CDDFRS) </w:t>
      </w:r>
      <w:r w:rsidRPr="00C401DC">
        <w:rPr>
          <w:rFonts w:asciiTheme="minorHAnsi" w:hAnsiTheme="minorHAnsi" w:cstheme="minorHAnsi"/>
          <w:sz w:val="22"/>
          <w:szCs w:val="22"/>
          <w:lang w:eastAsia="en-US"/>
        </w:rPr>
        <w:t xml:space="preserve">is governed by a separate statutory body known as the Combined Fire Authority (CFA). The authority is accountable to the CFA which is comprised of locally elected Councillors who are members of the CFA and has a legal duty to provide an efficient and effective fire service. </w:t>
      </w:r>
    </w:p>
    <w:p w14:paraId="6754E610" w14:textId="77777777" w:rsidR="007F40E9" w:rsidRPr="00C401DC" w:rsidRDefault="007F40E9" w:rsidP="007F40E9">
      <w:pPr>
        <w:rPr>
          <w:rFonts w:asciiTheme="minorHAnsi" w:hAnsiTheme="minorHAnsi" w:cstheme="minorHAnsi"/>
          <w:sz w:val="22"/>
          <w:szCs w:val="22"/>
          <w:lang w:eastAsia="en-US"/>
        </w:rPr>
      </w:pPr>
    </w:p>
    <w:p w14:paraId="3F0AE002" w14:textId="77777777" w:rsidR="007F40E9" w:rsidRPr="00C401DC" w:rsidRDefault="007F40E9" w:rsidP="007F40E9">
      <w:pPr>
        <w:rPr>
          <w:rFonts w:asciiTheme="minorHAnsi" w:hAnsiTheme="minorHAnsi" w:cstheme="minorHAnsi"/>
          <w:sz w:val="22"/>
          <w:szCs w:val="22"/>
          <w:lang w:eastAsia="en-US"/>
        </w:rPr>
      </w:pPr>
      <w:r w:rsidRPr="00C401DC">
        <w:rPr>
          <w:rFonts w:asciiTheme="minorHAnsi" w:hAnsiTheme="minorHAnsi" w:cstheme="minorHAnsi"/>
          <w:sz w:val="22"/>
          <w:szCs w:val="22"/>
          <w:lang w:eastAsia="en-US"/>
        </w:rPr>
        <w:t>County Durham and Darlington is in the North</w:t>
      </w:r>
      <w:r>
        <w:rPr>
          <w:rFonts w:asciiTheme="minorHAnsi" w:hAnsiTheme="minorHAnsi" w:cstheme="minorHAnsi"/>
          <w:sz w:val="22"/>
          <w:szCs w:val="22"/>
          <w:lang w:eastAsia="en-US"/>
        </w:rPr>
        <w:t>-</w:t>
      </w:r>
      <w:r w:rsidRPr="00C401DC">
        <w:rPr>
          <w:rFonts w:asciiTheme="minorHAnsi" w:hAnsiTheme="minorHAnsi" w:cstheme="minorHAnsi"/>
          <w:sz w:val="22"/>
          <w:szCs w:val="22"/>
          <w:lang w:eastAsia="en-US"/>
        </w:rPr>
        <w:t>East of England and covers an area of almost 2,460 square kilometres. Durham City and the larger industrial and commercial towns are in the east of the area; in contrast the west is predominantly rural consisting of open moorland and wooded river valleys and is sparsely populated. Darlington, our largest town, lies in the South and is undergoing significant regeneration.</w:t>
      </w:r>
    </w:p>
    <w:p w14:paraId="1F4091A8" w14:textId="77777777" w:rsidR="007F40E9" w:rsidRPr="00C401DC" w:rsidRDefault="007F40E9" w:rsidP="007F40E9">
      <w:pPr>
        <w:suppressAutoHyphens/>
        <w:autoSpaceDE w:val="0"/>
        <w:autoSpaceDN w:val="0"/>
        <w:adjustRightInd w:val="0"/>
        <w:rPr>
          <w:rFonts w:asciiTheme="minorHAnsi" w:hAnsiTheme="minorHAnsi" w:cstheme="minorHAnsi"/>
          <w:sz w:val="22"/>
          <w:szCs w:val="22"/>
          <w:lang w:val="en" w:eastAsia="en-US"/>
        </w:rPr>
      </w:pPr>
    </w:p>
    <w:p w14:paraId="0B20A736" w14:textId="77777777" w:rsidR="007F40E9" w:rsidRDefault="007F40E9" w:rsidP="007F40E9">
      <w:pPr>
        <w:suppressAutoHyphens/>
        <w:autoSpaceDE w:val="0"/>
        <w:autoSpaceDN w:val="0"/>
        <w:adjustRightInd w:val="0"/>
        <w:rPr>
          <w:rFonts w:asciiTheme="minorHAnsi" w:hAnsiTheme="minorHAnsi" w:cstheme="minorHAnsi"/>
          <w:b/>
          <w:sz w:val="22"/>
          <w:szCs w:val="22"/>
          <w:lang w:eastAsia="en-US"/>
        </w:rPr>
      </w:pPr>
    </w:p>
    <w:p w14:paraId="7EBB7989" w14:textId="77777777" w:rsidR="007F40E9" w:rsidRPr="00C401DC" w:rsidRDefault="007F40E9" w:rsidP="007F40E9">
      <w:pPr>
        <w:suppressAutoHyphens/>
        <w:autoSpaceDE w:val="0"/>
        <w:autoSpaceDN w:val="0"/>
        <w:adjustRightInd w:val="0"/>
        <w:rPr>
          <w:rFonts w:asciiTheme="minorHAnsi" w:hAnsiTheme="minorHAnsi" w:cstheme="minorHAnsi"/>
          <w:b/>
          <w:sz w:val="22"/>
          <w:szCs w:val="22"/>
          <w:lang w:eastAsia="en-US"/>
        </w:rPr>
      </w:pPr>
      <w:r w:rsidRPr="00C401DC">
        <w:rPr>
          <w:rFonts w:asciiTheme="minorHAnsi" w:hAnsiTheme="minorHAnsi" w:cstheme="minorHAnsi"/>
          <w:b/>
          <w:sz w:val="22"/>
          <w:szCs w:val="22"/>
          <w:lang w:eastAsia="en-US"/>
        </w:rPr>
        <w:t>C</w:t>
      </w:r>
      <w:r>
        <w:rPr>
          <w:rFonts w:asciiTheme="minorHAnsi" w:hAnsiTheme="minorHAnsi" w:cstheme="minorHAnsi"/>
          <w:b/>
          <w:sz w:val="22"/>
          <w:szCs w:val="22"/>
          <w:lang w:eastAsia="en-US"/>
        </w:rPr>
        <w:t xml:space="preserve">DDFRS </w:t>
      </w:r>
      <w:r w:rsidRPr="00C401DC">
        <w:rPr>
          <w:rFonts w:asciiTheme="minorHAnsi" w:hAnsiTheme="minorHAnsi" w:cstheme="minorHAnsi"/>
          <w:b/>
          <w:sz w:val="22"/>
          <w:szCs w:val="22"/>
          <w:lang w:eastAsia="en-US"/>
        </w:rPr>
        <w:t>localities</w:t>
      </w:r>
    </w:p>
    <w:p w14:paraId="79328270" w14:textId="77777777" w:rsidR="007F40E9" w:rsidRPr="00C401DC" w:rsidRDefault="007F40E9" w:rsidP="007F40E9">
      <w:pPr>
        <w:suppressAutoHyphens/>
        <w:autoSpaceDE w:val="0"/>
        <w:autoSpaceDN w:val="0"/>
        <w:adjustRightInd w:val="0"/>
        <w:rPr>
          <w:rFonts w:asciiTheme="minorHAnsi" w:hAnsiTheme="minorHAnsi" w:cstheme="minorHAnsi"/>
          <w:sz w:val="22"/>
          <w:szCs w:val="22"/>
          <w:lang w:val="en" w:eastAsia="en-US"/>
        </w:rPr>
      </w:pPr>
    </w:p>
    <w:p w14:paraId="21C304B1" w14:textId="77777777" w:rsidR="007F40E9" w:rsidRPr="00C401DC" w:rsidRDefault="007F40E9" w:rsidP="007F40E9">
      <w:pPr>
        <w:suppressAutoHyphens/>
        <w:spacing w:after="240"/>
        <w:rPr>
          <w:rFonts w:asciiTheme="minorHAnsi" w:hAnsiTheme="minorHAnsi" w:cstheme="minorHAnsi"/>
          <w:iCs/>
          <w:sz w:val="22"/>
          <w:szCs w:val="22"/>
          <w:lang w:eastAsia="en-US"/>
        </w:rPr>
      </w:pPr>
      <w:r w:rsidRPr="00C401DC">
        <w:rPr>
          <w:rFonts w:asciiTheme="minorHAnsi" w:hAnsiTheme="minorHAnsi" w:cstheme="minorHAnsi"/>
          <w:iCs/>
          <w:sz w:val="22"/>
          <w:szCs w:val="22"/>
          <w:lang w:eastAsia="en-US"/>
        </w:rPr>
        <w:t xml:space="preserve">The Service is </w:t>
      </w:r>
      <w:r w:rsidRPr="00C401DC">
        <w:rPr>
          <w:rFonts w:asciiTheme="minorHAnsi" w:hAnsiTheme="minorHAnsi" w:cstheme="minorHAnsi"/>
          <w:sz w:val="22"/>
          <w:szCs w:val="22"/>
          <w:lang w:eastAsia="en-US"/>
        </w:rPr>
        <w:t>made up of fifteen fire stations</w:t>
      </w:r>
      <w:r w:rsidRPr="00C401DC">
        <w:rPr>
          <w:rFonts w:asciiTheme="minorHAnsi" w:hAnsiTheme="minorHAnsi" w:cstheme="minorHAnsi"/>
          <w:iCs/>
          <w:sz w:val="22"/>
          <w:szCs w:val="22"/>
          <w:lang w:eastAsia="en-US"/>
        </w:rPr>
        <w:t xml:space="preserve"> divided into the two Districts, comprising of:</w:t>
      </w:r>
    </w:p>
    <w:p w14:paraId="5197B378" w14:textId="77777777" w:rsidR="007F40E9" w:rsidRPr="00C401DC" w:rsidRDefault="007F40E9" w:rsidP="007F40E9">
      <w:pPr>
        <w:numPr>
          <w:ilvl w:val="0"/>
          <w:numId w:val="1"/>
        </w:numPr>
        <w:suppressAutoHyphens/>
        <w:spacing w:after="240"/>
        <w:rPr>
          <w:rFonts w:asciiTheme="minorHAnsi" w:hAnsiTheme="minorHAnsi" w:cstheme="minorHAnsi"/>
          <w:iCs/>
          <w:sz w:val="22"/>
          <w:szCs w:val="22"/>
          <w:lang w:eastAsia="en-US"/>
        </w:rPr>
      </w:pPr>
      <w:r w:rsidRPr="00C401DC">
        <w:rPr>
          <w:rFonts w:asciiTheme="minorHAnsi" w:hAnsiTheme="minorHAnsi" w:cstheme="minorHAnsi"/>
          <w:iCs/>
          <w:sz w:val="22"/>
          <w:szCs w:val="22"/>
          <w:lang w:eastAsia="en-US"/>
        </w:rPr>
        <w:t>North – Consett, High Handenhold, Seaham, Peterlee, Wheatley Hill, Durham, Stanhope, Crook.</w:t>
      </w:r>
    </w:p>
    <w:p w14:paraId="43CCF323" w14:textId="77777777" w:rsidR="007F40E9" w:rsidRPr="00C401DC" w:rsidRDefault="007F40E9" w:rsidP="007F40E9">
      <w:pPr>
        <w:numPr>
          <w:ilvl w:val="0"/>
          <w:numId w:val="1"/>
        </w:numPr>
        <w:suppressAutoHyphens/>
        <w:spacing w:after="240"/>
        <w:rPr>
          <w:rFonts w:asciiTheme="minorHAnsi" w:hAnsiTheme="minorHAnsi" w:cstheme="minorHAnsi"/>
          <w:iCs/>
          <w:sz w:val="22"/>
          <w:szCs w:val="22"/>
          <w:lang w:eastAsia="en-US"/>
        </w:rPr>
      </w:pPr>
      <w:r w:rsidRPr="00C401DC">
        <w:rPr>
          <w:rFonts w:asciiTheme="minorHAnsi" w:hAnsiTheme="minorHAnsi" w:cstheme="minorHAnsi"/>
          <w:iCs/>
          <w:sz w:val="22"/>
          <w:szCs w:val="22"/>
          <w:lang w:eastAsia="en-US"/>
        </w:rPr>
        <w:t xml:space="preserve">South – Spennymoor, Sedgefield, Newton Aycliffe, Bishop Auckland, Middleton in Teesdale, Barnard Castle, Darlington. </w:t>
      </w:r>
    </w:p>
    <w:p w14:paraId="289858D0" w14:textId="77777777" w:rsidR="007F40E9" w:rsidRPr="00C401DC" w:rsidRDefault="007F40E9" w:rsidP="007F40E9">
      <w:pPr>
        <w:numPr>
          <w:ilvl w:val="0"/>
          <w:numId w:val="1"/>
        </w:num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In addition there are the Headquarters site at Belmont and two facilities situated on the Bowburn South Industrial Estate i.e. the Technical Services Centre and Training Centre.</w:t>
      </w:r>
    </w:p>
    <w:p w14:paraId="7793E7E5" w14:textId="77777777" w:rsidR="007F40E9" w:rsidRPr="00C401DC" w:rsidRDefault="007F40E9" w:rsidP="007F40E9">
      <w:p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Sites requiring surveys to be completed are as below:</w:t>
      </w:r>
    </w:p>
    <w:tbl>
      <w:tblPr>
        <w:tblStyle w:val="TableGrid"/>
        <w:tblW w:w="0" w:type="auto"/>
        <w:tblLook w:val="04A0" w:firstRow="1" w:lastRow="0" w:firstColumn="1" w:lastColumn="0" w:noHBand="0" w:noVBand="1"/>
      </w:tblPr>
      <w:tblGrid>
        <w:gridCol w:w="3681"/>
        <w:gridCol w:w="5335"/>
      </w:tblGrid>
      <w:tr w:rsidR="007F40E9" w:rsidRPr="00C401DC" w14:paraId="47639C4A" w14:textId="77777777" w:rsidTr="003B3DE5">
        <w:tc>
          <w:tcPr>
            <w:tcW w:w="3681" w:type="dxa"/>
            <w:shd w:val="clear" w:color="auto" w:fill="BFBFBF" w:themeFill="background1" w:themeFillShade="BF"/>
          </w:tcPr>
          <w:p w14:paraId="00342F36" w14:textId="77777777" w:rsidR="007F40E9" w:rsidRPr="00C401DC" w:rsidRDefault="007F40E9" w:rsidP="003B3DE5">
            <w:pPr>
              <w:suppressAutoHyphens/>
              <w:spacing w:after="240"/>
              <w:rPr>
                <w:rFonts w:asciiTheme="minorHAnsi" w:hAnsiTheme="minorHAnsi" w:cstheme="minorHAnsi"/>
                <w:b/>
                <w:bCs/>
                <w:sz w:val="22"/>
                <w:szCs w:val="22"/>
                <w:lang w:eastAsia="en-US"/>
              </w:rPr>
            </w:pPr>
            <w:r w:rsidRPr="00C401DC">
              <w:rPr>
                <w:rFonts w:asciiTheme="minorHAnsi" w:hAnsiTheme="minorHAnsi" w:cstheme="minorHAnsi"/>
                <w:b/>
                <w:bCs/>
                <w:sz w:val="22"/>
                <w:szCs w:val="22"/>
                <w:lang w:eastAsia="en-US"/>
              </w:rPr>
              <w:t>Site</w:t>
            </w:r>
          </w:p>
        </w:tc>
        <w:tc>
          <w:tcPr>
            <w:tcW w:w="5335" w:type="dxa"/>
            <w:shd w:val="clear" w:color="auto" w:fill="BFBFBF" w:themeFill="background1" w:themeFillShade="BF"/>
          </w:tcPr>
          <w:p w14:paraId="6D03D732" w14:textId="77777777" w:rsidR="007F40E9" w:rsidRPr="00C401DC" w:rsidRDefault="007F40E9" w:rsidP="003B3DE5">
            <w:pPr>
              <w:suppressAutoHyphens/>
              <w:spacing w:after="240"/>
              <w:rPr>
                <w:rFonts w:asciiTheme="minorHAnsi" w:hAnsiTheme="minorHAnsi" w:cstheme="minorHAnsi"/>
                <w:b/>
                <w:bCs/>
                <w:sz w:val="22"/>
                <w:szCs w:val="22"/>
                <w:lang w:eastAsia="en-US"/>
              </w:rPr>
            </w:pPr>
            <w:r w:rsidRPr="00C401DC">
              <w:rPr>
                <w:rFonts w:asciiTheme="minorHAnsi" w:hAnsiTheme="minorHAnsi" w:cstheme="minorHAnsi"/>
                <w:b/>
                <w:bCs/>
                <w:sz w:val="22"/>
                <w:szCs w:val="22"/>
                <w:lang w:eastAsia="en-US"/>
              </w:rPr>
              <w:t>Address</w:t>
            </w:r>
          </w:p>
        </w:tc>
      </w:tr>
      <w:tr w:rsidR="007F40E9" w:rsidRPr="00C401DC" w14:paraId="10DA4D5B" w14:textId="77777777" w:rsidTr="003B3DE5">
        <w:tc>
          <w:tcPr>
            <w:tcW w:w="3681" w:type="dxa"/>
          </w:tcPr>
          <w:p w14:paraId="536FA629"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Consett Fire Station</w:t>
            </w:r>
          </w:p>
        </w:tc>
        <w:tc>
          <w:tcPr>
            <w:tcW w:w="5335" w:type="dxa"/>
          </w:tcPr>
          <w:p w14:paraId="7D466695"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eastAsia="Calibri" w:hAnsiTheme="minorHAnsi" w:cstheme="minorHAnsi"/>
                <w:color w:val="000000"/>
                <w:sz w:val="22"/>
                <w:szCs w:val="22"/>
              </w:rPr>
              <w:t>Villa Real Road, Consett, Co. Durham, DH8 6BH</w:t>
            </w:r>
          </w:p>
        </w:tc>
      </w:tr>
      <w:tr w:rsidR="007F40E9" w:rsidRPr="00C401DC" w14:paraId="22214061" w14:textId="77777777" w:rsidTr="003B3DE5">
        <w:tc>
          <w:tcPr>
            <w:tcW w:w="3681" w:type="dxa"/>
          </w:tcPr>
          <w:p w14:paraId="21D64CD7"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High Handenhold Fire Station</w:t>
            </w:r>
          </w:p>
        </w:tc>
        <w:tc>
          <w:tcPr>
            <w:tcW w:w="5335" w:type="dxa"/>
          </w:tcPr>
          <w:p w14:paraId="354E9119"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eastAsia="Calibri" w:hAnsiTheme="minorHAnsi" w:cstheme="minorHAnsi"/>
                <w:color w:val="000000"/>
                <w:sz w:val="22"/>
                <w:szCs w:val="22"/>
              </w:rPr>
              <w:t>Pelton, Chester-Le-Street, Co. Durham, DH2 1XF</w:t>
            </w:r>
          </w:p>
        </w:tc>
      </w:tr>
      <w:tr w:rsidR="007F40E9" w:rsidRPr="00C401DC" w14:paraId="3CE8CA48" w14:textId="77777777" w:rsidTr="003B3DE5">
        <w:tc>
          <w:tcPr>
            <w:tcW w:w="3681" w:type="dxa"/>
          </w:tcPr>
          <w:p w14:paraId="70AF89F9"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Seaham Fire Station</w:t>
            </w:r>
          </w:p>
        </w:tc>
        <w:tc>
          <w:tcPr>
            <w:tcW w:w="5335" w:type="dxa"/>
          </w:tcPr>
          <w:p w14:paraId="194D1344"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eastAsia="Calibri" w:hAnsiTheme="minorHAnsi" w:cstheme="minorHAnsi"/>
                <w:sz w:val="22"/>
                <w:szCs w:val="22"/>
              </w:rPr>
              <w:t>Parkside Road, Seaham, Co Durham, SR7 7UB</w:t>
            </w:r>
          </w:p>
        </w:tc>
      </w:tr>
      <w:tr w:rsidR="007F40E9" w:rsidRPr="00C401DC" w14:paraId="5CCB6110" w14:textId="77777777" w:rsidTr="003B3DE5">
        <w:tc>
          <w:tcPr>
            <w:tcW w:w="3681" w:type="dxa"/>
          </w:tcPr>
          <w:p w14:paraId="49A4F6EF"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Peterlee Fire Station</w:t>
            </w:r>
          </w:p>
        </w:tc>
        <w:tc>
          <w:tcPr>
            <w:tcW w:w="5335" w:type="dxa"/>
          </w:tcPr>
          <w:p w14:paraId="58A2134D"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eastAsia="Calibri" w:hAnsiTheme="minorHAnsi" w:cstheme="minorHAnsi"/>
                <w:color w:val="000000"/>
                <w:sz w:val="22"/>
                <w:szCs w:val="22"/>
              </w:rPr>
              <w:t>Shotton Road, Peterlee, Co. Durham, SR8 2FS</w:t>
            </w:r>
          </w:p>
        </w:tc>
      </w:tr>
      <w:tr w:rsidR="007F40E9" w:rsidRPr="00C401DC" w14:paraId="70D052B6" w14:textId="77777777" w:rsidTr="003B3DE5">
        <w:tc>
          <w:tcPr>
            <w:tcW w:w="3681" w:type="dxa"/>
          </w:tcPr>
          <w:p w14:paraId="1FFFFA9B"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Durham Fire Station</w:t>
            </w:r>
          </w:p>
        </w:tc>
        <w:tc>
          <w:tcPr>
            <w:tcW w:w="5335" w:type="dxa"/>
          </w:tcPr>
          <w:p w14:paraId="3A3DD2E4"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eastAsia="Calibri" w:hAnsiTheme="minorHAnsi" w:cstheme="minorHAnsi"/>
                <w:color w:val="000000"/>
                <w:sz w:val="22"/>
                <w:szCs w:val="22"/>
              </w:rPr>
              <w:t>Lanchester Road, Sniperley, Co. Durham, DL1 5RA</w:t>
            </w:r>
          </w:p>
        </w:tc>
      </w:tr>
      <w:tr w:rsidR="007F40E9" w:rsidRPr="00C401DC" w14:paraId="3604959C" w14:textId="77777777" w:rsidTr="003B3DE5">
        <w:tc>
          <w:tcPr>
            <w:tcW w:w="3681" w:type="dxa"/>
          </w:tcPr>
          <w:p w14:paraId="22D8DA4F"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Crook Fire Station</w:t>
            </w:r>
          </w:p>
        </w:tc>
        <w:tc>
          <w:tcPr>
            <w:tcW w:w="5335" w:type="dxa"/>
          </w:tcPr>
          <w:p w14:paraId="743BD26D"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eastAsia="Calibri" w:hAnsiTheme="minorHAnsi" w:cstheme="minorHAnsi"/>
                <w:color w:val="000000"/>
                <w:sz w:val="22"/>
                <w:szCs w:val="22"/>
              </w:rPr>
              <w:t>Peases Way, Crook, Co. Durham, DL15 9GR</w:t>
            </w:r>
          </w:p>
        </w:tc>
      </w:tr>
      <w:tr w:rsidR="007F40E9" w:rsidRPr="00C401DC" w14:paraId="26D184DC" w14:textId="77777777" w:rsidTr="003B3DE5">
        <w:tc>
          <w:tcPr>
            <w:tcW w:w="3681" w:type="dxa"/>
          </w:tcPr>
          <w:p w14:paraId="0D9BAB06"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Newton Aycliffe Fire Station</w:t>
            </w:r>
          </w:p>
        </w:tc>
        <w:tc>
          <w:tcPr>
            <w:tcW w:w="5335" w:type="dxa"/>
          </w:tcPr>
          <w:p w14:paraId="27FCC2FF"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eastAsia="Calibri" w:hAnsiTheme="minorHAnsi" w:cstheme="minorHAnsi"/>
                <w:color w:val="000000"/>
                <w:sz w:val="22"/>
                <w:szCs w:val="22"/>
              </w:rPr>
              <w:t>Central Avenue, Newton Aycliffe, Co. Durham, DL5 5QH</w:t>
            </w:r>
          </w:p>
        </w:tc>
      </w:tr>
      <w:tr w:rsidR="007F40E9" w:rsidRPr="00C401DC" w14:paraId="6E0027A2" w14:textId="77777777" w:rsidTr="003B3DE5">
        <w:tc>
          <w:tcPr>
            <w:tcW w:w="3681" w:type="dxa"/>
          </w:tcPr>
          <w:p w14:paraId="216BD17E"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Darlington Fire Station</w:t>
            </w:r>
          </w:p>
        </w:tc>
        <w:tc>
          <w:tcPr>
            <w:tcW w:w="5335" w:type="dxa"/>
          </w:tcPr>
          <w:p w14:paraId="4050920F"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eastAsia="Calibri" w:hAnsiTheme="minorHAnsi" w:cstheme="minorHAnsi"/>
                <w:color w:val="000000"/>
                <w:sz w:val="22"/>
                <w:szCs w:val="22"/>
              </w:rPr>
              <w:t>St Cuthberts Way, Darlington, Co. Durham, DL1 5LN</w:t>
            </w:r>
          </w:p>
        </w:tc>
      </w:tr>
      <w:tr w:rsidR="007F40E9" w:rsidRPr="00C401DC" w14:paraId="6507E7CE" w14:textId="77777777" w:rsidTr="003B3DE5">
        <w:tc>
          <w:tcPr>
            <w:tcW w:w="3681" w:type="dxa"/>
          </w:tcPr>
          <w:p w14:paraId="16FD580E"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hAnsiTheme="minorHAnsi" w:cstheme="minorHAnsi"/>
                <w:sz w:val="22"/>
                <w:szCs w:val="22"/>
                <w:lang w:eastAsia="en-US"/>
              </w:rPr>
              <w:t>Training Centre</w:t>
            </w:r>
          </w:p>
        </w:tc>
        <w:tc>
          <w:tcPr>
            <w:tcW w:w="5335" w:type="dxa"/>
          </w:tcPr>
          <w:p w14:paraId="1027E1A3" w14:textId="77777777" w:rsidR="007F40E9" w:rsidRPr="00C401DC" w:rsidRDefault="007F40E9" w:rsidP="003B3DE5">
            <w:pPr>
              <w:suppressAutoHyphens/>
              <w:spacing w:after="240"/>
              <w:rPr>
                <w:rFonts w:asciiTheme="minorHAnsi" w:hAnsiTheme="minorHAnsi" w:cstheme="minorHAnsi"/>
                <w:sz w:val="22"/>
                <w:szCs w:val="22"/>
                <w:lang w:eastAsia="en-US"/>
              </w:rPr>
            </w:pPr>
            <w:r w:rsidRPr="00C401DC">
              <w:rPr>
                <w:rFonts w:asciiTheme="minorHAnsi" w:eastAsia="Symbol" w:hAnsiTheme="minorHAnsi" w:cstheme="minorHAnsi"/>
                <w:color w:val="000000"/>
                <w:sz w:val="22"/>
                <w:szCs w:val="22"/>
              </w:rPr>
              <w:t>Bowburn South Industrial Estate, Bowburn, Co. Durham, DH6 5AD</w:t>
            </w:r>
          </w:p>
        </w:tc>
      </w:tr>
    </w:tbl>
    <w:p w14:paraId="6A9F0166" w14:textId="77777777" w:rsidR="007F40E9" w:rsidRDefault="007F40E9"/>
    <w:p w14:paraId="6FB036EE" w14:textId="2FFBDE08" w:rsidR="007F40E9" w:rsidRDefault="007F40E9">
      <w:pPr>
        <w:rPr>
          <w:b/>
          <w:bCs/>
          <w:sz w:val="22"/>
          <w:szCs w:val="22"/>
          <w:u w:val="single"/>
        </w:rPr>
      </w:pPr>
      <w:r w:rsidRPr="007F40E9">
        <w:rPr>
          <w:b/>
          <w:bCs/>
          <w:sz w:val="22"/>
          <w:szCs w:val="22"/>
          <w:u w:val="single"/>
        </w:rPr>
        <w:lastRenderedPageBreak/>
        <w:t xml:space="preserve">Scope of Requirements </w:t>
      </w:r>
    </w:p>
    <w:p w14:paraId="582AEE27" w14:textId="77777777" w:rsidR="007F40E9" w:rsidRDefault="007F40E9">
      <w:pPr>
        <w:rPr>
          <w:b/>
          <w:bCs/>
          <w:sz w:val="22"/>
          <w:szCs w:val="22"/>
          <w:u w:val="single"/>
        </w:rPr>
      </w:pPr>
    </w:p>
    <w:p w14:paraId="36C54E58" w14:textId="7171F2BA" w:rsidR="007F40E9" w:rsidRDefault="007F40E9">
      <w:pPr>
        <w:rPr>
          <w:sz w:val="22"/>
          <w:szCs w:val="22"/>
        </w:rPr>
      </w:pPr>
      <w:r>
        <w:rPr>
          <w:sz w:val="22"/>
          <w:szCs w:val="22"/>
        </w:rPr>
        <w:t xml:space="preserve">CDDFRS seeks to appoint a contractor to carry out the annual servicing of any fuel pump installation at any of the aforementioned sites, along with any unplanned repairs that may occur or be identified as part of an annual inspection being carried out. </w:t>
      </w:r>
    </w:p>
    <w:p w14:paraId="36AF6596" w14:textId="77777777" w:rsidR="004D4BBE" w:rsidRDefault="004D4BBE">
      <w:pPr>
        <w:rPr>
          <w:sz w:val="22"/>
          <w:szCs w:val="22"/>
        </w:rPr>
      </w:pPr>
    </w:p>
    <w:p w14:paraId="7C249144" w14:textId="6F525901" w:rsidR="004D4BBE" w:rsidRDefault="00A62C23">
      <w:pPr>
        <w:rPr>
          <w:sz w:val="22"/>
          <w:szCs w:val="22"/>
        </w:rPr>
      </w:pPr>
      <w:r>
        <w:rPr>
          <w:sz w:val="22"/>
          <w:szCs w:val="22"/>
        </w:rPr>
        <w:t>Bids should be returned no later than Friday 4</w:t>
      </w:r>
      <w:r w:rsidRPr="00A62C23">
        <w:rPr>
          <w:sz w:val="22"/>
          <w:szCs w:val="22"/>
          <w:vertAlign w:val="superscript"/>
        </w:rPr>
        <w:t>th</w:t>
      </w:r>
      <w:r>
        <w:rPr>
          <w:sz w:val="22"/>
          <w:szCs w:val="22"/>
        </w:rPr>
        <w:t xml:space="preserve"> April 2025 at 12pm (noon). </w:t>
      </w:r>
    </w:p>
    <w:p w14:paraId="7A97361D" w14:textId="77777777" w:rsidR="00A62C23" w:rsidRDefault="00A62C23">
      <w:pPr>
        <w:rPr>
          <w:sz w:val="22"/>
          <w:szCs w:val="22"/>
        </w:rPr>
      </w:pPr>
    </w:p>
    <w:p w14:paraId="3268139C" w14:textId="0FEBD202" w:rsidR="00A62C23" w:rsidRDefault="00A62C23">
      <w:pPr>
        <w:rPr>
          <w:sz w:val="22"/>
          <w:szCs w:val="22"/>
        </w:rPr>
      </w:pPr>
      <w:r>
        <w:rPr>
          <w:sz w:val="22"/>
          <w:szCs w:val="22"/>
        </w:rPr>
        <w:t>CDDFRS are seeking to award the contract no later th</w:t>
      </w:r>
      <w:r w:rsidR="00AD39C8">
        <w:rPr>
          <w:sz w:val="22"/>
          <w:szCs w:val="22"/>
        </w:rPr>
        <w:t>an 21</w:t>
      </w:r>
      <w:r w:rsidR="00AD39C8" w:rsidRPr="00AD39C8">
        <w:rPr>
          <w:sz w:val="22"/>
          <w:szCs w:val="22"/>
          <w:vertAlign w:val="superscript"/>
        </w:rPr>
        <w:t>st</w:t>
      </w:r>
      <w:r w:rsidR="00AD39C8">
        <w:rPr>
          <w:sz w:val="22"/>
          <w:szCs w:val="22"/>
        </w:rPr>
        <w:t xml:space="preserve"> </w:t>
      </w:r>
      <w:r w:rsidR="007A74D1">
        <w:rPr>
          <w:sz w:val="22"/>
          <w:szCs w:val="22"/>
        </w:rPr>
        <w:t xml:space="preserve">April 2025, with a view to the contract starting on </w:t>
      </w:r>
      <w:r w:rsidR="00AD58A0">
        <w:rPr>
          <w:sz w:val="22"/>
          <w:szCs w:val="22"/>
        </w:rPr>
        <w:t>2</w:t>
      </w:r>
      <w:r w:rsidR="00AD58A0" w:rsidRPr="00AD58A0">
        <w:rPr>
          <w:sz w:val="22"/>
          <w:szCs w:val="22"/>
          <w:vertAlign w:val="superscript"/>
        </w:rPr>
        <w:t>nd</w:t>
      </w:r>
      <w:r w:rsidR="00AD58A0">
        <w:rPr>
          <w:sz w:val="22"/>
          <w:szCs w:val="22"/>
        </w:rPr>
        <w:t xml:space="preserve"> May 2025 for an initial period of 2 years, ending on </w:t>
      </w:r>
      <w:r w:rsidR="00A15FF4">
        <w:rPr>
          <w:sz w:val="22"/>
          <w:szCs w:val="22"/>
        </w:rPr>
        <w:t>1</w:t>
      </w:r>
      <w:r w:rsidR="00A15FF4" w:rsidRPr="00A15FF4">
        <w:rPr>
          <w:sz w:val="22"/>
          <w:szCs w:val="22"/>
          <w:vertAlign w:val="superscript"/>
        </w:rPr>
        <w:t>st</w:t>
      </w:r>
      <w:r w:rsidR="00A15FF4">
        <w:rPr>
          <w:sz w:val="22"/>
          <w:szCs w:val="22"/>
        </w:rPr>
        <w:t xml:space="preserve"> May 202</w:t>
      </w:r>
      <w:r w:rsidR="000678E2">
        <w:rPr>
          <w:sz w:val="22"/>
          <w:szCs w:val="22"/>
        </w:rPr>
        <w:t>7</w:t>
      </w:r>
      <w:r w:rsidR="00A15FF4">
        <w:rPr>
          <w:sz w:val="22"/>
          <w:szCs w:val="22"/>
        </w:rPr>
        <w:t xml:space="preserve">. With the option to extend the contract by a further 1 year + 1 year + 1 year, subject to review. </w:t>
      </w:r>
    </w:p>
    <w:p w14:paraId="4A66C0DE" w14:textId="77777777" w:rsidR="007F40E9" w:rsidRDefault="007F40E9">
      <w:pPr>
        <w:rPr>
          <w:sz w:val="22"/>
          <w:szCs w:val="22"/>
        </w:rPr>
      </w:pPr>
    </w:p>
    <w:p w14:paraId="57D5A932" w14:textId="553E0CD1" w:rsidR="007F40E9" w:rsidRDefault="007F40E9">
      <w:pPr>
        <w:rPr>
          <w:sz w:val="22"/>
          <w:szCs w:val="22"/>
        </w:rPr>
      </w:pPr>
      <w:r>
        <w:rPr>
          <w:sz w:val="22"/>
          <w:szCs w:val="22"/>
        </w:rPr>
        <w:t>Annual servicing of each fuel pump installation must be include:</w:t>
      </w:r>
    </w:p>
    <w:p w14:paraId="75E3DE86" w14:textId="77777777" w:rsidR="007F40E9" w:rsidRDefault="007F40E9">
      <w:pPr>
        <w:rPr>
          <w:sz w:val="22"/>
          <w:szCs w:val="22"/>
        </w:rPr>
      </w:pPr>
    </w:p>
    <w:p w14:paraId="1483B804" w14:textId="77777777" w:rsidR="007F40E9" w:rsidRDefault="007F40E9" w:rsidP="007F40E9">
      <w:pPr>
        <w:numPr>
          <w:ilvl w:val="0"/>
          <w:numId w:val="2"/>
        </w:numPr>
        <w:rPr>
          <w:sz w:val="22"/>
          <w:szCs w:val="22"/>
        </w:rPr>
      </w:pPr>
      <w:r w:rsidRPr="007F40E9">
        <w:rPr>
          <w:sz w:val="22"/>
          <w:szCs w:val="22"/>
        </w:rPr>
        <w:t xml:space="preserve">Carrying out annual service of the fuel pumps.   </w:t>
      </w:r>
    </w:p>
    <w:p w14:paraId="0932A83D" w14:textId="77777777" w:rsidR="007F40E9" w:rsidRPr="007F40E9" w:rsidRDefault="007F40E9" w:rsidP="007F40E9">
      <w:pPr>
        <w:ind w:left="720"/>
        <w:rPr>
          <w:sz w:val="22"/>
          <w:szCs w:val="22"/>
        </w:rPr>
      </w:pPr>
    </w:p>
    <w:p w14:paraId="1C372F6C" w14:textId="3CD18F2E" w:rsidR="007F40E9" w:rsidRDefault="007F40E9" w:rsidP="007F40E9">
      <w:pPr>
        <w:numPr>
          <w:ilvl w:val="0"/>
          <w:numId w:val="2"/>
        </w:numPr>
        <w:rPr>
          <w:sz w:val="22"/>
          <w:szCs w:val="22"/>
        </w:rPr>
      </w:pPr>
      <w:r w:rsidRPr="007F40E9">
        <w:rPr>
          <w:sz w:val="22"/>
          <w:szCs w:val="22"/>
        </w:rPr>
        <w:t>Inspect all moving parts of pump, oil and grease and adjust w</w:t>
      </w:r>
      <w:r w:rsidR="002808BA">
        <w:rPr>
          <w:sz w:val="22"/>
          <w:szCs w:val="22"/>
        </w:rPr>
        <w:t>h</w:t>
      </w:r>
      <w:r w:rsidRPr="007F40E9">
        <w:rPr>
          <w:sz w:val="22"/>
          <w:szCs w:val="22"/>
        </w:rPr>
        <w:t xml:space="preserve">ere necessary and according to Manufacturer’s instructions.  </w:t>
      </w:r>
    </w:p>
    <w:p w14:paraId="287B6E7D" w14:textId="77777777" w:rsidR="007F40E9" w:rsidRPr="007F40E9" w:rsidRDefault="007F40E9" w:rsidP="007F40E9">
      <w:pPr>
        <w:rPr>
          <w:sz w:val="22"/>
          <w:szCs w:val="22"/>
        </w:rPr>
      </w:pPr>
    </w:p>
    <w:p w14:paraId="0C22FE08" w14:textId="77777777" w:rsidR="007F40E9" w:rsidRDefault="007F40E9" w:rsidP="007F40E9">
      <w:pPr>
        <w:numPr>
          <w:ilvl w:val="0"/>
          <w:numId w:val="2"/>
        </w:numPr>
        <w:rPr>
          <w:sz w:val="22"/>
          <w:szCs w:val="22"/>
        </w:rPr>
      </w:pPr>
      <w:r w:rsidRPr="007F40E9">
        <w:rPr>
          <w:sz w:val="22"/>
          <w:szCs w:val="22"/>
        </w:rPr>
        <w:t xml:space="preserve">Calibration checks to the meter. </w:t>
      </w:r>
    </w:p>
    <w:p w14:paraId="5E4FA91F" w14:textId="77777777" w:rsidR="007F40E9" w:rsidRPr="007F40E9" w:rsidRDefault="007F40E9" w:rsidP="007F40E9">
      <w:pPr>
        <w:rPr>
          <w:sz w:val="22"/>
          <w:szCs w:val="22"/>
        </w:rPr>
      </w:pPr>
    </w:p>
    <w:p w14:paraId="35782A6F" w14:textId="77777777" w:rsidR="007F40E9" w:rsidRDefault="007F40E9" w:rsidP="007F40E9">
      <w:pPr>
        <w:numPr>
          <w:ilvl w:val="0"/>
          <w:numId w:val="2"/>
        </w:numPr>
        <w:rPr>
          <w:sz w:val="22"/>
          <w:szCs w:val="22"/>
        </w:rPr>
      </w:pPr>
      <w:r w:rsidRPr="007F40E9">
        <w:rPr>
          <w:sz w:val="22"/>
          <w:szCs w:val="22"/>
        </w:rPr>
        <w:t>To check tension on V Belt and replace, if necessary.</w:t>
      </w:r>
    </w:p>
    <w:p w14:paraId="2691253F" w14:textId="77777777" w:rsidR="007F40E9" w:rsidRPr="007F40E9" w:rsidRDefault="007F40E9" w:rsidP="007F40E9">
      <w:pPr>
        <w:rPr>
          <w:sz w:val="22"/>
          <w:szCs w:val="22"/>
        </w:rPr>
      </w:pPr>
    </w:p>
    <w:p w14:paraId="5E00C0A2" w14:textId="77777777" w:rsidR="007F40E9" w:rsidRDefault="007F40E9" w:rsidP="007F40E9">
      <w:pPr>
        <w:numPr>
          <w:ilvl w:val="0"/>
          <w:numId w:val="2"/>
        </w:numPr>
        <w:rPr>
          <w:sz w:val="22"/>
          <w:szCs w:val="22"/>
        </w:rPr>
      </w:pPr>
      <w:r w:rsidRPr="007F40E9">
        <w:rPr>
          <w:sz w:val="22"/>
          <w:szCs w:val="22"/>
        </w:rPr>
        <w:t xml:space="preserve">To generally, inspect installation for soundness and accuracy.  </w:t>
      </w:r>
    </w:p>
    <w:p w14:paraId="52FDB865" w14:textId="77777777" w:rsidR="007F40E9" w:rsidRPr="007F40E9" w:rsidRDefault="007F40E9" w:rsidP="007F40E9">
      <w:pPr>
        <w:rPr>
          <w:sz w:val="22"/>
          <w:szCs w:val="22"/>
        </w:rPr>
      </w:pPr>
    </w:p>
    <w:p w14:paraId="5DEAFEA9" w14:textId="42BD929F" w:rsidR="007F40E9" w:rsidRDefault="007F40E9" w:rsidP="007F40E9">
      <w:pPr>
        <w:numPr>
          <w:ilvl w:val="0"/>
          <w:numId w:val="2"/>
        </w:numPr>
        <w:rPr>
          <w:sz w:val="22"/>
          <w:szCs w:val="22"/>
        </w:rPr>
      </w:pPr>
      <w:r w:rsidRPr="007F40E9">
        <w:rPr>
          <w:sz w:val="22"/>
          <w:szCs w:val="22"/>
        </w:rPr>
        <w:t>Carry out the Statutory Electrical Inspection and provide a test certificate</w:t>
      </w:r>
      <w:r w:rsidR="00B12920">
        <w:rPr>
          <w:sz w:val="22"/>
          <w:szCs w:val="22"/>
        </w:rPr>
        <w:t xml:space="preserve">. </w:t>
      </w:r>
    </w:p>
    <w:p w14:paraId="4B50A967" w14:textId="77777777" w:rsidR="007F40E9" w:rsidRDefault="007F40E9">
      <w:pPr>
        <w:rPr>
          <w:sz w:val="22"/>
          <w:szCs w:val="22"/>
        </w:rPr>
      </w:pPr>
    </w:p>
    <w:p w14:paraId="513A51A4" w14:textId="47A1D351" w:rsidR="00A50C0A" w:rsidRDefault="00A50C0A">
      <w:pPr>
        <w:rPr>
          <w:sz w:val="22"/>
          <w:szCs w:val="22"/>
        </w:rPr>
      </w:pPr>
    </w:p>
    <w:p w14:paraId="4C4F5938" w14:textId="5DA32A5D" w:rsidR="00A50C0A" w:rsidRDefault="00A50C0A">
      <w:pPr>
        <w:rPr>
          <w:sz w:val="22"/>
          <w:szCs w:val="22"/>
        </w:rPr>
      </w:pPr>
      <w:r>
        <w:rPr>
          <w:sz w:val="22"/>
          <w:szCs w:val="22"/>
        </w:rPr>
        <w:t xml:space="preserve">Additionally, as part of this contract CDDFRS will require any adhoc repairs to be carried out, whether these are identified through a failure on site or identified as during the annual service of the installation(s). </w:t>
      </w:r>
      <w:r w:rsidR="00F34B40">
        <w:rPr>
          <w:sz w:val="22"/>
          <w:szCs w:val="22"/>
        </w:rPr>
        <w:t xml:space="preserve">Quotations and prior authorisation should be sought before any adhoc repairs are carried out. </w:t>
      </w:r>
    </w:p>
    <w:p w14:paraId="097B6028" w14:textId="77777777" w:rsidR="00B12920" w:rsidRDefault="00B12920">
      <w:pPr>
        <w:rPr>
          <w:sz w:val="22"/>
          <w:szCs w:val="22"/>
        </w:rPr>
      </w:pPr>
    </w:p>
    <w:p w14:paraId="5C926476" w14:textId="6ADDBCF2" w:rsidR="00B12920" w:rsidRDefault="00B12920">
      <w:pPr>
        <w:rPr>
          <w:sz w:val="22"/>
          <w:szCs w:val="22"/>
        </w:rPr>
      </w:pPr>
      <w:r>
        <w:rPr>
          <w:sz w:val="22"/>
          <w:szCs w:val="22"/>
        </w:rPr>
        <w:t xml:space="preserve">The response time to reported defects should not exceed 24 hours, however, this would ideally be within the same working day as the report being lodged wherever possible. </w:t>
      </w:r>
    </w:p>
    <w:p w14:paraId="2B388B71" w14:textId="77777777" w:rsidR="00B12920" w:rsidRDefault="00B12920">
      <w:pPr>
        <w:rPr>
          <w:sz w:val="22"/>
          <w:szCs w:val="22"/>
        </w:rPr>
      </w:pPr>
    </w:p>
    <w:p w14:paraId="680CBDF0" w14:textId="2F801F67" w:rsidR="00B12920" w:rsidRPr="00B12920" w:rsidRDefault="00B12920">
      <w:pPr>
        <w:rPr>
          <w:b/>
          <w:bCs/>
          <w:sz w:val="22"/>
          <w:szCs w:val="22"/>
          <w:u w:val="single"/>
        </w:rPr>
      </w:pPr>
      <w:r w:rsidRPr="00B12920">
        <w:rPr>
          <w:b/>
          <w:bCs/>
          <w:sz w:val="22"/>
          <w:szCs w:val="22"/>
          <w:u w:val="single"/>
        </w:rPr>
        <w:t>Pricing</w:t>
      </w:r>
    </w:p>
    <w:p w14:paraId="5BF97AEE" w14:textId="77777777" w:rsidR="00B12920" w:rsidRDefault="00B12920">
      <w:pPr>
        <w:rPr>
          <w:sz w:val="22"/>
          <w:szCs w:val="22"/>
        </w:rPr>
      </w:pPr>
    </w:p>
    <w:p w14:paraId="178B4A0A" w14:textId="4BDF98E6" w:rsidR="00F34B40" w:rsidRDefault="00F34B40">
      <w:pPr>
        <w:rPr>
          <w:sz w:val="22"/>
          <w:szCs w:val="22"/>
        </w:rPr>
      </w:pPr>
      <w:r>
        <w:rPr>
          <w:sz w:val="22"/>
          <w:szCs w:val="22"/>
        </w:rPr>
        <w:t xml:space="preserve">Bidders must ensure they include all costs associated with the item. The pricing schedule can be extended to incorporate additional variations or multiple options, however, the general layout must remain the same. </w:t>
      </w:r>
    </w:p>
    <w:p w14:paraId="2BF5A9D7" w14:textId="77777777" w:rsidR="00A50C0A" w:rsidRDefault="00A50C0A">
      <w:pPr>
        <w:rPr>
          <w:sz w:val="22"/>
          <w:szCs w:val="22"/>
        </w:rPr>
      </w:pPr>
    </w:p>
    <w:p w14:paraId="782E03D0" w14:textId="2BB4637E" w:rsidR="00A50C0A" w:rsidRDefault="004A556C">
      <w:pPr>
        <w:rPr>
          <w:sz w:val="22"/>
          <w:szCs w:val="22"/>
        </w:rPr>
      </w:pPr>
      <w:r>
        <w:rPr>
          <w:sz w:val="22"/>
          <w:szCs w:val="22"/>
        </w:rPr>
        <w:t>Please note that ALL costs MUST be account</w:t>
      </w:r>
      <w:r w:rsidR="00B12920">
        <w:rPr>
          <w:sz w:val="22"/>
          <w:szCs w:val="22"/>
        </w:rPr>
        <w:t>ed</w:t>
      </w:r>
      <w:r>
        <w:rPr>
          <w:sz w:val="22"/>
          <w:szCs w:val="22"/>
        </w:rPr>
        <w:t xml:space="preserve"> for within this pricing schedule. Any additional costs applied after the contract have been agreed and signed will nullify the contract. </w:t>
      </w:r>
    </w:p>
    <w:p w14:paraId="7E9F872C" w14:textId="77777777" w:rsidR="004A556C" w:rsidRDefault="004A556C">
      <w:pPr>
        <w:rPr>
          <w:sz w:val="22"/>
          <w:szCs w:val="22"/>
        </w:rPr>
      </w:pPr>
    </w:p>
    <w:tbl>
      <w:tblPr>
        <w:tblStyle w:val="TableGrid"/>
        <w:tblW w:w="0" w:type="auto"/>
        <w:tblLook w:val="04A0" w:firstRow="1" w:lastRow="0" w:firstColumn="1" w:lastColumn="0" w:noHBand="0" w:noVBand="1"/>
      </w:tblPr>
      <w:tblGrid>
        <w:gridCol w:w="4673"/>
        <w:gridCol w:w="4343"/>
      </w:tblGrid>
      <w:tr w:rsidR="00A50C0A" w14:paraId="4F1C1EB2" w14:textId="77777777" w:rsidTr="00A50C0A">
        <w:tc>
          <w:tcPr>
            <w:tcW w:w="4673" w:type="dxa"/>
            <w:shd w:val="clear" w:color="auto" w:fill="A6A6A6" w:themeFill="background1" w:themeFillShade="A6"/>
          </w:tcPr>
          <w:p w14:paraId="3F229AB0" w14:textId="6D42461A" w:rsidR="00A50C0A" w:rsidRPr="00A50C0A" w:rsidRDefault="00A50C0A">
            <w:pPr>
              <w:rPr>
                <w:b/>
                <w:bCs/>
                <w:sz w:val="22"/>
                <w:szCs w:val="22"/>
              </w:rPr>
            </w:pPr>
            <w:r w:rsidRPr="00A50C0A">
              <w:rPr>
                <w:b/>
                <w:bCs/>
                <w:sz w:val="22"/>
                <w:szCs w:val="22"/>
              </w:rPr>
              <w:t>Description of Cost Element</w:t>
            </w:r>
          </w:p>
        </w:tc>
        <w:tc>
          <w:tcPr>
            <w:tcW w:w="4343" w:type="dxa"/>
            <w:shd w:val="clear" w:color="auto" w:fill="A6A6A6" w:themeFill="background1" w:themeFillShade="A6"/>
          </w:tcPr>
          <w:p w14:paraId="2D952E40" w14:textId="37A71521" w:rsidR="00A50C0A" w:rsidRPr="00A50C0A" w:rsidRDefault="00A50C0A">
            <w:pPr>
              <w:rPr>
                <w:b/>
                <w:bCs/>
                <w:sz w:val="22"/>
                <w:szCs w:val="22"/>
              </w:rPr>
            </w:pPr>
            <w:r w:rsidRPr="00A50C0A">
              <w:rPr>
                <w:b/>
                <w:bCs/>
                <w:sz w:val="22"/>
                <w:szCs w:val="22"/>
              </w:rPr>
              <w:t>Cost Applicable</w:t>
            </w:r>
            <w:r>
              <w:rPr>
                <w:b/>
                <w:bCs/>
                <w:sz w:val="22"/>
                <w:szCs w:val="22"/>
              </w:rPr>
              <w:t xml:space="preserve"> (exc VAT) </w:t>
            </w:r>
          </w:p>
        </w:tc>
      </w:tr>
      <w:tr w:rsidR="00A50C0A" w14:paraId="3AD5E057" w14:textId="77777777" w:rsidTr="00A50C0A">
        <w:tc>
          <w:tcPr>
            <w:tcW w:w="4673" w:type="dxa"/>
          </w:tcPr>
          <w:p w14:paraId="04D27D84" w14:textId="1CFCA0BE" w:rsidR="00A50C0A" w:rsidRDefault="00A50C0A">
            <w:pPr>
              <w:rPr>
                <w:sz w:val="22"/>
                <w:szCs w:val="22"/>
              </w:rPr>
            </w:pPr>
            <w:r>
              <w:rPr>
                <w:sz w:val="22"/>
                <w:szCs w:val="22"/>
              </w:rPr>
              <w:t>Total Annual Service at Each Site (exc. VAT)</w:t>
            </w:r>
          </w:p>
        </w:tc>
        <w:tc>
          <w:tcPr>
            <w:tcW w:w="4343" w:type="dxa"/>
          </w:tcPr>
          <w:p w14:paraId="1A25E52E" w14:textId="77777777" w:rsidR="00A50C0A" w:rsidRDefault="00A50C0A">
            <w:pPr>
              <w:rPr>
                <w:sz w:val="22"/>
                <w:szCs w:val="22"/>
              </w:rPr>
            </w:pPr>
          </w:p>
        </w:tc>
      </w:tr>
      <w:tr w:rsidR="00A50C0A" w14:paraId="0F347832" w14:textId="77777777" w:rsidTr="00A50C0A">
        <w:tc>
          <w:tcPr>
            <w:tcW w:w="4673" w:type="dxa"/>
          </w:tcPr>
          <w:p w14:paraId="3A0C4026" w14:textId="22AF5B90" w:rsidR="00A50C0A" w:rsidRDefault="00A50C0A">
            <w:pPr>
              <w:rPr>
                <w:sz w:val="22"/>
                <w:szCs w:val="22"/>
              </w:rPr>
            </w:pPr>
            <w:r>
              <w:rPr>
                <w:sz w:val="22"/>
                <w:szCs w:val="22"/>
              </w:rPr>
              <w:t>Travel Cost per Unplanned Repair (exc. VAT)</w:t>
            </w:r>
          </w:p>
        </w:tc>
        <w:tc>
          <w:tcPr>
            <w:tcW w:w="4343" w:type="dxa"/>
          </w:tcPr>
          <w:p w14:paraId="0305C3C8" w14:textId="77777777" w:rsidR="00A50C0A" w:rsidRDefault="00A50C0A">
            <w:pPr>
              <w:rPr>
                <w:sz w:val="22"/>
                <w:szCs w:val="22"/>
              </w:rPr>
            </w:pPr>
          </w:p>
        </w:tc>
      </w:tr>
      <w:tr w:rsidR="00A50C0A" w14:paraId="0E2B6E92" w14:textId="77777777" w:rsidTr="00A50C0A">
        <w:tc>
          <w:tcPr>
            <w:tcW w:w="4673" w:type="dxa"/>
          </w:tcPr>
          <w:p w14:paraId="7E5343F7" w14:textId="3C58622E" w:rsidR="00A50C0A" w:rsidRDefault="00A50C0A">
            <w:pPr>
              <w:rPr>
                <w:sz w:val="22"/>
                <w:szCs w:val="22"/>
              </w:rPr>
            </w:pPr>
            <w:r>
              <w:rPr>
                <w:sz w:val="22"/>
                <w:szCs w:val="22"/>
              </w:rPr>
              <w:t>Hourly Labour Charge per Hour for Unplanned Repairs (exc. VAT)</w:t>
            </w:r>
          </w:p>
        </w:tc>
        <w:tc>
          <w:tcPr>
            <w:tcW w:w="4343" w:type="dxa"/>
          </w:tcPr>
          <w:p w14:paraId="5B635E74" w14:textId="77777777" w:rsidR="00A50C0A" w:rsidRDefault="00A50C0A">
            <w:pPr>
              <w:rPr>
                <w:sz w:val="22"/>
                <w:szCs w:val="22"/>
              </w:rPr>
            </w:pPr>
          </w:p>
        </w:tc>
      </w:tr>
      <w:tr w:rsidR="00A50C0A" w14:paraId="42AB4485" w14:textId="77777777" w:rsidTr="00A50C0A">
        <w:tc>
          <w:tcPr>
            <w:tcW w:w="4673" w:type="dxa"/>
            <w:shd w:val="clear" w:color="auto" w:fill="A6A6A6" w:themeFill="background1" w:themeFillShade="A6"/>
          </w:tcPr>
          <w:p w14:paraId="730B7089" w14:textId="2807770D" w:rsidR="00A50C0A" w:rsidRPr="00A50C0A" w:rsidRDefault="00A50C0A">
            <w:pPr>
              <w:rPr>
                <w:b/>
                <w:bCs/>
                <w:sz w:val="22"/>
                <w:szCs w:val="22"/>
              </w:rPr>
            </w:pPr>
            <w:r w:rsidRPr="00A50C0A">
              <w:rPr>
                <w:b/>
                <w:bCs/>
                <w:sz w:val="22"/>
                <w:szCs w:val="22"/>
              </w:rPr>
              <w:t>Additional Costs</w:t>
            </w:r>
          </w:p>
        </w:tc>
        <w:tc>
          <w:tcPr>
            <w:tcW w:w="4343" w:type="dxa"/>
            <w:shd w:val="clear" w:color="auto" w:fill="A6A6A6" w:themeFill="background1" w:themeFillShade="A6"/>
          </w:tcPr>
          <w:p w14:paraId="18E92132" w14:textId="77777777" w:rsidR="00A50C0A" w:rsidRPr="00A50C0A" w:rsidRDefault="00A50C0A">
            <w:pPr>
              <w:rPr>
                <w:b/>
                <w:bCs/>
                <w:sz w:val="22"/>
                <w:szCs w:val="22"/>
              </w:rPr>
            </w:pPr>
          </w:p>
        </w:tc>
      </w:tr>
      <w:tr w:rsidR="00A50C0A" w14:paraId="3832E384" w14:textId="77777777" w:rsidTr="00A50C0A">
        <w:tc>
          <w:tcPr>
            <w:tcW w:w="4673" w:type="dxa"/>
          </w:tcPr>
          <w:p w14:paraId="442CC003" w14:textId="77777777" w:rsidR="00A50C0A" w:rsidRDefault="00A50C0A">
            <w:pPr>
              <w:rPr>
                <w:sz w:val="22"/>
                <w:szCs w:val="22"/>
              </w:rPr>
            </w:pPr>
          </w:p>
        </w:tc>
        <w:tc>
          <w:tcPr>
            <w:tcW w:w="4343" w:type="dxa"/>
          </w:tcPr>
          <w:p w14:paraId="03CF0657" w14:textId="77777777" w:rsidR="00A50C0A" w:rsidRDefault="00A50C0A">
            <w:pPr>
              <w:rPr>
                <w:sz w:val="22"/>
                <w:szCs w:val="22"/>
              </w:rPr>
            </w:pPr>
          </w:p>
        </w:tc>
      </w:tr>
      <w:tr w:rsidR="00A50C0A" w14:paraId="28079688" w14:textId="77777777" w:rsidTr="00A50C0A">
        <w:tc>
          <w:tcPr>
            <w:tcW w:w="4673" w:type="dxa"/>
          </w:tcPr>
          <w:p w14:paraId="134F035E" w14:textId="77777777" w:rsidR="00A50C0A" w:rsidRDefault="00A50C0A">
            <w:pPr>
              <w:rPr>
                <w:sz w:val="22"/>
                <w:szCs w:val="22"/>
              </w:rPr>
            </w:pPr>
          </w:p>
        </w:tc>
        <w:tc>
          <w:tcPr>
            <w:tcW w:w="4343" w:type="dxa"/>
          </w:tcPr>
          <w:p w14:paraId="5940DA67" w14:textId="77777777" w:rsidR="00A50C0A" w:rsidRDefault="00A50C0A">
            <w:pPr>
              <w:rPr>
                <w:sz w:val="22"/>
                <w:szCs w:val="22"/>
              </w:rPr>
            </w:pPr>
          </w:p>
        </w:tc>
      </w:tr>
      <w:tr w:rsidR="009A4524" w14:paraId="28733A7F" w14:textId="77777777" w:rsidTr="00A50C0A">
        <w:tc>
          <w:tcPr>
            <w:tcW w:w="4673" w:type="dxa"/>
          </w:tcPr>
          <w:p w14:paraId="1BD14D70" w14:textId="77777777" w:rsidR="009A4524" w:rsidRDefault="009A4524">
            <w:pPr>
              <w:rPr>
                <w:sz w:val="22"/>
                <w:szCs w:val="22"/>
              </w:rPr>
            </w:pPr>
          </w:p>
        </w:tc>
        <w:tc>
          <w:tcPr>
            <w:tcW w:w="4343" w:type="dxa"/>
          </w:tcPr>
          <w:p w14:paraId="479489B2" w14:textId="77777777" w:rsidR="009A4524" w:rsidRDefault="009A4524">
            <w:pPr>
              <w:rPr>
                <w:sz w:val="22"/>
                <w:szCs w:val="22"/>
              </w:rPr>
            </w:pPr>
          </w:p>
        </w:tc>
      </w:tr>
      <w:tr w:rsidR="009A4524" w14:paraId="0E125F18" w14:textId="77777777" w:rsidTr="00A50C0A">
        <w:tc>
          <w:tcPr>
            <w:tcW w:w="4673" w:type="dxa"/>
          </w:tcPr>
          <w:p w14:paraId="6797E2E4" w14:textId="77777777" w:rsidR="009A4524" w:rsidRDefault="009A4524">
            <w:pPr>
              <w:rPr>
                <w:sz w:val="22"/>
                <w:szCs w:val="22"/>
              </w:rPr>
            </w:pPr>
          </w:p>
        </w:tc>
        <w:tc>
          <w:tcPr>
            <w:tcW w:w="4343" w:type="dxa"/>
          </w:tcPr>
          <w:p w14:paraId="48E82CFA" w14:textId="77777777" w:rsidR="009A4524" w:rsidRDefault="009A4524">
            <w:pPr>
              <w:rPr>
                <w:sz w:val="22"/>
                <w:szCs w:val="22"/>
              </w:rPr>
            </w:pPr>
          </w:p>
        </w:tc>
      </w:tr>
      <w:tr w:rsidR="009A4524" w14:paraId="5901BE56" w14:textId="77777777" w:rsidTr="00A50C0A">
        <w:tc>
          <w:tcPr>
            <w:tcW w:w="4673" w:type="dxa"/>
          </w:tcPr>
          <w:p w14:paraId="2F0CD4DC" w14:textId="77777777" w:rsidR="009A4524" w:rsidRDefault="009A4524">
            <w:pPr>
              <w:rPr>
                <w:sz w:val="22"/>
                <w:szCs w:val="22"/>
              </w:rPr>
            </w:pPr>
          </w:p>
        </w:tc>
        <w:tc>
          <w:tcPr>
            <w:tcW w:w="4343" w:type="dxa"/>
          </w:tcPr>
          <w:p w14:paraId="1A4EB851" w14:textId="77777777" w:rsidR="009A4524" w:rsidRDefault="009A4524">
            <w:pPr>
              <w:rPr>
                <w:sz w:val="22"/>
                <w:szCs w:val="22"/>
              </w:rPr>
            </w:pPr>
          </w:p>
        </w:tc>
      </w:tr>
      <w:tr w:rsidR="009A4524" w14:paraId="07A7A7E3" w14:textId="77777777" w:rsidTr="00A50C0A">
        <w:tc>
          <w:tcPr>
            <w:tcW w:w="4673" w:type="dxa"/>
          </w:tcPr>
          <w:p w14:paraId="32EFCAF3" w14:textId="77777777" w:rsidR="009A4524" w:rsidRDefault="009A4524">
            <w:pPr>
              <w:rPr>
                <w:sz w:val="22"/>
                <w:szCs w:val="22"/>
              </w:rPr>
            </w:pPr>
          </w:p>
        </w:tc>
        <w:tc>
          <w:tcPr>
            <w:tcW w:w="4343" w:type="dxa"/>
          </w:tcPr>
          <w:p w14:paraId="3449A0B9" w14:textId="77777777" w:rsidR="009A4524" w:rsidRDefault="009A4524">
            <w:pPr>
              <w:rPr>
                <w:sz w:val="22"/>
                <w:szCs w:val="22"/>
              </w:rPr>
            </w:pPr>
          </w:p>
        </w:tc>
      </w:tr>
      <w:tr w:rsidR="009A4524" w14:paraId="37CE6CA0" w14:textId="77777777" w:rsidTr="00A50C0A">
        <w:tc>
          <w:tcPr>
            <w:tcW w:w="4673" w:type="dxa"/>
          </w:tcPr>
          <w:p w14:paraId="45E0584D" w14:textId="77777777" w:rsidR="009A4524" w:rsidRDefault="009A4524">
            <w:pPr>
              <w:rPr>
                <w:sz w:val="22"/>
                <w:szCs w:val="22"/>
              </w:rPr>
            </w:pPr>
          </w:p>
        </w:tc>
        <w:tc>
          <w:tcPr>
            <w:tcW w:w="4343" w:type="dxa"/>
          </w:tcPr>
          <w:p w14:paraId="4AA85B96" w14:textId="77777777" w:rsidR="009A4524" w:rsidRDefault="009A4524">
            <w:pPr>
              <w:rPr>
                <w:sz w:val="22"/>
                <w:szCs w:val="22"/>
              </w:rPr>
            </w:pPr>
          </w:p>
        </w:tc>
      </w:tr>
      <w:tr w:rsidR="009A4524" w14:paraId="1ED56D68" w14:textId="77777777" w:rsidTr="00A50C0A">
        <w:tc>
          <w:tcPr>
            <w:tcW w:w="4673" w:type="dxa"/>
          </w:tcPr>
          <w:p w14:paraId="0529F585" w14:textId="77777777" w:rsidR="009A4524" w:rsidRDefault="009A4524">
            <w:pPr>
              <w:rPr>
                <w:sz w:val="22"/>
                <w:szCs w:val="22"/>
              </w:rPr>
            </w:pPr>
          </w:p>
        </w:tc>
        <w:tc>
          <w:tcPr>
            <w:tcW w:w="4343" w:type="dxa"/>
          </w:tcPr>
          <w:p w14:paraId="35BC960E" w14:textId="77777777" w:rsidR="009A4524" w:rsidRDefault="009A4524">
            <w:pPr>
              <w:rPr>
                <w:sz w:val="22"/>
                <w:szCs w:val="22"/>
              </w:rPr>
            </w:pPr>
          </w:p>
        </w:tc>
      </w:tr>
    </w:tbl>
    <w:p w14:paraId="21EE2869" w14:textId="77777777" w:rsidR="00A50C0A" w:rsidRDefault="00A50C0A">
      <w:pPr>
        <w:rPr>
          <w:sz w:val="22"/>
          <w:szCs w:val="22"/>
        </w:rPr>
      </w:pPr>
    </w:p>
    <w:p w14:paraId="78F1230A" w14:textId="77777777" w:rsidR="00A50C0A" w:rsidRPr="007F40E9" w:rsidRDefault="00A50C0A">
      <w:pPr>
        <w:rPr>
          <w:sz w:val="22"/>
          <w:szCs w:val="22"/>
        </w:rPr>
      </w:pPr>
    </w:p>
    <w:sectPr w:rsidR="00A50C0A" w:rsidRPr="007F4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11669"/>
    <w:multiLevelType w:val="hybridMultilevel"/>
    <w:tmpl w:val="64767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E8A7E84"/>
    <w:multiLevelType w:val="hybridMultilevel"/>
    <w:tmpl w:val="99C6C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96706586">
    <w:abstractNumId w:val="1"/>
  </w:num>
  <w:num w:numId="2" w16cid:durableId="184740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E9"/>
    <w:rsid w:val="000678E2"/>
    <w:rsid w:val="000F5293"/>
    <w:rsid w:val="001525D4"/>
    <w:rsid w:val="0022102D"/>
    <w:rsid w:val="002479BE"/>
    <w:rsid w:val="002808BA"/>
    <w:rsid w:val="00294AAB"/>
    <w:rsid w:val="00356508"/>
    <w:rsid w:val="003B5794"/>
    <w:rsid w:val="004A556C"/>
    <w:rsid w:val="004D4BBE"/>
    <w:rsid w:val="005C0C0A"/>
    <w:rsid w:val="005F2E8E"/>
    <w:rsid w:val="00614C23"/>
    <w:rsid w:val="006B0299"/>
    <w:rsid w:val="007A74D1"/>
    <w:rsid w:val="007F40E9"/>
    <w:rsid w:val="008378EF"/>
    <w:rsid w:val="00920B5C"/>
    <w:rsid w:val="009A4524"/>
    <w:rsid w:val="009C6D13"/>
    <w:rsid w:val="009F3E07"/>
    <w:rsid w:val="00A15FF4"/>
    <w:rsid w:val="00A50C0A"/>
    <w:rsid w:val="00A62C23"/>
    <w:rsid w:val="00AC3780"/>
    <w:rsid w:val="00AD39C8"/>
    <w:rsid w:val="00AD58A0"/>
    <w:rsid w:val="00AF7A14"/>
    <w:rsid w:val="00B12920"/>
    <w:rsid w:val="00C42BA0"/>
    <w:rsid w:val="00E23B88"/>
    <w:rsid w:val="00E260AD"/>
    <w:rsid w:val="00EE3723"/>
    <w:rsid w:val="00F34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5719"/>
  <w15:chartTrackingRefBased/>
  <w15:docId w15:val="{64C22422-83E8-4511-A5C2-70205D1B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0E9"/>
    <w:pPr>
      <w:spacing w:after="0" w:line="240" w:lineRule="auto"/>
    </w:pPr>
    <w:rPr>
      <w:rFonts w:ascii="Arial" w:eastAsia="Times New Roman" w:hAnsi="Arial" w:cs="Times New Roman"/>
      <w:kern w:val="0"/>
      <w:sz w:val="24"/>
      <w:szCs w:val="20"/>
      <w:lang w:eastAsia="en-GB"/>
      <w14:ligatures w14:val="none"/>
    </w:rPr>
  </w:style>
  <w:style w:type="paragraph" w:styleId="Heading1">
    <w:name w:val="heading 1"/>
    <w:basedOn w:val="Normal"/>
    <w:next w:val="Normal"/>
    <w:link w:val="Heading1Char"/>
    <w:uiPriority w:val="9"/>
    <w:qFormat/>
    <w:rsid w:val="00EE3723"/>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3723"/>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E3723"/>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7F40E9"/>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F40E9"/>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F40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40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40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40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723"/>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3723"/>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semiHidden/>
    <w:rsid w:val="00EE3723"/>
    <w:rPr>
      <w:rFonts w:ascii="Arial" w:eastAsiaTheme="majorEastAsia" w:hAnsi="Arial" w:cstheme="majorBidi"/>
      <w:b/>
      <w:bCs/>
      <w:color w:val="4F81BD" w:themeColor="accent1"/>
    </w:rPr>
  </w:style>
  <w:style w:type="paragraph" w:styleId="Title">
    <w:name w:val="Title"/>
    <w:basedOn w:val="Normal"/>
    <w:next w:val="Normal"/>
    <w:link w:val="TitleChar"/>
    <w:uiPriority w:val="10"/>
    <w:qFormat/>
    <w:rsid w:val="00EE3723"/>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3723"/>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E3723"/>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EE3723"/>
    <w:rPr>
      <w:rFonts w:ascii="Arial" w:eastAsiaTheme="majorEastAsia" w:hAnsi="Arial" w:cstheme="majorBidi"/>
      <w:i/>
      <w:iCs/>
      <w:color w:val="4F81BD" w:themeColor="accent1"/>
      <w:spacing w:val="15"/>
      <w:sz w:val="24"/>
      <w:szCs w:val="24"/>
    </w:rPr>
  </w:style>
  <w:style w:type="character" w:customStyle="1" w:styleId="Heading4Char">
    <w:name w:val="Heading 4 Char"/>
    <w:basedOn w:val="DefaultParagraphFont"/>
    <w:link w:val="Heading4"/>
    <w:uiPriority w:val="9"/>
    <w:semiHidden/>
    <w:rsid w:val="007F40E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F40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F4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0E9"/>
    <w:rPr>
      <w:rFonts w:eastAsiaTheme="majorEastAsia" w:cstheme="majorBidi"/>
      <w:color w:val="272727" w:themeColor="text1" w:themeTint="D8"/>
    </w:rPr>
  </w:style>
  <w:style w:type="paragraph" w:styleId="Quote">
    <w:name w:val="Quote"/>
    <w:basedOn w:val="Normal"/>
    <w:next w:val="Normal"/>
    <w:link w:val="QuoteChar"/>
    <w:uiPriority w:val="29"/>
    <w:qFormat/>
    <w:rsid w:val="007F40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0E9"/>
    <w:rPr>
      <w:rFonts w:ascii="Arial" w:hAnsi="Arial"/>
      <w:i/>
      <w:iCs/>
      <w:color w:val="404040" w:themeColor="text1" w:themeTint="BF"/>
    </w:rPr>
  </w:style>
  <w:style w:type="paragraph" w:styleId="ListParagraph">
    <w:name w:val="List Paragraph"/>
    <w:basedOn w:val="Normal"/>
    <w:uiPriority w:val="34"/>
    <w:qFormat/>
    <w:rsid w:val="007F40E9"/>
    <w:pPr>
      <w:ind w:left="720"/>
      <w:contextualSpacing/>
    </w:pPr>
  </w:style>
  <w:style w:type="character" w:styleId="IntenseEmphasis">
    <w:name w:val="Intense Emphasis"/>
    <w:basedOn w:val="DefaultParagraphFont"/>
    <w:uiPriority w:val="21"/>
    <w:qFormat/>
    <w:rsid w:val="007F40E9"/>
    <w:rPr>
      <w:i/>
      <w:iCs/>
      <w:color w:val="365F91" w:themeColor="accent1" w:themeShade="BF"/>
    </w:rPr>
  </w:style>
  <w:style w:type="paragraph" w:styleId="IntenseQuote">
    <w:name w:val="Intense Quote"/>
    <w:basedOn w:val="Normal"/>
    <w:next w:val="Normal"/>
    <w:link w:val="IntenseQuoteChar"/>
    <w:uiPriority w:val="30"/>
    <w:qFormat/>
    <w:rsid w:val="007F40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F40E9"/>
    <w:rPr>
      <w:rFonts w:ascii="Arial" w:hAnsi="Arial"/>
      <w:i/>
      <w:iCs/>
      <w:color w:val="365F91" w:themeColor="accent1" w:themeShade="BF"/>
    </w:rPr>
  </w:style>
  <w:style w:type="character" w:styleId="IntenseReference">
    <w:name w:val="Intense Reference"/>
    <w:basedOn w:val="DefaultParagraphFont"/>
    <w:uiPriority w:val="32"/>
    <w:qFormat/>
    <w:rsid w:val="007F40E9"/>
    <w:rPr>
      <w:b/>
      <w:bCs/>
      <w:smallCaps/>
      <w:color w:val="365F91" w:themeColor="accent1" w:themeShade="BF"/>
      <w:spacing w:val="5"/>
    </w:rPr>
  </w:style>
  <w:style w:type="table" w:styleId="TableGrid">
    <w:name w:val="Table Grid"/>
    <w:basedOn w:val="TableNormal"/>
    <w:uiPriority w:val="59"/>
    <w:rsid w:val="007F4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0C0A"/>
    <w:rPr>
      <w:sz w:val="16"/>
      <w:szCs w:val="16"/>
    </w:rPr>
  </w:style>
  <w:style w:type="paragraph" w:styleId="CommentText">
    <w:name w:val="annotation text"/>
    <w:basedOn w:val="Normal"/>
    <w:link w:val="CommentTextChar"/>
    <w:uiPriority w:val="99"/>
    <w:unhideWhenUsed/>
    <w:rsid w:val="00A50C0A"/>
    <w:rPr>
      <w:sz w:val="20"/>
    </w:rPr>
  </w:style>
  <w:style w:type="character" w:customStyle="1" w:styleId="CommentTextChar">
    <w:name w:val="Comment Text Char"/>
    <w:basedOn w:val="DefaultParagraphFont"/>
    <w:link w:val="CommentText"/>
    <w:uiPriority w:val="99"/>
    <w:rsid w:val="00A50C0A"/>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50C0A"/>
    <w:rPr>
      <w:b/>
      <w:bCs/>
    </w:rPr>
  </w:style>
  <w:style w:type="character" w:customStyle="1" w:styleId="CommentSubjectChar">
    <w:name w:val="Comment Subject Char"/>
    <w:basedOn w:val="CommentTextChar"/>
    <w:link w:val="CommentSubject"/>
    <w:uiPriority w:val="99"/>
    <w:semiHidden/>
    <w:rsid w:val="00A50C0A"/>
    <w:rPr>
      <w:rFonts w:ascii="Arial" w:eastAsia="Times New Roman" w:hAnsi="Arial" w:cs="Times New Roman"/>
      <w:b/>
      <w:bCs/>
      <w:kern w:val="0"/>
      <w:sz w:val="20"/>
      <w:szCs w:val="20"/>
      <w:lang w:eastAsia="en-GB"/>
      <w14:ligatures w14:val="none"/>
    </w:rPr>
  </w:style>
  <w:style w:type="character" w:styleId="Mention">
    <w:name w:val="Mention"/>
    <w:basedOn w:val="DefaultParagraphFont"/>
    <w:uiPriority w:val="99"/>
    <w:unhideWhenUsed/>
    <w:rsid w:val="002479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417">
      <w:bodyDiv w:val="1"/>
      <w:marLeft w:val="0"/>
      <w:marRight w:val="0"/>
      <w:marTop w:val="0"/>
      <w:marBottom w:val="0"/>
      <w:divBdr>
        <w:top w:val="none" w:sz="0" w:space="0" w:color="auto"/>
        <w:left w:val="none" w:sz="0" w:space="0" w:color="auto"/>
        <w:bottom w:val="none" w:sz="0" w:space="0" w:color="auto"/>
        <w:right w:val="none" w:sz="0" w:space="0" w:color="auto"/>
      </w:divBdr>
    </w:div>
    <w:div w:id="13785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A1ADE1A758A4AB50F08B74568DC8A" ma:contentTypeVersion="20" ma:contentTypeDescription="Create a new document." ma:contentTypeScope="" ma:versionID="ccec138b9f3fb858630c3a11f1b18e8e">
  <xsd:schema xmlns:xsd="http://www.w3.org/2001/XMLSchema" xmlns:xs="http://www.w3.org/2001/XMLSchema" xmlns:p="http://schemas.microsoft.com/office/2006/metadata/properties" xmlns:ns2="2d52a8f6-c8fb-4248-b258-ac9dd3c1f5d5" xmlns:ns3="67def59d-5655-4241-a472-b744aec5f71d" targetNamespace="http://schemas.microsoft.com/office/2006/metadata/properties" ma:root="true" ma:fieldsID="4ad4da2f7ab85b77fda54ac4745569bb" ns2:_="" ns3:_="">
    <xsd:import namespace="2d52a8f6-c8fb-4248-b258-ac9dd3c1f5d5"/>
    <xsd:import namespace="67def59d-5655-4241-a472-b744aec5f7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2a8f6-c8fb-4248-b258-ac9dd3c1f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e456f7-b45f-4c43-9894-fc8b4b7a0e3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ef59d-5655-4241-a472-b744aec5f7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68bee4-b1eb-4185-bd96-915f4c57495c}" ma:internalName="TaxCatchAll" ma:showField="CatchAllData" ma:web="67def59d-5655-4241-a472-b744aec5f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def59d-5655-4241-a472-b744aec5f71d" xsi:nil="true"/>
    <lcf76f155ced4ddcb4097134ff3c332f xmlns="2d52a8f6-c8fb-4248-b258-ac9dd3c1f5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196A2-E653-4CE0-9495-D2484AF0A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2a8f6-c8fb-4248-b258-ac9dd3c1f5d5"/>
    <ds:schemaRef ds:uri="67def59d-5655-4241-a472-b744aec5f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9455A-FE56-447B-8A97-354B3114311B}">
  <ds:schemaRefs>
    <ds:schemaRef ds:uri="http://schemas.microsoft.com/office/2006/metadata/properties"/>
    <ds:schemaRef ds:uri="http://schemas.microsoft.com/office/infopath/2007/PartnerControls"/>
    <ds:schemaRef ds:uri="67def59d-5655-4241-a472-b744aec5f71d"/>
    <ds:schemaRef ds:uri="2d52a8f6-c8fb-4248-b258-ac9dd3c1f5d5"/>
  </ds:schemaRefs>
</ds:datastoreItem>
</file>

<file path=customXml/itemProps3.xml><?xml version="1.0" encoding="utf-8"?>
<ds:datastoreItem xmlns:ds="http://schemas.openxmlformats.org/officeDocument/2006/customXml" ds:itemID="{06804922-193D-45E5-9381-8F6F1068610F}">
  <ds:schemaRefs>
    <ds:schemaRef ds:uri="http://schemas.microsoft.com/sharepoint/v3/contenttype/forms"/>
  </ds:schemaRefs>
</ds:datastoreItem>
</file>

<file path=docMetadata/LabelInfo.xml><?xml version="1.0" encoding="utf-8"?>
<clbl:labelList xmlns:clbl="http://schemas.microsoft.com/office/2020/mipLabelMetadata">
  <clbl:label id="{65ef9ebb-102e-4454-babf-80adb7f1b2fd}" enabled="1" method="Privileged" siteId="{1441d9f6-0ea0-4c53-9e04-b6a546923354}"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CDDFRS</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Burnip</dc:creator>
  <cp:keywords/>
  <dc:description/>
  <cp:lastModifiedBy>Ashleigh Burnip</cp:lastModifiedBy>
  <cp:revision>3</cp:revision>
  <dcterms:created xsi:type="dcterms:W3CDTF">2025-02-21T11:08:00Z</dcterms:created>
  <dcterms:modified xsi:type="dcterms:W3CDTF">2025-02-21T11:09:00Z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0x010100C12A1ADE1A758A4AB50F08B74568DC8A</vt:lpwstr>
  </property>
  <property fmtid="{D5CDD505-2E9C-101B-9397-08002B2CF9AE}" pid="3" name="MediaServiceImageTags">
    <vt:lpwstr/>
  </property>
</Properties>
</file>