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971BA8">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8B216C" w:rsidRPr="008B216C">
              <w:rPr>
                <w:rFonts w:asciiTheme="minorHAnsi" w:hAnsiTheme="minorHAnsi" w:cstheme="minorHAnsi"/>
                <w:b/>
                <w:iCs/>
                <w:color w:val="FFFFFF" w:themeColor="background1"/>
                <w:sz w:val="24"/>
              </w:rPr>
              <w:t>Guidance on the Assessment of Elastomeric Seals (and other forms of seals) for use in Radioactive Materials Transport Packages and other Nuclear Safety applications</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2C62C2" w:rsidRDefault="008B216C" w:rsidP="00A47C97">
            <w:pPr>
              <w:pStyle w:val="TSNumberedParagraph11"/>
              <w:tabs>
                <w:tab w:val="left" w:pos="0"/>
              </w:tabs>
              <w:overflowPunct w:val="0"/>
              <w:autoSpaceDE w:val="0"/>
              <w:autoSpaceDN w:val="0"/>
              <w:adjustRightInd w:val="0"/>
              <w:ind w:left="0" w:firstLine="0"/>
              <w:jc w:val="both"/>
              <w:textAlignment w:val="baseline"/>
              <w:rPr>
                <w:rFonts w:asciiTheme="minorHAnsi" w:hAnsiTheme="minorHAnsi" w:cstheme="minorHAnsi"/>
              </w:rPr>
            </w:pPr>
            <w:r>
              <w:rPr>
                <w:rFonts w:asciiTheme="minorHAnsi" w:hAnsiTheme="minorHAnsi" w:cstheme="minorHAnsi"/>
              </w:rPr>
              <w:t>Elastomeric seals are the favoured method of providing containment within Radioactive Material Transport packages.  Packages used in the public domain are required to meet stringent levels of containment as defined by the IAEA Transport Regulations.  These levels are defined for routine, normal and accident conditions.  Packages used on nuclear sites should satisfy containment thresholds that are ALARP.</w:t>
            </w:r>
          </w:p>
          <w:p w:rsidR="008B216C" w:rsidRDefault="008B216C" w:rsidP="008B216C">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Elastomeric seals and other forms of sealing may be used to provide containment in other safety mechanisms and devices in the nuclear industry.</w:t>
            </w:r>
          </w:p>
          <w:p w:rsidR="008B216C" w:rsidRPr="002C62C2" w:rsidRDefault="009A2285" w:rsidP="008B216C">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Existing guidance used by ONR assessors </w:t>
            </w:r>
            <w:r w:rsidR="002626E7">
              <w:rPr>
                <w:rFonts w:asciiTheme="minorHAnsi" w:hAnsiTheme="minorHAnsi" w:cstheme="minorHAnsi"/>
              </w:rPr>
              <w:t>is very dated and has not been reviewed or revised for 15 years.  The existing guidance is also of limited scope.</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bookmarkStart w:id="0" w:name="_GoBack"/>
            <w:bookmarkEnd w:id="0"/>
          </w:p>
          <w:p w:rsidR="002626E7" w:rsidRPr="002626E7" w:rsidRDefault="002626E7" w:rsidP="002626E7">
            <w:pPr>
              <w:pStyle w:val="TSNumberedParagraph11"/>
              <w:tabs>
                <w:tab w:val="left" w:pos="0"/>
              </w:tabs>
              <w:ind w:left="0" w:firstLine="0"/>
              <w:jc w:val="both"/>
              <w:rPr>
                <w:rFonts w:asciiTheme="minorHAnsi" w:hAnsiTheme="minorHAnsi" w:cstheme="minorHAnsi"/>
              </w:rPr>
            </w:pPr>
            <w:r w:rsidRPr="002626E7">
              <w:rPr>
                <w:rFonts w:asciiTheme="minorHAnsi" w:hAnsiTheme="minorHAnsi" w:cstheme="minorHAnsi"/>
              </w:rPr>
              <w:t>The scope of this work is to:</w:t>
            </w:r>
          </w:p>
          <w:p w:rsidR="002626E7" w:rsidRPr="002626E7" w:rsidRDefault="002626E7" w:rsidP="002626E7">
            <w:pPr>
              <w:pStyle w:val="TSNumberedParagraph11"/>
              <w:numPr>
                <w:ilvl w:val="1"/>
                <w:numId w:val="33"/>
              </w:numPr>
              <w:tabs>
                <w:tab w:val="clear" w:pos="-31680"/>
                <w:tab w:val="left" w:pos="0"/>
              </w:tabs>
              <w:jc w:val="both"/>
              <w:rPr>
                <w:rFonts w:asciiTheme="minorHAnsi" w:hAnsiTheme="minorHAnsi" w:cstheme="minorHAnsi"/>
              </w:rPr>
            </w:pPr>
            <w:r w:rsidRPr="002626E7">
              <w:rPr>
                <w:rFonts w:asciiTheme="minorHAnsi" w:hAnsiTheme="minorHAnsi" w:cstheme="minorHAnsi"/>
              </w:rPr>
              <w:t xml:space="preserve">Undertake a review of current sealing practices and guidance deployed by SLCs and also Radioactive Material Transport organisations.   </w:t>
            </w:r>
          </w:p>
          <w:p w:rsidR="002626E7" w:rsidRPr="002626E7" w:rsidRDefault="002626E7" w:rsidP="002626E7">
            <w:pPr>
              <w:pStyle w:val="TSNumberedParagraph11"/>
              <w:numPr>
                <w:ilvl w:val="1"/>
                <w:numId w:val="33"/>
              </w:numPr>
              <w:tabs>
                <w:tab w:val="clear" w:pos="-31680"/>
                <w:tab w:val="left" w:pos="0"/>
              </w:tabs>
              <w:jc w:val="both"/>
              <w:rPr>
                <w:rFonts w:asciiTheme="minorHAnsi" w:hAnsiTheme="minorHAnsi" w:cstheme="minorHAnsi"/>
              </w:rPr>
            </w:pPr>
            <w:r w:rsidRPr="002626E7">
              <w:rPr>
                <w:rFonts w:asciiTheme="minorHAnsi" w:hAnsiTheme="minorHAnsi" w:cstheme="minorHAnsi"/>
              </w:rPr>
              <w:t>Identify gaps in knowledge and propose areas for further research and/or testing.</w:t>
            </w:r>
          </w:p>
          <w:p w:rsidR="002626E7" w:rsidRPr="002626E7" w:rsidRDefault="002626E7" w:rsidP="002626E7">
            <w:pPr>
              <w:pStyle w:val="TSNumberedParagraph11"/>
              <w:numPr>
                <w:ilvl w:val="1"/>
                <w:numId w:val="33"/>
              </w:numPr>
              <w:tabs>
                <w:tab w:val="clear" w:pos="-31680"/>
                <w:tab w:val="left" w:pos="0"/>
              </w:tabs>
              <w:jc w:val="both"/>
              <w:rPr>
                <w:rFonts w:asciiTheme="minorHAnsi" w:hAnsiTheme="minorHAnsi" w:cstheme="minorHAnsi"/>
              </w:rPr>
            </w:pPr>
            <w:r w:rsidRPr="002626E7">
              <w:rPr>
                <w:rFonts w:asciiTheme="minorHAnsi" w:hAnsiTheme="minorHAnsi" w:cstheme="minorHAnsi"/>
              </w:rPr>
              <w:t>Produce guidance for inspectors.  This guidance may best be appended to existing TAGs but, if there is sufficient new guidance, then a standalone TAG may be appropriate.  This guidance will aim to outline methods useful to ONR inspectors when assessing the suitability of containment seals for use with Radioactive Material Transport Packages, Nuclear Safety Critical Components, Nuclear Materials Storage (short term and long term – e.g. GDF) etc.</w:t>
            </w:r>
          </w:p>
          <w:p w:rsidR="00AF4C0F" w:rsidRPr="002C62C2" w:rsidRDefault="002626E7"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C</w:t>
            </w:r>
            <w:r w:rsidR="00AF4C0F" w:rsidRPr="002C62C2">
              <w:rPr>
                <w:rFonts w:asciiTheme="minorHAnsi" w:hAnsiTheme="minorHAnsi" w:cstheme="minorHAnsi"/>
              </w:rPr>
              <w:t>onsiderations</w:t>
            </w:r>
            <w:r>
              <w:rPr>
                <w:rFonts w:asciiTheme="minorHAnsi" w:hAnsiTheme="minorHAnsi" w:cstheme="minorHAnsi"/>
              </w:rPr>
              <w:t>:</w:t>
            </w:r>
            <w:r w:rsidR="00AF4C0F" w:rsidRPr="002C62C2">
              <w:rPr>
                <w:rFonts w:asciiTheme="minorHAnsi" w:hAnsiTheme="minorHAnsi" w:cstheme="minorHAnsi"/>
              </w:rPr>
              <w:t xml:space="preserve"> </w:t>
            </w:r>
          </w:p>
          <w:p w:rsidR="00AF4C0F" w:rsidRPr="00A067AC" w:rsidRDefault="00A067AC" w:rsidP="00A067AC">
            <w:pPr>
              <w:pStyle w:val="TSBullet1Square"/>
              <w:tabs>
                <w:tab w:val="clear" w:pos="-31680"/>
                <w:tab w:val="left" w:pos="0"/>
              </w:tabs>
              <w:spacing w:after="0"/>
              <w:ind w:left="0" w:firstLine="0"/>
              <w:rPr>
                <w:rFonts w:asciiTheme="minorHAnsi" w:hAnsiTheme="minorHAnsi" w:cstheme="minorHAnsi"/>
              </w:rPr>
            </w:pPr>
            <w:r>
              <w:rPr>
                <w:rFonts w:asciiTheme="minorHAnsi" w:hAnsiTheme="minorHAnsi" w:cstheme="minorHAnsi"/>
              </w:rPr>
              <w:t>Expected outcomes: appendix/appendices to existing TAGs or a new TAG</w:t>
            </w:r>
            <w:r w:rsidR="00AF4C0F" w:rsidRPr="002C62C2">
              <w:rPr>
                <w:rFonts w:asciiTheme="minorHAnsi" w:hAnsiTheme="minorHAnsi" w:cstheme="minorHAnsi"/>
              </w:rPr>
              <w:t>;</w:t>
            </w:r>
          </w:p>
          <w:p w:rsidR="00AF4C0F" w:rsidRPr="002C62C2" w:rsidRDefault="00A47C97" w:rsidP="00A47C97">
            <w:pPr>
              <w:pStyle w:val="TSBullet1Square"/>
              <w:spacing w:after="0"/>
              <w:ind w:left="649" w:hanging="649"/>
              <w:rPr>
                <w:rFonts w:asciiTheme="minorHAnsi" w:hAnsiTheme="minorHAnsi" w:cstheme="minorHAnsi"/>
              </w:rPr>
            </w:pPr>
            <w:r>
              <w:rPr>
                <w:rFonts w:asciiTheme="minorHAnsi" w:hAnsiTheme="minorHAnsi" w:cstheme="minorHAnsi"/>
              </w:rPr>
              <w:t xml:space="preserve"> </w:t>
            </w:r>
            <w:r w:rsidR="00A067AC">
              <w:rPr>
                <w:rFonts w:asciiTheme="minorHAnsi" w:hAnsiTheme="minorHAnsi" w:cstheme="minorHAnsi"/>
              </w:rPr>
              <w:t>M</w:t>
            </w:r>
            <w:r w:rsidR="00AF4C0F" w:rsidRPr="002C62C2">
              <w:rPr>
                <w:rFonts w:asciiTheme="minorHAnsi" w:hAnsiTheme="minorHAnsi" w:cstheme="minorHAnsi"/>
              </w:rPr>
              <w:t>eeting requirements</w:t>
            </w:r>
            <w:r w:rsidR="00433143">
              <w:rPr>
                <w:rFonts w:asciiTheme="minorHAnsi" w:hAnsiTheme="minorHAnsi" w:cstheme="minorHAnsi"/>
              </w:rPr>
              <w:t>: kick off meeting (July</w:t>
            </w:r>
            <w:r w:rsidR="00A067AC">
              <w:rPr>
                <w:rFonts w:asciiTheme="minorHAnsi" w:hAnsiTheme="minorHAnsi" w:cstheme="minorHAnsi"/>
              </w:rPr>
              <w:t xml:space="preserve"> </w:t>
            </w:r>
            <w:r w:rsidR="00433143">
              <w:rPr>
                <w:rFonts w:asciiTheme="minorHAnsi" w:hAnsiTheme="minorHAnsi" w:cstheme="minorHAnsi"/>
              </w:rPr>
              <w:t>2020, mid-term meeting October</w:t>
            </w:r>
            <w:r w:rsidR="00A067AC">
              <w:rPr>
                <w:rFonts w:asciiTheme="minorHAnsi" w:hAnsiTheme="minorHAnsi" w:cstheme="minorHAnsi"/>
              </w:rPr>
              <w:t xml:space="preserve"> 2020; and final </w:t>
            </w:r>
            <w:r>
              <w:rPr>
                <w:rFonts w:asciiTheme="minorHAnsi" w:hAnsiTheme="minorHAnsi" w:cstheme="minorHAnsi"/>
              </w:rPr>
              <w:t xml:space="preserve">   </w:t>
            </w:r>
            <w:r w:rsidR="00A067AC">
              <w:rPr>
                <w:rFonts w:asciiTheme="minorHAnsi" w:hAnsiTheme="minorHAnsi" w:cstheme="minorHAnsi"/>
              </w:rPr>
              <w:t>meeting t</w:t>
            </w:r>
            <w:r w:rsidR="00433143">
              <w:rPr>
                <w:rFonts w:asciiTheme="minorHAnsi" w:hAnsiTheme="minorHAnsi" w:cstheme="minorHAnsi"/>
              </w:rPr>
              <w:t>o review a mature draft January 2021</w:t>
            </w:r>
            <w:r w:rsidR="00A067AC">
              <w:rPr>
                <w:rFonts w:asciiTheme="minorHAnsi" w:hAnsiTheme="minorHAnsi" w:cstheme="minorHAnsi"/>
              </w:rPr>
              <w:t>.  Meetings to be at the most convenient office</w:t>
            </w:r>
            <w:r w:rsidR="00433143">
              <w:rPr>
                <w:rFonts w:asciiTheme="minorHAnsi" w:hAnsiTheme="minorHAnsi" w:cstheme="minorHAnsi"/>
              </w:rPr>
              <w:t xml:space="preserve"> (or by remote means)</w:t>
            </w:r>
            <w:r w:rsidR="00A067AC">
              <w:rPr>
                <w:rFonts w:asciiTheme="minorHAnsi" w:hAnsiTheme="minorHAnsi" w:cstheme="minorHAnsi"/>
              </w:rPr>
              <w:t>.</w:t>
            </w:r>
          </w:p>
          <w:p w:rsidR="00AF4C0F" w:rsidRPr="002C62C2" w:rsidRDefault="00AF4C0F" w:rsidP="00A067AC">
            <w:pPr>
              <w:tabs>
                <w:tab w:val="left" w:pos="0"/>
              </w:tabs>
              <w:jc w:val="both"/>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OBJECTIVES</w:t>
            </w:r>
          </w:p>
          <w:p w:rsidR="002B1D28" w:rsidRPr="002B1D28" w:rsidRDefault="002B1D28" w:rsidP="0043146B">
            <w:pPr>
              <w:pStyle w:val="TSNumberedParagraph11"/>
              <w:tabs>
                <w:tab w:val="left" w:pos="0"/>
              </w:tabs>
              <w:ind w:left="0" w:firstLine="0"/>
              <w:jc w:val="both"/>
              <w:rPr>
                <w:rFonts w:asciiTheme="minorHAnsi" w:hAnsiTheme="minorHAnsi" w:cstheme="minorHAnsi"/>
              </w:rPr>
            </w:pPr>
            <w:r w:rsidRPr="002B1D28">
              <w:rPr>
                <w:rFonts w:asciiTheme="minorHAnsi" w:hAnsiTheme="minorHAnsi" w:cstheme="minorHAnsi"/>
              </w:rPr>
              <w:t>The TAG appendix/appendices or new TAG will be required to cover the following topics:</w:t>
            </w:r>
          </w:p>
          <w:p w:rsidR="002B1D28" w:rsidRPr="002B1D28" w:rsidRDefault="002B1D28" w:rsidP="002B1D28">
            <w:pPr>
              <w:numPr>
                <w:ilvl w:val="3"/>
                <w:numId w:val="34"/>
              </w:numPr>
              <w:ind w:left="1134" w:hanging="425"/>
              <w:contextualSpacing/>
              <w:rPr>
                <w:rFonts w:ascii="Calibri" w:hAnsi="Calibri"/>
                <w:szCs w:val="22"/>
              </w:rPr>
            </w:pPr>
            <w:r w:rsidRPr="002B1D28">
              <w:rPr>
                <w:rFonts w:ascii="Calibri" w:hAnsi="Calibri"/>
                <w:szCs w:val="22"/>
              </w:rPr>
              <w:t>Applicable legislation and Relevant Good Practice (RGP); links to applicable sections of the Safety Assessment Principles (SAPs); and taking cognisance of existing TAGs</w:t>
            </w:r>
            <w:r w:rsidR="00433143">
              <w:rPr>
                <w:rFonts w:ascii="Calibri" w:hAnsi="Calibri"/>
                <w:szCs w:val="22"/>
              </w:rPr>
              <w:t>.</w:t>
            </w:r>
          </w:p>
          <w:p w:rsidR="002B1D28" w:rsidRPr="002B1D28" w:rsidRDefault="002B1D28" w:rsidP="002B1D28">
            <w:pPr>
              <w:numPr>
                <w:ilvl w:val="3"/>
                <w:numId w:val="34"/>
              </w:numPr>
              <w:ind w:left="1134" w:hanging="425"/>
              <w:contextualSpacing/>
              <w:rPr>
                <w:rFonts w:ascii="Calibri" w:hAnsi="Calibri"/>
                <w:szCs w:val="22"/>
              </w:rPr>
            </w:pPr>
            <w:r w:rsidRPr="002B1D28">
              <w:rPr>
                <w:rFonts w:ascii="Calibri" w:hAnsi="Calibri"/>
                <w:szCs w:val="22"/>
              </w:rPr>
              <w:t>Seal material considerations &amp; their uses</w:t>
            </w:r>
            <w:r w:rsidR="00433143">
              <w:rPr>
                <w:rFonts w:ascii="Calibri" w:hAnsi="Calibri"/>
                <w:szCs w:val="22"/>
              </w:rPr>
              <w:t>.</w:t>
            </w:r>
          </w:p>
          <w:p w:rsidR="002B1D28" w:rsidRPr="002B1D28" w:rsidRDefault="002B1D28" w:rsidP="002B1D28">
            <w:pPr>
              <w:numPr>
                <w:ilvl w:val="3"/>
                <w:numId w:val="34"/>
              </w:numPr>
              <w:ind w:left="1134" w:hanging="425"/>
              <w:contextualSpacing/>
              <w:rPr>
                <w:rFonts w:ascii="Calibri" w:hAnsi="Calibri"/>
                <w:szCs w:val="22"/>
              </w:rPr>
            </w:pPr>
            <w:r w:rsidRPr="002B1D28">
              <w:rPr>
                <w:rFonts w:ascii="Calibri" w:hAnsi="Calibri"/>
                <w:szCs w:val="22"/>
              </w:rPr>
              <w:t>Physical property changes: Including but not limited to: temperature effects, irradiation effects, pressure effects, resistance to certain chemicals etc.</w:t>
            </w:r>
          </w:p>
          <w:p w:rsidR="002B1D28" w:rsidRPr="002B1D28" w:rsidRDefault="002B1D28" w:rsidP="002B1D28">
            <w:pPr>
              <w:numPr>
                <w:ilvl w:val="3"/>
                <w:numId w:val="34"/>
              </w:numPr>
              <w:ind w:left="1134" w:hanging="425"/>
              <w:contextualSpacing/>
              <w:rPr>
                <w:rFonts w:ascii="Calibri" w:hAnsi="Calibri"/>
                <w:szCs w:val="22"/>
              </w:rPr>
            </w:pPr>
            <w:r w:rsidRPr="002B1D28">
              <w:rPr>
                <w:rFonts w:ascii="Calibri" w:hAnsi="Calibri"/>
                <w:szCs w:val="22"/>
              </w:rPr>
              <w:lastRenderedPageBreak/>
              <w:t>Storage: Considerations for short/long term storage – maintenance, ageing etc.</w:t>
            </w:r>
          </w:p>
          <w:p w:rsidR="002B1D28" w:rsidRPr="002B1D28" w:rsidRDefault="002B1D28" w:rsidP="002B1D28">
            <w:pPr>
              <w:numPr>
                <w:ilvl w:val="3"/>
                <w:numId w:val="34"/>
              </w:numPr>
              <w:ind w:left="1134" w:hanging="425"/>
              <w:contextualSpacing/>
              <w:rPr>
                <w:rFonts w:ascii="Calibri" w:hAnsi="Calibri"/>
                <w:szCs w:val="22"/>
              </w:rPr>
            </w:pPr>
            <w:r w:rsidRPr="002B1D28">
              <w:rPr>
                <w:rFonts w:ascii="Calibri" w:hAnsi="Calibri"/>
                <w:szCs w:val="22"/>
              </w:rPr>
              <w:t>Guidance for seal testing – seal housings, lubrication, when to differentiate between verification via analytical methods and the requirement(s) for real life seal testing (including scaling issues) etc.</w:t>
            </w:r>
          </w:p>
          <w:p w:rsidR="002B1D28" w:rsidRDefault="002B1D28" w:rsidP="0043146B">
            <w:pPr>
              <w:numPr>
                <w:ilvl w:val="3"/>
                <w:numId w:val="34"/>
              </w:numPr>
              <w:ind w:left="1134" w:hanging="425"/>
              <w:contextualSpacing/>
              <w:rPr>
                <w:rFonts w:ascii="Calibri" w:hAnsi="Calibri"/>
                <w:szCs w:val="22"/>
              </w:rPr>
            </w:pPr>
            <w:r w:rsidRPr="002B1D28">
              <w:rPr>
                <w:rFonts w:ascii="Calibri" w:hAnsi="Calibri"/>
                <w:szCs w:val="22"/>
              </w:rPr>
              <w:t>Supply chain robustness</w:t>
            </w:r>
            <w:r w:rsidR="00433143">
              <w:rPr>
                <w:rFonts w:ascii="Calibri" w:hAnsi="Calibri"/>
                <w:szCs w:val="22"/>
              </w:rPr>
              <w:t>.</w:t>
            </w:r>
          </w:p>
          <w:p w:rsidR="0043146B" w:rsidRPr="0043146B" w:rsidRDefault="0043146B" w:rsidP="0043146B">
            <w:pPr>
              <w:ind w:left="1134"/>
              <w:contextualSpacing/>
              <w:rPr>
                <w:rFonts w:ascii="Calibri" w:hAnsi="Calibri"/>
                <w:szCs w:val="22"/>
              </w:rPr>
            </w:pPr>
          </w:p>
          <w:p w:rsidR="002B1D28" w:rsidRPr="002B1D28" w:rsidRDefault="002B1D28" w:rsidP="0043146B">
            <w:pPr>
              <w:pStyle w:val="TSNumberedParagraph11"/>
              <w:tabs>
                <w:tab w:val="left" w:pos="0"/>
              </w:tabs>
              <w:ind w:left="0" w:firstLine="0"/>
              <w:jc w:val="both"/>
              <w:rPr>
                <w:rFonts w:asciiTheme="minorHAnsi" w:hAnsiTheme="minorHAnsi" w:cstheme="minorHAnsi"/>
              </w:rPr>
            </w:pPr>
            <w:r w:rsidRPr="002B1D28">
              <w:rPr>
                <w:rFonts w:asciiTheme="minorHAnsi" w:hAnsiTheme="minorHAnsi" w:cstheme="minorHAnsi"/>
              </w:rPr>
              <w:t xml:space="preserve">The Seals Research Project will require: </w:t>
            </w:r>
          </w:p>
          <w:p w:rsidR="002B1D28" w:rsidRPr="002B1D28" w:rsidRDefault="002B1D28" w:rsidP="002B1D28">
            <w:pPr>
              <w:numPr>
                <w:ilvl w:val="0"/>
                <w:numId w:val="36"/>
              </w:numPr>
              <w:ind w:left="1134" w:hanging="425"/>
              <w:contextualSpacing/>
              <w:rPr>
                <w:rFonts w:ascii="Calibri" w:hAnsi="Calibri"/>
                <w:szCs w:val="22"/>
              </w:rPr>
            </w:pPr>
            <w:r w:rsidRPr="002B1D28">
              <w:rPr>
                <w:rFonts w:ascii="Calibri" w:hAnsi="Calibri"/>
                <w:szCs w:val="22"/>
              </w:rPr>
              <w:t>A knowledge gap analysis</w:t>
            </w:r>
            <w:r w:rsidR="00433143">
              <w:rPr>
                <w:rFonts w:ascii="Calibri" w:hAnsi="Calibri"/>
                <w:szCs w:val="22"/>
              </w:rPr>
              <w:t>.</w:t>
            </w:r>
            <w:r w:rsidRPr="002B1D28">
              <w:rPr>
                <w:rFonts w:ascii="Calibri" w:hAnsi="Calibri"/>
                <w:szCs w:val="22"/>
              </w:rPr>
              <w:t xml:space="preserve"> </w:t>
            </w:r>
          </w:p>
          <w:p w:rsidR="002B1D28" w:rsidRPr="002B1D28" w:rsidRDefault="002B1D28" w:rsidP="002B1D28">
            <w:pPr>
              <w:numPr>
                <w:ilvl w:val="0"/>
                <w:numId w:val="35"/>
              </w:numPr>
              <w:ind w:left="1134" w:hanging="425"/>
              <w:contextualSpacing/>
              <w:rPr>
                <w:rFonts w:ascii="Calibri" w:hAnsi="Calibri"/>
                <w:szCs w:val="22"/>
              </w:rPr>
            </w:pPr>
            <w:r w:rsidRPr="002B1D28">
              <w:rPr>
                <w:rFonts w:ascii="Calibri" w:hAnsi="Calibri"/>
                <w:szCs w:val="22"/>
              </w:rPr>
              <w:t>A literature review of current legislation, standards and Approved Codes of Practice (</w:t>
            </w:r>
            <w:proofErr w:type="spellStart"/>
            <w:r w:rsidRPr="002B1D28">
              <w:rPr>
                <w:rFonts w:ascii="Calibri" w:hAnsi="Calibri"/>
                <w:szCs w:val="22"/>
              </w:rPr>
              <w:t>ACoP</w:t>
            </w:r>
            <w:proofErr w:type="spellEnd"/>
            <w:r w:rsidRPr="002B1D28">
              <w:rPr>
                <w:rFonts w:ascii="Calibri" w:hAnsi="Calibri"/>
                <w:szCs w:val="22"/>
              </w:rPr>
              <w:t>) including a sample of appropriate international guidance.</w:t>
            </w:r>
          </w:p>
          <w:p w:rsidR="002B1D28" w:rsidRPr="002B1D28" w:rsidRDefault="002B1D28" w:rsidP="002B1D28">
            <w:pPr>
              <w:numPr>
                <w:ilvl w:val="0"/>
                <w:numId w:val="35"/>
              </w:numPr>
              <w:ind w:left="1134" w:hanging="425"/>
              <w:contextualSpacing/>
              <w:rPr>
                <w:rFonts w:ascii="Calibri" w:hAnsi="Calibri"/>
                <w:szCs w:val="22"/>
              </w:rPr>
            </w:pPr>
            <w:r w:rsidRPr="002B1D28">
              <w:rPr>
                <w:rFonts w:ascii="Calibri" w:hAnsi="Calibri"/>
                <w:szCs w:val="22"/>
              </w:rPr>
              <w:t>Consultation with the wider industry including industry fora (TCSC, RAMTRANS</w:t>
            </w:r>
            <w:r w:rsidR="005E1D40">
              <w:rPr>
                <w:rFonts w:ascii="Calibri" w:hAnsi="Calibri"/>
                <w:szCs w:val="22"/>
              </w:rPr>
              <w:t xml:space="preserve"> etc</w:t>
            </w:r>
            <w:r w:rsidRPr="002B1D28">
              <w:rPr>
                <w:rFonts w:ascii="Calibri" w:hAnsi="Calibri"/>
                <w:szCs w:val="22"/>
              </w:rPr>
              <w:t>) and appropriate consultancies and suppliers.</w:t>
            </w:r>
          </w:p>
          <w:p w:rsidR="002B1D28" w:rsidRPr="002B1D28" w:rsidRDefault="002B1D28" w:rsidP="002B1D28">
            <w:pPr>
              <w:numPr>
                <w:ilvl w:val="0"/>
                <w:numId w:val="35"/>
              </w:numPr>
              <w:ind w:left="1134" w:hanging="425"/>
              <w:contextualSpacing/>
              <w:rPr>
                <w:rFonts w:ascii="Calibri" w:hAnsi="Calibri"/>
                <w:szCs w:val="22"/>
              </w:rPr>
            </w:pPr>
            <w:r w:rsidRPr="002B1D28">
              <w:rPr>
                <w:rFonts w:ascii="Calibri" w:hAnsi="Calibri"/>
                <w:szCs w:val="22"/>
              </w:rPr>
              <w:t>Links to existing Legislation, TAGs, Guidance and RGP</w:t>
            </w:r>
          </w:p>
          <w:p w:rsidR="00AF4C0F" w:rsidRPr="001006F0" w:rsidRDefault="002B1D28" w:rsidP="001006F0">
            <w:pPr>
              <w:numPr>
                <w:ilvl w:val="0"/>
                <w:numId w:val="35"/>
              </w:numPr>
              <w:ind w:left="1134" w:hanging="425"/>
              <w:contextualSpacing/>
              <w:rPr>
                <w:rFonts w:ascii="Calibri" w:hAnsi="Calibri"/>
                <w:szCs w:val="22"/>
              </w:rPr>
            </w:pPr>
            <w:r w:rsidRPr="002B1D28">
              <w:rPr>
                <w:rFonts w:ascii="Calibri" w:hAnsi="Calibri"/>
                <w:szCs w:val="22"/>
              </w:rPr>
              <w:t>Assessment of suitable Finite Element modelling techniques</w:t>
            </w:r>
            <w:r w:rsidR="00433143">
              <w:rPr>
                <w:rFonts w:ascii="Calibri" w:hAnsi="Calibri"/>
                <w:szCs w:val="22"/>
              </w:rPr>
              <w:t>.</w:t>
            </w:r>
            <w:r w:rsidRPr="002B1D28">
              <w:rPr>
                <w:rFonts w:ascii="Calibri" w:hAnsi="Calibri"/>
                <w:szCs w:val="22"/>
              </w:rPr>
              <w:t xml:space="preserve"> </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AF4C0F" w:rsidRPr="002C62C2" w:rsidRDefault="0048454F"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Timing: We would like the </w:t>
            </w:r>
            <w:r w:rsidR="00433143">
              <w:rPr>
                <w:rFonts w:asciiTheme="minorHAnsi" w:hAnsiTheme="minorHAnsi" w:cstheme="minorHAnsi"/>
              </w:rPr>
              <w:t>work to start in July 2020 and complete in January 2021</w:t>
            </w:r>
            <w:r>
              <w:rPr>
                <w:rFonts w:asciiTheme="minorHAnsi" w:hAnsiTheme="minorHAnsi" w:cstheme="minorHAnsi"/>
              </w:rPr>
              <w:t xml:space="preserve"> but it may be possible to amend these dates.</w:t>
            </w:r>
          </w:p>
          <w:p w:rsidR="00AF4C0F" w:rsidRPr="002C62C2" w:rsidRDefault="005E1D40"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Document </w:t>
            </w:r>
            <w:r w:rsidRPr="002C62C2">
              <w:rPr>
                <w:rFonts w:asciiTheme="minorHAnsi" w:hAnsiTheme="minorHAnsi" w:cstheme="minorHAnsi"/>
              </w:rPr>
              <w:t>retention</w:t>
            </w:r>
            <w:r w:rsidR="0048454F">
              <w:rPr>
                <w:rFonts w:asciiTheme="minorHAnsi" w:hAnsiTheme="minorHAnsi" w:cstheme="minorHAnsi"/>
              </w:rPr>
              <w:t xml:space="preserve"> requirements:  All documents used to produce the final document(s) should be retained until ONR is satisfied with the final document.</w:t>
            </w:r>
          </w:p>
          <w:p w:rsidR="00AF4C0F" w:rsidRPr="002C62C2" w:rsidRDefault="00AF4C0F" w:rsidP="0048454F">
            <w:pPr>
              <w:pStyle w:val="TSBullet1Square"/>
              <w:numPr>
                <w:ilvl w:val="0"/>
                <w:numId w:val="0"/>
              </w:numPr>
              <w:tabs>
                <w:tab w:val="left" w:pos="0"/>
              </w:tabs>
              <w:spacing w:after="0"/>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AF4C0F" w:rsidRPr="002C62C2" w:rsidRDefault="00AF4C0F" w:rsidP="00971BA8">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will require to be kept updated about progress and delivery of the required work via monthly meetings, to include a contract start-up meeting at ONR’s offices at Bootle</w:t>
            </w:r>
            <w:r w:rsidR="00433143">
              <w:rPr>
                <w:rFonts w:asciiTheme="minorHAnsi" w:hAnsiTheme="minorHAnsi" w:cstheme="minorHAnsi"/>
              </w:rPr>
              <w:t xml:space="preserve"> (or by remote means)</w:t>
            </w:r>
            <w:r w:rsidRPr="002C62C2">
              <w:rPr>
                <w:rFonts w:asciiTheme="minorHAnsi" w:hAnsiTheme="minorHAnsi" w:cstheme="minorHAnsi"/>
              </w:rPr>
              <w:t>. Subsequent progress meeting should be arranged with the ONR Project Office and can be hel</w:t>
            </w:r>
            <w:r w:rsidR="00433143">
              <w:rPr>
                <w:rFonts w:asciiTheme="minorHAnsi" w:hAnsiTheme="minorHAnsi" w:cstheme="minorHAnsi"/>
              </w:rPr>
              <w:t xml:space="preserve">d at ONR’s office in Bootle, </w:t>
            </w:r>
            <w:r w:rsidRPr="002C62C2">
              <w:rPr>
                <w:rFonts w:asciiTheme="minorHAnsi" w:hAnsiTheme="minorHAnsi" w:cstheme="minorHAnsi"/>
              </w:rPr>
              <w:t>the contractor’s premises</w:t>
            </w:r>
            <w:r w:rsidR="00433143">
              <w:rPr>
                <w:rFonts w:asciiTheme="minorHAnsi" w:hAnsiTheme="minorHAnsi" w:cstheme="minorHAnsi"/>
              </w:rPr>
              <w:t xml:space="preserve"> or by remote means</w:t>
            </w:r>
            <w:r w:rsidRPr="002C62C2">
              <w:rPr>
                <w:rFonts w:asciiTheme="minorHAnsi" w:hAnsiTheme="minorHAnsi" w:cstheme="minorHAnsi"/>
              </w:rPr>
              <w:t>.</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rsidR="00971BA8" w:rsidRPr="002C62C2" w:rsidRDefault="00971BA8" w:rsidP="00971BA8">
            <w:pPr>
              <w:pStyle w:val="TSBullet1Square"/>
              <w:tabs>
                <w:tab w:val="left" w:pos="0"/>
              </w:tabs>
              <w:spacing w:after="0"/>
              <w:ind w:left="0" w:firstLine="0"/>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w:t>
            </w:r>
            <w:r w:rsidR="00433143">
              <w:rPr>
                <w:rFonts w:asciiTheme="minorHAnsi" w:hAnsiTheme="minorHAnsi" w:cstheme="minorHAnsi"/>
              </w:rPr>
              <w:t>ctus where appropriate/relevant.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description of proposed deliverables and/or outputs</w:t>
            </w:r>
            <w:r w:rsidR="00433143">
              <w:rPr>
                <w:rFonts w:asciiTheme="minorHAnsi" w:hAnsiTheme="minorHAnsi" w:cstheme="minorHAnsi"/>
              </w:rPr>
              <w: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an outline of anticipated engagement (project meetings &amp; management)</w:t>
            </w:r>
            <w:r w:rsidR="00433143">
              <w:rPr>
                <w:rFonts w:asciiTheme="minorHAnsi" w:hAnsiTheme="minorHAnsi" w:cstheme="minorHAnsi"/>
              </w:rPr>
              <w: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details of proposed cost and associated effort assumptions </w:t>
            </w:r>
            <w:r w:rsidR="00433143">
              <w:rPr>
                <w:rFonts w:asciiTheme="minorHAnsi" w:hAnsiTheme="minorHAnsi" w:cstheme="minorHAnsi"/>
              </w:rPr>
              <w: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a project delivery plan showing activities and milestones </w:t>
            </w:r>
            <w:r w:rsidR="00433143">
              <w:rPr>
                <w:rFonts w:asciiTheme="minorHAnsi" w:hAnsiTheme="minorHAnsi" w:cstheme="minorHAnsi"/>
              </w:rPr>
              <w:t>.</w:t>
            </w:r>
          </w:p>
          <w:p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planned invoice schedule</w:t>
            </w:r>
            <w:r w:rsidR="00433143">
              <w:rPr>
                <w:rFonts w:asciiTheme="minorHAnsi" w:hAnsiTheme="minorHAnsi" w:cstheme="minorHAnsi"/>
              </w:rPr>
              <w:t>.</w:t>
            </w:r>
          </w:p>
          <w:p w:rsidR="00971BA8" w:rsidRPr="002C62C2"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details of any assumptions or constraints</w:t>
            </w:r>
            <w:r w:rsidR="00433143">
              <w:rPr>
                <w:rFonts w:asciiTheme="minorHAnsi" w:hAnsiTheme="minorHAnsi" w:cstheme="minorHAnsi"/>
              </w:rPr>
              <w:t>.</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9"/>
      <w:footerReference w:type="default" r:id="rId10"/>
      <w:headerReference w:type="first" r:id="rId11"/>
      <w:footerReference w:type="first" r:id="rId12"/>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77D" w:rsidRDefault="0000777D">
      <w:r>
        <w:separator/>
      </w:r>
    </w:p>
  </w:endnote>
  <w:endnote w:type="continuationSeparator" w:id="0">
    <w:p w:rsidR="0000777D" w:rsidRDefault="0000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433143">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433143">
      <w:rPr>
        <w:b/>
        <w:noProof/>
        <w:color w:val="006D68"/>
        <w:sz w:val="14"/>
        <w:szCs w:val="14"/>
      </w:rPr>
      <w:t>2</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433143">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433143">
      <w:rPr>
        <w:b/>
        <w:noProof/>
        <w:color w:val="006D68"/>
        <w:sz w:val="14"/>
        <w:szCs w:val="14"/>
      </w:rPr>
      <w:t>2</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77D" w:rsidRDefault="0000777D">
      <w:r>
        <w:separator/>
      </w:r>
    </w:p>
  </w:footnote>
  <w:footnote w:type="continuationSeparator" w:id="0">
    <w:p w:rsidR="0000777D" w:rsidRDefault="0000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68" w:rsidRDefault="00457068" w:rsidP="00457068">
    <w:pPr>
      <w:pStyle w:val="Header"/>
      <w:rPr>
        <w:b/>
        <w:sz w:val="20"/>
        <w:szCs w:val="20"/>
      </w:rPr>
    </w:pPr>
    <w:r>
      <w:rPr>
        <w:b/>
        <w:noProof/>
        <w:sz w:val="20"/>
        <w:szCs w:val="20"/>
        <w:lang w:eastAsia="en-GB"/>
      </w:rPr>
      <w:drawing>
        <wp:inline distT="0" distB="0" distL="0" distR="0" wp14:anchorId="20FC5DD3" wp14:editId="0CA82339">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47C97" w:rsidRDefault="00A47C97" w:rsidP="00A47C97">
    <w:pPr>
      <w:pStyle w:val="Header"/>
      <w:jc w:val="right"/>
      <w:rPr>
        <w:b/>
        <w:sz w:val="20"/>
        <w:szCs w:val="20"/>
      </w:rPr>
    </w:pPr>
    <w:r>
      <w:rPr>
        <w:b/>
        <w:sz w:val="20"/>
        <w:szCs w:val="20"/>
      </w:rPr>
      <w:t>Schedule A</w:t>
    </w:r>
  </w:p>
  <w:p w:rsidR="00A25EB0" w:rsidRPr="00C754D7" w:rsidRDefault="00457068" w:rsidP="00457068">
    <w:pPr>
      <w:pStyle w:val="Header"/>
      <w:jc w:val="right"/>
      <w:rPr>
        <w:b/>
        <w:sz w:val="20"/>
        <w:szCs w:val="20"/>
      </w:rPr>
    </w:pPr>
    <w:r>
      <w:rPr>
        <w:b/>
        <w:sz w:val="20"/>
        <w:szCs w:val="20"/>
      </w:rPr>
      <w:t>Ref:</w:t>
    </w:r>
    <w:r w:rsidR="00A47C97">
      <w:rPr>
        <w:b/>
        <w:sz w:val="20"/>
        <w:szCs w:val="20"/>
      </w:rPr>
      <w:t>ONR</w:t>
    </w:r>
    <w:r w:rsidR="00415681">
      <w:rPr>
        <w:b/>
        <w:sz w:val="20"/>
        <w:szCs w:val="20"/>
      </w:rPr>
      <w:t>668</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00AB2"/>
    <w:multiLevelType w:val="hybridMultilevel"/>
    <w:tmpl w:val="DECE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F5DB0"/>
    <w:multiLevelType w:val="hybridMultilevel"/>
    <w:tmpl w:val="F6A6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8"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D71601"/>
    <w:multiLevelType w:val="hybridMultilevel"/>
    <w:tmpl w:val="F8EE6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C3393"/>
    <w:multiLevelType w:val="hybridMultilevel"/>
    <w:tmpl w:val="25C0B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2"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6"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193027"/>
    <w:multiLevelType w:val="multilevel"/>
    <w:tmpl w:val="DEB0A5B4"/>
    <w:lvl w:ilvl="0">
      <w:start w:val="1"/>
      <w:numFmt w:val="decimal"/>
      <w:lvlText w:val="%1"/>
      <w:lvlJc w:val="left"/>
      <w:pPr>
        <w:tabs>
          <w:tab w:val="num" w:pos="-31538"/>
        </w:tabs>
        <w:ind w:left="862" w:hanging="720"/>
      </w:pPr>
      <w:rPr>
        <w:rFonts w:hint="default"/>
        <w:sz w:val="22"/>
      </w:rPr>
    </w:lvl>
    <w:lvl w:ilvl="1">
      <w:start w:val="1"/>
      <w:numFmt w:val="decimal"/>
      <w:lvlText w:val="%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32"/>
  </w:num>
  <w:num w:numId="3">
    <w:abstractNumId w:val="17"/>
  </w:num>
  <w:num w:numId="4">
    <w:abstractNumId w:val="0"/>
  </w:num>
  <w:num w:numId="5">
    <w:abstractNumId w:val="14"/>
  </w:num>
  <w:num w:numId="6">
    <w:abstractNumId w:val="30"/>
  </w:num>
  <w:num w:numId="7">
    <w:abstractNumId w:val="25"/>
  </w:num>
  <w:num w:numId="8">
    <w:abstractNumId w:val="22"/>
  </w:num>
  <w:num w:numId="9">
    <w:abstractNumId w:val="31"/>
  </w:num>
  <w:num w:numId="10">
    <w:abstractNumId w:val="2"/>
  </w:num>
  <w:num w:numId="11">
    <w:abstractNumId w:val="6"/>
  </w:num>
  <w:num w:numId="12">
    <w:abstractNumId w:val="10"/>
  </w:num>
  <w:num w:numId="13">
    <w:abstractNumId w:val="1"/>
  </w:num>
  <w:num w:numId="14">
    <w:abstractNumId w:val="23"/>
  </w:num>
  <w:num w:numId="15">
    <w:abstractNumId w:val="12"/>
  </w:num>
  <w:num w:numId="16">
    <w:abstractNumId w:val="28"/>
  </w:num>
  <w:num w:numId="17">
    <w:abstractNumId w:val="7"/>
  </w:num>
  <w:num w:numId="18">
    <w:abstractNumId w:val="18"/>
  </w:num>
  <w:num w:numId="19">
    <w:abstractNumId w:val="15"/>
  </w:num>
  <w:num w:numId="20">
    <w:abstractNumId w:val="3"/>
  </w:num>
  <w:num w:numId="21">
    <w:abstractNumId w:val="29"/>
  </w:num>
  <w:num w:numId="22">
    <w:abstractNumId w:val="4"/>
  </w:num>
  <w:num w:numId="23">
    <w:abstractNumId w:val="24"/>
  </w:num>
  <w:num w:numId="24">
    <w:abstractNumId w:val="26"/>
  </w:num>
  <w:num w:numId="25">
    <w:abstractNumId w:val="13"/>
  </w:num>
  <w:num w:numId="26">
    <w:abstractNumId w:val="5"/>
  </w:num>
  <w:num w:numId="27">
    <w:abstractNumId w:val="11"/>
  </w:num>
  <w:num w:numId="28">
    <w:abstractNumId w:val="27"/>
  </w:num>
  <w:num w:numId="29">
    <w:abstractNumId w:val="21"/>
  </w:num>
  <w:num w:numId="30">
    <w:abstractNumId w:val="28"/>
  </w:num>
  <w:num w:numId="31">
    <w:abstractNumId w:val="10"/>
  </w:num>
  <w:num w:numId="32">
    <w:abstractNumId w:val="20"/>
  </w:num>
  <w:num w:numId="33">
    <w:abstractNumId w:val="33"/>
  </w:num>
  <w:num w:numId="34">
    <w:abstractNumId w:val="19"/>
  </w:num>
  <w:num w:numId="35">
    <w:abstractNumId w:val="16"/>
  </w:num>
  <w:num w:numId="36">
    <w:abstractNumId w:val="8"/>
  </w:num>
  <w:num w:numId="37">
    <w:abstractNumId w:val="10"/>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777D"/>
    <w:rsid w:val="00030D3C"/>
    <w:rsid w:val="000312D3"/>
    <w:rsid w:val="000375D1"/>
    <w:rsid w:val="000715BD"/>
    <w:rsid w:val="000820CB"/>
    <w:rsid w:val="00096F71"/>
    <w:rsid w:val="000B1830"/>
    <w:rsid w:val="000B4E40"/>
    <w:rsid w:val="000D6244"/>
    <w:rsid w:val="001006F0"/>
    <w:rsid w:val="00121C8F"/>
    <w:rsid w:val="00131ECC"/>
    <w:rsid w:val="00144CEA"/>
    <w:rsid w:val="00164F4F"/>
    <w:rsid w:val="00193C9A"/>
    <w:rsid w:val="001A58B1"/>
    <w:rsid w:val="001C3DB8"/>
    <w:rsid w:val="001D78A1"/>
    <w:rsid w:val="00200CB7"/>
    <w:rsid w:val="0021074A"/>
    <w:rsid w:val="00216018"/>
    <w:rsid w:val="002626E7"/>
    <w:rsid w:val="0028011F"/>
    <w:rsid w:val="0028356A"/>
    <w:rsid w:val="00297401"/>
    <w:rsid w:val="002B1D28"/>
    <w:rsid w:val="002C62C2"/>
    <w:rsid w:val="0031706E"/>
    <w:rsid w:val="003B4AA2"/>
    <w:rsid w:val="003D005E"/>
    <w:rsid w:val="003E2CA6"/>
    <w:rsid w:val="003E452E"/>
    <w:rsid w:val="00415681"/>
    <w:rsid w:val="0043146B"/>
    <w:rsid w:val="00433143"/>
    <w:rsid w:val="00457068"/>
    <w:rsid w:val="004750A2"/>
    <w:rsid w:val="0048454F"/>
    <w:rsid w:val="00487A22"/>
    <w:rsid w:val="004A7B1B"/>
    <w:rsid w:val="004C26FF"/>
    <w:rsid w:val="004F24BC"/>
    <w:rsid w:val="00505F6E"/>
    <w:rsid w:val="005322E6"/>
    <w:rsid w:val="005556C6"/>
    <w:rsid w:val="00562F2F"/>
    <w:rsid w:val="005A1570"/>
    <w:rsid w:val="005A5A87"/>
    <w:rsid w:val="005E1D40"/>
    <w:rsid w:val="005F0722"/>
    <w:rsid w:val="00604F23"/>
    <w:rsid w:val="006A667F"/>
    <w:rsid w:val="006B2DA6"/>
    <w:rsid w:val="006C519A"/>
    <w:rsid w:val="006F1199"/>
    <w:rsid w:val="006F5420"/>
    <w:rsid w:val="00715C62"/>
    <w:rsid w:val="0072164C"/>
    <w:rsid w:val="007B4EE0"/>
    <w:rsid w:val="007D545C"/>
    <w:rsid w:val="007F7246"/>
    <w:rsid w:val="00842FD6"/>
    <w:rsid w:val="00863CDC"/>
    <w:rsid w:val="00891423"/>
    <w:rsid w:val="008A7BDD"/>
    <w:rsid w:val="008B216C"/>
    <w:rsid w:val="008D71E9"/>
    <w:rsid w:val="008E67CB"/>
    <w:rsid w:val="0091041C"/>
    <w:rsid w:val="00932851"/>
    <w:rsid w:val="009374CC"/>
    <w:rsid w:val="009678DE"/>
    <w:rsid w:val="00971BA8"/>
    <w:rsid w:val="009765DB"/>
    <w:rsid w:val="00987AA6"/>
    <w:rsid w:val="009962B1"/>
    <w:rsid w:val="009A2285"/>
    <w:rsid w:val="009B5159"/>
    <w:rsid w:val="009D3CD0"/>
    <w:rsid w:val="009F1B6F"/>
    <w:rsid w:val="00A067AC"/>
    <w:rsid w:val="00A25EB0"/>
    <w:rsid w:val="00A41FDA"/>
    <w:rsid w:val="00A442D1"/>
    <w:rsid w:val="00A47C97"/>
    <w:rsid w:val="00AB2BB0"/>
    <w:rsid w:val="00AB7147"/>
    <w:rsid w:val="00AD5635"/>
    <w:rsid w:val="00AE199F"/>
    <w:rsid w:val="00AF4C0F"/>
    <w:rsid w:val="00B255B3"/>
    <w:rsid w:val="00B43C54"/>
    <w:rsid w:val="00B504F7"/>
    <w:rsid w:val="00B56CCE"/>
    <w:rsid w:val="00B81B18"/>
    <w:rsid w:val="00BC24ED"/>
    <w:rsid w:val="00BC5FC8"/>
    <w:rsid w:val="00C25583"/>
    <w:rsid w:val="00C75298"/>
    <w:rsid w:val="00C75A1C"/>
    <w:rsid w:val="00CA3B14"/>
    <w:rsid w:val="00CD7B5F"/>
    <w:rsid w:val="00CE5958"/>
    <w:rsid w:val="00CE6571"/>
    <w:rsid w:val="00D3061A"/>
    <w:rsid w:val="00D55197"/>
    <w:rsid w:val="00D55FE7"/>
    <w:rsid w:val="00D75DA2"/>
    <w:rsid w:val="00D7747E"/>
    <w:rsid w:val="00DC6611"/>
    <w:rsid w:val="00DE4417"/>
    <w:rsid w:val="00DF3697"/>
    <w:rsid w:val="00E00361"/>
    <w:rsid w:val="00E12A39"/>
    <w:rsid w:val="00E32F3B"/>
    <w:rsid w:val="00E71B0C"/>
    <w:rsid w:val="00E87C8C"/>
    <w:rsid w:val="00E9478E"/>
    <w:rsid w:val="00E97293"/>
    <w:rsid w:val="00EA5EB4"/>
    <w:rsid w:val="00ED5F2B"/>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E17CB0"/>
  <w15:docId w15:val="{90762EFE-063A-480D-9634-112AE079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80FD-7D4F-49F1-A7CD-4BCE34FB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2020-01-21T15:29:00Z</cp:lastPrinted>
  <dcterms:created xsi:type="dcterms:W3CDTF">2020-08-21T12:14:00Z</dcterms:created>
  <dcterms:modified xsi:type="dcterms:W3CDTF">2020-08-21T12:14:00Z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