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2016" w14:textId="1F67D8B7" w:rsidR="00906140" w:rsidRDefault="00906140" w:rsidP="00906140">
      <w:pPr>
        <w:shd w:val="clear" w:color="auto" w:fill="FFFFFF" w:themeFill="background1"/>
        <w:spacing w:after="0" w:line="240" w:lineRule="auto"/>
        <w:rPr>
          <w:rFonts w:ascii="GDS Transport" w:eastAsia="Times New Roman" w:hAnsi="GDS Transport" w:cs="Times New Roman"/>
          <w:color w:val="0B0C0C"/>
          <w:sz w:val="24"/>
          <w:szCs w:val="24"/>
          <w:lang w:val="en" w:eastAsia="en-GB"/>
        </w:rPr>
      </w:pPr>
      <w:bookmarkStart w:id="0" w:name="_Hlk50445106"/>
      <w:r w:rsidRPr="02CBC1EC">
        <w:rPr>
          <w:rFonts w:ascii="GDS Transport" w:eastAsia="Times New Roman" w:hAnsi="GDS Transport" w:cs="Times New Roman"/>
          <w:color w:val="0B0C0C"/>
          <w:sz w:val="24"/>
          <w:szCs w:val="24"/>
          <w:lang w:val="en" w:eastAsia="en-GB"/>
        </w:rPr>
        <w:t xml:space="preserve">Executive search, selection and candidate management for the role of Chair of Council  </w:t>
      </w:r>
    </w:p>
    <w:bookmarkEnd w:id="0"/>
    <w:p w14:paraId="230853DB" w14:textId="3BF7369B" w:rsidR="00906140" w:rsidRDefault="00906140" w:rsidP="00906140">
      <w:r>
        <w:t>(</w:t>
      </w:r>
      <w:r w:rsidRPr="00906140">
        <w:t>GDC-2020-059</w:t>
      </w:r>
      <w:r>
        <w:t>)</w:t>
      </w:r>
    </w:p>
    <w:p w14:paraId="53E5BBBF" w14:textId="77777777" w:rsidR="00906140" w:rsidRDefault="00906140" w:rsidP="00906140"/>
    <w:p w14:paraId="44DC3630" w14:textId="7D47DE16" w:rsidR="00906140" w:rsidRDefault="00906140" w:rsidP="00906140">
      <w:r>
        <w:t>Additional information -</w:t>
      </w:r>
      <w:r>
        <w:t>Attachment</w:t>
      </w:r>
    </w:p>
    <w:p w14:paraId="4F17A60E" w14:textId="77777777" w:rsidR="00906140" w:rsidRPr="009041A2" w:rsidRDefault="00906140" w:rsidP="00906140">
      <w:pPr>
        <w:spacing w:after="0"/>
        <w:rPr>
          <w:rFonts w:ascii="Arial" w:hAnsi="Arial" w:cs="Arial"/>
        </w:rPr>
      </w:pPr>
    </w:p>
    <w:p w14:paraId="594A4006" w14:textId="77777777" w:rsidR="00906140" w:rsidRDefault="00906140" w:rsidP="00906140">
      <w:pPr>
        <w:rPr>
          <w:rFonts w:ascii="Arial" w:hAnsi="Arial" w:cs="Arial"/>
          <w:b/>
          <w:bCs/>
        </w:rPr>
      </w:pPr>
      <w:r w:rsidRPr="009041A2">
        <w:rPr>
          <w:rFonts w:ascii="Arial" w:hAnsi="Arial" w:cs="Arial"/>
          <w:b/>
          <w:bCs/>
        </w:rPr>
        <w:t xml:space="preserve">The Procurement </w:t>
      </w:r>
    </w:p>
    <w:p w14:paraId="10871753" w14:textId="6E21CD62" w:rsidR="00906140" w:rsidRPr="002368A9" w:rsidRDefault="00906140" w:rsidP="009061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pivotal role for the GDC; it is important that the right person fills the role and can make a significant contribution to delivering GDC strategy and duties. We hope to see candidates from a diverse range of backgrounds to </w:t>
      </w:r>
      <w:r w:rsidR="0063478F">
        <w:rPr>
          <w:rFonts w:ascii="Arial" w:hAnsi="Arial" w:cs="Arial"/>
        </w:rPr>
        <w:t>complement</w:t>
      </w:r>
      <w:r>
        <w:rPr>
          <w:rFonts w:ascii="Arial" w:hAnsi="Arial" w:cs="Arial"/>
        </w:rPr>
        <w:t xml:space="preserve"> our Council and embody the diverse dental sector.</w:t>
      </w:r>
    </w:p>
    <w:p w14:paraId="29968945" w14:textId="77777777" w:rsidR="00906140" w:rsidRPr="009041A2" w:rsidRDefault="00906140" w:rsidP="00906140">
      <w:pPr>
        <w:rPr>
          <w:rFonts w:ascii="Arial" w:hAnsi="Arial" w:cs="Arial"/>
        </w:rPr>
      </w:pPr>
      <w:r w:rsidRPr="009041A2">
        <w:rPr>
          <w:rFonts w:ascii="Arial" w:hAnsi="Arial" w:cs="Arial"/>
        </w:rPr>
        <w:t xml:space="preserve">The GDC will be inviting tenders from suitably </w:t>
      </w:r>
      <w:r>
        <w:rPr>
          <w:rFonts w:ascii="Arial" w:hAnsi="Arial" w:cs="Arial"/>
        </w:rPr>
        <w:t>experienced</w:t>
      </w:r>
      <w:r w:rsidRPr="009041A2">
        <w:rPr>
          <w:rFonts w:ascii="Arial" w:hAnsi="Arial" w:cs="Arial"/>
        </w:rPr>
        <w:t xml:space="preserve"> </w:t>
      </w:r>
      <w:bookmarkStart w:id="1" w:name="_Hlk50450626"/>
      <w:r w:rsidRPr="009041A2">
        <w:rPr>
          <w:rFonts w:ascii="Arial" w:hAnsi="Arial" w:cs="Arial"/>
        </w:rPr>
        <w:t xml:space="preserve">executive search agency </w:t>
      </w:r>
      <w:bookmarkEnd w:id="1"/>
      <w:r w:rsidRPr="009041A2">
        <w:rPr>
          <w:rFonts w:ascii="Arial" w:hAnsi="Arial" w:cs="Arial"/>
        </w:rPr>
        <w:t>via our Delta e-tendering portal and the Contracts Finder portal. The anticipated timetable for th</w:t>
      </w:r>
      <w:r>
        <w:rPr>
          <w:rFonts w:ascii="Arial" w:hAnsi="Arial" w:cs="Arial"/>
        </w:rPr>
        <w:t>is</w:t>
      </w:r>
      <w:r w:rsidRPr="009041A2">
        <w:rPr>
          <w:rFonts w:ascii="Arial" w:hAnsi="Arial" w:cs="Arial"/>
        </w:rPr>
        <w:t xml:space="preserve"> procurement is as follows: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1"/>
        <w:gridCol w:w="4055"/>
      </w:tblGrid>
      <w:tr w:rsidR="00906140" w:rsidRPr="009041A2" w14:paraId="7812F989" w14:textId="77777777" w:rsidTr="00212EB9">
        <w:trPr>
          <w:trHeight w:val="281"/>
          <w:tblHeader/>
        </w:trPr>
        <w:tc>
          <w:tcPr>
            <w:tcW w:w="2749" w:type="pct"/>
            <w:tcBorders>
              <w:top w:val="single" w:sz="8" w:space="0" w:color="857362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E5CD" w14:textId="77777777" w:rsidR="00906140" w:rsidRPr="009041A2" w:rsidRDefault="00906140" w:rsidP="00212EB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9041A2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Procurement Activity</w:t>
            </w:r>
          </w:p>
        </w:tc>
        <w:tc>
          <w:tcPr>
            <w:tcW w:w="2251" w:type="pct"/>
            <w:tcBorders>
              <w:top w:val="single" w:sz="8" w:space="0" w:color="857362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92C2" w14:textId="77777777" w:rsidR="00906140" w:rsidRPr="009041A2" w:rsidRDefault="00906140" w:rsidP="00212EB9">
            <w:pPr>
              <w:spacing w:before="80" w:after="80"/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9041A2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Anticipate</w:t>
            </w:r>
            <w: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d</w:t>
            </w:r>
            <w:r w:rsidRPr="009041A2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 xml:space="preserve"> Dates and Times (Greenwich Mean Time, GMT)</w:t>
            </w:r>
          </w:p>
        </w:tc>
      </w:tr>
      <w:tr w:rsidR="00906140" w:rsidRPr="009041A2" w14:paraId="7DD488D7" w14:textId="77777777" w:rsidTr="00212EB9">
        <w:tc>
          <w:tcPr>
            <w:tcW w:w="5000" w:type="pct"/>
            <w:gridSpan w:val="2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ED8A" w14:textId="77777777" w:rsidR="00906140" w:rsidRPr="009041A2" w:rsidRDefault="00906140" w:rsidP="00212EB9">
            <w:pPr>
              <w:spacing w:before="80" w:after="8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78D2"/>
                <w:lang w:eastAsia="en-GB"/>
              </w:rPr>
              <w:t>Invitation to Tender stage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906140" w:rsidRPr="009041A2" w14:paraId="1C55072D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ABC5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Issue Invitation to Tender on </w:t>
            </w:r>
            <w:r>
              <w:rPr>
                <w:rFonts w:ascii="Arial" w:hAnsi="Arial" w:cs="Arial"/>
                <w:color w:val="000000"/>
                <w:lang w:eastAsia="en-GB"/>
              </w:rPr>
              <w:t>D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elta e-tendering and </w:t>
            </w:r>
            <w:r>
              <w:rPr>
                <w:rFonts w:ascii="Arial" w:hAnsi="Arial" w:cs="Arial"/>
                <w:color w:val="000000"/>
                <w:lang w:eastAsia="en-GB"/>
              </w:rPr>
              <w:t>C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ontracts </w:t>
            </w:r>
            <w:r>
              <w:rPr>
                <w:rFonts w:ascii="Arial" w:hAnsi="Arial" w:cs="Arial"/>
                <w:color w:val="000000"/>
                <w:lang w:eastAsia="en-GB"/>
              </w:rPr>
              <w:t>F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inder </w:t>
            </w:r>
            <w:r w:rsidRPr="0082655B">
              <w:rPr>
                <w:rFonts w:ascii="Arial" w:hAnsi="Arial" w:cs="Arial"/>
                <w:color w:val="000000"/>
                <w:lang w:eastAsia="en-GB"/>
              </w:rPr>
              <w:t>portal</w:t>
            </w:r>
            <w:r>
              <w:rPr>
                <w:rFonts w:ascii="Arial" w:hAnsi="Arial" w:cs="Arial"/>
                <w:color w:val="000000"/>
                <w:lang w:eastAsia="en-GB"/>
              </w:rPr>
              <w:t>s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9495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>12 October 2020</w:t>
            </w:r>
          </w:p>
        </w:tc>
      </w:tr>
      <w:tr w:rsidR="00906140" w:rsidRPr="009041A2" w14:paraId="75A45ED3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042C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GDC’s </w:t>
            </w:r>
            <w:bookmarkStart w:id="2" w:name="_Hlk50385393"/>
            <w:r w:rsidRPr="009041A2">
              <w:rPr>
                <w:rFonts w:ascii="Arial" w:hAnsi="Arial" w:cs="Arial"/>
                <w:color w:val="000000"/>
                <w:lang w:eastAsia="en-GB"/>
              </w:rPr>
              <w:t>Open Conference Call with Bidders</w:t>
            </w:r>
            <w:bookmarkEnd w:id="2"/>
            <w:r w:rsidRPr="009041A2">
              <w:rPr>
                <w:rFonts w:ascii="Arial" w:hAnsi="Arial" w:cs="Arial"/>
                <w:color w:val="000000"/>
                <w:lang w:eastAsia="en-GB"/>
              </w:rPr>
              <w:t>*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AFA7" w14:textId="525AABCB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6140">
              <w:rPr>
                <w:rFonts w:ascii="Arial" w:hAnsi="Arial" w:cs="Arial"/>
                <w:color w:val="000000"/>
                <w:lang w:eastAsia="en-GB"/>
              </w:rPr>
              <w:t xml:space="preserve">[ </w:t>
            </w:r>
            <w:r w:rsidRPr="00906140">
              <w:rPr>
                <w:rFonts w:ascii="Arial" w:hAnsi="Arial" w:cs="Arial"/>
                <w:color w:val="000000"/>
                <w:lang w:eastAsia="en-GB"/>
              </w:rPr>
              <w:t>TBC</w:t>
            </w:r>
            <w:r w:rsidRPr="00906140">
              <w:rPr>
                <w:rFonts w:ascii="Arial" w:hAnsi="Arial" w:cs="Arial"/>
                <w:color w:val="000000"/>
                <w:lang w:eastAsia="en-GB"/>
              </w:rPr>
              <w:t>]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 on </w:t>
            </w:r>
            <w:r>
              <w:rPr>
                <w:rFonts w:ascii="Arial" w:hAnsi="Arial" w:cs="Arial"/>
                <w:color w:val="000000"/>
                <w:lang w:eastAsia="en-GB"/>
              </w:rPr>
              <w:t>21</w:t>
            </w: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 October 2020 </w:t>
            </w:r>
          </w:p>
        </w:tc>
      </w:tr>
      <w:tr w:rsidR="00906140" w:rsidRPr="009041A2" w14:paraId="5A8654EA" w14:textId="77777777" w:rsidTr="00212EB9">
        <w:trPr>
          <w:trHeight w:val="383"/>
        </w:trPr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B798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 xml:space="preserve">Deadline for Bidders to submit clarification </w:t>
            </w:r>
            <w:r>
              <w:rPr>
                <w:rFonts w:ascii="Arial" w:hAnsi="Arial" w:cs="Arial"/>
                <w:lang w:eastAsia="en-GB"/>
              </w:rPr>
              <w:t xml:space="preserve">questions </w:t>
            </w:r>
            <w:r w:rsidRPr="009041A2">
              <w:rPr>
                <w:rFonts w:ascii="Arial" w:hAnsi="Arial" w:cs="Arial"/>
                <w:lang w:eastAsia="en-GB"/>
              </w:rPr>
              <w:t>in relation to the ITT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0E45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>Midday (12:00) on 2 November 2020</w:t>
            </w:r>
          </w:p>
        </w:tc>
      </w:tr>
      <w:tr w:rsidR="00906140" w:rsidRPr="009041A2" w14:paraId="18B547FC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8BEB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>Deadline for Bidders to submit Tenders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9A54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>Midday (12:00) on 13 November 2020</w:t>
            </w:r>
          </w:p>
        </w:tc>
      </w:tr>
      <w:tr w:rsidR="00906140" w:rsidRPr="009041A2" w14:paraId="52A1F814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3C40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>Presentation with short-listed Bidders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5BD0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>30 November 2020 (1 December provisional)</w:t>
            </w:r>
          </w:p>
        </w:tc>
      </w:tr>
      <w:tr w:rsidR="00906140" w:rsidRPr="009041A2" w14:paraId="597EACF7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F5FA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Notify Bidders of the outcome of the procurement 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4213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 xml:space="preserve">By 4 December 2020 </w:t>
            </w:r>
          </w:p>
        </w:tc>
      </w:tr>
      <w:tr w:rsidR="00906140" w:rsidRPr="009041A2" w14:paraId="0267B1BB" w14:textId="77777777" w:rsidTr="00212EB9">
        <w:trPr>
          <w:trHeight w:val="281"/>
        </w:trPr>
        <w:tc>
          <w:tcPr>
            <w:tcW w:w="5000" w:type="pct"/>
            <w:gridSpan w:val="2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664E" w14:textId="77777777" w:rsidR="00906140" w:rsidRPr="009041A2" w:rsidRDefault="00906140" w:rsidP="00212EB9">
            <w:pPr>
              <w:spacing w:before="80" w:after="80"/>
              <w:rPr>
                <w:rFonts w:ascii="Arial" w:hAnsi="Arial" w:cs="Arial"/>
                <w:color w:val="0078D2"/>
                <w:lang w:eastAsia="en-GB"/>
              </w:rPr>
            </w:pPr>
            <w:r w:rsidRPr="009041A2">
              <w:rPr>
                <w:rFonts w:ascii="Arial" w:hAnsi="Arial" w:cs="Arial"/>
                <w:color w:val="0078D2"/>
                <w:lang w:eastAsia="en-GB"/>
              </w:rPr>
              <w:t>Contract award</w:t>
            </w:r>
          </w:p>
        </w:tc>
      </w:tr>
      <w:tr w:rsidR="00906140" w:rsidRPr="009041A2" w14:paraId="3ED448A0" w14:textId="77777777" w:rsidTr="00212EB9"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FBEB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 xml:space="preserve">Finalise contract with successful Bidder 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4DEE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lang w:eastAsia="en-GB"/>
              </w:rPr>
              <w:t xml:space="preserve">by 18 December 2020 </w:t>
            </w:r>
          </w:p>
        </w:tc>
      </w:tr>
      <w:tr w:rsidR="00906140" w:rsidRPr="009041A2" w14:paraId="69910FEE" w14:textId="77777777" w:rsidTr="00212EB9">
        <w:trPr>
          <w:trHeight w:val="70"/>
        </w:trPr>
        <w:tc>
          <w:tcPr>
            <w:tcW w:w="2749" w:type="pct"/>
            <w:tcBorders>
              <w:top w:val="nil"/>
              <w:left w:val="single" w:sz="8" w:space="0" w:color="857362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FF8F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>Contract Commencement Date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857362"/>
              <w:right w:val="single" w:sz="8" w:space="0" w:color="85736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1533" w14:textId="77777777" w:rsidR="00906140" w:rsidRPr="009041A2" w:rsidRDefault="00906140" w:rsidP="00212EB9">
            <w:pPr>
              <w:spacing w:before="60" w:after="60"/>
              <w:rPr>
                <w:rFonts w:ascii="Arial" w:hAnsi="Arial" w:cs="Arial"/>
                <w:lang w:eastAsia="en-GB"/>
              </w:rPr>
            </w:pPr>
            <w:r w:rsidRPr="009041A2">
              <w:rPr>
                <w:rFonts w:ascii="Arial" w:hAnsi="Arial" w:cs="Arial"/>
                <w:color w:val="000000"/>
                <w:lang w:eastAsia="en-GB"/>
              </w:rPr>
              <w:t>11 January 2020</w:t>
            </w:r>
          </w:p>
        </w:tc>
      </w:tr>
    </w:tbl>
    <w:p w14:paraId="7D1D0575" w14:textId="77777777" w:rsidR="00906140" w:rsidRPr="009041A2" w:rsidRDefault="00906140" w:rsidP="00906140">
      <w:pPr>
        <w:rPr>
          <w:rFonts w:ascii="Arial" w:hAnsi="Arial" w:cs="Arial"/>
        </w:rPr>
      </w:pPr>
    </w:p>
    <w:p w14:paraId="5D675E33" w14:textId="77777777" w:rsidR="00906140" w:rsidRPr="009041A2" w:rsidRDefault="00906140" w:rsidP="00906140">
      <w:pPr>
        <w:rPr>
          <w:rFonts w:ascii="Arial" w:hAnsi="Arial" w:cs="Arial"/>
        </w:rPr>
      </w:pPr>
      <w:r w:rsidRPr="009041A2">
        <w:rPr>
          <w:rFonts w:ascii="Arial" w:hAnsi="Arial" w:cs="Arial"/>
        </w:rPr>
        <w:t xml:space="preserve">*We may hold an </w:t>
      </w:r>
      <w:bookmarkStart w:id="3" w:name="_Hlk50385452"/>
      <w:r w:rsidRPr="009041A2">
        <w:rPr>
          <w:rFonts w:ascii="Arial" w:hAnsi="Arial" w:cs="Arial"/>
        </w:rPr>
        <w:t xml:space="preserve">Open Conference Call with Bidders </w:t>
      </w:r>
      <w:bookmarkEnd w:id="3"/>
      <w:r w:rsidRPr="009041A2">
        <w:rPr>
          <w:rFonts w:ascii="Arial" w:hAnsi="Arial" w:cs="Arial"/>
        </w:rPr>
        <w:t xml:space="preserve">on the 19 October 2020, if there is sufficient interest from potential bidders to do so. The Open Conference Call is an opportunity for potential bidders to hear from members of </w:t>
      </w:r>
      <w:r>
        <w:rPr>
          <w:rFonts w:ascii="Arial" w:hAnsi="Arial" w:cs="Arial"/>
        </w:rPr>
        <w:t>our</w:t>
      </w:r>
      <w:r w:rsidRPr="009041A2">
        <w:rPr>
          <w:rFonts w:ascii="Arial" w:hAnsi="Arial" w:cs="Arial"/>
        </w:rPr>
        <w:t xml:space="preserve"> Senior Leadership team about the </w:t>
      </w:r>
      <w:r>
        <w:rPr>
          <w:rFonts w:ascii="Arial" w:hAnsi="Arial" w:cs="Arial"/>
        </w:rPr>
        <w:t xml:space="preserve">role, the </w:t>
      </w:r>
      <w:r w:rsidRPr="009041A2">
        <w:rPr>
          <w:rFonts w:ascii="Arial" w:hAnsi="Arial" w:cs="Arial"/>
        </w:rPr>
        <w:t xml:space="preserve">GDC, its vision and </w:t>
      </w:r>
      <w:r>
        <w:rPr>
          <w:rFonts w:ascii="Arial" w:hAnsi="Arial" w:cs="Arial"/>
        </w:rPr>
        <w:t xml:space="preserve">the </w:t>
      </w:r>
      <w:r w:rsidRPr="009041A2">
        <w:rPr>
          <w:rFonts w:ascii="Arial" w:hAnsi="Arial" w:cs="Arial"/>
        </w:rPr>
        <w:t>challenges</w:t>
      </w:r>
      <w:r>
        <w:rPr>
          <w:rFonts w:ascii="Arial" w:hAnsi="Arial" w:cs="Arial"/>
        </w:rPr>
        <w:t xml:space="preserve"> being faced in the D</w:t>
      </w:r>
      <w:r w:rsidRPr="009041A2">
        <w:rPr>
          <w:rFonts w:ascii="Arial" w:hAnsi="Arial" w:cs="Arial"/>
        </w:rPr>
        <w:t xml:space="preserve">ental sector. There will also be an opportunity </w:t>
      </w:r>
      <w:r>
        <w:rPr>
          <w:rFonts w:ascii="Arial" w:hAnsi="Arial" w:cs="Arial"/>
        </w:rPr>
        <w:t xml:space="preserve">for Bidders </w:t>
      </w:r>
      <w:r w:rsidRPr="009041A2">
        <w:rPr>
          <w:rFonts w:ascii="Arial" w:hAnsi="Arial" w:cs="Arial"/>
        </w:rPr>
        <w:t xml:space="preserve">to ask questions. If you are interested in attending an Open Conference Call, please email Erica Williams: </w:t>
      </w:r>
      <w:hyperlink r:id="rId5" w:history="1">
        <w:r w:rsidRPr="009041A2">
          <w:rPr>
            <w:rStyle w:val="Hyperlink"/>
            <w:rFonts w:ascii="Arial" w:hAnsi="Arial" w:cs="Arial"/>
          </w:rPr>
          <w:t>ewilliams@gdc-uk.org</w:t>
        </w:r>
      </w:hyperlink>
      <w:r>
        <w:rPr>
          <w:rStyle w:val="Hyperlink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15:00 on the 14 October 2021. </w:t>
      </w:r>
      <w:r w:rsidRPr="009041A2">
        <w:rPr>
          <w:rFonts w:ascii="Arial" w:hAnsi="Arial" w:cs="Arial"/>
        </w:rPr>
        <w:t xml:space="preserve"> The email subject header should be ‘Open Conference Call’ and provide the email addresses for your attendees. At this point we anticipate the open conference call </w:t>
      </w:r>
      <w:r>
        <w:rPr>
          <w:rFonts w:ascii="Arial" w:hAnsi="Arial" w:cs="Arial"/>
        </w:rPr>
        <w:t xml:space="preserve">will </w:t>
      </w:r>
      <w:r w:rsidRPr="009041A2">
        <w:rPr>
          <w:rFonts w:ascii="Arial" w:hAnsi="Arial" w:cs="Arial"/>
        </w:rPr>
        <w:t>last circa 1 hour.</w:t>
      </w:r>
    </w:p>
    <w:p w14:paraId="6195BEBD" w14:textId="77777777" w:rsidR="00906140" w:rsidRPr="009041A2" w:rsidRDefault="00906140" w:rsidP="00906140">
      <w:pPr>
        <w:rPr>
          <w:rFonts w:ascii="Arial" w:hAnsi="Arial" w:cs="Arial"/>
        </w:rPr>
      </w:pPr>
    </w:p>
    <w:p w14:paraId="32159C8A" w14:textId="77777777" w:rsidR="00346239" w:rsidRDefault="00346239"/>
    <w:sectPr w:rsidR="0034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DS Transpor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51E00"/>
    <w:multiLevelType w:val="multilevel"/>
    <w:tmpl w:val="08090025"/>
    <w:styleLink w:val="ericastyl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40"/>
    <w:rsid w:val="00346239"/>
    <w:rsid w:val="0063478F"/>
    <w:rsid w:val="00906140"/>
    <w:rsid w:val="009B4554"/>
    <w:rsid w:val="00A2120F"/>
    <w:rsid w:val="00D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8E2D"/>
  <w15:chartTrackingRefBased/>
  <w15:docId w15:val="{542839F7-5042-4895-98D7-64F9D29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40"/>
  </w:style>
  <w:style w:type="paragraph" w:styleId="Heading1">
    <w:name w:val="heading 1"/>
    <w:basedOn w:val="Normal"/>
    <w:next w:val="Normal"/>
    <w:link w:val="Heading1Char"/>
    <w:uiPriority w:val="9"/>
    <w:qFormat/>
    <w:rsid w:val="009B4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ricastyle">
    <w:name w:val="erica style"/>
    <w:uiPriority w:val="99"/>
    <w:rsid w:val="00A2120F"/>
    <w:pPr>
      <w:numPr>
        <w:numId w:val="1"/>
      </w:numPr>
    </w:pPr>
  </w:style>
  <w:style w:type="paragraph" w:styleId="TOC1">
    <w:name w:val="toc 1"/>
    <w:basedOn w:val="Heading1"/>
    <w:next w:val="Normal"/>
    <w:autoRedefine/>
    <w:uiPriority w:val="39"/>
    <w:semiHidden/>
    <w:unhideWhenUsed/>
    <w:qFormat/>
    <w:rsid w:val="009B4554"/>
    <w:pPr>
      <w:spacing w:after="100"/>
    </w:pPr>
    <w:rPr>
      <w:rFonts w:ascii="Arial" w:hAnsi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9B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semiHidden/>
    <w:unhideWhenUsed/>
    <w:qFormat/>
    <w:rsid w:val="009B4554"/>
    <w:pPr>
      <w:spacing w:after="100"/>
      <w:ind w:left="220"/>
    </w:pPr>
    <w:rPr>
      <w:rFonts w:ascii="Arial" w:hAnsi="Arial"/>
      <w:color w:val="808080" w:themeColor="background1" w:themeShade="8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5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3">
    <w:name w:val="toc 3"/>
    <w:basedOn w:val="BlockText"/>
    <w:next w:val="Normal"/>
    <w:autoRedefine/>
    <w:uiPriority w:val="39"/>
    <w:semiHidden/>
    <w:unhideWhenUsed/>
    <w:qFormat/>
    <w:rsid w:val="009B4554"/>
    <w:pPr>
      <w:spacing w:after="100"/>
      <w:ind w:left="440"/>
    </w:pPr>
    <w:rPr>
      <w:rFonts w:ascii="Arial" w:hAnsi="Arial"/>
      <w:i w:val="0"/>
      <w:color w:val="auto"/>
    </w:rPr>
  </w:style>
  <w:style w:type="paragraph" w:styleId="BlockText">
    <w:name w:val="Block Text"/>
    <w:basedOn w:val="Normal"/>
    <w:uiPriority w:val="99"/>
    <w:semiHidden/>
    <w:unhideWhenUsed/>
    <w:rsid w:val="009B45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061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6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1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illiams@gdc-u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Williams</dc:creator>
  <cp:keywords/>
  <dc:description/>
  <cp:lastModifiedBy>Erica Williams</cp:lastModifiedBy>
  <cp:revision>2</cp:revision>
  <dcterms:created xsi:type="dcterms:W3CDTF">2020-09-17T07:50:00Z</dcterms:created>
  <dcterms:modified xsi:type="dcterms:W3CDTF">2020-09-17T07:56:00Z</dcterms:modified>
</cp:coreProperties>
</file>