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11 – Social Value Declaration</w:t>
      </w:r>
    </w:p>
    <w:p w:rsidR="00000000" w:rsidDel="00000000" w:rsidP="00000000" w:rsidRDefault="00000000" w:rsidRPr="00000000" w14:paraId="00000002">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RM6116 – Network Services 3</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are required to comply with the terms of this statement and are signing to confirm that you will comply with these requirements at Call Off Award stage.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This attachment is not evaluated.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agree to deliver Social Value through Customer Call-Off Contracts awarded under this Framework Agreement.</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that Customers using the Framework Agreement can adopt any of the following approaches as part of the Call-Off Procedure:</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80" w:line="240" w:lineRule="auto"/>
        <w:ind w:left="85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They may provide us with the Social Value priority statement set out in Framework Schedule 1 Specification and ask us to outline what they can deliver to help meet these priorities, including a commitment to targets;</w:t>
      </w:r>
      <w:r w:rsidDel="00000000" w:rsidR="00000000" w:rsidRPr="00000000">
        <w:rPr>
          <w:rtl w:val="0"/>
        </w:rPr>
      </w:r>
    </w:p>
    <w:p w:rsidR="00000000" w:rsidDel="00000000" w:rsidP="00000000" w:rsidRDefault="00000000" w:rsidRPr="00000000" w14:paraId="0000000C">
      <w:pPr>
        <w:spacing w:after="280" w:line="240" w:lineRule="auto"/>
        <w:ind w:left="85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b)   They may set specific targets based on the Social Value priority statement within Framework Schedule 1 Specification and ask us to deliver these targets through their Call-Off Contract;</w:t>
      </w:r>
      <w:r w:rsidDel="00000000" w:rsidR="00000000" w:rsidRPr="00000000">
        <w:rPr>
          <w:rtl w:val="0"/>
        </w:rPr>
      </w:r>
    </w:p>
    <w:p w:rsidR="00000000" w:rsidDel="00000000" w:rsidP="00000000" w:rsidRDefault="00000000" w:rsidRPr="00000000" w14:paraId="0000000D">
      <w:pPr>
        <w:spacing w:after="280" w:line="240" w:lineRule="auto"/>
        <w:ind w:left="85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   They may include new Social Value measures based on the specific priorities of their organisation which are aligned to the policy areas set out in Framework Schedule 1 Specification, and then adopt the approach a) or b) above.</w:t>
      </w:r>
      <w:r w:rsidDel="00000000" w:rsidR="00000000" w:rsidRPr="00000000">
        <w:rPr>
          <w:rtl w:val="0"/>
        </w:rPr>
      </w:r>
    </w:p>
    <w:p w:rsidR="00000000" w:rsidDel="00000000" w:rsidP="00000000" w:rsidRDefault="00000000" w:rsidRPr="00000000" w14:paraId="0000000E">
      <w:pPr>
        <w:spacing w:after="280" w:line="240" w:lineRule="auto"/>
        <w:ind w:hanging="13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will support the delivery of the following Social Value themes: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Tackling economic inequality</w:t>
      </w:r>
      <w:r w:rsidDel="00000000" w:rsidR="00000000" w:rsidRPr="00000000">
        <w:rPr>
          <w:rtl w:val="0"/>
        </w:rPr>
      </w:r>
    </w:p>
    <w:p w:rsidR="00000000" w:rsidDel="00000000" w:rsidP="00000000" w:rsidRDefault="00000000" w:rsidRPr="00000000" w14:paraId="00000010">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shall, in agreeing to this Framework Agreement, actively seek to develop our company policies and management culture to promote opportunities in an inclusive way and assist the UK Government in the Levelling up agenda.</w:t>
      </w:r>
      <w:r w:rsidDel="00000000" w:rsidR="00000000" w:rsidRPr="00000000">
        <w:rPr>
          <w:rtl w:val="0"/>
        </w:rPr>
      </w:r>
    </w:p>
    <w:p w:rsidR="00000000" w:rsidDel="00000000" w:rsidP="00000000" w:rsidRDefault="00000000" w:rsidRPr="00000000" w14:paraId="00000011">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acknowledge that customers may be requesting active participation in, may be (including but are not limited to):</w:t>
      </w:r>
      <w:r w:rsidDel="00000000" w:rsidR="00000000" w:rsidRPr="00000000">
        <w:rPr>
          <w:rtl w:val="0"/>
        </w:rPr>
      </w:r>
    </w:p>
    <w:p w:rsidR="00000000" w:rsidDel="00000000" w:rsidP="00000000" w:rsidRDefault="00000000" w:rsidRPr="00000000" w14:paraId="00000012">
      <w:pPr>
        <w:numPr>
          <w:ilvl w:val="0"/>
          <w:numId w:val="7"/>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Creating training schemes that address skills gaps within the workplace that result in recognised qualifications.</w:t>
      </w:r>
    </w:p>
    <w:p w:rsidR="00000000" w:rsidDel="00000000" w:rsidP="00000000" w:rsidRDefault="00000000" w:rsidRPr="00000000" w14:paraId="00000013">
      <w:pPr>
        <w:numPr>
          <w:ilvl w:val="0"/>
          <w:numId w:val="7"/>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Promotion of awareness of careers and recruitment opportunities relating to known skills shortages or in high growth sectors relating to the subject matter of the contract.</w:t>
      </w:r>
    </w:p>
    <w:p w:rsidR="00000000" w:rsidDel="00000000" w:rsidP="00000000" w:rsidRDefault="00000000" w:rsidRPr="00000000" w14:paraId="00000014">
      <w:pPr>
        <w:numPr>
          <w:ilvl w:val="0"/>
          <w:numId w:val="7"/>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Identification of opportunities to grow supplier diversity in the contract supply chain or in the location/community where the contract is performed, including SME and VCSE participation and new business creation.</w:t>
      </w:r>
    </w:p>
    <w:p w:rsidR="00000000" w:rsidDel="00000000" w:rsidP="00000000" w:rsidRDefault="00000000" w:rsidRPr="00000000" w14:paraId="00000015">
      <w:pPr>
        <w:numPr>
          <w:ilvl w:val="0"/>
          <w:numId w:val="7"/>
        </w:numPr>
        <w:spacing w:after="28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Building innovative and/or disruptive technologies into network solutions that increase efficiency, quality, whilst reducing the overall cost baseline.</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80" w:line="240" w:lineRule="auto"/>
        <w:ind w:firstLine="426"/>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2   Equal opportunity</w:t>
      </w:r>
      <w:r w:rsidDel="00000000" w:rsidR="00000000" w:rsidRPr="00000000">
        <w:rPr>
          <w:rtl w:val="0"/>
        </w:rPr>
      </w:r>
    </w:p>
    <w:p w:rsidR="00000000" w:rsidDel="00000000" w:rsidP="00000000" w:rsidRDefault="00000000" w:rsidRPr="00000000" w14:paraId="00000018">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shall, in agreeing to this Framework Agreement, actively seek to develop our company policies and practices to comply with the Equal Opportunities Act of 2010. The key principles being:</w:t>
      </w:r>
      <w:r w:rsidDel="00000000" w:rsidR="00000000" w:rsidRPr="00000000">
        <w:rPr>
          <w:rtl w:val="0"/>
        </w:rPr>
      </w:r>
    </w:p>
    <w:p w:rsidR="00000000" w:rsidDel="00000000" w:rsidP="00000000" w:rsidRDefault="00000000" w:rsidRPr="00000000" w14:paraId="00000019">
      <w:pPr>
        <w:numPr>
          <w:ilvl w:val="0"/>
          <w:numId w:val="8"/>
        </w:numPr>
        <w:spacing w:after="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Eliminate discrimination.</w:t>
      </w:r>
    </w:p>
    <w:p w:rsidR="00000000" w:rsidDel="00000000" w:rsidP="00000000" w:rsidRDefault="00000000" w:rsidRPr="00000000" w14:paraId="0000001A">
      <w:pPr>
        <w:numPr>
          <w:ilvl w:val="0"/>
          <w:numId w:val="8"/>
        </w:numPr>
        <w:spacing w:after="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Advance equality of opportunity.</w:t>
      </w:r>
    </w:p>
    <w:p w:rsidR="00000000" w:rsidDel="00000000" w:rsidP="00000000" w:rsidRDefault="00000000" w:rsidRPr="00000000" w14:paraId="0000001B">
      <w:pPr>
        <w:numPr>
          <w:ilvl w:val="0"/>
          <w:numId w:val="8"/>
        </w:numPr>
        <w:spacing w:after="28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Foster good relations between different people when carrying out their activities.</w:t>
      </w:r>
    </w:p>
    <w:p w:rsidR="00000000" w:rsidDel="00000000" w:rsidP="00000000" w:rsidRDefault="00000000" w:rsidRPr="00000000" w14:paraId="0000001C">
      <w:pPr>
        <w:spacing w:after="280" w:line="240" w:lineRule="auto"/>
        <w:ind w:left="56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that by law, all organisations with 250 or more employees must publish and report specific figures about their gender pay gap, and the Authority expects our Suppliers to progress towards equalising this.</w:t>
      </w:r>
      <w:r w:rsidDel="00000000" w:rsidR="00000000" w:rsidRPr="00000000">
        <w:rPr>
          <w:rtl w:val="0"/>
        </w:rPr>
      </w:r>
    </w:p>
    <w:p w:rsidR="00000000" w:rsidDel="00000000" w:rsidP="00000000" w:rsidRDefault="00000000" w:rsidRPr="00000000" w14:paraId="0000001D">
      <w:pPr>
        <w:spacing w:after="280" w:line="240" w:lineRule="auto"/>
        <w:ind w:left="56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that the Authority expects Suppliers and Supplier Supply Chains to support and encourage employment and skills development opportunities through the performance of this Framework Agreement, with a specific focus on opportunities for priority groups, including but not limited to:</w:t>
      </w:r>
      <w:r w:rsidDel="00000000" w:rsidR="00000000" w:rsidRPr="00000000">
        <w:rPr>
          <w:rtl w:val="0"/>
        </w:rPr>
      </w:r>
    </w:p>
    <w:p w:rsidR="00000000" w:rsidDel="00000000" w:rsidP="00000000" w:rsidRDefault="00000000" w:rsidRPr="00000000" w14:paraId="0000001E">
      <w:pPr>
        <w:numPr>
          <w:ilvl w:val="0"/>
          <w:numId w:val="9"/>
        </w:numPr>
        <w:spacing w:after="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People with disabilities</w:t>
      </w:r>
    </w:p>
    <w:p w:rsidR="00000000" w:rsidDel="00000000" w:rsidP="00000000" w:rsidRDefault="00000000" w:rsidRPr="00000000" w14:paraId="0000001F">
      <w:pPr>
        <w:numPr>
          <w:ilvl w:val="0"/>
          <w:numId w:val="9"/>
        </w:numPr>
        <w:spacing w:after="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ex-offenders</w:t>
      </w:r>
    </w:p>
    <w:p w:rsidR="00000000" w:rsidDel="00000000" w:rsidP="00000000" w:rsidRDefault="00000000" w:rsidRPr="00000000" w14:paraId="00000020">
      <w:pPr>
        <w:numPr>
          <w:ilvl w:val="0"/>
          <w:numId w:val="9"/>
        </w:numPr>
        <w:spacing w:after="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BAME; and</w:t>
      </w:r>
    </w:p>
    <w:p w:rsidR="00000000" w:rsidDel="00000000" w:rsidP="00000000" w:rsidRDefault="00000000" w:rsidRPr="00000000" w14:paraId="00000021">
      <w:pPr>
        <w:numPr>
          <w:ilvl w:val="0"/>
          <w:numId w:val="9"/>
        </w:numPr>
        <w:spacing w:after="280" w:line="240" w:lineRule="auto"/>
        <w:ind w:left="144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long-term unemployed</w:t>
      </w:r>
    </w:p>
    <w:p w:rsidR="00000000" w:rsidDel="00000000" w:rsidP="00000000" w:rsidRDefault="00000000" w:rsidRPr="00000000" w14:paraId="00000022">
      <w:pPr>
        <w:spacing w:after="240" w:before="240" w:line="240" w:lineRule="auto"/>
        <w:ind w:left="709" w:hanging="141"/>
        <w:jc w:val="both"/>
        <w:rPr>
          <w:rFonts w:ascii="Times New Roman" w:cs="Times New Roman" w:eastAsia="Times New Roman" w:hAnsi="Times New Roman"/>
          <w:b w:val="1"/>
          <w:sz w:val="24"/>
          <w:szCs w:val="24"/>
        </w:rPr>
      </w:pPr>
      <w:r w:rsidDel="00000000" w:rsidR="00000000" w:rsidRPr="00000000">
        <w:rPr>
          <w:rFonts w:ascii="Arial" w:cs="Arial" w:eastAsia="Arial" w:hAnsi="Arial"/>
          <w:color w:val="000000"/>
          <w:sz w:val="24"/>
          <w:szCs w:val="24"/>
          <w:rtl w:val="0"/>
        </w:rPr>
        <w:t xml:space="preserve"> This support may include but is not limited to:</w:t>
      </w:r>
      <w:r w:rsidDel="00000000" w:rsidR="00000000" w:rsidRPr="00000000">
        <w:rPr>
          <w:rtl w:val="0"/>
        </w:rPr>
      </w:r>
    </w:p>
    <w:p w:rsidR="00000000" w:rsidDel="00000000" w:rsidP="00000000" w:rsidRDefault="00000000" w:rsidRPr="00000000" w14:paraId="00000023">
      <w:pPr>
        <w:numPr>
          <w:ilvl w:val="0"/>
          <w:numId w:val="1"/>
        </w:numPr>
        <w:spacing w:after="0" w:before="24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Apprenticeship and work experience placements</w:t>
      </w:r>
    </w:p>
    <w:p w:rsidR="00000000" w:rsidDel="00000000" w:rsidP="00000000" w:rsidRDefault="00000000" w:rsidRPr="00000000" w14:paraId="00000024">
      <w:pPr>
        <w:numPr>
          <w:ilvl w:val="0"/>
          <w:numId w:val="1"/>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Part-time and full-time employment and flexible working opportunities</w:t>
      </w:r>
    </w:p>
    <w:p w:rsidR="00000000" w:rsidDel="00000000" w:rsidP="00000000" w:rsidRDefault="00000000" w:rsidRPr="00000000" w14:paraId="00000025">
      <w:pPr>
        <w:numPr>
          <w:ilvl w:val="0"/>
          <w:numId w:val="1"/>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stable employment and hours of work, and avoiding exploitative employment practices including, for example, inappropriate use of zero-hour contracts or other forms of demand driven contracts</w:t>
      </w:r>
    </w:p>
    <w:p w:rsidR="00000000" w:rsidDel="00000000" w:rsidP="00000000" w:rsidRDefault="00000000" w:rsidRPr="00000000" w14:paraId="00000026">
      <w:pPr>
        <w:numPr>
          <w:ilvl w:val="0"/>
          <w:numId w:val="1"/>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027">
      <w:pPr>
        <w:numPr>
          <w:ilvl w:val="0"/>
          <w:numId w:val="1"/>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funded training and professional development opportunities for existing employees</w:t>
      </w:r>
    </w:p>
    <w:p w:rsidR="00000000" w:rsidDel="00000000" w:rsidP="00000000" w:rsidRDefault="00000000" w:rsidRPr="00000000" w14:paraId="00000028">
      <w:pPr>
        <w:numPr>
          <w:ilvl w:val="0"/>
          <w:numId w:val="1"/>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funded training opportunities (for individuals not employed by Supplier)</w:t>
      </w:r>
    </w:p>
    <w:p w:rsidR="00000000" w:rsidDel="00000000" w:rsidP="00000000" w:rsidRDefault="00000000" w:rsidRPr="00000000" w14:paraId="00000029">
      <w:pPr>
        <w:numPr>
          <w:ilvl w:val="0"/>
          <w:numId w:val="1"/>
        </w:numPr>
        <w:spacing w:after="24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fair and equal pay policy; and offering a range of employee assistance schemes.</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80" w:line="240" w:lineRule="auto"/>
        <w:ind w:left="720" w:hanging="436"/>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3   COVID-19 Recovery</w:t>
      </w:r>
      <w:r w:rsidDel="00000000" w:rsidR="00000000" w:rsidRPr="00000000">
        <w:rPr>
          <w:rtl w:val="0"/>
        </w:rPr>
      </w:r>
    </w:p>
    <w:p w:rsidR="00000000" w:rsidDel="00000000" w:rsidP="00000000" w:rsidRDefault="00000000" w:rsidRPr="00000000" w14:paraId="0000002C">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shall, in agreeing to this Framework Agreement, seek to help local communities to manage and recover from the impact of COVID 19.</w:t>
      </w:r>
      <w:r w:rsidDel="00000000" w:rsidR="00000000" w:rsidRPr="00000000">
        <w:rPr>
          <w:rtl w:val="0"/>
        </w:rPr>
      </w:r>
    </w:p>
    <w:p w:rsidR="00000000" w:rsidDel="00000000" w:rsidP="00000000" w:rsidRDefault="00000000" w:rsidRPr="00000000" w14:paraId="0000002D">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the ways in which we may be able to support this recovery, including but are not limited to:</w:t>
      </w:r>
      <w:r w:rsidDel="00000000" w:rsidR="00000000" w:rsidRPr="00000000">
        <w:rPr>
          <w:rtl w:val="0"/>
        </w:rPr>
      </w:r>
    </w:p>
    <w:p w:rsidR="00000000" w:rsidDel="00000000" w:rsidP="00000000" w:rsidRDefault="00000000" w:rsidRPr="00000000" w14:paraId="0000002E">
      <w:pPr>
        <w:numPr>
          <w:ilvl w:val="0"/>
          <w:numId w:val="2"/>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Create employment, re-training and other return to work opportunities for those left unemployed by COVID-19, particularly new opportunities in high growth sectors.</w:t>
      </w:r>
    </w:p>
    <w:p w:rsidR="00000000" w:rsidDel="00000000" w:rsidP="00000000" w:rsidRDefault="00000000" w:rsidRPr="00000000" w14:paraId="0000002F">
      <w:pPr>
        <w:numPr>
          <w:ilvl w:val="0"/>
          <w:numId w:val="2"/>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people and communities to manage and recover from the impacts of COVID-19, including those worst affected or who are shielding.</w:t>
      </w:r>
    </w:p>
    <w:p w:rsidR="00000000" w:rsidDel="00000000" w:rsidP="00000000" w:rsidRDefault="00000000" w:rsidRPr="00000000" w14:paraId="00000030">
      <w:pPr>
        <w:numPr>
          <w:ilvl w:val="0"/>
          <w:numId w:val="2"/>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organisations and businesses to manage and recover from the impacts of COVID-19, including where new ways of working are needed to deliver Services.</w:t>
      </w:r>
    </w:p>
    <w:p w:rsidR="00000000" w:rsidDel="00000000" w:rsidP="00000000" w:rsidRDefault="00000000" w:rsidRPr="00000000" w14:paraId="00000031">
      <w:pPr>
        <w:numPr>
          <w:ilvl w:val="0"/>
          <w:numId w:val="2"/>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the physical and mental health of people affected by COVID-19, including reducing the demand on health and care Services.</w:t>
      </w:r>
    </w:p>
    <w:p w:rsidR="00000000" w:rsidDel="00000000" w:rsidP="00000000" w:rsidRDefault="00000000" w:rsidRPr="00000000" w14:paraId="00000032">
      <w:pPr>
        <w:numPr>
          <w:ilvl w:val="0"/>
          <w:numId w:val="2"/>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Improve workplace conditions that support the COVID-19 recovery effort including effective social distancing, remote working, and sustainable travel solutions.</w:t>
      </w:r>
    </w:p>
    <w:p w:rsidR="00000000" w:rsidDel="00000000" w:rsidP="00000000" w:rsidRDefault="00000000" w:rsidRPr="00000000" w14:paraId="00000033">
      <w:pPr>
        <w:numPr>
          <w:ilvl w:val="0"/>
          <w:numId w:val="2"/>
        </w:numPr>
        <w:spacing w:after="28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Fair, inclusive and ethical employment practices &amp; skills development.</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80" w:line="240" w:lineRule="auto"/>
        <w:ind w:left="720" w:hanging="436"/>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4   Fighting climate change</w:t>
      </w:r>
      <w:r w:rsidDel="00000000" w:rsidR="00000000" w:rsidRPr="00000000">
        <w:rPr>
          <w:rtl w:val="0"/>
        </w:rPr>
      </w:r>
    </w:p>
    <w:p w:rsidR="00000000" w:rsidDel="00000000" w:rsidP="00000000" w:rsidRDefault="00000000" w:rsidRPr="00000000" w14:paraId="00000036">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shall, in agreeing to this Framework Agreement, be accountable for continuous development and execution of our Carbon Net Zero Plan, and actively seek to develop our company policies, and practices to promote the battle against climate change.</w:t>
      </w:r>
      <w:r w:rsidDel="00000000" w:rsidR="00000000" w:rsidRPr="00000000">
        <w:rPr>
          <w:rtl w:val="0"/>
        </w:rPr>
      </w:r>
    </w:p>
    <w:p w:rsidR="00000000" w:rsidDel="00000000" w:rsidP="00000000" w:rsidRDefault="00000000" w:rsidRPr="00000000" w14:paraId="00000037">
      <w:pPr>
        <w:spacing w:after="280" w:line="240" w:lineRule="auto"/>
        <w:ind w:left="566"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the ways in which we may be able to support this recovery, including but are not limited to:</w:t>
      </w:r>
      <w:r w:rsidDel="00000000" w:rsidR="00000000" w:rsidRPr="00000000">
        <w:rPr>
          <w:rtl w:val="0"/>
        </w:rPr>
      </w:r>
    </w:p>
    <w:p w:rsidR="00000000" w:rsidDel="00000000" w:rsidP="00000000" w:rsidRDefault="00000000" w:rsidRPr="00000000" w14:paraId="00000038">
      <w:pPr>
        <w:numPr>
          <w:ilvl w:val="0"/>
          <w:numId w:val="3"/>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Influence and/or incentivise staff, suppliers, customers and communities through the delivery of call-off contracts to support environmental protection and improvement initiatives.</w:t>
      </w:r>
    </w:p>
    <w:p w:rsidR="00000000" w:rsidDel="00000000" w:rsidP="00000000" w:rsidRDefault="00000000" w:rsidRPr="00000000" w14:paraId="00000039">
      <w:pPr>
        <w:numPr>
          <w:ilvl w:val="0"/>
          <w:numId w:val="3"/>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Invest in the adoption and/or deployment of technologies that help reduce carbon emissions in service delivery across the entire supply chain.</w:t>
      </w:r>
    </w:p>
    <w:p w:rsidR="00000000" w:rsidDel="00000000" w:rsidP="00000000" w:rsidRDefault="00000000" w:rsidRPr="00000000" w14:paraId="0000003A">
      <w:pPr>
        <w:numPr>
          <w:ilvl w:val="0"/>
          <w:numId w:val="3"/>
        </w:numPr>
        <w:spacing w:after="28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Invest in the monitoring and reporting of carbon emissions of the corporation, their supply chain, and the solutions they delivery to the customer. </w:t>
      </w:r>
    </w:p>
    <w:p w:rsidR="00000000" w:rsidDel="00000000" w:rsidP="00000000" w:rsidRDefault="00000000" w:rsidRPr="00000000" w14:paraId="0000003B">
      <w:pPr>
        <w:spacing w:after="280" w:line="240" w:lineRule="auto"/>
        <w:ind w:firstLine="284"/>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5   Other Social Value Considerations </w:t>
      </w:r>
      <w:r w:rsidDel="00000000" w:rsidR="00000000" w:rsidRPr="00000000">
        <w:rPr>
          <w:rtl w:val="0"/>
        </w:rPr>
      </w:r>
    </w:p>
    <w:p w:rsidR="00000000" w:rsidDel="00000000" w:rsidP="00000000" w:rsidRDefault="00000000" w:rsidRPr="00000000" w14:paraId="0000003C">
      <w:pPr>
        <w:spacing w:after="280" w:line="240" w:lineRule="auto"/>
        <w:ind w:left="567"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We note other Social Value considerations which may be considered by the Customer at Call Off stage.  These include but are not limited to:</w:t>
      </w: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Delivering a diverse Supply Chain</w:t>
      </w:r>
    </w:p>
    <w:p w:rsidR="00000000" w:rsidDel="00000000" w:rsidP="00000000" w:rsidRDefault="00000000" w:rsidRPr="00000000" w14:paraId="0000003E">
      <w:pPr>
        <w:numPr>
          <w:ilvl w:val="0"/>
          <w:numId w:val="4"/>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Ensuring safe &amp; secure Supply Chains: addressing modern slavery and exploitation in our Supply Chain</w:t>
      </w:r>
    </w:p>
    <w:p w:rsidR="00000000" w:rsidDel="00000000" w:rsidP="00000000" w:rsidRDefault="00000000" w:rsidRPr="00000000" w14:paraId="0000003F">
      <w:pPr>
        <w:numPr>
          <w:ilvl w:val="0"/>
          <w:numId w:val="4"/>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Environmental sustainability: promoting sustainable production and consumption and an improvement in environmental quality in support of the 25-year environment plan</w:t>
      </w:r>
    </w:p>
    <w:p w:rsidR="00000000" w:rsidDel="00000000" w:rsidP="00000000" w:rsidRDefault="00000000" w:rsidRPr="00000000" w14:paraId="00000040">
      <w:pPr>
        <w:numPr>
          <w:ilvl w:val="0"/>
          <w:numId w:val="4"/>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Adhering to Ethical behaviour standards</w:t>
      </w:r>
    </w:p>
    <w:p w:rsidR="00000000" w:rsidDel="00000000" w:rsidP="00000000" w:rsidRDefault="00000000" w:rsidRPr="00000000" w14:paraId="00000041">
      <w:pPr>
        <w:numPr>
          <w:ilvl w:val="0"/>
          <w:numId w:val="4"/>
        </w:numPr>
        <w:spacing w:after="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Providing Wellbeing &amp; community benefits</w:t>
      </w:r>
    </w:p>
    <w:p w:rsidR="00000000" w:rsidDel="00000000" w:rsidP="00000000" w:rsidRDefault="00000000" w:rsidRPr="00000000" w14:paraId="00000042">
      <w:pPr>
        <w:numPr>
          <w:ilvl w:val="0"/>
          <w:numId w:val="4"/>
        </w:numPr>
        <w:spacing w:after="280" w:line="240" w:lineRule="auto"/>
        <w:ind w:left="993"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Measurement and reporting of Social Value performance data</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b w:val="1"/>
          <w:sz w:val="27"/>
          <w:szCs w:val="27"/>
        </w:rPr>
      </w:pPr>
      <w:r w:rsidDel="00000000" w:rsidR="00000000" w:rsidRPr="00000000">
        <w:rPr>
          <w:rFonts w:ascii="Arial" w:cs="Arial" w:eastAsia="Arial" w:hAnsi="Arial"/>
          <w:color w:val="000000"/>
          <w:sz w:val="24"/>
          <w:szCs w:val="24"/>
          <w:rtl w:val="0"/>
        </w:rPr>
        <w:t xml:space="preserve">We agree to develop and maintain a plan throughout the life of the Framework Agreement detailing how we will contribute to the overall achievement of our Social Value priorities. For the avoidance of doubt:</w:t>
      </w:r>
      <w:r w:rsidDel="00000000" w:rsidR="00000000" w:rsidRPr="00000000">
        <w:rPr>
          <w:rtl w:val="0"/>
        </w:rPr>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b w:val="1"/>
          <w:sz w:val="27"/>
          <w:szCs w:val="27"/>
        </w:rPr>
      </w:pPr>
      <w:r w:rsidDel="00000000" w:rsidR="00000000" w:rsidRPr="00000000">
        <w:rPr>
          <w:rFonts w:ascii="Arial" w:cs="Arial" w:eastAsia="Arial" w:hAnsi="Arial"/>
          <w:color w:val="000000"/>
          <w:sz w:val="24"/>
          <w:szCs w:val="24"/>
          <w:rtl w:val="0"/>
        </w:rPr>
        <w:t xml:space="preserve">We agree to provide an implementation plan to the Customer detailing how the required Social Value commitments will be delivered through the Call-Off Contract.</w:t>
      </w:r>
      <w:r w:rsidDel="00000000" w:rsidR="00000000" w:rsidRPr="00000000">
        <w:rPr>
          <w:rtl w:val="0"/>
        </w:rPr>
      </w:r>
    </w:p>
    <w:p w:rsidR="00000000" w:rsidDel="00000000" w:rsidP="00000000" w:rsidRDefault="00000000" w:rsidRPr="00000000" w14:paraId="00000045">
      <w:pPr>
        <w:spacing w:after="240" w:before="240" w:line="240" w:lineRule="auto"/>
        <w:jc w:val="both"/>
        <w:rPr>
          <w:rFonts w:ascii="Times New Roman" w:cs="Times New Roman" w:eastAsia="Times New Roman" w:hAnsi="Times New Roman"/>
          <w:b w:val="1"/>
          <w:sz w:val="27"/>
          <w:szCs w:val="27"/>
        </w:rPr>
      </w:pPr>
      <w:r w:rsidDel="00000000" w:rsidR="00000000" w:rsidRPr="00000000">
        <w:rPr>
          <w:rFonts w:ascii="Arial" w:cs="Arial" w:eastAsia="Arial" w:hAnsi="Arial"/>
          <w:color w:val="000000"/>
          <w:sz w:val="24"/>
          <w:szCs w:val="24"/>
          <w:rtl w:val="0"/>
        </w:rPr>
        <w:t xml:space="preserve">We agree to work with the Customer to jointly agree the timeline for delivering the targets and measures that were committed to by us during the Call Off Procedure.</w:t>
      </w:r>
      <w:r w:rsidDel="00000000" w:rsidR="00000000" w:rsidRPr="00000000">
        <w:rPr>
          <w:rtl w:val="0"/>
        </w:rPr>
      </w:r>
    </w:p>
    <w:p w:rsidR="00000000" w:rsidDel="00000000" w:rsidP="00000000" w:rsidRDefault="00000000" w:rsidRPr="00000000" w14:paraId="00000046">
      <w:pPr>
        <w:spacing w:after="240" w:before="240" w:line="240" w:lineRule="auto"/>
        <w:jc w:val="both"/>
        <w:rPr>
          <w:rFonts w:ascii="Times New Roman" w:cs="Times New Roman" w:eastAsia="Times New Roman" w:hAnsi="Times New Roman"/>
          <w:b w:val="1"/>
          <w:sz w:val="27"/>
          <w:szCs w:val="27"/>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We agree that in delivering Social Value, the following measures may be used: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agree to manage, measure and report on the delivery of Social Value throughout the life of all Call-Off Contracts under this Framework Agreement.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agree to provide an annual Social Value delivery statement to the Authority detailing the Social Value that has been delivered through Call-Off Contracts under this Framework.</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agree that as part of the civil society strategy implementation the Authority reserves the right to publish information on the delivery of Social Value through this Framework and may contact us requesting case studies for the purpose of increasing awareness and sharing knowledge.</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blHeader w:val="0"/>
        </w:trPr>
        <w:tc>
          <w:tcPr/>
          <w:p w:rsidR="00000000" w:rsidDel="00000000" w:rsidP="00000000" w:rsidRDefault="00000000" w:rsidRPr="00000000" w14:paraId="0000004B">
            <w:pPr>
              <w:rPr>
                <w:rFonts w:ascii="Arial" w:cs="Arial" w:eastAsia="Arial" w:hAnsi="Arial"/>
                <w:b w:val="1"/>
              </w:rPr>
            </w:pPr>
            <w:r w:rsidDel="00000000" w:rsidR="00000000" w:rsidRPr="00000000">
              <w:rPr>
                <w:rFonts w:ascii="Arial" w:cs="Arial" w:eastAsia="Arial" w:hAnsi="Arial"/>
                <w:b w:val="1"/>
                <w:rtl w:val="0"/>
              </w:rPr>
              <w:t xml:space="preserve">Signature: </w:t>
            </w:r>
          </w:p>
          <w:p w:rsidR="00000000" w:rsidDel="00000000" w:rsidP="00000000" w:rsidRDefault="00000000" w:rsidRPr="00000000" w14:paraId="0000004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Position in Company e.g. Chief Executive/Director:</w:t>
            </w:r>
          </w:p>
          <w:p w:rsidR="00000000" w:rsidDel="00000000" w:rsidP="00000000" w:rsidRDefault="00000000" w:rsidRPr="00000000" w14:paraId="00000051">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Name of Company:</w:t>
            </w:r>
          </w:p>
          <w:p w:rsidR="00000000" w:rsidDel="00000000" w:rsidP="00000000" w:rsidRDefault="00000000" w:rsidRPr="00000000" w14:paraId="00000054">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Company Address:</w:t>
            </w:r>
          </w:p>
          <w:p w:rsidR="00000000" w:rsidDel="00000000" w:rsidP="00000000" w:rsidRDefault="00000000" w:rsidRPr="00000000" w14:paraId="0000005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tc>
      </w:tr>
    </w:tbl>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rFonts w:ascii="Arial" w:cs="Arial" w:eastAsia="Arial" w:hAnsi="Arial"/>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8462F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8462F4"/>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8462F4"/>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D25CC1"/>
    <w:pPr>
      <w:ind w:left="720"/>
      <w:contextualSpacing w:val="1"/>
    </w:pPr>
  </w:style>
  <w:style w:type="table" w:styleId="TableGrid">
    <w:name w:val="Table Grid"/>
    <w:basedOn w:val="TableNormal"/>
    <w:uiPriority w:val="39"/>
    <w:rsid w:val="001D32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V8YO1VMPyNr+vEfYpgDfnYhR9A==">AMUW2mUOLweR7wOfQ6tulzmo3iqdCd1JgeDEMr5W+Nn4201wWTM5mixlN1oOo87Vr5SrqCM2Je1XgdyiElnF26CN1nTMabFrwKWFeHa48N/kR5qREP2dPPHHwr7Vas+RlQAP1NRbJnUs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2022-11-08T08:27:00Z</dcterms:created>
  <dc:creator>James Ferris</dc:creator>
</cp:coreProperties>
</file>