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BA0BE" w14:textId="593B811A" w:rsidR="00A73DD5" w:rsidRPr="005C0862" w:rsidRDefault="00A73DD5" w:rsidP="00694DF4">
      <w:pPr>
        <w:jc w:val="center"/>
        <w:rPr>
          <w:b/>
          <w:sz w:val="24"/>
          <w:szCs w:val="24"/>
          <w:u w:val="single"/>
        </w:rPr>
      </w:pPr>
      <w:r w:rsidRPr="005C0862">
        <w:rPr>
          <w:b/>
          <w:sz w:val="24"/>
          <w:szCs w:val="24"/>
          <w:u w:val="single"/>
        </w:rPr>
        <w:t xml:space="preserve">Cambridgeshire County Council </w:t>
      </w:r>
      <w:r w:rsidR="0017362E" w:rsidRPr="005C0862">
        <w:rPr>
          <w:b/>
          <w:sz w:val="24"/>
          <w:szCs w:val="24"/>
          <w:u w:val="single"/>
        </w:rPr>
        <w:t>Educat</w:t>
      </w:r>
      <w:r w:rsidRPr="005C0862">
        <w:rPr>
          <w:b/>
          <w:sz w:val="24"/>
          <w:szCs w:val="24"/>
          <w:u w:val="single"/>
        </w:rPr>
        <w:t>ion Capital Procurement Options</w:t>
      </w:r>
    </w:p>
    <w:p w14:paraId="4EA1959C" w14:textId="43BF23E1" w:rsidR="00694DF4" w:rsidRPr="002569E2" w:rsidRDefault="00694DF4" w:rsidP="002569E2">
      <w:pPr>
        <w:rPr>
          <w:b/>
          <w:u w:val="single"/>
        </w:rPr>
      </w:pPr>
      <w:r w:rsidRPr="002569E2">
        <w:rPr>
          <w:b/>
          <w:u w:val="single"/>
        </w:rPr>
        <w:t>Backgro</w:t>
      </w:r>
      <w:r w:rsidR="00D932AC">
        <w:rPr>
          <w:b/>
          <w:u w:val="single"/>
        </w:rPr>
        <w:t>und and scope of the Education capital programme</w:t>
      </w:r>
    </w:p>
    <w:p w14:paraId="084C52EC" w14:textId="79CC4A04" w:rsidR="00D12023" w:rsidRPr="0058060B" w:rsidRDefault="002569E2" w:rsidP="002569E2">
      <w:pPr>
        <w:rPr>
          <w:b/>
        </w:rPr>
      </w:pPr>
      <w:r w:rsidRPr="0058060B">
        <w:rPr>
          <w:b/>
        </w:rPr>
        <w:t xml:space="preserve">1.  </w:t>
      </w:r>
      <w:r w:rsidR="00D12023" w:rsidRPr="0058060B">
        <w:rPr>
          <w:b/>
        </w:rPr>
        <w:t>Programme Focus</w:t>
      </w:r>
    </w:p>
    <w:p w14:paraId="263D12AC" w14:textId="1AC665C0" w:rsidR="00D12023" w:rsidRDefault="00D12023" w:rsidP="002569E2">
      <w:pPr>
        <w:pStyle w:val="ListParagraph"/>
        <w:numPr>
          <w:ilvl w:val="1"/>
          <w:numId w:val="18"/>
        </w:numPr>
        <w:ind w:left="709" w:hanging="425"/>
        <w:jc w:val="both"/>
      </w:pPr>
      <w:r w:rsidRPr="00D12023">
        <w:t>The majority of the schools’ capital programme is generated in direct response to the statutory requirement to provide sufficient school places to meet demand.</w:t>
      </w:r>
    </w:p>
    <w:p w14:paraId="0ACAA270" w14:textId="77777777" w:rsidR="00D12023" w:rsidRPr="00D12023" w:rsidRDefault="00D12023" w:rsidP="002569E2">
      <w:pPr>
        <w:pStyle w:val="ListParagraph"/>
        <w:ind w:left="1095"/>
        <w:jc w:val="both"/>
      </w:pPr>
    </w:p>
    <w:p w14:paraId="3548A539" w14:textId="1359A8CF" w:rsidR="005C0862" w:rsidRDefault="00D12023" w:rsidP="005C0862">
      <w:pPr>
        <w:pStyle w:val="ListParagraph"/>
        <w:numPr>
          <w:ilvl w:val="1"/>
          <w:numId w:val="18"/>
        </w:numPr>
        <w:ind w:left="709" w:hanging="425"/>
        <w:jc w:val="both"/>
      </w:pPr>
      <w:r w:rsidRPr="00D12023">
        <w:t>The Council operates a five year rolling revenue budget,</w:t>
      </w:r>
      <w:r w:rsidR="002569E2">
        <w:t xml:space="preserve"> and a ten year rolling capital </w:t>
      </w:r>
      <w:r w:rsidRPr="00D12023">
        <w:t>programme. The very nature of capital planning necessitates alteration and refinement to proposals and funding during the planning period; therefore whilst the early years of the Business Plan provide robust, detailed estimates of schemes, the later years only provide indicative forecasts of the likely infrastructure needs and revenue streams for the Council.</w:t>
      </w:r>
    </w:p>
    <w:p w14:paraId="337A6ADD" w14:textId="77777777" w:rsidR="005C0862" w:rsidRDefault="005C0862" w:rsidP="005C0862">
      <w:pPr>
        <w:pStyle w:val="ListParagraph"/>
      </w:pPr>
    </w:p>
    <w:p w14:paraId="71ADCC10" w14:textId="77777777" w:rsidR="005C0862" w:rsidRPr="00D12023" w:rsidRDefault="005C0862" w:rsidP="005C0862">
      <w:pPr>
        <w:pStyle w:val="ListParagraph"/>
        <w:ind w:left="709"/>
        <w:jc w:val="both"/>
      </w:pPr>
      <w:bookmarkStart w:id="0" w:name="_GoBack"/>
      <w:bookmarkEnd w:id="0"/>
    </w:p>
    <w:p w14:paraId="498EAE86" w14:textId="20F5E6BB" w:rsidR="00D12023" w:rsidRDefault="00D12023" w:rsidP="002569E2">
      <w:pPr>
        <w:pStyle w:val="ListParagraph"/>
        <w:numPr>
          <w:ilvl w:val="1"/>
          <w:numId w:val="18"/>
        </w:numPr>
        <w:ind w:left="709" w:hanging="425"/>
        <w:jc w:val="both"/>
      </w:pPr>
      <w:r w:rsidRPr="00D12023">
        <w:t>To help with budget setting, prior to a project being agreed or placed within the education capital programme, the Council requires a full multi-disciplinary team to develop a feasibility (RIBA stages 0-2). In all cases the client team brief and manage the consultants and contractors, and also oversee the involvement of representatives from the Council’s Strategic Assets Service, LGSS Finance and LGSS Law Limited.</w:t>
      </w:r>
    </w:p>
    <w:p w14:paraId="1E3A9C66" w14:textId="77777777" w:rsidR="00D12023" w:rsidRPr="00D12023" w:rsidRDefault="00D12023" w:rsidP="002569E2">
      <w:pPr>
        <w:pStyle w:val="ListParagraph"/>
        <w:ind w:left="1095"/>
        <w:jc w:val="both"/>
      </w:pPr>
    </w:p>
    <w:p w14:paraId="58E06C6B" w14:textId="402593DF" w:rsidR="0058060B" w:rsidRDefault="00D932AC" w:rsidP="002569E2">
      <w:pPr>
        <w:pStyle w:val="ListParagraph"/>
        <w:ind w:left="0"/>
        <w:rPr>
          <w:b/>
        </w:rPr>
      </w:pPr>
      <w:r>
        <w:rPr>
          <w:b/>
        </w:rPr>
        <w:t>2. Current a</w:t>
      </w:r>
      <w:r w:rsidR="00D12023" w:rsidRPr="0058060B">
        <w:rPr>
          <w:b/>
        </w:rPr>
        <w:t>pproach</w:t>
      </w:r>
      <w:r>
        <w:rPr>
          <w:b/>
        </w:rPr>
        <w:t xml:space="preserve"> to capital delivery</w:t>
      </w:r>
    </w:p>
    <w:p w14:paraId="024DE342" w14:textId="77777777" w:rsidR="005C0862" w:rsidRPr="005C0862" w:rsidRDefault="005C0862" w:rsidP="002569E2">
      <w:pPr>
        <w:pStyle w:val="ListParagraph"/>
        <w:ind w:left="0"/>
        <w:rPr>
          <w:b/>
        </w:rPr>
      </w:pPr>
    </w:p>
    <w:p w14:paraId="1293DA83" w14:textId="2CA830BB" w:rsidR="00D12023" w:rsidRDefault="00B75261" w:rsidP="002569E2">
      <w:pPr>
        <w:pStyle w:val="ListParagraph"/>
        <w:ind w:left="709" w:hanging="425"/>
        <w:jc w:val="both"/>
      </w:pPr>
      <w:r>
        <w:t xml:space="preserve">2.1  </w:t>
      </w:r>
      <w:r w:rsidRPr="00D12023">
        <w:t xml:space="preserve">The Council </w:t>
      </w:r>
      <w:r>
        <w:t xml:space="preserve">currently </w:t>
      </w:r>
      <w:r w:rsidRPr="00D12023">
        <w:t>operates a Design &amp; Build (D&amp;B) model of procurement to deliver its large</w:t>
      </w:r>
      <w:r>
        <w:t xml:space="preserve">-scale, major capital projects.  </w:t>
      </w:r>
      <w:r w:rsidR="00D12023" w:rsidRPr="00D12023">
        <w:t>In 2017 the Council procured it</w:t>
      </w:r>
      <w:r>
        <w:t>s own two stage D&amp;B</w:t>
      </w:r>
      <w:r w:rsidR="00D12023" w:rsidRPr="00D12023">
        <w:t xml:space="preserve"> Contractors Framework.</w:t>
      </w:r>
      <w:r>
        <w:t xml:space="preserve"> </w:t>
      </w:r>
      <w:r w:rsidR="00D12023" w:rsidRPr="00D12023">
        <w:t xml:space="preserve"> The framework will run for a four year period until </w:t>
      </w:r>
      <w:r w:rsidR="00D12023">
        <w:t xml:space="preserve">late </w:t>
      </w:r>
      <w:r w:rsidR="00D12023" w:rsidRPr="00D12023">
        <w:t>spring 2021. Pre-construction services are provided by the contractors under the NEC Professional Services Contract, which are then subsumed into the Engineering and Construction Contracts NEC3 Contract from RIBA Stage 5 on</w:t>
      </w:r>
      <w:r w:rsidR="00407860">
        <w:t>war</w:t>
      </w:r>
      <w:r>
        <w:t>ds.  The Lots and Bands of the f</w:t>
      </w:r>
      <w:r w:rsidR="00407860">
        <w:t>ramework are as follows:</w:t>
      </w:r>
    </w:p>
    <w:p w14:paraId="656D40A5" w14:textId="110EA550" w:rsidR="00407860" w:rsidRDefault="00407860" w:rsidP="002569E2">
      <w:pPr>
        <w:pStyle w:val="ListParagraph"/>
        <w:numPr>
          <w:ilvl w:val="0"/>
          <w:numId w:val="28"/>
        </w:numPr>
        <w:ind w:left="1701" w:hanging="283"/>
        <w:jc w:val="both"/>
      </w:pPr>
      <w:r>
        <w:t>Lot 1:  £1m - £2.99m</w:t>
      </w:r>
    </w:p>
    <w:p w14:paraId="363A9467" w14:textId="0C11B762" w:rsidR="00407860" w:rsidRDefault="00407860" w:rsidP="002569E2">
      <w:pPr>
        <w:pStyle w:val="ListParagraph"/>
        <w:numPr>
          <w:ilvl w:val="0"/>
          <w:numId w:val="28"/>
        </w:numPr>
        <w:ind w:left="1701" w:hanging="283"/>
        <w:jc w:val="both"/>
      </w:pPr>
      <w:r>
        <w:t>Lot 2:  £3m - £6.499m</w:t>
      </w:r>
    </w:p>
    <w:p w14:paraId="0C899BA3" w14:textId="7618583E" w:rsidR="00407860" w:rsidRDefault="00407860" w:rsidP="002569E2">
      <w:pPr>
        <w:pStyle w:val="ListParagraph"/>
        <w:numPr>
          <w:ilvl w:val="0"/>
          <w:numId w:val="28"/>
        </w:numPr>
        <w:ind w:left="1701" w:hanging="283"/>
        <w:jc w:val="both"/>
      </w:pPr>
      <w:r>
        <w:t>Lot 3:  £6.5m - £9.99m</w:t>
      </w:r>
    </w:p>
    <w:p w14:paraId="304A4C44" w14:textId="57E16F09" w:rsidR="00407860" w:rsidRDefault="00407860" w:rsidP="002569E2">
      <w:pPr>
        <w:pStyle w:val="ListParagraph"/>
        <w:numPr>
          <w:ilvl w:val="0"/>
          <w:numId w:val="28"/>
        </w:numPr>
        <w:ind w:left="1701" w:hanging="283"/>
        <w:jc w:val="both"/>
      </w:pPr>
      <w:r>
        <w:t>Lot 4:  £10m - £14.99m</w:t>
      </w:r>
    </w:p>
    <w:p w14:paraId="5480AB07" w14:textId="539C020F" w:rsidR="0058060B" w:rsidRDefault="00407860" w:rsidP="005C0862">
      <w:pPr>
        <w:pStyle w:val="ListParagraph"/>
        <w:numPr>
          <w:ilvl w:val="0"/>
          <w:numId w:val="28"/>
        </w:numPr>
        <w:ind w:left="1701" w:hanging="283"/>
        <w:jc w:val="both"/>
      </w:pPr>
      <w:r>
        <w:t>Lot 5:  £15m+</w:t>
      </w:r>
    </w:p>
    <w:p w14:paraId="2307E7F8" w14:textId="77777777" w:rsidR="005C0862" w:rsidRDefault="005C0862" w:rsidP="005C0862">
      <w:pPr>
        <w:pStyle w:val="ListParagraph"/>
        <w:ind w:left="1701"/>
        <w:jc w:val="both"/>
      </w:pPr>
    </w:p>
    <w:p w14:paraId="593BFBC5" w14:textId="18173DCD" w:rsidR="00407860" w:rsidRDefault="002569E2" w:rsidP="002569E2">
      <w:pPr>
        <w:pStyle w:val="ListParagraph"/>
        <w:ind w:left="709" w:hanging="425"/>
        <w:jc w:val="both"/>
      </w:pPr>
      <w:r>
        <w:t>2.</w:t>
      </w:r>
      <w:r w:rsidR="005C0862">
        <w:t>2</w:t>
      </w:r>
      <w:r>
        <w:t xml:space="preserve">  </w:t>
      </w:r>
      <w:r w:rsidR="00407860">
        <w:t>The Council does not “Direct Award” from th</w:t>
      </w:r>
      <w:r>
        <w:t xml:space="preserve">e D&amp;B </w:t>
      </w:r>
      <w:r w:rsidR="00407860">
        <w:t>Framework. The strategy is to c</w:t>
      </w:r>
      <w:r>
        <w:t xml:space="preserve">ontinually </w:t>
      </w:r>
      <w:r w:rsidR="00407860">
        <w:t>challenge and strive for Best Value by utilising a first stage tender process issued to all contractors within the Lot in which each project sits determined by the Budget.</w:t>
      </w:r>
    </w:p>
    <w:p w14:paraId="01D924A5" w14:textId="77777777" w:rsidR="002569E2" w:rsidRDefault="002569E2" w:rsidP="002569E2">
      <w:pPr>
        <w:pStyle w:val="ListParagraph"/>
        <w:jc w:val="both"/>
      </w:pPr>
    </w:p>
    <w:p w14:paraId="025F7F53" w14:textId="0362D176" w:rsidR="002569E2" w:rsidRDefault="005C0862" w:rsidP="0058060B">
      <w:pPr>
        <w:pStyle w:val="ListParagraph"/>
        <w:ind w:hanging="436"/>
        <w:jc w:val="both"/>
      </w:pPr>
      <w:r>
        <w:t>2.3</w:t>
      </w:r>
      <w:r w:rsidR="002569E2">
        <w:t xml:space="preserve">  Broadly speaking the milestone stages will run in parallel to the RIBA Plan of Work</w:t>
      </w:r>
      <w:r w:rsidR="0058060B">
        <w:t xml:space="preserve"> </w:t>
      </w:r>
      <w:r w:rsidR="002569E2">
        <w:t>2013. The table below provides an indication of the projects milestones.</w:t>
      </w:r>
    </w:p>
    <w:p w14:paraId="30417F69" w14:textId="01A24861" w:rsidR="00407860" w:rsidRDefault="002569E2" w:rsidP="002569E2">
      <w:pPr>
        <w:pStyle w:val="ListParagraph"/>
      </w:pPr>
      <w:r w:rsidRPr="002569E2">
        <w:rPr>
          <w:noProof/>
          <w:lang w:eastAsia="en-GB"/>
        </w:rPr>
        <w:drawing>
          <wp:inline distT="0" distB="0" distL="0" distR="0" wp14:anchorId="08581BF0" wp14:editId="5C66CCD8">
            <wp:extent cx="5595620" cy="1214114"/>
            <wp:effectExtent l="0" t="0" r="508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313" cy="1216217"/>
                    </a:xfrm>
                    <a:prstGeom prst="rect">
                      <a:avLst/>
                    </a:prstGeom>
                    <a:noFill/>
                    <a:ln>
                      <a:noFill/>
                    </a:ln>
                  </pic:spPr>
                </pic:pic>
              </a:graphicData>
            </a:graphic>
          </wp:inline>
        </w:drawing>
      </w:r>
    </w:p>
    <w:p w14:paraId="289AB6FB" w14:textId="59D90768" w:rsidR="00D932AC" w:rsidRPr="00D932AC" w:rsidRDefault="00D932AC" w:rsidP="00D932AC">
      <w:pPr>
        <w:rPr>
          <w:b/>
        </w:rPr>
      </w:pPr>
      <w:r w:rsidRPr="00D932AC">
        <w:rPr>
          <w:b/>
        </w:rPr>
        <w:lastRenderedPageBreak/>
        <w:t>3.  Future procurement options</w:t>
      </w:r>
    </w:p>
    <w:p w14:paraId="234F0285" w14:textId="78CF3719" w:rsidR="00D932AC" w:rsidRDefault="00D932AC" w:rsidP="00C47ED5">
      <w:pPr>
        <w:tabs>
          <w:tab w:val="left" w:pos="567"/>
        </w:tabs>
        <w:ind w:left="709" w:hanging="425"/>
        <w:jc w:val="both"/>
        <w:rPr>
          <w:b/>
          <w:u w:val="single"/>
        </w:rPr>
      </w:pPr>
      <w:r>
        <w:rPr>
          <w:rFonts w:ascii="Calibri" w:eastAsia="Calibri" w:hAnsi="Calibri" w:cs="Calibri"/>
          <w:lang w:eastAsia="en-GB"/>
        </w:rPr>
        <w:t>3.1  Because the existing D&amp;B framework comes to an end in late spring 2021, Cambridgeshire must</w:t>
      </w:r>
      <w:r w:rsidRPr="00D932AC">
        <w:rPr>
          <w:rFonts w:ascii="Calibri" w:eastAsia="Calibri" w:hAnsi="Calibri" w:cs="Calibri"/>
          <w:lang w:eastAsia="en-GB"/>
        </w:rPr>
        <w:t xml:space="preserve"> </w:t>
      </w:r>
      <w:r>
        <w:rPr>
          <w:rFonts w:ascii="Calibri" w:eastAsia="Calibri" w:hAnsi="Calibri" w:cs="Calibri"/>
          <w:lang w:eastAsia="en-GB"/>
        </w:rPr>
        <w:t>turn its</w:t>
      </w:r>
      <w:r w:rsidRPr="00D932AC">
        <w:rPr>
          <w:rFonts w:ascii="Calibri" w:eastAsia="Calibri" w:hAnsi="Calibri" w:cs="Calibri"/>
          <w:lang w:eastAsia="en-GB"/>
        </w:rPr>
        <w:t xml:space="preserve"> attention to what procurement delivery options are available into the future.  To help us with our work around this we would like to seek contributions from </w:t>
      </w:r>
      <w:r>
        <w:rPr>
          <w:rFonts w:ascii="Calibri" w:eastAsia="Calibri" w:hAnsi="Calibri" w:cs="Calibri"/>
          <w:lang w:eastAsia="en-GB"/>
        </w:rPr>
        <w:t xml:space="preserve">contractors across the market.  We have set out a series of questions below that will help </w:t>
      </w:r>
      <w:r w:rsidR="00C47ED5">
        <w:rPr>
          <w:rFonts w:ascii="Calibri" w:eastAsia="Calibri" w:hAnsi="Calibri" w:cs="Calibri"/>
          <w:lang w:eastAsia="en-GB"/>
        </w:rPr>
        <w:t xml:space="preserve">us to achieve this, so would be very grateful if you could </w:t>
      </w:r>
      <w:r w:rsidR="00C47ED5" w:rsidRPr="0036306C">
        <w:rPr>
          <w:rFonts w:ascii="Calibri" w:eastAsia="Calibri" w:hAnsi="Calibri" w:cs="Calibri"/>
          <w:b/>
          <w:u w:val="single"/>
          <w:lang w:eastAsia="en-GB"/>
        </w:rPr>
        <w:t>complete these and r</w:t>
      </w:r>
      <w:r w:rsidR="0036306C" w:rsidRPr="0036306C">
        <w:rPr>
          <w:rFonts w:ascii="Calibri" w:eastAsia="Calibri" w:hAnsi="Calibri" w:cs="Calibri"/>
          <w:b/>
          <w:u w:val="single"/>
          <w:lang w:eastAsia="en-GB"/>
        </w:rPr>
        <w:t>eturn to us by noon on Monday 6</w:t>
      </w:r>
      <w:r w:rsidR="0036306C" w:rsidRPr="0036306C">
        <w:rPr>
          <w:rFonts w:ascii="Calibri" w:eastAsia="Calibri" w:hAnsi="Calibri" w:cs="Calibri"/>
          <w:b/>
          <w:u w:val="single"/>
          <w:vertAlign w:val="superscript"/>
          <w:lang w:eastAsia="en-GB"/>
        </w:rPr>
        <w:t>th</w:t>
      </w:r>
      <w:r w:rsidR="0036306C" w:rsidRPr="0036306C">
        <w:rPr>
          <w:rFonts w:ascii="Calibri" w:eastAsia="Calibri" w:hAnsi="Calibri" w:cs="Calibri"/>
          <w:b/>
          <w:u w:val="single"/>
          <w:lang w:eastAsia="en-GB"/>
        </w:rPr>
        <w:t xml:space="preserve"> July</w:t>
      </w:r>
      <w:r w:rsidR="00C47ED5">
        <w:rPr>
          <w:rFonts w:ascii="Calibri" w:eastAsia="Calibri" w:hAnsi="Calibri" w:cs="Calibri"/>
          <w:lang w:eastAsia="en-GB"/>
        </w:rPr>
        <w:t>.</w:t>
      </w:r>
    </w:p>
    <w:p w14:paraId="51B81AD3" w14:textId="2BCA6970" w:rsidR="007549A9" w:rsidRDefault="00E26020" w:rsidP="0058060B">
      <w:pPr>
        <w:rPr>
          <w:b/>
          <w:bCs/>
          <w:u w:val="single"/>
        </w:rPr>
      </w:pPr>
      <w:r w:rsidRPr="0058060B">
        <w:rPr>
          <w:b/>
          <w:bCs/>
          <w:u w:val="single"/>
        </w:rPr>
        <w:t>Questions to</w:t>
      </w:r>
      <w:r w:rsidR="0043415D" w:rsidRPr="0058060B">
        <w:rPr>
          <w:b/>
          <w:bCs/>
          <w:u w:val="single"/>
        </w:rPr>
        <w:t xml:space="preserve"> existing </w:t>
      </w:r>
      <w:r w:rsidR="00834652">
        <w:rPr>
          <w:b/>
          <w:bCs/>
          <w:u w:val="single"/>
        </w:rPr>
        <w:t xml:space="preserve">framework </w:t>
      </w:r>
      <w:r w:rsidR="0043415D" w:rsidRPr="0058060B">
        <w:rPr>
          <w:b/>
          <w:bCs/>
          <w:u w:val="single"/>
        </w:rPr>
        <w:t>contractors and</w:t>
      </w:r>
      <w:r w:rsidR="004C37B0" w:rsidRPr="0058060B">
        <w:rPr>
          <w:b/>
          <w:bCs/>
          <w:u w:val="single"/>
        </w:rPr>
        <w:t xml:space="preserve"> </w:t>
      </w:r>
      <w:r w:rsidR="00FF5108" w:rsidRPr="0058060B">
        <w:rPr>
          <w:b/>
          <w:bCs/>
          <w:u w:val="single"/>
        </w:rPr>
        <w:t xml:space="preserve">to </w:t>
      </w:r>
      <w:r w:rsidR="004C37B0" w:rsidRPr="0058060B">
        <w:rPr>
          <w:b/>
          <w:bCs/>
          <w:u w:val="single"/>
        </w:rPr>
        <w:t xml:space="preserve">the </w:t>
      </w:r>
      <w:r w:rsidR="00694DF4" w:rsidRPr="0058060B">
        <w:rPr>
          <w:b/>
          <w:bCs/>
          <w:u w:val="single"/>
        </w:rPr>
        <w:t xml:space="preserve">wider </w:t>
      </w:r>
      <w:r w:rsidR="004C37B0" w:rsidRPr="0058060B">
        <w:rPr>
          <w:b/>
          <w:bCs/>
          <w:u w:val="single"/>
        </w:rPr>
        <w:t>market</w:t>
      </w:r>
      <w:r w:rsidR="00834652">
        <w:rPr>
          <w:b/>
          <w:bCs/>
          <w:u w:val="single"/>
        </w:rPr>
        <w:t>:</w:t>
      </w:r>
    </w:p>
    <w:tbl>
      <w:tblPr>
        <w:tblStyle w:val="TableGrid"/>
        <w:tblW w:w="0" w:type="auto"/>
        <w:tblLook w:val="04A0" w:firstRow="1" w:lastRow="0" w:firstColumn="1" w:lastColumn="0" w:noHBand="0" w:noVBand="1"/>
      </w:tblPr>
      <w:tblGrid>
        <w:gridCol w:w="9016"/>
      </w:tblGrid>
      <w:tr w:rsidR="0058060B" w14:paraId="0C31A2C0" w14:textId="77777777" w:rsidTr="0058060B">
        <w:tc>
          <w:tcPr>
            <w:tcW w:w="9016" w:type="dxa"/>
          </w:tcPr>
          <w:p w14:paraId="58DE5EBD" w14:textId="77777777" w:rsidR="0058060B" w:rsidRPr="00033FCA" w:rsidRDefault="0058060B" w:rsidP="00CF6FC7">
            <w:pPr>
              <w:pStyle w:val="ListParagraph"/>
              <w:numPr>
                <w:ilvl w:val="0"/>
                <w:numId w:val="21"/>
              </w:numPr>
              <w:ind w:left="313" w:hanging="313"/>
              <w:rPr>
                <w:b/>
                <w:bCs/>
              </w:rPr>
            </w:pPr>
            <w:r w:rsidRPr="00033FCA">
              <w:rPr>
                <w:b/>
                <w:bCs/>
              </w:rPr>
              <w:t xml:space="preserve">General questions - </w:t>
            </w:r>
          </w:p>
          <w:p w14:paraId="65E55D23" w14:textId="255B9596" w:rsidR="0058060B" w:rsidRPr="00CF6FC7" w:rsidRDefault="0058060B" w:rsidP="00CF6FC7">
            <w:pPr>
              <w:rPr>
                <w:b/>
                <w:bCs/>
              </w:rPr>
            </w:pPr>
            <w:r w:rsidRPr="00CF6FC7">
              <w:rPr>
                <w:b/>
                <w:bCs/>
              </w:rPr>
              <w:t>Have you participated in and/or delivered a construction project via the Crown Commercial Service, Scape, Pagabo or DfE school building frameworks?  If the answer is yes, please specify which frameworks</w:t>
            </w:r>
            <w:r w:rsidR="000B5469">
              <w:rPr>
                <w:b/>
                <w:bCs/>
              </w:rPr>
              <w:t xml:space="preserve"> below</w:t>
            </w:r>
            <w:r w:rsidRPr="00CF6FC7">
              <w:rPr>
                <w:b/>
                <w:bCs/>
              </w:rPr>
              <w:t xml:space="preserve"> a</w:t>
            </w:r>
            <w:r w:rsidR="00CF6FC7" w:rsidRPr="00CF6FC7">
              <w:rPr>
                <w:b/>
                <w:bCs/>
              </w:rPr>
              <w:t>nd answer the questions</w:t>
            </w:r>
            <w:r w:rsidR="00CF6FC7">
              <w:rPr>
                <w:b/>
                <w:bCs/>
              </w:rPr>
              <w:t xml:space="preserve"> i-ii</w:t>
            </w:r>
            <w:r w:rsidR="00CF6FC7" w:rsidRPr="00CF6FC7">
              <w:rPr>
                <w:b/>
                <w:bCs/>
              </w:rPr>
              <w:t>.</w:t>
            </w:r>
            <w:r w:rsidR="000B5469">
              <w:rPr>
                <w:b/>
                <w:bCs/>
              </w:rPr>
              <w:t xml:space="preserve">  If the answer is no, then please go to question iii.</w:t>
            </w:r>
            <w:r w:rsidR="00CF6FC7">
              <w:rPr>
                <w:bCs/>
              </w:rPr>
              <w:t xml:space="preserve"> </w:t>
            </w:r>
          </w:p>
          <w:p w14:paraId="30F4637D" w14:textId="5BE5C35B" w:rsidR="00CF6FC7" w:rsidRPr="000B5469" w:rsidRDefault="00CF6FC7" w:rsidP="00CF6FC7">
            <w:pPr>
              <w:rPr>
                <w:bCs/>
              </w:rPr>
            </w:pPr>
            <w:r w:rsidRPr="000B5469">
              <w:rPr>
                <w:bCs/>
              </w:rPr>
              <w:t>List frameworks here:</w:t>
            </w:r>
          </w:p>
          <w:p w14:paraId="1CF55E5C" w14:textId="77777777" w:rsidR="0058060B" w:rsidRPr="0058060B" w:rsidRDefault="0058060B" w:rsidP="0058060B">
            <w:pPr>
              <w:ind w:left="1134"/>
              <w:rPr>
                <w:b/>
                <w:bCs/>
                <w:u w:val="single"/>
              </w:rPr>
            </w:pPr>
          </w:p>
        </w:tc>
      </w:tr>
      <w:tr w:rsidR="0058060B" w14:paraId="391E6DAE" w14:textId="77777777" w:rsidTr="0058060B">
        <w:tc>
          <w:tcPr>
            <w:tcW w:w="9016" w:type="dxa"/>
          </w:tcPr>
          <w:p w14:paraId="63F559DC" w14:textId="442F61B9" w:rsidR="0058060B" w:rsidRPr="00CF6FC7" w:rsidRDefault="0058060B" w:rsidP="00CF6FC7">
            <w:pPr>
              <w:pStyle w:val="ListParagraph"/>
              <w:numPr>
                <w:ilvl w:val="0"/>
                <w:numId w:val="22"/>
              </w:numPr>
              <w:ind w:left="596" w:hanging="142"/>
              <w:rPr>
                <w:b/>
                <w:bCs/>
              </w:rPr>
            </w:pPr>
            <w:r w:rsidRPr="00CF6FC7">
              <w:rPr>
                <w:b/>
                <w:bCs/>
              </w:rPr>
              <w:t xml:space="preserve">What do you consider to be the strengths and weaknesses of such an arrangement? </w:t>
            </w:r>
            <w:r w:rsidR="00CF6FC7">
              <w:rPr>
                <w:bCs/>
              </w:rPr>
              <w:t>(please restrict your response to no more than 250 words)</w:t>
            </w:r>
          </w:p>
          <w:p w14:paraId="673D637C" w14:textId="77777777" w:rsidR="0058060B" w:rsidRPr="0058060B" w:rsidRDefault="0058060B" w:rsidP="0058060B">
            <w:pPr>
              <w:ind w:left="1134"/>
              <w:rPr>
                <w:b/>
                <w:bCs/>
                <w:u w:val="single"/>
              </w:rPr>
            </w:pPr>
          </w:p>
        </w:tc>
      </w:tr>
      <w:tr w:rsidR="0058060B" w14:paraId="245B5066" w14:textId="77777777" w:rsidTr="0058060B">
        <w:tc>
          <w:tcPr>
            <w:tcW w:w="9016" w:type="dxa"/>
          </w:tcPr>
          <w:p w14:paraId="05E186EC" w14:textId="77777777" w:rsidR="0058060B" w:rsidRPr="000B5469" w:rsidRDefault="0058060B" w:rsidP="00CF6FC7">
            <w:pPr>
              <w:pStyle w:val="ListParagraph"/>
              <w:numPr>
                <w:ilvl w:val="0"/>
                <w:numId w:val="22"/>
              </w:numPr>
              <w:ind w:left="596" w:hanging="142"/>
              <w:rPr>
                <w:b/>
                <w:bCs/>
              </w:rPr>
            </w:pPr>
            <w:r w:rsidRPr="00CF6FC7">
              <w:rPr>
                <w:b/>
                <w:bCs/>
              </w:rPr>
              <w:t>Are there any frameworks in which you participate that you regard as particularly successful and why is that?</w:t>
            </w:r>
            <w:r w:rsidR="00CF6FC7">
              <w:rPr>
                <w:b/>
                <w:bCs/>
              </w:rPr>
              <w:t xml:space="preserve">  </w:t>
            </w:r>
            <w:r w:rsidR="00CF6FC7">
              <w:rPr>
                <w:bCs/>
              </w:rPr>
              <w:t>(please restrict your response to no more than 250 words)</w:t>
            </w:r>
          </w:p>
          <w:p w14:paraId="28782620" w14:textId="5BFED6C4" w:rsidR="000B5469" w:rsidRPr="00CF6FC7" w:rsidRDefault="000B5469" w:rsidP="000B5469">
            <w:pPr>
              <w:pStyle w:val="ListParagraph"/>
              <w:ind w:left="596"/>
              <w:rPr>
                <w:b/>
                <w:bCs/>
              </w:rPr>
            </w:pPr>
          </w:p>
        </w:tc>
      </w:tr>
      <w:tr w:rsidR="0058060B" w14:paraId="45F07B7A" w14:textId="77777777" w:rsidTr="0058060B">
        <w:tc>
          <w:tcPr>
            <w:tcW w:w="9016" w:type="dxa"/>
          </w:tcPr>
          <w:p w14:paraId="4CFCFBC1" w14:textId="4BC10F50" w:rsidR="0058060B" w:rsidRPr="00CF6FC7" w:rsidRDefault="0058060B" w:rsidP="00CF6FC7">
            <w:pPr>
              <w:pStyle w:val="ListParagraph"/>
              <w:numPr>
                <w:ilvl w:val="0"/>
                <w:numId w:val="22"/>
              </w:numPr>
              <w:ind w:left="596" w:hanging="142"/>
              <w:rPr>
                <w:b/>
                <w:bCs/>
              </w:rPr>
            </w:pPr>
            <w:r w:rsidRPr="00CF6FC7">
              <w:rPr>
                <w:b/>
                <w:bCs/>
              </w:rPr>
              <w:t>What would you describe as the advantages and disadvantages of a local authority running its own framework?</w:t>
            </w:r>
            <w:r w:rsidR="00CF6FC7">
              <w:rPr>
                <w:b/>
                <w:bCs/>
              </w:rPr>
              <w:t xml:space="preserve">  </w:t>
            </w:r>
            <w:r w:rsidR="00CF6FC7">
              <w:rPr>
                <w:bCs/>
              </w:rPr>
              <w:t>(please restrict your response to no more than 250 words)</w:t>
            </w:r>
          </w:p>
          <w:p w14:paraId="5E282A6D" w14:textId="77777777" w:rsidR="0058060B" w:rsidRPr="0058060B" w:rsidRDefault="0058060B" w:rsidP="0058060B">
            <w:pPr>
              <w:ind w:left="1134"/>
              <w:rPr>
                <w:b/>
                <w:bCs/>
                <w:u w:val="single"/>
              </w:rPr>
            </w:pPr>
          </w:p>
        </w:tc>
      </w:tr>
      <w:tr w:rsidR="0058060B" w14:paraId="4EC8BB29" w14:textId="77777777" w:rsidTr="0058060B">
        <w:tc>
          <w:tcPr>
            <w:tcW w:w="9016" w:type="dxa"/>
          </w:tcPr>
          <w:p w14:paraId="35234D87" w14:textId="545E285B" w:rsidR="0058060B" w:rsidRPr="00CF6FC7" w:rsidRDefault="0058060B" w:rsidP="00CF6FC7">
            <w:pPr>
              <w:pStyle w:val="ListParagraph"/>
              <w:numPr>
                <w:ilvl w:val="0"/>
                <w:numId w:val="22"/>
              </w:numPr>
              <w:ind w:left="596" w:hanging="142"/>
              <w:rPr>
                <w:b/>
                <w:bCs/>
              </w:rPr>
            </w:pPr>
            <w:r w:rsidRPr="00CF6FC7">
              <w:rPr>
                <w:b/>
                <w:bCs/>
              </w:rPr>
              <w:t>What do you see as the main challenges/risks facing the construction sector over the next 4 years, and which procurement strategy can most effectively mitigate these?</w:t>
            </w:r>
            <w:r w:rsidR="00CF6FC7">
              <w:rPr>
                <w:b/>
                <w:bCs/>
              </w:rPr>
              <w:t xml:space="preserve">  </w:t>
            </w:r>
            <w:r w:rsidR="00CF6FC7">
              <w:rPr>
                <w:bCs/>
              </w:rPr>
              <w:t>(please restrict your response to no more than 250 words)</w:t>
            </w:r>
          </w:p>
          <w:p w14:paraId="35BDD608" w14:textId="77777777" w:rsidR="0058060B" w:rsidRPr="0058060B" w:rsidRDefault="0058060B" w:rsidP="0058060B">
            <w:pPr>
              <w:ind w:left="1134"/>
              <w:rPr>
                <w:b/>
                <w:bCs/>
                <w:u w:val="single"/>
              </w:rPr>
            </w:pPr>
          </w:p>
        </w:tc>
      </w:tr>
      <w:tr w:rsidR="0058060B" w14:paraId="0DEA55E7" w14:textId="77777777" w:rsidTr="0058060B">
        <w:tc>
          <w:tcPr>
            <w:tcW w:w="9016" w:type="dxa"/>
          </w:tcPr>
          <w:p w14:paraId="446C32B1" w14:textId="77777777" w:rsidR="0058060B" w:rsidRPr="000B5469" w:rsidRDefault="0058060B" w:rsidP="00CF6FC7">
            <w:pPr>
              <w:pStyle w:val="ListParagraph"/>
              <w:numPr>
                <w:ilvl w:val="0"/>
                <w:numId w:val="22"/>
              </w:numPr>
              <w:ind w:left="596" w:firstLine="0"/>
              <w:rPr>
                <w:b/>
                <w:bCs/>
              </w:rPr>
            </w:pPr>
            <w:r w:rsidRPr="00CF6FC7">
              <w:rPr>
                <w:b/>
                <w:bCs/>
              </w:rPr>
              <w:t>Which future arrangements could best deliver the change and innovation required to meet the policy agenda relating to the climate emergency (zero carbon etc.) and how?</w:t>
            </w:r>
            <w:r w:rsidR="00CF6FC7">
              <w:rPr>
                <w:b/>
                <w:bCs/>
              </w:rPr>
              <w:t xml:space="preserve"> </w:t>
            </w:r>
            <w:r w:rsidR="00CF6FC7">
              <w:rPr>
                <w:bCs/>
              </w:rPr>
              <w:t>(please restrict your response to no more than 250 words)</w:t>
            </w:r>
          </w:p>
          <w:p w14:paraId="0103E810" w14:textId="7C9D325C" w:rsidR="000B5469" w:rsidRPr="00CF6FC7" w:rsidRDefault="000B5469" w:rsidP="000B5469">
            <w:pPr>
              <w:pStyle w:val="ListParagraph"/>
              <w:ind w:left="596"/>
              <w:rPr>
                <w:b/>
                <w:bCs/>
              </w:rPr>
            </w:pPr>
          </w:p>
        </w:tc>
      </w:tr>
    </w:tbl>
    <w:p w14:paraId="33984B3F" w14:textId="77777777" w:rsidR="0058060B" w:rsidRDefault="0058060B" w:rsidP="0058060B">
      <w:pPr>
        <w:rPr>
          <w:b/>
          <w:bCs/>
          <w:u w:val="single"/>
        </w:rPr>
      </w:pPr>
    </w:p>
    <w:tbl>
      <w:tblPr>
        <w:tblStyle w:val="TableGrid"/>
        <w:tblW w:w="0" w:type="auto"/>
        <w:tblLook w:val="04A0" w:firstRow="1" w:lastRow="0" w:firstColumn="1" w:lastColumn="0" w:noHBand="0" w:noVBand="1"/>
      </w:tblPr>
      <w:tblGrid>
        <w:gridCol w:w="9016"/>
      </w:tblGrid>
      <w:tr w:rsidR="00CF6FC7" w14:paraId="4FBDE7C7" w14:textId="77777777" w:rsidTr="00CF6FC7">
        <w:tc>
          <w:tcPr>
            <w:tcW w:w="9016" w:type="dxa"/>
          </w:tcPr>
          <w:p w14:paraId="61B2E475" w14:textId="77777777" w:rsidR="00CF6FC7" w:rsidRPr="00033FCA" w:rsidRDefault="00CF6FC7" w:rsidP="00196A86">
            <w:pPr>
              <w:pStyle w:val="ListParagraph"/>
              <w:numPr>
                <w:ilvl w:val="0"/>
                <w:numId w:val="21"/>
              </w:numPr>
              <w:ind w:left="313" w:hanging="284"/>
              <w:rPr>
                <w:b/>
              </w:rPr>
            </w:pPr>
            <w:r w:rsidRPr="00033FCA">
              <w:rPr>
                <w:b/>
              </w:rPr>
              <w:t xml:space="preserve">Procurement and Contract Options - </w:t>
            </w:r>
          </w:p>
          <w:p w14:paraId="26F353DE" w14:textId="4B0EA231" w:rsidR="00CF6FC7" w:rsidRPr="00033FCA" w:rsidRDefault="00CF6FC7" w:rsidP="00196A86">
            <w:pPr>
              <w:pStyle w:val="ListParagraph"/>
              <w:numPr>
                <w:ilvl w:val="2"/>
                <w:numId w:val="23"/>
              </w:numPr>
              <w:tabs>
                <w:tab w:val="clear" w:pos="2160"/>
              </w:tabs>
              <w:ind w:left="596" w:hanging="142"/>
            </w:pPr>
            <w:r w:rsidRPr="00196A86">
              <w:rPr>
                <w:b/>
              </w:rPr>
              <w:t>In your opinion is, single stage or two stage tendering preferable and why</w:t>
            </w:r>
            <w:r w:rsidR="00196A86">
              <w:t xml:space="preserve">? </w:t>
            </w:r>
            <w:r w:rsidR="00196A86">
              <w:rPr>
                <w:bCs/>
              </w:rPr>
              <w:t>(please restrict your response to no more than 250 words)</w:t>
            </w:r>
          </w:p>
          <w:p w14:paraId="57C5864C" w14:textId="77777777" w:rsidR="00CF6FC7" w:rsidRPr="00196A86" w:rsidRDefault="00CF6FC7" w:rsidP="00196A86">
            <w:pPr>
              <w:ind w:left="1134"/>
              <w:rPr>
                <w:b/>
                <w:bCs/>
                <w:u w:val="single"/>
              </w:rPr>
            </w:pPr>
          </w:p>
        </w:tc>
      </w:tr>
      <w:tr w:rsidR="00CF6FC7" w14:paraId="77190C85" w14:textId="77777777" w:rsidTr="00CF6FC7">
        <w:tc>
          <w:tcPr>
            <w:tcW w:w="9016" w:type="dxa"/>
          </w:tcPr>
          <w:p w14:paraId="3819C9D2" w14:textId="088DFEA3" w:rsidR="00196A86" w:rsidRPr="00033FCA" w:rsidRDefault="00196A86" w:rsidP="00196A86">
            <w:pPr>
              <w:pStyle w:val="ListParagraph"/>
              <w:numPr>
                <w:ilvl w:val="2"/>
                <w:numId w:val="23"/>
              </w:numPr>
              <w:tabs>
                <w:tab w:val="clear" w:pos="2160"/>
              </w:tabs>
              <w:ind w:left="596" w:hanging="142"/>
            </w:pPr>
            <w:r w:rsidRPr="00196A86">
              <w:rPr>
                <w:b/>
              </w:rPr>
              <w:t>If any given framework provided the option to use either the NEC or JCT contract forms, would you view this as beneficial?  Do you prefer one contract form over another, and if so why?</w:t>
            </w:r>
            <w:r>
              <w:t xml:space="preserve">  </w:t>
            </w:r>
            <w:r>
              <w:rPr>
                <w:bCs/>
              </w:rPr>
              <w:t>(please restrict your response to no more than 250 words)</w:t>
            </w:r>
          </w:p>
          <w:p w14:paraId="437192C9" w14:textId="77777777" w:rsidR="00CF6FC7" w:rsidRPr="00196A86" w:rsidRDefault="00CF6FC7" w:rsidP="00196A86">
            <w:pPr>
              <w:ind w:left="1134"/>
              <w:rPr>
                <w:b/>
                <w:bCs/>
                <w:u w:val="single"/>
              </w:rPr>
            </w:pPr>
          </w:p>
        </w:tc>
      </w:tr>
      <w:tr w:rsidR="00CF6FC7" w14:paraId="4F339394" w14:textId="77777777" w:rsidTr="00CF6FC7">
        <w:tc>
          <w:tcPr>
            <w:tcW w:w="9016" w:type="dxa"/>
          </w:tcPr>
          <w:p w14:paraId="4B5CF219" w14:textId="558ADAEB" w:rsidR="00196A86" w:rsidRPr="00033FCA" w:rsidRDefault="00196A86" w:rsidP="00196A86">
            <w:pPr>
              <w:pStyle w:val="ListParagraph"/>
              <w:numPr>
                <w:ilvl w:val="2"/>
                <w:numId w:val="23"/>
              </w:numPr>
              <w:tabs>
                <w:tab w:val="clear" w:pos="2160"/>
              </w:tabs>
              <w:ind w:left="596" w:hanging="142"/>
            </w:pPr>
            <w:r w:rsidRPr="00196A86">
              <w:rPr>
                <w:b/>
              </w:rPr>
              <w:t>In your opinion, for any given framework, what is the best way to set the Lot bandings?</w:t>
            </w:r>
            <w:r w:rsidRPr="00033FCA">
              <w:t xml:space="preserve"> </w:t>
            </w:r>
            <w:r>
              <w:t xml:space="preserve"> </w:t>
            </w:r>
            <w:r>
              <w:rPr>
                <w:bCs/>
              </w:rPr>
              <w:t>(please restrict your response to no more than 250 words)</w:t>
            </w:r>
          </w:p>
          <w:p w14:paraId="170252EA" w14:textId="77777777" w:rsidR="00CF6FC7" w:rsidRPr="00196A86" w:rsidRDefault="00CF6FC7" w:rsidP="00196A86">
            <w:pPr>
              <w:ind w:left="1134"/>
              <w:rPr>
                <w:b/>
                <w:bCs/>
                <w:u w:val="single"/>
              </w:rPr>
            </w:pPr>
          </w:p>
        </w:tc>
      </w:tr>
      <w:tr w:rsidR="00CF6FC7" w14:paraId="1AB918CD" w14:textId="77777777" w:rsidTr="00CF6FC7">
        <w:tc>
          <w:tcPr>
            <w:tcW w:w="9016" w:type="dxa"/>
          </w:tcPr>
          <w:p w14:paraId="51C8E8D8" w14:textId="0F1F72D9" w:rsidR="00196A86" w:rsidRPr="00033FCA" w:rsidRDefault="00196A86" w:rsidP="00196A86">
            <w:pPr>
              <w:pStyle w:val="ListParagraph"/>
              <w:numPr>
                <w:ilvl w:val="2"/>
                <w:numId w:val="23"/>
              </w:numPr>
              <w:tabs>
                <w:tab w:val="clear" w:pos="2160"/>
              </w:tabs>
              <w:ind w:left="596" w:hanging="142"/>
            </w:pPr>
            <w:r w:rsidRPr="00196A86">
              <w:rPr>
                <w:b/>
              </w:rPr>
              <w:t xml:space="preserve">Cambridgeshire County Council also operate a Minor Works Framework (which is a based on the JCT MW contract, using a single stage tender process), which has a value of up to £5m.  Do you think there is any merit in merging the bands from a design &amp; build </w:t>
            </w:r>
            <w:r w:rsidRPr="00196A86">
              <w:rPr>
                <w:b/>
              </w:rPr>
              <w:lastRenderedPageBreak/>
              <w:t>framework with the Cambridgeshire Minor Works Frameworks?</w:t>
            </w:r>
            <w:r>
              <w:t xml:space="preserve">  </w:t>
            </w:r>
            <w:r>
              <w:rPr>
                <w:bCs/>
              </w:rPr>
              <w:t>(please restrict your response to no more than 250 words)</w:t>
            </w:r>
          </w:p>
          <w:p w14:paraId="08B173EE" w14:textId="77777777" w:rsidR="00CF6FC7" w:rsidRPr="00196A86" w:rsidRDefault="00CF6FC7" w:rsidP="00196A86">
            <w:pPr>
              <w:ind w:left="1134"/>
              <w:rPr>
                <w:b/>
                <w:bCs/>
                <w:u w:val="single"/>
              </w:rPr>
            </w:pPr>
          </w:p>
        </w:tc>
      </w:tr>
      <w:tr w:rsidR="00CF6FC7" w14:paraId="77F8BB05" w14:textId="77777777" w:rsidTr="00CF6FC7">
        <w:tc>
          <w:tcPr>
            <w:tcW w:w="9016" w:type="dxa"/>
          </w:tcPr>
          <w:p w14:paraId="75569D46" w14:textId="57B5EB17" w:rsidR="00196A86" w:rsidRDefault="00196A86" w:rsidP="00196A86">
            <w:pPr>
              <w:pStyle w:val="ListParagraph"/>
              <w:numPr>
                <w:ilvl w:val="2"/>
                <w:numId w:val="23"/>
              </w:numPr>
              <w:tabs>
                <w:tab w:val="clear" w:pos="2160"/>
              </w:tabs>
              <w:ind w:left="596" w:hanging="142"/>
            </w:pPr>
            <w:r w:rsidRPr="00196A86">
              <w:rPr>
                <w:b/>
              </w:rPr>
              <w:lastRenderedPageBreak/>
              <w:t>How can a local authority led framework be further developed to support local businesses and employment opportunities?</w:t>
            </w:r>
            <w:r>
              <w:t xml:space="preserve">  </w:t>
            </w:r>
            <w:r>
              <w:rPr>
                <w:bCs/>
              </w:rPr>
              <w:t>(please restrict your response to no more than 250 words)</w:t>
            </w:r>
          </w:p>
          <w:p w14:paraId="49F931CF" w14:textId="77777777" w:rsidR="00CF6FC7" w:rsidRDefault="00CF6FC7" w:rsidP="0058060B">
            <w:pPr>
              <w:rPr>
                <w:b/>
                <w:bCs/>
                <w:u w:val="single"/>
              </w:rPr>
            </w:pPr>
          </w:p>
        </w:tc>
      </w:tr>
    </w:tbl>
    <w:p w14:paraId="7908C438" w14:textId="77777777" w:rsidR="00196A86" w:rsidRDefault="00196A86" w:rsidP="0058060B">
      <w:pPr>
        <w:rPr>
          <w:b/>
          <w:bCs/>
          <w:u w:val="single"/>
        </w:rPr>
      </w:pPr>
    </w:p>
    <w:tbl>
      <w:tblPr>
        <w:tblStyle w:val="TableGrid"/>
        <w:tblW w:w="0" w:type="auto"/>
        <w:tblLook w:val="04A0" w:firstRow="1" w:lastRow="0" w:firstColumn="1" w:lastColumn="0" w:noHBand="0" w:noVBand="1"/>
      </w:tblPr>
      <w:tblGrid>
        <w:gridCol w:w="9016"/>
      </w:tblGrid>
      <w:tr w:rsidR="00196A86" w14:paraId="34D4C4ED" w14:textId="77777777" w:rsidTr="00196A86">
        <w:tc>
          <w:tcPr>
            <w:tcW w:w="9016" w:type="dxa"/>
          </w:tcPr>
          <w:p w14:paraId="7CD69087" w14:textId="54A66A38" w:rsidR="00196A86" w:rsidRPr="00033FCA" w:rsidRDefault="00196A86" w:rsidP="000B5469">
            <w:pPr>
              <w:pStyle w:val="ListParagraph"/>
              <w:numPr>
                <w:ilvl w:val="0"/>
                <w:numId w:val="21"/>
              </w:numPr>
              <w:ind w:left="454" w:hanging="283"/>
              <w:rPr>
                <w:b/>
              </w:rPr>
            </w:pPr>
            <w:r w:rsidRPr="00033FCA">
              <w:rPr>
                <w:b/>
              </w:rPr>
              <w:t xml:space="preserve">Framework Process Improvements - </w:t>
            </w:r>
          </w:p>
          <w:p w14:paraId="4E737BF6" w14:textId="77777777" w:rsidR="00196A86" w:rsidRPr="006B7E52" w:rsidRDefault="00196A86" w:rsidP="006B7E52">
            <w:pPr>
              <w:ind w:left="454"/>
              <w:rPr>
                <w:b/>
                <w:bCs/>
                <w:u w:val="single"/>
              </w:rPr>
            </w:pPr>
            <w:r w:rsidRPr="006B7E52">
              <w:rPr>
                <w:b/>
                <w:bCs/>
                <w:u w:val="single"/>
              </w:rPr>
              <w:t>Commercial</w:t>
            </w:r>
          </w:p>
          <w:p w14:paraId="3F675C04" w14:textId="2ECA7106" w:rsidR="00196A86" w:rsidRPr="006B7E52" w:rsidRDefault="00196A86" w:rsidP="006B7E52">
            <w:pPr>
              <w:pStyle w:val="ListParagraph"/>
              <w:numPr>
                <w:ilvl w:val="2"/>
                <w:numId w:val="27"/>
              </w:numPr>
              <w:ind w:left="738" w:hanging="142"/>
              <w:rPr>
                <w:b/>
              </w:rPr>
            </w:pPr>
            <w:r w:rsidRPr="006B7E52">
              <w:rPr>
                <w:b/>
                <w:bCs/>
              </w:rPr>
              <w:t>How can</w:t>
            </w:r>
            <w:r w:rsidRPr="006B7E52">
              <w:rPr>
                <w:b/>
                <w:bCs/>
                <w:strike/>
              </w:rPr>
              <w:t xml:space="preserve"> </w:t>
            </w:r>
            <w:r w:rsidRPr="006B7E52">
              <w:rPr>
                <w:b/>
                <w:bCs/>
              </w:rPr>
              <w:t>value for money be delivered at 1</w:t>
            </w:r>
            <w:r w:rsidRPr="006B7E52">
              <w:rPr>
                <w:b/>
                <w:bCs/>
                <w:vertAlign w:val="superscript"/>
              </w:rPr>
              <w:t>st</w:t>
            </w:r>
            <w:r w:rsidRPr="006B7E52">
              <w:rPr>
                <w:b/>
                <w:bCs/>
              </w:rPr>
              <w:t xml:space="preserve"> and 2</w:t>
            </w:r>
            <w:r w:rsidRPr="006B7E52">
              <w:rPr>
                <w:b/>
                <w:bCs/>
                <w:vertAlign w:val="superscript"/>
              </w:rPr>
              <w:t>nd</w:t>
            </w:r>
            <w:r w:rsidRPr="006B7E52">
              <w:rPr>
                <w:b/>
                <w:bCs/>
              </w:rPr>
              <w:t xml:space="preserve"> stage tender?</w:t>
            </w:r>
            <w:r w:rsidR="006B7E52">
              <w:rPr>
                <w:b/>
                <w:bCs/>
              </w:rPr>
              <w:t xml:space="preserve">  </w:t>
            </w:r>
            <w:r w:rsidR="006B7E52">
              <w:rPr>
                <w:bCs/>
              </w:rPr>
              <w:t>(please restrict your response to no more than 250 words)</w:t>
            </w:r>
          </w:p>
          <w:p w14:paraId="56F29F44" w14:textId="77777777" w:rsidR="00196A86" w:rsidRDefault="00196A86" w:rsidP="000B5469">
            <w:pPr>
              <w:pStyle w:val="ListParagraph"/>
              <w:ind w:left="2160"/>
              <w:rPr>
                <w:b/>
                <w:bCs/>
                <w:u w:val="single"/>
              </w:rPr>
            </w:pPr>
          </w:p>
        </w:tc>
      </w:tr>
      <w:tr w:rsidR="00196A86" w14:paraId="74BCFC95" w14:textId="77777777" w:rsidTr="00196A86">
        <w:tc>
          <w:tcPr>
            <w:tcW w:w="9016" w:type="dxa"/>
          </w:tcPr>
          <w:p w14:paraId="4123BA90" w14:textId="463A342A" w:rsidR="000B5469" w:rsidRPr="006B7E52" w:rsidRDefault="000B5469" w:rsidP="006B7E52">
            <w:pPr>
              <w:pStyle w:val="ListParagraph"/>
              <w:numPr>
                <w:ilvl w:val="2"/>
                <w:numId w:val="27"/>
              </w:numPr>
              <w:ind w:left="738" w:hanging="142"/>
              <w:rPr>
                <w:b/>
              </w:rPr>
            </w:pPr>
            <w:r w:rsidRPr="006B7E52">
              <w:rPr>
                <w:b/>
              </w:rPr>
              <w:t>How can contractors demonstrate that value for money has been achieved in the current framework and how could that be improved in a new framework?</w:t>
            </w:r>
            <w:r w:rsidR="006B7E52">
              <w:rPr>
                <w:b/>
              </w:rPr>
              <w:t xml:space="preserve">  </w:t>
            </w:r>
            <w:r w:rsidR="006B7E52">
              <w:rPr>
                <w:bCs/>
              </w:rPr>
              <w:t>(please restrict your response to no more than 250 words)</w:t>
            </w:r>
          </w:p>
          <w:p w14:paraId="61938E0A" w14:textId="77777777" w:rsidR="00196A86" w:rsidRPr="000B5469" w:rsidRDefault="00196A86" w:rsidP="000B5469">
            <w:pPr>
              <w:ind w:left="1980"/>
              <w:rPr>
                <w:b/>
                <w:bCs/>
                <w:u w:val="single"/>
              </w:rPr>
            </w:pPr>
          </w:p>
        </w:tc>
      </w:tr>
      <w:tr w:rsidR="00196A86" w14:paraId="65624AD1" w14:textId="77777777" w:rsidTr="006B7E52">
        <w:tc>
          <w:tcPr>
            <w:tcW w:w="9016" w:type="dxa"/>
            <w:shd w:val="clear" w:color="auto" w:fill="auto"/>
          </w:tcPr>
          <w:p w14:paraId="7391F488" w14:textId="3234E343" w:rsidR="000B5469" w:rsidRPr="00033FCA" w:rsidRDefault="000B5469" w:rsidP="006B7E52">
            <w:pPr>
              <w:pStyle w:val="ListParagraph"/>
              <w:numPr>
                <w:ilvl w:val="2"/>
                <w:numId w:val="27"/>
              </w:numPr>
              <w:ind w:left="738" w:hanging="142"/>
              <w:rPr>
                <w:highlight w:val="yellow"/>
              </w:rPr>
            </w:pPr>
            <w:r w:rsidRPr="006B7E52">
              <w:rPr>
                <w:b/>
              </w:rPr>
              <w:t>What would the implications be of transferring more risk to</w:t>
            </w:r>
            <w:r w:rsidR="006B7E52" w:rsidRPr="006B7E52">
              <w:rPr>
                <w:b/>
              </w:rPr>
              <w:t xml:space="preserve"> contractors?  I.e.  in the same way that the DfE JCT D&amp;B contract does</w:t>
            </w:r>
            <w:r w:rsidR="006B7E52">
              <w:rPr>
                <w:b/>
              </w:rPr>
              <w:t xml:space="preserve">.  </w:t>
            </w:r>
            <w:r w:rsidR="006B7E52">
              <w:rPr>
                <w:bCs/>
              </w:rPr>
              <w:t>(please restrict your response to no more than 250 words)</w:t>
            </w:r>
          </w:p>
          <w:p w14:paraId="1132D000" w14:textId="77777777" w:rsidR="00196A86" w:rsidRPr="000B5469" w:rsidRDefault="00196A86" w:rsidP="000B5469">
            <w:pPr>
              <w:ind w:left="1980"/>
              <w:rPr>
                <w:b/>
                <w:bCs/>
                <w:u w:val="single"/>
              </w:rPr>
            </w:pPr>
          </w:p>
        </w:tc>
      </w:tr>
      <w:tr w:rsidR="00196A86" w14:paraId="6CC722F2" w14:textId="77777777" w:rsidTr="00196A86">
        <w:tc>
          <w:tcPr>
            <w:tcW w:w="9016" w:type="dxa"/>
          </w:tcPr>
          <w:p w14:paraId="59D64C29" w14:textId="77777777" w:rsidR="000B5469" w:rsidRPr="006B7E52" w:rsidRDefault="000B5469" w:rsidP="006B7E52">
            <w:pPr>
              <w:pStyle w:val="ListParagraph"/>
              <w:ind w:left="454"/>
              <w:rPr>
                <w:b/>
                <w:bCs/>
                <w:u w:val="single"/>
              </w:rPr>
            </w:pPr>
            <w:r w:rsidRPr="006B7E52">
              <w:rPr>
                <w:b/>
                <w:bCs/>
                <w:u w:val="single"/>
              </w:rPr>
              <w:t>Design</w:t>
            </w:r>
          </w:p>
          <w:p w14:paraId="0D34AF0B" w14:textId="2A34BE16" w:rsidR="000B5469" w:rsidRPr="006B7E52" w:rsidRDefault="000B5469" w:rsidP="006B7E52">
            <w:pPr>
              <w:pStyle w:val="ListParagraph"/>
              <w:numPr>
                <w:ilvl w:val="0"/>
                <w:numId w:val="31"/>
              </w:numPr>
              <w:ind w:left="738" w:hanging="142"/>
              <w:rPr>
                <w:b/>
              </w:rPr>
            </w:pPr>
            <w:r w:rsidRPr="006B7E52">
              <w:rPr>
                <w:b/>
                <w:bCs/>
              </w:rPr>
              <w:t>How could the link between pre-construction and construction stage design be improved during the milestone process?  E.g. Continuity of design management.</w:t>
            </w:r>
            <w:r w:rsidR="006B7E52">
              <w:rPr>
                <w:b/>
                <w:bCs/>
              </w:rPr>
              <w:t xml:space="preserve">  </w:t>
            </w:r>
            <w:r w:rsidR="006B7E52">
              <w:rPr>
                <w:bCs/>
              </w:rPr>
              <w:t>(please restrict your response to no more than 250 words)</w:t>
            </w:r>
          </w:p>
          <w:p w14:paraId="06DD2452" w14:textId="77777777" w:rsidR="00196A86" w:rsidRDefault="00196A86" w:rsidP="006B7E52">
            <w:pPr>
              <w:pStyle w:val="ListParagraph"/>
              <w:ind w:left="2340"/>
              <w:rPr>
                <w:b/>
                <w:bCs/>
                <w:u w:val="single"/>
              </w:rPr>
            </w:pPr>
          </w:p>
        </w:tc>
      </w:tr>
      <w:tr w:rsidR="00196A86" w14:paraId="1485ED9D" w14:textId="77777777" w:rsidTr="00196A86">
        <w:tc>
          <w:tcPr>
            <w:tcW w:w="9016" w:type="dxa"/>
          </w:tcPr>
          <w:p w14:paraId="71B51BA5" w14:textId="446D18E0" w:rsidR="006B7E52" w:rsidRPr="006B7E52" w:rsidRDefault="006B7E52" w:rsidP="006B7E52">
            <w:pPr>
              <w:pStyle w:val="ListParagraph"/>
              <w:numPr>
                <w:ilvl w:val="0"/>
                <w:numId w:val="31"/>
              </w:numPr>
              <w:ind w:left="738" w:hanging="142"/>
              <w:rPr>
                <w:b/>
              </w:rPr>
            </w:pPr>
            <w:r w:rsidRPr="006B7E52">
              <w:rPr>
                <w:b/>
                <w:bCs/>
              </w:rPr>
              <w:t>In an environment where we need to be flexible about design (i.e. s106 funded vs Council funded or s106 funded based on score card rates)</w:t>
            </w:r>
            <w:r w:rsidRPr="006B7E52">
              <w:rPr>
                <w:rStyle w:val="EndnoteReference"/>
                <w:b/>
                <w:bCs/>
              </w:rPr>
              <w:endnoteReference w:id="1"/>
            </w:r>
            <w:r w:rsidRPr="006B7E52">
              <w:rPr>
                <w:b/>
                <w:bCs/>
              </w:rPr>
              <w:t xml:space="preserve">, how can defining the scope and specification of the projects be improved?  </w:t>
            </w:r>
            <w:r>
              <w:rPr>
                <w:bCs/>
              </w:rPr>
              <w:t>(please restrict your response to no more than 250 words)</w:t>
            </w:r>
          </w:p>
          <w:p w14:paraId="2E9490DB" w14:textId="77777777" w:rsidR="00196A86" w:rsidRDefault="00196A86" w:rsidP="006B7E52">
            <w:pPr>
              <w:pStyle w:val="ListParagraph"/>
              <w:ind w:left="2340"/>
              <w:rPr>
                <w:b/>
                <w:bCs/>
                <w:u w:val="single"/>
              </w:rPr>
            </w:pPr>
          </w:p>
        </w:tc>
      </w:tr>
      <w:tr w:rsidR="00196A86" w14:paraId="2A1F2214" w14:textId="77777777" w:rsidTr="00196A86">
        <w:tc>
          <w:tcPr>
            <w:tcW w:w="9016" w:type="dxa"/>
          </w:tcPr>
          <w:p w14:paraId="7CC0D0B0" w14:textId="77777777" w:rsidR="006B7E52" w:rsidRPr="006B7E52" w:rsidRDefault="006B7E52" w:rsidP="006B7E52">
            <w:pPr>
              <w:pStyle w:val="ListParagraph"/>
              <w:numPr>
                <w:ilvl w:val="0"/>
                <w:numId w:val="31"/>
              </w:numPr>
              <w:ind w:left="738" w:hanging="142"/>
              <w:rPr>
                <w:b/>
              </w:rPr>
            </w:pPr>
            <w:r w:rsidRPr="006B7E52">
              <w:rPr>
                <w:b/>
                <w:bCs/>
              </w:rPr>
              <w:t>How do we best deal with Policy and Legislation changes during the course of the Framework and, in particular:</w:t>
            </w:r>
          </w:p>
          <w:p w14:paraId="0C12F40A" w14:textId="77777777" w:rsidR="006B7E52" w:rsidRPr="006B7E52" w:rsidRDefault="006B7E52" w:rsidP="006B7E52">
            <w:pPr>
              <w:pStyle w:val="ListParagraph"/>
              <w:numPr>
                <w:ilvl w:val="3"/>
                <w:numId w:val="27"/>
              </w:numPr>
              <w:ind w:left="1447" w:hanging="284"/>
              <w:rPr>
                <w:b/>
              </w:rPr>
            </w:pPr>
            <w:r w:rsidRPr="006B7E52">
              <w:rPr>
                <w:b/>
                <w:bCs/>
              </w:rPr>
              <w:t xml:space="preserve">CCC policy on the climate emergency </w:t>
            </w:r>
          </w:p>
          <w:p w14:paraId="4E28E019" w14:textId="77777777" w:rsidR="006B7E52" w:rsidRPr="006B7E52" w:rsidRDefault="006B7E52" w:rsidP="006B7E52">
            <w:pPr>
              <w:pStyle w:val="ListParagraph"/>
              <w:numPr>
                <w:ilvl w:val="3"/>
                <w:numId w:val="27"/>
              </w:numPr>
              <w:ind w:left="1447" w:hanging="284"/>
              <w:rPr>
                <w:b/>
              </w:rPr>
            </w:pPr>
            <w:r w:rsidRPr="006B7E52">
              <w:rPr>
                <w:b/>
                <w:bCs/>
              </w:rPr>
              <w:t>DfE and/or CCC Design Guides</w:t>
            </w:r>
          </w:p>
          <w:p w14:paraId="7E3F4F5B" w14:textId="77777777" w:rsidR="00196A86" w:rsidRDefault="006B7E52" w:rsidP="006B7E52">
            <w:pPr>
              <w:rPr>
                <w:bCs/>
              </w:rPr>
            </w:pPr>
            <w:r w:rsidRPr="006B7E52">
              <w:rPr>
                <w:bCs/>
              </w:rPr>
              <w:t>(please restrict your response to no more than 250 words)</w:t>
            </w:r>
          </w:p>
          <w:p w14:paraId="70F96185" w14:textId="3553D5DE" w:rsidR="006B7E52" w:rsidRPr="006B7E52" w:rsidRDefault="006B7E52" w:rsidP="006B7E52">
            <w:pPr>
              <w:rPr>
                <w:b/>
                <w:bCs/>
                <w:u w:val="single"/>
              </w:rPr>
            </w:pPr>
          </w:p>
        </w:tc>
      </w:tr>
      <w:tr w:rsidR="00196A86" w14:paraId="3604AAF3" w14:textId="77777777" w:rsidTr="00196A86">
        <w:tc>
          <w:tcPr>
            <w:tcW w:w="9016" w:type="dxa"/>
          </w:tcPr>
          <w:p w14:paraId="67337E0F" w14:textId="1096A4DC" w:rsidR="006B7E52" w:rsidRPr="006B7E52" w:rsidRDefault="006B7E52" w:rsidP="006B7E52">
            <w:pPr>
              <w:pStyle w:val="ListParagraph"/>
              <w:numPr>
                <w:ilvl w:val="0"/>
                <w:numId w:val="31"/>
              </w:numPr>
              <w:ind w:left="738" w:hanging="142"/>
              <w:rPr>
                <w:b/>
              </w:rPr>
            </w:pPr>
            <w:r w:rsidRPr="006B7E52">
              <w:rPr>
                <w:b/>
              </w:rPr>
              <w:t>Because of the large and diverse programme that Cambridgeshire has to manage, the current framework arrangement means that there can be disparities between the services required and provided, with some contractors doing more and some doing less e.g.  s106 funded projects providing new schools involve engaging with developers/utilities/other 3rd parties to the contractor.  What do you think would the implications be of transferring all responsibility for this engagement to contractors as part of any new framework arrangement?</w:t>
            </w:r>
            <w:r>
              <w:rPr>
                <w:b/>
              </w:rPr>
              <w:t xml:space="preserve">  </w:t>
            </w:r>
            <w:r>
              <w:rPr>
                <w:bCs/>
              </w:rPr>
              <w:t>(please restrict your response to no more than 250 words)</w:t>
            </w:r>
          </w:p>
          <w:p w14:paraId="076B2F5D" w14:textId="77777777" w:rsidR="00196A86" w:rsidRDefault="00196A86" w:rsidP="0058060B">
            <w:pPr>
              <w:rPr>
                <w:b/>
                <w:bCs/>
                <w:u w:val="single"/>
              </w:rPr>
            </w:pPr>
          </w:p>
        </w:tc>
      </w:tr>
    </w:tbl>
    <w:p w14:paraId="5FF8F0D3" w14:textId="6970681E" w:rsidR="007D693E" w:rsidRPr="00033FCA" w:rsidRDefault="007D693E" w:rsidP="00834652"/>
    <w:sectPr w:rsidR="007D693E" w:rsidRPr="00033FC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365B32" w16cid:durableId="2288A5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A4D72" w14:textId="77777777" w:rsidR="00196933" w:rsidRDefault="00196933" w:rsidP="00C10F44">
      <w:pPr>
        <w:spacing w:after="0" w:line="240" w:lineRule="auto"/>
      </w:pPr>
      <w:r>
        <w:separator/>
      </w:r>
    </w:p>
  </w:endnote>
  <w:endnote w:type="continuationSeparator" w:id="0">
    <w:p w14:paraId="3374AD13" w14:textId="77777777" w:rsidR="00196933" w:rsidRDefault="00196933" w:rsidP="00C10F44">
      <w:pPr>
        <w:spacing w:after="0" w:line="240" w:lineRule="auto"/>
      </w:pPr>
      <w:r>
        <w:continuationSeparator/>
      </w:r>
    </w:p>
  </w:endnote>
  <w:endnote w:id="1">
    <w:p w14:paraId="206A2480" w14:textId="77777777" w:rsidR="006B7E52" w:rsidRDefault="006B7E52" w:rsidP="006B7E52">
      <w:pPr>
        <w:pStyle w:val="EndnoteText"/>
      </w:pPr>
      <w:r>
        <w:rPr>
          <w:rStyle w:val="EndnoteReference"/>
        </w:rPr>
        <w:endnoteRef/>
      </w:r>
      <w:r>
        <w:t xml:space="preserve"> Cambridgeshire adopt a Cambridgeshire specific Design Guide for s106 funded projects, and use the DfE Output Specification for local authority funded projects.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E1E14" w14:textId="77777777" w:rsidR="00196933" w:rsidRDefault="00196933" w:rsidP="00C10F44">
      <w:pPr>
        <w:spacing w:after="0" w:line="240" w:lineRule="auto"/>
      </w:pPr>
      <w:r>
        <w:separator/>
      </w:r>
    </w:p>
  </w:footnote>
  <w:footnote w:type="continuationSeparator" w:id="0">
    <w:p w14:paraId="0844002B" w14:textId="77777777" w:rsidR="00196933" w:rsidRDefault="00196933" w:rsidP="00C10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1D6"/>
    <w:multiLevelType w:val="multilevel"/>
    <w:tmpl w:val="2F3EC6CE"/>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47A96"/>
    <w:multiLevelType w:val="hybridMultilevel"/>
    <w:tmpl w:val="45149036"/>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 w15:restartNumberingAfterBreak="0">
    <w:nsid w:val="06384E36"/>
    <w:multiLevelType w:val="multilevel"/>
    <w:tmpl w:val="A240EDAC"/>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360"/>
      </w:pPr>
      <w:rPr>
        <w:rFonts w:hint="default"/>
        <w:b/>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D0587"/>
    <w:multiLevelType w:val="hybridMultilevel"/>
    <w:tmpl w:val="7CAC41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8C25C6"/>
    <w:multiLevelType w:val="multilevel"/>
    <w:tmpl w:val="17603C60"/>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bCs/>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726E9"/>
    <w:multiLevelType w:val="hybridMultilevel"/>
    <w:tmpl w:val="C80E57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F01D6"/>
    <w:multiLevelType w:val="hybridMultilevel"/>
    <w:tmpl w:val="4B9643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64C4D"/>
    <w:multiLevelType w:val="hybridMultilevel"/>
    <w:tmpl w:val="5EA69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D54B0C"/>
    <w:multiLevelType w:val="multilevel"/>
    <w:tmpl w:val="A768E83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96E15"/>
    <w:multiLevelType w:val="hybridMultilevel"/>
    <w:tmpl w:val="375C2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3C600D"/>
    <w:multiLevelType w:val="multilevel"/>
    <w:tmpl w:val="9072FB6C"/>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244E7049"/>
    <w:multiLevelType w:val="multilevel"/>
    <w:tmpl w:val="E624771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6A65E9"/>
    <w:multiLevelType w:val="multilevel"/>
    <w:tmpl w:val="17603C60"/>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bCs/>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D6437"/>
    <w:multiLevelType w:val="multilevel"/>
    <w:tmpl w:val="D9DEA1AE"/>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bCs/>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D04CD"/>
    <w:multiLevelType w:val="multilevel"/>
    <w:tmpl w:val="17603C60"/>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bCs/>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9B3622"/>
    <w:multiLevelType w:val="multilevel"/>
    <w:tmpl w:val="E624771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66510"/>
    <w:multiLevelType w:val="hybridMultilevel"/>
    <w:tmpl w:val="D270C3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844380"/>
    <w:multiLevelType w:val="hybridMultilevel"/>
    <w:tmpl w:val="A594C38A"/>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18" w15:restartNumberingAfterBreak="0">
    <w:nsid w:val="4EEB639C"/>
    <w:multiLevelType w:val="hybridMultilevel"/>
    <w:tmpl w:val="6790547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52EE2B71"/>
    <w:multiLevelType w:val="hybridMultilevel"/>
    <w:tmpl w:val="88467DB8"/>
    <w:lvl w:ilvl="0" w:tplc="08090001">
      <w:start w:val="1"/>
      <w:numFmt w:val="bullet"/>
      <w:lvlText w:val=""/>
      <w:lvlJc w:val="left"/>
      <w:pPr>
        <w:ind w:left="2563" w:hanging="360"/>
      </w:pPr>
      <w:rPr>
        <w:rFonts w:ascii="Symbol" w:hAnsi="Symbol"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20" w15:restartNumberingAfterBreak="0">
    <w:nsid w:val="5A012063"/>
    <w:multiLevelType w:val="hybridMultilevel"/>
    <w:tmpl w:val="86B8DE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56BC1"/>
    <w:multiLevelType w:val="multilevel"/>
    <w:tmpl w:val="25B87A2C"/>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bCs/>
        <w:sz w:val="20"/>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A77C9"/>
    <w:multiLevelType w:val="hybridMultilevel"/>
    <w:tmpl w:val="32D8F9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BA7FB2"/>
    <w:multiLevelType w:val="hybridMultilevel"/>
    <w:tmpl w:val="37202202"/>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4" w15:restartNumberingAfterBreak="0">
    <w:nsid w:val="656F22B4"/>
    <w:multiLevelType w:val="hybridMultilevel"/>
    <w:tmpl w:val="FCEEB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43523C"/>
    <w:multiLevelType w:val="multilevel"/>
    <w:tmpl w:val="A768E83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A2510"/>
    <w:multiLevelType w:val="hybridMultilevel"/>
    <w:tmpl w:val="3DE27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A71F2B"/>
    <w:multiLevelType w:val="hybridMultilevel"/>
    <w:tmpl w:val="B2E46A9A"/>
    <w:lvl w:ilvl="0" w:tplc="7036393A">
      <w:start w:val="6"/>
      <w:numFmt w:val="lowerRoman"/>
      <w:lvlText w:val="%1."/>
      <w:lvlJc w:val="righ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514CA4"/>
    <w:multiLevelType w:val="hybridMultilevel"/>
    <w:tmpl w:val="49CA2456"/>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9" w15:restartNumberingAfterBreak="0">
    <w:nsid w:val="7DD47210"/>
    <w:multiLevelType w:val="multilevel"/>
    <w:tmpl w:val="A768E83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46E24"/>
    <w:multiLevelType w:val="multilevel"/>
    <w:tmpl w:val="A768E83A"/>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sz w:val="20"/>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8"/>
  </w:num>
  <w:num w:numId="4">
    <w:abstractNumId w:val="29"/>
  </w:num>
  <w:num w:numId="5">
    <w:abstractNumId w:val="4"/>
  </w:num>
  <w:num w:numId="6">
    <w:abstractNumId w:val="25"/>
  </w:num>
  <w:num w:numId="7">
    <w:abstractNumId w:val="30"/>
  </w:num>
  <w:num w:numId="8">
    <w:abstractNumId w:val="0"/>
  </w:num>
  <w:num w:numId="9">
    <w:abstractNumId w:val="12"/>
  </w:num>
  <w:num w:numId="10">
    <w:abstractNumId w:val="3"/>
  </w:num>
  <w:num w:numId="11">
    <w:abstractNumId w:val="26"/>
  </w:num>
  <w:num w:numId="12">
    <w:abstractNumId w:val="24"/>
  </w:num>
  <w:num w:numId="13">
    <w:abstractNumId w:val="14"/>
  </w:num>
  <w:num w:numId="14">
    <w:abstractNumId w:val="28"/>
  </w:num>
  <w:num w:numId="15">
    <w:abstractNumId w:val="21"/>
  </w:num>
  <w:num w:numId="16">
    <w:abstractNumId w:val="13"/>
  </w:num>
  <w:num w:numId="17">
    <w:abstractNumId w:val="18"/>
  </w:num>
  <w:num w:numId="18">
    <w:abstractNumId w:val="10"/>
  </w:num>
  <w:num w:numId="19">
    <w:abstractNumId w:val="20"/>
  </w:num>
  <w:num w:numId="20">
    <w:abstractNumId w:val="7"/>
  </w:num>
  <w:num w:numId="21">
    <w:abstractNumId w:val="9"/>
  </w:num>
  <w:num w:numId="22">
    <w:abstractNumId w:val="16"/>
  </w:num>
  <w:num w:numId="23">
    <w:abstractNumId w:val="2"/>
  </w:num>
  <w:num w:numId="24">
    <w:abstractNumId w:val="6"/>
  </w:num>
  <w:num w:numId="25">
    <w:abstractNumId w:val="27"/>
  </w:num>
  <w:num w:numId="26">
    <w:abstractNumId w:val="5"/>
  </w:num>
  <w:num w:numId="27">
    <w:abstractNumId w:val="22"/>
  </w:num>
  <w:num w:numId="28">
    <w:abstractNumId w:val="19"/>
  </w:num>
  <w:num w:numId="29">
    <w:abstractNumId w:val="1"/>
  </w:num>
  <w:num w:numId="30">
    <w:abstractNumId w:val="1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62E"/>
    <w:rsid w:val="00025D4F"/>
    <w:rsid w:val="00033FCA"/>
    <w:rsid w:val="000649C7"/>
    <w:rsid w:val="000A09E7"/>
    <w:rsid w:val="000B5469"/>
    <w:rsid w:val="000C764B"/>
    <w:rsid w:val="000E181F"/>
    <w:rsid w:val="000F44A7"/>
    <w:rsid w:val="00101E44"/>
    <w:rsid w:val="0012051E"/>
    <w:rsid w:val="0017362E"/>
    <w:rsid w:val="00174626"/>
    <w:rsid w:val="00196933"/>
    <w:rsid w:val="00196A86"/>
    <w:rsid w:val="00234198"/>
    <w:rsid w:val="002569E2"/>
    <w:rsid w:val="00266525"/>
    <w:rsid w:val="002A28D6"/>
    <w:rsid w:val="002B2F69"/>
    <w:rsid w:val="002F17C8"/>
    <w:rsid w:val="002F5262"/>
    <w:rsid w:val="0036306C"/>
    <w:rsid w:val="003B7EF6"/>
    <w:rsid w:val="00407860"/>
    <w:rsid w:val="0043415D"/>
    <w:rsid w:val="00487626"/>
    <w:rsid w:val="004A6DB5"/>
    <w:rsid w:val="004C37B0"/>
    <w:rsid w:val="004C48B9"/>
    <w:rsid w:val="005744EC"/>
    <w:rsid w:val="0058060B"/>
    <w:rsid w:val="005A747C"/>
    <w:rsid w:val="005C0862"/>
    <w:rsid w:val="005E31A6"/>
    <w:rsid w:val="005F3E66"/>
    <w:rsid w:val="00606386"/>
    <w:rsid w:val="00612C1B"/>
    <w:rsid w:val="00694DF4"/>
    <w:rsid w:val="006A5516"/>
    <w:rsid w:val="006B7E52"/>
    <w:rsid w:val="006E3831"/>
    <w:rsid w:val="007549A9"/>
    <w:rsid w:val="007A1C69"/>
    <w:rsid w:val="007D6591"/>
    <w:rsid w:val="007D693E"/>
    <w:rsid w:val="007D7C5A"/>
    <w:rsid w:val="00834652"/>
    <w:rsid w:val="00845196"/>
    <w:rsid w:val="00883F77"/>
    <w:rsid w:val="008E29DC"/>
    <w:rsid w:val="00977A6A"/>
    <w:rsid w:val="009E04BD"/>
    <w:rsid w:val="00A219BB"/>
    <w:rsid w:val="00A73DD5"/>
    <w:rsid w:val="00A7668B"/>
    <w:rsid w:val="00B06766"/>
    <w:rsid w:val="00B75261"/>
    <w:rsid w:val="00BA16AE"/>
    <w:rsid w:val="00BC11D1"/>
    <w:rsid w:val="00C10F44"/>
    <w:rsid w:val="00C47ED5"/>
    <w:rsid w:val="00C73525"/>
    <w:rsid w:val="00C90FED"/>
    <w:rsid w:val="00CF6FC7"/>
    <w:rsid w:val="00D12023"/>
    <w:rsid w:val="00D626D8"/>
    <w:rsid w:val="00D932AC"/>
    <w:rsid w:val="00D93488"/>
    <w:rsid w:val="00E26020"/>
    <w:rsid w:val="00E71865"/>
    <w:rsid w:val="00FF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B328"/>
  <w15:chartTrackingRefBased/>
  <w15:docId w15:val="{FF6D76FC-0CD1-4E36-A21B-C6831E84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EF6"/>
    <w:pPr>
      <w:ind w:left="720"/>
      <w:contextualSpacing/>
    </w:pPr>
  </w:style>
  <w:style w:type="paragraph" w:styleId="BalloonText">
    <w:name w:val="Balloon Text"/>
    <w:basedOn w:val="Normal"/>
    <w:link w:val="BalloonTextChar"/>
    <w:uiPriority w:val="99"/>
    <w:semiHidden/>
    <w:unhideWhenUsed/>
    <w:rsid w:val="0088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F77"/>
    <w:rPr>
      <w:rFonts w:ascii="Segoe UI" w:hAnsi="Segoe UI" w:cs="Segoe UI"/>
      <w:sz w:val="18"/>
      <w:szCs w:val="18"/>
    </w:rPr>
  </w:style>
  <w:style w:type="character" w:styleId="CommentReference">
    <w:name w:val="annotation reference"/>
    <w:basedOn w:val="DefaultParagraphFont"/>
    <w:uiPriority w:val="99"/>
    <w:semiHidden/>
    <w:unhideWhenUsed/>
    <w:rsid w:val="00883F77"/>
    <w:rPr>
      <w:sz w:val="16"/>
      <w:szCs w:val="16"/>
    </w:rPr>
  </w:style>
  <w:style w:type="paragraph" w:styleId="CommentText">
    <w:name w:val="annotation text"/>
    <w:basedOn w:val="Normal"/>
    <w:link w:val="CommentTextChar"/>
    <w:uiPriority w:val="99"/>
    <w:semiHidden/>
    <w:unhideWhenUsed/>
    <w:rsid w:val="00883F77"/>
    <w:pPr>
      <w:spacing w:line="240" w:lineRule="auto"/>
    </w:pPr>
    <w:rPr>
      <w:sz w:val="20"/>
      <w:szCs w:val="20"/>
    </w:rPr>
  </w:style>
  <w:style w:type="character" w:customStyle="1" w:styleId="CommentTextChar">
    <w:name w:val="Comment Text Char"/>
    <w:basedOn w:val="DefaultParagraphFont"/>
    <w:link w:val="CommentText"/>
    <w:uiPriority w:val="99"/>
    <w:semiHidden/>
    <w:rsid w:val="00883F77"/>
    <w:rPr>
      <w:sz w:val="20"/>
      <w:szCs w:val="20"/>
    </w:rPr>
  </w:style>
  <w:style w:type="paragraph" w:styleId="CommentSubject">
    <w:name w:val="annotation subject"/>
    <w:basedOn w:val="CommentText"/>
    <w:next w:val="CommentText"/>
    <w:link w:val="CommentSubjectChar"/>
    <w:uiPriority w:val="99"/>
    <w:semiHidden/>
    <w:unhideWhenUsed/>
    <w:rsid w:val="00883F77"/>
    <w:rPr>
      <w:b/>
      <w:bCs/>
    </w:rPr>
  </w:style>
  <w:style w:type="character" w:customStyle="1" w:styleId="CommentSubjectChar">
    <w:name w:val="Comment Subject Char"/>
    <w:basedOn w:val="CommentTextChar"/>
    <w:link w:val="CommentSubject"/>
    <w:uiPriority w:val="99"/>
    <w:semiHidden/>
    <w:rsid w:val="00883F77"/>
    <w:rPr>
      <w:b/>
      <w:bCs/>
      <w:sz w:val="20"/>
      <w:szCs w:val="20"/>
    </w:rPr>
  </w:style>
  <w:style w:type="paragraph" w:styleId="EndnoteText">
    <w:name w:val="endnote text"/>
    <w:basedOn w:val="Normal"/>
    <w:link w:val="EndnoteTextChar"/>
    <w:uiPriority w:val="99"/>
    <w:semiHidden/>
    <w:unhideWhenUsed/>
    <w:rsid w:val="00C10F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0F44"/>
    <w:rPr>
      <w:sz w:val="20"/>
      <w:szCs w:val="20"/>
    </w:rPr>
  </w:style>
  <w:style w:type="character" w:styleId="EndnoteReference">
    <w:name w:val="endnote reference"/>
    <w:basedOn w:val="DefaultParagraphFont"/>
    <w:uiPriority w:val="99"/>
    <w:semiHidden/>
    <w:unhideWhenUsed/>
    <w:rsid w:val="00C10F44"/>
    <w:rPr>
      <w:vertAlign w:val="superscript"/>
    </w:rPr>
  </w:style>
  <w:style w:type="table" w:styleId="TableGrid">
    <w:name w:val="Table Grid"/>
    <w:basedOn w:val="TableNormal"/>
    <w:uiPriority w:val="39"/>
    <w:rsid w:val="0069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0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8C31-6C10-49C5-830D-4DBE14A43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1070</Words>
  <Characters>6105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Holliday Rachael</dc:creator>
  <cp:keywords/>
  <dc:description/>
  <cp:lastModifiedBy>Collyns Jon</cp:lastModifiedBy>
  <cp:revision>2</cp:revision>
  <dcterms:created xsi:type="dcterms:W3CDTF">2020-06-10T12:35:00Z</dcterms:created>
  <dcterms:modified xsi:type="dcterms:W3CDTF">2020-06-10T12:35:00Z</dcterms:modified>
</cp:coreProperties>
</file>