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67" w:rsidRDefault="00B82126" w:rsidP="00620AD1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AD550A">
        <w:rPr>
          <w:rFonts w:ascii="Arial" w:hAnsi="Arial" w:cs="Arial"/>
          <w:b/>
          <w:sz w:val="28"/>
          <w:szCs w:val="28"/>
        </w:rPr>
        <w:t>CHEDULE 4 -</w:t>
      </w:r>
      <w:r w:rsidR="00CC2567" w:rsidRPr="00745FF1">
        <w:rPr>
          <w:rFonts w:ascii="Arial" w:hAnsi="Arial" w:cs="Arial"/>
          <w:b/>
          <w:sz w:val="28"/>
          <w:szCs w:val="28"/>
        </w:rPr>
        <w:t xml:space="preserve"> QUALITY REQUIREMENTS</w:t>
      </w:r>
    </w:p>
    <w:p w:rsidR="00F336F9" w:rsidRDefault="00F336F9" w:rsidP="00C52C23">
      <w:pPr>
        <w:spacing w:after="0"/>
        <w:rPr>
          <w:rFonts w:ascii="Arial" w:hAnsi="Arial" w:cs="Arial"/>
          <w:sz w:val="20"/>
        </w:rPr>
      </w:pPr>
    </w:p>
    <w:p w:rsidR="00C52C23" w:rsidRDefault="00C2098D" w:rsidP="00C2098D">
      <w:pPr>
        <w:pStyle w:val="ListParagraph"/>
        <w:numPr>
          <w:ilvl w:val="0"/>
          <w:numId w:val="7"/>
        </w:numPr>
        <w:contextualSpacing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Operational Standards</w:t>
      </w:r>
    </w:p>
    <w:p w:rsidR="00872D3B" w:rsidRPr="004F0D3F" w:rsidRDefault="00872D3B" w:rsidP="00872D3B">
      <w:pPr>
        <w:pStyle w:val="ListParagraph"/>
        <w:spacing w:line="276" w:lineRule="auto"/>
        <w:ind w:left="1070"/>
        <w:contextualSpacing/>
        <w:outlineLvl w:val="1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986"/>
        <w:gridCol w:w="2980"/>
        <w:gridCol w:w="2989"/>
        <w:gridCol w:w="2989"/>
        <w:gridCol w:w="2990"/>
      </w:tblGrid>
      <w:tr w:rsidR="00872D3B" w:rsidTr="00EA3942">
        <w:tc>
          <w:tcPr>
            <w:tcW w:w="456" w:type="dxa"/>
            <w:vAlign w:val="center"/>
          </w:tcPr>
          <w:p w:rsidR="00872D3B" w:rsidRPr="00407D27" w:rsidRDefault="00872D3B" w:rsidP="00B855B1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D27">
              <w:rPr>
                <w:rFonts w:ascii="Arial" w:hAnsi="Arial" w:cs="Arial"/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2986" w:type="dxa"/>
            <w:vAlign w:val="center"/>
          </w:tcPr>
          <w:p w:rsidR="00872D3B" w:rsidRPr="0095180A" w:rsidRDefault="0095180A" w:rsidP="0095180A">
            <w:pPr>
              <w:contextualSpacing/>
              <w:jc w:val="center"/>
              <w:outlineLvl w:val="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2980" w:type="dxa"/>
            <w:vAlign w:val="center"/>
          </w:tcPr>
          <w:p w:rsidR="00872D3B" w:rsidRPr="00171A25" w:rsidRDefault="00872D3B" w:rsidP="00B855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89" w:type="dxa"/>
            <w:vAlign w:val="center"/>
          </w:tcPr>
          <w:p w:rsidR="00872D3B" w:rsidRPr="00171A25" w:rsidRDefault="00872D3B" w:rsidP="00B855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89" w:type="dxa"/>
            <w:vAlign w:val="center"/>
          </w:tcPr>
          <w:p w:rsidR="00872D3B" w:rsidRPr="00171A25" w:rsidRDefault="00872D3B" w:rsidP="00B855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 w:rsidR="00B855B1">
              <w:rPr>
                <w:rFonts w:ascii="Arial" w:hAnsi="Arial" w:cs="Arial"/>
                <w:b/>
                <w:sz w:val="20"/>
              </w:rPr>
              <w:t>Ac</w:t>
            </w:r>
            <w:r>
              <w:rPr>
                <w:rFonts w:ascii="Arial" w:hAnsi="Arial" w:cs="Arial"/>
                <w:b/>
                <w:sz w:val="20"/>
              </w:rPr>
              <w:t>hievement</w:t>
            </w:r>
            <w:r w:rsidR="00D35217">
              <w:rPr>
                <w:rFonts w:ascii="Arial" w:hAnsi="Arial" w:cs="Arial"/>
                <w:b/>
                <w:sz w:val="20"/>
              </w:rPr>
              <w:t xml:space="preserve"> / Breach</w:t>
            </w:r>
          </w:p>
        </w:tc>
        <w:tc>
          <w:tcPr>
            <w:tcW w:w="2990" w:type="dxa"/>
            <w:vAlign w:val="center"/>
          </w:tcPr>
          <w:p w:rsidR="00872D3B" w:rsidRDefault="00872D3B" w:rsidP="00B855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EA3942" w:rsidTr="006543D8">
        <w:tc>
          <w:tcPr>
            <w:tcW w:w="456" w:type="dxa"/>
          </w:tcPr>
          <w:p w:rsidR="00EA3942" w:rsidRPr="00AC5FE2" w:rsidRDefault="00EA3942" w:rsidP="00EA3942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EA3942" w:rsidRPr="00407D27" w:rsidRDefault="00EA3942" w:rsidP="00EA3942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</w:t>
            </w:r>
            <w:r>
              <w:rPr>
                <w:rFonts w:ascii="Arial" w:hAnsi="Arial" w:cs="Arial"/>
                <w:i/>
                <w:sz w:val="20"/>
              </w:rPr>
              <w:t xml:space="preserve"> urgent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referrals triaged within one calendar day of receipt </w:t>
            </w:r>
          </w:p>
          <w:p w:rsidR="00EA3942" w:rsidRPr="00407D27" w:rsidRDefault="00EA3942" w:rsidP="00EA3942">
            <w:pPr>
              <w:contextualSpacing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0" w:type="dxa"/>
          </w:tcPr>
          <w:p w:rsidR="00EA3942" w:rsidRPr="00407D27" w:rsidRDefault="00EA3942" w:rsidP="00EA394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2989" w:type="dxa"/>
          </w:tcPr>
          <w:p w:rsidR="00EA3942" w:rsidRPr="00407D27" w:rsidRDefault="00EA3942" w:rsidP="00EA3942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89" w:type="dxa"/>
          </w:tcPr>
          <w:p w:rsidR="00EA3942" w:rsidRPr="00407D27" w:rsidRDefault="00EA3942" w:rsidP="00EA3942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percentage of </w:t>
            </w:r>
            <w:r>
              <w:rPr>
                <w:rFonts w:ascii="Arial" w:hAnsi="Arial" w:cs="Arial"/>
                <w:i/>
                <w:sz w:val="20"/>
              </w:rPr>
              <w:t xml:space="preserve">urgent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referrals triaged within one calendar day of receipt achieves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90" w:type="dxa"/>
          </w:tcPr>
          <w:p w:rsidR="00EA3942" w:rsidRDefault="006543D8" w:rsidP="00EA3942">
            <w:r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Tr="00EA3942">
        <w:tc>
          <w:tcPr>
            <w:tcW w:w="456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</w:t>
            </w:r>
            <w:r>
              <w:rPr>
                <w:rFonts w:ascii="Arial" w:hAnsi="Arial" w:cs="Arial"/>
                <w:i/>
                <w:sz w:val="20"/>
              </w:rPr>
              <w:t xml:space="preserve">routine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referrals triaged within one calendar day of receipt </w:t>
            </w:r>
          </w:p>
          <w:p w:rsidR="006543D8" w:rsidRPr="00407D27" w:rsidRDefault="006543D8" w:rsidP="006543D8">
            <w:pPr>
              <w:pStyle w:val="ListParagraph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95%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percentage of </w:t>
            </w:r>
            <w:r>
              <w:rPr>
                <w:rFonts w:ascii="Arial" w:hAnsi="Arial" w:cs="Arial"/>
                <w:i/>
                <w:sz w:val="20"/>
              </w:rPr>
              <w:t xml:space="preserve">routine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referrals triaged within one calendar day of receipt achieves or exceeds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90" w:type="dxa"/>
          </w:tcPr>
          <w:p w:rsidR="006543D8" w:rsidRDefault="006543D8" w:rsidP="006543D8">
            <w:r w:rsidRPr="00C62D80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Tr="00EA3942">
        <w:tc>
          <w:tcPr>
            <w:tcW w:w="456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</w:t>
            </w:r>
            <w:r>
              <w:rPr>
                <w:rFonts w:ascii="Arial" w:hAnsi="Arial" w:cs="Arial"/>
                <w:i/>
                <w:sz w:val="20"/>
              </w:rPr>
              <w:t xml:space="preserve"> directed back to their GP as inappropriate, with advice and guidance noted on the form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4%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Where the percentage of Service Users</w:t>
            </w:r>
            <w:r>
              <w:rPr>
                <w:rFonts w:ascii="Arial" w:hAnsi="Arial" w:cs="Arial"/>
                <w:i/>
                <w:sz w:val="20"/>
              </w:rPr>
              <w:t xml:space="preserve"> directed bac</w:t>
            </w:r>
            <w:r>
              <w:rPr>
                <w:rFonts w:ascii="Arial" w:hAnsi="Arial" w:cs="Arial"/>
                <w:i/>
                <w:sz w:val="20"/>
              </w:rPr>
              <w:t xml:space="preserve">k to their GP as inappropriate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or is below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90" w:type="dxa"/>
          </w:tcPr>
          <w:p w:rsidR="006543D8" w:rsidRDefault="006543D8" w:rsidP="006543D8">
            <w:r w:rsidRPr="00C62D80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Tr="00EA3942">
        <w:tc>
          <w:tcPr>
            <w:tcW w:w="456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attending a</w:t>
            </w:r>
            <w:r>
              <w:rPr>
                <w:rFonts w:ascii="Arial" w:hAnsi="Arial" w:cs="Arial"/>
                <w:i/>
                <w:sz w:val="20"/>
              </w:rPr>
              <w:t>n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urgent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first appointment within </w:t>
            </w:r>
            <w:r>
              <w:rPr>
                <w:rFonts w:ascii="Arial" w:hAnsi="Arial" w:cs="Arial"/>
                <w:i/>
                <w:sz w:val="20"/>
              </w:rPr>
              <w:t xml:space="preserve">7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calendar days of receipt of </w:t>
            </w: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referral </w:t>
            </w: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0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89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percentage of </w:t>
            </w:r>
            <w:r w:rsidRPr="00407D27">
              <w:rPr>
                <w:rFonts w:ascii="Arial" w:hAnsi="Arial" w:cs="Arial"/>
                <w:i/>
                <w:sz w:val="20"/>
              </w:rPr>
              <w:t>Service Users attending a</w:t>
            </w:r>
            <w:r>
              <w:rPr>
                <w:rFonts w:ascii="Arial" w:hAnsi="Arial" w:cs="Arial"/>
                <w:i/>
                <w:sz w:val="20"/>
              </w:rPr>
              <w:t>n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 xml:space="preserve">urgent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first appointment within </w:t>
            </w:r>
            <w:r>
              <w:rPr>
                <w:rFonts w:ascii="Arial" w:hAnsi="Arial" w:cs="Arial"/>
                <w:i/>
                <w:sz w:val="20"/>
              </w:rPr>
              <w:t xml:space="preserve">7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calendar days of receipt of </w:t>
            </w: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referral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90" w:type="dxa"/>
          </w:tcPr>
          <w:p w:rsidR="006543D8" w:rsidRDefault="006543D8" w:rsidP="006543D8">
            <w:r w:rsidRPr="00C62D80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</w:tbl>
    <w:p w:rsidR="008260EC" w:rsidRDefault="008260EC" w:rsidP="008260EC">
      <w:pPr>
        <w:contextualSpacing/>
        <w:jc w:val="both"/>
        <w:rPr>
          <w:rFonts w:cs="Arial"/>
        </w:rPr>
      </w:pPr>
    </w:p>
    <w:p w:rsidR="00AC5FE2" w:rsidRDefault="00AC5FE2" w:rsidP="008260EC">
      <w:pPr>
        <w:contextualSpacing/>
        <w:jc w:val="both"/>
        <w:rPr>
          <w:rFonts w:cs="Arial"/>
        </w:rPr>
      </w:pPr>
    </w:p>
    <w:p w:rsidR="00AB29EF" w:rsidRDefault="00AB29EF" w:rsidP="008260EC">
      <w:pPr>
        <w:contextualSpacing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980"/>
        <w:gridCol w:w="2999"/>
        <w:gridCol w:w="2979"/>
        <w:gridCol w:w="2992"/>
        <w:gridCol w:w="2980"/>
      </w:tblGrid>
      <w:tr w:rsidR="00AC5FE2" w:rsidRPr="00407D27" w:rsidTr="0063386E">
        <w:tc>
          <w:tcPr>
            <w:tcW w:w="460" w:type="dxa"/>
            <w:vAlign w:val="center"/>
          </w:tcPr>
          <w:p w:rsidR="00AC5FE2" w:rsidRPr="00407D27" w:rsidRDefault="00AC5FE2" w:rsidP="00D81269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#</w:t>
            </w:r>
          </w:p>
        </w:tc>
        <w:tc>
          <w:tcPr>
            <w:tcW w:w="2980" w:type="dxa"/>
            <w:vAlign w:val="center"/>
          </w:tcPr>
          <w:p w:rsidR="00AC5FE2" w:rsidRPr="00171A25" w:rsidRDefault="0095180A" w:rsidP="00D8126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2999" w:type="dxa"/>
            <w:vAlign w:val="center"/>
          </w:tcPr>
          <w:p w:rsidR="00AC5FE2" w:rsidRPr="00171A25" w:rsidRDefault="00AC5FE2" w:rsidP="00D812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79" w:type="dxa"/>
            <w:vAlign w:val="center"/>
          </w:tcPr>
          <w:p w:rsidR="00AC5FE2" w:rsidRPr="00171A25" w:rsidRDefault="00AC5FE2" w:rsidP="00D812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92" w:type="dxa"/>
            <w:vAlign w:val="center"/>
          </w:tcPr>
          <w:p w:rsidR="00AC5FE2" w:rsidRPr="00171A25" w:rsidRDefault="00AC5FE2" w:rsidP="00D812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80" w:type="dxa"/>
            <w:vAlign w:val="center"/>
          </w:tcPr>
          <w:p w:rsidR="00AC5FE2" w:rsidRDefault="00AC5FE2" w:rsidP="00D8126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6543D8" w:rsidRPr="00407D27" w:rsidTr="0063386E">
        <w:tc>
          <w:tcPr>
            <w:tcW w:w="460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Service Users attending a </w:t>
            </w:r>
            <w:r>
              <w:rPr>
                <w:rFonts w:ascii="Arial" w:hAnsi="Arial" w:cs="Arial"/>
                <w:i/>
                <w:sz w:val="20"/>
              </w:rPr>
              <w:t xml:space="preserve">routine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first appointment within 14 calendar days of receipt of </w:t>
            </w: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referral </w:t>
            </w: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</w:p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9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95%</w:t>
            </w:r>
          </w:p>
        </w:tc>
        <w:tc>
          <w:tcPr>
            <w:tcW w:w="297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92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percentage of Service Users attending a </w:t>
            </w:r>
            <w:r>
              <w:rPr>
                <w:rFonts w:ascii="Arial" w:hAnsi="Arial" w:cs="Arial"/>
                <w:i/>
                <w:sz w:val="20"/>
              </w:rPr>
              <w:t xml:space="preserve">routine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first appointment within 14 calendar days of receipt of </w:t>
            </w:r>
          </w:p>
          <w:p w:rsidR="006543D8" w:rsidRPr="002F4109" w:rsidRDefault="006543D8" w:rsidP="006543D8">
            <w:pPr>
              <w:contextualSpacing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r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eferral achieves or exceeds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80" w:type="dxa"/>
          </w:tcPr>
          <w:p w:rsidR="006543D8" w:rsidRDefault="006543D8" w:rsidP="006543D8">
            <w:r w:rsidRPr="00FC7DA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RPr="00407D27" w:rsidTr="0063386E">
        <w:tc>
          <w:tcPr>
            <w:tcW w:w="460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Service Users who Did Not Attend (DNA) a 1:1 appointment </w:t>
            </w:r>
          </w:p>
        </w:tc>
        <w:tc>
          <w:tcPr>
            <w:tcW w:w="2999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</w:t>
            </w:r>
            <w:r w:rsidRPr="00407D27">
              <w:rPr>
                <w:rFonts w:ascii="Arial" w:hAnsi="Arial" w:cs="Arial"/>
                <w:i/>
                <w:sz w:val="20"/>
              </w:rPr>
              <w:t>%</w:t>
            </w:r>
          </w:p>
          <w:p w:rsidR="006543D8" w:rsidRPr="00407D27" w:rsidRDefault="006543D8" w:rsidP="006543D8">
            <w:pPr>
              <w:rPr>
                <w:rFonts w:ascii="Arial" w:hAnsi="Arial" w:cs="Arial"/>
                <w:sz w:val="20"/>
              </w:rPr>
            </w:pPr>
          </w:p>
          <w:p w:rsidR="006543D8" w:rsidRPr="00407D27" w:rsidRDefault="006543D8" w:rsidP="006543D8">
            <w:pPr>
              <w:tabs>
                <w:tab w:val="left" w:pos="1890"/>
              </w:tabs>
              <w:rPr>
                <w:rFonts w:ascii="Arial" w:hAnsi="Arial" w:cs="Arial"/>
                <w:sz w:val="20"/>
              </w:rPr>
            </w:pPr>
            <w:r w:rsidRPr="00407D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97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92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percentage of Service Users who Did Not Attend (DNA) a 1:1 appointment achieves or is below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</w:t>
            </w:r>
          </w:p>
        </w:tc>
        <w:tc>
          <w:tcPr>
            <w:tcW w:w="2980" w:type="dxa"/>
          </w:tcPr>
          <w:p w:rsidR="006543D8" w:rsidRDefault="006543D8" w:rsidP="006543D8">
            <w:r w:rsidRPr="00FC7DA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RPr="00407D27" w:rsidTr="0063386E">
        <w:trPr>
          <w:trHeight w:val="1579"/>
        </w:trPr>
        <w:tc>
          <w:tcPr>
            <w:tcW w:w="460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who Did Not Attend (DNA) a group appointment</w:t>
            </w:r>
          </w:p>
        </w:tc>
        <w:tc>
          <w:tcPr>
            <w:tcW w:w="2999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10%</w:t>
            </w:r>
          </w:p>
        </w:tc>
        <w:tc>
          <w:tcPr>
            <w:tcW w:w="297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92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Where the percentage of Service Users who Did Not Attend (DNA) a group appointment achieves or is below the threshold in any calendar month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>
              <w:t xml:space="preserve">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0.xxx%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80" w:type="dxa"/>
          </w:tcPr>
          <w:p w:rsidR="006543D8" w:rsidRDefault="006543D8" w:rsidP="006543D8">
            <w:r w:rsidRPr="00FC7DA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RPr="00407D27" w:rsidTr="0063386E">
        <w:trPr>
          <w:trHeight w:val="1579"/>
        </w:trPr>
        <w:tc>
          <w:tcPr>
            <w:tcW w:w="460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Service Users who </w:t>
            </w:r>
            <w:r>
              <w:rPr>
                <w:rFonts w:ascii="Arial" w:hAnsi="Arial" w:cs="Arial"/>
                <w:i/>
                <w:sz w:val="20"/>
              </w:rPr>
              <w:t xml:space="preserve">cancel </w:t>
            </w:r>
            <w:r w:rsidRPr="00407D27">
              <w:rPr>
                <w:rFonts w:ascii="Arial" w:hAnsi="Arial" w:cs="Arial"/>
                <w:i/>
                <w:sz w:val="20"/>
              </w:rPr>
              <w:t>a 1:1 appointment</w:t>
            </w:r>
          </w:p>
        </w:tc>
        <w:tc>
          <w:tcPr>
            <w:tcW w:w="2999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7%</w:t>
            </w:r>
          </w:p>
        </w:tc>
        <w:tc>
          <w:tcPr>
            <w:tcW w:w="2979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</w:tc>
        <w:tc>
          <w:tcPr>
            <w:tcW w:w="2992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Service Users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who </w:t>
            </w:r>
            <w:r>
              <w:rPr>
                <w:rFonts w:ascii="Arial" w:hAnsi="Arial" w:cs="Arial"/>
                <w:i/>
                <w:sz w:val="20"/>
              </w:rPr>
              <w:t>cancel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 1:1 appointment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achieves or is below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80" w:type="dxa"/>
          </w:tcPr>
          <w:p w:rsidR="006543D8" w:rsidRDefault="006543D8" w:rsidP="006543D8">
            <w:r w:rsidRPr="00FC7DA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RPr="00407D27" w:rsidTr="0063386E">
        <w:trPr>
          <w:trHeight w:val="1579"/>
        </w:trPr>
        <w:tc>
          <w:tcPr>
            <w:tcW w:w="460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980" w:type="dxa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Service Users who </w:t>
            </w:r>
            <w:r>
              <w:rPr>
                <w:rFonts w:ascii="Arial" w:hAnsi="Arial" w:cs="Arial"/>
                <w:i/>
                <w:sz w:val="20"/>
              </w:rPr>
              <w:t>cancel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</w:rPr>
              <w:t>group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appointment</w:t>
            </w:r>
          </w:p>
        </w:tc>
        <w:tc>
          <w:tcPr>
            <w:tcW w:w="2999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7%</w:t>
            </w:r>
          </w:p>
        </w:tc>
        <w:tc>
          <w:tcPr>
            <w:tcW w:w="2979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92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Service Users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who </w:t>
            </w:r>
            <w:r>
              <w:rPr>
                <w:rFonts w:ascii="Arial" w:hAnsi="Arial" w:cs="Arial"/>
                <w:i/>
                <w:sz w:val="20"/>
              </w:rPr>
              <w:t>cancel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</w:rPr>
              <w:t>group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appointment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or is below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80" w:type="dxa"/>
          </w:tcPr>
          <w:p w:rsidR="006543D8" w:rsidRDefault="006543D8" w:rsidP="006543D8">
            <w:r w:rsidRPr="00FC7DA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</w:tbl>
    <w:p w:rsidR="00532F04" w:rsidRDefault="00532F04" w:rsidP="002B129E">
      <w:pPr>
        <w:pStyle w:val="Heading1"/>
        <w:spacing w:line="240" w:lineRule="auto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2979"/>
        <w:gridCol w:w="2965"/>
        <w:gridCol w:w="2977"/>
        <w:gridCol w:w="2989"/>
        <w:gridCol w:w="2978"/>
      </w:tblGrid>
      <w:tr w:rsidR="0063386E" w:rsidTr="0063386E">
        <w:tc>
          <w:tcPr>
            <w:tcW w:w="502" w:type="dxa"/>
            <w:vAlign w:val="center"/>
          </w:tcPr>
          <w:p w:rsidR="0063386E" w:rsidRPr="00407D27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#</w:t>
            </w:r>
          </w:p>
        </w:tc>
        <w:tc>
          <w:tcPr>
            <w:tcW w:w="2979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2965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77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89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78" w:type="dxa"/>
            <w:vAlign w:val="center"/>
          </w:tcPr>
          <w:p w:rsidR="0063386E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6543D8" w:rsidTr="0063386E">
        <w:tc>
          <w:tcPr>
            <w:tcW w:w="502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979" w:type="dxa"/>
            <w:shd w:val="clear" w:color="auto" w:fill="auto"/>
          </w:tcPr>
          <w:p w:rsidR="006543D8" w:rsidRPr="008617E9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8617E9">
              <w:rPr>
                <w:rFonts w:ascii="Arial" w:hAnsi="Arial" w:cs="Arial"/>
                <w:i/>
                <w:sz w:val="20"/>
              </w:rPr>
              <w:t>Percentage of Service Users who had their appointment cancelled by the provider for non-clinical reasons</w:t>
            </w:r>
          </w:p>
        </w:tc>
        <w:tc>
          <w:tcPr>
            <w:tcW w:w="2965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3%</w:t>
            </w:r>
          </w:p>
        </w:tc>
        <w:tc>
          <w:tcPr>
            <w:tcW w:w="2977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9" w:type="dxa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Service Users </w:t>
            </w:r>
            <w:r w:rsidRPr="008617E9">
              <w:rPr>
                <w:rFonts w:ascii="Arial" w:hAnsi="Arial" w:cs="Arial"/>
                <w:i/>
                <w:sz w:val="20"/>
              </w:rPr>
              <w:t>who had their appointment cancelled by the provider for non-clinical reasons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achieves or is below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78" w:type="dxa"/>
          </w:tcPr>
          <w:p w:rsidR="006543D8" w:rsidRDefault="006543D8" w:rsidP="006543D8">
            <w:r w:rsidRPr="00A34DE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Tr="0063386E">
        <w:tc>
          <w:tcPr>
            <w:tcW w:w="502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979" w:type="dxa"/>
            <w:shd w:val="clear" w:color="auto" w:fill="auto"/>
          </w:tcPr>
          <w:p w:rsidR="006543D8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Percentage of Service Users completing a validated clinical outcome survey (e.g. MSK-HQ, PROMS) at the start and end of their care pathway</w:t>
            </w:r>
          </w:p>
        </w:tc>
        <w:tc>
          <w:tcPr>
            <w:tcW w:w="2965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75%</w:t>
            </w:r>
          </w:p>
        </w:tc>
        <w:tc>
          <w:tcPr>
            <w:tcW w:w="2977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9" w:type="dxa"/>
            <w:shd w:val="clear" w:color="auto" w:fill="auto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 xml:space="preserve">percentage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of Service Users </w:t>
            </w:r>
            <w:r>
              <w:rPr>
                <w:rFonts w:ascii="Arial" w:hAnsi="Arial" w:cs="Arial"/>
                <w:i/>
                <w:sz w:val="20"/>
              </w:rPr>
              <w:t>completing a validated clinical outcome survey (e.g. MSK-HQ, PROMS) at the start and end of their care pathway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achieves or </w:t>
            </w:r>
            <w:r>
              <w:rPr>
                <w:rFonts w:ascii="Arial" w:hAnsi="Arial" w:cs="Arial"/>
                <w:i/>
                <w:sz w:val="20"/>
              </w:rPr>
              <w:t>exceeds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78" w:type="dxa"/>
            <w:shd w:val="clear" w:color="auto" w:fill="auto"/>
          </w:tcPr>
          <w:p w:rsidR="006543D8" w:rsidRDefault="006543D8" w:rsidP="006543D8">
            <w:r w:rsidRPr="00A34DE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Tr="0063386E">
        <w:tc>
          <w:tcPr>
            <w:tcW w:w="502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979" w:type="dxa"/>
            <w:shd w:val="clear" w:color="auto" w:fill="auto"/>
          </w:tcPr>
          <w:p w:rsidR="006543D8" w:rsidRPr="00407D27" w:rsidRDefault="006543D8" w:rsidP="006543D8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The average New to Follow-up contact ratio for Service Users receiving 1:1 appointments</w:t>
            </w:r>
          </w:p>
        </w:tc>
        <w:tc>
          <w:tcPr>
            <w:tcW w:w="2965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1:3</w:t>
            </w:r>
          </w:p>
        </w:tc>
        <w:tc>
          <w:tcPr>
            <w:tcW w:w="2977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89" w:type="dxa"/>
            <w:shd w:val="clear" w:color="auto" w:fill="auto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average New to Follow-up contact ratio for Service Users receiving 1:1 appointments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achieves or </w:t>
            </w:r>
            <w:r>
              <w:rPr>
                <w:rFonts w:ascii="Arial" w:hAnsi="Arial" w:cs="Arial"/>
                <w:i/>
                <w:sz w:val="20"/>
              </w:rPr>
              <w:t>is below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the threshold in any calendar month, </w:t>
            </w:r>
            <w:r w:rsidRPr="002F4109">
              <w:rPr>
                <w:rFonts w:ascii="Arial" w:hAnsi="Arial" w:cs="Arial"/>
                <w:i/>
                <w:color w:val="FF0000"/>
                <w:sz w:val="20"/>
              </w:rPr>
              <w:t>0.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>will be paid to the provider</w:t>
            </w:r>
          </w:p>
        </w:tc>
        <w:tc>
          <w:tcPr>
            <w:tcW w:w="2978" w:type="dxa"/>
            <w:shd w:val="clear" w:color="auto" w:fill="auto"/>
          </w:tcPr>
          <w:p w:rsidR="006543D8" w:rsidRDefault="006543D8" w:rsidP="006543D8">
            <w:r w:rsidRPr="00A34DE2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3386E" w:rsidTr="0063386E">
        <w:tc>
          <w:tcPr>
            <w:tcW w:w="502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979" w:type="dxa"/>
            <w:shd w:val="clear" w:color="auto" w:fill="auto"/>
          </w:tcPr>
          <w:p w:rsidR="0063386E" w:rsidRPr="00407D27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referred for diagnostic investigations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965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5%</w:t>
            </w:r>
          </w:p>
        </w:tc>
        <w:tc>
          <w:tcPr>
            <w:tcW w:w="2977" w:type="dxa"/>
          </w:tcPr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Includes referrals to all providers</w:t>
            </w:r>
          </w:p>
        </w:tc>
        <w:tc>
          <w:tcPr>
            <w:tcW w:w="2989" w:type="dxa"/>
            <w:shd w:val="clear" w:color="auto" w:fill="auto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General Condition 9</w:t>
            </w:r>
          </w:p>
        </w:tc>
        <w:tc>
          <w:tcPr>
            <w:tcW w:w="2978" w:type="dxa"/>
            <w:shd w:val="clear" w:color="auto" w:fill="auto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 per General Condition 9</w:t>
            </w:r>
          </w:p>
        </w:tc>
      </w:tr>
    </w:tbl>
    <w:p w:rsidR="0063386E" w:rsidRDefault="0063386E" w:rsidP="0063386E">
      <w:pPr>
        <w:rPr>
          <w:lang w:val="en-GB" w:eastAsia="en-US"/>
        </w:rPr>
      </w:pPr>
    </w:p>
    <w:p w:rsidR="0063386E" w:rsidRDefault="0063386E" w:rsidP="0063386E">
      <w:pPr>
        <w:rPr>
          <w:lang w:val="en-GB" w:eastAsia="en-US"/>
        </w:rPr>
      </w:pPr>
    </w:p>
    <w:p w:rsidR="0063386E" w:rsidRDefault="0063386E" w:rsidP="0063386E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988"/>
        <w:gridCol w:w="2954"/>
        <w:gridCol w:w="2968"/>
        <w:gridCol w:w="2980"/>
        <w:gridCol w:w="2969"/>
      </w:tblGrid>
      <w:tr w:rsidR="0063386E" w:rsidTr="00D65C04">
        <w:tc>
          <w:tcPr>
            <w:tcW w:w="531" w:type="dxa"/>
            <w:vAlign w:val="center"/>
          </w:tcPr>
          <w:p w:rsidR="0063386E" w:rsidRPr="00407D27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#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2954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68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3386E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63386E" w:rsidRPr="00407D27" w:rsidTr="00D65C04">
        <w:tc>
          <w:tcPr>
            <w:tcW w:w="531" w:type="dxa"/>
          </w:tcPr>
          <w:p w:rsidR="0063386E" w:rsidRDefault="0063386E" w:rsidP="0063386E">
            <w:pPr>
              <w:pStyle w:val="ListParagraph"/>
              <w:ind w:left="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988" w:type="dxa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bCs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</w:t>
            </w:r>
            <w:r>
              <w:rPr>
                <w:rFonts w:ascii="Arial" w:hAnsi="Arial" w:cs="Arial"/>
                <w:i/>
                <w:sz w:val="20"/>
              </w:rPr>
              <w:t xml:space="preserve"> referred to Secondary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Care (</w:t>
            </w:r>
            <w:proofErr w:type="spellStart"/>
            <w:r w:rsidRPr="00407D27">
              <w:rPr>
                <w:rFonts w:ascii="Arial" w:hAnsi="Arial" w:cs="Arial"/>
                <w:i/>
                <w:sz w:val="20"/>
              </w:rPr>
              <w:t>Orthoapedics</w:t>
            </w:r>
            <w:proofErr w:type="spellEnd"/>
            <w:r w:rsidRPr="00407D27">
              <w:rPr>
                <w:rFonts w:ascii="Arial" w:hAnsi="Arial" w:cs="Arial"/>
                <w:i/>
                <w:sz w:val="20"/>
              </w:rPr>
              <w:t>, Pain Management and Rheumatology)</w:t>
            </w:r>
          </w:p>
        </w:tc>
        <w:tc>
          <w:tcPr>
            <w:tcW w:w="2954" w:type="dxa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5%</w:t>
            </w:r>
          </w:p>
        </w:tc>
        <w:tc>
          <w:tcPr>
            <w:tcW w:w="2968" w:type="dxa"/>
          </w:tcPr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  <w:p w:rsidR="0063386E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Includes referrals to all providers</w:t>
            </w:r>
          </w:p>
          <w:p w:rsidR="0063386E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Excludes Red Flag / 2ww referrals </w:t>
            </w:r>
          </w:p>
        </w:tc>
        <w:tc>
          <w:tcPr>
            <w:tcW w:w="2980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General Condition 9</w:t>
            </w:r>
          </w:p>
        </w:tc>
        <w:tc>
          <w:tcPr>
            <w:tcW w:w="2969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 per General Condition 9</w:t>
            </w:r>
          </w:p>
        </w:tc>
      </w:tr>
      <w:tr w:rsidR="0063386E" w:rsidRPr="00407D27" w:rsidTr="00D65C04">
        <w:tc>
          <w:tcPr>
            <w:tcW w:w="531" w:type="dxa"/>
          </w:tcPr>
          <w:p w:rsidR="0063386E" w:rsidRPr="00AC5FE2" w:rsidRDefault="0063386E" w:rsidP="0063386E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988" w:type="dxa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</w:t>
            </w:r>
            <w:r>
              <w:rPr>
                <w:rFonts w:ascii="Arial" w:hAnsi="Arial" w:cs="Arial"/>
                <w:i/>
                <w:sz w:val="20"/>
              </w:rPr>
              <w:t xml:space="preserve"> referred to Secondary Care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Orthoapedics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who subsequently had a procedure</w:t>
            </w:r>
          </w:p>
        </w:tc>
        <w:tc>
          <w:tcPr>
            <w:tcW w:w="2954" w:type="dxa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80%</w:t>
            </w:r>
          </w:p>
        </w:tc>
        <w:tc>
          <w:tcPr>
            <w:tcW w:w="2968" w:type="dxa"/>
          </w:tcPr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each </w:t>
            </w:r>
            <w:r>
              <w:rPr>
                <w:rFonts w:ascii="Arial" w:hAnsi="Arial" w:cs="Arial"/>
                <w:i/>
                <w:sz w:val="20"/>
              </w:rPr>
              <w:t>quarter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</w:t>
            </w:r>
            <w:r>
              <w:rPr>
                <w:rFonts w:ascii="Arial" w:hAnsi="Arial" w:cs="Arial"/>
                <w:i/>
                <w:sz w:val="20"/>
              </w:rPr>
              <w:t xml:space="preserve"> audit and reported via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</w:p>
          <w:p w:rsidR="0063386E" w:rsidRPr="00407D27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Includes procedures within all providers</w:t>
            </w:r>
          </w:p>
        </w:tc>
        <w:tc>
          <w:tcPr>
            <w:tcW w:w="2980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General Condition 9</w:t>
            </w:r>
          </w:p>
        </w:tc>
        <w:tc>
          <w:tcPr>
            <w:tcW w:w="2969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 per General Condition 9</w:t>
            </w:r>
          </w:p>
        </w:tc>
      </w:tr>
      <w:tr w:rsidR="0063386E" w:rsidRPr="00407D27" w:rsidTr="00D65C04">
        <w:tc>
          <w:tcPr>
            <w:tcW w:w="531" w:type="dxa"/>
          </w:tcPr>
          <w:p w:rsidR="0063386E" w:rsidRPr="00AC5FE2" w:rsidRDefault="0063386E" w:rsidP="0063386E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2988" w:type="dxa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</w:t>
            </w:r>
            <w:r>
              <w:rPr>
                <w:rFonts w:ascii="Arial" w:hAnsi="Arial" w:cs="Arial"/>
                <w:i/>
                <w:sz w:val="20"/>
              </w:rPr>
              <w:t xml:space="preserve"> referred to Secondary Care </w:t>
            </w:r>
            <w:r w:rsidRPr="00C8240C">
              <w:rPr>
                <w:rFonts w:ascii="Arial" w:hAnsi="Arial" w:cs="Arial"/>
                <w:i/>
                <w:sz w:val="20"/>
              </w:rPr>
              <w:t>who met the Effective Commissioning Imitative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C8240C">
              <w:rPr>
                <w:rFonts w:ascii="Arial" w:hAnsi="Arial" w:cs="Arial"/>
                <w:i/>
                <w:sz w:val="20"/>
              </w:rPr>
              <w:t>(ECI)</w:t>
            </w:r>
            <w:r>
              <w:rPr>
                <w:rFonts w:ascii="Arial" w:hAnsi="Arial" w:cs="Arial"/>
                <w:i/>
                <w:sz w:val="20"/>
              </w:rPr>
              <w:t xml:space="preserve"> criteria for South West London</w:t>
            </w:r>
          </w:p>
        </w:tc>
        <w:tc>
          <w:tcPr>
            <w:tcW w:w="2954" w:type="dxa"/>
          </w:tcPr>
          <w:p w:rsidR="0063386E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2968" w:type="dxa"/>
          </w:tcPr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each </w:t>
            </w:r>
            <w:r>
              <w:rPr>
                <w:rFonts w:ascii="Arial" w:hAnsi="Arial" w:cs="Arial"/>
                <w:i/>
                <w:sz w:val="20"/>
              </w:rPr>
              <w:t>quarter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</w:t>
            </w:r>
            <w:r>
              <w:rPr>
                <w:rFonts w:ascii="Arial" w:hAnsi="Arial" w:cs="Arial"/>
                <w:i/>
                <w:sz w:val="20"/>
              </w:rPr>
              <w:t xml:space="preserve"> audit and reported via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</w:p>
          <w:p w:rsidR="0063386E" w:rsidRPr="00407D27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Includes procedures within all providers</w:t>
            </w:r>
          </w:p>
        </w:tc>
        <w:tc>
          <w:tcPr>
            <w:tcW w:w="2980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General Condition 9</w:t>
            </w:r>
          </w:p>
        </w:tc>
        <w:tc>
          <w:tcPr>
            <w:tcW w:w="2969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As per General Condition 9</w:t>
            </w:r>
          </w:p>
        </w:tc>
      </w:tr>
      <w:tr w:rsidR="0063386E" w:rsidRPr="00407D27" w:rsidTr="00D65C04">
        <w:tc>
          <w:tcPr>
            <w:tcW w:w="531" w:type="dxa"/>
          </w:tcPr>
          <w:p w:rsidR="0063386E" w:rsidRPr="00AC5FE2" w:rsidRDefault="0063386E" w:rsidP="0063386E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2988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Percentage of </w:t>
            </w:r>
            <w:r>
              <w:rPr>
                <w:rFonts w:ascii="Arial" w:hAnsi="Arial" w:cs="Arial"/>
                <w:i/>
                <w:sz w:val="20"/>
              </w:rPr>
              <w:t xml:space="preserve">Discharge Summaries entered into practice clinical systems (detailing </w:t>
            </w:r>
            <w:r w:rsidRPr="00AE7682">
              <w:rPr>
                <w:rFonts w:ascii="Arial" w:hAnsi="Arial" w:cs="Arial"/>
                <w:i/>
                <w:sz w:val="20"/>
              </w:rPr>
              <w:t>the assessment, diagnostic tests, treatment plan, medication and investigations</w:t>
            </w:r>
            <w:r>
              <w:rPr>
                <w:rFonts w:ascii="Arial" w:hAnsi="Arial" w:cs="Arial"/>
                <w:i/>
                <w:sz w:val="20"/>
              </w:rPr>
              <w:t>) within 7 calendar days of a Service U</w:t>
            </w:r>
            <w:r w:rsidRPr="00AE7682">
              <w:rPr>
                <w:rFonts w:ascii="Arial" w:hAnsi="Arial" w:cs="Arial"/>
                <w:i/>
                <w:sz w:val="20"/>
              </w:rPr>
              <w:t>ser</w:t>
            </w:r>
            <w:r>
              <w:rPr>
                <w:rFonts w:ascii="Arial" w:hAnsi="Arial" w:cs="Arial"/>
                <w:i/>
                <w:sz w:val="20"/>
              </w:rPr>
              <w:t>’</w:t>
            </w:r>
            <w:r w:rsidRPr="00AE7682">
              <w:rPr>
                <w:rFonts w:ascii="Arial" w:hAnsi="Arial" w:cs="Arial"/>
                <w:i/>
                <w:sz w:val="20"/>
              </w:rPr>
              <w:t>s discharge</w:t>
            </w:r>
          </w:p>
        </w:tc>
        <w:tc>
          <w:tcPr>
            <w:tcW w:w="2954" w:type="dxa"/>
          </w:tcPr>
          <w:p w:rsidR="0063386E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100%</w:t>
            </w:r>
          </w:p>
        </w:tc>
        <w:tc>
          <w:tcPr>
            <w:tcW w:w="2968" w:type="dxa"/>
          </w:tcPr>
          <w:p w:rsidR="0063386E" w:rsidRDefault="0063386E" w:rsidP="0063386E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3386E" w:rsidRPr="00407D27" w:rsidRDefault="0063386E" w:rsidP="006338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63386E" w:rsidRPr="00407D27" w:rsidRDefault="0063386E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</w:t>
            </w:r>
            <w:r>
              <w:rPr>
                <w:rFonts w:ascii="Arial" w:hAnsi="Arial" w:cs="Arial"/>
                <w:i/>
                <w:sz w:val="20"/>
              </w:rPr>
              <w:t xml:space="preserve">Discharge Summaries entered into practice clinical systems (detailing </w:t>
            </w:r>
            <w:r w:rsidRPr="00AE7682">
              <w:rPr>
                <w:rFonts w:ascii="Arial" w:hAnsi="Arial" w:cs="Arial"/>
                <w:i/>
                <w:sz w:val="20"/>
              </w:rPr>
              <w:t>the assessment, diagnostic tests, treatment plan, medication and investigations</w:t>
            </w:r>
            <w:r>
              <w:rPr>
                <w:rFonts w:ascii="Arial" w:hAnsi="Arial" w:cs="Arial"/>
                <w:i/>
                <w:sz w:val="20"/>
              </w:rPr>
              <w:t>) within 7 calendar days of a Service U</w:t>
            </w:r>
            <w:r w:rsidRPr="00AE7682">
              <w:rPr>
                <w:rFonts w:ascii="Arial" w:hAnsi="Arial" w:cs="Arial"/>
                <w:i/>
                <w:sz w:val="20"/>
              </w:rPr>
              <w:t>ser</w:t>
            </w:r>
            <w:r>
              <w:rPr>
                <w:rFonts w:ascii="Arial" w:hAnsi="Arial" w:cs="Arial"/>
                <w:i/>
                <w:sz w:val="20"/>
              </w:rPr>
              <w:t>’</w:t>
            </w:r>
            <w:r w:rsidRPr="00AE7682">
              <w:rPr>
                <w:rFonts w:ascii="Arial" w:hAnsi="Arial" w:cs="Arial"/>
                <w:i/>
                <w:sz w:val="20"/>
              </w:rPr>
              <w:t xml:space="preserve">s </w:t>
            </w:r>
            <w:proofErr w:type="spellStart"/>
            <w:r w:rsidRPr="00AE7682">
              <w:rPr>
                <w:rFonts w:ascii="Arial" w:hAnsi="Arial" w:cs="Arial"/>
                <w:i/>
                <w:sz w:val="20"/>
              </w:rPr>
              <w:t>discharge</w:t>
            </w:r>
            <w:r w:rsidRPr="00407D27">
              <w:rPr>
                <w:rFonts w:ascii="Arial" w:hAnsi="Arial" w:cs="Arial"/>
                <w:i/>
                <w:sz w:val="20"/>
              </w:rPr>
              <w:t>achieves</w:t>
            </w:r>
            <w:proofErr w:type="spellEnd"/>
            <w:r w:rsidRPr="00407D27">
              <w:rPr>
                <w:rFonts w:ascii="Arial" w:hAnsi="Arial" w:cs="Arial"/>
                <w:i/>
                <w:sz w:val="20"/>
              </w:rPr>
              <w:t xml:space="preserve">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0.xxx%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69" w:type="dxa"/>
            <w:shd w:val="clear" w:color="auto" w:fill="auto"/>
          </w:tcPr>
          <w:p w:rsidR="0063386E" w:rsidRPr="00407D27" w:rsidRDefault="006543D8" w:rsidP="0063386E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</w:tbl>
    <w:p w:rsidR="0063386E" w:rsidRDefault="0063386E" w:rsidP="0063386E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87"/>
        <w:gridCol w:w="2950"/>
        <w:gridCol w:w="2973"/>
        <w:gridCol w:w="2970"/>
        <w:gridCol w:w="2978"/>
      </w:tblGrid>
      <w:tr w:rsidR="0063386E" w:rsidRPr="00407D27" w:rsidTr="00D65C04">
        <w:tc>
          <w:tcPr>
            <w:tcW w:w="532" w:type="dxa"/>
            <w:vAlign w:val="center"/>
          </w:tcPr>
          <w:p w:rsidR="0063386E" w:rsidRPr="00407D27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#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2950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2973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386E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6543D8" w:rsidRPr="00407D27" w:rsidTr="00D65C04">
        <w:tc>
          <w:tcPr>
            <w:tcW w:w="532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 w:colFirst="5" w:colLast="5"/>
            <w:r w:rsidRPr="00AC5FE2"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987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Service Users completing the Family &amp; Friends Test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50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30%</w:t>
            </w:r>
          </w:p>
        </w:tc>
        <w:tc>
          <w:tcPr>
            <w:tcW w:w="2973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Measured each month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Service Users </w:t>
            </w:r>
            <w:r>
              <w:rPr>
                <w:rFonts w:ascii="Arial" w:hAnsi="Arial" w:cs="Arial"/>
                <w:i/>
                <w:sz w:val="20"/>
              </w:rPr>
              <w:t>completing the Family &amp; Friends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Test achieves or exceeds the threshold in any calendar month,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0.xxx%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78" w:type="dxa"/>
            <w:shd w:val="clear" w:color="auto" w:fill="auto"/>
          </w:tcPr>
          <w:p w:rsidR="006543D8" w:rsidRDefault="006543D8" w:rsidP="006543D8">
            <w:r w:rsidRPr="00477393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tr w:rsidR="006543D8" w:rsidRPr="00407D27" w:rsidTr="00D65C04">
        <w:tc>
          <w:tcPr>
            <w:tcW w:w="532" w:type="dxa"/>
          </w:tcPr>
          <w:p w:rsidR="006543D8" w:rsidRPr="00AC5FE2" w:rsidRDefault="006543D8" w:rsidP="006543D8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2987" w:type="dxa"/>
            <w:shd w:val="clear" w:color="auto" w:fill="auto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Percentage of referring practices completing the referrers survey</w:t>
            </w:r>
          </w:p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950" w:type="dxa"/>
          </w:tcPr>
          <w:p w:rsidR="006543D8" w:rsidRPr="00407D27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>30%</w:t>
            </w:r>
          </w:p>
        </w:tc>
        <w:tc>
          <w:tcPr>
            <w:tcW w:w="2973" w:type="dxa"/>
          </w:tcPr>
          <w:p w:rsidR="006543D8" w:rsidRDefault="006543D8" w:rsidP="006543D8">
            <w:pPr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Measured each </w:t>
            </w:r>
            <w:r>
              <w:rPr>
                <w:rFonts w:ascii="Arial" w:hAnsi="Arial" w:cs="Arial"/>
                <w:i/>
                <w:sz w:val="20"/>
              </w:rPr>
              <w:t xml:space="preserve">six </w:t>
            </w:r>
            <w:r w:rsidRPr="00407D27">
              <w:rPr>
                <w:rFonts w:ascii="Arial" w:hAnsi="Arial" w:cs="Arial"/>
                <w:i/>
                <w:sz w:val="20"/>
              </w:rPr>
              <w:t>month</w:t>
            </w:r>
            <w:r>
              <w:rPr>
                <w:rFonts w:ascii="Arial" w:hAnsi="Arial" w:cs="Arial"/>
                <w:i/>
                <w:sz w:val="20"/>
              </w:rPr>
              <w:t>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via provider submission of the Service Quality Performance Report</w:t>
            </w:r>
            <w:r>
              <w:rPr>
                <w:rFonts w:ascii="Arial" w:hAnsi="Arial" w:cs="Arial"/>
                <w:i/>
                <w:sz w:val="20"/>
              </w:rPr>
              <w:t xml:space="preserve"> detailed in Schedule 6A</w:t>
            </w:r>
          </w:p>
          <w:p w:rsidR="006543D8" w:rsidRPr="00407D27" w:rsidRDefault="006543D8" w:rsidP="006543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6543D8" w:rsidRPr="00407D27" w:rsidRDefault="006543D8" w:rsidP="006543D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407D27">
              <w:rPr>
                <w:rFonts w:ascii="Arial" w:hAnsi="Arial" w:cs="Arial"/>
                <w:i/>
                <w:sz w:val="20"/>
              </w:rPr>
              <w:t xml:space="preserve">Where the </w:t>
            </w:r>
            <w:r>
              <w:rPr>
                <w:rFonts w:ascii="Arial" w:hAnsi="Arial" w:cs="Arial"/>
                <w:i/>
                <w:sz w:val="20"/>
              </w:rPr>
              <w:t>percentage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of referring practices </w:t>
            </w:r>
            <w:r>
              <w:rPr>
                <w:rFonts w:ascii="Arial" w:hAnsi="Arial" w:cs="Arial"/>
                <w:i/>
                <w:sz w:val="20"/>
              </w:rPr>
              <w:t>completing the referrers survey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 achieves or exceeds the threshold </w:t>
            </w:r>
            <w:r>
              <w:rPr>
                <w:rFonts w:ascii="Arial" w:hAnsi="Arial" w:cs="Arial"/>
                <w:i/>
                <w:sz w:val="20"/>
              </w:rPr>
              <w:t>at the end of six months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,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>0.xxx%</w:t>
            </w:r>
            <w:r w:rsidRPr="002F4109">
              <w:rPr>
                <w:rFonts w:ascii="Arial" w:hAnsi="Arial" w:cs="Arial"/>
                <w:i/>
                <w:sz w:val="20"/>
              </w:rPr>
              <w:t xml:space="preserve"> of the contract value </w:t>
            </w:r>
            <w:r w:rsidRPr="00407D27">
              <w:rPr>
                <w:rFonts w:ascii="Arial" w:hAnsi="Arial" w:cs="Arial"/>
                <w:i/>
                <w:sz w:val="20"/>
              </w:rPr>
              <w:t xml:space="preserve">will be paid to the provider  </w:t>
            </w:r>
          </w:p>
        </w:tc>
        <w:tc>
          <w:tcPr>
            <w:tcW w:w="2978" w:type="dxa"/>
            <w:shd w:val="clear" w:color="auto" w:fill="auto"/>
          </w:tcPr>
          <w:p w:rsidR="006543D8" w:rsidRDefault="006543D8" w:rsidP="006543D8">
            <w:r w:rsidRPr="00477393">
              <w:rPr>
                <w:rFonts w:ascii="Arial" w:hAnsi="Arial" w:cs="Arial"/>
                <w:i/>
                <w:sz w:val="20"/>
              </w:rPr>
              <w:t>To be confirmed</w:t>
            </w:r>
          </w:p>
        </w:tc>
      </w:tr>
      <w:bookmarkEnd w:id="0"/>
    </w:tbl>
    <w:p w:rsidR="0063386E" w:rsidRDefault="0063386E" w:rsidP="0063386E">
      <w:pPr>
        <w:contextualSpacing/>
        <w:jc w:val="both"/>
        <w:rPr>
          <w:rFonts w:cs="Arial"/>
        </w:rPr>
      </w:pPr>
    </w:p>
    <w:p w:rsidR="0063386E" w:rsidRDefault="0063386E" w:rsidP="0063386E">
      <w:pPr>
        <w:contextualSpacing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2966"/>
        <w:gridCol w:w="2958"/>
        <w:gridCol w:w="2972"/>
        <w:gridCol w:w="2973"/>
        <w:gridCol w:w="2973"/>
      </w:tblGrid>
      <w:tr w:rsidR="0063386E" w:rsidTr="00D65C04">
        <w:trPr>
          <w:trHeight w:val="614"/>
        </w:trPr>
        <w:tc>
          <w:tcPr>
            <w:tcW w:w="551" w:type="dxa"/>
            <w:vAlign w:val="center"/>
          </w:tcPr>
          <w:p w:rsidR="0063386E" w:rsidRPr="00407D27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7D27">
              <w:rPr>
                <w:rFonts w:ascii="Arial" w:hAnsi="Arial" w:cs="Arial"/>
                <w:b/>
                <w:i/>
                <w:sz w:val="20"/>
                <w:szCs w:val="20"/>
              </w:rPr>
              <w:t>#</w:t>
            </w:r>
          </w:p>
        </w:tc>
        <w:tc>
          <w:tcPr>
            <w:tcW w:w="3013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Operational Standard</w:t>
            </w:r>
          </w:p>
        </w:tc>
        <w:tc>
          <w:tcPr>
            <w:tcW w:w="3009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Threshold</w:t>
            </w:r>
          </w:p>
        </w:tc>
        <w:tc>
          <w:tcPr>
            <w:tcW w:w="3014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>Method of Measurement</w:t>
            </w:r>
          </w:p>
        </w:tc>
        <w:tc>
          <w:tcPr>
            <w:tcW w:w="3014" w:type="dxa"/>
            <w:vAlign w:val="center"/>
          </w:tcPr>
          <w:p w:rsidR="0063386E" w:rsidRPr="00171A25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1A25">
              <w:rPr>
                <w:rFonts w:ascii="Arial" w:hAnsi="Arial" w:cs="Arial"/>
                <w:b/>
                <w:sz w:val="20"/>
              </w:rPr>
              <w:t xml:space="preserve">Consequence of </w:t>
            </w:r>
            <w:r>
              <w:rPr>
                <w:rFonts w:ascii="Arial" w:hAnsi="Arial" w:cs="Arial"/>
                <w:b/>
                <w:sz w:val="20"/>
              </w:rPr>
              <w:t>Achievement / Breach</w:t>
            </w:r>
          </w:p>
        </w:tc>
        <w:tc>
          <w:tcPr>
            <w:tcW w:w="3015" w:type="dxa"/>
            <w:vAlign w:val="center"/>
          </w:tcPr>
          <w:p w:rsidR="0063386E" w:rsidRDefault="0063386E" w:rsidP="00D65C0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Timing of application of consequence</w:t>
            </w:r>
          </w:p>
        </w:tc>
      </w:tr>
      <w:tr w:rsidR="0063386E" w:rsidTr="00D65C04">
        <w:trPr>
          <w:trHeight w:val="614"/>
        </w:trPr>
        <w:tc>
          <w:tcPr>
            <w:tcW w:w="551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3013" w:type="dxa"/>
          </w:tcPr>
          <w:p w:rsidR="0063386E" w:rsidRPr="00407D27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Place holder for Equality Act 2010 / Access </w:t>
            </w:r>
            <w:r w:rsidRPr="000031B0">
              <w:rPr>
                <w:rFonts w:ascii="Arial" w:hAnsi="Arial" w:cs="Arial"/>
                <w:i/>
                <w:sz w:val="20"/>
              </w:rPr>
              <w:t>Operational Standard</w:t>
            </w:r>
          </w:p>
        </w:tc>
        <w:tc>
          <w:tcPr>
            <w:tcW w:w="3009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5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  <w:tr w:rsidR="0063386E" w:rsidTr="00D65C04">
        <w:trPr>
          <w:trHeight w:val="418"/>
        </w:trPr>
        <w:tc>
          <w:tcPr>
            <w:tcW w:w="551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3013" w:type="dxa"/>
          </w:tcPr>
          <w:p w:rsidR="0063386E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Place holder for Mandatory Training Operational</w:t>
            </w:r>
            <w:r w:rsidRPr="000031B0">
              <w:rPr>
                <w:rFonts w:ascii="Arial" w:hAnsi="Arial" w:cs="Arial"/>
                <w:i/>
                <w:sz w:val="20"/>
              </w:rPr>
              <w:t xml:space="preserve"> Standard</w:t>
            </w:r>
          </w:p>
        </w:tc>
        <w:tc>
          <w:tcPr>
            <w:tcW w:w="3009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5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  <w:tr w:rsidR="0063386E" w:rsidTr="00D65C04">
        <w:trPr>
          <w:trHeight w:val="614"/>
        </w:trPr>
        <w:tc>
          <w:tcPr>
            <w:tcW w:w="551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3013" w:type="dxa"/>
          </w:tcPr>
          <w:p w:rsidR="0063386E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Place holder for Incident Reporting </w:t>
            </w:r>
            <w:r w:rsidRPr="000031B0">
              <w:rPr>
                <w:rFonts w:ascii="Arial" w:hAnsi="Arial" w:cs="Arial"/>
                <w:i/>
                <w:sz w:val="20"/>
              </w:rPr>
              <w:t>Operational Standard</w:t>
            </w:r>
          </w:p>
        </w:tc>
        <w:tc>
          <w:tcPr>
            <w:tcW w:w="3009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5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  <w:tr w:rsidR="0063386E" w:rsidTr="00D65C04">
        <w:tc>
          <w:tcPr>
            <w:tcW w:w="551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3013" w:type="dxa"/>
          </w:tcPr>
          <w:p w:rsidR="0063386E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Place holder for l</w:t>
            </w:r>
            <w:r w:rsidRPr="00DC70BE">
              <w:rPr>
                <w:rFonts w:ascii="Arial" w:hAnsi="Arial" w:cs="Arial"/>
                <w:i/>
                <w:sz w:val="20"/>
              </w:rPr>
              <w:t>ocations of service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0031B0">
              <w:rPr>
                <w:rFonts w:ascii="Arial" w:hAnsi="Arial" w:cs="Arial"/>
                <w:i/>
                <w:sz w:val="20"/>
              </w:rPr>
              <w:t>Operational Standard</w:t>
            </w:r>
          </w:p>
        </w:tc>
        <w:tc>
          <w:tcPr>
            <w:tcW w:w="3009" w:type="dxa"/>
          </w:tcPr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5" w:type="dxa"/>
          </w:tcPr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63386E" w:rsidTr="00D65C04">
        <w:tc>
          <w:tcPr>
            <w:tcW w:w="551" w:type="dxa"/>
          </w:tcPr>
          <w:p w:rsidR="0063386E" w:rsidRPr="00AC5FE2" w:rsidRDefault="0063386E" w:rsidP="00D65C04">
            <w:pPr>
              <w:pStyle w:val="ListParagraph"/>
              <w:ind w:left="0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3013" w:type="dxa"/>
          </w:tcPr>
          <w:p w:rsidR="0063386E" w:rsidRPr="00DC70BE" w:rsidRDefault="0063386E" w:rsidP="00D65C04">
            <w:pPr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Place holder for </w:t>
            </w:r>
            <w:r w:rsidRPr="00DC70BE">
              <w:rPr>
                <w:rFonts w:ascii="Arial" w:hAnsi="Arial" w:cs="Arial"/>
                <w:i/>
                <w:sz w:val="20"/>
              </w:rPr>
              <w:t>F2F v. Group v. Telephone</w:t>
            </w:r>
            <w:r>
              <w:rPr>
                <w:rFonts w:ascii="Arial" w:hAnsi="Arial" w:cs="Arial"/>
                <w:i/>
                <w:sz w:val="20"/>
              </w:rPr>
              <w:t xml:space="preserve"> Ratio </w:t>
            </w:r>
            <w:r w:rsidRPr="000031B0">
              <w:rPr>
                <w:rFonts w:ascii="Arial" w:hAnsi="Arial" w:cs="Arial"/>
                <w:i/>
                <w:sz w:val="20"/>
              </w:rPr>
              <w:t>Operational Standard</w:t>
            </w:r>
          </w:p>
        </w:tc>
        <w:tc>
          <w:tcPr>
            <w:tcW w:w="3009" w:type="dxa"/>
          </w:tcPr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4" w:type="dxa"/>
          </w:tcPr>
          <w:p w:rsidR="0063386E" w:rsidRPr="00407D27" w:rsidRDefault="0063386E" w:rsidP="00D65C04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015" w:type="dxa"/>
          </w:tcPr>
          <w:p w:rsidR="0063386E" w:rsidRDefault="0063386E" w:rsidP="00D65C04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63386E" w:rsidRDefault="0063386E" w:rsidP="0063386E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63386E" w:rsidRPr="00A2750B" w:rsidRDefault="0063386E" w:rsidP="0063386E">
      <w:pPr>
        <w:pStyle w:val="ListParagraph"/>
        <w:ind w:left="0"/>
        <w:contextualSpacing/>
        <w:rPr>
          <w:rFonts w:ascii="Arial" w:hAnsi="Arial" w:cs="Arial"/>
          <w:b/>
          <w:sz w:val="20"/>
          <w:szCs w:val="20"/>
        </w:rPr>
      </w:pPr>
    </w:p>
    <w:p w:rsidR="0063386E" w:rsidRPr="009F4EE1" w:rsidRDefault="0063386E" w:rsidP="0063386E">
      <w:pPr>
        <w:pStyle w:val="Heading1"/>
        <w:spacing w:line="240" w:lineRule="auto"/>
        <w:jc w:val="left"/>
      </w:pPr>
    </w:p>
    <w:p w:rsidR="0063386E" w:rsidRPr="0063386E" w:rsidRDefault="0063386E" w:rsidP="0063386E">
      <w:pPr>
        <w:rPr>
          <w:lang w:val="en-GB" w:eastAsia="en-US"/>
        </w:rPr>
      </w:pPr>
    </w:p>
    <w:p w:rsidR="0063386E" w:rsidRPr="0063386E" w:rsidRDefault="0063386E" w:rsidP="0063386E">
      <w:pPr>
        <w:rPr>
          <w:lang w:val="en-GB" w:eastAsia="en-US"/>
        </w:rPr>
      </w:pPr>
    </w:p>
    <w:sectPr w:rsidR="0063386E" w:rsidRPr="0063386E" w:rsidSect="00872D3B">
      <w:headerReference w:type="default" r:id="rId13"/>
      <w:pgSz w:w="16840" w:h="11900" w:orient="landscape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B8" w:rsidRDefault="00EB79B8" w:rsidP="00674BEC">
      <w:pPr>
        <w:spacing w:after="0"/>
      </w:pPr>
      <w:r>
        <w:separator/>
      </w:r>
    </w:p>
  </w:endnote>
  <w:endnote w:type="continuationSeparator" w:id="0">
    <w:p w:rsidR="00EB79B8" w:rsidRDefault="00EB79B8" w:rsidP="00674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B8" w:rsidRDefault="00EB79B8" w:rsidP="00674BEC">
      <w:pPr>
        <w:spacing w:after="0"/>
      </w:pPr>
      <w:r>
        <w:separator/>
      </w:r>
    </w:p>
  </w:footnote>
  <w:footnote w:type="continuationSeparator" w:id="0">
    <w:p w:rsidR="00EB79B8" w:rsidRDefault="00EB79B8" w:rsidP="00674B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B8" w:rsidRDefault="006543D8" w:rsidP="00276BA7">
    <w:pPr>
      <w:pStyle w:val="Header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134038217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16"/>
            <w:szCs w:val="16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901839" o:spid="_x0000_s71681" type="#_x0000_t136" style="position:absolute;left:0;text-align:left;margin-left:0;margin-top:0;width:507.9pt;height:203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DRAFT"/>
              <w10:wrap anchorx="margin" anchory="margin"/>
            </v:shape>
          </w:pict>
        </w:r>
      </w:sdtContent>
    </w:sdt>
    <w:r w:rsidR="00EB79B8">
      <w:rPr>
        <w:rFonts w:ascii="Arial" w:hAnsi="Arial" w:cs="Arial"/>
        <w:sz w:val="16"/>
        <w:szCs w:val="16"/>
      </w:rPr>
      <w:t>N</w:t>
    </w:r>
    <w:r w:rsidR="00EB79B8" w:rsidRPr="00276BA7">
      <w:rPr>
        <w:rFonts w:ascii="Arial" w:hAnsi="Arial" w:cs="Arial"/>
        <w:sz w:val="16"/>
        <w:szCs w:val="16"/>
      </w:rPr>
      <w:t>HS STANDARD CONTRACT 2017/18 and 2018/19 PARTICULARS (Full Length)</w:t>
    </w:r>
  </w:p>
  <w:p w:rsidR="00EB79B8" w:rsidRPr="00276BA7" w:rsidRDefault="00EB79B8" w:rsidP="00276BA7">
    <w:pPr>
      <w:pStyle w:val="Header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102"/>
    <w:multiLevelType w:val="hybridMultilevel"/>
    <w:tmpl w:val="BBE24566"/>
    <w:lvl w:ilvl="0" w:tplc="D47C0FC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BA0"/>
    <w:multiLevelType w:val="multilevel"/>
    <w:tmpl w:val="388844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TitleV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57322"/>
    <w:multiLevelType w:val="hybridMultilevel"/>
    <w:tmpl w:val="95F0A25C"/>
    <w:lvl w:ilvl="0" w:tplc="1480C37C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513B51"/>
    <w:multiLevelType w:val="hybridMultilevel"/>
    <w:tmpl w:val="3030226C"/>
    <w:lvl w:ilvl="0" w:tplc="09BEFF8A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DA65458"/>
    <w:multiLevelType w:val="hybridMultilevel"/>
    <w:tmpl w:val="9006E280"/>
    <w:lvl w:ilvl="0" w:tplc="08090015">
      <w:start w:val="1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016"/>
    <w:multiLevelType w:val="hybridMultilevel"/>
    <w:tmpl w:val="7116B6FC"/>
    <w:lvl w:ilvl="0" w:tplc="6A107A1C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3404458"/>
    <w:multiLevelType w:val="hybridMultilevel"/>
    <w:tmpl w:val="DB025656"/>
    <w:lvl w:ilvl="0" w:tplc="3CDA07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09A4"/>
    <w:multiLevelType w:val="hybridMultilevel"/>
    <w:tmpl w:val="16728C9A"/>
    <w:lvl w:ilvl="0" w:tplc="C354E2D2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76A29"/>
    <w:multiLevelType w:val="hybridMultilevel"/>
    <w:tmpl w:val="F938790A"/>
    <w:lvl w:ilvl="0" w:tplc="D8C49576">
      <w:start w:val="1"/>
      <w:numFmt w:val="upperLetter"/>
      <w:lvlText w:val="%1."/>
      <w:lvlJc w:val="left"/>
      <w:pPr>
        <w:ind w:left="720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7942E4C"/>
    <w:multiLevelType w:val="hybridMultilevel"/>
    <w:tmpl w:val="3CC4B922"/>
    <w:lvl w:ilvl="0" w:tplc="FB18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E2E5A"/>
    <w:multiLevelType w:val="hybridMultilevel"/>
    <w:tmpl w:val="6D664E00"/>
    <w:lvl w:ilvl="0" w:tplc="E7CAB7F2">
      <w:start w:val="2"/>
      <w:numFmt w:val="upperLetter"/>
      <w:lvlText w:val="%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E6A16"/>
    <w:multiLevelType w:val="hybridMultilevel"/>
    <w:tmpl w:val="B23AFB10"/>
    <w:lvl w:ilvl="0" w:tplc="2D2C4E5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529B"/>
    <w:multiLevelType w:val="hybridMultilevel"/>
    <w:tmpl w:val="62C6D08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5A26B6"/>
    <w:multiLevelType w:val="multilevel"/>
    <w:tmpl w:val="892E228C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95597A"/>
    <w:multiLevelType w:val="multilevel"/>
    <w:tmpl w:val="E21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46574"/>
    <w:multiLevelType w:val="hybridMultilevel"/>
    <w:tmpl w:val="592C4290"/>
    <w:lvl w:ilvl="0" w:tplc="1974C376">
      <w:start w:val="1"/>
      <w:numFmt w:val="lowerLetter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316E58"/>
    <w:multiLevelType w:val="multilevel"/>
    <w:tmpl w:val="CB40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D03F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D61368"/>
    <w:multiLevelType w:val="hybridMultilevel"/>
    <w:tmpl w:val="7CC04C80"/>
    <w:lvl w:ilvl="0" w:tplc="F9FCC620">
      <w:start w:val="3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A6727"/>
    <w:multiLevelType w:val="hybridMultilevel"/>
    <w:tmpl w:val="2A36DB9E"/>
    <w:lvl w:ilvl="0" w:tplc="2D048114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213D2C"/>
    <w:multiLevelType w:val="hybridMultilevel"/>
    <w:tmpl w:val="F72E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F6BD8"/>
    <w:multiLevelType w:val="hybridMultilevel"/>
    <w:tmpl w:val="C5FE3BB8"/>
    <w:lvl w:ilvl="0" w:tplc="4D620A90">
      <w:start w:val="1"/>
      <w:numFmt w:val="upperLetter"/>
      <w:lvlText w:val="%1."/>
      <w:lvlJc w:val="left"/>
      <w:pPr>
        <w:ind w:left="720" w:hanging="48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4BD3301C"/>
    <w:multiLevelType w:val="hybridMultilevel"/>
    <w:tmpl w:val="6A5E1CE8"/>
    <w:lvl w:ilvl="0" w:tplc="A6DE17C6">
      <w:start w:val="1"/>
      <w:numFmt w:val="upperLetter"/>
      <w:lvlText w:val="%1."/>
      <w:lvlJc w:val="left"/>
      <w:pPr>
        <w:ind w:left="737" w:hanging="3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434B9"/>
    <w:multiLevelType w:val="hybridMultilevel"/>
    <w:tmpl w:val="93D034E6"/>
    <w:lvl w:ilvl="0" w:tplc="6F60540C">
      <w:start w:val="1"/>
      <w:numFmt w:val="upperLetter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7671"/>
    <w:multiLevelType w:val="hybridMultilevel"/>
    <w:tmpl w:val="4D36789E"/>
    <w:lvl w:ilvl="0" w:tplc="EAE607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86202A">
      <w:start w:val="1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82891"/>
    <w:multiLevelType w:val="hybridMultilevel"/>
    <w:tmpl w:val="4F62B444"/>
    <w:lvl w:ilvl="0" w:tplc="7FE6065C">
      <w:start w:val="6"/>
      <w:numFmt w:val="upperLetter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9142C86"/>
    <w:multiLevelType w:val="hybridMultilevel"/>
    <w:tmpl w:val="DC4E50C2"/>
    <w:lvl w:ilvl="0" w:tplc="54BE74BC">
      <w:start w:val="1"/>
      <w:numFmt w:val="bullet"/>
      <w:pStyle w:val="DHSecondaryHeadingO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9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A380C"/>
    <w:multiLevelType w:val="hybridMultilevel"/>
    <w:tmpl w:val="32902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9B7B55"/>
    <w:multiLevelType w:val="hybridMultilevel"/>
    <w:tmpl w:val="E4E849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B64AD"/>
    <w:multiLevelType w:val="hybridMultilevel"/>
    <w:tmpl w:val="E14A689C"/>
    <w:lvl w:ilvl="0" w:tplc="067870FC">
      <w:start w:val="2"/>
      <w:numFmt w:val="upperLetter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B5C57"/>
    <w:multiLevelType w:val="hybridMultilevel"/>
    <w:tmpl w:val="3CC4B922"/>
    <w:lvl w:ilvl="0" w:tplc="FB18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33431"/>
    <w:multiLevelType w:val="multilevel"/>
    <w:tmpl w:val="D5B86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9BF6237"/>
    <w:multiLevelType w:val="hybridMultilevel"/>
    <w:tmpl w:val="389075DC"/>
    <w:lvl w:ilvl="0" w:tplc="F5F0ADC0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28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12"/>
  </w:num>
  <w:num w:numId="10">
    <w:abstractNumId w:val="13"/>
  </w:num>
  <w:num w:numId="11">
    <w:abstractNumId w:val="31"/>
  </w:num>
  <w:num w:numId="12">
    <w:abstractNumId w:val="0"/>
  </w:num>
  <w:num w:numId="13">
    <w:abstractNumId w:val="16"/>
  </w:num>
  <w:num w:numId="14">
    <w:abstractNumId w:val="25"/>
  </w:num>
  <w:num w:numId="15">
    <w:abstractNumId w:val="2"/>
  </w:num>
  <w:num w:numId="16">
    <w:abstractNumId w:val="5"/>
  </w:num>
  <w:num w:numId="17">
    <w:abstractNumId w:val="8"/>
  </w:num>
  <w:num w:numId="18">
    <w:abstractNumId w:val="21"/>
  </w:num>
  <w:num w:numId="19">
    <w:abstractNumId w:val="3"/>
  </w:num>
  <w:num w:numId="20">
    <w:abstractNumId w:val="20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  <w:num w:numId="25">
    <w:abstractNumId w:val="29"/>
  </w:num>
  <w:num w:numId="26">
    <w:abstractNumId w:val="23"/>
  </w:num>
  <w:num w:numId="27">
    <w:abstractNumId w:val="24"/>
  </w:num>
  <w:num w:numId="28">
    <w:abstractNumId w:val="10"/>
  </w:num>
  <w:num w:numId="29">
    <w:abstractNumId w:val="27"/>
  </w:num>
  <w:num w:numId="30">
    <w:abstractNumId w:val="32"/>
  </w:num>
  <w:num w:numId="31">
    <w:abstractNumId w:val="19"/>
  </w:num>
  <w:num w:numId="32">
    <w:abstractNumId w:val="7"/>
  </w:num>
  <w:num w:numId="3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682"/>
    <o:shapelayout v:ext="edit">
      <o:idmap v:ext="edit" data="7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3"/>
    <w:rsid w:val="000031B0"/>
    <w:rsid w:val="0000597D"/>
    <w:rsid w:val="00006052"/>
    <w:rsid w:val="00012203"/>
    <w:rsid w:val="00012257"/>
    <w:rsid w:val="0002079D"/>
    <w:rsid w:val="000352D5"/>
    <w:rsid w:val="00041C53"/>
    <w:rsid w:val="00042282"/>
    <w:rsid w:val="0004407B"/>
    <w:rsid w:val="00044B01"/>
    <w:rsid w:val="00046225"/>
    <w:rsid w:val="000474A8"/>
    <w:rsid w:val="00056F52"/>
    <w:rsid w:val="0006130A"/>
    <w:rsid w:val="0007012A"/>
    <w:rsid w:val="00070CD3"/>
    <w:rsid w:val="0007751D"/>
    <w:rsid w:val="00084259"/>
    <w:rsid w:val="000929B6"/>
    <w:rsid w:val="000939B9"/>
    <w:rsid w:val="000961D3"/>
    <w:rsid w:val="000A4638"/>
    <w:rsid w:val="000A5766"/>
    <w:rsid w:val="000A72CF"/>
    <w:rsid w:val="000B328E"/>
    <w:rsid w:val="000B66F1"/>
    <w:rsid w:val="000B6AF5"/>
    <w:rsid w:val="000C69E3"/>
    <w:rsid w:val="000D00D1"/>
    <w:rsid w:val="000D0976"/>
    <w:rsid w:val="000D0BB4"/>
    <w:rsid w:val="000D2E92"/>
    <w:rsid w:val="000E1364"/>
    <w:rsid w:val="000E5E4F"/>
    <w:rsid w:val="000E7285"/>
    <w:rsid w:val="000F1928"/>
    <w:rsid w:val="000F4A2E"/>
    <w:rsid w:val="000F62E1"/>
    <w:rsid w:val="0010025C"/>
    <w:rsid w:val="00102633"/>
    <w:rsid w:val="001104AB"/>
    <w:rsid w:val="00111475"/>
    <w:rsid w:val="00124089"/>
    <w:rsid w:val="001335A7"/>
    <w:rsid w:val="001337F5"/>
    <w:rsid w:val="00134C16"/>
    <w:rsid w:val="001370B9"/>
    <w:rsid w:val="00137789"/>
    <w:rsid w:val="001422A8"/>
    <w:rsid w:val="0014314D"/>
    <w:rsid w:val="00156E33"/>
    <w:rsid w:val="00162906"/>
    <w:rsid w:val="0016400C"/>
    <w:rsid w:val="00164137"/>
    <w:rsid w:val="00164E47"/>
    <w:rsid w:val="0017017B"/>
    <w:rsid w:val="00172F1A"/>
    <w:rsid w:val="00183369"/>
    <w:rsid w:val="001837B1"/>
    <w:rsid w:val="00187EA3"/>
    <w:rsid w:val="00193A70"/>
    <w:rsid w:val="00194E19"/>
    <w:rsid w:val="00195267"/>
    <w:rsid w:val="00196C53"/>
    <w:rsid w:val="001A1B78"/>
    <w:rsid w:val="001A1FE3"/>
    <w:rsid w:val="001A2493"/>
    <w:rsid w:val="001A2964"/>
    <w:rsid w:val="001A38F5"/>
    <w:rsid w:val="001C00D7"/>
    <w:rsid w:val="001C0F5E"/>
    <w:rsid w:val="001C1BEB"/>
    <w:rsid w:val="001C2C32"/>
    <w:rsid w:val="001C51FA"/>
    <w:rsid w:val="001C677A"/>
    <w:rsid w:val="001C6935"/>
    <w:rsid w:val="001D0099"/>
    <w:rsid w:val="001D0C60"/>
    <w:rsid w:val="001D1A4F"/>
    <w:rsid w:val="001D3FD6"/>
    <w:rsid w:val="001D6F38"/>
    <w:rsid w:val="001E0CA5"/>
    <w:rsid w:val="001E39ED"/>
    <w:rsid w:val="001F2726"/>
    <w:rsid w:val="001F38EB"/>
    <w:rsid w:val="00204766"/>
    <w:rsid w:val="00205A30"/>
    <w:rsid w:val="00205F96"/>
    <w:rsid w:val="002278CF"/>
    <w:rsid w:val="00230D91"/>
    <w:rsid w:val="00233197"/>
    <w:rsid w:val="00233471"/>
    <w:rsid w:val="002403E6"/>
    <w:rsid w:val="00241450"/>
    <w:rsid w:val="00256C7C"/>
    <w:rsid w:val="00264D2A"/>
    <w:rsid w:val="002651FC"/>
    <w:rsid w:val="00270192"/>
    <w:rsid w:val="00276BA7"/>
    <w:rsid w:val="00276EBA"/>
    <w:rsid w:val="00283036"/>
    <w:rsid w:val="00292368"/>
    <w:rsid w:val="00293DFC"/>
    <w:rsid w:val="0029688E"/>
    <w:rsid w:val="002A2F6A"/>
    <w:rsid w:val="002A3B6B"/>
    <w:rsid w:val="002A3D88"/>
    <w:rsid w:val="002A575B"/>
    <w:rsid w:val="002A6A86"/>
    <w:rsid w:val="002B129E"/>
    <w:rsid w:val="002B2787"/>
    <w:rsid w:val="002B2AF4"/>
    <w:rsid w:val="002B5402"/>
    <w:rsid w:val="002C0C12"/>
    <w:rsid w:val="002C3B2A"/>
    <w:rsid w:val="002C503C"/>
    <w:rsid w:val="002C6F54"/>
    <w:rsid w:val="002C7D95"/>
    <w:rsid w:val="002D5E7D"/>
    <w:rsid w:val="002D71A0"/>
    <w:rsid w:val="002E081D"/>
    <w:rsid w:val="002F0B28"/>
    <w:rsid w:val="002F4109"/>
    <w:rsid w:val="002F6772"/>
    <w:rsid w:val="00301A96"/>
    <w:rsid w:val="003025CD"/>
    <w:rsid w:val="00304796"/>
    <w:rsid w:val="00313897"/>
    <w:rsid w:val="003172AE"/>
    <w:rsid w:val="00317663"/>
    <w:rsid w:val="00317D41"/>
    <w:rsid w:val="00325915"/>
    <w:rsid w:val="00326C1F"/>
    <w:rsid w:val="00332316"/>
    <w:rsid w:val="00332A43"/>
    <w:rsid w:val="00336612"/>
    <w:rsid w:val="00341302"/>
    <w:rsid w:val="00341DA8"/>
    <w:rsid w:val="003428BA"/>
    <w:rsid w:val="00342C42"/>
    <w:rsid w:val="00344839"/>
    <w:rsid w:val="003503F0"/>
    <w:rsid w:val="00351404"/>
    <w:rsid w:val="0035426C"/>
    <w:rsid w:val="003555C9"/>
    <w:rsid w:val="00360502"/>
    <w:rsid w:val="00361670"/>
    <w:rsid w:val="0036254D"/>
    <w:rsid w:val="0036540D"/>
    <w:rsid w:val="00366A3A"/>
    <w:rsid w:val="003677AC"/>
    <w:rsid w:val="00371B7D"/>
    <w:rsid w:val="003742B7"/>
    <w:rsid w:val="0037573D"/>
    <w:rsid w:val="003809DA"/>
    <w:rsid w:val="00386A20"/>
    <w:rsid w:val="00387AA8"/>
    <w:rsid w:val="0039386B"/>
    <w:rsid w:val="00396A11"/>
    <w:rsid w:val="003A0624"/>
    <w:rsid w:val="003A2446"/>
    <w:rsid w:val="003A2E1E"/>
    <w:rsid w:val="003A2E32"/>
    <w:rsid w:val="003A3BF7"/>
    <w:rsid w:val="003A4D35"/>
    <w:rsid w:val="003A4EAB"/>
    <w:rsid w:val="003A733C"/>
    <w:rsid w:val="003B2926"/>
    <w:rsid w:val="003B35C3"/>
    <w:rsid w:val="003B58D0"/>
    <w:rsid w:val="003D2472"/>
    <w:rsid w:val="003D7645"/>
    <w:rsid w:val="003D7EA2"/>
    <w:rsid w:val="003E2BDC"/>
    <w:rsid w:val="003E470C"/>
    <w:rsid w:val="003E5E42"/>
    <w:rsid w:val="003F6CC9"/>
    <w:rsid w:val="004021C7"/>
    <w:rsid w:val="00407605"/>
    <w:rsid w:val="00407D27"/>
    <w:rsid w:val="0041131D"/>
    <w:rsid w:val="004131AC"/>
    <w:rsid w:val="00414475"/>
    <w:rsid w:val="00420CC1"/>
    <w:rsid w:val="0042168B"/>
    <w:rsid w:val="0042447C"/>
    <w:rsid w:val="00431CA5"/>
    <w:rsid w:val="00432159"/>
    <w:rsid w:val="0043276F"/>
    <w:rsid w:val="004363CD"/>
    <w:rsid w:val="0043682A"/>
    <w:rsid w:val="00436980"/>
    <w:rsid w:val="0043790A"/>
    <w:rsid w:val="00443CDD"/>
    <w:rsid w:val="00446E29"/>
    <w:rsid w:val="00447A3E"/>
    <w:rsid w:val="0045467A"/>
    <w:rsid w:val="00456FA4"/>
    <w:rsid w:val="004660CE"/>
    <w:rsid w:val="00467E9C"/>
    <w:rsid w:val="004708C3"/>
    <w:rsid w:val="00474983"/>
    <w:rsid w:val="00491F7A"/>
    <w:rsid w:val="00492D25"/>
    <w:rsid w:val="004967DB"/>
    <w:rsid w:val="00497D24"/>
    <w:rsid w:val="00497FBB"/>
    <w:rsid w:val="004A0D0F"/>
    <w:rsid w:val="004A46DE"/>
    <w:rsid w:val="004A77C7"/>
    <w:rsid w:val="004B1D05"/>
    <w:rsid w:val="004B49D9"/>
    <w:rsid w:val="004C0020"/>
    <w:rsid w:val="004C0AF2"/>
    <w:rsid w:val="004C139A"/>
    <w:rsid w:val="004C26FB"/>
    <w:rsid w:val="004C328F"/>
    <w:rsid w:val="004C4CEC"/>
    <w:rsid w:val="004C5C35"/>
    <w:rsid w:val="004C75A9"/>
    <w:rsid w:val="004D1CE9"/>
    <w:rsid w:val="004D2741"/>
    <w:rsid w:val="004D2A9E"/>
    <w:rsid w:val="004D4CEF"/>
    <w:rsid w:val="004E16F7"/>
    <w:rsid w:val="004E1D43"/>
    <w:rsid w:val="004E465C"/>
    <w:rsid w:val="004E5E18"/>
    <w:rsid w:val="004E6B9E"/>
    <w:rsid w:val="004F0504"/>
    <w:rsid w:val="004F0D3F"/>
    <w:rsid w:val="004F425B"/>
    <w:rsid w:val="004F5DAE"/>
    <w:rsid w:val="004F7EFB"/>
    <w:rsid w:val="005057CC"/>
    <w:rsid w:val="00507F9C"/>
    <w:rsid w:val="00514BF2"/>
    <w:rsid w:val="00515525"/>
    <w:rsid w:val="005166B0"/>
    <w:rsid w:val="00520F65"/>
    <w:rsid w:val="005217DA"/>
    <w:rsid w:val="00521E97"/>
    <w:rsid w:val="00524DCC"/>
    <w:rsid w:val="00525739"/>
    <w:rsid w:val="005258DB"/>
    <w:rsid w:val="00526843"/>
    <w:rsid w:val="00530761"/>
    <w:rsid w:val="0053176B"/>
    <w:rsid w:val="0053271B"/>
    <w:rsid w:val="00532F04"/>
    <w:rsid w:val="00541625"/>
    <w:rsid w:val="005430F7"/>
    <w:rsid w:val="0055197C"/>
    <w:rsid w:val="005524F0"/>
    <w:rsid w:val="00552F3A"/>
    <w:rsid w:val="00554325"/>
    <w:rsid w:val="00560077"/>
    <w:rsid w:val="0056068D"/>
    <w:rsid w:val="00561D60"/>
    <w:rsid w:val="00563827"/>
    <w:rsid w:val="00563DB2"/>
    <w:rsid w:val="005669DA"/>
    <w:rsid w:val="00566EF5"/>
    <w:rsid w:val="005731E1"/>
    <w:rsid w:val="005742AE"/>
    <w:rsid w:val="0057502F"/>
    <w:rsid w:val="00585428"/>
    <w:rsid w:val="005A0C28"/>
    <w:rsid w:val="005A159F"/>
    <w:rsid w:val="005A258D"/>
    <w:rsid w:val="005A5163"/>
    <w:rsid w:val="005B09C7"/>
    <w:rsid w:val="005B2636"/>
    <w:rsid w:val="005B2F69"/>
    <w:rsid w:val="005B346B"/>
    <w:rsid w:val="005B39BE"/>
    <w:rsid w:val="005B7989"/>
    <w:rsid w:val="005C0B32"/>
    <w:rsid w:val="005C1E8C"/>
    <w:rsid w:val="005C2684"/>
    <w:rsid w:val="005C26DF"/>
    <w:rsid w:val="005C4CA9"/>
    <w:rsid w:val="005D3582"/>
    <w:rsid w:val="005D398D"/>
    <w:rsid w:val="005D5398"/>
    <w:rsid w:val="005E4E2C"/>
    <w:rsid w:val="005E4E88"/>
    <w:rsid w:val="005F092A"/>
    <w:rsid w:val="005F23B4"/>
    <w:rsid w:val="005F3C72"/>
    <w:rsid w:val="005F61E8"/>
    <w:rsid w:val="005F7F41"/>
    <w:rsid w:val="006023CA"/>
    <w:rsid w:val="00611204"/>
    <w:rsid w:val="00611856"/>
    <w:rsid w:val="00612ED2"/>
    <w:rsid w:val="00616E24"/>
    <w:rsid w:val="00620AD1"/>
    <w:rsid w:val="00621DE4"/>
    <w:rsid w:val="00624D73"/>
    <w:rsid w:val="0063386E"/>
    <w:rsid w:val="00635EC2"/>
    <w:rsid w:val="00636203"/>
    <w:rsid w:val="00640B09"/>
    <w:rsid w:val="00642D75"/>
    <w:rsid w:val="00643E46"/>
    <w:rsid w:val="006543D8"/>
    <w:rsid w:val="006600A0"/>
    <w:rsid w:val="0066039C"/>
    <w:rsid w:val="00661BFE"/>
    <w:rsid w:val="00661F63"/>
    <w:rsid w:val="006624DB"/>
    <w:rsid w:val="00664F14"/>
    <w:rsid w:val="00666A4F"/>
    <w:rsid w:val="00666F1D"/>
    <w:rsid w:val="0066721A"/>
    <w:rsid w:val="00671864"/>
    <w:rsid w:val="00674BEC"/>
    <w:rsid w:val="00676090"/>
    <w:rsid w:val="006777E7"/>
    <w:rsid w:val="006958DD"/>
    <w:rsid w:val="006A0F5C"/>
    <w:rsid w:val="006A69E9"/>
    <w:rsid w:val="006A6F70"/>
    <w:rsid w:val="006B156A"/>
    <w:rsid w:val="006B29D3"/>
    <w:rsid w:val="006B3781"/>
    <w:rsid w:val="006C033E"/>
    <w:rsid w:val="006C46F9"/>
    <w:rsid w:val="006C6147"/>
    <w:rsid w:val="006C6FB8"/>
    <w:rsid w:val="006D04D9"/>
    <w:rsid w:val="006D0B7F"/>
    <w:rsid w:val="006D5A50"/>
    <w:rsid w:val="006D61D3"/>
    <w:rsid w:val="006D740A"/>
    <w:rsid w:val="006F047F"/>
    <w:rsid w:val="006F12B6"/>
    <w:rsid w:val="006F403F"/>
    <w:rsid w:val="006F4940"/>
    <w:rsid w:val="00704097"/>
    <w:rsid w:val="00704A18"/>
    <w:rsid w:val="00704F9D"/>
    <w:rsid w:val="0070619A"/>
    <w:rsid w:val="007062CC"/>
    <w:rsid w:val="00706628"/>
    <w:rsid w:val="00710D6A"/>
    <w:rsid w:val="00715F8D"/>
    <w:rsid w:val="00721332"/>
    <w:rsid w:val="0072652B"/>
    <w:rsid w:val="007313D8"/>
    <w:rsid w:val="00741EE2"/>
    <w:rsid w:val="00742336"/>
    <w:rsid w:val="00743104"/>
    <w:rsid w:val="00743EFF"/>
    <w:rsid w:val="00744D53"/>
    <w:rsid w:val="007450EC"/>
    <w:rsid w:val="00747930"/>
    <w:rsid w:val="00753509"/>
    <w:rsid w:val="00755BF4"/>
    <w:rsid w:val="00761E1B"/>
    <w:rsid w:val="00762250"/>
    <w:rsid w:val="00765470"/>
    <w:rsid w:val="0076623B"/>
    <w:rsid w:val="00766A86"/>
    <w:rsid w:val="00781BE5"/>
    <w:rsid w:val="00786047"/>
    <w:rsid w:val="007877BC"/>
    <w:rsid w:val="00792EB0"/>
    <w:rsid w:val="00793523"/>
    <w:rsid w:val="00793F4A"/>
    <w:rsid w:val="00793FF8"/>
    <w:rsid w:val="00796B88"/>
    <w:rsid w:val="007A135C"/>
    <w:rsid w:val="007A32D3"/>
    <w:rsid w:val="007A5BCC"/>
    <w:rsid w:val="007A7235"/>
    <w:rsid w:val="007B0555"/>
    <w:rsid w:val="007B3370"/>
    <w:rsid w:val="007B5D6D"/>
    <w:rsid w:val="007D49E1"/>
    <w:rsid w:val="007D4F05"/>
    <w:rsid w:val="007D7AB5"/>
    <w:rsid w:val="007E1AB9"/>
    <w:rsid w:val="007E240B"/>
    <w:rsid w:val="007F1747"/>
    <w:rsid w:val="007F3364"/>
    <w:rsid w:val="007F40AF"/>
    <w:rsid w:val="007F5252"/>
    <w:rsid w:val="00802F3C"/>
    <w:rsid w:val="00804196"/>
    <w:rsid w:val="008066BA"/>
    <w:rsid w:val="00807C8B"/>
    <w:rsid w:val="00810B94"/>
    <w:rsid w:val="00810BE8"/>
    <w:rsid w:val="00816A3A"/>
    <w:rsid w:val="008210C2"/>
    <w:rsid w:val="00821E76"/>
    <w:rsid w:val="00823C12"/>
    <w:rsid w:val="00823F0C"/>
    <w:rsid w:val="008243CF"/>
    <w:rsid w:val="0082447B"/>
    <w:rsid w:val="008260EC"/>
    <w:rsid w:val="00827AB6"/>
    <w:rsid w:val="00830CE6"/>
    <w:rsid w:val="00830DAA"/>
    <w:rsid w:val="00832AB2"/>
    <w:rsid w:val="00836259"/>
    <w:rsid w:val="00843A55"/>
    <w:rsid w:val="0084588C"/>
    <w:rsid w:val="008509AF"/>
    <w:rsid w:val="0085479D"/>
    <w:rsid w:val="00854FAB"/>
    <w:rsid w:val="00856F9D"/>
    <w:rsid w:val="008572BC"/>
    <w:rsid w:val="00860383"/>
    <w:rsid w:val="00860D73"/>
    <w:rsid w:val="008617E9"/>
    <w:rsid w:val="00864612"/>
    <w:rsid w:val="00872D3B"/>
    <w:rsid w:val="008733AC"/>
    <w:rsid w:val="00873484"/>
    <w:rsid w:val="0087623F"/>
    <w:rsid w:val="0088132A"/>
    <w:rsid w:val="00884CD6"/>
    <w:rsid w:val="00892628"/>
    <w:rsid w:val="008941D5"/>
    <w:rsid w:val="00896739"/>
    <w:rsid w:val="008A4390"/>
    <w:rsid w:val="008A69CC"/>
    <w:rsid w:val="008B0522"/>
    <w:rsid w:val="008B6896"/>
    <w:rsid w:val="008C410A"/>
    <w:rsid w:val="008C7429"/>
    <w:rsid w:val="008D1E58"/>
    <w:rsid w:val="008D6EA8"/>
    <w:rsid w:val="008D71E2"/>
    <w:rsid w:val="008E0522"/>
    <w:rsid w:val="008E2CAB"/>
    <w:rsid w:val="008E3E6A"/>
    <w:rsid w:val="008E47C8"/>
    <w:rsid w:val="008F7CB2"/>
    <w:rsid w:val="00900783"/>
    <w:rsid w:val="0090503C"/>
    <w:rsid w:val="00913D7A"/>
    <w:rsid w:val="00921151"/>
    <w:rsid w:val="00921957"/>
    <w:rsid w:val="00921DB9"/>
    <w:rsid w:val="00926523"/>
    <w:rsid w:val="009313F8"/>
    <w:rsid w:val="009333FF"/>
    <w:rsid w:val="00936E3C"/>
    <w:rsid w:val="009413BE"/>
    <w:rsid w:val="0094179C"/>
    <w:rsid w:val="00941959"/>
    <w:rsid w:val="00944D35"/>
    <w:rsid w:val="0095180A"/>
    <w:rsid w:val="0095356F"/>
    <w:rsid w:val="009559D5"/>
    <w:rsid w:val="00956899"/>
    <w:rsid w:val="00960EC3"/>
    <w:rsid w:val="00961F55"/>
    <w:rsid w:val="00963785"/>
    <w:rsid w:val="009662D1"/>
    <w:rsid w:val="009714B3"/>
    <w:rsid w:val="00976003"/>
    <w:rsid w:val="0098123F"/>
    <w:rsid w:val="00982453"/>
    <w:rsid w:val="0098289B"/>
    <w:rsid w:val="009858D0"/>
    <w:rsid w:val="00991FF5"/>
    <w:rsid w:val="00994D7D"/>
    <w:rsid w:val="009974A5"/>
    <w:rsid w:val="009A25BD"/>
    <w:rsid w:val="009A25DD"/>
    <w:rsid w:val="009A7842"/>
    <w:rsid w:val="009B055D"/>
    <w:rsid w:val="009C0BFB"/>
    <w:rsid w:val="009C3738"/>
    <w:rsid w:val="009C4B0C"/>
    <w:rsid w:val="009C7A14"/>
    <w:rsid w:val="009E67AA"/>
    <w:rsid w:val="009F1063"/>
    <w:rsid w:val="009F16B0"/>
    <w:rsid w:val="009F2A15"/>
    <w:rsid w:val="009F2A4D"/>
    <w:rsid w:val="009F4EE1"/>
    <w:rsid w:val="009F5BCF"/>
    <w:rsid w:val="009F7E1A"/>
    <w:rsid w:val="00A01609"/>
    <w:rsid w:val="00A03428"/>
    <w:rsid w:val="00A0728F"/>
    <w:rsid w:val="00A23D68"/>
    <w:rsid w:val="00A2750B"/>
    <w:rsid w:val="00A4013E"/>
    <w:rsid w:val="00A43779"/>
    <w:rsid w:val="00A43BE1"/>
    <w:rsid w:val="00A45A5A"/>
    <w:rsid w:val="00A519D6"/>
    <w:rsid w:val="00A52DAB"/>
    <w:rsid w:val="00A52E19"/>
    <w:rsid w:val="00A535DA"/>
    <w:rsid w:val="00A53722"/>
    <w:rsid w:val="00A53ED7"/>
    <w:rsid w:val="00A558B4"/>
    <w:rsid w:val="00A57417"/>
    <w:rsid w:val="00A57E46"/>
    <w:rsid w:val="00A64B24"/>
    <w:rsid w:val="00A70D35"/>
    <w:rsid w:val="00A72671"/>
    <w:rsid w:val="00A734C2"/>
    <w:rsid w:val="00A745BD"/>
    <w:rsid w:val="00A810D5"/>
    <w:rsid w:val="00A85DF4"/>
    <w:rsid w:val="00A87BB2"/>
    <w:rsid w:val="00A90EA0"/>
    <w:rsid w:val="00AA4EC5"/>
    <w:rsid w:val="00AA68A9"/>
    <w:rsid w:val="00AB29EF"/>
    <w:rsid w:val="00AC5FE2"/>
    <w:rsid w:val="00AC68DD"/>
    <w:rsid w:val="00AD550A"/>
    <w:rsid w:val="00AD5D99"/>
    <w:rsid w:val="00AD6201"/>
    <w:rsid w:val="00AE1BF3"/>
    <w:rsid w:val="00AE23F9"/>
    <w:rsid w:val="00AE7682"/>
    <w:rsid w:val="00AF545D"/>
    <w:rsid w:val="00AF56C2"/>
    <w:rsid w:val="00AF6FC2"/>
    <w:rsid w:val="00B051EE"/>
    <w:rsid w:val="00B0677D"/>
    <w:rsid w:val="00B16A19"/>
    <w:rsid w:val="00B21A51"/>
    <w:rsid w:val="00B21F18"/>
    <w:rsid w:val="00B24E7B"/>
    <w:rsid w:val="00B26BF0"/>
    <w:rsid w:val="00B27A3F"/>
    <w:rsid w:val="00B3216C"/>
    <w:rsid w:val="00B34351"/>
    <w:rsid w:val="00B37DB6"/>
    <w:rsid w:val="00B44C0D"/>
    <w:rsid w:val="00B50B96"/>
    <w:rsid w:val="00B51A46"/>
    <w:rsid w:val="00B51E1A"/>
    <w:rsid w:val="00B567D0"/>
    <w:rsid w:val="00B609E4"/>
    <w:rsid w:val="00B65D94"/>
    <w:rsid w:val="00B70DD4"/>
    <w:rsid w:val="00B74B5E"/>
    <w:rsid w:val="00B82126"/>
    <w:rsid w:val="00B855B1"/>
    <w:rsid w:val="00B97D0A"/>
    <w:rsid w:val="00BA35BF"/>
    <w:rsid w:val="00BA38BB"/>
    <w:rsid w:val="00BB02B7"/>
    <w:rsid w:val="00BB3065"/>
    <w:rsid w:val="00BB458D"/>
    <w:rsid w:val="00BC2A70"/>
    <w:rsid w:val="00BC3E00"/>
    <w:rsid w:val="00BC49E0"/>
    <w:rsid w:val="00BC56A3"/>
    <w:rsid w:val="00BD06EC"/>
    <w:rsid w:val="00BD229C"/>
    <w:rsid w:val="00BD5015"/>
    <w:rsid w:val="00BD73AA"/>
    <w:rsid w:val="00BE3C47"/>
    <w:rsid w:val="00BE6142"/>
    <w:rsid w:val="00BF02D2"/>
    <w:rsid w:val="00BF1A7B"/>
    <w:rsid w:val="00BF1FD1"/>
    <w:rsid w:val="00BF232C"/>
    <w:rsid w:val="00C07981"/>
    <w:rsid w:val="00C13795"/>
    <w:rsid w:val="00C17EA5"/>
    <w:rsid w:val="00C2098D"/>
    <w:rsid w:val="00C26331"/>
    <w:rsid w:val="00C2682E"/>
    <w:rsid w:val="00C2742F"/>
    <w:rsid w:val="00C30080"/>
    <w:rsid w:val="00C36728"/>
    <w:rsid w:val="00C36D3D"/>
    <w:rsid w:val="00C44AFF"/>
    <w:rsid w:val="00C45348"/>
    <w:rsid w:val="00C52C23"/>
    <w:rsid w:val="00C71331"/>
    <w:rsid w:val="00C7530C"/>
    <w:rsid w:val="00C8240C"/>
    <w:rsid w:val="00C83BD7"/>
    <w:rsid w:val="00C83E6E"/>
    <w:rsid w:val="00C859B0"/>
    <w:rsid w:val="00C85AC8"/>
    <w:rsid w:val="00C90BED"/>
    <w:rsid w:val="00C927C6"/>
    <w:rsid w:val="00C9385D"/>
    <w:rsid w:val="00C93C0B"/>
    <w:rsid w:val="00C94087"/>
    <w:rsid w:val="00CB02F1"/>
    <w:rsid w:val="00CC2567"/>
    <w:rsid w:val="00CC310F"/>
    <w:rsid w:val="00CD06DD"/>
    <w:rsid w:val="00CD245B"/>
    <w:rsid w:val="00CD25FC"/>
    <w:rsid w:val="00CD3272"/>
    <w:rsid w:val="00CD4CB9"/>
    <w:rsid w:val="00CD6CA2"/>
    <w:rsid w:val="00CD72A3"/>
    <w:rsid w:val="00CE0D33"/>
    <w:rsid w:val="00CF2999"/>
    <w:rsid w:val="00CF3159"/>
    <w:rsid w:val="00CF4F09"/>
    <w:rsid w:val="00CF6307"/>
    <w:rsid w:val="00CF662F"/>
    <w:rsid w:val="00D04A72"/>
    <w:rsid w:val="00D07D15"/>
    <w:rsid w:val="00D115DE"/>
    <w:rsid w:val="00D20027"/>
    <w:rsid w:val="00D215DF"/>
    <w:rsid w:val="00D23C4C"/>
    <w:rsid w:val="00D27581"/>
    <w:rsid w:val="00D35217"/>
    <w:rsid w:val="00D37A0E"/>
    <w:rsid w:val="00D37B5D"/>
    <w:rsid w:val="00D41418"/>
    <w:rsid w:val="00D44926"/>
    <w:rsid w:val="00D45E4B"/>
    <w:rsid w:val="00D506C6"/>
    <w:rsid w:val="00D5215F"/>
    <w:rsid w:val="00D53684"/>
    <w:rsid w:val="00D5785E"/>
    <w:rsid w:val="00D62421"/>
    <w:rsid w:val="00D6696F"/>
    <w:rsid w:val="00D746A8"/>
    <w:rsid w:val="00D81A18"/>
    <w:rsid w:val="00D86456"/>
    <w:rsid w:val="00D87F03"/>
    <w:rsid w:val="00D90813"/>
    <w:rsid w:val="00D9172E"/>
    <w:rsid w:val="00D9550B"/>
    <w:rsid w:val="00D964E3"/>
    <w:rsid w:val="00D96739"/>
    <w:rsid w:val="00D97516"/>
    <w:rsid w:val="00DA0ADA"/>
    <w:rsid w:val="00DA20BC"/>
    <w:rsid w:val="00DA37F5"/>
    <w:rsid w:val="00DA439E"/>
    <w:rsid w:val="00DB08ED"/>
    <w:rsid w:val="00DC146B"/>
    <w:rsid w:val="00DC1E54"/>
    <w:rsid w:val="00DC48D6"/>
    <w:rsid w:val="00DC5B67"/>
    <w:rsid w:val="00DC70BE"/>
    <w:rsid w:val="00DD0DDC"/>
    <w:rsid w:val="00DD4EB2"/>
    <w:rsid w:val="00DD593D"/>
    <w:rsid w:val="00DD7332"/>
    <w:rsid w:val="00DF0D81"/>
    <w:rsid w:val="00DF15B5"/>
    <w:rsid w:val="00DF6457"/>
    <w:rsid w:val="00DF733F"/>
    <w:rsid w:val="00E008BA"/>
    <w:rsid w:val="00E011A3"/>
    <w:rsid w:val="00E14644"/>
    <w:rsid w:val="00E14662"/>
    <w:rsid w:val="00E1469E"/>
    <w:rsid w:val="00E1616F"/>
    <w:rsid w:val="00E1790F"/>
    <w:rsid w:val="00E214B6"/>
    <w:rsid w:val="00E21DB5"/>
    <w:rsid w:val="00E332AD"/>
    <w:rsid w:val="00E42B30"/>
    <w:rsid w:val="00E440D4"/>
    <w:rsid w:val="00E47C99"/>
    <w:rsid w:val="00E514DA"/>
    <w:rsid w:val="00E56131"/>
    <w:rsid w:val="00E575FC"/>
    <w:rsid w:val="00E60BCA"/>
    <w:rsid w:val="00E613CF"/>
    <w:rsid w:val="00E62D1B"/>
    <w:rsid w:val="00E62F5C"/>
    <w:rsid w:val="00E67415"/>
    <w:rsid w:val="00E721FA"/>
    <w:rsid w:val="00E83402"/>
    <w:rsid w:val="00E910B7"/>
    <w:rsid w:val="00E916C4"/>
    <w:rsid w:val="00E93E38"/>
    <w:rsid w:val="00E93EC8"/>
    <w:rsid w:val="00E95B99"/>
    <w:rsid w:val="00EA3942"/>
    <w:rsid w:val="00EA54B6"/>
    <w:rsid w:val="00EB2AE7"/>
    <w:rsid w:val="00EB2FCA"/>
    <w:rsid w:val="00EB4C0C"/>
    <w:rsid w:val="00EB5E20"/>
    <w:rsid w:val="00EB79B8"/>
    <w:rsid w:val="00EC4333"/>
    <w:rsid w:val="00EC543C"/>
    <w:rsid w:val="00EC6B21"/>
    <w:rsid w:val="00ED35D0"/>
    <w:rsid w:val="00ED620C"/>
    <w:rsid w:val="00EE3973"/>
    <w:rsid w:val="00EE3EFB"/>
    <w:rsid w:val="00EE53F5"/>
    <w:rsid w:val="00F03501"/>
    <w:rsid w:val="00F07EA8"/>
    <w:rsid w:val="00F167F3"/>
    <w:rsid w:val="00F22531"/>
    <w:rsid w:val="00F26D49"/>
    <w:rsid w:val="00F3044D"/>
    <w:rsid w:val="00F3080E"/>
    <w:rsid w:val="00F30C09"/>
    <w:rsid w:val="00F336F9"/>
    <w:rsid w:val="00F37314"/>
    <w:rsid w:val="00F37F20"/>
    <w:rsid w:val="00F420E5"/>
    <w:rsid w:val="00F45454"/>
    <w:rsid w:val="00F50FC6"/>
    <w:rsid w:val="00F544B3"/>
    <w:rsid w:val="00F57546"/>
    <w:rsid w:val="00F60EB4"/>
    <w:rsid w:val="00F6625C"/>
    <w:rsid w:val="00F672F0"/>
    <w:rsid w:val="00F67CBF"/>
    <w:rsid w:val="00F772D9"/>
    <w:rsid w:val="00F81492"/>
    <w:rsid w:val="00F85778"/>
    <w:rsid w:val="00F8690D"/>
    <w:rsid w:val="00F86946"/>
    <w:rsid w:val="00F911B9"/>
    <w:rsid w:val="00F94FF6"/>
    <w:rsid w:val="00FA2EA9"/>
    <w:rsid w:val="00FB068C"/>
    <w:rsid w:val="00FB23CA"/>
    <w:rsid w:val="00FB35CE"/>
    <w:rsid w:val="00FB693E"/>
    <w:rsid w:val="00FC5BBB"/>
    <w:rsid w:val="00FC7CE1"/>
    <w:rsid w:val="00FC7E35"/>
    <w:rsid w:val="00FD1D59"/>
    <w:rsid w:val="00FD1F5F"/>
    <w:rsid w:val="00FD20F7"/>
    <w:rsid w:val="00FD47D7"/>
    <w:rsid w:val="00FD5287"/>
    <w:rsid w:val="00FD5985"/>
    <w:rsid w:val="00FD6545"/>
    <w:rsid w:val="00FE079E"/>
    <w:rsid w:val="00FE3B04"/>
    <w:rsid w:val="00FE5FA1"/>
    <w:rsid w:val="00FE60F4"/>
    <w:rsid w:val="00FE746F"/>
    <w:rsid w:val="00FF03A6"/>
    <w:rsid w:val="00FF20D3"/>
    <w:rsid w:val="00FF42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2"/>
    <o:shapelayout v:ext="edit">
      <o:idmap v:ext="edit" data="1"/>
    </o:shapelayout>
  </w:shapeDefaults>
  <w:doNotEmbedSmartTags/>
  <w:decimalSymbol w:val="."/>
  <w:listSeparator w:val=","/>
  <w15:docId w15:val="{A7BF3316-EC56-43EE-B530-BD26448A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64"/>
    <w:rPr>
      <w:sz w:val="24"/>
      <w:lang w:val="en-US"/>
    </w:rPr>
  </w:style>
  <w:style w:type="paragraph" w:styleId="Heading1">
    <w:name w:val="heading 1"/>
    <w:basedOn w:val="DHChapterHead"/>
    <w:next w:val="Normal"/>
    <w:link w:val="Heading1Char"/>
    <w:uiPriority w:val="9"/>
    <w:qFormat/>
    <w:rsid w:val="001D1A4F"/>
    <w:pPr>
      <w:jc w:val="center"/>
      <w:outlineLvl w:val="0"/>
    </w:pPr>
    <w:rPr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ChapterHead">
    <w:name w:val="DH Chapter Head"/>
    <w:basedOn w:val="DHTitle"/>
    <w:rsid w:val="00532F04"/>
    <w:rPr>
      <w:b w:val="0"/>
    </w:rPr>
  </w:style>
  <w:style w:type="paragraph" w:customStyle="1" w:styleId="DHTitle">
    <w:name w:val="DH Title"/>
    <w:basedOn w:val="Normal"/>
    <w:link w:val="DHTitleChar"/>
    <w:rsid w:val="00532F04"/>
    <w:pPr>
      <w:spacing w:after="0" w:line="660" w:lineRule="exact"/>
    </w:pPr>
    <w:rPr>
      <w:rFonts w:ascii="Arial" w:hAnsi="Arial" w:cs="Arial"/>
      <w:b/>
      <w:color w:val="009966"/>
      <w:sz w:val="60"/>
      <w:lang w:val="en-GB" w:eastAsia="en-US"/>
    </w:rPr>
  </w:style>
  <w:style w:type="character" w:customStyle="1" w:styleId="DHTitleChar">
    <w:name w:val="DH Title Char"/>
    <w:link w:val="DHTitle"/>
    <w:locked/>
    <w:rsid w:val="00532F04"/>
    <w:rPr>
      <w:rFonts w:ascii="Arial" w:hAnsi="Arial" w:cs="Arial"/>
      <w:b/>
      <w:color w:val="009966"/>
      <w:sz w:val="6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1A4F"/>
    <w:rPr>
      <w:rFonts w:ascii="Arial" w:hAnsi="Arial" w:cs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C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C3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532F04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2F04"/>
    <w:pPr>
      <w:spacing w:after="0"/>
    </w:pPr>
    <w:rPr>
      <w:rFonts w:ascii="Arial" w:eastAsia="Times New Roman" w:hAnsi="Arial" w:cs="Arial"/>
      <w:lang w:val="en-GB" w:eastAsia="en-US"/>
    </w:rPr>
  </w:style>
  <w:style w:type="paragraph" w:customStyle="1" w:styleId="DHBodycopy">
    <w:name w:val="DH Body copy"/>
    <w:basedOn w:val="Normal"/>
    <w:rsid w:val="00532F04"/>
    <w:pPr>
      <w:spacing w:after="0" w:line="320" w:lineRule="exact"/>
    </w:pPr>
    <w:rPr>
      <w:rFonts w:ascii="Arial" w:eastAsia="Times New Roman" w:hAnsi="Arial" w:cs="Times New Roman"/>
      <w:lang w:val="en-GB" w:eastAsia="en-US"/>
    </w:rPr>
  </w:style>
  <w:style w:type="paragraph" w:customStyle="1" w:styleId="DHtitlepagetext">
    <w:name w:val="DH title page text"/>
    <w:basedOn w:val="DHTitle"/>
    <w:rsid w:val="00532F04"/>
    <w:rPr>
      <w:color w:val="auto"/>
      <w:sz w:val="24"/>
    </w:rPr>
  </w:style>
  <w:style w:type="paragraph" w:customStyle="1" w:styleId="DHBulletlist">
    <w:name w:val="DH Bullet list"/>
    <w:basedOn w:val="Normal"/>
    <w:rsid w:val="00532F04"/>
    <w:pPr>
      <w:tabs>
        <w:tab w:val="num" w:pos="360"/>
      </w:tabs>
      <w:spacing w:after="0" w:line="320" w:lineRule="exact"/>
    </w:pPr>
    <w:rPr>
      <w:rFonts w:ascii="Arial" w:eastAsia="Times New Roman" w:hAnsi="Arial" w:cs="Times New Roman"/>
      <w:lang w:val="en-GB" w:eastAsia="en-US"/>
    </w:rPr>
  </w:style>
  <w:style w:type="paragraph" w:customStyle="1" w:styleId="DHSubtitle">
    <w:name w:val="DH Subtitle"/>
    <w:basedOn w:val="Normal"/>
    <w:rsid w:val="00532F04"/>
    <w:pPr>
      <w:spacing w:after="0" w:line="500" w:lineRule="exact"/>
    </w:pPr>
    <w:rPr>
      <w:rFonts w:ascii="Times New Roman" w:eastAsia="Times New Roman" w:hAnsi="Times New Roman" w:cs="Times New Roman"/>
      <w:i/>
      <w:sz w:val="46"/>
      <w:lang w:val="en-GB" w:eastAsia="en-US"/>
    </w:rPr>
  </w:style>
  <w:style w:type="paragraph" w:customStyle="1" w:styleId="DHSecondaryHeadingOne">
    <w:name w:val="DH Secondary Heading One"/>
    <w:basedOn w:val="DHTitle"/>
    <w:rsid w:val="00532F04"/>
    <w:pPr>
      <w:numPr>
        <w:numId w:val="1"/>
      </w:numPr>
      <w:spacing w:line="360" w:lineRule="exact"/>
      <w:ind w:left="0" w:firstLine="0"/>
    </w:pPr>
    <w:rPr>
      <w:b w:val="0"/>
      <w:sz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761"/>
    <w:pPr>
      <w:keepNext/>
      <w:keepLines/>
      <w:spacing w:before="480" w:line="240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0761"/>
    <w:pPr>
      <w:spacing w:after="100"/>
      <w:ind w:left="240"/>
    </w:pPr>
  </w:style>
  <w:style w:type="paragraph" w:customStyle="1" w:styleId="Style2">
    <w:name w:val="Style2"/>
    <w:basedOn w:val="Normal"/>
    <w:qFormat/>
    <w:rsid w:val="00530761"/>
    <w:pPr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itleV5">
    <w:name w:val="Title V5"/>
    <w:basedOn w:val="Normal"/>
    <w:next w:val="Normal"/>
    <w:qFormat/>
    <w:rsid w:val="00530761"/>
    <w:pPr>
      <w:numPr>
        <w:ilvl w:val="1"/>
        <w:numId w:val="2"/>
      </w:numPr>
      <w:spacing w:after="0"/>
      <w:jc w:val="both"/>
    </w:pPr>
    <w:rPr>
      <w:rFonts w:ascii="Arial" w:eastAsia="Times New Roman" w:hAnsi="Arial" w:cs="Arial"/>
      <w:sz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0761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307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30761"/>
    <w:pPr>
      <w:tabs>
        <w:tab w:val="center" w:pos="4513"/>
        <w:tab w:val="right" w:pos="902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3076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30761"/>
    <w:pPr>
      <w:spacing w:after="0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761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7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30761"/>
    <w:pPr>
      <w:spacing w:after="0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nonumbering">
    <w:name w:val="no numbering"/>
    <w:rsid w:val="00530761"/>
    <w:pPr>
      <w:tabs>
        <w:tab w:val="left" w:pos="720"/>
      </w:tabs>
      <w:spacing w:before="120" w:after="120"/>
      <w:ind w:left="680"/>
      <w:jc w:val="both"/>
    </w:pPr>
    <w:rPr>
      <w:rFonts w:ascii="Arial" w:eastAsia="Times New Roman" w:hAnsi="Arial" w:cs="Arial"/>
      <w:lang w:eastAsia="en-US"/>
    </w:rPr>
  </w:style>
  <w:style w:type="paragraph" w:customStyle="1" w:styleId="00-Normal-BB">
    <w:name w:val="00-Normal-BB"/>
    <w:rsid w:val="00530761"/>
    <w:pPr>
      <w:spacing w:after="0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Default">
    <w:name w:val="Default"/>
    <w:rsid w:val="00530761"/>
    <w:pPr>
      <w:autoSpaceDE w:val="0"/>
      <w:autoSpaceDN w:val="0"/>
      <w:adjustRightInd w:val="0"/>
      <w:spacing w:after="0"/>
    </w:pPr>
    <w:rPr>
      <w:rFonts w:ascii="Syntax" w:eastAsia="MS ??" w:hAnsi="Syntax" w:cs="Syntax"/>
      <w:color w:val="000000"/>
      <w:sz w:val="24"/>
      <w:szCs w:val="24"/>
      <w:lang w:eastAsia="en-GB"/>
    </w:rPr>
  </w:style>
  <w:style w:type="paragraph" w:customStyle="1" w:styleId="Part">
    <w:name w:val="Part"/>
    <w:link w:val="PartChar"/>
    <w:uiPriority w:val="99"/>
    <w:rsid w:val="00530761"/>
    <w:pPr>
      <w:widowControl w:val="0"/>
      <w:spacing w:after="0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PartChar">
    <w:name w:val="Part Char"/>
    <w:link w:val="Part"/>
    <w:uiPriority w:val="99"/>
    <w:rsid w:val="00530761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61F5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4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42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421"/>
    <w:rPr>
      <w:b/>
      <w:bCs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3D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3D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Revision">
    <w:name w:val="Revision"/>
    <w:hidden/>
    <w:uiPriority w:val="99"/>
    <w:semiHidden/>
    <w:rsid w:val="00432159"/>
    <w:pPr>
      <w:spacing w:after="0"/>
    </w:pPr>
    <w:rPr>
      <w:sz w:val="24"/>
      <w:lang w:val="en-US"/>
    </w:rPr>
  </w:style>
  <w:style w:type="paragraph" w:styleId="NoSpacing">
    <w:name w:val="No Spacing"/>
    <w:uiPriority w:val="1"/>
    <w:qFormat/>
    <w:rsid w:val="00620AD1"/>
    <w:pPr>
      <w:spacing w:after="0"/>
    </w:pPr>
    <w:rPr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3B62D-34E3-4E34-A273-71DB9C35BCDF}"/>
</file>

<file path=customXml/itemProps2.xml><?xml version="1.0" encoding="utf-8"?>
<ds:datastoreItem xmlns:ds="http://schemas.openxmlformats.org/officeDocument/2006/customXml" ds:itemID="{43C6EED7-10EE-48FF-A6E9-45621AEA3EEB}"/>
</file>

<file path=customXml/itemProps3.xml><?xml version="1.0" encoding="utf-8"?>
<ds:datastoreItem xmlns:ds="http://schemas.openxmlformats.org/officeDocument/2006/customXml" ds:itemID="{1D7EDD0E-A0C6-4EC0-9CC8-293C79FB4401}"/>
</file>

<file path=customXml/itemProps4.xml><?xml version="1.0" encoding="utf-8"?>
<ds:datastoreItem xmlns:ds="http://schemas.openxmlformats.org/officeDocument/2006/customXml" ds:itemID="{5ADDCEA0-F13E-4B15-8796-D7279C54F3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762F4C-EEEF-461E-85A4-954ED3F54E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CFA18C4-46B0-4CBE-B333-7C249E1DB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TGDH</Company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Carling</dc:creator>
  <cp:lastModifiedBy>Sean Crilly (Croydon CCG)</cp:lastModifiedBy>
  <cp:revision>3</cp:revision>
  <cp:lastPrinted>2018-01-18T14:22:00Z</cp:lastPrinted>
  <dcterms:created xsi:type="dcterms:W3CDTF">2018-03-16T12:36:00Z</dcterms:created>
  <dcterms:modified xsi:type="dcterms:W3CDTF">2018-03-16T12:38:00Z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  <property fmtid="{D5CDD505-2E9C-101B-9397-08002B2CF9AE}" pid="3" name="_dlc_DocIdItemGuid">
    <vt:lpwstr>e5be24e6-4f14-4aec-ac6f-aeec6849b972</vt:lpwstr>
  </property>
</Properties>
</file>