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F780" w14:textId="77777777" w:rsidR="00FF37EB" w:rsidRDefault="00FF37EB" w:rsidP="00FF37EB">
      <w:pPr>
        <w:pStyle w:val="Logos"/>
        <w:tabs>
          <w:tab w:val="right" w:pos="9498"/>
        </w:tabs>
      </w:pPr>
      <w:bookmarkStart w:id="0" w:name="_GoBack"/>
      <w:bookmarkEnd w:id="0"/>
      <w:r>
        <w:rPr>
          <w:lang w:eastAsia="en-GB"/>
        </w:rPr>
        <w:drawing>
          <wp:inline distT="0" distB="0" distL="0" distR="0" wp14:anchorId="7CBACA55" wp14:editId="24F12920">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679A571" w14:textId="77777777" w:rsidR="00FF37EB" w:rsidRDefault="00FF37EB" w:rsidP="00FF37EB">
      <w:pPr>
        <w:pStyle w:val="Heading1"/>
        <w:jc w:val="center"/>
      </w:pPr>
      <w:r w:rsidRPr="00B818C3">
        <w:rPr>
          <w:sz w:val="44"/>
          <w:szCs w:val="44"/>
        </w:rPr>
        <w:t>Expression of interest</w:t>
      </w:r>
    </w:p>
    <w:p w14:paraId="13CCC5E2" w14:textId="77777777" w:rsidR="00FF37EB" w:rsidRPr="007E0083" w:rsidRDefault="00FF37EB" w:rsidP="00FF37EB">
      <w:pPr>
        <w:pStyle w:val="Heading1"/>
      </w:pPr>
      <w:r w:rsidRPr="007E0083">
        <w:t>Title:</w:t>
      </w:r>
      <w:r>
        <w:t xml:space="preserve"> Teacher</w:t>
      </w:r>
      <w:r w:rsidR="006460EA">
        <w:t>s and leaders views on the</w:t>
      </w:r>
      <w:r>
        <w:t xml:space="preserve"> pay </w:t>
      </w:r>
      <w:r w:rsidR="006460EA">
        <w:t xml:space="preserve">framework </w:t>
      </w:r>
      <w:r>
        <w:t>– a review</w:t>
      </w:r>
    </w:p>
    <w:p w14:paraId="31D01CCF" w14:textId="77777777" w:rsidR="00FF37EB" w:rsidRPr="007E0083" w:rsidRDefault="00FF37EB" w:rsidP="00FF37EB">
      <w:pPr>
        <w:rPr>
          <w:b/>
        </w:rPr>
      </w:pPr>
      <w:r w:rsidRPr="007E0083">
        <w:rPr>
          <w:b/>
        </w:rPr>
        <w:t xml:space="preserve">Project reference: </w:t>
      </w:r>
      <w:r>
        <w:rPr>
          <w:b/>
        </w:rPr>
        <w:t>EOR/SBU/2018</w:t>
      </w:r>
      <w:r w:rsidR="006E14A1">
        <w:rPr>
          <w:b/>
        </w:rPr>
        <w:t>/014</w:t>
      </w:r>
    </w:p>
    <w:p w14:paraId="17EE0366" w14:textId="77777777" w:rsidR="00FF37EB" w:rsidRPr="007E0083" w:rsidRDefault="00FF37EB" w:rsidP="00FF37EB">
      <w:pPr>
        <w:rPr>
          <w:b/>
        </w:rPr>
      </w:pPr>
      <w:r w:rsidRPr="007E0083">
        <w:rPr>
          <w:b/>
        </w:rPr>
        <w:t>Deadline for expressions of interest:</w:t>
      </w:r>
      <w:r>
        <w:rPr>
          <w:b/>
        </w:rPr>
        <w:t xml:space="preserve"> </w:t>
      </w:r>
      <w:r w:rsidR="005C2547">
        <w:rPr>
          <w:b/>
        </w:rPr>
        <w:t xml:space="preserve">5pm </w:t>
      </w:r>
      <w:r w:rsidR="006C694F">
        <w:rPr>
          <w:b/>
        </w:rPr>
        <w:t>14</w:t>
      </w:r>
      <w:r w:rsidR="006C694F" w:rsidRPr="006E14A1">
        <w:rPr>
          <w:b/>
          <w:vertAlign w:val="superscript"/>
        </w:rPr>
        <w:t>th</w:t>
      </w:r>
      <w:r w:rsidR="006C694F">
        <w:rPr>
          <w:b/>
        </w:rPr>
        <w:t xml:space="preserve"> </w:t>
      </w:r>
      <w:r w:rsidR="00564111">
        <w:rPr>
          <w:b/>
        </w:rPr>
        <w:t>March 2018</w:t>
      </w:r>
    </w:p>
    <w:p w14:paraId="21051D80" w14:textId="77777777" w:rsidR="00FF37EB" w:rsidRDefault="00FF37EB" w:rsidP="00FF37EB">
      <w:pPr>
        <w:pStyle w:val="Heading2"/>
      </w:pPr>
      <w:r w:rsidRPr="001F2CE2">
        <w:t>Summary</w:t>
      </w:r>
    </w:p>
    <w:p w14:paraId="5C4968E0" w14:textId="77777777" w:rsidR="000753D5" w:rsidRDefault="005C2547" w:rsidP="000753D5">
      <w:pPr>
        <w:rPr>
          <w:rFonts w:cs="Arial"/>
          <w:szCs w:val="22"/>
          <w:lang w:eastAsia="en-US"/>
        </w:rPr>
      </w:pPr>
      <w:r>
        <w:t xml:space="preserve">Expressions of interest are sought </w:t>
      </w:r>
      <w:r w:rsidR="000753D5">
        <w:t>to</w:t>
      </w:r>
      <w:r w:rsidR="00BF33E4">
        <w:t xml:space="preserve"> undertake research</w:t>
      </w:r>
      <w:r w:rsidR="000753D5" w:rsidRPr="00FF37EB">
        <w:rPr>
          <w:rFonts w:cs="Arial"/>
          <w:szCs w:val="22"/>
          <w:lang w:eastAsia="en-US"/>
        </w:rPr>
        <w:t xml:space="preserve">understand the perceptions, opinions and </w:t>
      </w:r>
      <w:r w:rsidR="006460EA">
        <w:rPr>
          <w:rFonts w:cs="Arial"/>
          <w:szCs w:val="22"/>
          <w:lang w:eastAsia="en-US"/>
        </w:rPr>
        <w:t>experiences</w:t>
      </w:r>
      <w:r w:rsidR="006460EA" w:rsidRPr="00FF37EB">
        <w:rPr>
          <w:rFonts w:cs="Arial"/>
          <w:szCs w:val="22"/>
          <w:lang w:eastAsia="en-US"/>
        </w:rPr>
        <w:t xml:space="preserve"> </w:t>
      </w:r>
      <w:r w:rsidR="000753D5" w:rsidRPr="00FF37EB">
        <w:rPr>
          <w:rFonts w:cs="Arial"/>
          <w:szCs w:val="22"/>
          <w:lang w:eastAsia="en-US"/>
        </w:rPr>
        <w:t xml:space="preserve">of teachers/leaders and governors to teacher pay </w:t>
      </w:r>
      <w:r w:rsidR="006460EA">
        <w:rPr>
          <w:rFonts w:cs="Arial"/>
          <w:szCs w:val="22"/>
          <w:lang w:eastAsia="en-US"/>
        </w:rPr>
        <w:t>frameworks</w:t>
      </w:r>
      <w:r w:rsidR="006460EA" w:rsidRPr="00FF37EB">
        <w:rPr>
          <w:rFonts w:cs="Arial"/>
          <w:szCs w:val="22"/>
          <w:lang w:eastAsia="en-US"/>
        </w:rPr>
        <w:t xml:space="preserve"> </w:t>
      </w:r>
      <w:r w:rsidR="000753D5" w:rsidRPr="00FF37EB">
        <w:rPr>
          <w:rFonts w:cs="Arial"/>
          <w:szCs w:val="22"/>
          <w:lang w:eastAsia="en-US"/>
        </w:rPr>
        <w:t>and their place in recruitment, retention and career progression.</w:t>
      </w:r>
    </w:p>
    <w:p w14:paraId="07494E1E" w14:textId="77777777" w:rsidR="005C2547" w:rsidRDefault="005C2547" w:rsidP="000753D5">
      <w:pPr>
        <w:rPr>
          <w:rFonts w:cs="Arial"/>
          <w:szCs w:val="22"/>
          <w:lang w:eastAsia="en-US"/>
        </w:rPr>
      </w:pPr>
      <w:r>
        <w:rPr>
          <w:rFonts w:cs="Arial"/>
          <w:szCs w:val="22"/>
          <w:lang w:eastAsia="en-US"/>
        </w:rPr>
        <w:t xml:space="preserve">This expression of interest was posted on </w:t>
      </w:r>
      <w:r w:rsidR="006E14A1">
        <w:rPr>
          <w:rFonts w:cs="Arial"/>
          <w:szCs w:val="22"/>
          <w:lang w:eastAsia="en-US"/>
        </w:rPr>
        <w:t xml:space="preserve">1st </w:t>
      </w:r>
      <w:r>
        <w:rPr>
          <w:rFonts w:cs="Arial"/>
          <w:szCs w:val="22"/>
          <w:lang w:eastAsia="en-US"/>
        </w:rPr>
        <w:t>March 2018.</w:t>
      </w:r>
    </w:p>
    <w:p w14:paraId="2246883A" w14:textId="77777777" w:rsidR="00FF37EB" w:rsidRDefault="00FF37EB" w:rsidP="00FF37EB">
      <w:pPr>
        <w:pStyle w:val="Heading2"/>
      </w:pPr>
      <w:r>
        <w:t>Background</w:t>
      </w:r>
    </w:p>
    <w:p w14:paraId="06E4DCCF" w14:textId="77777777" w:rsidR="00FF37EB" w:rsidRDefault="00FF37EB" w:rsidP="00FF37EB">
      <w:r>
        <w:t xml:space="preserve">The department carried out major reforms of the teacher pay system, implemented in 2014 and 2015, to introduce a more flexible performance based pay structure. </w:t>
      </w:r>
    </w:p>
    <w:p w14:paraId="14F7AC78" w14:textId="77777777" w:rsidR="00FF37EB" w:rsidRDefault="00FF37EB" w:rsidP="00FF37EB">
      <w:r>
        <w:t xml:space="preserve">In its last report, the </w:t>
      </w:r>
      <w:r w:rsidR="00462E37">
        <w:t>School Teachers’ Review Body (</w:t>
      </w:r>
      <w:r>
        <w:t>STRB</w:t>
      </w:r>
      <w:r w:rsidR="00462E37">
        <w:t>)</w:t>
      </w:r>
      <w:r>
        <w:t xml:space="preserve"> has called for the opportunity to conduct a further review of the teacher pay s</w:t>
      </w:r>
      <w:r w:rsidR="006460EA">
        <w:t>tructure</w:t>
      </w:r>
      <w:r>
        <w:t xml:space="preserve"> to ensure </w:t>
      </w:r>
      <w:r w:rsidR="006460EA">
        <w:t>it is</w:t>
      </w:r>
      <w:r>
        <w:t xml:space="preserve"> supporting a clear career pathway for classroom teachers. </w:t>
      </w:r>
    </w:p>
    <w:p w14:paraId="7CA04511" w14:textId="77777777" w:rsidR="00FF37EB" w:rsidRDefault="00FF37EB" w:rsidP="00FF37EB">
      <w:r>
        <w:t xml:space="preserve">More widely, the department </w:t>
      </w:r>
      <w:r w:rsidR="00371919">
        <w:t xml:space="preserve">is looking at </w:t>
      </w:r>
      <w:r>
        <w:t xml:space="preserve">raising the status of the profession and ensuring a clear career pathway for teachers, most notably through the consultation on enhanced qualified teacher status (QTS) and improving career progression for teachers. </w:t>
      </w:r>
      <w:r w:rsidR="006460EA">
        <w:t>The department wishes to consider how the current pay structure is supporting these goals.</w:t>
      </w:r>
    </w:p>
    <w:p w14:paraId="2B869656" w14:textId="77777777" w:rsidR="00FF37EB" w:rsidRPr="00FF37EB" w:rsidRDefault="00FF37EB" w:rsidP="00FF37EB">
      <w:r>
        <w:t>Th</w:t>
      </w:r>
      <w:r w:rsidR="00371919">
        <w:t>e</w:t>
      </w:r>
      <w:r>
        <w:t xml:space="preserve"> </w:t>
      </w:r>
      <w:r w:rsidR="00371919">
        <w:t xml:space="preserve">proposed </w:t>
      </w:r>
      <w:r>
        <w:t xml:space="preserve">research </w:t>
      </w:r>
      <w:r w:rsidR="00371919">
        <w:t xml:space="preserve">will provide an understanding of teachers’/leaders’/Governors’ perceptions of pay </w:t>
      </w:r>
      <w:r w:rsidR="006460EA">
        <w:t>system and inform any future changes to it.</w:t>
      </w:r>
    </w:p>
    <w:p w14:paraId="65423024" w14:textId="77777777" w:rsidR="00FF37EB" w:rsidRDefault="00FF37EB" w:rsidP="00FF37EB">
      <w:pPr>
        <w:pStyle w:val="Heading2"/>
      </w:pPr>
      <w:r w:rsidRPr="003E05F9">
        <w:t>Evaluation aims</w:t>
      </w:r>
    </w:p>
    <w:p w14:paraId="373DB92F" w14:textId="77777777" w:rsidR="008E0468" w:rsidRPr="00FF37EB" w:rsidRDefault="008E0468" w:rsidP="008E0468">
      <w:pPr>
        <w:numPr>
          <w:ilvl w:val="0"/>
          <w:numId w:val="7"/>
        </w:numPr>
      </w:pPr>
      <w:r w:rsidRPr="008E0468">
        <w:t xml:space="preserve"> </w:t>
      </w:r>
      <w:r w:rsidRPr="00FF37EB">
        <w:t xml:space="preserve">To provide robust evidence to the STRB with regards to </w:t>
      </w:r>
      <w:r>
        <w:t>teachers and leaders perceptions of the current teacher pay framework and how it is supporting teachers’ career pathways.</w:t>
      </w:r>
      <w:r w:rsidRPr="00FF37EB">
        <w:t xml:space="preserve">. </w:t>
      </w:r>
    </w:p>
    <w:p w14:paraId="55F60D53" w14:textId="77777777" w:rsidR="00564111" w:rsidRPr="00FF37EB" w:rsidRDefault="00564111" w:rsidP="00564111">
      <w:pPr>
        <w:numPr>
          <w:ilvl w:val="0"/>
          <w:numId w:val="7"/>
        </w:numPr>
      </w:pPr>
      <w:r w:rsidRPr="00FF37EB">
        <w:lastRenderedPageBreak/>
        <w:t>To understand teachers’</w:t>
      </w:r>
      <w:r w:rsidR="00371919">
        <w:t>/</w:t>
      </w:r>
      <w:r w:rsidRPr="00FF37EB">
        <w:t>leaders’ views and understanding of teacher pay scales including the uses of Teaching and Learning Responsibility allowances (TLRs), main pay range (MPR) and upper pay range (UPR) in their own settings.</w:t>
      </w:r>
    </w:p>
    <w:p w14:paraId="5B6A0D68" w14:textId="77777777" w:rsidR="00564111" w:rsidRPr="00FF37EB" w:rsidRDefault="00564111" w:rsidP="00564111">
      <w:pPr>
        <w:numPr>
          <w:ilvl w:val="0"/>
          <w:numId w:val="7"/>
        </w:numPr>
      </w:pPr>
      <w:r w:rsidRPr="00FF37EB">
        <w:t>To understand teachers</w:t>
      </w:r>
      <w:r w:rsidR="00371919">
        <w:t>’</w:t>
      </w:r>
      <w:r w:rsidRPr="00FF37EB">
        <w:t>/leaders</w:t>
      </w:r>
      <w:r w:rsidR="00371919">
        <w:t>’</w:t>
      </w:r>
      <w:r w:rsidRPr="00FF37EB">
        <w:t xml:space="preserve"> views on how the pay framework can provide a clearer career pathway for classroom teachers and support recruitment and retention within the profession.</w:t>
      </w:r>
    </w:p>
    <w:p w14:paraId="0E9129F9" w14:textId="77777777" w:rsidR="00FF37EB" w:rsidRPr="004A600B" w:rsidRDefault="00FF37EB" w:rsidP="00FF37EB">
      <w:pPr>
        <w:pStyle w:val="Heading2"/>
      </w:pPr>
      <w:r>
        <w:t>Methodology</w:t>
      </w:r>
    </w:p>
    <w:p w14:paraId="7203EB1A" w14:textId="77777777" w:rsidR="00FF37EB" w:rsidRPr="00FF37EB" w:rsidRDefault="00FF37EB">
      <w:pPr>
        <w:spacing w:after="0" w:line="240" w:lineRule="auto"/>
        <w:rPr>
          <w:rFonts w:cs="Arial"/>
          <w:szCs w:val="22"/>
          <w:lang w:eastAsia="en-US"/>
        </w:rPr>
      </w:pPr>
      <w:r w:rsidRPr="00FF37EB">
        <w:rPr>
          <w:rFonts w:cs="Arial"/>
          <w:szCs w:val="22"/>
          <w:lang w:eastAsia="en-US"/>
        </w:rPr>
        <w:t xml:space="preserve">A qualitative approach is required to gain an understanding of the perceptions, opinions and motivations of teachers/leaders and governors to </w:t>
      </w:r>
      <w:r w:rsidR="00DF6970">
        <w:rPr>
          <w:rFonts w:cs="Arial"/>
          <w:szCs w:val="22"/>
          <w:lang w:eastAsia="en-US"/>
        </w:rPr>
        <w:t xml:space="preserve">the </w:t>
      </w:r>
      <w:r w:rsidRPr="00FF37EB">
        <w:rPr>
          <w:rFonts w:cs="Arial"/>
          <w:szCs w:val="22"/>
          <w:lang w:eastAsia="en-US"/>
        </w:rPr>
        <w:t xml:space="preserve">teacher pay </w:t>
      </w:r>
      <w:r w:rsidR="00DF6970">
        <w:rPr>
          <w:rFonts w:cs="Arial"/>
          <w:szCs w:val="22"/>
          <w:lang w:eastAsia="en-US"/>
        </w:rPr>
        <w:t>framework</w:t>
      </w:r>
      <w:r w:rsidRPr="00FF37EB">
        <w:rPr>
          <w:rFonts w:cs="Arial"/>
          <w:szCs w:val="22"/>
          <w:lang w:eastAsia="en-US"/>
        </w:rPr>
        <w:t xml:space="preserve"> and their place in recruitment, retention and career progression. </w:t>
      </w:r>
      <w:r w:rsidR="000753D5">
        <w:rPr>
          <w:rFonts w:cs="Arial"/>
          <w:szCs w:val="22"/>
          <w:lang w:eastAsia="en-US"/>
        </w:rPr>
        <w:t>We anticipate that d</w:t>
      </w:r>
      <w:r w:rsidRPr="00FF37EB">
        <w:rPr>
          <w:rFonts w:cs="Arial"/>
          <w:szCs w:val="22"/>
          <w:lang w:eastAsia="en-US"/>
        </w:rPr>
        <w:t xml:space="preserve">ata will be collected through semi-structured depth telephone interviews, </w:t>
      </w:r>
      <w:r w:rsidR="00371919">
        <w:rPr>
          <w:rFonts w:cs="Arial"/>
          <w:szCs w:val="22"/>
          <w:lang w:eastAsia="en-US"/>
        </w:rPr>
        <w:t xml:space="preserve">however, </w:t>
      </w:r>
      <w:r w:rsidRPr="00FF37EB">
        <w:rPr>
          <w:rFonts w:cs="Arial"/>
          <w:szCs w:val="22"/>
          <w:lang w:eastAsia="en-US"/>
        </w:rPr>
        <w:t>we welcome innovative suitable approaches from potential contractors</w:t>
      </w:r>
      <w:r w:rsidR="00C02E60">
        <w:rPr>
          <w:rFonts w:cs="Arial"/>
          <w:szCs w:val="22"/>
          <w:lang w:eastAsia="en-US"/>
        </w:rPr>
        <w:t xml:space="preserve"> at ITT stage</w:t>
      </w:r>
      <w:r w:rsidRPr="00FF37EB">
        <w:rPr>
          <w:rFonts w:cs="Arial"/>
          <w:szCs w:val="22"/>
          <w:lang w:eastAsia="en-US"/>
        </w:rPr>
        <w:t>.</w:t>
      </w:r>
    </w:p>
    <w:p w14:paraId="1B5F46C0" w14:textId="77777777" w:rsidR="00FF37EB" w:rsidRDefault="00FF37EB" w:rsidP="00FF37EB">
      <w:pPr>
        <w:spacing w:after="0" w:line="240" w:lineRule="auto"/>
        <w:rPr>
          <w:rFonts w:cs="Arial"/>
          <w:szCs w:val="22"/>
          <w:lang w:eastAsia="en-US"/>
        </w:rPr>
      </w:pPr>
    </w:p>
    <w:p w14:paraId="3129E26E" w14:textId="77777777" w:rsidR="00371919" w:rsidRDefault="00371919" w:rsidP="00FF37EB">
      <w:pPr>
        <w:spacing w:after="0" w:line="240" w:lineRule="auto"/>
        <w:rPr>
          <w:rFonts w:cs="Arial"/>
          <w:szCs w:val="22"/>
          <w:lang w:eastAsia="en-US"/>
        </w:rPr>
      </w:pPr>
      <w:r>
        <w:rPr>
          <w:rFonts w:cs="Arial"/>
          <w:szCs w:val="22"/>
          <w:lang w:eastAsia="en-US"/>
        </w:rPr>
        <w:t>We anticipate that the sample will cover: primary and secondary schools; maintained and academies; and teachers on the cusp of the m</w:t>
      </w:r>
      <w:r w:rsidR="00DF6970">
        <w:rPr>
          <w:rFonts w:cs="Arial"/>
          <w:szCs w:val="22"/>
          <w:lang w:eastAsia="en-US"/>
        </w:rPr>
        <w:t>ain</w:t>
      </w:r>
      <w:r>
        <w:rPr>
          <w:rFonts w:cs="Arial"/>
          <w:szCs w:val="22"/>
          <w:lang w:eastAsia="en-US"/>
        </w:rPr>
        <w:t xml:space="preserve"> to upper pay range, using the School Workforce Census (SWC). We anticipate  interviews with:</w:t>
      </w:r>
    </w:p>
    <w:p w14:paraId="2EE07605" w14:textId="77777777" w:rsidR="002440D6" w:rsidRDefault="002440D6" w:rsidP="00FF37EB">
      <w:pPr>
        <w:spacing w:after="0" w:line="240" w:lineRule="auto"/>
        <w:rPr>
          <w:rFonts w:cs="Arial"/>
          <w:szCs w:val="22"/>
          <w:lang w:eastAsia="en-US"/>
        </w:rPr>
      </w:pPr>
    </w:p>
    <w:p w14:paraId="741C7268" w14:textId="77777777" w:rsidR="00FF37EB" w:rsidRPr="00FF37EB" w:rsidRDefault="002440D6" w:rsidP="00FF37EB">
      <w:pPr>
        <w:numPr>
          <w:ilvl w:val="0"/>
          <w:numId w:val="10"/>
        </w:numPr>
        <w:spacing w:after="0" w:line="240" w:lineRule="auto"/>
        <w:rPr>
          <w:rFonts w:cs="Arial"/>
          <w:szCs w:val="22"/>
          <w:lang w:eastAsia="en-US"/>
        </w:rPr>
      </w:pPr>
      <w:r>
        <w:rPr>
          <w:rFonts w:cs="Arial"/>
          <w:szCs w:val="22"/>
          <w:lang w:eastAsia="en-US"/>
        </w:rPr>
        <w:t>H</w:t>
      </w:r>
      <w:r w:rsidR="00FF37EB" w:rsidRPr="00FF37EB">
        <w:rPr>
          <w:rFonts w:cs="Arial"/>
          <w:szCs w:val="22"/>
          <w:lang w:eastAsia="en-US"/>
        </w:rPr>
        <w:t xml:space="preserve">eads/leaders, to ascertain their perceptions and </w:t>
      </w:r>
      <w:r w:rsidR="00F825B2">
        <w:rPr>
          <w:rFonts w:cs="Arial"/>
          <w:szCs w:val="22"/>
          <w:lang w:eastAsia="en-US"/>
        </w:rPr>
        <w:t>expereince</w:t>
      </w:r>
      <w:r w:rsidR="00FF37EB" w:rsidRPr="00FF37EB">
        <w:rPr>
          <w:rFonts w:cs="Arial"/>
          <w:szCs w:val="22"/>
          <w:lang w:eastAsia="en-US"/>
        </w:rPr>
        <w:t xml:space="preserve"> of the </w:t>
      </w:r>
      <w:r w:rsidR="00F825B2">
        <w:rPr>
          <w:rFonts w:cs="Arial"/>
          <w:szCs w:val="22"/>
          <w:lang w:eastAsia="en-US"/>
        </w:rPr>
        <w:t xml:space="preserve">teacher </w:t>
      </w:r>
      <w:r w:rsidR="00FF37EB" w:rsidRPr="00FF37EB">
        <w:rPr>
          <w:rFonts w:cs="Arial"/>
          <w:szCs w:val="22"/>
          <w:lang w:eastAsia="en-US"/>
        </w:rPr>
        <w:t xml:space="preserve">pay </w:t>
      </w:r>
      <w:r w:rsidR="00F825B2">
        <w:rPr>
          <w:rFonts w:cs="Arial"/>
          <w:szCs w:val="22"/>
          <w:lang w:eastAsia="en-US"/>
        </w:rPr>
        <w:t>framework</w:t>
      </w:r>
      <w:r w:rsidR="00FF37EB" w:rsidRPr="00FF37EB">
        <w:rPr>
          <w:rFonts w:cs="Arial"/>
          <w:szCs w:val="22"/>
          <w:lang w:eastAsia="en-US"/>
        </w:rPr>
        <w:t>.</w:t>
      </w:r>
    </w:p>
    <w:p w14:paraId="025E02C3" w14:textId="77777777" w:rsidR="00FF37EB" w:rsidRPr="00FF37EB" w:rsidRDefault="00FF37EB" w:rsidP="00FF37EB">
      <w:pPr>
        <w:spacing w:after="0" w:line="240" w:lineRule="auto"/>
        <w:rPr>
          <w:rFonts w:cs="Arial"/>
          <w:szCs w:val="22"/>
          <w:lang w:eastAsia="en-US"/>
        </w:rPr>
      </w:pPr>
    </w:p>
    <w:p w14:paraId="6B9C936E" w14:textId="77777777" w:rsidR="00FF37EB" w:rsidRPr="00FF37EB" w:rsidRDefault="00AC2ADA" w:rsidP="00FF37EB">
      <w:pPr>
        <w:numPr>
          <w:ilvl w:val="0"/>
          <w:numId w:val="10"/>
        </w:numPr>
        <w:spacing w:after="0" w:line="240" w:lineRule="auto"/>
        <w:rPr>
          <w:rFonts w:cs="Arial"/>
          <w:szCs w:val="22"/>
          <w:lang w:eastAsia="en-US"/>
        </w:rPr>
      </w:pPr>
      <w:r>
        <w:rPr>
          <w:rFonts w:cs="Arial"/>
          <w:szCs w:val="22"/>
          <w:lang w:eastAsia="en-US"/>
        </w:rPr>
        <w:t>E</w:t>
      </w:r>
      <w:r w:rsidR="00FF37EB" w:rsidRPr="00FF37EB">
        <w:rPr>
          <w:rFonts w:cs="Arial"/>
          <w:szCs w:val="22"/>
          <w:lang w:eastAsia="en-US"/>
        </w:rPr>
        <w:t xml:space="preserve">arly careers teachers, to understand their perceptions of the </w:t>
      </w:r>
      <w:r w:rsidR="002440D6">
        <w:rPr>
          <w:rFonts w:cs="Arial"/>
          <w:szCs w:val="22"/>
          <w:lang w:eastAsia="en-US"/>
        </w:rPr>
        <w:t xml:space="preserve">likely </w:t>
      </w:r>
      <w:r w:rsidR="00FF37EB" w:rsidRPr="00FF37EB">
        <w:rPr>
          <w:rFonts w:cs="Arial"/>
          <w:szCs w:val="22"/>
          <w:lang w:eastAsia="en-US"/>
        </w:rPr>
        <w:t xml:space="preserve">career progression and pay </w:t>
      </w:r>
      <w:r w:rsidR="00DF6970">
        <w:rPr>
          <w:rFonts w:cs="Arial"/>
          <w:szCs w:val="22"/>
          <w:lang w:eastAsia="en-US"/>
        </w:rPr>
        <w:t>ranges and allowances</w:t>
      </w:r>
      <w:r w:rsidR="00FF37EB" w:rsidRPr="00FF37EB">
        <w:rPr>
          <w:rFonts w:cs="Arial"/>
          <w:szCs w:val="22"/>
          <w:lang w:eastAsia="en-US"/>
        </w:rPr>
        <w:t xml:space="preserve"> available to them.</w:t>
      </w:r>
    </w:p>
    <w:p w14:paraId="70D0E3B0" w14:textId="77777777" w:rsidR="00FF37EB" w:rsidRPr="00FF37EB" w:rsidRDefault="00FF37EB" w:rsidP="00FF37EB">
      <w:pPr>
        <w:spacing w:after="0" w:line="240" w:lineRule="auto"/>
        <w:rPr>
          <w:rFonts w:cs="Arial"/>
          <w:szCs w:val="22"/>
          <w:lang w:eastAsia="en-US"/>
        </w:rPr>
      </w:pPr>
    </w:p>
    <w:p w14:paraId="18BBCA1B" w14:textId="77777777" w:rsidR="00FF37EB" w:rsidRPr="00FF37EB" w:rsidRDefault="00AC2ADA" w:rsidP="00FF37EB">
      <w:pPr>
        <w:numPr>
          <w:ilvl w:val="0"/>
          <w:numId w:val="10"/>
        </w:numPr>
        <w:spacing w:after="0" w:line="240" w:lineRule="auto"/>
        <w:rPr>
          <w:rFonts w:cs="Arial"/>
          <w:szCs w:val="22"/>
          <w:lang w:eastAsia="en-US"/>
        </w:rPr>
      </w:pPr>
      <w:r>
        <w:rPr>
          <w:rFonts w:cs="Arial"/>
          <w:szCs w:val="22"/>
          <w:lang w:eastAsia="en-US"/>
        </w:rPr>
        <w:t>T</w:t>
      </w:r>
      <w:r w:rsidR="00FF37EB" w:rsidRPr="00FF37EB">
        <w:rPr>
          <w:rFonts w:cs="Arial"/>
          <w:szCs w:val="22"/>
          <w:lang w:eastAsia="en-US"/>
        </w:rPr>
        <w:t>eachers on the cusp of the m</w:t>
      </w:r>
      <w:r w:rsidR="00DF6970">
        <w:rPr>
          <w:rFonts w:cs="Arial"/>
          <w:szCs w:val="22"/>
          <w:lang w:eastAsia="en-US"/>
        </w:rPr>
        <w:t>ain</w:t>
      </w:r>
      <w:r w:rsidR="00FF37EB" w:rsidRPr="00FF37EB">
        <w:rPr>
          <w:rFonts w:cs="Arial"/>
          <w:szCs w:val="22"/>
          <w:lang w:eastAsia="en-US"/>
        </w:rPr>
        <w:t>/upper pay range, to understand their perceptions/experiences of movement around the m</w:t>
      </w:r>
      <w:r w:rsidR="00DF6970">
        <w:rPr>
          <w:rFonts w:cs="Arial"/>
          <w:szCs w:val="22"/>
          <w:lang w:eastAsia="en-US"/>
        </w:rPr>
        <w:t>ain</w:t>
      </w:r>
      <w:r w:rsidR="00FF37EB" w:rsidRPr="00FF37EB">
        <w:rPr>
          <w:rFonts w:cs="Arial"/>
          <w:szCs w:val="22"/>
          <w:lang w:eastAsia="en-US"/>
        </w:rPr>
        <w:t xml:space="preserve">-upper pay range and </w:t>
      </w:r>
      <w:r w:rsidR="00DF6970">
        <w:rPr>
          <w:rFonts w:cs="Arial"/>
          <w:szCs w:val="22"/>
          <w:lang w:eastAsia="en-US"/>
        </w:rPr>
        <w:t>experience and perception</w:t>
      </w:r>
      <w:r w:rsidR="002440D6">
        <w:rPr>
          <w:rFonts w:cs="Arial"/>
          <w:szCs w:val="22"/>
          <w:lang w:eastAsia="en-US"/>
        </w:rPr>
        <w:t xml:space="preserve"> of </w:t>
      </w:r>
      <w:r w:rsidR="00FF37EB" w:rsidRPr="00FF37EB">
        <w:rPr>
          <w:rFonts w:cs="Arial"/>
          <w:szCs w:val="22"/>
          <w:lang w:eastAsia="en-US"/>
        </w:rPr>
        <w:t>TLRs.</w:t>
      </w:r>
    </w:p>
    <w:p w14:paraId="77452853" w14:textId="77777777" w:rsidR="00FF37EB" w:rsidRPr="00FF37EB" w:rsidRDefault="00FF37EB" w:rsidP="00FF37EB">
      <w:pPr>
        <w:spacing w:after="0" w:line="240" w:lineRule="auto"/>
        <w:rPr>
          <w:rFonts w:cs="Arial"/>
          <w:szCs w:val="22"/>
          <w:lang w:eastAsia="en-US"/>
        </w:rPr>
      </w:pPr>
    </w:p>
    <w:p w14:paraId="3328F309" w14:textId="77777777" w:rsidR="00FF37EB" w:rsidRPr="008E0468" w:rsidRDefault="00AC2ADA" w:rsidP="008E0468">
      <w:pPr>
        <w:pStyle w:val="ListParagraph"/>
        <w:numPr>
          <w:ilvl w:val="0"/>
          <w:numId w:val="10"/>
        </w:numPr>
        <w:spacing w:after="0" w:line="240" w:lineRule="auto"/>
        <w:rPr>
          <w:rFonts w:cs="Arial"/>
          <w:szCs w:val="22"/>
          <w:lang w:eastAsia="en-US"/>
        </w:rPr>
      </w:pPr>
      <w:r w:rsidRPr="008E0468">
        <w:rPr>
          <w:rFonts w:cs="Arial"/>
          <w:szCs w:val="22"/>
          <w:lang w:eastAsia="en-US"/>
        </w:rPr>
        <w:t>Focus groups with school gove</w:t>
      </w:r>
      <w:r w:rsidR="008E0468" w:rsidRPr="008E0468">
        <w:rPr>
          <w:rFonts w:cs="Arial"/>
          <w:szCs w:val="22"/>
          <w:lang w:eastAsia="en-US"/>
        </w:rPr>
        <w:t>r</w:t>
      </w:r>
      <w:r w:rsidRPr="008E0468">
        <w:rPr>
          <w:rFonts w:cs="Arial"/>
          <w:szCs w:val="22"/>
          <w:lang w:eastAsia="en-US"/>
        </w:rPr>
        <w:t>nors</w:t>
      </w:r>
      <w:r w:rsidR="00FF37EB" w:rsidRPr="008E0468">
        <w:rPr>
          <w:rFonts w:cs="Arial"/>
          <w:szCs w:val="22"/>
          <w:lang w:eastAsia="en-US"/>
        </w:rPr>
        <w:t xml:space="preserve"> </w:t>
      </w:r>
      <w:r w:rsidR="002440D6" w:rsidRPr="008E0468">
        <w:rPr>
          <w:rFonts w:cs="Arial"/>
          <w:szCs w:val="22"/>
          <w:lang w:eastAsia="en-US"/>
        </w:rPr>
        <w:t>to</w:t>
      </w:r>
      <w:r w:rsidR="008E0468">
        <w:rPr>
          <w:rFonts w:cs="Arial"/>
          <w:szCs w:val="22"/>
          <w:lang w:eastAsia="en-US"/>
        </w:rPr>
        <w:t xml:space="preserve"> </w:t>
      </w:r>
      <w:r w:rsidR="008E0468" w:rsidRPr="008E0468">
        <w:rPr>
          <w:rFonts w:cs="Arial"/>
          <w:szCs w:val="22"/>
          <w:lang w:eastAsia="en-US"/>
        </w:rPr>
        <w:t>understand their perceptions</w:t>
      </w:r>
      <w:r w:rsidR="008E0468">
        <w:rPr>
          <w:rFonts w:cs="Arial"/>
          <w:szCs w:val="22"/>
          <w:lang w:eastAsia="en-US"/>
        </w:rPr>
        <w:t>,</w:t>
      </w:r>
      <w:r w:rsidR="008E0468" w:rsidRPr="008E0468">
        <w:rPr>
          <w:rFonts w:cs="Arial"/>
          <w:szCs w:val="22"/>
          <w:lang w:eastAsia="en-US"/>
        </w:rPr>
        <w:t xml:space="preserve"> opin</w:t>
      </w:r>
      <w:r w:rsidR="008E0468">
        <w:rPr>
          <w:rFonts w:cs="Arial"/>
          <w:szCs w:val="22"/>
          <w:lang w:eastAsia="en-US"/>
        </w:rPr>
        <w:t>i</w:t>
      </w:r>
      <w:r w:rsidR="008E0468" w:rsidRPr="008E0468">
        <w:rPr>
          <w:rFonts w:cs="Arial"/>
          <w:szCs w:val="22"/>
          <w:lang w:eastAsia="en-US"/>
        </w:rPr>
        <w:t xml:space="preserve">ons </w:t>
      </w:r>
      <w:r w:rsidR="008E0468">
        <w:rPr>
          <w:rFonts w:cs="Arial"/>
          <w:szCs w:val="22"/>
          <w:lang w:eastAsia="en-US"/>
        </w:rPr>
        <w:t xml:space="preserve">and motivations towards the place of the teacher pay framework in </w:t>
      </w:r>
      <w:r w:rsidR="008E0468" w:rsidRPr="00FF37EB">
        <w:rPr>
          <w:rFonts w:cs="Arial"/>
          <w:szCs w:val="22"/>
          <w:lang w:eastAsia="en-US"/>
        </w:rPr>
        <w:t>recruitment, retention and career progression</w:t>
      </w:r>
      <w:r w:rsidR="008E0468">
        <w:rPr>
          <w:rFonts w:cs="Arial"/>
          <w:szCs w:val="22"/>
          <w:lang w:eastAsia="en-US"/>
        </w:rPr>
        <w:t>.</w:t>
      </w:r>
    </w:p>
    <w:p w14:paraId="450075EA" w14:textId="77777777" w:rsidR="00FF37EB" w:rsidRDefault="00FF37EB" w:rsidP="00FF37EB">
      <w:pPr>
        <w:spacing w:after="0" w:line="240" w:lineRule="auto"/>
        <w:rPr>
          <w:rFonts w:cs="Arial"/>
          <w:szCs w:val="22"/>
          <w:lang w:eastAsia="en-US"/>
        </w:rPr>
      </w:pPr>
    </w:p>
    <w:p w14:paraId="3DB85D16" w14:textId="77777777" w:rsidR="002C5CAE" w:rsidRPr="00AA5CCF" w:rsidRDefault="002C5CAE" w:rsidP="00FF37EB">
      <w:pPr>
        <w:spacing w:after="0" w:line="240" w:lineRule="auto"/>
        <w:rPr>
          <w:rFonts w:cs="Arial"/>
          <w:szCs w:val="22"/>
          <w:lang w:eastAsia="en-US"/>
        </w:rPr>
      </w:pPr>
    </w:p>
    <w:p w14:paraId="64D7EEFB" w14:textId="77777777" w:rsidR="00371919" w:rsidRPr="000753D5" w:rsidRDefault="00371919" w:rsidP="00371919">
      <w:r>
        <w:rPr>
          <w:rFonts w:cs="Arial"/>
          <w:szCs w:val="22"/>
          <w:lang w:eastAsia="en-US"/>
        </w:rPr>
        <w:t xml:space="preserve">The data </w:t>
      </w:r>
      <w:r w:rsidR="00AC2ADA">
        <w:rPr>
          <w:rFonts w:cs="Arial"/>
          <w:szCs w:val="22"/>
          <w:lang w:eastAsia="en-US"/>
        </w:rPr>
        <w:t>should</w:t>
      </w:r>
      <w:r>
        <w:rPr>
          <w:rFonts w:cs="Arial"/>
          <w:szCs w:val="22"/>
          <w:lang w:eastAsia="en-US"/>
        </w:rPr>
        <w:t xml:space="preserve"> be collected and analysed during the summer term and a final report will be provided to theepartment in August 2018. </w:t>
      </w:r>
    </w:p>
    <w:p w14:paraId="4AF7F2CB" w14:textId="77777777" w:rsidR="00FF37EB" w:rsidRDefault="00FF37EB" w:rsidP="00FF37EB">
      <w:pPr>
        <w:pStyle w:val="Heading2"/>
      </w:pPr>
      <w:r>
        <w:t>Timing</w:t>
      </w:r>
    </w:p>
    <w:tbl>
      <w:tblPr>
        <w:tblW w:w="9918" w:type="dxa"/>
        <w:tblLook w:val="04A0" w:firstRow="1" w:lastRow="0" w:firstColumn="1" w:lastColumn="0" w:noHBand="0" w:noVBand="1"/>
      </w:tblPr>
      <w:tblGrid>
        <w:gridCol w:w="7083"/>
        <w:gridCol w:w="2835"/>
      </w:tblGrid>
      <w:tr w:rsidR="00FF37EB" w:rsidRPr="00DF3737" w14:paraId="2017AC55" w14:textId="77777777" w:rsidTr="00442A7E">
        <w:trPr>
          <w:trHeight w:val="365"/>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52A26E5" w14:textId="77777777" w:rsidR="00FF37EB" w:rsidRPr="00DF3737" w:rsidRDefault="00FF37EB" w:rsidP="00442A7E">
            <w:pPr>
              <w:rPr>
                <w:rFonts w:ascii="Calibri" w:hAnsi="Calibri"/>
                <w:b/>
                <w:bCs/>
                <w:color w:val="000000"/>
                <w:sz w:val="24"/>
                <w:lang w:eastAsia="en-US"/>
              </w:rPr>
            </w:pPr>
            <w:r w:rsidRPr="00DF3737">
              <w:rPr>
                <w:rFonts w:ascii="Calibri" w:hAnsi="Calibri"/>
                <w:b/>
                <w:bCs/>
                <w:color w:val="000000"/>
                <w:sz w:val="24"/>
                <w:lang w:eastAsia="en-US"/>
              </w:rPr>
              <w:t>Commissioning Stages</w:t>
            </w:r>
          </w:p>
        </w:tc>
        <w:tc>
          <w:tcPr>
            <w:tcW w:w="2835" w:type="dxa"/>
            <w:tcBorders>
              <w:top w:val="single" w:sz="4" w:space="0" w:color="auto"/>
              <w:left w:val="nil"/>
              <w:bottom w:val="single" w:sz="4" w:space="0" w:color="auto"/>
              <w:right w:val="single" w:sz="4" w:space="0" w:color="auto"/>
            </w:tcBorders>
            <w:shd w:val="clear" w:color="auto" w:fill="auto"/>
            <w:hideMark/>
          </w:tcPr>
          <w:p w14:paraId="5D22EE2A" w14:textId="77777777" w:rsidR="00FF37EB" w:rsidRPr="00DF3737" w:rsidRDefault="00FF37EB" w:rsidP="00442A7E">
            <w:pPr>
              <w:spacing w:after="0" w:line="240" w:lineRule="auto"/>
              <w:rPr>
                <w:rFonts w:ascii="Calibri" w:hAnsi="Calibri"/>
                <w:b/>
                <w:bCs/>
                <w:color w:val="000000"/>
                <w:sz w:val="24"/>
                <w:lang w:eastAsia="en-US"/>
              </w:rPr>
            </w:pPr>
            <w:r w:rsidRPr="00DF3737">
              <w:rPr>
                <w:rFonts w:ascii="Calibri" w:hAnsi="Calibri"/>
                <w:b/>
                <w:bCs/>
                <w:color w:val="000000"/>
                <w:sz w:val="24"/>
                <w:lang w:eastAsia="en-US"/>
              </w:rPr>
              <w:t>Deadline</w:t>
            </w:r>
          </w:p>
        </w:tc>
      </w:tr>
      <w:tr w:rsidR="00FF37EB" w:rsidRPr="00DF3737" w14:paraId="5FF9D9B9" w14:textId="77777777" w:rsidTr="00FF37EB">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473B0202" w14:textId="77777777" w:rsidR="00FF37EB" w:rsidRPr="00DF3737" w:rsidRDefault="00FF37EB" w:rsidP="00442A7E">
            <w:pPr>
              <w:spacing w:after="0" w:line="240" w:lineRule="auto"/>
              <w:rPr>
                <w:rFonts w:ascii="Calibri" w:hAnsi="Calibri"/>
                <w:color w:val="000000"/>
                <w:sz w:val="24"/>
                <w:lang w:eastAsia="en-US"/>
              </w:rPr>
            </w:pPr>
            <w:r w:rsidRPr="00DF3737">
              <w:rPr>
                <w:rFonts w:ascii="Calibri" w:hAnsi="Calibri"/>
                <w:color w:val="000000"/>
                <w:sz w:val="24"/>
                <w:lang w:eastAsia="en-US"/>
              </w:rPr>
              <w:t>EOIs issued</w:t>
            </w:r>
          </w:p>
        </w:tc>
        <w:tc>
          <w:tcPr>
            <w:tcW w:w="2835" w:type="dxa"/>
            <w:tcBorders>
              <w:top w:val="nil"/>
              <w:left w:val="nil"/>
              <w:bottom w:val="single" w:sz="4" w:space="0" w:color="auto"/>
              <w:right w:val="single" w:sz="4" w:space="0" w:color="auto"/>
            </w:tcBorders>
            <w:shd w:val="clear" w:color="auto" w:fill="auto"/>
          </w:tcPr>
          <w:p w14:paraId="3DC8EB5B" w14:textId="77777777" w:rsidR="00FF37EB" w:rsidRPr="00DF3737" w:rsidRDefault="00FF37EB" w:rsidP="006C694F">
            <w:pPr>
              <w:spacing w:after="0" w:line="240" w:lineRule="auto"/>
              <w:rPr>
                <w:rFonts w:ascii="Calibri" w:hAnsi="Calibri"/>
                <w:color w:val="000000"/>
                <w:sz w:val="24"/>
                <w:lang w:eastAsia="en-US"/>
              </w:rPr>
            </w:pPr>
            <w:r>
              <w:rPr>
                <w:rFonts w:ascii="Calibri" w:hAnsi="Calibri"/>
                <w:color w:val="000000"/>
                <w:sz w:val="24"/>
                <w:lang w:eastAsia="en-US"/>
              </w:rPr>
              <w:t xml:space="preserve">March </w:t>
            </w:r>
            <w:r w:rsidR="006C694F">
              <w:rPr>
                <w:rFonts w:ascii="Calibri" w:hAnsi="Calibri"/>
                <w:color w:val="000000"/>
                <w:sz w:val="24"/>
                <w:lang w:eastAsia="en-US"/>
              </w:rPr>
              <w:t xml:space="preserve">1st </w:t>
            </w:r>
            <w:r>
              <w:rPr>
                <w:rFonts w:ascii="Calibri" w:hAnsi="Calibri"/>
                <w:color w:val="000000"/>
                <w:sz w:val="24"/>
                <w:lang w:eastAsia="en-US"/>
              </w:rPr>
              <w:t>2018</w:t>
            </w:r>
          </w:p>
        </w:tc>
      </w:tr>
      <w:tr w:rsidR="00FF37EB" w:rsidRPr="00DF3737" w14:paraId="10C72137" w14:textId="77777777" w:rsidTr="00FF37EB">
        <w:trPr>
          <w:trHeight w:val="300"/>
        </w:trPr>
        <w:tc>
          <w:tcPr>
            <w:tcW w:w="7083" w:type="dxa"/>
            <w:tcBorders>
              <w:top w:val="nil"/>
              <w:left w:val="single" w:sz="4" w:space="0" w:color="auto"/>
              <w:bottom w:val="single" w:sz="4" w:space="0" w:color="auto"/>
              <w:right w:val="single" w:sz="4" w:space="0" w:color="auto"/>
            </w:tcBorders>
            <w:shd w:val="clear" w:color="auto" w:fill="auto"/>
            <w:hideMark/>
          </w:tcPr>
          <w:p w14:paraId="0F227BFB" w14:textId="77777777" w:rsidR="00FF37EB" w:rsidRPr="00DF3737" w:rsidRDefault="00FF37EB" w:rsidP="00442A7E">
            <w:pPr>
              <w:spacing w:after="0" w:line="240" w:lineRule="auto"/>
              <w:rPr>
                <w:rFonts w:ascii="Calibri" w:hAnsi="Calibri"/>
                <w:color w:val="000000"/>
                <w:sz w:val="24"/>
                <w:lang w:eastAsia="en-US"/>
              </w:rPr>
            </w:pPr>
            <w:r w:rsidRPr="00DF3737">
              <w:rPr>
                <w:rFonts w:ascii="Calibri" w:hAnsi="Calibri"/>
                <w:color w:val="000000"/>
                <w:sz w:val="24"/>
                <w:lang w:eastAsia="en-US"/>
              </w:rPr>
              <w:t>EOIs due in</w:t>
            </w:r>
          </w:p>
        </w:tc>
        <w:tc>
          <w:tcPr>
            <w:tcW w:w="2835" w:type="dxa"/>
            <w:tcBorders>
              <w:top w:val="nil"/>
              <w:left w:val="nil"/>
              <w:bottom w:val="single" w:sz="4" w:space="0" w:color="auto"/>
              <w:right w:val="single" w:sz="4" w:space="0" w:color="auto"/>
            </w:tcBorders>
            <w:shd w:val="clear" w:color="auto" w:fill="auto"/>
          </w:tcPr>
          <w:p w14:paraId="38FB03A2" w14:textId="77777777" w:rsidR="00FF37EB" w:rsidRPr="00DF3737" w:rsidRDefault="008D6A6C" w:rsidP="006C694F">
            <w:pPr>
              <w:spacing w:after="0" w:line="240" w:lineRule="auto"/>
              <w:rPr>
                <w:rFonts w:ascii="Calibri" w:hAnsi="Calibri"/>
                <w:color w:val="000000"/>
                <w:sz w:val="24"/>
                <w:lang w:eastAsia="en-US"/>
              </w:rPr>
            </w:pPr>
            <w:r>
              <w:rPr>
                <w:rFonts w:ascii="Calibri" w:hAnsi="Calibri"/>
                <w:color w:val="000000"/>
                <w:sz w:val="24"/>
                <w:lang w:eastAsia="en-US"/>
              </w:rPr>
              <w:t xml:space="preserve">March </w:t>
            </w:r>
            <w:r w:rsidR="006C694F">
              <w:rPr>
                <w:rFonts w:ascii="Calibri" w:hAnsi="Calibri"/>
                <w:color w:val="000000"/>
                <w:sz w:val="24"/>
                <w:lang w:eastAsia="en-US"/>
              </w:rPr>
              <w:t>14</w:t>
            </w:r>
            <w:r w:rsidR="006C694F" w:rsidRPr="006E14A1">
              <w:rPr>
                <w:rFonts w:ascii="Calibri" w:hAnsi="Calibri"/>
                <w:color w:val="000000"/>
                <w:sz w:val="24"/>
                <w:vertAlign w:val="superscript"/>
                <w:lang w:eastAsia="en-US"/>
              </w:rPr>
              <w:t>th</w:t>
            </w:r>
            <w:r w:rsidR="006C694F">
              <w:rPr>
                <w:rFonts w:ascii="Calibri" w:hAnsi="Calibri"/>
                <w:color w:val="000000"/>
                <w:sz w:val="24"/>
                <w:lang w:eastAsia="en-US"/>
              </w:rPr>
              <w:t xml:space="preserve">  </w:t>
            </w:r>
            <w:r>
              <w:rPr>
                <w:rFonts w:ascii="Calibri" w:hAnsi="Calibri"/>
                <w:color w:val="000000"/>
                <w:sz w:val="24"/>
                <w:lang w:eastAsia="en-US"/>
              </w:rPr>
              <w:t>2018</w:t>
            </w:r>
          </w:p>
        </w:tc>
      </w:tr>
    </w:tbl>
    <w:p w14:paraId="4251F9C5" w14:textId="77777777" w:rsidR="00FF37EB" w:rsidRDefault="00FF37EB" w:rsidP="00FF37EB">
      <w:pPr>
        <w:pStyle w:val="Heading2"/>
      </w:pPr>
      <w:r w:rsidRPr="004A600B">
        <w:t>Assessment criteria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914"/>
      </w:tblGrid>
      <w:tr w:rsidR="006E14A1" w:rsidRPr="006E14A1" w14:paraId="23089D3B" w14:textId="77777777">
        <w:trPr>
          <w:trHeight w:val="550"/>
        </w:trPr>
        <w:tc>
          <w:tcPr>
            <w:tcW w:w="9914" w:type="dxa"/>
          </w:tcPr>
          <w:p w14:paraId="5DE7DCA5" w14:textId="77777777" w:rsidR="006E14A1" w:rsidRPr="006E14A1" w:rsidRDefault="00A672EB" w:rsidP="006460EA">
            <w:pPr>
              <w:rPr>
                <w:rFonts w:eastAsiaTheme="minorHAnsi" w:cs="Arial"/>
                <w:color w:val="000000"/>
                <w:szCs w:val="22"/>
                <w:lang w:eastAsia="en-US"/>
              </w:rPr>
            </w:pPr>
            <w:r>
              <w:rPr>
                <w:rFonts w:eastAsiaTheme="minorHAnsi" w:cs="Arial"/>
                <w:color w:val="000000"/>
                <w:szCs w:val="22"/>
                <w:lang w:eastAsia="en-US"/>
              </w:rPr>
              <w:t>The expression of interest</w:t>
            </w:r>
            <w:r w:rsidRPr="00A672EB">
              <w:rPr>
                <w:rFonts w:eastAsiaTheme="minorHAnsi" w:cs="Arial"/>
                <w:color w:val="000000"/>
                <w:szCs w:val="22"/>
                <w:lang w:eastAsia="en-US"/>
              </w:rPr>
              <w:t xml:space="preserve"> submission should not exceed a</w:t>
            </w:r>
            <w:r w:rsidRPr="006E14A1">
              <w:rPr>
                <w:rFonts w:eastAsiaTheme="minorHAnsi" w:cs="Arial"/>
                <w:color w:val="000000"/>
                <w:szCs w:val="22"/>
                <w:lang w:eastAsia="en-US"/>
              </w:rPr>
              <w:t xml:space="preserve"> maximum of 1000 words</w:t>
            </w:r>
            <w:r w:rsidRPr="00A672EB">
              <w:rPr>
                <w:rFonts w:eastAsiaTheme="minorHAnsi" w:cs="Arial"/>
                <w:color w:val="000000"/>
                <w:szCs w:val="22"/>
                <w:lang w:eastAsia="en-US"/>
              </w:rPr>
              <w:t>, including website links</w:t>
            </w:r>
          </w:p>
        </w:tc>
      </w:tr>
    </w:tbl>
    <w:p w14:paraId="1C849A81" w14:textId="77777777" w:rsidR="00FF37EB" w:rsidRDefault="00FF37EB" w:rsidP="00FF37EB">
      <w:r>
        <w:t>The expressions of interest for this evaluation project will be scored against the following criteria</w:t>
      </w:r>
      <w:r w:rsidR="006C694F">
        <w:t>; all are equally weighted</w:t>
      </w:r>
      <w:r>
        <w:t>:</w:t>
      </w:r>
    </w:p>
    <w:p w14:paraId="262817F0" w14:textId="77777777" w:rsidR="00FF37EB" w:rsidRDefault="00C02E60" w:rsidP="00FF37EB">
      <w:pPr>
        <w:pStyle w:val="ListParagraph"/>
        <w:numPr>
          <w:ilvl w:val="0"/>
          <w:numId w:val="6"/>
        </w:numPr>
      </w:pPr>
      <w:r>
        <w:t>A clear u</w:t>
      </w:r>
      <w:r w:rsidR="00FF37EB">
        <w:t>nderstanding of the Policy requirement</w:t>
      </w:r>
    </w:p>
    <w:p w14:paraId="6B2B1A31" w14:textId="77777777" w:rsidR="00FF37EB" w:rsidRDefault="00FF37EB" w:rsidP="00FF37EB">
      <w:pPr>
        <w:pStyle w:val="ListParagraph"/>
        <w:numPr>
          <w:ilvl w:val="0"/>
          <w:numId w:val="6"/>
        </w:numPr>
      </w:pPr>
      <w:r>
        <w:t xml:space="preserve">Evidence of design and delivery of </w:t>
      </w:r>
      <w:r w:rsidR="000753D5">
        <w:t xml:space="preserve">qualitative </w:t>
      </w:r>
      <w:r>
        <w:t>evaluation in education</w:t>
      </w:r>
      <w:r w:rsidR="000753D5">
        <w:t>.</w:t>
      </w:r>
    </w:p>
    <w:p w14:paraId="6F98B8FE" w14:textId="77777777" w:rsidR="00FF37EB" w:rsidRDefault="00FF37EB" w:rsidP="00FF37EB">
      <w:pPr>
        <w:pStyle w:val="ListParagraph"/>
        <w:numPr>
          <w:ilvl w:val="0"/>
          <w:numId w:val="6"/>
        </w:numPr>
      </w:pPr>
      <w:r>
        <w:t xml:space="preserve">Evidence of </w:t>
      </w:r>
      <w:r w:rsidR="006C694F">
        <w:t>successful engagement with teachers and schools</w:t>
      </w:r>
    </w:p>
    <w:p w14:paraId="50FDD764" w14:textId="77777777" w:rsidR="00FF37EB" w:rsidRDefault="00FF37EB" w:rsidP="00FF37EB">
      <w:pPr>
        <w:pStyle w:val="ListParagraph"/>
        <w:numPr>
          <w:ilvl w:val="0"/>
          <w:numId w:val="6"/>
        </w:numPr>
      </w:pPr>
      <w:r>
        <w:t>Evidence of capacity to deliver on time and to cost</w:t>
      </w:r>
    </w:p>
    <w:p w14:paraId="353CFF8E" w14:textId="77777777" w:rsidR="00FF37EB" w:rsidRDefault="00FF37EB" w:rsidP="00FF37EB">
      <w:pPr>
        <w:pStyle w:val="Default"/>
        <w:rPr>
          <w:color w:val="auto"/>
          <w:sz w:val="22"/>
          <w:szCs w:val="22"/>
        </w:rPr>
      </w:pPr>
      <w:r>
        <w:rPr>
          <w:color w:val="auto"/>
          <w:sz w:val="22"/>
          <w:szCs w:val="22"/>
        </w:rPr>
        <w:t>EOIs will be evaluated on these criteria using the scale below, with the full invitation to tender only being issued to those organisations deemed to meet the requirements best.</w:t>
      </w:r>
    </w:p>
    <w:p w14:paraId="0024B777" w14:textId="77777777" w:rsidR="00FF37EB" w:rsidRDefault="00FF37EB" w:rsidP="00FF37EB">
      <w:pPr>
        <w:pStyle w:val="Default"/>
        <w:rPr>
          <w:color w:val="auto"/>
          <w:sz w:val="22"/>
          <w:szCs w:val="22"/>
        </w:rPr>
      </w:pPr>
    </w:p>
    <w:p w14:paraId="1B9F11A5" w14:textId="77777777" w:rsidR="00FF37EB" w:rsidRDefault="00FF37EB" w:rsidP="00FF37EB">
      <w:pPr>
        <w:pStyle w:val="Default"/>
        <w:rPr>
          <w:color w:val="auto"/>
          <w:sz w:val="22"/>
          <w:szCs w:val="22"/>
        </w:rPr>
      </w:pPr>
      <w:r>
        <w:rPr>
          <w:color w:val="auto"/>
          <w:sz w:val="22"/>
          <w:szCs w:val="22"/>
        </w:rPr>
        <w:t>0 – Totally fails to meet the requirement</w:t>
      </w:r>
    </w:p>
    <w:p w14:paraId="4074B05F" w14:textId="77777777" w:rsidR="00FF37EB" w:rsidRDefault="00FF37EB" w:rsidP="00FF37EB">
      <w:pPr>
        <w:pStyle w:val="Default"/>
        <w:rPr>
          <w:color w:val="auto"/>
          <w:sz w:val="22"/>
          <w:szCs w:val="22"/>
        </w:rPr>
      </w:pPr>
      <w:r>
        <w:rPr>
          <w:color w:val="auto"/>
          <w:sz w:val="22"/>
          <w:szCs w:val="22"/>
        </w:rPr>
        <w:t>1 – Meets some of the requirement, with limited supporting information</w:t>
      </w:r>
    </w:p>
    <w:p w14:paraId="579F1509" w14:textId="77777777" w:rsidR="00FF37EB" w:rsidRDefault="00FF37EB" w:rsidP="00FF37EB">
      <w:pPr>
        <w:pStyle w:val="Default"/>
        <w:rPr>
          <w:color w:val="auto"/>
          <w:sz w:val="22"/>
          <w:szCs w:val="22"/>
        </w:rPr>
      </w:pPr>
      <w:r>
        <w:rPr>
          <w:color w:val="auto"/>
          <w:sz w:val="22"/>
          <w:szCs w:val="22"/>
        </w:rPr>
        <w:t>2 – Meets some of the requirement, with reasonable explanation</w:t>
      </w:r>
    </w:p>
    <w:p w14:paraId="0CF6E306" w14:textId="77777777" w:rsidR="00FF37EB" w:rsidRDefault="00FF37EB" w:rsidP="00FF37EB">
      <w:pPr>
        <w:pStyle w:val="Default"/>
        <w:rPr>
          <w:color w:val="auto"/>
          <w:sz w:val="22"/>
          <w:szCs w:val="22"/>
        </w:rPr>
      </w:pPr>
      <w:r>
        <w:rPr>
          <w:color w:val="auto"/>
          <w:sz w:val="22"/>
          <w:szCs w:val="22"/>
        </w:rPr>
        <w:t>3 – Fully meets the requirement, with detailed explanation/evidence in support</w:t>
      </w:r>
    </w:p>
    <w:p w14:paraId="76700E1B" w14:textId="77777777" w:rsidR="00FF37EB" w:rsidRDefault="00FF37EB" w:rsidP="00FF37EB">
      <w:pPr>
        <w:pStyle w:val="Default"/>
        <w:rPr>
          <w:color w:val="auto"/>
          <w:sz w:val="22"/>
          <w:szCs w:val="22"/>
        </w:rPr>
      </w:pPr>
      <w:r>
        <w:rPr>
          <w:color w:val="auto"/>
          <w:sz w:val="22"/>
          <w:szCs w:val="22"/>
        </w:rPr>
        <w:t>4 – Exceeds the requirement, with detailed explanation/evidence in support</w:t>
      </w:r>
    </w:p>
    <w:p w14:paraId="43DA131A" w14:textId="77777777" w:rsidR="006E14A1" w:rsidRPr="00915C18" w:rsidRDefault="006E14A1" w:rsidP="00FF37EB"/>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FF37EB" w14:paraId="3028E54F" w14:textId="77777777" w:rsidTr="00442A7E">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01B9880" w14:textId="77777777" w:rsidR="00FF37EB" w:rsidRDefault="00FF37EB" w:rsidP="00442A7E">
            <w:pPr>
              <w:spacing w:before="160"/>
              <w:rPr>
                <w:b/>
                <w:bCs/>
                <w:sz w:val="28"/>
                <w:szCs w:val="20"/>
              </w:rPr>
            </w:pPr>
            <w:r w:rsidRPr="00915C18">
              <w:rPr>
                <w:b/>
                <w:bCs/>
                <w:sz w:val="28"/>
                <w:szCs w:val="20"/>
              </w:rPr>
              <w:t>Closing date for EOIs:</w:t>
            </w:r>
            <w:r>
              <w:rPr>
                <w:b/>
                <w:bCs/>
                <w:sz w:val="28"/>
                <w:szCs w:val="20"/>
              </w:rPr>
              <w:t xml:space="preserve"> </w:t>
            </w:r>
            <w:r w:rsidR="00A672EB">
              <w:rPr>
                <w:b/>
                <w:bCs/>
                <w:sz w:val="28"/>
                <w:szCs w:val="20"/>
              </w:rPr>
              <w:t>5pm March 14</w:t>
            </w:r>
            <w:r w:rsidR="00A672EB" w:rsidRPr="00A672EB">
              <w:rPr>
                <w:b/>
                <w:bCs/>
                <w:sz w:val="28"/>
                <w:szCs w:val="20"/>
                <w:vertAlign w:val="superscript"/>
              </w:rPr>
              <w:t>th</w:t>
            </w:r>
            <w:r w:rsidR="00A672EB">
              <w:rPr>
                <w:b/>
                <w:bCs/>
                <w:sz w:val="28"/>
                <w:szCs w:val="20"/>
              </w:rPr>
              <w:t xml:space="preserve"> 2018</w:t>
            </w:r>
          </w:p>
          <w:p w14:paraId="5DB627FC" w14:textId="77777777" w:rsidR="00FF37EB" w:rsidRDefault="00FF37EB" w:rsidP="006C694F">
            <w:pPr>
              <w:rPr>
                <w:rFonts w:ascii="Calibri" w:hAnsi="Calibri"/>
              </w:rPr>
            </w:pPr>
            <w:r w:rsidRPr="00915C18">
              <w:rPr>
                <w:b/>
                <w:bCs/>
                <w:sz w:val="28"/>
                <w:szCs w:val="20"/>
              </w:rPr>
              <w:t>Send your EOI form to:</w:t>
            </w:r>
            <w:r>
              <w:rPr>
                <w:b/>
                <w:bCs/>
                <w:sz w:val="28"/>
                <w:szCs w:val="20"/>
              </w:rPr>
              <w:t xml:space="preserve"> </w:t>
            </w:r>
            <w:hyperlink r:id="rId12" w:history="1">
              <w:r w:rsidRPr="001959AC">
                <w:rPr>
                  <w:rStyle w:val="Hyperlink"/>
                  <w:b/>
                  <w:bCs/>
                  <w:sz w:val="28"/>
                  <w:szCs w:val="20"/>
                </w:rPr>
                <w:t>sue.porter@education.gov.uk</w:t>
              </w:r>
            </w:hyperlink>
            <w:r>
              <w:rPr>
                <w:b/>
                <w:bCs/>
                <w:sz w:val="28"/>
                <w:szCs w:val="20"/>
              </w:rPr>
              <w:t xml:space="preserve"> and </w:t>
            </w:r>
            <w:r w:rsidR="006C694F">
              <w:t xml:space="preserve"> </w:t>
            </w:r>
            <w:hyperlink r:id="rId13" w:history="1">
              <w:r w:rsidR="006E14A1" w:rsidRPr="00A43A72">
                <w:rPr>
                  <w:rStyle w:val="Hyperlink"/>
                  <w:b/>
                  <w:bCs/>
                  <w:sz w:val="28"/>
                  <w:szCs w:val="20"/>
                </w:rPr>
                <w:t>Jobshare.MACKENZIE-PEACHEY@education.gov.uk</w:t>
              </w:r>
            </w:hyperlink>
            <w:r w:rsidR="006E14A1">
              <w:rPr>
                <w:b/>
                <w:bCs/>
                <w:sz w:val="28"/>
                <w:szCs w:val="20"/>
              </w:rPr>
              <w:t xml:space="preserve"> </w:t>
            </w:r>
          </w:p>
        </w:tc>
      </w:tr>
    </w:tbl>
    <w:p w14:paraId="2BF1DDB8" w14:textId="77777777" w:rsidR="00FF37EB" w:rsidRDefault="00FF37EB" w:rsidP="00FF37EB">
      <w:pPr>
        <w:pStyle w:val="EndBox"/>
      </w:pPr>
    </w:p>
    <w:p w14:paraId="78D3A366" w14:textId="77777777" w:rsidR="00FF37EB" w:rsidRPr="003E05F9" w:rsidRDefault="00FF37EB" w:rsidP="00FF37EB">
      <w:pPr>
        <w:pStyle w:val="Heading2"/>
      </w:pPr>
      <w:r>
        <w:t>H</w:t>
      </w:r>
      <w:r w:rsidRPr="003E05F9">
        <w:t xml:space="preserve">ow to submit an </w:t>
      </w:r>
      <w:r w:rsidRPr="00094338">
        <w:t>e</w:t>
      </w:r>
      <w:r>
        <w:t>x</w:t>
      </w:r>
      <w:r w:rsidRPr="00094338">
        <w:t>pression of interest</w:t>
      </w:r>
    </w:p>
    <w:p w14:paraId="6A306BCD" w14:textId="77777777" w:rsidR="00FF37EB" w:rsidRDefault="00FF37EB" w:rsidP="00FF37EB">
      <w:r>
        <w:t xml:space="preserve">You must submit an expression of interest (EOI) in order to be considered to be invited to tender. To do so, please complete the Expression of Interest Research template found on the Department’s research website. A submission of an EOI does not guarantee an invitation to tender and the Department does not routinely advise organisations that they have not been successful in being invited to tender. Feedback is however available on request. </w:t>
      </w:r>
    </w:p>
    <w:p w14:paraId="5EA4791A" w14:textId="77777777" w:rsidR="00FF37EB" w:rsidRDefault="00FF37EB" w:rsidP="00FF37EB">
      <w:r>
        <w:t xml:space="preserve">In order to express an interest you must be registered with us and you will need your ID number. If you need to register then please do so using the online supplier registration form. If you have already registered and have forgotten your ID number, please send an email to </w:t>
      </w:r>
      <w:hyperlink r:id="rId14" w:history="1">
        <w:r w:rsidRPr="00DF7B06">
          <w:rPr>
            <w:rStyle w:val="Hyperlink"/>
          </w:rPr>
          <w:t>Enquiries.RBU@education.gov.uk</w:t>
        </w:r>
      </w:hyperlink>
    </w:p>
    <w:p w14:paraId="66C6CE48" w14:textId="77777777" w:rsidR="00FF37EB" w:rsidRDefault="00FF37EB" w:rsidP="00FF37EB">
      <w:r>
        <w:t xml:space="preserve">All contracts are let on the basis of the </w:t>
      </w:r>
      <w:hyperlink r:id="rId15"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73E49950" w14:textId="77777777" w:rsidR="00FF37EB" w:rsidRDefault="00FF37EB" w:rsidP="00FF37EB"/>
    <w:p w14:paraId="23DA8741" w14:textId="77777777" w:rsidR="00FF37EB" w:rsidRPr="00531385" w:rsidRDefault="00FF37EB" w:rsidP="00FF37EB">
      <w:r w:rsidRPr="00995398">
        <w:t>©</w:t>
      </w:r>
      <w:r w:rsidRPr="005D3B59">
        <w:t xml:space="preserve"> </w:t>
      </w:r>
      <w:r>
        <w:t>Crown copyright 2017</w:t>
      </w:r>
    </w:p>
    <w:p w14:paraId="11837F64" w14:textId="77777777" w:rsidR="00FD022F" w:rsidRDefault="00FD022F"/>
    <w:sectPr w:rsidR="00FD022F"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70448" w14:textId="77777777" w:rsidR="00550078" w:rsidRDefault="00550078">
      <w:pPr>
        <w:spacing w:after="0" w:line="240" w:lineRule="auto"/>
      </w:pPr>
      <w:r>
        <w:separator/>
      </w:r>
    </w:p>
  </w:endnote>
  <w:endnote w:type="continuationSeparator" w:id="0">
    <w:p w14:paraId="771878FA" w14:textId="77777777" w:rsidR="00550078" w:rsidRDefault="0055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125FE796" w14:textId="77777777" w:rsidR="00DF3737" w:rsidRDefault="006B5F5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A38E6">
          <w:rPr>
            <w:noProof/>
          </w:rPr>
          <w:t>3</w:t>
        </w:r>
        <w:r>
          <w:rPr>
            <w:noProof/>
          </w:rPr>
          <w:fldChar w:fldCharType="end"/>
        </w:r>
      </w:p>
    </w:sdtContent>
  </w:sdt>
  <w:p w14:paraId="04441C7F" w14:textId="77777777" w:rsidR="00DF3737" w:rsidRDefault="005A38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EC9B" w14:textId="77777777" w:rsidR="00DF3737" w:rsidRPr="006E6ADB" w:rsidRDefault="006B5F5D" w:rsidP="004A3626">
    <w:pPr>
      <w:tabs>
        <w:tab w:val="left" w:pos="7088"/>
      </w:tabs>
      <w:spacing w:before="240"/>
      <w:rPr>
        <w:szCs w:val="20"/>
      </w:rPr>
    </w:pPr>
    <w:r w:rsidRPr="006E6ADB">
      <w:rPr>
        <w:szCs w:val="20"/>
      </w:rPr>
      <w:tab/>
      <w:t xml:space="preserve">Published: </w:t>
    </w:r>
    <w:r>
      <w:rPr>
        <w:szCs w:val="20"/>
      </w:rPr>
      <w:t>July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3690C" w14:textId="77777777" w:rsidR="00550078" w:rsidRDefault="00550078">
      <w:pPr>
        <w:spacing w:after="0" w:line="240" w:lineRule="auto"/>
      </w:pPr>
      <w:r>
        <w:separator/>
      </w:r>
    </w:p>
  </w:footnote>
  <w:footnote w:type="continuationSeparator" w:id="0">
    <w:p w14:paraId="31B2A413" w14:textId="77777777" w:rsidR="00550078" w:rsidRDefault="00550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158"/>
    <w:multiLevelType w:val="hybridMultilevel"/>
    <w:tmpl w:val="FAF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7566"/>
    <w:multiLevelType w:val="hybridMultilevel"/>
    <w:tmpl w:val="5518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A6ECD"/>
    <w:multiLevelType w:val="hybridMultilevel"/>
    <w:tmpl w:val="688C5B04"/>
    <w:lvl w:ilvl="0" w:tplc="3468D992">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76509D0"/>
    <w:multiLevelType w:val="hybridMultilevel"/>
    <w:tmpl w:val="5F420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0609C"/>
    <w:multiLevelType w:val="hybridMultilevel"/>
    <w:tmpl w:val="8CFC0D52"/>
    <w:lvl w:ilvl="0" w:tplc="65503CD4">
      <w:start w:val="1"/>
      <w:numFmt w:val="decimal"/>
      <w:lvlText w:val="%1."/>
      <w:lvlJc w:val="left"/>
      <w:pPr>
        <w:ind w:left="360" w:hanging="360"/>
      </w:pPr>
      <w:rPr>
        <w:rFonts w:ascii="Arial" w:hAnsi="Arial" w:cs="Arial" w:hint="default"/>
        <w:b w:val="0"/>
        <w:color w:val="auto"/>
        <w:sz w:val="24"/>
        <w:szCs w:val="24"/>
      </w:rPr>
    </w:lvl>
    <w:lvl w:ilvl="1" w:tplc="920ECC0E">
      <w:start w:val="1"/>
      <w:numFmt w:val="lowerLetter"/>
      <w:lvlText w:val="%2."/>
      <w:lvlJc w:val="left"/>
      <w:pPr>
        <w:ind w:left="1352" w:hanging="360"/>
      </w:pPr>
      <w:rPr>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51F8B"/>
    <w:multiLevelType w:val="multilevel"/>
    <w:tmpl w:val="0276A5C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546AA"/>
    <w:multiLevelType w:val="hybridMultilevel"/>
    <w:tmpl w:val="8A7C2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B5E66"/>
    <w:multiLevelType w:val="hybridMultilevel"/>
    <w:tmpl w:val="5140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8B97FCF"/>
    <w:multiLevelType w:val="hybridMultilevel"/>
    <w:tmpl w:val="E872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67BF0"/>
    <w:multiLevelType w:val="hybridMultilevel"/>
    <w:tmpl w:val="A788B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7528D"/>
    <w:multiLevelType w:val="hybridMultilevel"/>
    <w:tmpl w:val="FB50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3661B"/>
    <w:multiLevelType w:val="hybridMultilevel"/>
    <w:tmpl w:val="E788D464"/>
    <w:lvl w:ilvl="0" w:tplc="22BAAEF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6C38AE"/>
    <w:multiLevelType w:val="hybridMultilevel"/>
    <w:tmpl w:val="4BEC2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3"/>
  </w:num>
  <w:num w:numId="5">
    <w:abstractNumId w:val="2"/>
  </w:num>
  <w:num w:numId="6">
    <w:abstractNumId w:val="1"/>
  </w:num>
  <w:num w:numId="7">
    <w:abstractNumId w:val="0"/>
  </w:num>
  <w:num w:numId="8">
    <w:abstractNumId w:val="9"/>
  </w:num>
  <w:num w:numId="9">
    <w:abstractNumId w:val="15"/>
  </w:num>
  <w:num w:numId="10">
    <w:abstractNumId w:val="4"/>
  </w:num>
  <w:num w:numId="11">
    <w:abstractNumId w:val="11"/>
  </w:num>
  <w:num w:numId="12">
    <w:abstractNumId w:val="6"/>
  </w:num>
  <w:num w:numId="13">
    <w:abstractNumId w:val="3"/>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EB"/>
    <w:rsid w:val="000753D5"/>
    <w:rsid w:val="000873C2"/>
    <w:rsid w:val="000A2025"/>
    <w:rsid w:val="00120C08"/>
    <w:rsid w:val="002440D6"/>
    <w:rsid w:val="002C5CAE"/>
    <w:rsid w:val="0032194D"/>
    <w:rsid w:val="00371919"/>
    <w:rsid w:val="00462E37"/>
    <w:rsid w:val="004D3A33"/>
    <w:rsid w:val="00550078"/>
    <w:rsid w:val="00564111"/>
    <w:rsid w:val="005A07F5"/>
    <w:rsid w:val="005A38E6"/>
    <w:rsid w:val="005B56E2"/>
    <w:rsid w:val="005C2547"/>
    <w:rsid w:val="00616A3A"/>
    <w:rsid w:val="006460EA"/>
    <w:rsid w:val="006B5F5D"/>
    <w:rsid w:val="006C694F"/>
    <w:rsid w:val="006E14A1"/>
    <w:rsid w:val="006F204C"/>
    <w:rsid w:val="00732F34"/>
    <w:rsid w:val="00853D2B"/>
    <w:rsid w:val="008D6A6C"/>
    <w:rsid w:val="008E0468"/>
    <w:rsid w:val="00A458DE"/>
    <w:rsid w:val="00A672EB"/>
    <w:rsid w:val="00A86306"/>
    <w:rsid w:val="00AC2ADA"/>
    <w:rsid w:val="00BF33E4"/>
    <w:rsid w:val="00C02E60"/>
    <w:rsid w:val="00D7610A"/>
    <w:rsid w:val="00DF6970"/>
    <w:rsid w:val="00E73FFF"/>
    <w:rsid w:val="00F04597"/>
    <w:rsid w:val="00F336FF"/>
    <w:rsid w:val="00F825B2"/>
    <w:rsid w:val="00FD022F"/>
    <w:rsid w:val="00FF3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35C3"/>
  <w15:chartTrackingRefBased/>
  <w15:docId w15:val="{2DCC3B75-B0C2-4B46-9260-99ED89A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FF37E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FF37EB"/>
    <w:pPr>
      <w:spacing w:before="360" w:after="240" w:line="240" w:lineRule="auto"/>
      <w:outlineLvl w:val="0"/>
    </w:pPr>
    <w:rPr>
      <w:b/>
      <w:color w:val="104F75"/>
      <w:sz w:val="36"/>
    </w:rPr>
  </w:style>
  <w:style w:type="paragraph" w:styleId="Heading2">
    <w:name w:val="heading 2"/>
    <w:basedOn w:val="Normal"/>
    <w:next w:val="Normal"/>
    <w:link w:val="Heading2Char"/>
    <w:qFormat/>
    <w:rsid w:val="00FF37EB"/>
    <w:pPr>
      <w:keepNext/>
      <w:spacing w:before="48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7E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FF37EB"/>
    <w:rPr>
      <w:rFonts w:ascii="Arial" w:eastAsia="Times New Roman" w:hAnsi="Arial" w:cs="Times New Roman"/>
      <w:b/>
      <w:color w:val="104F75"/>
      <w:sz w:val="32"/>
      <w:szCs w:val="32"/>
      <w:lang w:eastAsia="en-GB"/>
    </w:rPr>
  </w:style>
  <w:style w:type="character" w:styleId="Hyperlink">
    <w:name w:val="Hyperlink"/>
    <w:uiPriority w:val="99"/>
    <w:unhideWhenUsed/>
    <w:qFormat/>
    <w:rsid w:val="00FF37EB"/>
    <w:rPr>
      <w:rFonts w:ascii="Arial" w:hAnsi="Arial"/>
      <w:color w:val="0000FF"/>
      <w:sz w:val="24"/>
      <w:u w:val="single"/>
    </w:rPr>
  </w:style>
  <w:style w:type="paragraph" w:customStyle="1" w:styleId="EndBox">
    <w:name w:val="EndBox"/>
    <w:basedOn w:val="Normal"/>
    <w:qFormat/>
    <w:rsid w:val="00FF37EB"/>
    <w:rPr>
      <w:szCs w:val="20"/>
    </w:rPr>
  </w:style>
  <w:style w:type="paragraph" w:styleId="ListParagraph">
    <w:name w:val="List Paragraph"/>
    <w:basedOn w:val="Normal"/>
    <w:uiPriority w:val="34"/>
    <w:qFormat/>
    <w:rsid w:val="00FF37EB"/>
    <w:pPr>
      <w:numPr>
        <w:numId w:val="1"/>
      </w:numPr>
      <w:spacing w:after="240"/>
      <w:contextualSpacing/>
    </w:pPr>
  </w:style>
  <w:style w:type="paragraph" w:styleId="BodyText">
    <w:name w:val="Body Text"/>
    <w:basedOn w:val="Normal"/>
    <w:link w:val="BodyTextChar"/>
    <w:rsid w:val="00FF37EB"/>
    <w:pPr>
      <w:spacing w:after="120"/>
    </w:pPr>
  </w:style>
  <w:style w:type="character" w:customStyle="1" w:styleId="BodyTextChar">
    <w:name w:val="Body Text Char"/>
    <w:basedOn w:val="DefaultParagraphFont"/>
    <w:link w:val="BodyText"/>
    <w:rsid w:val="00FF37EB"/>
    <w:rPr>
      <w:rFonts w:ascii="Arial" w:eastAsia="Times New Roman" w:hAnsi="Arial" w:cs="Times New Roman"/>
      <w:szCs w:val="24"/>
      <w:lang w:eastAsia="en-GB"/>
    </w:rPr>
  </w:style>
  <w:style w:type="table" w:styleId="TableGrid">
    <w:name w:val="Table Grid"/>
    <w:basedOn w:val="TableNormal"/>
    <w:rsid w:val="00FF37E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FF37EB"/>
    <w:rPr>
      <w:noProof/>
      <w:color w:val="0D0D0D" w:themeColor="text1" w:themeTint="F2"/>
      <w:sz w:val="24"/>
      <w:szCs w:val="24"/>
    </w:rPr>
  </w:style>
  <w:style w:type="paragraph" w:customStyle="1" w:styleId="Logos">
    <w:name w:val="Logos"/>
    <w:basedOn w:val="Normal"/>
    <w:link w:val="LogosChar"/>
    <w:rsid w:val="00FF37E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FF37E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64111"/>
    <w:rPr>
      <w:sz w:val="16"/>
      <w:szCs w:val="16"/>
    </w:rPr>
  </w:style>
  <w:style w:type="paragraph" w:styleId="CommentText">
    <w:name w:val="annotation text"/>
    <w:basedOn w:val="Normal"/>
    <w:link w:val="CommentTextChar"/>
    <w:uiPriority w:val="99"/>
    <w:semiHidden/>
    <w:unhideWhenUsed/>
    <w:rsid w:val="00564111"/>
    <w:pPr>
      <w:spacing w:line="240" w:lineRule="auto"/>
    </w:pPr>
    <w:rPr>
      <w:sz w:val="20"/>
      <w:szCs w:val="20"/>
    </w:rPr>
  </w:style>
  <w:style w:type="character" w:customStyle="1" w:styleId="CommentTextChar">
    <w:name w:val="Comment Text Char"/>
    <w:basedOn w:val="DefaultParagraphFont"/>
    <w:link w:val="CommentText"/>
    <w:uiPriority w:val="99"/>
    <w:semiHidden/>
    <w:rsid w:val="0056411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64111"/>
    <w:rPr>
      <w:b/>
      <w:bCs/>
    </w:rPr>
  </w:style>
  <w:style w:type="character" w:customStyle="1" w:styleId="CommentSubjectChar">
    <w:name w:val="Comment Subject Char"/>
    <w:basedOn w:val="CommentTextChar"/>
    <w:link w:val="CommentSubject"/>
    <w:uiPriority w:val="99"/>
    <w:semiHidden/>
    <w:rsid w:val="00564111"/>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64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11"/>
    <w:rPr>
      <w:rFonts w:ascii="Segoe UI" w:eastAsia="Times New Roman" w:hAnsi="Segoe UI" w:cs="Segoe UI"/>
      <w:sz w:val="18"/>
      <w:szCs w:val="18"/>
      <w:lang w:eastAsia="en-GB"/>
    </w:rPr>
  </w:style>
  <w:style w:type="paragraph" w:customStyle="1" w:styleId="DfESOutNumbered">
    <w:name w:val="DfESOutNumbered"/>
    <w:basedOn w:val="Normal"/>
    <w:link w:val="DfESOutNumberedChar"/>
    <w:rsid w:val="002440D6"/>
    <w:pPr>
      <w:widowControl w:val="0"/>
      <w:numPr>
        <w:numId w:val="13"/>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2440D6"/>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2440D6"/>
    <w:pPr>
      <w:widowControl w:val="0"/>
      <w:numPr>
        <w:numId w:val="15"/>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2440D6"/>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hare.MACKENZIE-PEACHEY@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e.porter@education.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oi-gui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RBU@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development" ma:contentTypeID="0x01010061B827D2B2699C41B3D164C1E82366EB0B002364684258DDEE40937B04A1832E395A" ma:contentTypeVersion="20" ma:contentTypeDescription="For departmental policy documents. Records retained for 10 years." ma:contentTypeScope="" ma:versionID="524c789d9451d0ec9b4ae603a5b1f227">
  <xsd:schema xmlns:xsd="http://www.w3.org/2001/XMLSchema" xmlns:xs="http://www.w3.org/2001/XMLSchema" xmlns:p="http://schemas.microsoft.com/office/2006/metadata/properties" xmlns:ns2="ba2294b9-6d6a-4c9b-a125-9e4b98f52ed2" xmlns:ns3="527c0120-f9d0-4620-a765-47da0e84a464" xmlns:ns4="http://schemas.microsoft.com/sharepoint/v3/fields" targetNamespace="http://schemas.microsoft.com/office/2006/metadata/properties" ma:root="true" ma:fieldsID="c08e59540a03ed1eb87ab4c23866a5dc" ns2:_="" ns3:_="" ns4:_="">
    <xsd:import namespace="ba2294b9-6d6a-4c9b-a125-9e4b98f52ed2"/>
    <xsd:import namespace="527c0120-f9d0-4620-a765-47da0e84a464"/>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7c0120-f9d0-4620-a765-47da0e84a464"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832533b9-5e3f-487d-acd5-742b2596c7b0}" ma:internalName="TaxCatchAll" ma:showField="CatchAllData" ma:web="527c0120-f9d0-4620-a765-47da0e84a4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32533b9-5e3f-487d-acd5-742b2596c7b0}" ma:internalName="TaxCatchAllLabel" ma:readOnly="true" ma:showField="CatchAllDataLabel" ma:web="527c0120-f9d0-4620-a765-47da0e84a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ibutor xmlns="ba2294b9-6d6a-4c9b-a125-9e4b98f52ed2">
      <UserInfo>
        <DisplayName/>
        <AccountId xsi:nil="true"/>
        <AccountType/>
      </UserInfo>
    </Contributor>
    <TaxCatchAll xmlns="527c0120-f9d0-4620-a765-47da0e84a464"/>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Props1.xml><?xml version="1.0" encoding="utf-8"?>
<ds:datastoreItem xmlns:ds="http://schemas.openxmlformats.org/officeDocument/2006/customXml" ds:itemID="{7122B8FA-1974-4922-AFA8-83413E10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527c0120-f9d0-4620-a765-47da0e84a46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B5502-7D4D-4F9C-BB7E-FC943E9D785B}">
  <ds:schemaRefs>
    <ds:schemaRef ds:uri="http://schemas.microsoft.com/sharepoint/events"/>
  </ds:schemaRefs>
</ds:datastoreItem>
</file>

<file path=customXml/itemProps3.xml><?xml version="1.0" encoding="utf-8"?>
<ds:datastoreItem xmlns:ds="http://schemas.openxmlformats.org/officeDocument/2006/customXml" ds:itemID="{47F5A206-2FC1-44EC-BF25-11CB3CCDFF20}">
  <ds:schemaRefs>
    <ds:schemaRef ds:uri="http://schemas.microsoft.com/sharepoint/v3/contenttype/forms"/>
  </ds:schemaRefs>
</ds:datastoreItem>
</file>

<file path=customXml/itemProps4.xml><?xml version="1.0" encoding="utf-8"?>
<ds:datastoreItem xmlns:ds="http://schemas.openxmlformats.org/officeDocument/2006/customXml" ds:itemID="{495EDA23-3C00-4EE6-8441-A8BB8C6C714F}">
  <ds:schemaRefs>
    <ds:schemaRef ds:uri="http://purl.org/dc/terms/"/>
    <ds:schemaRef ds:uri="527c0120-f9d0-4620-a765-47da0e84a464"/>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teacher pay scales review  eoi feb 2018</vt:lpstr>
    </vt:vector>
  </TitlesOfParts>
  <Company>DfE</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pay scales review  eoi feb 2018</dc:title>
  <dc:subject/>
  <dc:creator>PORTER, Sue</dc:creator>
  <cp:keywords/>
  <dc:description/>
  <cp:lastModifiedBy>HARDY, Louise</cp:lastModifiedBy>
  <cp:revision>2</cp:revision>
  <dcterms:created xsi:type="dcterms:W3CDTF">2018-03-02T11:04:00Z</dcterms:created>
  <dcterms:modified xsi:type="dcterms:W3CDTF">2018-03-02T11:04:00Z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0x01010061B827D2B2699C41B3D164C1E82366EB0B002364684258DDEE40937B04A1832E395A</vt:lpwstr>
  </property>
</Properties>
</file>