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HAnsi" w:hAnsiTheme="minorHAnsi" w:cstheme="minorBidi"/>
          <w:b/>
          <w:bCs/>
          <w:color w:val="auto"/>
          <w:sz w:val="22"/>
          <w:szCs w:val="22"/>
          <w:lang w:val="en-GB"/>
        </w:rPr>
        <w:id w:val="788707294"/>
        <w:docPartObj>
          <w:docPartGallery w:val="Table of Contents"/>
          <w:docPartUnique/>
        </w:docPartObj>
      </w:sdtPr>
      <w:sdtEndPr>
        <w:rPr>
          <w:noProof/>
        </w:rPr>
      </w:sdtEndPr>
      <w:sdtContent>
        <w:p w14:paraId="145E0629" w14:textId="5C17C8DB" w:rsidR="00B003F0" w:rsidRPr="00F85F7B" w:rsidRDefault="0022399F" w:rsidP="007C0620">
          <w:pPr>
            <w:pStyle w:val="TOCHeading"/>
            <w:numPr>
              <w:ilvl w:val="0"/>
              <w:numId w:val="0"/>
            </w:numPr>
            <w:ind w:left="360"/>
            <w:rPr>
              <w:b/>
              <w:bCs/>
              <w:color w:val="auto"/>
            </w:rPr>
          </w:pPr>
          <w:r w:rsidRPr="5F9CAF48">
            <w:rPr>
              <w:b/>
              <w:bCs/>
              <w:color w:val="auto"/>
            </w:rPr>
            <w:t xml:space="preserve">Table of </w:t>
          </w:r>
          <w:r w:rsidR="00B003F0" w:rsidRPr="5F9CAF48">
            <w:rPr>
              <w:b/>
              <w:bCs/>
              <w:color w:val="auto"/>
            </w:rPr>
            <w:t>Contents</w:t>
          </w:r>
        </w:p>
        <w:p w14:paraId="08569168" w14:textId="6E08BDE9" w:rsidR="00FB254E" w:rsidRDefault="00F075A6" w:rsidP="00FB254E">
          <w:pPr>
            <w:pStyle w:val="TOC1"/>
            <w:rPr>
              <w:rFonts w:eastAsiaTheme="minorEastAsia"/>
              <w:noProof/>
              <w:kern w:val="2"/>
              <w:lang w:eastAsia="en-GB"/>
              <w14:ligatures w14:val="standardContextual"/>
            </w:rPr>
          </w:pPr>
          <w:r>
            <w:fldChar w:fldCharType="begin"/>
          </w:r>
          <w:r>
            <w:instrText xml:space="preserve"> TOC \o "1-1" \h \z \u </w:instrText>
          </w:r>
          <w:r>
            <w:fldChar w:fldCharType="separate"/>
          </w:r>
          <w:hyperlink w:anchor="_Toc153342464" w:history="1">
            <w:r w:rsidR="00FB254E" w:rsidRPr="0056064F">
              <w:rPr>
                <w:rStyle w:val="Hyperlink"/>
                <w:noProof/>
              </w:rPr>
              <w:t>1.</w:t>
            </w:r>
            <w:r w:rsidR="00FB254E">
              <w:rPr>
                <w:rFonts w:eastAsiaTheme="minorEastAsia"/>
                <w:noProof/>
                <w:kern w:val="2"/>
                <w:lang w:eastAsia="en-GB"/>
                <w14:ligatures w14:val="standardContextual"/>
              </w:rPr>
              <w:tab/>
            </w:r>
            <w:r w:rsidR="00FB254E" w:rsidRPr="0056064F">
              <w:rPr>
                <w:rStyle w:val="Hyperlink"/>
                <w:noProof/>
              </w:rPr>
              <w:t>Glossary</w:t>
            </w:r>
            <w:r w:rsidR="00FB254E">
              <w:rPr>
                <w:noProof/>
                <w:webHidden/>
              </w:rPr>
              <w:tab/>
            </w:r>
            <w:r w:rsidR="00FB254E">
              <w:rPr>
                <w:noProof/>
                <w:webHidden/>
              </w:rPr>
              <w:fldChar w:fldCharType="begin"/>
            </w:r>
            <w:r w:rsidR="00FB254E">
              <w:rPr>
                <w:noProof/>
                <w:webHidden/>
              </w:rPr>
              <w:instrText xml:space="preserve"> PAGEREF _Toc153342464 \h </w:instrText>
            </w:r>
            <w:r w:rsidR="00FB254E">
              <w:rPr>
                <w:noProof/>
                <w:webHidden/>
              </w:rPr>
            </w:r>
            <w:r w:rsidR="00FB254E">
              <w:rPr>
                <w:noProof/>
                <w:webHidden/>
              </w:rPr>
              <w:fldChar w:fldCharType="separate"/>
            </w:r>
            <w:r w:rsidR="003F221C">
              <w:rPr>
                <w:noProof/>
                <w:webHidden/>
              </w:rPr>
              <w:t>2</w:t>
            </w:r>
            <w:r w:rsidR="00FB254E">
              <w:rPr>
                <w:noProof/>
                <w:webHidden/>
              </w:rPr>
              <w:fldChar w:fldCharType="end"/>
            </w:r>
          </w:hyperlink>
        </w:p>
        <w:p w14:paraId="7C15064A" w14:textId="6FC5CAE5" w:rsidR="00FB254E" w:rsidRDefault="00FB254E" w:rsidP="00FB254E">
          <w:pPr>
            <w:pStyle w:val="TOC1"/>
            <w:rPr>
              <w:rFonts w:eastAsiaTheme="minorEastAsia"/>
              <w:noProof/>
              <w:kern w:val="2"/>
              <w:lang w:eastAsia="en-GB"/>
              <w14:ligatures w14:val="standardContextual"/>
            </w:rPr>
          </w:pPr>
          <w:hyperlink w:anchor="_Toc153342465" w:history="1">
            <w:r w:rsidRPr="0056064F">
              <w:rPr>
                <w:rStyle w:val="Hyperlink"/>
                <w:rFonts w:eastAsia="Calibri"/>
                <w:noProof/>
              </w:rPr>
              <w:t>2.</w:t>
            </w:r>
            <w:r>
              <w:rPr>
                <w:rFonts w:eastAsiaTheme="minorEastAsia"/>
                <w:noProof/>
                <w:kern w:val="2"/>
                <w:lang w:eastAsia="en-GB"/>
                <w14:ligatures w14:val="standardContextual"/>
              </w:rPr>
              <w:tab/>
            </w:r>
            <w:r w:rsidRPr="0056064F">
              <w:rPr>
                <w:rStyle w:val="Hyperlink"/>
                <w:noProof/>
              </w:rPr>
              <w:t>Background</w:t>
            </w:r>
            <w:r>
              <w:rPr>
                <w:noProof/>
                <w:webHidden/>
              </w:rPr>
              <w:tab/>
            </w:r>
            <w:r>
              <w:rPr>
                <w:noProof/>
                <w:webHidden/>
              </w:rPr>
              <w:fldChar w:fldCharType="begin"/>
            </w:r>
            <w:r>
              <w:rPr>
                <w:noProof/>
                <w:webHidden/>
              </w:rPr>
              <w:instrText xml:space="preserve"> PAGEREF _Toc153342465 \h </w:instrText>
            </w:r>
            <w:r>
              <w:rPr>
                <w:noProof/>
                <w:webHidden/>
              </w:rPr>
            </w:r>
            <w:r>
              <w:rPr>
                <w:noProof/>
                <w:webHidden/>
              </w:rPr>
              <w:fldChar w:fldCharType="separate"/>
            </w:r>
            <w:r w:rsidR="003F221C">
              <w:rPr>
                <w:noProof/>
                <w:webHidden/>
              </w:rPr>
              <w:t>4</w:t>
            </w:r>
            <w:r>
              <w:rPr>
                <w:noProof/>
                <w:webHidden/>
              </w:rPr>
              <w:fldChar w:fldCharType="end"/>
            </w:r>
          </w:hyperlink>
        </w:p>
        <w:p w14:paraId="4D9F37F9" w14:textId="7DFCAFD0" w:rsidR="00FB254E" w:rsidRDefault="00FB254E" w:rsidP="00FB254E">
          <w:pPr>
            <w:pStyle w:val="TOC1"/>
            <w:rPr>
              <w:rFonts w:eastAsiaTheme="minorEastAsia"/>
              <w:noProof/>
              <w:kern w:val="2"/>
              <w:lang w:eastAsia="en-GB"/>
              <w14:ligatures w14:val="standardContextual"/>
            </w:rPr>
          </w:pPr>
          <w:hyperlink w:anchor="_Toc153342466" w:history="1">
            <w:r w:rsidRPr="0056064F">
              <w:rPr>
                <w:rStyle w:val="Hyperlink"/>
                <w:noProof/>
              </w:rPr>
              <w:t>3.</w:t>
            </w:r>
            <w:r>
              <w:rPr>
                <w:rFonts w:eastAsiaTheme="minorEastAsia"/>
                <w:noProof/>
                <w:kern w:val="2"/>
                <w:lang w:eastAsia="en-GB"/>
                <w14:ligatures w14:val="standardContextual"/>
              </w:rPr>
              <w:tab/>
            </w:r>
            <w:r w:rsidRPr="0056064F">
              <w:rPr>
                <w:rStyle w:val="Hyperlink"/>
                <w:noProof/>
              </w:rPr>
              <w:t>Contract Objectives</w:t>
            </w:r>
            <w:r>
              <w:rPr>
                <w:noProof/>
                <w:webHidden/>
              </w:rPr>
              <w:tab/>
            </w:r>
            <w:r>
              <w:rPr>
                <w:noProof/>
                <w:webHidden/>
              </w:rPr>
              <w:fldChar w:fldCharType="begin"/>
            </w:r>
            <w:r>
              <w:rPr>
                <w:noProof/>
                <w:webHidden/>
              </w:rPr>
              <w:instrText xml:space="preserve"> PAGEREF _Toc153342466 \h </w:instrText>
            </w:r>
            <w:r>
              <w:rPr>
                <w:noProof/>
                <w:webHidden/>
              </w:rPr>
            </w:r>
            <w:r>
              <w:rPr>
                <w:noProof/>
                <w:webHidden/>
              </w:rPr>
              <w:fldChar w:fldCharType="separate"/>
            </w:r>
            <w:r w:rsidR="003F221C">
              <w:rPr>
                <w:noProof/>
                <w:webHidden/>
              </w:rPr>
              <w:t>7</w:t>
            </w:r>
            <w:r>
              <w:rPr>
                <w:noProof/>
                <w:webHidden/>
              </w:rPr>
              <w:fldChar w:fldCharType="end"/>
            </w:r>
          </w:hyperlink>
        </w:p>
        <w:p w14:paraId="7033254B" w14:textId="136F48AC" w:rsidR="00FB254E" w:rsidRDefault="00FB254E" w:rsidP="00FB254E">
          <w:pPr>
            <w:pStyle w:val="TOC1"/>
            <w:rPr>
              <w:rFonts w:eastAsiaTheme="minorEastAsia"/>
              <w:noProof/>
              <w:kern w:val="2"/>
              <w:lang w:eastAsia="en-GB"/>
              <w14:ligatures w14:val="standardContextual"/>
            </w:rPr>
          </w:pPr>
          <w:hyperlink w:anchor="_Toc153342467" w:history="1">
            <w:r w:rsidRPr="0056064F">
              <w:rPr>
                <w:rStyle w:val="Hyperlink"/>
                <w:noProof/>
              </w:rPr>
              <w:t>4.</w:t>
            </w:r>
            <w:r>
              <w:rPr>
                <w:rFonts w:eastAsiaTheme="minorEastAsia"/>
                <w:noProof/>
                <w:kern w:val="2"/>
                <w:lang w:eastAsia="en-GB"/>
                <w14:ligatures w14:val="standardContextual"/>
              </w:rPr>
              <w:tab/>
            </w:r>
            <w:r w:rsidRPr="0056064F">
              <w:rPr>
                <w:rStyle w:val="Hyperlink"/>
                <w:noProof/>
              </w:rPr>
              <w:t>Contract Structure, Contract Lifespan and Deliverables</w:t>
            </w:r>
            <w:r>
              <w:rPr>
                <w:noProof/>
                <w:webHidden/>
              </w:rPr>
              <w:tab/>
            </w:r>
            <w:r>
              <w:rPr>
                <w:noProof/>
                <w:webHidden/>
              </w:rPr>
              <w:fldChar w:fldCharType="begin"/>
            </w:r>
            <w:r>
              <w:rPr>
                <w:noProof/>
                <w:webHidden/>
              </w:rPr>
              <w:instrText xml:space="preserve"> PAGEREF _Toc153342467 \h </w:instrText>
            </w:r>
            <w:r>
              <w:rPr>
                <w:noProof/>
                <w:webHidden/>
              </w:rPr>
            </w:r>
            <w:r>
              <w:rPr>
                <w:noProof/>
                <w:webHidden/>
              </w:rPr>
              <w:fldChar w:fldCharType="separate"/>
            </w:r>
            <w:r w:rsidR="003F221C">
              <w:rPr>
                <w:noProof/>
                <w:webHidden/>
              </w:rPr>
              <w:t>8</w:t>
            </w:r>
            <w:r>
              <w:rPr>
                <w:noProof/>
                <w:webHidden/>
              </w:rPr>
              <w:fldChar w:fldCharType="end"/>
            </w:r>
          </w:hyperlink>
        </w:p>
        <w:p w14:paraId="752AA647" w14:textId="531EAFB7" w:rsidR="00FB254E" w:rsidRDefault="00FB254E" w:rsidP="00FB254E">
          <w:pPr>
            <w:pStyle w:val="TOC1"/>
            <w:rPr>
              <w:rFonts w:eastAsiaTheme="minorEastAsia"/>
              <w:noProof/>
              <w:kern w:val="2"/>
              <w:lang w:eastAsia="en-GB"/>
              <w14:ligatures w14:val="standardContextual"/>
            </w:rPr>
          </w:pPr>
          <w:hyperlink w:anchor="_Toc153342468" w:history="1">
            <w:r w:rsidRPr="0056064F">
              <w:rPr>
                <w:rStyle w:val="Hyperlink"/>
                <w:noProof/>
              </w:rPr>
              <w:t>5.</w:t>
            </w:r>
            <w:r>
              <w:rPr>
                <w:rFonts w:eastAsiaTheme="minorEastAsia"/>
                <w:noProof/>
                <w:kern w:val="2"/>
                <w:lang w:eastAsia="en-GB"/>
                <w14:ligatures w14:val="standardContextual"/>
              </w:rPr>
              <w:tab/>
            </w:r>
            <w:r w:rsidRPr="0056064F">
              <w:rPr>
                <w:rStyle w:val="Hyperlink"/>
                <w:noProof/>
              </w:rPr>
              <w:t>Performance Management Framework</w:t>
            </w:r>
            <w:r>
              <w:rPr>
                <w:noProof/>
                <w:webHidden/>
              </w:rPr>
              <w:tab/>
            </w:r>
            <w:r>
              <w:rPr>
                <w:noProof/>
                <w:webHidden/>
              </w:rPr>
              <w:fldChar w:fldCharType="begin"/>
            </w:r>
            <w:r>
              <w:rPr>
                <w:noProof/>
                <w:webHidden/>
              </w:rPr>
              <w:instrText xml:space="preserve"> PAGEREF _Toc153342468 \h </w:instrText>
            </w:r>
            <w:r>
              <w:rPr>
                <w:noProof/>
                <w:webHidden/>
              </w:rPr>
            </w:r>
            <w:r>
              <w:rPr>
                <w:noProof/>
                <w:webHidden/>
              </w:rPr>
              <w:fldChar w:fldCharType="separate"/>
            </w:r>
            <w:r w:rsidR="003F221C">
              <w:rPr>
                <w:noProof/>
                <w:webHidden/>
              </w:rPr>
              <w:t>10</w:t>
            </w:r>
            <w:r>
              <w:rPr>
                <w:noProof/>
                <w:webHidden/>
              </w:rPr>
              <w:fldChar w:fldCharType="end"/>
            </w:r>
          </w:hyperlink>
        </w:p>
        <w:p w14:paraId="0039F1B3" w14:textId="711231CF" w:rsidR="00FB254E" w:rsidRDefault="00FB254E" w:rsidP="00FB254E">
          <w:pPr>
            <w:pStyle w:val="TOC1"/>
            <w:rPr>
              <w:rFonts w:eastAsiaTheme="minorEastAsia"/>
              <w:noProof/>
              <w:kern w:val="2"/>
              <w:lang w:eastAsia="en-GB"/>
              <w14:ligatures w14:val="standardContextual"/>
            </w:rPr>
          </w:pPr>
          <w:hyperlink w:anchor="_Toc153342469" w:history="1">
            <w:r w:rsidRPr="0056064F">
              <w:rPr>
                <w:rStyle w:val="Hyperlink"/>
                <w:noProof/>
              </w:rPr>
              <w:t>6.</w:t>
            </w:r>
            <w:r>
              <w:rPr>
                <w:rFonts w:eastAsiaTheme="minorEastAsia"/>
                <w:noProof/>
                <w:kern w:val="2"/>
                <w:lang w:eastAsia="en-GB"/>
                <w14:ligatures w14:val="standardContextual"/>
              </w:rPr>
              <w:tab/>
            </w:r>
            <w:r w:rsidRPr="0056064F">
              <w:rPr>
                <w:rStyle w:val="Hyperlink"/>
                <w:noProof/>
              </w:rPr>
              <w:t>Technical requirements of housings</w:t>
            </w:r>
            <w:r>
              <w:rPr>
                <w:noProof/>
                <w:webHidden/>
              </w:rPr>
              <w:tab/>
            </w:r>
            <w:r>
              <w:rPr>
                <w:noProof/>
                <w:webHidden/>
              </w:rPr>
              <w:fldChar w:fldCharType="begin"/>
            </w:r>
            <w:r>
              <w:rPr>
                <w:noProof/>
                <w:webHidden/>
              </w:rPr>
              <w:instrText xml:space="preserve"> PAGEREF _Toc153342469 \h </w:instrText>
            </w:r>
            <w:r>
              <w:rPr>
                <w:noProof/>
                <w:webHidden/>
              </w:rPr>
            </w:r>
            <w:r>
              <w:rPr>
                <w:noProof/>
                <w:webHidden/>
              </w:rPr>
              <w:fldChar w:fldCharType="separate"/>
            </w:r>
            <w:r w:rsidR="003F221C">
              <w:rPr>
                <w:noProof/>
                <w:webHidden/>
              </w:rPr>
              <w:t>14</w:t>
            </w:r>
            <w:r>
              <w:rPr>
                <w:noProof/>
                <w:webHidden/>
              </w:rPr>
              <w:fldChar w:fldCharType="end"/>
            </w:r>
          </w:hyperlink>
        </w:p>
        <w:p w14:paraId="49FA15E7" w14:textId="4498CA68" w:rsidR="00FB254E" w:rsidRDefault="00FB254E" w:rsidP="00FB254E">
          <w:pPr>
            <w:pStyle w:val="TOC1"/>
            <w:rPr>
              <w:rFonts w:eastAsiaTheme="minorEastAsia"/>
              <w:noProof/>
              <w:kern w:val="2"/>
              <w:lang w:eastAsia="en-GB"/>
              <w14:ligatures w14:val="standardContextual"/>
            </w:rPr>
          </w:pPr>
          <w:hyperlink w:anchor="_Toc153342470" w:history="1">
            <w:r w:rsidRPr="0056064F">
              <w:rPr>
                <w:rStyle w:val="Hyperlink"/>
                <w:noProof/>
              </w:rPr>
              <w:t>7.</w:t>
            </w:r>
            <w:r>
              <w:rPr>
                <w:rFonts w:eastAsiaTheme="minorEastAsia"/>
                <w:noProof/>
                <w:kern w:val="2"/>
                <w:lang w:eastAsia="en-GB"/>
                <w14:ligatures w14:val="standardContextual"/>
              </w:rPr>
              <w:tab/>
            </w:r>
            <w:r w:rsidRPr="0056064F">
              <w:rPr>
                <w:rStyle w:val="Hyperlink"/>
                <w:noProof/>
              </w:rPr>
              <w:t>Supply, Delivery and Installation</w:t>
            </w:r>
            <w:r>
              <w:rPr>
                <w:noProof/>
                <w:webHidden/>
              </w:rPr>
              <w:tab/>
            </w:r>
            <w:r>
              <w:rPr>
                <w:noProof/>
                <w:webHidden/>
              </w:rPr>
              <w:fldChar w:fldCharType="begin"/>
            </w:r>
            <w:r>
              <w:rPr>
                <w:noProof/>
                <w:webHidden/>
              </w:rPr>
              <w:instrText xml:space="preserve"> PAGEREF _Toc153342470 \h </w:instrText>
            </w:r>
            <w:r>
              <w:rPr>
                <w:noProof/>
                <w:webHidden/>
              </w:rPr>
            </w:r>
            <w:r>
              <w:rPr>
                <w:noProof/>
                <w:webHidden/>
              </w:rPr>
              <w:fldChar w:fldCharType="separate"/>
            </w:r>
            <w:r w:rsidR="003F221C">
              <w:rPr>
                <w:noProof/>
                <w:webHidden/>
              </w:rPr>
              <w:t>20</w:t>
            </w:r>
            <w:r>
              <w:rPr>
                <w:noProof/>
                <w:webHidden/>
              </w:rPr>
              <w:fldChar w:fldCharType="end"/>
            </w:r>
          </w:hyperlink>
        </w:p>
        <w:p w14:paraId="1A270967" w14:textId="0D6D2288" w:rsidR="00FB254E" w:rsidRDefault="00FB254E" w:rsidP="00FB254E">
          <w:pPr>
            <w:pStyle w:val="TOC1"/>
            <w:rPr>
              <w:rFonts w:eastAsiaTheme="minorEastAsia"/>
              <w:noProof/>
              <w:kern w:val="2"/>
              <w:lang w:eastAsia="en-GB"/>
              <w14:ligatures w14:val="standardContextual"/>
            </w:rPr>
          </w:pPr>
          <w:hyperlink w:anchor="_Toc153342471" w:history="1">
            <w:r w:rsidRPr="0056064F">
              <w:rPr>
                <w:rStyle w:val="Hyperlink"/>
                <w:noProof/>
              </w:rPr>
              <w:t>8.</w:t>
            </w:r>
            <w:r>
              <w:rPr>
                <w:rFonts w:eastAsiaTheme="minorEastAsia"/>
                <w:noProof/>
                <w:kern w:val="2"/>
                <w:lang w:eastAsia="en-GB"/>
                <w14:ligatures w14:val="standardContextual"/>
              </w:rPr>
              <w:tab/>
            </w:r>
            <w:r w:rsidRPr="0056064F">
              <w:rPr>
                <w:rStyle w:val="Hyperlink"/>
                <w:noProof/>
              </w:rPr>
              <w:t>Innovation and Net Zero/Environmentalism</w:t>
            </w:r>
            <w:r>
              <w:rPr>
                <w:noProof/>
                <w:webHidden/>
              </w:rPr>
              <w:tab/>
            </w:r>
            <w:r>
              <w:rPr>
                <w:noProof/>
                <w:webHidden/>
              </w:rPr>
              <w:fldChar w:fldCharType="begin"/>
            </w:r>
            <w:r>
              <w:rPr>
                <w:noProof/>
                <w:webHidden/>
              </w:rPr>
              <w:instrText xml:space="preserve"> PAGEREF _Toc153342471 \h </w:instrText>
            </w:r>
            <w:r>
              <w:rPr>
                <w:noProof/>
                <w:webHidden/>
              </w:rPr>
            </w:r>
            <w:r>
              <w:rPr>
                <w:noProof/>
                <w:webHidden/>
              </w:rPr>
              <w:fldChar w:fldCharType="separate"/>
            </w:r>
            <w:r w:rsidR="003F221C">
              <w:rPr>
                <w:noProof/>
                <w:webHidden/>
              </w:rPr>
              <w:t>21</w:t>
            </w:r>
            <w:r>
              <w:rPr>
                <w:noProof/>
                <w:webHidden/>
              </w:rPr>
              <w:fldChar w:fldCharType="end"/>
            </w:r>
          </w:hyperlink>
        </w:p>
        <w:p w14:paraId="66A0650B" w14:textId="58AA14A5" w:rsidR="00FB254E" w:rsidRDefault="00FB254E" w:rsidP="00FB254E">
          <w:pPr>
            <w:pStyle w:val="TOC1"/>
            <w:rPr>
              <w:rFonts w:eastAsiaTheme="minorEastAsia"/>
              <w:noProof/>
              <w:kern w:val="2"/>
              <w:lang w:eastAsia="en-GB"/>
              <w14:ligatures w14:val="standardContextual"/>
            </w:rPr>
          </w:pPr>
          <w:hyperlink w:anchor="_Toc153342472" w:history="1">
            <w:r w:rsidRPr="0056064F">
              <w:rPr>
                <w:rStyle w:val="Hyperlink"/>
                <w:noProof/>
              </w:rPr>
              <w:t>9.</w:t>
            </w:r>
            <w:r>
              <w:rPr>
                <w:rFonts w:eastAsiaTheme="minorEastAsia"/>
                <w:noProof/>
                <w:kern w:val="2"/>
                <w:lang w:eastAsia="en-GB"/>
                <w14:ligatures w14:val="standardContextual"/>
              </w:rPr>
              <w:tab/>
            </w:r>
            <w:r w:rsidRPr="0056064F">
              <w:rPr>
                <w:rStyle w:val="Hyperlink"/>
                <w:noProof/>
              </w:rPr>
              <w:t>Electrical Management</w:t>
            </w:r>
            <w:r>
              <w:rPr>
                <w:noProof/>
                <w:webHidden/>
              </w:rPr>
              <w:tab/>
            </w:r>
            <w:r>
              <w:rPr>
                <w:noProof/>
                <w:webHidden/>
              </w:rPr>
              <w:fldChar w:fldCharType="begin"/>
            </w:r>
            <w:r>
              <w:rPr>
                <w:noProof/>
                <w:webHidden/>
              </w:rPr>
              <w:instrText xml:space="preserve"> PAGEREF _Toc153342472 \h </w:instrText>
            </w:r>
            <w:r>
              <w:rPr>
                <w:noProof/>
                <w:webHidden/>
              </w:rPr>
            </w:r>
            <w:r>
              <w:rPr>
                <w:noProof/>
                <w:webHidden/>
              </w:rPr>
              <w:fldChar w:fldCharType="separate"/>
            </w:r>
            <w:r w:rsidR="003F221C">
              <w:rPr>
                <w:noProof/>
                <w:webHidden/>
              </w:rPr>
              <w:t>26</w:t>
            </w:r>
            <w:r>
              <w:rPr>
                <w:noProof/>
                <w:webHidden/>
              </w:rPr>
              <w:fldChar w:fldCharType="end"/>
            </w:r>
          </w:hyperlink>
        </w:p>
        <w:p w14:paraId="325152C7" w14:textId="27E7EEB3" w:rsidR="00FB254E" w:rsidRDefault="00FB254E" w:rsidP="00FB254E">
          <w:pPr>
            <w:pStyle w:val="TOC1"/>
            <w:rPr>
              <w:rFonts w:eastAsiaTheme="minorEastAsia"/>
              <w:noProof/>
              <w:kern w:val="2"/>
              <w:lang w:eastAsia="en-GB"/>
              <w14:ligatures w14:val="standardContextual"/>
            </w:rPr>
          </w:pPr>
          <w:hyperlink w:anchor="_Toc153342473" w:history="1">
            <w:r w:rsidRPr="0056064F">
              <w:rPr>
                <w:rStyle w:val="Hyperlink"/>
                <w:noProof/>
              </w:rPr>
              <w:t>10.</w:t>
            </w:r>
            <w:r>
              <w:rPr>
                <w:rFonts w:eastAsiaTheme="minorEastAsia"/>
                <w:noProof/>
                <w:kern w:val="2"/>
                <w:lang w:eastAsia="en-GB"/>
                <w14:ligatures w14:val="standardContextual"/>
              </w:rPr>
              <w:tab/>
            </w:r>
            <w:r w:rsidRPr="0056064F">
              <w:rPr>
                <w:rStyle w:val="Hyperlink"/>
                <w:noProof/>
              </w:rPr>
              <w:t>Warranty terms/Quality assurance</w:t>
            </w:r>
            <w:r>
              <w:rPr>
                <w:noProof/>
                <w:webHidden/>
              </w:rPr>
              <w:tab/>
            </w:r>
            <w:r>
              <w:rPr>
                <w:noProof/>
                <w:webHidden/>
              </w:rPr>
              <w:fldChar w:fldCharType="begin"/>
            </w:r>
            <w:r>
              <w:rPr>
                <w:noProof/>
                <w:webHidden/>
              </w:rPr>
              <w:instrText xml:space="preserve"> PAGEREF _Toc153342473 \h </w:instrText>
            </w:r>
            <w:r>
              <w:rPr>
                <w:noProof/>
                <w:webHidden/>
              </w:rPr>
            </w:r>
            <w:r>
              <w:rPr>
                <w:noProof/>
                <w:webHidden/>
              </w:rPr>
              <w:fldChar w:fldCharType="separate"/>
            </w:r>
            <w:r w:rsidR="003F221C">
              <w:rPr>
                <w:noProof/>
                <w:webHidden/>
              </w:rPr>
              <w:t>27</w:t>
            </w:r>
            <w:r>
              <w:rPr>
                <w:noProof/>
                <w:webHidden/>
              </w:rPr>
              <w:fldChar w:fldCharType="end"/>
            </w:r>
          </w:hyperlink>
        </w:p>
        <w:p w14:paraId="74E178D4" w14:textId="794685FD" w:rsidR="00FB254E" w:rsidRDefault="00FB254E" w:rsidP="00FB254E">
          <w:pPr>
            <w:pStyle w:val="TOC1"/>
            <w:rPr>
              <w:rFonts w:eastAsiaTheme="minorEastAsia"/>
              <w:noProof/>
              <w:kern w:val="2"/>
              <w:lang w:eastAsia="en-GB"/>
              <w14:ligatures w14:val="standardContextual"/>
            </w:rPr>
          </w:pPr>
          <w:hyperlink w:anchor="_Toc153342474" w:history="1">
            <w:r w:rsidRPr="0056064F">
              <w:rPr>
                <w:rStyle w:val="Hyperlink"/>
                <w:noProof/>
              </w:rPr>
              <w:t>11.</w:t>
            </w:r>
            <w:r>
              <w:rPr>
                <w:rFonts w:eastAsiaTheme="minorEastAsia"/>
                <w:noProof/>
                <w:kern w:val="2"/>
                <w:lang w:eastAsia="en-GB"/>
                <w14:ligatures w14:val="standardContextual"/>
              </w:rPr>
              <w:tab/>
            </w:r>
            <w:r w:rsidRPr="0056064F">
              <w:rPr>
                <w:rStyle w:val="Hyperlink"/>
                <w:noProof/>
              </w:rPr>
              <w:t>Construction Design and Management - Construction Design and Management Process for New Housings</w:t>
            </w:r>
            <w:r>
              <w:rPr>
                <w:noProof/>
                <w:webHidden/>
              </w:rPr>
              <w:tab/>
            </w:r>
            <w:r>
              <w:rPr>
                <w:noProof/>
                <w:webHidden/>
              </w:rPr>
              <w:fldChar w:fldCharType="begin"/>
            </w:r>
            <w:r>
              <w:rPr>
                <w:noProof/>
                <w:webHidden/>
              </w:rPr>
              <w:instrText xml:space="preserve"> PAGEREF _Toc153342474 \h </w:instrText>
            </w:r>
            <w:r>
              <w:rPr>
                <w:noProof/>
                <w:webHidden/>
              </w:rPr>
            </w:r>
            <w:r>
              <w:rPr>
                <w:noProof/>
                <w:webHidden/>
              </w:rPr>
              <w:fldChar w:fldCharType="separate"/>
            </w:r>
            <w:r w:rsidR="003F221C">
              <w:rPr>
                <w:noProof/>
                <w:webHidden/>
              </w:rPr>
              <w:t>28</w:t>
            </w:r>
            <w:r>
              <w:rPr>
                <w:noProof/>
                <w:webHidden/>
              </w:rPr>
              <w:fldChar w:fldCharType="end"/>
            </w:r>
          </w:hyperlink>
        </w:p>
        <w:p w14:paraId="08E5435F" w14:textId="0C6055F1" w:rsidR="00FB254E" w:rsidRDefault="00FB254E" w:rsidP="00FB254E">
          <w:pPr>
            <w:pStyle w:val="TOC1"/>
            <w:rPr>
              <w:rFonts w:eastAsiaTheme="minorEastAsia"/>
              <w:noProof/>
              <w:kern w:val="2"/>
              <w:lang w:eastAsia="en-GB"/>
              <w14:ligatures w14:val="standardContextual"/>
            </w:rPr>
          </w:pPr>
          <w:hyperlink w:anchor="_Toc153342475" w:history="1">
            <w:r w:rsidRPr="0056064F">
              <w:rPr>
                <w:rStyle w:val="Hyperlink"/>
                <w:noProof/>
              </w:rPr>
              <w:t>12.</w:t>
            </w:r>
            <w:r>
              <w:rPr>
                <w:rFonts w:eastAsiaTheme="minorEastAsia"/>
                <w:noProof/>
                <w:kern w:val="2"/>
                <w:lang w:eastAsia="en-GB"/>
                <w14:ligatures w14:val="standardContextual"/>
              </w:rPr>
              <w:tab/>
            </w:r>
            <w:r w:rsidRPr="0056064F">
              <w:rPr>
                <w:rStyle w:val="Hyperlink"/>
                <w:noProof/>
              </w:rPr>
              <w:t>Project Management and Invoicing</w:t>
            </w:r>
            <w:r>
              <w:rPr>
                <w:noProof/>
                <w:webHidden/>
              </w:rPr>
              <w:tab/>
            </w:r>
            <w:r>
              <w:rPr>
                <w:noProof/>
                <w:webHidden/>
              </w:rPr>
              <w:fldChar w:fldCharType="begin"/>
            </w:r>
            <w:r>
              <w:rPr>
                <w:noProof/>
                <w:webHidden/>
              </w:rPr>
              <w:instrText xml:space="preserve"> PAGEREF _Toc153342475 \h </w:instrText>
            </w:r>
            <w:r>
              <w:rPr>
                <w:noProof/>
                <w:webHidden/>
              </w:rPr>
            </w:r>
            <w:r>
              <w:rPr>
                <w:noProof/>
                <w:webHidden/>
              </w:rPr>
              <w:fldChar w:fldCharType="separate"/>
            </w:r>
            <w:r w:rsidR="003F221C">
              <w:rPr>
                <w:noProof/>
                <w:webHidden/>
              </w:rPr>
              <w:t>31</w:t>
            </w:r>
            <w:r>
              <w:rPr>
                <w:noProof/>
                <w:webHidden/>
              </w:rPr>
              <w:fldChar w:fldCharType="end"/>
            </w:r>
          </w:hyperlink>
        </w:p>
        <w:p w14:paraId="5E564BC8" w14:textId="7CBAA222" w:rsidR="00FB254E" w:rsidRDefault="00FB254E" w:rsidP="00FB254E">
          <w:pPr>
            <w:pStyle w:val="TOC1"/>
            <w:rPr>
              <w:rFonts w:eastAsiaTheme="minorEastAsia"/>
              <w:noProof/>
              <w:kern w:val="2"/>
              <w:lang w:eastAsia="en-GB"/>
              <w14:ligatures w14:val="standardContextual"/>
            </w:rPr>
          </w:pPr>
          <w:hyperlink w:anchor="_Toc153342476" w:history="1">
            <w:r w:rsidRPr="0056064F">
              <w:rPr>
                <w:rStyle w:val="Hyperlink"/>
                <w:noProof/>
              </w:rPr>
              <w:t>13.</w:t>
            </w:r>
            <w:r>
              <w:rPr>
                <w:rFonts w:eastAsiaTheme="minorEastAsia"/>
                <w:noProof/>
                <w:kern w:val="2"/>
                <w:lang w:eastAsia="en-GB"/>
                <w14:ligatures w14:val="standardContextual"/>
              </w:rPr>
              <w:tab/>
            </w:r>
            <w:r w:rsidRPr="0056064F">
              <w:rPr>
                <w:rStyle w:val="Hyperlink"/>
                <w:noProof/>
              </w:rPr>
              <w:t>List of Appendices</w:t>
            </w:r>
            <w:r>
              <w:rPr>
                <w:noProof/>
                <w:webHidden/>
              </w:rPr>
              <w:tab/>
            </w:r>
            <w:r>
              <w:rPr>
                <w:noProof/>
                <w:webHidden/>
              </w:rPr>
              <w:fldChar w:fldCharType="begin"/>
            </w:r>
            <w:r>
              <w:rPr>
                <w:noProof/>
                <w:webHidden/>
              </w:rPr>
              <w:instrText xml:space="preserve"> PAGEREF _Toc153342476 \h </w:instrText>
            </w:r>
            <w:r>
              <w:rPr>
                <w:noProof/>
                <w:webHidden/>
              </w:rPr>
            </w:r>
            <w:r>
              <w:rPr>
                <w:noProof/>
                <w:webHidden/>
              </w:rPr>
              <w:fldChar w:fldCharType="separate"/>
            </w:r>
            <w:r w:rsidR="003F221C">
              <w:rPr>
                <w:noProof/>
                <w:webHidden/>
              </w:rPr>
              <w:t>33</w:t>
            </w:r>
            <w:r>
              <w:rPr>
                <w:noProof/>
                <w:webHidden/>
              </w:rPr>
              <w:fldChar w:fldCharType="end"/>
            </w:r>
          </w:hyperlink>
        </w:p>
        <w:p w14:paraId="761F1D38" w14:textId="2FA6214E" w:rsidR="0022399F" w:rsidRDefault="00F075A6" w:rsidP="00AC7629">
          <w:r>
            <w:fldChar w:fldCharType="end"/>
          </w:r>
        </w:p>
      </w:sdtContent>
    </w:sdt>
    <w:p w14:paraId="29848444" w14:textId="77777777" w:rsidR="001F4A10" w:rsidRPr="00DE6364" w:rsidRDefault="001F4A10">
      <w:pPr>
        <w:rPr>
          <w:rFonts w:asciiTheme="majorHAnsi" w:eastAsiaTheme="majorEastAsia" w:hAnsiTheme="majorHAnsi" w:cstheme="majorBidi"/>
          <w:color w:val="2F5496" w:themeColor="accent1" w:themeShade="BF"/>
          <w:sz w:val="20"/>
          <w:szCs w:val="20"/>
        </w:rPr>
      </w:pPr>
      <w:r w:rsidRPr="00DE6364">
        <w:rPr>
          <w:sz w:val="20"/>
          <w:szCs w:val="20"/>
        </w:rPr>
        <w:br w:type="page"/>
      </w:r>
    </w:p>
    <w:p w14:paraId="0D13C983" w14:textId="3FAF766A" w:rsidR="00FC71D2" w:rsidRDefault="0066469D" w:rsidP="003F3027">
      <w:pPr>
        <w:pStyle w:val="Heading1"/>
      </w:pPr>
      <w:bookmarkStart w:id="0" w:name="_Toc153342464"/>
      <w:r>
        <w:lastRenderedPageBreak/>
        <w:t>Glossary</w:t>
      </w:r>
      <w:bookmarkEnd w:id="0"/>
    </w:p>
    <w:p w14:paraId="5986F219" w14:textId="77777777" w:rsidR="0066469D" w:rsidRDefault="0066469D" w:rsidP="0066469D"/>
    <w:tbl>
      <w:tblPr>
        <w:tblW w:w="486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0"/>
        <w:gridCol w:w="5637"/>
      </w:tblGrid>
      <w:tr w:rsidR="0066469D" w:rsidRPr="003E5C07" w14:paraId="199DAA24" w14:textId="77777777" w:rsidTr="00AB24AC">
        <w:trPr>
          <w:trHeight w:val="381"/>
        </w:trPr>
        <w:tc>
          <w:tcPr>
            <w:tcW w:w="1785" w:type="pct"/>
            <w:shd w:val="clear" w:color="auto" w:fill="C2D69B"/>
            <w:vAlign w:val="center"/>
          </w:tcPr>
          <w:p w14:paraId="30C7EE7C" w14:textId="77777777" w:rsidR="0066469D" w:rsidRPr="003E5C07" w:rsidRDefault="0066469D" w:rsidP="0023018A">
            <w:pPr>
              <w:pStyle w:val="BodyText1"/>
              <w:spacing w:before="0" w:after="0"/>
              <w:ind w:left="567"/>
              <w:rPr>
                <w:rFonts w:cs="Arial"/>
                <w:b/>
                <w:sz w:val="22"/>
                <w:szCs w:val="22"/>
              </w:rPr>
            </w:pPr>
            <w:r w:rsidRPr="003E5C07">
              <w:rPr>
                <w:rFonts w:cs="Arial"/>
                <w:b/>
                <w:sz w:val="22"/>
                <w:szCs w:val="22"/>
              </w:rPr>
              <w:t>TERM</w:t>
            </w:r>
          </w:p>
        </w:tc>
        <w:tc>
          <w:tcPr>
            <w:tcW w:w="3215" w:type="pct"/>
            <w:shd w:val="clear" w:color="auto" w:fill="C2D69B"/>
            <w:vAlign w:val="center"/>
          </w:tcPr>
          <w:p w14:paraId="0114E4E4" w14:textId="77777777" w:rsidR="0066469D" w:rsidRPr="003E5C07" w:rsidRDefault="0066469D" w:rsidP="0023018A">
            <w:pPr>
              <w:pStyle w:val="BodyText1"/>
              <w:spacing w:before="0" w:after="0"/>
              <w:ind w:left="567"/>
              <w:rPr>
                <w:rFonts w:cs="Arial"/>
                <w:b/>
                <w:sz w:val="22"/>
                <w:szCs w:val="22"/>
              </w:rPr>
            </w:pPr>
            <w:r w:rsidRPr="003E5C07">
              <w:rPr>
                <w:rFonts w:cs="Arial"/>
                <w:b/>
                <w:sz w:val="22"/>
                <w:szCs w:val="22"/>
              </w:rPr>
              <w:t>M</w:t>
            </w:r>
            <w:r>
              <w:rPr>
                <w:rFonts w:cs="Arial"/>
                <w:b/>
                <w:sz w:val="22"/>
                <w:szCs w:val="22"/>
              </w:rPr>
              <w:t>EA</w:t>
            </w:r>
            <w:r w:rsidRPr="003E5C07">
              <w:rPr>
                <w:rFonts w:cs="Arial"/>
                <w:b/>
                <w:sz w:val="22"/>
                <w:szCs w:val="22"/>
              </w:rPr>
              <w:t>NING</w:t>
            </w:r>
          </w:p>
        </w:tc>
      </w:tr>
      <w:tr w:rsidR="0066469D" w:rsidRPr="003E5C07" w14:paraId="4420CFD9" w14:textId="77777777" w:rsidTr="00AB24AC">
        <w:tc>
          <w:tcPr>
            <w:tcW w:w="1785" w:type="pct"/>
            <w:vAlign w:val="center"/>
          </w:tcPr>
          <w:p w14:paraId="0A4B9D98" w14:textId="77777777" w:rsidR="0066469D" w:rsidRPr="00734B8E" w:rsidRDefault="0066469D" w:rsidP="0023018A">
            <w:pPr>
              <w:pStyle w:val="BodyText1"/>
              <w:spacing w:before="0" w:after="0"/>
              <w:ind w:left="567"/>
              <w:rPr>
                <w:b/>
                <w:color w:val="000000"/>
                <w:sz w:val="22"/>
              </w:rPr>
            </w:pPr>
            <w:r>
              <w:rPr>
                <w:b/>
                <w:color w:val="000000"/>
                <w:sz w:val="22"/>
              </w:rPr>
              <w:t>“Air Quality Standards Regulations”</w:t>
            </w:r>
          </w:p>
        </w:tc>
        <w:tc>
          <w:tcPr>
            <w:tcW w:w="3215" w:type="pct"/>
            <w:vAlign w:val="center"/>
          </w:tcPr>
          <w:p w14:paraId="11E97456" w14:textId="77777777" w:rsidR="0066469D" w:rsidRPr="00AB24AC" w:rsidRDefault="0066469D" w:rsidP="0023018A">
            <w:pPr>
              <w:spacing w:after="0" w:line="240" w:lineRule="auto"/>
              <w:ind w:left="567"/>
              <w:rPr>
                <w:rFonts w:ascii="Arial" w:hAnsi="Arial" w:cs="Arial"/>
                <w:color w:val="000000"/>
                <w:sz w:val="20"/>
                <w:szCs w:val="20"/>
              </w:rPr>
            </w:pPr>
            <w:r w:rsidRPr="00AB24AC">
              <w:rPr>
                <w:rFonts w:ascii="Arial" w:hAnsi="Arial" w:cs="Arial"/>
                <w:color w:val="000000"/>
                <w:sz w:val="20"/>
                <w:szCs w:val="20"/>
              </w:rPr>
              <w:t>means the Air Quality Standards Regulations 2010, and amendments (separated for England, Wales, Scotland and Northern Ireland, in legislation), where the AQD 2008 is</w:t>
            </w:r>
            <w:r w:rsidRPr="00AB24AC">
              <w:rPr>
                <w:rFonts w:ascii="Arial" w:hAnsi="Arial" w:cs="Arial"/>
                <w:sz w:val="20"/>
                <w:szCs w:val="20"/>
              </w:rPr>
              <w:t xml:space="preserve"> </w:t>
            </w:r>
            <w:r w:rsidRPr="00AB24AC">
              <w:rPr>
                <w:rFonts w:ascii="Arial" w:hAnsi="Arial" w:cs="Arial"/>
                <w:color w:val="000000"/>
                <w:sz w:val="20"/>
                <w:szCs w:val="20"/>
              </w:rPr>
              <w:t>transposed into UK legislation.</w:t>
            </w:r>
            <w:r w:rsidRPr="00AB24AC">
              <w:rPr>
                <w:rFonts w:ascii="Arial" w:hAnsi="Arial" w:cs="Arial"/>
                <w:sz w:val="20"/>
                <w:szCs w:val="20"/>
              </w:rPr>
              <w:t xml:space="preserve"> </w:t>
            </w:r>
          </w:p>
        </w:tc>
      </w:tr>
      <w:tr w:rsidR="0066469D" w:rsidRPr="003E5C07" w14:paraId="2A5A04FA" w14:textId="77777777" w:rsidTr="00AB24AC">
        <w:tc>
          <w:tcPr>
            <w:tcW w:w="1785" w:type="pct"/>
            <w:vAlign w:val="center"/>
          </w:tcPr>
          <w:p w14:paraId="39D2920C" w14:textId="77777777" w:rsidR="0066469D" w:rsidRPr="00EB2A7E" w:rsidRDefault="0066469D" w:rsidP="0023018A">
            <w:pPr>
              <w:pStyle w:val="BodyText1"/>
              <w:spacing w:before="0" w:after="0"/>
              <w:ind w:left="567"/>
              <w:rPr>
                <w:rFonts w:cs="Arial"/>
                <w:b/>
                <w:sz w:val="22"/>
                <w:szCs w:val="22"/>
              </w:rPr>
            </w:pPr>
            <w:r>
              <w:rPr>
                <w:b/>
                <w:color w:val="000000"/>
                <w:sz w:val="22"/>
              </w:rPr>
              <w:t>“</w:t>
            </w:r>
            <w:r w:rsidRPr="00EB2A7E">
              <w:rPr>
                <w:b/>
                <w:color w:val="000000"/>
                <w:sz w:val="22"/>
              </w:rPr>
              <w:t>Affiliated sites</w:t>
            </w:r>
            <w:r>
              <w:rPr>
                <w:b/>
                <w:color w:val="000000"/>
                <w:sz w:val="22"/>
              </w:rPr>
              <w:t>”</w:t>
            </w:r>
          </w:p>
        </w:tc>
        <w:tc>
          <w:tcPr>
            <w:tcW w:w="3215" w:type="pct"/>
            <w:vAlign w:val="center"/>
          </w:tcPr>
          <w:p w14:paraId="5E39A482" w14:textId="77777777" w:rsidR="0066469D" w:rsidRPr="00AB24AC" w:rsidRDefault="0066469D" w:rsidP="0023018A">
            <w:pPr>
              <w:spacing w:after="0" w:line="240" w:lineRule="auto"/>
              <w:ind w:left="567"/>
              <w:rPr>
                <w:rFonts w:ascii="Arial" w:hAnsi="Arial" w:cs="Arial"/>
                <w:color w:val="000000"/>
                <w:sz w:val="20"/>
                <w:szCs w:val="20"/>
              </w:rPr>
            </w:pPr>
            <w:r w:rsidRPr="00AB24AC">
              <w:rPr>
                <w:rFonts w:ascii="Arial" w:hAnsi="Arial" w:cs="Arial"/>
                <w:color w:val="000000"/>
                <w:sz w:val="20"/>
                <w:szCs w:val="20"/>
              </w:rPr>
              <w:t>means affiliated sites are owned and partly or wholly run by the Local Authorities (and by occasion by other public or private bodies) who also measure air pollution for their Air Quality Management Purposes.</w:t>
            </w:r>
          </w:p>
          <w:p w14:paraId="6468FA5F" w14:textId="77777777" w:rsidR="0066469D" w:rsidRPr="00AB24AC" w:rsidRDefault="0066469D" w:rsidP="0023018A">
            <w:pPr>
              <w:spacing w:after="0" w:line="240" w:lineRule="auto"/>
              <w:rPr>
                <w:rFonts w:ascii="Arial" w:hAnsi="Arial" w:cs="Arial"/>
                <w:color w:val="000000"/>
                <w:sz w:val="20"/>
                <w:szCs w:val="20"/>
              </w:rPr>
            </w:pPr>
          </w:p>
        </w:tc>
      </w:tr>
      <w:tr w:rsidR="0066469D" w:rsidRPr="003E5C07" w14:paraId="0D82C2D1" w14:textId="77777777" w:rsidTr="00AB24AC">
        <w:tc>
          <w:tcPr>
            <w:tcW w:w="1785" w:type="pct"/>
            <w:vAlign w:val="center"/>
          </w:tcPr>
          <w:p w14:paraId="5A7DA4F7" w14:textId="77777777" w:rsidR="0066469D" w:rsidRPr="00322EEB" w:rsidRDefault="0066469D" w:rsidP="0023018A">
            <w:pPr>
              <w:pStyle w:val="BodyText1"/>
              <w:spacing w:before="0" w:after="0"/>
              <w:ind w:left="567"/>
              <w:rPr>
                <w:rFonts w:cs="Arial"/>
                <w:color w:val="000000"/>
                <w:sz w:val="22"/>
              </w:rPr>
            </w:pPr>
            <w:r w:rsidRPr="005A1D05">
              <w:rPr>
                <w:rFonts w:cs="Arial"/>
                <w:b/>
                <w:sz w:val="22"/>
                <w:szCs w:val="22"/>
              </w:rPr>
              <w:t>“ALN”</w:t>
            </w:r>
          </w:p>
        </w:tc>
        <w:tc>
          <w:tcPr>
            <w:tcW w:w="3215" w:type="pct"/>
            <w:vAlign w:val="center"/>
          </w:tcPr>
          <w:p w14:paraId="212E6FC6" w14:textId="77777777" w:rsidR="0066469D" w:rsidRPr="00AB24AC" w:rsidRDefault="0066469D" w:rsidP="0023018A">
            <w:pPr>
              <w:spacing w:after="0" w:line="240" w:lineRule="auto"/>
              <w:ind w:left="567"/>
              <w:rPr>
                <w:rFonts w:ascii="Arial" w:hAnsi="Arial" w:cs="Arial"/>
                <w:color w:val="000000"/>
                <w:sz w:val="20"/>
                <w:szCs w:val="20"/>
              </w:rPr>
            </w:pPr>
            <w:r w:rsidRPr="00AB24AC">
              <w:rPr>
                <w:rFonts w:ascii="Arial" w:hAnsi="Arial" w:cs="Arial"/>
                <w:color w:val="000000"/>
                <w:sz w:val="20"/>
                <w:szCs w:val="20"/>
              </w:rPr>
              <w:t>means the Automatic London Network</w:t>
            </w:r>
          </w:p>
        </w:tc>
      </w:tr>
      <w:tr w:rsidR="0066469D" w:rsidRPr="003E5C07" w14:paraId="731C9409" w14:textId="77777777" w:rsidTr="00AB24AC">
        <w:tc>
          <w:tcPr>
            <w:tcW w:w="1785" w:type="pct"/>
            <w:vAlign w:val="center"/>
          </w:tcPr>
          <w:p w14:paraId="6C789521" w14:textId="77777777" w:rsidR="0066469D" w:rsidRPr="005A1D05" w:rsidRDefault="0066469D" w:rsidP="0023018A">
            <w:pPr>
              <w:pStyle w:val="BodyText1"/>
              <w:spacing w:before="0" w:after="0"/>
              <w:ind w:left="567"/>
              <w:rPr>
                <w:rFonts w:cs="Arial"/>
                <w:b/>
                <w:sz w:val="22"/>
                <w:szCs w:val="22"/>
              </w:rPr>
            </w:pPr>
            <w:r w:rsidRPr="005A1D05">
              <w:rPr>
                <w:rFonts w:cs="Arial"/>
                <w:b/>
                <w:sz w:val="22"/>
                <w:szCs w:val="22"/>
              </w:rPr>
              <w:t>“</w:t>
            </w:r>
            <w:r>
              <w:rPr>
                <w:rFonts w:cs="Arial"/>
                <w:b/>
                <w:sz w:val="22"/>
                <w:szCs w:val="22"/>
              </w:rPr>
              <w:t>AMCT</w:t>
            </w:r>
            <w:r w:rsidRPr="005A1D05">
              <w:rPr>
                <w:rFonts w:cs="Arial"/>
                <w:b/>
                <w:sz w:val="22"/>
                <w:szCs w:val="22"/>
              </w:rPr>
              <w:t>”</w:t>
            </w:r>
          </w:p>
        </w:tc>
        <w:tc>
          <w:tcPr>
            <w:tcW w:w="3215" w:type="pct"/>
            <w:vAlign w:val="center"/>
          </w:tcPr>
          <w:p w14:paraId="68FDFE95" w14:textId="77777777" w:rsidR="0066469D" w:rsidRPr="00050BF7" w:rsidRDefault="0066469D" w:rsidP="0023018A">
            <w:pPr>
              <w:spacing w:after="0" w:line="240" w:lineRule="auto"/>
              <w:ind w:left="567"/>
              <w:rPr>
                <w:rFonts w:ascii="Arial" w:hAnsi="Arial" w:cs="Arial"/>
                <w:color w:val="000000"/>
                <w:sz w:val="20"/>
                <w:szCs w:val="20"/>
              </w:rPr>
            </w:pPr>
            <w:r w:rsidRPr="00050BF7">
              <w:rPr>
                <w:rFonts w:ascii="Arial" w:hAnsi="Arial" w:cs="Arial"/>
                <w:color w:val="000000"/>
                <w:sz w:val="20"/>
                <w:szCs w:val="20"/>
              </w:rPr>
              <w:t>Means the Annual Mean Concentration Target</w:t>
            </w:r>
          </w:p>
        </w:tc>
      </w:tr>
      <w:tr w:rsidR="0066469D" w:rsidRPr="003E5C07" w14:paraId="3003ADB4" w14:textId="77777777" w:rsidTr="00AB24AC">
        <w:tc>
          <w:tcPr>
            <w:tcW w:w="1785" w:type="pct"/>
          </w:tcPr>
          <w:p w14:paraId="2A680B6A" w14:textId="77777777" w:rsidR="0066469D" w:rsidRPr="005A1D05" w:rsidRDefault="0066469D" w:rsidP="0023018A">
            <w:pPr>
              <w:pStyle w:val="BodyText1"/>
              <w:spacing w:before="0" w:after="0"/>
              <w:ind w:left="567"/>
              <w:rPr>
                <w:rFonts w:cs="Arial"/>
                <w:b/>
                <w:sz w:val="22"/>
                <w:szCs w:val="22"/>
              </w:rPr>
            </w:pPr>
            <w:r>
              <w:rPr>
                <w:rFonts w:cs="Arial"/>
                <w:b/>
                <w:sz w:val="22"/>
                <w:szCs w:val="22"/>
              </w:rPr>
              <w:t>“</w:t>
            </w:r>
            <w:r w:rsidRPr="005A1D05">
              <w:rPr>
                <w:rFonts w:cs="Arial"/>
                <w:b/>
                <w:sz w:val="22"/>
                <w:szCs w:val="22"/>
              </w:rPr>
              <w:t>AQD2008</w:t>
            </w:r>
            <w:r>
              <w:rPr>
                <w:rFonts w:cs="Arial"/>
                <w:b/>
                <w:sz w:val="22"/>
                <w:szCs w:val="22"/>
              </w:rPr>
              <w:t>”</w:t>
            </w:r>
          </w:p>
        </w:tc>
        <w:tc>
          <w:tcPr>
            <w:tcW w:w="3215" w:type="pct"/>
          </w:tcPr>
          <w:p w14:paraId="748ABBF2" w14:textId="77777777" w:rsidR="0066469D" w:rsidRPr="00050BF7" w:rsidRDefault="0066469D" w:rsidP="0023018A">
            <w:pPr>
              <w:pStyle w:val="BodyText1"/>
              <w:spacing w:before="0" w:after="0"/>
              <w:ind w:left="567"/>
              <w:rPr>
                <w:rFonts w:cs="Arial"/>
              </w:rPr>
            </w:pPr>
            <w:r w:rsidRPr="00050BF7">
              <w:rPr>
                <w:rFonts w:cs="Arial"/>
              </w:rPr>
              <w:t>means the Directive 2008/50/EC of the European Parliament and of the Council of 21st May 2008, on Ambient Air Quality and Cleaner Air for Europe, was adopted in June 2008 and was amended in in 2015. This will also refer to any equivalent UK Regulation post EU exit.</w:t>
            </w:r>
          </w:p>
          <w:p w14:paraId="095915F9" w14:textId="77777777" w:rsidR="0066469D" w:rsidRPr="00050BF7" w:rsidRDefault="0066469D" w:rsidP="0023018A">
            <w:pPr>
              <w:pStyle w:val="BodyText1"/>
              <w:spacing w:before="0" w:after="0"/>
              <w:ind w:left="567"/>
              <w:rPr>
                <w:rFonts w:cs="Arial"/>
              </w:rPr>
            </w:pPr>
          </w:p>
          <w:p w14:paraId="39ACAA07" w14:textId="77777777" w:rsidR="0066469D" w:rsidRPr="00050BF7" w:rsidRDefault="0066469D" w:rsidP="0023018A">
            <w:pPr>
              <w:pStyle w:val="BodyText1"/>
              <w:spacing w:before="0" w:after="0"/>
              <w:ind w:left="567"/>
              <w:rPr>
                <w:rFonts w:cs="Arial"/>
              </w:rPr>
            </w:pPr>
            <w:r w:rsidRPr="00050BF7">
              <w:rPr>
                <w:rFonts w:cs="Arial"/>
              </w:rPr>
              <w:t>In the context of this Contract the Legislative background may change following European Union Exit – but the Contractor will continue to align to these EU legislative requirements, as much as feasibly possible until replacement legislation is in place, and if required (if the scope of works changes) a Contract Change Note is issued.</w:t>
            </w:r>
          </w:p>
        </w:tc>
      </w:tr>
      <w:tr w:rsidR="0066469D" w:rsidRPr="003E5C07" w14:paraId="6CBC53E9" w14:textId="77777777" w:rsidTr="00AB24AC">
        <w:trPr>
          <w:trHeight w:val="326"/>
        </w:trPr>
        <w:tc>
          <w:tcPr>
            <w:tcW w:w="1785" w:type="pct"/>
          </w:tcPr>
          <w:p w14:paraId="182BA018" w14:textId="77777777" w:rsidR="0066469D" w:rsidRDefault="0066469D" w:rsidP="0023018A">
            <w:pPr>
              <w:pStyle w:val="BodyText1"/>
              <w:spacing w:before="0" w:after="0"/>
              <w:ind w:left="567"/>
              <w:rPr>
                <w:rFonts w:cs="Arial"/>
                <w:b/>
                <w:sz w:val="22"/>
                <w:szCs w:val="22"/>
              </w:rPr>
            </w:pPr>
            <w:r>
              <w:rPr>
                <w:rFonts w:cs="Arial"/>
                <w:b/>
                <w:sz w:val="22"/>
                <w:szCs w:val="22"/>
              </w:rPr>
              <w:t>“AQEG”</w:t>
            </w:r>
          </w:p>
        </w:tc>
        <w:tc>
          <w:tcPr>
            <w:tcW w:w="3215" w:type="pct"/>
          </w:tcPr>
          <w:p w14:paraId="5CA97A0E" w14:textId="77777777" w:rsidR="0066469D" w:rsidRPr="00050BF7" w:rsidRDefault="0066469D" w:rsidP="0023018A">
            <w:pPr>
              <w:pStyle w:val="BodyText1"/>
              <w:spacing w:before="0" w:after="0"/>
              <w:ind w:left="567"/>
              <w:rPr>
                <w:rFonts w:cs="Arial"/>
              </w:rPr>
            </w:pPr>
            <w:r w:rsidRPr="00050BF7">
              <w:rPr>
                <w:rFonts w:cs="Arial"/>
              </w:rPr>
              <w:t>means the Air Quality Expert Group.</w:t>
            </w:r>
          </w:p>
        </w:tc>
      </w:tr>
      <w:tr w:rsidR="0066469D" w:rsidRPr="003E5C07" w14:paraId="22CF2106" w14:textId="77777777" w:rsidTr="00AB24AC">
        <w:tc>
          <w:tcPr>
            <w:tcW w:w="1785" w:type="pct"/>
          </w:tcPr>
          <w:p w14:paraId="7C1904C3" w14:textId="77777777" w:rsidR="0066469D" w:rsidRPr="005A1D05" w:rsidRDefault="0066469D" w:rsidP="0023018A">
            <w:pPr>
              <w:pStyle w:val="BodyText1"/>
              <w:spacing w:before="0" w:after="0"/>
              <w:ind w:left="567"/>
              <w:rPr>
                <w:rFonts w:cs="Arial"/>
                <w:b/>
                <w:sz w:val="22"/>
                <w:szCs w:val="22"/>
              </w:rPr>
            </w:pPr>
            <w:r>
              <w:rPr>
                <w:rFonts w:cs="Arial"/>
                <w:b/>
                <w:sz w:val="22"/>
                <w:szCs w:val="22"/>
              </w:rPr>
              <w:t>“</w:t>
            </w:r>
            <w:r w:rsidRPr="005A1D05">
              <w:rPr>
                <w:rFonts w:cs="Arial"/>
                <w:b/>
                <w:sz w:val="22"/>
                <w:szCs w:val="22"/>
              </w:rPr>
              <w:t>Asset Register</w:t>
            </w:r>
            <w:r>
              <w:rPr>
                <w:rFonts w:cs="Arial"/>
                <w:b/>
                <w:sz w:val="22"/>
                <w:szCs w:val="22"/>
              </w:rPr>
              <w:t>”</w:t>
            </w:r>
          </w:p>
        </w:tc>
        <w:tc>
          <w:tcPr>
            <w:tcW w:w="3215" w:type="pct"/>
          </w:tcPr>
          <w:p w14:paraId="66D8B61B" w14:textId="77777777" w:rsidR="0066469D" w:rsidRPr="00050BF7" w:rsidRDefault="0066469D" w:rsidP="0023018A">
            <w:pPr>
              <w:pStyle w:val="BodyText1"/>
              <w:spacing w:before="0" w:after="0"/>
              <w:ind w:left="567"/>
              <w:rPr>
                <w:rFonts w:cs="Arial"/>
              </w:rPr>
            </w:pPr>
            <w:r w:rsidRPr="00050BF7">
              <w:rPr>
                <w:rFonts w:cs="Arial"/>
              </w:rPr>
              <w:t>means a list of the fixed assets owned by an organisation containing pertinent details about each fixed asset to track their value and physical location.</w:t>
            </w:r>
          </w:p>
        </w:tc>
      </w:tr>
      <w:tr w:rsidR="0066469D" w:rsidRPr="003E5C07" w14:paraId="15BECD68" w14:textId="77777777" w:rsidTr="00AB24AC">
        <w:tc>
          <w:tcPr>
            <w:tcW w:w="1785" w:type="pct"/>
          </w:tcPr>
          <w:p w14:paraId="7F329647" w14:textId="77777777" w:rsidR="0066469D" w:rsidRPr="005A1D05" w:rsidRDefault="0066469D" w:rsidP="0023018A">
            <w:pPr>
              <w:pStyle w:val="BodyText1"/>
              <w:spacing w:before="0" w:after="0"/>
              <w:ind w:left="567"/>
              <w:rPr>
                <w:rFonts w:cs="Arial"/>
                <w:b/>
                <w:sz w:val="22"/>
                <w:szCs w:val="22"/>
              </w:rPr>
            </w:pPr>
            <w:r>
              <w:rPr>
                <w:rFonts w:cs="Arial"/>
                <w:b/>
                <w:sz w:val="22"/>
                <w:szCs w:val="22"/>
              </w:rPr>
              <w:t>“</w:t>
            </w:r>
            <w:r w:rsidRPr="005A1D05">
              <w:rPr>
                <w:rFonts w:cs="Arial"/>
                <w:b/>
                <w:sz w:val="22"/>
                <w:szCs w:val="22"/>
              </w:rPr>
              <w:t>AURN</w:t>
            </w:r>
            <w:r>
              <w:rPr>
                <w:rFonts w:cs="Arial"/>
                <w:b/>
                <w:sz w:val="22"/>
                <w:szCs w:val="22"/>
              </w:rPr>
              <w:t>”</w:t>
            </w:r>
          </w:p>
        </w:tc>
        <w:tc>
          <w:tcPr>
            <w:tcW w:w="3215" w:type="pct"/>
          </w:tcPr>
          <w:p w14:paraId="52BC1D59" w14:textId="77777777" w:rsidR="0066469D" w:rsidRPr="00050BF7" w:rsidRDefault="0066469D" w:rsidP="0023018A">
            <w:pPr>
              <w:pStyle w:val="BodyText1"/>
              <w:spacing w:before="0" w:after="0"/>
              <w:ind w:left="567"/>
              <w:rPr>
                <w:rFonts w:cs="Arial"/>
              </w:rPr>
            </w:pPr>
            <w:r w:rsidRPr="00050BF7">
              <w:rPr>
                <w:rFonts w:cs="Arial"/>
              </w:rPr>
              <w:t>means Automatic Urban and Rural Air Quality Monitoring Network</w:t>
            </w:r>
          </w:p>
        </w:tc>
      </w:tr>
      <w:tr w:rsidR="0066469D" w:rsidRPr="003E5C07" w14:paraId="55A86731" w14:textId="77777777" w:rsidTr="00AB24AC">
        <w:tc>
          <w:tcPr>
            <w:tcW w:w="1785" w:type="pct"/>
          </w:tcPr>
          <w:p w14:paraId="76AD553F" w14:textId="77777777" w:rsidR="0066469D" w:rsidRDefault="0066469D" w:rsidP="0023018A">
            <w:pPr>
              <w:pStyle w:val="BodyText1"/>
              <w:spacing w:before="0" w:after="0"/>
              <w:ind w:left="567"/>
              <w:rPr>
                <w:rFonts w:cs="Arial"/>
                <w:b/>
                <w:sz w:val="22"/>
                <w:szCs w:val="22"/>
              </w:rPr>
            </w:pPr>
            <w:r>
              <w:rPr>
                <w:rFonts w:cs="Arial"/>
                <w:b/>
                <w:sz w:val="22"/>
                <w:szCs w:val="22"/>
              </w:rPr>
              <w:t>“BSI”</w:t>
            </w:r>
          </w:p>
        </w:tc>
        <w:tc>
          <w:tcPr>
            <w:tcW w:w="3215" w:type="pct"/>
          </w:tcPr>
          <w:p w14:paraId="72AC438D" w14:textId="77777777" w:rsidR="0066469D" w:rsidRPr="00050BF7" w:rsidRDefault="0066469D" w:rsidP="0023018A">
            <w:pPr>
              <w:pStyle w:val="BodyText1"/>
              <w:spacing w:before="0" w:after="0"/>
              <w:ind w:left="567"/>
              <w:rPr>
                <w:rFonts w:cs="Arial"/>
              </w:rPr>
            </w:pPr>
            <w:r w:rsidRPr="00050BF7">
              <w:rPr>
                <w:rFonts w:cs="Arial"/>
              </w:rPr>
              <w:t>means British Standards Institute</w:t>
            </w:r>
          </w:p>
        </w:tc>
      </w:tr>
      <w:tr w:rsidR="002A50F2" w:rsidRPr="003E5C07" w14:paraId="06452F5E" w14:textId="77777777" w:rsidTr="00AB24AC">
        <w:tc>
          <w:tcPr>
            <w:tcW w:w="1785" w:type="pct"/>
            <w:tcBorders>
              <w:top w:val="single" w:sz="4" w:space="0" w:color="auto"/>
              <w:left w:val="single" w:sz="4" w:space="0" w:color="auto"/>
              <w:bottom w:val="single" w:sz="4" w:space="0" w:color="auto"/>
              <w:right w:val="single" w:sz="4" w:space="0" w:color="auto"/>
            </w:tcBorders>
          </w:tcPr>
          <w:p w14:paraId="66BA0914" w14:textId="3E981E5B" w:rsidR="002A50F2" w:rsidRDefault="002A50F2" w:rsidP="0023018A">
            <w:pPr>
              <w:pStyle w:val="BodyText1"/>
              <w:spacing w:before="0" w:after="0"/>
              <w:ind w:left="567"/>
              <w:rPr>
                <w:rFonts w:cs="Arial"/>
                <w:b/>
                <w:sz w:val="22"/>
                <w:szCs w:val="22"/>
              </w:rPr>
            </w:pPr>
            <w:r>
              <w:rPr>
                <w:rFonts w:cs="Arial"/>
                <w:b/>
                <w:sz w:val="22"/>
                <w:szCs w:val="22"/>
              </w:rPr>
              <w:t>“Cabin”</w:t>
            </w:r>
          </w:p>
        </w:tc>
        <w:tc>
          <w:tcPr>
            <w:tcW w:w="3215" w:type="pct"/>
            <w:tcBorders>
              <w:top w:val="single" w:sz="4" w:space="0" w:color="auto"/>
              <w:left w:val="single" w:sz="4" w:space="0" w:color="auto"/>
              <w:bottom w:val="single" w:sz="4" w:space="0" w:color="auto"/>
              <w:right w:val="single" w:sz="4" w:space="0" w:color="auto"/>
            </w:tcBorders>
          </w:tcPr>
          <w:p w14:paraId="09FB3C4E" w14:textId="649001F8" w:rsidR="002A50F2" w:rsidRPr="00050BF7" w:rsidRDefault="002A50F2" w:rsidP="0023018A">
            <w:pPr>
              <w:pStyle w:val="BodyText1"/>
              <w:spacing w:before="0" w:after="0"/>
              <w:ind w:left="567"/>
              <w:rPr>
                <w:rFonts w:cs="Arial"/>
              </w:rPr>
            </w:pPr>
            <w:r w:rsidRPr="00050BF7">
              <w:rPr>
                <w:rFonts w:cs="Arial"/>
              </w:rPr>
              <w:t>Means a larger, walk in housing</w:t>
            </w:r>
          </w:p>
        </w:tc>
      </w:tr>
      <w:tr w:rsidR="0066469D" w:rsidRPr="003E5C07" w14:paraId="761A18FB" w14:textId="77777777" w:rsidTr="00AB24AC">
        <w:tc>
          <w:tcPr>
            <w:tcW w:w="1785" w:type="pct"/>
            <w:tcBorders>
              <w:top w:val="single" w:sz="4" w:space="0" w:color="auto"/>
              <w:left w:val="single" w:sz="4" w:space="0" w:color="auto"/>
              <w:bottom w:val="single" w:sz="4" w:space="0" w:color="auto"/>
              <w:right w:val="single" w:sz="4" w:space="0" w:color="auto"/>
            </w:tcBorders>
          </w:tcPr>
          <w:p w14:paraId="388B9D17" w14:textId="77777777" w:rsidR="0066469D" w:rsidRDefault="0066469D" w:rsidP="0023018A">
            <w:pPr>
              <w:pStyle w:val="BodyText1"/>
              <w:spacing w:before="0" w:after="0"/>
              <w:ind w:left="567"/>
              <w:rPr>
                <w:rFonts w:cs="Arial"/>
                <w:b/>
                <w:sz w:val="22"/>
                <w:szCs w:val="22"/>
              </w:rPr>
            </w:pPr>
            <w:r>
              <w:rPr>
                <w:rFonts w:cs="Arial"/>
                <w:b/>
                <w:sz w:val="22"/>
                <w:szCs w:val="22"/>
              </w:rPr>
              <w:t>“CDM Regulations”</w:t>
            </w:r>
          </w:p>
        </w:tc>
        <w:tc>
          <w:tcPr>
            <w:tcW w:w="3215" w:type="pct"/>
            <w:tcBorders>
              <w:top w:val="single" w:sz="4" w:space="0" w:color="auto"/>
              <w:left w:val="single" w:sz="4" w:space="0" w:color="auto"/>
              <w:bottom w:val="single" w:sz="4" w:space="0" w:color="auto"/>
              <w:right w:val="single" w:sz="4" w:space="0" w:color="auto"/>
            </w:tcBorders>
          </w:tcPr>
          <w:p w14:paraId="5F165079" w14:textId="77777777" w:rsidR="0066469D" w:rsidRPr="00050BF7" w:rsidRDefault="0066469D" w:rsidP="0023018A">
            <w:pPr>
              <w:pStyle w:val="BodyText1"/>
              <w:spacing w:before="0" w:after="0"/>
              <w:ind w:left="567"/>
              <w:rPr>
                <w:rFonts w:cs="Arial"/>
              </w:rPr>
            </w:pPr>
            <w:r w:rsidRPr="00050BF7">
              <w:rPr>
                <w:rFonts w:cs="Arial"/>
              </w:rPr>
              <w:t>means the The Construction (Design and Management) Regulations 2015</w:t>
            </w:r>
          </w:p>
        </w:tc>
      </w:tr>
      <w:tr w:rsidR="00075FEA" w:rsidRPr="003E5C07" w14:paraId="0B54D2FD" w14:textId="77777777" w:rsidTr="00AB24AC">
        <w:tc>
          <w:tcPr>
            <w:tcW w:w="1785" w:type="pct"/>
          </w:tcPr>
          <w:p w14:paraId="37C50BE9" w14:textId="1D6CB654" w:rsidR="00075FEA" w:rsidRDefault="00075FEA" w:rsidP="0023018A">
            <w:pPr>
              <w:pStyle w:val="BodyText1"/>
              <w:spacing w:before="0" w:after="0"/>
              <w:ind w:left="567"/>
              <w:rPr>
                <w:rFonts w:cs="Arial"/>
                <w:b/>
                <w:sz w:val="22"/>
                <w:szCs w:val="22"/>
              </w:rPr>
            </w:pPr>
            <w:r>
              <w:rPr>
                <w:rFonts w:cs="Arial"/>
                <w:b/>
                <w:sz w:val="22"/>
                <w:szCs w:val="22"/>
              </w:rPr>
              <w:t>“CDM Designer”</w:t>
            </w:r>
          </w:p>
        </w:tc>
        <w:tc>
          <w:tcPr>
            <w:tcW w:w="3215" w:type="pct"/>
          </w:tcPr>
          <w:p w14:paraId="1D66C9B4" w14:textId="32888626" w:rsidR="00075FEA" w:rsidRPr="00050BF7" w:rsidRDefault="00EC4F21" w:rsidP="0023018A">
            <w:pPr>
              <w:pStyle w:val="BodyText1"/>
              <w:spacing w:before="0" w:after="0"/>
              <w:ind w:left="567"/>
              <w:rPr>
                <w:rFonts w:cs="Arial"/>
              </w:rPr>
            </w:pPr>
            <w:r w:rsidRPr="00050BF7">
              <w:rPr>
                <w:rFonts w:cs="Arial"/>
              </w:rPr>
              <w:t>Means those who (within CDM regulations) as part of a business, prepare or modify designs for a building, product or system relating to construction work.</w:t>
            </w:r>
          </w:p>
        </w:tc>
      </w:tr>
      <w:tr w:rsidR="00EC4F21" w:rsidRPr="003E5C07" w14:paraId="3BA09FCC" w14:textId="77777777" w:rsidTr="00AB24AC">
        <w:tc>
          <w:tcPr>
            <w:tcW w:w="1785" w:type="pct"/>
          </w:tcPr>
          <w:p w14:paraId="2B2595A1" w14:textId="2336F12B" w:rsidR="00EC4F21" w:rsidRDefault="00EC4F21" w:rsidP="0023018A">
            <w:pPr>
              <w:pStyle w:val="BodyText1"/>
              <w:spacing w:before="0" w:after="0"/>
              <w:ind w:left="567"/>
              <w:rPr>
                <w:rFonts w:cs="Arial"/>
                <w:b/>
                <w:sz w:val="22"/>
                <w:szCs w:val="22"/>
              </w:rPr>
            </w:pPr>
            <w:r>
              <w:rPr>
                <w:rFonts w:cs="Arial"/>
                <w:b/>
                <w:sz w:val="22"/>
                <w:szCs w:val="22"/>
              </w:rPr>
              <w:t>“CDM Contractor”</w:t>
            </w:r>
          </w:p>
        </w:tc>
        <w:tc>
          <w:tcPr>
            <w:tcW w:w="3215" w:type="pct"/>
          </w:tcPr>
          <w:p w14:paraId="5BEA03CC" w14:textId="5F911D9B" w:rsidR="00EC4F21" w:rsidRPr="00050BF7" w:rsidRDefault="006A7DF0" w:rsidP="0023018A">
            <w:pPr>
              <w:pStyle w:val="BodyText1"/>
              <w:spacing w:before="0" w:after="0"/>
              <w:ind w:left="567"/>
              <w:rPr>
                <w:rFonts w:cs="Arial"/>
              </w:rPr>
            </w:pPr>
            <w:r w:rsidRPr="00050BF7">
              <w:rPr>
                <w:rFonts w:cs="Arial"/>
              </w:rPr>
              <w:t>Those who do the actual construction work under the CDM umbrella</w:t>
            </w:r>
          </w:p>
        </w:tc>
      </w:tr>
      <w:tr w:rsidR="0066469D" w:rsidRPr="003E5C07" w14:paraId="0B87BA04" w14:textId="77777777" w:rsidTr="00AB24AC">
        <w:tc>
          <w:tcPr>
            <w:tcW w:w="1785" w:type="pct"/>
          </w:tcPr>
          <w:p w14:paraId="623D4C05" w14:textId="77777777" w:rsidR="0066469D" w:rsidRPr="00E32C04" w:rsidRDefault="0066469D" w:rsidP="0023018A">
            <w:pPr>
              <w:pStyle w:val="BodyText1"/>
              <w:spacing w:before="0" w:after="0"/>
              <w:ind w:left="567"/>
              <w:rPr>
                <w:rFonts w:cs="Arial"/>
                <w:b/>
                <w:sz w:val="22"/>
                <w:szCs w:val="22"/>
              </w:rPr>
            </w:pPr>
            <w:r>
              <w:rPr>
                <w:rFonts w:cs="Arial"/>
                <w:b/>
                <w:sz w:val="22"/>
                <w:szCs w:val="22"/>
              </w:rPr>
              <w:t>“</w:t>
            </w:r>
            <w:r w:rsidRPr="00E32C04">
              <w:rPr>
                <w:rFonts w:cs="Arial"/>
                <w:b/>
                <w:sz w:val="22"/>
                <w:szCs w:val="22"/>
              </w:rPr>
              <w:t>CEN</w:t>
            </w:r>
            <w:r>
              <w:rPr>
                <w:rFonts w:cs="Arial"/>
                <w:b/>
                <w:sz w:val="22"/>
                <w:szCs w:val="22"/>
              </w:rPr>
              <w:t>”</w:t>
            </w:r>
          </w:p>
        </w:tc>
        <w:tc>
          <w:tcPr>
            <w:tcW w:w="3215" w:type="pct"/>
          </w:tcPr>
          <w:p w14:paraId="649A38F3" w14:textId="77777777" w:rsidR="0066469D" w:rsidRPr="00050BF7" w:rsidRDefault="0066469D" w:rsidP="0023018A">
            <w:pPr>
              <w:pStyle w:val="BodyText1"/>
              <w:spacing w:before="0" w:after="0"/>
              <w:ind w:left="567"/>
              <w:rPr>
                <w:rFonts w:cs="Arial"/>
              </w:rPr>
            </w:pPr>
            <w:r w:rsidRPr="00050BF7">
              <w:rPr>
                <w:rFonts w:cs="Arial"/>
              </w:rPr>
              <w:t>means the European Committee for Standardisation</w:t>
            </w:r>
          </w:p>
        </w:tc>
      </w:tr>
      <w:tr w:rsidR="004928EA" w:rsidRPr="003E5C07" w14:paraId="027EA62E" w14:textId="77777777" w:rsidTr="00AB24AC">
        <w:tc>
          <w:tcPr>
            <w:tcW w:w="1785" w:type="pct"/>
          </w:tcPr>
          <w:p w14:paraId="53FC24FE" w14:textId="66F20B6A" w:rsidR="004928EA" w:rsidRDefault="004928EA" w:rsidP="0023018A">
            <w:pPr>
              <w:pStyle w:val="BodyText1"/>
              <w:spacing w:before="0" w:after="0"/>
              <w:ind w:left="567"/>
              <w:rPr>
                <w:rFonts w:cs="Arial"/>
                <w:b/>
                <w:sz w:val="22"/>
                <w:szCs w:val="22"/>
              </w:rPr>
            </w:pPr>
            <w:r>
              <w:rPr>
                <w:rFonts w:cs="Arial"/>
                <w:b/>
                <w:sz w:val="22"/>
                <w:szCs w:val="22"/>
              </w:rPr>
              <w:t>“Client”</w:t>
            </w:r>
          </w:p>
        </w:tc>
        <w:tc>
          <w:tcPr>
            <w:tcW w:w="3215" w:type="pct"/>
          </w:tcPr>
          <w:p w14:paraId="0B241678" w14:textId="3ED0FAE9" w:rsidR="004928EA" w:rsidRPr="00050BF7" w:rsidRDefault="006A7DF0" w:rsidP="0023018A">
            <w:pPr>
              <w:pStyle w:val="BodyText1"/>
              <w:spacing w:before="0" w:after="0"/>
              <w:ind w:left="567"/>
              <w:rPr>
                <w:rFonts w:cs="Arial"/>
              </w:rPr>
            </w:pPr>
            <w:r w:rsidRPr="00050BF7">
              <w:rPr>
                <w:rFonts w:cs="Arial"/>
              </w:rPr>
              <w:t>Means the EA</w:t>
            </w:r>
          </w:p>
        </w:tc>
      </w:tr>
      <w:tr w:rsidR="0066469D" w:rsidRPr="003E5C07" w14:paraId="3A75B917" w14:textId="77777777" w:rsidTr="00AB24AC">
        <w:tc>
          <w:tcPr>
            <w:tcW w:w="1785" w:type="pct"/>
          </w:tcPr>
          <w:p w14:paraId="70F7E8F7" w14:textId="77777777" w:rsidR="0066469D" w:rsidRPr="00E32C04" w:rsidRDefault="0066469D" w:rsidP="0023018A">
            <w:pPr>
              <w:pStyle w:val="BodyText1"/>
              <w:spacing w:before="0" w:after="0"/>
              <w:ind w:left="567"/>
              <w:rPr>
                <w:rFonts w:cs="Arial"/>
                <w:b/>
                <w:sz w:val="22"/>
                <w:szCs w:val="22"/>
              </w:rPr>
            </w:pPr>
            <w:r>
              <w:rPr>
                <w:rFonts w:cs="Arial"/>
                <w:b/>
                <w:sz w:val="22"/>
                <w:szCs w:val="22"/>
              </w:rPr>
              <w:t>“</w:t>
            </w:r>
            <w:r w:rsidRPr="00E32C04">
              <w:rPr>
                <w:rFonts w:cs="Arial"/>
                <w:b/>
                <w:sz w:val="22"/>
                <w:szCs w:val="22"/>
              </w:rPr>
              <w:t>CMCU</w:t>
            </w:r>
            <w:r>
              <w:rPr>
                <w:rFonts w:cs="Arial"/>
                <w:b/>
                <w:sz w:val="22"/>
                <w:szCs w:val="22"/>
              </w:rPr>
              <w:t>”</w:t>
            </w:r>
          </w:p>
        </w:tc>
        <w:tc>
          <w:tcPr>
            <w:tcW w:w="3215" w:type="pct"/>
          </w:tcPr>
          <w:p w14:paraId="71B150CD" w14:textId="5AAD6941" w:rsidR="0066469D" w:rsidRPr="00050BF7" w:rsidRDefault="0066469D" w:rsidP="0023018A">
            <w:pPr>
              <w:pStyle w:val="BodyText1"/>
              <w:spacing w:before="0" w:after="0"/>
              <w:ind w:left="567"/>
              <w:rPr>
                <w:rFonts w:cs="Arial"/>
              </w:rPr>
            </w:pPr>
            <w:r w:rsidRPr="00050BF7">
              <w:rPr>
                <w:rFonts w:cs="Arial"/>
              </w:rPr>
              <w:t xml:space="preserve">means the Central Management and Co-Ordination Unit </w:t>
            </w:r>
            <w:r w:rsidR="00CA6B16" w:rsidRPr="00050BF7">
              <w:rPr>
                <w:rFonts w:cs="Arial"/>
              </w:rPr>
              <w:t>for the networks in question</w:t>
            </w:r>
          </w:p>
        </w:tc>
      </w:tr>
      <w:tr w:rsidR="0066469D" w:rsidRPr="003E5C07" w14:paraId="421D8EB2" w14:textId="77777777" w:rsidTr="00AB24AC">
        <w:tc>
          <w:tcPr>
            <w:tcW w:w="1785" w:type="pct"/>
            <w:vAlign w:val="center"/>
          </w:tcPr>
          <w:p w14:paraId="514A817E" w14:textId="77777777" w:rsidR="0066469D" w:rsidRPr="003E5C07" w:rsidRDefault="0066469D" w:rsidP="0023018A">
            <w:pPr>
              <w:pStyle w:val="BodyText1"/>
              <w:spacing w:before="0" w:after="0"/>
              <w:ind w:left="567"/>
              <w:rPr>
                <w:rFonts w:cs="Arial"/>
                <w:b/>
                <w:sz w:val="22"/>
                <w:szCs w:val="22"/>
              </w:rPr>
            </w:pPr>
            <w:r w:rsidRPr="003E5C07">
              <w:rPr>
                <w:rFonts w:cs="Arial"/>
                <w:b/>
                <w:sz w:val="22"/>
                <w:szCs w:val="22"/>
              </w:rPr>
              <w:t xml:space="preserve">“Contract” </w:t>
            </w:r>
          </w:p>
        </w:tc>
        <w:tc>
          <w:tcPr>
            <w:tcW w:w="3215" w:type="pct"/>
          </w:tcPr>
          <w:p w14:paraId="3256AC52" w14:textId="326DC89D" w:rsidR="0066469D" w:rsidRPr="00757931" w:rsidRDefault="0066469D" w:rsidP="0023018A">
            <w:pPr>
              <w:pStyle w:val="BodyText1"/>
              <w:spacing w:before="0" w:after="0"/>
              <w:ind w:left="567"/>
              <w:rPr>
                <w:rFonts w:cs="Arial"/>
              </w:rPr>
            </w:pPr>
            <w:r w:rsidRPr="00050BF7">
              <w:rPr>
                <w:rFonts w:cs="Arial"/>
              </w:rPr>
              <w:t>means the contract to be entered into by the Environment Agency</w:t>
            </w:r>
            <w:r w:rsidR="002D3638">
              <w:rPr>
                <w:rFonts w:cs="Arial"/>
              </w:rPr>
              <w:t xml:space="preserve"> (the Authority)</w:t>
            </w:r>
            <w:r w:rsidRPr="00050BF7">
              <w:rPr>
                <w:rFonts w:cs="Arial"/>
              </w:rPr>
              <w:t xml:space="preserve"> and the successful Tenderer</w:t>
            </w:r>
            <w:r w:rsidR="001816E7">
              <w:rPr>
                <w:rFonts w:cs="Arial"/>
              </w:rPr>
              <w:t>.</w:t>
            </w:r>
          </w:p>
        </w:tc>
      </w:tr>
      <w:tr w:rsidR="0066469D" w:rsidRPr="003E5C07" w14:paraId="79CB53EB" w14:textId="77777777" w:rsidTr="00AB24AC">
        <w:tc>
          <w:tcPr>
            <w:tcW w:w="1785" w:type="pct"/>
            <w:vAlign w:val="center"/>
          </w:tcPr>
          <w:p w14:paraId="02F81264" w14:textId="77777777" w:rsidR="0066469D" w:rsidRPr="003E5C07" w:rsidRDefault="0066469D" w:rsidP="0023018A">
            <w:pPr>
              <w:pStyle w:val="BodyText1"/>
              <w:spacing w:before="0" w:after="0"/>
              <w:ind w:left="567"/>
              <w:rPr>
                <w:rFonts w:cs="Arial"/>
                <w:b/>
                <w:sz w:val="22"/>
                <w:szCs w:val="22"/>
              </w:rPr>
            </w:pPr>
            <w:r>
              <w:rPr>
                <w:rFonts w:cs="Arial"/>
                <w:b/>
                <w:sz w:val="22"/>
                <w:szCs w:val="22"/>
              </w:rPr>
              <w:t>“Contractor”</w:t>
            </w:r>
          </w:p>
        </w:tc>
        <w:tc>
          <w:tcPr>
            <w:tcW w:w="3215" w:type="pct"/>
          </w:tcPr>
          <w:p w14:paraId="01E64400" w14:textId="13BE2DC1" w:rsidR="0066469D" w:rsidRPr="00757931" w:rsidRDefault="0066469D" w:rsidP="0023018A">
            <w:pPr>
              <w:pStyle w:val="BodyText1"/>
              <w:spacing w:before="0" w:after="0"/>
              <w:ind w:left="567"/>
              <w:rPr>
                <w:rFonts w:cs="Arial"/>
              </w:rPr>
            </w:pPr>
            <w:r w:rsidRPr="00757931">
              <w:rPr>
                <w:rFonts w:cs="Arial"/>
              </w:rPr>
              <w:t xml:space="preserve">means the organisation that has been awarded the Contract </w:t>
            </w:r>
          </w:p>
        </w:tc>
      </w:tr>
      <w:tr w:rsidR="0066469D" w:rsidRPr="003E5C07" w14:paraId="7C4F97A3" w14:textId="77777777" w:rsidTr="00AB24AC">
        <w:tc>
          <w:tcPr>
            <w:tcW w:w="1785" w:type="pct"/>
            <w:vAlign w:val="center"/>
          </w:tcPr>
          <w:p w14:paraId="085F5DC0" w14:textId="77777777" w:rsidR="0066469D" w:rsidRPr="003E5C07" w:rsidRDefault="0066469D" w:rsidP="0023018A">
            <w:pPr>
              <w:pStyle w:val="BodyText1"/>
              <w:spacing w:before="0" w:after="0"/>
              <w:ind w:left="567"/>
              <w:rPr>
                <w:rFonts w:cs="Arial"/>
                <w:b/>
                <w:sz w:val="22"/>
                <w:szCs w:val="22"/>
              </w:rPr>
            </w:pPr>
            <w:r w:rsidRPr="00734B8E">
              <w:rPr>
                <w:rFonts w:cs="Arial"/>
                <w:b/>
                <w:sz w:val="22"/>
                <w:szCs w:val="22"/>
              </w:rPr>
              <w:t>“COSHH”</w:t>
            </w:r>
            <w:r w:rsidRPr="00734B8E">
              <w:rPr>
                <w:rFonts w:cs="Arial"/>
                <w:b/>
                <w:sz w:val="22"/>
                <w:szCs w:val="22"/>
              </w:rPr>
              <w:tab/>
            </w:r>
          </w:p>
        </w:tc>
        <w:tc>
          <w:tcPr>
            <w:tcW w:w="3215" w:type="pct"/>
          </w:tcPr>
          <w:p w14:paraId="4D9C32A4" w14:textId="77777777" w:rsidR="0066469D" w:rsidRPr="00757931" w:rsidRDefault="0066469D" w:rsidP="0023018A">
            <w:pPr>
              <w:pStyle w:val="BodyText1"/>
              <w:spacing w:before="0" w:after="0"/>
              <w:ind w:left="567"/>
              <w:rPr>
                <w:rFonts w:cs="Arial"/>
              </w:rPr>
            </w:pPr>
            <w:r w:rsidRPr="00757931">
              <w:rPr>
                <w:rFonts w:cs="Arial"/>
              </w:rPr>
              <w:t>means the Control of Substances Hazardous to Health</w:t>
            </w:r>
          </w:p>
        </w:tc>
      </w:tr>
      <w:tr w:rsidR="0066469D" w:rsidRPr="003E5C07" w14:paraId="2F9764C2" w14:textId="77777777" w:rsidTr="00AB24AC">
        <w:tc>
          <w:tcPr>
            <w:tcW w:w="1785" w:type="pct"/>
            <w:vAlign w:val="center"/>
          </w:tcPr>
          <w:p w14:paraId="2139B844" w14:textId="77777777" w:rsidR="0066469D" w:rsidRDefault="0066469D" w:rsidP="0023018A">
            <w:pPr>
              <w:pStyle w:val="BodyText1"/>
              <w:spacing w:before="0" w:after="0"/>
              <w:ind w:left="567"/>
              <w:rPr>
                <w:rFonts w:cs="Arial"/>
                <w:b/>
                <w:sz w:val="22"/>
                <w:szCs w:val="22"/>
              </w:rPr>
            </w:pPr>
            <w:r>
              <w:rPr>
                <w:rFonts w:cs="Arial"/>
                <w:b/>
                <w:sz w:val="22"/>
                <w:szCs w:val="22"/>
              </w:rPr>
              <w:t>“DAQI”</w:t>
            </w:r>
          </w:p>
        </w:tc>
        <w:tc>
          <w:tcPr>
            <w:tcW w:w="3215" w:type="pct"/>
          </w:tcPr>
          <w:p w14:paraId="3E5EDE46" w14:textId="7CF08622" w:rsidR="0066469D" w:rsidRPr="00757931" w:rsidRDefault="0066469D" w:rsidP="0023018A">
            <w:pPr>
              <w:pStyle w:val="BodyText1"/>
              <w:spacing w:before="0" w:after="0"/>
              <w:ind w:left="567"/>
              <w:rPr>
                <w:rFonts w:cs="Arial"/>
              </w:rPr>
            </w:pPr>
            <w:r w:rsidRPr="00757931">
              <w:rPr>
                <w:rFonts w:cs="Arial"/>
              </w:rPr>
              <w:t>means the Daily Air Quality Index</w:t>
            </w:r>
            <w:r w:rsidR="00486E87">
              <w:rPr>
                <w:rFonts w:cs="Arial"/>
              </w:rPr>
              <w:t xml:space="preserve"> - </w:t>
            </w:r>
            <w:hyperlink r:id="rId11" w:history="1">
              <w:r w:rsidR="00486E87" w:rsidRPr="00757931">
                <w:rPr>
                  <w:rStyle w:val="Hyperlink"/>
                  <w:rFonts w:eastAsiaTheme="majorEastAsia" w:cs="Arial"/>
                </w:rPr>
                <w:t>https://uk-air.defra.gov.uk/air-pollution/daqi</w:t>
              </w:r>
            </w:hyperlink>
          </w:p>
          <w:p w14:paraId="5881E78A" w14:textId="66A307C8" w:rsidR="0066469D" w:rsidRPr="00757931" w:rsidRDefault="0066469D" w:rsidP="0023018A">
            <w:pPr>
              <w:pStyle w:val="BodyText1"/>
              <w:spacing w:before="0" w:after="0"/>
              <w:ind w:left="567"/>
              <w:rPr>
                <w:rFonts w:cs="Arial"/>
              </w:rPr>
            </w:pPr>
          </w:p>
          <w:p w14:paraId="0A9C773F" w14:textId="77777777" w:rsidR="0066469D" w:rsidRPr="00757931" w:rsidRDefault="0066469D" w:rsidP="0023018A">
            <w:pPr>
              <w:pStyle w:val="BodyText1"/>
              <w:spacing w:before="0" w:after="0"/>
              <w:ind w:left="567"/>
              <w:rPr>
                <w:rFonts w:cs="Arial"/>
              </w:rPr>
            </w:pPr>
          </w:p>
        </w:tc>
      </w:tr>
      <w:tr w:rsidR="0066469D" w:rsidRPr="003E5C07" w14:paraId="69C04F03" w14:textId="77777777" w:rsidTr="00AB24AC">
        <w:tc>
          <w:tcPr>
            <w:tcW w:w="1785" w:type="pct"/>
            <w:vAlign w:val="center"/>
          </w:tcPr>
          <w:p w14:paraId="5E013B25" w14:textId="77777777" w:rsidR="0066469D" w:rsidRPr="003E5C07" w:rsidRDefault="0066469D" w:rsidP="0023018A">
            <w:pPr>
              <w:pStyle w:val="BodyText1"/>
              <w:spacing w:before="0" w:after="0"/>
              <w:ind w:left="567"/>
              <w:rPr>
                <w:rFonts w:cs="Arial"/>
                <w:b/>
                <w:sz w:val="22"/>
                <w:szCs w:val="22"/>
              </w:rPr>
            </w:pPr>
            <w:r>
              <w:rPr>
                <w:rFonts w:cs="Arial"/>
                <w:b/>
                <w:sz w:val="22"/>
                <w:szCs w:val="22"/>
              </w:rPr>
              <w:lastRenderedPageBreak/>
              <w:t>“DA”</w:t>
            </w:r>
          </w:p>
        </w:tc>
        <w:tc>
          <w:tcPr>
            <w:tcW w:w="3215" w:type="pct"/>
          </w:tcPr>
          <w:p w14:paraId="7046DE05" w14:textId="77777777" w:rsidR="0066469D" w:rsidRPr="00757931" w:rsidRDefault="0066469D" w:rsidP="0023018A">
            <w:pPr>
              <w:pStyle w:val="BodyText1"/>
              <w:spacing w:before="0" w:after="0"/>
              <w:ind w:left="567"/>
              <w:rPr>
                <w:rFonts w:cs="Arial"/>
              </w:rPr>
            </w:pPr>
            <w:r w:rsidRPr="00757931">
              <w:rPr>
                <w:rFonts w:cs="Arial"/>
              </w:rPr>
              <w:t>means the Devolved Administrations (DAERA, SG, WG)</w:t>
            </w:r>
          </w:p>
        </w:tc>
      </w:tr>
      <w:tr w:rsidR="0066469D" w:rsidRPr="003E5C07" w14:paraId="143DF374" w14:textId="77777777" w:rsidTr="00AB24AC">
        <w:tc>
          <w:tcPr>
            <w:tcW w:w="1785" w:type="pct"/>
            <w:vAlign w:val="center"/>
          </w:tcPr>
          <w:p w14:paraId="11A42732" w14:textId="77777777" w:rsidR="0066469D" w:rsidRDefault="0066469D" w:rsidP="0023018A">
            <w:pPr>
              <w:pStyle w:val="BodyText1"/>
              <w:spacing w:before="0" w:after="0"/>
              <w:ind w:left="567"/>
              <w:rPr>
                <w:rFonts w:cs="Arial"/>
                <w:b/>
                <w:sz w:val="22"/>
                <w:szCs w:val="22"/>
              </w:rPr>
            </w:pPr>
            <w:r>
              <w:rPr>
                <w:rFonts w:cs="Arial"/>
                <w:b/>
                <w:sz w:val="22"/>
                <w:szCs w:val="22"/>
              </w:rPr>
              <w:t>“Days”</w:t>
            </w:r>
          </w:p>
        </w:tc>
        <w:tc>
          <w:tcPr>
            <w:tcW w:w="3215" w:type="pct"/>
          </w:tcPr>
          <w:p w14:paraId="61805B5D" w14:textId="77777777" w:rsidR="0066469D" w:rsidRPr="00757931" w:rsidRDefault="0066469D" w:rsidP="0023018A">
            <w:pPr>
              <w:pStyle w:val="BodyText1"/>
              <w:spacing w:before="0" w:after="0"/>
              <w:ind w:left="567"/>
              <w:rPr>
                <w:rFonts w:cs="Arial"/>
              </w:rPr>
            </w:pPr>
            <w:r w:rsidRPr="00757931">
              <w:rPr>
                <w:rFonts w:cs="Arial"/>
              </w:rPr>
              <w:t>means “working days” unless otherwise specified</w:t>
            </w:r>
          </w:p>
        </w:tc>
      </w:tr>
      <w:tr w:rsidR="0066469D" w:rsidRPr="003E5C07" w14:paraId="35379F51" w14:textId="77777777" w:rsidTr="00AB24AC">
        <w:tc>
          <w:tcPr>
            <w:tcW w:w="1785" w:type="pct"/>
            <w:vAlign w:val="center"/>
          </w:tcPr>
          <w:p w14:paraId="27B15580" w14:textId="77777777" w:rsidR="0066469D" w:rsidRPr="003E5C07" w:rsidRDefault="0066469D" w:rsidP="0023018A">
            <w:pPr>
              <w:pStyle w:val="BodyText1"/>
              <w:spacing w:before="0" w:after="0"/>
              <w:ind w:left="567"/>
              <w:rPr>
                <w:rFonts w:cs="Arial"/>
                <w:b/>
                <w:sz w:val="22"/>
                <w:szCs w:val="22"/>
              </w:rPr>
            </w:pPr>
            <w:r>
              <w:rPr>
                <w:rFonts w:cs="Arial"/>
                <w:b/>
                <w:sz w:val="22"/>
                <w:szCs w:val="22"/>
              </w:rPr>
              <w:t>“DDU”</w:t>
            </w:r>
          </w:p>
        </w:tc>
        <w:tc>
          <w:tcPr>
            <w:tcW w:w="3215" w:type="pct"/>
          </w:tcPr>
          <w:p w14:paraId="5929D75B" w14:textId="77777777" w:rsidR="0066469D" w:rsidRPr="00757931" w:rsidRDefault="0066469D" w:rsidP="0023018A">
            <w:pPr>
              <w:pStyle w:val="BodyText1"/>
              <w:spacing w:before="0" w:after="0"/>
              <w:ind w:left="567"/>
              <w:rPr>
                <w:rFonts w:cs="Arial"/>
              </w:rPr>
            </w:pPr>
            <w:r w:rsidRPr="00757931">
              <w:rPr>
                <w:rFonts w:cs="Arial"/>
              </w:rPr>
              <w:t>means the Data Dissemination Unit</w:t>
            </w:r>
          </w:p>
        </w:tc>
      </w:tr>
      <w:tr w:rsidR="0066469D" w:rsidRPr="003E5C07" w14:paraId="1003E72B" w14:textId="77777777" w:rsidTr="00AB24AC">
        <w:tc>
          <w:tcPr>
            <w:tcW w:w="1785" w:type="pct"/>
            <w:vAlign w:val="center"/>
          </w:tcPr>
          <w:p w14:paraId="31E7B76D" w14:textId="77777777" w:rsidR="0066469D" w:rsidRPr="003E5C07" w:rsidRDefault="0066469D" w:rsidP="0023018A">
            <w:pPr>
              <w:pStyle w:val="BodyText1"/>
              <w:spacing w:before="0" w:after="0"/>
              <w:ind w:left="567"/>
              <w:rPr>
                <w:rFonts w:cs="Arial"/>
                <w:b/>
                <w:sz w:val="22"/>
                <w:szCs w:val="22"/>
              </w:rPr>
            </w:pPr>
            <w:r>
              <w:rPr>
                <w:rFonts w:cs="Arial"/>
                <w:b/>
                <w:sz w:val="22"/>
                <w:szCs w:val="22"/>
              </w:rPr>
              <w:t>“DEFRA”</w:t>
            </w:r>
          </w:p>
        </w:tc>
        <w:tc>
          <w:tcPr>
            <w:tcW w:w="3215" w:type="pct"/>
          </w:tcPr>
          <w:p w14:paraId="217491A3" w14:textId="77777777" w:rsidR="0066469D" w:rsidRPr="00757931" w:rsidRDefault="0066469D" w:rsidP="0023018A">
            <w:pPr>
              <w:pStyle w:val="BodyText1"/>
              <w:spacing w:before="0" w:after="0"/>
              <w:ind w:left="567"/>
              <w:rPr>
                <w:rFonts w:cs="Arial"/>
              </w:rPr>
            </w:pPr>
            <w:r w:rsidRPr="00757931">
              <w:rPr>
                <w:rFonts w:cs="Arial"/>
              </w:rPr>
              <w:t>means the Department for Environment, Food and Rural Affairs in England.</w:t>
            </w:r>
          </w:p>
        </w:tc>
      </w:tr>
      <w:tr w:rsidR="0066469D" w:rsidRPr="003E5C07" w14:paraId="55300CFF" w14:textId="77777777" w:rsidTr="00AB24AC">
        <w:tc>
          <w:tcPr>
            <w:tcW w:w="1785" w:type="pct"/>
            <w:vAlign w:val="center"/>
          </w:tcPr>
          <w:p w14:paraId="00C82502" w14:textId="77777777" w:rsidR="0066469D" w:rsidRPr="003E5C07" w:rsidRDefault="0066469D" w:rsidP="0023018A">
            <w:pPr>
              <w:pStyle w:val="BodyText1"/>
              <w:spacing w:before="0" w:after="0"/>
              <w:ind w:left="567"/>
              <w:rPr>
                <w:rFonts w:cs="Arial"/>
                <w:b/>
                <w:sz w:val="22"/>
                <w:szCs w:val="22"/>
              </w:rPr>
            </w:pPr>
            <w:r>
              <w:rPr>
                <w:rFonts w:cs="Arial"/>
                <w:b/>
                <w:sz w:val="22"/>
                <w:szCs w:val="22"/>
              </w:rPr>
              <w:t>“DAERA”</w:t>
            </w:r>
          </w:p>
        </w:tc>
        <w:tc>
          <w:tcPr>
            <w:tcW w:w="3215" w:type="pct"/>
          </w:tcPr>
          <w:p w14:paraId="19405CAD" w14:textId="77777777" w:rsidR="0066469D" w:rsidRPr="00757931" w:rsidRDefault="0066469D" w:rsidP="0023018A">
            <w:pPr>
              <w:pStyle w:val="BodyText1"/>
              <w:spacing w:before="0" w:after="0"/>
              <w:ind w:left="567"/>
              <w:rPr>
                <w:rFonts w:cs="Arial"/>
              </w:rPr>
            </w:pPr>
            <w:r w:rsidRPr="00757931">
              <w:rPr>
                <w:rFonts w:cs="Arial"/>
              </w:rPr>
              <w:t>means the Department of Agriculture Environment and Rural Affairs in Northern Ireland.</w:t>
            </w:r>
          </w:p>
        </w:tc>
      </w:tr>
      <w:tr w:rsidR="0066469D" w:rsidRPr="003E5C07" w14:paraId="32D77BF7" w14:textId="77777777" w:rsidTr="00AB24AC">
        <w:tc>
          <w:tcPr>
            <w:tcW w:w="1785" w:type="pct"/>
          </w:tcPr>
          <w:p w14:paraId="36DAA69D" w14:textId="77777777" w:rsidR="0066469D" w:rsidRPr="00734B8E" w:rsidRDefault="0066469D" w:rsidP="0023018A">
            <w:pPr>
              <w:pStyle w:val="BodyText1"/>
              <w:spacing w:before="0" w:after="0"/>
              <w:ind w:left="567"/>
              <w:rPr>
                <w:rFonts w:cs="Arial"/>
                <w:b/>
                <w:sz w:val="22"/>
                <w:szCs w:val="22"/>
              </w:rPr>
            </w:pPr>
            <w:r w:rsidRPr="00734B8E">
              <w:rPr>
                <w:b/>
                <w:sz w:val="22"/>
                <w:szCs w:val="22"/>
              </w:rPr>
              <w:t>“EMEP”</w:t>
            </w:r>
          </w:p>
        </w:tc>
        <w:tc>
          <w:tcPr>
            <w:tcW w:w="3215" w:type="pct"/>
          </w:tcPr>
          <w:p w14:paraId="7D369AA4" w14:textId="77777777" w:rsidR="0066469D" w:rsidRPr="00757931" w:rsidRDefault="0066469D" w:rsidP="0023018A">
            <w:pPr>
              <w:pStyle w:val="BodyText1"/>
              <w:spacing w:before="0" w:after="0"/>
              <w:ind w:left="567"/>
              <w:rPr>
                <w:rFonts w:cs="Arial"/>
              </w:rPr>
            </w:pPr>
            <w:r w:rsidRPr="00757931">
              <w:rPr>
                <w:rFonts w:cs="Arial"/>
              </w:rPr>
              <w:t>means the European Measurement and Evaluation Programme</w:t>
            </w:r>
          </w:p>
        </w:tc>
      </w:tr>
      <w:tr w:rsidR="00D765D5" w:rsidRPr="003E5C07" w14:paraId="11E9432A" w14:textId="77777777" w:rsidTr="00AB24AC">
        <w:tc>
          <w:tcPr>
            <w:tcW w:w="1785" w:type="pct"/>
          </w:tcPr>
          <w:p w14:paraId="1E13E373" w14:textId="0AF50B3C" w:rsidR="00D765D5" w:rsidRDefault="00D765D5" w:rsidP="0023018A">
            <w:pPr>
              <w:pStyle w:val="BodyText1"/>
              <w:spacing w:before="0" w:after="0"/>
              <w:ind w:left="567"/>
              <w:rPr>
                <w:rFonts w:cs="Arial"/>
                <w:b/>
                <w:sz w:val="22"/>
                <w:szCs w:val="22"/>
              </w:rPr>
            </w:pPr>
            <w:r>
              <w:rPr>
                <w:rFonts w:cs="Arial"/>
                <w:b/>
                <w:sz w:val="22"/>
                <w:szCs w:val="22"/>
              </w:rPr>
              <w:t>“Enclosure”</w:t>
            </w:r>
          </w:p>
        </w:tc>
        <w:tc>
          <w:tcPr>
            <w:tcW w:w="3215" w:type="pct"/>
          </w:tcPr>
          <w:p w14:paraId="7C097563" w14:textId="1A02C271" w:rsidR="00D765D5" w:rsidRPr="00757931" w:rsidRDefault="002A50F2" w:rsidP="0023018A">
            <w:pPr>
              <w:pStyle w:val="BodyText1"/>
              <w:spacing w:before="0" w:after="0"/>
              <w:ind w:left="567"/>
              <w:rPr>
                <w:rFonts w:cs="Arial"/>
              </w:rPr>
            </w:pPr>
            <w:r w:rsidRPr="00757931">
              <w:rPr>
                <w:rFonts w:cs="Arial"/>
              </w:rPr>
              <w:t>Means a small enclosure not designed for human entry</w:t>
            </w:r>
          </w:p>
        </w:tc>
      </w:tr>
      <w:tr w:rsidR="0066469D" w:rsidRPr="003E5C07" w14:paraId="28B20DF2" w14:textId="77777777" w:rsidTr="00AB24AC">
        <w:tc>
          <w:tcPr>
            <w:tcW w:w="1785" w:type="pct"/>
          </w:tcPr>
          <w:p w14:paraId="0FBB8C46" w14:textId="77777777" w:rsidR="0066469D" w:rsidRPr="00B34910" w:rsidRDefault="0066469D" w:rsidP="0023018A">
            <w:pPr>
              <w:pStyle w:val="BodyText1"/>
              <w:spacing w:before="0" w:after="0"/>
              <w:ind w:left="567"/>
              <w:rPr>
                <w:rFonts w:cs="Arial"/>
                <w:b/>
                <w:sz w:val="22"/>
                <w:szCs w:val="22"/>
              </w:rPr>
            </w:pPr>
            <w:r>
              <w:rPr>
                <w:rFonts w:cs="Arial"/>
                <w:b/>
                <w:sz w:val="22"/>
                <w:szCs w:val="22"/>
              </w:rPr>
              <w:t>“</w:t>
            </w:r>
            <w:r w:rsidRPr="00B34910">
              <w:rPr>
                <w:rFonts w:cs="Arial"/>
                <w:b/>
                <w:sz w:val="22"/>
                <w:szCs w:val="22"/>
              </w:rPr>
              <w:t>Equipment</w:t>
            </w:r>
            <w:r>
              <w:rPr>
                <w:rFonts w:cs="Arial"/>
                <w:b/>
                <w:sz w:val="22"/>
                <w:szCs w:val="22"/>
              </w:rPr>
              <w:t>”</w:t>
            </w:r>
          </w:p>
        </w:tc>
        <w:tc>
          <w:tcPr>
            <w:tcW w:w="3215" w:type="pct"/>
          </w:tcPr>
          <w:p w14:paraId="29010F3B" w14:textId="77777777" w:rsidR="0066469D" w:rsidRPr="00757931" w:rsidRDefault="0066469D" w:rsidP="0023018A">
            <w:pPr>
              <w:pStyle w:val="BodyText1"/>
              <w:spacing w:before="0" w:after="0"/>
              <w:ind w:left="567"/>
              <w:rPr>
                <w:rFonts w:cs="Arial"/>
              </w:rPr>
            </w:pPr>
            <w:r w:rsidRPr="00757931">
              <w:rPr>
                <w:rFonts w:cs="Arial"/>
              </w:rPr>
              <w:t>means for the purposes of this Specification of Requirements ‘equipment ‘ refers to monitoring instruments, air conditioning units, housing or other associated equipment required for monitoring purposes.</w:t>
            </w:r>
          </w:p>
        </w:tc>
      </w:tr>
      <w:tr w:rsidR="0066469D" w:rsidRPr="003E5C07" w14:paraId="24DB448B" w14:textId="77777777" w:rsidTr="00AB24AC">
        <w:tc>
          <w:tcPr>
            <w:tcW w:w="1785" w:type="pct"/>
            <w:vAlign w:val="center"/>
          </w:tcPr>
          <w:p w14:paraId="51CDC9A4" w14:textId="77777777" w:rsidR="0066469D" w:rsidRDefault="0066469D" w:rsidP="0023018A">
            <w:pPr>
              <w:pStyle w:val="BodyText1"/>
              <w:spacing w:before="0" w:after="0"/>
              <w:ind w:left="567"/>
              <w:rPr>
                <w:rFonts w:cs="Arial"/>
                <w:b/>
                <w:sz w:val="22"/>
                <w:szCs w:val="22"/>
              </w:rPr>
            </w:pPr>
            <w:r>
              <w:rPr>
                <w:rFonts w:cs="Arial"/>
                <w:b/>
                <w:sz w:val="22"/>
                <w:szCs w:val="22"/>
              </w:rPr>
              <w:t>“ESU”</w:t>
            </w:r>
          </w:p>
        </w:tc>
        <w:tc>
          <w:tcPr>
            <w:tcW w:w="3215" w:type="pct"/>
          </w:tcPr>
          <w:p w14:paraId="5EBD726A" w14:textId="77777777" w:rsidR="0066469D" w:rsidRPr="00757931" w:rsidRDefault="0066469D" w:rsidP="0023018A">
            <w:pPr>
              <w:pStyle w:val="BodyText1"/>
              <w:spacing w:before="0" w:after="0"/>
              <w:ind w:left="567"/>
              <w:rPr>
                <w:rFonts w:cs="Arial"/>
              </w:rPr>
            </w:pPr>
            <w:r w:rsidRPr="00757931">
              <w:rPr>
                <w:rFonts w:cs="Arial"/>
              </w:rPr>
              <w:t>means Equipment Support Units.</w:t>
            </w:r>
          </w:p>
        </w:tc>
      </w:tr>
      <w:tr w:rsidR="0066469D" w:rsidRPr="003E5C07" w14:paraId="787DA997" w14:textId="77777777" w:rsidTr="00AB24AC">
        <w:tc>
          <w:tcPr>
            <w:tcW w:w="1785" w:type="pct"/>
            <w:vAlign w:val="center"/>
          </w:tcPr>
          <w:p w14:paraId="17ED01B8" w14:textId="77777777" w:rsidR="0066469D" w:rsidRPr="00734B8E" w:rsidRDefault="0066469D" w:rsidP="0023018A">
            <w:pPr>
              <w:pStyle w:val="BodyText1"/>
              <w:spacing w:before="0" w:after="0"/>
              <w:ind w:left="567"/>
              <w:rPr>
                <w:rFonts w:cs="Arial"/>
                <w:b/>
                <w:sz w:val="22"/>
                <w:szCs w:val="22"/>
              </w:rPr>
            </w:pPr>
            <w:r>
              <w:rPr>
                <w:rFonts w:cs="Arial"/>
                <w:b/>
                <w:sz w:val="22"/>
                <w:szCs w:val="22"/>
              </w:rPr>
              <w:t>“GANTT”</w:t>
            </w:r>
          </w:p>
        </w:tc>
        <w:tc>
          <w:tcPr>
            <w:tcW w:w="3215" w:type="pct"/>
          </w:tcPr>
          <w:p w14:paraId="7A67BAFE" w14:textId="77777777" w:rsidR="0066469D" w:rsidRPr="00757931" w:rsidRDefault="0066469D" w:rsidP="0023018A">
            <w:pPr>
              <w:pStyle w:val="BodyText1"/>
              <w:spacing w:before="0" w:after="0"/>
              <w:ind w:left="567"/>
              <w:rPr>
                <w:rFonts w:cs="Arial"/>
              </w:rPr>
            </w:pPr>
            <w:r w:rsidRPr="00757931">
              <w:rPr>
                <w:rFonts w:cs="Arial"/>
              </w:rPr>
              <w:t>means a bar chart that illustrates the schedule of works and dependency relationships between activities and current schedule status.</w:t>
            </w:r>
          </w:p>
        </w:tc>
      </w:tr>
      <w:tr w:rsidR="0066469D" w:rsidRPr="003E5C07" w14:paraId="10002EE7" w14:textId="77777777" w:rsidTr="00AB24AC">
        <w:tc>
          <w:tcPr>
            <w:tcW w:w="1785" w:type="pct"/>
            <w:vAlign w:val="center"/>
          </w:tcPr>
          <w:p w14:paraId="07E007DC" w14:textId="77777777" w:rsidR="0066469D" w:rsidRPr="003E5C07" w:rsidRDefault="0066469D" w:rsidP="0023018A">
            <w:pPr>
              <w:pStyle w:val="BodyText1"/>
              <w:spacing w:before="0" w:after="0"/>
              <w:ind w:left="567"/>
              <w:rPr>
                <w:rFonts w:cs="Arial"/>
                <w:b/>
                <w:sz w:val="22"/>
                <w:szCs w:val="22"/>
              </w:rPr>
            </w:pPr>
            <w:r w:rsidRPr="00734B8E">
              <w:rPr>
                <w:rFonts w:cs="Arial"/>
                <w:b/>
                <w:sz w:val="22"/>
                <w:szCs w:val="22"/>
              </w:rPr>
              <w:t>“GDPR”</w:t>
            </w:r>
            <w:r w:rsidRPr="00734B8E">
              <w:rPr>
                <w:rFonts w:cs="Arial"/>
                <w:b/>
                <w:sz w:val="22"/>
                <w:szCs w:val="22"/>
              </w:rPr>
              <w:tab/>
            </w:r>
          </w:p>
        </w:tc>
        <w:tc>
          <w:tcPr>
            <w:tcW w:w="3215" w:type="pct"/>
          </w:tcPr>
          <w:p w14:paraId="389A3C18" w14:textId="77777777" w:rsidR="0066469D" w:rsidRPr="00757931" w:rsidRDefault="0066469D" w:rsidP="0023018A">
            <w:pPr>
              <w:pStyle w:val="BodyText1"/>
              <w:spacing w:before="0" w:after="0"/>
              <w:ind w:left="567"/>
              <w:rPr>
                <w:rFonts w:cs="Arial"/>
              </w:rPr>
            </w:pPr>
            <w:r w:rsidRPr="00757931">
              <w:rPr>
                <w:rFonts w:cs="Arial"/>
              </w:rPr>
              <w:t>means the Regulation (EU) 2016/679 (General Data Protection Regulation</w:t>
            </w:r>
            <w:r w:rsidRPr="00757931">
              <w:rPr>
                <w:rFonts w:cs="Arial"/>
                <w:b/>
              </w:rPr>
              <w:t>)</w:t>
            </w:r>
          </w:p>
        </w:tc>
      </w:tr>
      <w:tr w:rsidR="00191DE5" w:rsidRPr="003E5C07" w14:paraId="79EA22E3" w14:textId="77777777" w:rsidTr="00AB24AC">
        <w:tc>
          <w:tcPr>
            <w:tcW w:w="1785" w:type="pct"/>
          </w:tcPr>
          <w:p w14:paraId="40F5B935" w14:textId="55FF07E9" w:rsidR="00191DE5" w:rsidRDefault="00191DE5" w:rsidP="0023018A">
            <w:pPr>
              <w:pStyle w:val="BodyText1"/>
              <w:spacing w:before="0" w:after="0"/>
              <w:ind w:left="567"/>
              <w:rPr>
                <w:rFonts w:cs="Arial"/>
                <w:b/>
                <w:sz w:val="22"/>
                <w:szCs w:val="22"/>
              </w:rPr>
            </w:pPr>
            <w:r>
              <w:rPr>
                <w:rFonts w:cs="Arial"/>
                <w:b/>
                <w:sz w:val="22"/>
                <w:szCs w:val="22"/>
              </w:rPr>
              <w:t>“Housing”</w:t>
            </w:r>
          </w:p>
        </w:tc>
        <w:tc>
          <w:tcPr>
            <w:tcW w:w="3215" w:type="pct"/>
          </w:tcPr>
          <w:p w14:paraId="2DCF0471" w14:textId="1BBF1EFC" w:rsidR="00191DE5" w:rsidRPr="00757931" w:rsidRDefault="00D765D5" w:rsidP="0023018A">
            <w:pPr>
              <w:pStyle w:val="BodyText1"/>
              <w:spacing w:before="0" w:after="0"/>
              <w:ind w:left="567"/>
              <w:rPr>
                <w:rFonts w:cs="Arial"/>
                <w:i/>
                <w:iCs/>
              </w:rPr>
            </w:pPr>
            <w:r w:rsidRPr="00757931">
              <w:rPr>
                <w:rFonts w:cs="Arial"/>
              </w:rPr>
              <w:t>Means an overarching term for cabins or enclosures (syn</w:t>
            </w:r>
            <w:r w:rsidR="00FC562E" w:rsidRPr="00757931">
              <w:rPr>
                <w:rFonts w:cs="Arial"/>
              </w:rPr>
              <w:t>onymous with</w:t>
            </w:r>
            <w:r w:rsidRPr="00757931">
              <w:rPr>
                <w:rFonts w:cs="Arial"/>
              </w:rPr>
              <w:t xml:space="preserve"> Kiosk</w:t>
            </w:r>
            <w:r w:rsidR="00EE639C" w:rsidRPr="00757931">
              <w:rPr>
                <w:rFonts w:cs="Arial"/>
              </w:rPr>
              <w:t xml:space="preserve"> in this specifciation</w:t>
            </w:r>
            <w:r w:rsidRPr="00757931">
              <w:rPr>
                <w:rFonts w:cs="Arial"/>
              </w:rPr>
              <w:t>)</w:t>
            </w:r>
          </w:p>
        </w:tc>
      </w:tr>
      <w:tr w:rsidR="0066469D" w:rsidRPr="003E5C07" w14:paraId="699DB203" w14:textId="77777777" w:rsidTr="00AB24AC">
        <w:tc>
          <w:tcPr>
            <w:tcW w:w="1785" w:type="pct"/>
          </w:tcPr>
          <w:p w14:paraId="721400A6" w14:textId="77777777" w:rsidR="0066469D" w:rsidRDefault="0066469D" w:rsidP="0023018A">
            <w:pPr>
              <w:pStyle w:val="BodyText1"/>
              <w:spacing w:before="0" w:after="0"/>
              <w:ind w:left="567"/>
              <w:rPr>
                <w:rFonts w:cs="Arial"/>
                <w:b/>
                <w:sz w:val="22"/>
                <w:szCs w:val="22"/>
              </w:rPr>
            </w:pPr>
            <w:r>
              <w:rPr>
                <w:rFonts w:cs="Arial"/>
                <w:b/>
                <w:sz w:val="22"/>
                <w:szCs w:val="22"/>
              </w:rPr>
              <w:t>“ISO”</w:t>
            </w:r>
          </w:p>
        </w:tc>
        <w:tc>
          <w:tcPr>
            <w:tcW w:w="3215" w:type="pct"/>
          </w:tcPr>
          <w:p w14:paraId="0469CB02" w14:textId="77777777" w:rsidR="0066469D" w:rsidRPr="00D949FB" w:rsidRDefault="0066469D" w:rsidP="0023018A">
            <w:pPr>
              <w:pStyle w:val="BodyText1"/>
              <w:spacing w:before="0" w:after="0"/>
              <w:ind w:left="567"/>
              <w:rPr>
                <w:rFonts w:cs="Arial"/>
              </w:rPr>
            </w:pPr>
            <w:r w:rsidRPr="00D949FB">
              <w:rPr>
                <w:rFonts w:cs="Arial"/>
              </w:rPr>
              <w:t>means International Organization for Standardization</w:t>
            </w:r>
          </w:p>
        </w:tc>
      </w:tr>
      <w:tr w:rsidR="00EE639C" w:rsidRPr="003E5C07" w14:paraId="512AF3A2" w14:textId="77777777" w:rsidTr="00AB24AC">
        <w:tc>
          <w:tcPr>
            <w:tcW w:w="1785" w:type="pct"/>
          </w:tcPr>
          <w:p w14:paraId="508BD989" w14:textId="5E9CEC60" w:rsidR="00EE639C" w:rsidRDefault="00EE639C" w:rsidP="0023018A">
            <w:pPr>
              <w:pStyle w:val="BodyText1"/>
              <w:spacing w:before="0" w:after="0"/>
              <w:ind w:left="567"/>
              <w:rPr>
                <w:rFonts w:cs="Arial"/>
                <w:b/>
                <w:sz w:val="22"/>
                <w:szCs w:val="22"/>
              </w:rPr>
            </w:pPr>
            <w:r>
              <w:rPr>
                <w:rFonts w:cs="Arial"/>
                <w:b/>
                <w:sz w:val="22"/>
                <w:szCs w:val="22"/>
              </w:rPr>
              <w:t>“Kiosk”</w:t>
            </w:r>
          </w:p>
        </w:tc>
        <w:tc>
          <w:tcPr>
            <w:tcW w:w="3215" w:type="pct"/>
          </w:tcPr>
          <w:p w14:paraId="2025473F" w14:textId="0E0FFA7D" w:rsidR="00EE639C" w:rsidRPr="00D949FB" w:rsidRDefault="00EE639C" w:rsidP="0023018A">
            <w:pPr>
              <w:pStyle w:val="BodyText1"/>
              <w:spacing w:before="0" w:after="0"/>
              <w:ind w:left="567"/>
              <w:rPr>
                <w:rFonts w:cs="Arial"/>
              </w:rPr>
            </w:pPr>
            <w:r w:rsidRPr="00D949FB">
              <w:rPr>
                <w:rFonts w:cs="Arial"/>
              </w:rPr>
              <w:t xml:space="preserve">Used in MEICA documents </w:t>
            </w:r>
            <w:r w:rsidR="00DB0EED" w:rsidRPr="00D949FB">
              <w:rPr>
                <w:rFonts w:cs="Arial"/>
              </w:rPr>
              <w:t>to refer to housings and other removable structures</w:t>
            </w:r>
            <w:r w:rsidR="0041185B" w:rsidRPr="00D949FB">
              <w:rPr>
                <w:rFonts w:cs="Arial"/>
              </w:rPr>
              <w:t>.</w:t>
            </w:r>
          </w:p>
        </w:tc>
      </w:tr>
      <w:tr w:rsidR="0066469D" w:rsidRPr="003E5C07" w14:paraId="4F54D923" w14:textId="77777777" w:rsidTr="00AB24AC">
        <w:tc>
          <w:tcPr>
            <w:tcW w:w="1785" w:type="pct"/>
          </w:tcPr>
          <w:p w14:paraId="23F74336" w14:textId="77777777" w:rsidR="0066469D" w:rsidRDefault="0066469D" w:rsidP="0023018A">
            <w:pPr>
              <w:pStyle w:val="BodyText1"/>
              <w:spacing w:before="0" w:after="0"/>
              <w:ind w:left="567"/>
              <w:rPr>
                <w:rFonts w:cs="Arial"/>
                <w:b/>
                <w:sz w:val="22"/>
                <w:szCs w:val="22"/>
              </w:rPr>
            </w:pPr>
            <w:r>
              <w:rPr>
                <w:rFonts w:cs="Arial"/>
                <w:b/>
                <w:sz w:val="22"/>
                <w:szCs w:val="22"/>
              </w:rPr>
              <w:t>“KPI’s”</w:t>
            </w:r>
          </w:p>
        </w:tc>
        <w:tc>
          <w:tcPr>
            <w:tcW w:w="3215" w:type="pct"/>
          </w:tcPr>
          <w:p w14:paraId="5FDA289C" w14:textId="77777777" w:rsidR="0066469D" w:rsidRPr="00D949FB" w:rsidRDefault="0066469D" w:rsidP="0023018A">
            <w:pPr>
              <w:pStyle w:val="BodyText1"/>
              <w:spacing w:before="0" w:after="0"/>
              <w:ind w:left="567"/>
              <w:rPr>
                <w:rFonts w:cs="Arial"/>
              </w:rPr>
            </w:pPr>
            <w:r w:rsidRPr="00D949FB">
              <w:rPr>
                <w:rFonts w:cs="Arial"/>
              </w:rPr>
              <w:t xml:space="preserve">means Key Performance Indicators </w:t>
            </w:r>
          </w:p>
        </w:tc>
      </w:tr>
      <w:tr w:rsidR="0066469D" w:rsidRPr="003E5C07" w14:paraId="74CAFD64" w14:textId="77777777" w:rsidTr="00AB24AC">
        <w:tc>
          <w:tcPr>
            <w:tcW w:w="1785" w:type="pct"/>
          </w:tcPr>
          <w:p w14:paraId="051B0636" w14:textId="77777777" w:rsidR="0066469D" w:rsidRPr="003D2F98" w:rsidRDefault="0066469D" w:rsidP="0023018A">
            <w:pPr>
              <w:pStyle w:val="BodyText1"/>
              <w:spacing w:before="0" w:after="0"/>
              <w:ind w:left="567"/>
              <w:rPr>
                <w:rFonts w:cs="Arial"/>
                <w:b/>
                <w:sz w:val="22"/>
                <w:szCs w:val="22"/>
              </w:rPr>
            </w:pPr>
            <w:r>
              <w:rPr>
                <w:rFonts w:cs="Arial"/>
                <w:b/>
                <w:sz w:val="22"/>
                <w:szCs w:val="22"/>
              </w:rPr>
              <w:t>“</w:t>
            </w:r>
            <w:r w:rsidRPr="003D2F98">
              <w:rPr>
                <w:rFonts w:cs="Arial"/>
                <w:b/>
                <w:sz w:val="22"/>
                <w:szCs w:val="22"/>
              </w:rPr>
              <w:t>LA</w:t>
            </w:r>
            <w:r>
              <w:rPr>
                <w:rFonts w:cs="Arial"/>
                <w:b/>
                <w:sz w:val="22"/>
                <w:szCs w:val="22"/>
              </w:rPr>
              <w:t>”</w:t>
            </w:r>
          </w:p>
        </w:tc>
        <w:tc>
          <w:tcPr>
            <w:tcW w:w="3215" w:type="pct"/>
          </w:tcPr>
          <w:p w14:paraId="78C9E7B5" w14:textId="77777777" w:rsidR="0066469D" w:rsidRPr="00D949FB" w:rsidRDefault="0066469D" w:rsidP="0023018A">
            <w:pPr>
              <w:pStyle w:val="BodyText1"/>
              <w:spacing w:before="0" w:after="0"/>
              <w:ind w:left="567"/>
              <w:rPr>
                <w:rFonts w:cs="Arial"/>
              </w:rPr>
            </w:pPr>
            <w:r w:rsidRPr="00D949FB">
              <w:rPr>
                <w:rFonts w:cs="Arial"/>
              </w:rPr>
              <w:t>means the Local Authority</w:t>
            </w:r>
          </w:p>
        </w:tc>
      </w:tr>
      <w:tr w:rsidR="009F4796" w:rsidRPr="003E5C07" w14:paraId="6901D412" w14:textId="77777777" w:rsidTr="00AB24AC">
        <w:tc>
          <w:tcPr>
            <w:tcW w:w="1785" w:type="pct"/>
          </w:tcPr>
          <w:p w14:paraId="4D53E00E" w14:textId="6D2136BA" w:rsidR="009F4796" w:rsidRPr="003D2F98" w:rsidRDefault="009F4796" w:rsidP="009F4796">
            <w:pPr>
              <w:pStyle w:val="BodyText1"/>
              <w:spacing w:before="0" w:after="0"/>
              <w:ind w:left="567"/>
              <w:rPr>
                <w:rFonts w:cs="Arial"/>
                <w:b/>
                <w:sz w:val="22"/>
                <w:szCs w:val="22"/>
              </w:rPr>
            </w:pPr>
            <w:r>
              <w:rPr>
                <w:rFonts w:cs="Arial"/>
                <w:b/>
                <w:sz w:val="22"/>
                <w:szCs w:val="22"/>
              </w:rPr>
              <w:t>“MEICA”</w:t>
            </w:r>
          </w:p>
        </w:tc>
        <w:tc>
          <w:tcPr>
            <w:tcW w:w="3215" w:type="pct"/>
          </w:tcPr>
          <w:p w14:paraId="25C7472A" w14:textId="04743045" w:rsidR="009F4796" w:rsidRPr="00D949FB" w:rsidRDefault="009F4796" w:rsidP="009F4796">
            <w:pPr>
              <w:pStyle w:val="BodyText1"/>
              <w:spacing w:before="0" w:after="0"/>
              <w:ind w:left="567"/>
              <w:rPr>
                <w:rFonts w:cs="Arial"/>
              </w:rPr>
            </w:pPr>
            <w:r w:rsidRPr="00D949FB">
              <w:rPr>
                <w:rFonts w:cs="Arial"/>
              </w:rPr>
              <w:t xml:space="preserve">Means the Mechanical Electrical Instrumentation Control and Automation team in the Environment Agency who provide </w:t>
            </w:r>
            <w:r w:rsidRPr="00D949FB">
              <w:rPr>
                <w:rFonts w:cs="Arial"/>
                <w:shd w:val="clear" w:color="auto" w:fill="FFFFFF"/>
              </w:rPr>
              <w:t>provide specialist technical advice, technical support and guidance to asset managers</w:t>
            </w:r>
          </w:p>
        </w:tc>
      </w:tr>
      <w:tr w:rsidR="009F4796" w:rsidRPr="003E5C07" w14:paraId="25E84841" w14:textId="77777777" w:rsidTr="00AB24AC">
        <w:tc>
          <w:tcPr>
            <w:tcW w:w="1785" w:type="pct"/>
          </w:tcPr>
          <w:p w14:paraId="0631B120" w14:textId="77777777" w:rsidR="009F4796" w:rsidRDefault="009F4796" w:rsidP="009F4796">
            <w:pPr>
              <w:pStyle w:val="BodyText1"/>
              <w:spacing w:before="0" w:after="0"/>
              <w:ind w:left="567"/>
              <w:rPr>
                <w:rFonts w:cs="Arial"/>
                <w:b/>
                <w:sz w:val="22"/>
                <w:szCs w:val="22"/>
              </w:rPr>
            </w:pPr>
            <w:r>
              <w:rPr>
                <w:rFonts w:cs="Arial"/>
                <w:b/>
                <w:sz w:val="22"/>
                <w:szCs w:val="22"/>
              </w:rPr>
              <w:t>“Open Book”</w:t>
            </w:r>
          </w:p>
        </w:tc>
        <w:tc>
          <w:tcPr>
            <w:tcW w:w="3215" w:type="pct"/>
          </w:tcPr>
          <w:p w14:paraId="3B64D265" w14:textId="77777777" w:rsidR="009F4796" w:rsidRPr="00D949FB" w:rsidRDefault="009F4796" w:rsidP="009F4796">
            <w:pPr>
              <w:pStyle w:val="BodyText1"/>
              <w:spacing w:before="0" w:after="0"/>
              <w:ind w:left="567"/>
              <w:rPr>
                <w:rFonts w:cs="Arial"/>
              </w:rPr>
            </w:pPr>
            <w:r w:rsidRPr="00D949FB">
              <w:rPr>
                <w:rFonts w:cs="Arial"/>
              </w:rPr>
              <w:t>means an agreement to view data and financial information relating to costs incurred in any one part of the supply chain. So the supplier and customer can work together to ensure that costs are minimised where possible.</w:t>
            </w:r>
          </w:p>
        </w:tc>
      </w:tr>
      <w:tr w:rsidR="009F4796" w:rsidRPr="003E5C07" w14:paraId="58C410EB" w14:textId="77777777" w:rsidTr="00AB24AC">
        <w:tc>
          <w:tcPr>
            <w:tcW w:w="1785" w:type="pct"/>
          </w:tcPr>
          <w:p w14:paraId="5B28BE1A" w14:textId="77777777" w:rsidR="009F4796" w:rsidRDefault="009F4796" w:rsidP="009F4796">
            <w:pPr>
              <w:pStyle w:val="BodyText1"/>
              <w:spacing w:before="0" w:after="0"/>
              <w:ind w:left="567"/>
              <w:rPr>
                <w:rFonts w:cs="Arial"/>
                <w:b/>
                <w:sz w:val="22"/>
                <w:szCs w:val="22"/>
              </w:rPr>
            </w:pPr>
            <w:r>
              <w:rPr>
                <w:rFonts w:cs="Arial"/>
                <w:b/>
                <w:sz w:val="22"/>
                <w:szCs w:val="22"/>
              </w:rPr>
              <w:t>“PAT”</w:t>
            </w:r>
          </w:p>
        </w:tc>
        <w:tc>
          <w:tcPr>
            <w:tcW w:w="3215" w:type="pct"/>
          </w:tcPr>
          <w:p w14:paraId="4511D924" w14:textId="77777777" w:rsidR="009F4796" w:rsidRPr="00D949FB" w:rsidRDefault="009F4796" w:rsidP="009F4796">
            <w:pPr>
              <w:pStyle w:val="BodyText1"/>
              <w:spacing w:before="0" w:after="0"/>
              <w:ind w:left="567"/>
              <w:rPr>
                <w:rFonts w:cs="Arial"/>
              </w:rPr>
            </w:pPr>
            <w:r w:rsidRPr="00D949FB">
              <w:rPr>
                <w:rFonts w:cs="Arial"/>
              </w:rPr>
              <w:t>means Portable Appliance Testing</w:t>
            </w:r>
          </w:p>
        </w:tc>
      </w:tr>
      <w:tr w:rsidR="009F4796" w:rsidRPr="003E5C07" w14:paraId="2C55AF28" w14:textId="77777777" w:rsidTr="00AB24AC">
        <w:tc>
          <w:tcPr>
            <w:tcW w:w="1785" w:type="pct"/>
          </w:tcPr>
          <w:p w14:paraId="74C9F537" w14:textId="77777777" w:rsidR="009F4796" w:rsidRDefault="009F4796" w:rsidP="009F4796">
            <w:pPr>
              <w:pStyle w:val="BodyText1"/>
              <w:spacing w:before="0" w:after="0"/>
              <w:ind w:left="567"/>
              <w:rPr>
                <w:rFonts w:cs="Arial"/>
                <w:b/>
                <w:sz w:val="22"/>
                <w:szCs w:val="22"/>
              </w:rPr>
            </w:pPr>
            <w:r>
              <w:rPr>
                <w:rFonts w:cs="Arial"/>
                <w:b/>
                <w:sz w:val="22"/>
                <w:szCs w:val="22"/>
              </w:rPr>
              <w:t>“PERT”</w:t>
            </w:r>
          </w:p>
        </w:tc>
        <w:tc>
          <w:tcPr>
            <w:tcW w:w="3215" w:type="pct"/>
          </w:tcPr>
          <w:p w14:paraId="02D123C3" w14:textId="77777777" w:rsidR="009F4796" w:rsidRPr="00D949FB" w:rsidRDefault="009F4796" w:rsidP="009F4796">
            <w:pPr>
              <w:pStyle w:val="BodyText1"/>
              <w:spacing w:before="0" w:after="0"/>
              <w:rPr>
                <w:rFonts w:cs="Arial"/>
              </w:rPr>
            </w:pPr>
            <w:r w:rsidRPr="00D949FB">
              <w:rPr>
                <w:rFonts w:cs="Arial"/>
              </w:rPr>
              <w:t xml:space="preserve">         Means the Population Exposure Reduction Target</w:t>
            </w:r>
          </w:p>
        </w:tc>
      </w:tr>
      <w:tr w:rsidR="009F4796" w:rsidRPr="003E5C07" w14:paraId="0FBFACAB" w14:textId="77777777" w:rsidTr="00AB24AC">
        <w:tc>
          <w:tcPr>
            <w:tcW w:w="1785" w:type="pct"/>
          </w:tcPr>
          <w:p w14:paraId="6E2D57AA" w14:textId="77777777" w:rsidR="009F4796" w:rsidRPr="003D2F98" w:rsidRDefault="009F4796" w:rsidP="009F4796">
            <w:pPr>
              <w:pStyle w:val="BodyText1"/>
              <w:spacing w:before="0" w:after="0"/>
              <w:ind w:left="567"/>
              <w:rPr>
                <w:rFonts w:cs="Arial"/>
                <w:b/>
                <w:sz w:val="22"/>
                <w:szCs w:val="22"/>
              </w:rPr>
            </w:pPr>
            <w:r>
              <w:rPr>
                <w:rFonts w:cs="Arial"/>
                <w:b/>
                <w:sz w:val="22"/>
                <w:szCs w:val="22"/>
              </w:rPr>
              <w:t>“</w:t>
            </w:r>
            <w:r w:rsidRPr="003D2F98">
              <w:rPr>
                <w:rFonts w:cs="Arial"/>
                <w:b/>
                <w:sz w:val="22"/>
                <w:szCs w:val="22"/>
              </w:rPr>
              <w:t>PM</w:t>
            </w:r>
            <w:r>
              <w:rPr>
                <w:rFonts w:cs="Arial"/>
                <w:b/>
                <w:sz w:val="22"/>
                <w:szCs w:val="22"/>
              </w:rPr>
              <w:t>”</w:t>
            </w:r>
          </w:p>
        </w:tc>
        <w:tc>
          <w:tcPr>
            <w:tcW w:w="3215" w:type="pct"/>
          </w:tcPr>
          <w:p w14:paraId="5C890633" w14:textId="77777777" w:rsidR="009F4796" w:rsidRPr="00D949FB" w:rsidRDefault="009F4796" w:rsidP="009F4796">
            <w:pPr>
              <w:pStyle w:val="BodyText1"/>
              <w:spacing w:before="0" w:after="0"/>
              <w:ind w:left="567"/>
              <w:rPr>
                <w:rFonts w:cs="Arial"/>
              </w:rPr>
            </w:pPr>
            <w:r w:rsidRPr="00D949FB">
              <w:rPr>
                <w:rFonts w:cs="Arial"/>
              </w:rPr>
              <w:t>means Particulate Matter</w:t>
            </w:r>
          </w:p>
        </w:tc>
      </w:tr>
      <w:tr w:rsidR="009F4796" w:rsidRPr="003E5C07" w14:paraId="6A404A3F" w14:textId="77777777" w:rsidTr="00AB24AC">
        <w:tc>
          <w:tcPr>
            <w:tcW w:w="1785" w:type="pct"/>
          </w:tcPr>
          <w:p w14:paraId="474FE34E" w14:textId="77777777" w:rsidR="009F4796" w:rsidRPr="003D2F98" w:rsidRDefault="009F4796" w:rsidP="009F4796">
            <w:pPr>
              <w:pStyle w:val="BodyText1"/>
              <w:spacing w:before="0" w:after="0"/>
              <w:ind w:left="567"/>
              <w:rPr>
                <w:rFonts w:cs="Arial"/>
                <w:b/>
                <w:sz w:val="22"/>
                <w:szCs w:val="22"/>
              </w:rPr>
            </w:pPr>
            <w:r>
              <w:rPr>
                <w:rFonts w:cs="Arial"/>
                <w:b/>
                <w:sz w:val="22"/>
                <w:szCs w:val="22"/>
              </w:rPr>
              <w:t>“</w:t>
            </w:r>
            <w:r w:rsidRPr="003D2F98">
              <w:rPr>
                <w:rFonts w:cs="Arial"/>
                <w:b/>
                <w:sz w:val="22"/>
                <w:szCs w:val="22"/>
              </w:rPr>
              <w:t>PM</w:t>
            </w:r>
            <w:r w:rsidRPr="006E480B">
              <w:rPr>
                <w:rFonts w:cs="Arial"/>
                <w:b/>
                <w:sz w:val="22"/>
                <w:szCs w:val="22"/>
                <w:vertAlign w:val="subscript"/>
              </w:rPr>
              <w:t>2.5</w:t>
            </w:r>
            <w:r>
              <w:rPr>
                <w:rFonts w:cs="Arial"/>
                <w:b/>
                <w:sz w:val="22"/>
                <w:szCs w:val="22"/>
              </w:rPr>
              <w:t>”</w:t>
            </w:r>
          </w:p>
        </w:tc>
        <w:tc>
          <w:tcPr>
            <w:tcW w:w="3215" w:type="pct"/>
          </w:tcPr>
          <w:p w14:paraId="5ECFF03D" w14:textId="77777777" w:rsidR="009F4796" w:rsidRPr="00D949FB" w:rsidRDefault="009F4796" w:rsidP="009F4796">
            <w:pPr>
              <w:pStyle w:val="BodyText1"/>
              <w:spacing w:before="0" w:after="0"/>
              <w:ind w:left="567"/>
              <w:rPr>
                <w:rFonts w:cs="Arial"/>
              </w:rPr>
            </w:pPr>
            <w:r w:rsidRPr="00D949FB">
              <w:rPr>
                <w:rFonts w:cs="Arial"/>
              </w:rPr>
              <w:t>means particulate matter that passes through a size-selective inlet with 50 % efficiency at cut-off size of 2.5μm.</w:t>
            </w:r>
          </w:p>
        </w:tc>
      </w:tr>
      <w:tr w:rsidR="009F4796" w:rsidRPr="003E5C07" w14:paraId="52C03E0B" w14:textId="77777777" w:rsidTr="00AB24AC">
        <w:tc>
          <w:tcPr>
            <w:tcW w:w="1785" w:type="pct"/>
          </w:tcPr>
          <w:p w14:paraId="3F6D36EB" w14:textId="77777777" w:rsidR="009F4796" w:rsidRPr="003D2F98" w:rsidRDefault="009F4796" w:rsidP="009F4796">
            <w:pPr>
              <w:pStyle w:val="BodyText1"/>
              <w:spacing w:before="0" w:after="0"/>
              <w:ind w:left="567"/>
              <w:rPr>
                <w:rFonts w:cs="Arial"/>
                <w:b/>
                <w:sz w:val="22"/>
                <w:szCs w:val="22"/>
              </w:rPr>
            </w:pPr>
            <w:r>
              <w:rPr>
                <w:rFonts w:cs="Arial"/>
                <w:b/>
                <w:sz w:val="22"/>
                <w:szCs w:val="22"/>
              </w:rPr>
              <w:t>“</w:t>
            </w:r>
            <w:r w:rsidRPr="003D2F98">
              <w:rPr>
                <w:rFonts w:cs="Arial"/>
                <w:b/>
                <w:sz w:val="22"/>
                <w:szCs w:val="22"/>
              </w:rPr>
              <w:t>PM</w:t>
            </w:r>
            <w:r>
              <w:rPr>
                <w:rFonts w:cs="Arial"/>
                <w:b/>
                <w:sz w:val="22"/>
                <w:szCs w:val="22"/>
                <w:vertAlign w:val="subscript"/>
              </w:rPr>
              <w:t>10</w:t>
            </w:r>
            <w:r>
              <w:rPr>
                <w:rFonts w:cs="Arial"/>
                <w:b/>
                <w:sz w:val="22"/>
                <w:szCs w:val="22"/>
              </w:rPr>
              <w:t>”</w:t>
            </w:r>
          </w:p>
        </w:tc>
        <w:tc>
          <w:tcPr>
            <w:tcW w:w="3215" w:type="pct"/>
          </w:tcPr>
          <w:p w14:paraId="5BE09BA7" w14:textId="77777777" w:rsidR="009F4796" w:rsidRPr="00D949FB" w:rsidRDefault="009F4796" w:rsidP="009F4796">
            <w:pPr>
              <w:pStyle w:val="BodyText1"/>
              <w:spacing w:before="0" w:after="0"/>
              <w:ind w:left="567"/>
              <w:rPr>
                <w:rFonts w:cs="Arial"/>
              </w:rPr>
            </w:pPr>
            <w:r w:rsidRPr="00D949FB">
              <w:rPr>
                <w:rFonts w:cs="Arial"/>
              </w:rPr>
              <w:t>means particulate matter that passes through a size-selective inlet with 50 % efficiency at cut-off size of 10μm.</w:t>
            </w:r>
          </w:p>
        </w:tc>
      </w:tr>
      <w:tr w:rsidR="009F4796" w:rsidRPr="003E5C07" w14:paraId="422DDF04" w14:textId="77777777" w:rsidTr="00AB24AC">
        <w:tc>
          <w:tcPr>
            <w:tcW w:w="1785" w:type="pct"/>
          </w:tcPr>
          <w:p w14:paraId="4252335E" w14:textId="448AE4F9" w:rsidR="009F4796" w:rsidRDefault="009F4796" w:rsidP="009F4796">
            <w:pPr>
              <w:pStyle w:val="BodyText1"/>
              <w:spacing w:before="0" w:after="0"/>
              <w:ind w:left="567"/>
              <w:rPr>
                <w:rFonts w:cs="Arial"/>
                <w:b/>
                <w:sz w:val="22"/>
                <w:szCs w:val="22"/>
              </w:rPr>
            </w:pPr>
            <w:r>
              <w:rPr>
                <w:rFonts w:cs="Arial"/>
                <w:b/>
                <w:sz w:val="22"/>
                <w:szCs w:val="22"/>
              </w:rPr>
              <w:t>“Project”</w:t>
            </w:r>
          </w:p>
        </w:tc>
        <w:tc>
          <w:tcPr>
            <w:tcW w:w="3215" w:type="pct"/>
          </w:tcPr>
          <w:p w14:paraId="668973D7" w14:textId="4EE90E9E" w:rsidR="009F4796" w:rsidRPr="00D949FB" w:rsidRDefault="009F4796" w:rsidP="009F4796">
            <w:pPr>
              <w:pStyle w:val="BodyText1"/>
              <w:spacing w:before="0" w:after="0"/>
              <w:ind w:left="567"/>
              <w:rPr>
                <w:rFonts w:cs="Arial"/>
              </w:rPr>
            </w:pPr>
            <w:r w:rsidRPr="00D949FB">
              <w:rPr>
                <w:rFonts w:cs="Arial"/>
              </w:rPr>
              <w:t xml:space="preserve">means the work encompassing the supply and installation of a product or series of products from this contract </w:t>
            </w:r>
          </w:p>
        </w:tc>
      </w:tr>
      <w:tr w:rsidR="009F4796" w:rsidRPr="003E5C07" w14:paraId="5906807A" w14:textId="77777777" w:rsidTr="00AB24AC">
        <w:tc>
          <w:tcPr>
            <w:tcW w:w="1785" w:type="pct"/>
          </w:tcPr>
          <w:p w14:paraId="341906CF" w14:textId="77777777" w:rsidR="009F4796" w:rsidRPr="003D2F98" w:rsidRDefault="009F4796" w:rsidP="009F4796">
            <w:pPr>
              <w:pStyle w:val="BodyText1"/>
              <w:spacing w:before="0" w:after="0"/>
              <w:ind w:left="567"/>
              <w:rPr>
                <w:rFonts w:cs="Arial"/>
                <w:b/>
                <w:sz w:val="22"/>
                <w:szCs w:val="22"/>
              </w:rPr>
            </w:pPr>
            <w:r>
              <w:rPr>
                <w:rFonts w:cs="Arial"/>
                <w:b/>
                <w:sz w:val="22"/>
                <w:szCs w:val="22"/>
              </w:rPr>
              <w:t>“</w:t>
            </w:r>
            <w:r w:rsidRPr="003D2F98">
              <w:rPr>
                <w:rFonts w:cs="Arial"/>
                <w:b/>
                <w:sz w:val="22"/>
                <w:szCs w:val="22"/>
              </w:rPr>
              <w:t>QAQC</w:t>
            </w:r>
            <w:r>
              <w:rPr>
                <w:rFonts w:cs="Arial"/>
                <w:b/>
                <w:sz w:val="22"/>
                <w:szCs w:val="22"/>
              </w:rPr>
              <w:t>”</w:t>
            </w:r>
          </w:p>
        </w:tc>
        <w:tc>
          <w:tcPr>
            <w:tcW w:w="3215" w:type="pct"/>
          </w:tcPr>
          <w:p w14:paraId="3F2712BC" w14:textId="77777777" w:rsidR="009F4796" w:rsidRPr="00D949FB" w:rsidRDefault="009F4796" w:rsidP="009F4796">
            <w:pPr>
              <w:pStyle w:val="BodyText1"/>
              <w:spacing w:before="0" w:after="0"/>
              <w:ind w:left="567"/>
              <w:rPr>
                <w:rFonts w:cs="Arial"/>
              </w:rPr>
            </w:pPr>
            <w:r w:rsidRPr="00D949FB">
              <w:rPr>
                <w:rFonts w:cs="Arial"/>
              </w:rPr>
              <w:t>means the Quality Assurance Quality Control Services</w:t>
            </w:r>
          </w:p>
        </w:tc>
      </w:tr>
      <w:tr w:rsidR="009F4796" w:rsidRPr="003E5C07" w14:paraId="7374E9E7" w14:textId="77777777" w:rsidTr="00AB24AC">
        <w:tc>
          <w:tcPr>
            <w:tcW w:w="1785" w:type="pct"/>
          </w:tcPr>
          <w:p w14:paraId="697B9B6A" w14:textId="77777777" w:rsidR="009F4796" w:rsidRPr="009F4796" w:rsidRDefault="009F4796" w:rsidP="009F4796">
            <w:pPr>
              <w:pStyle w:val="BodyText1"/>
              <w:spacing w:before="0" w:after="0"/>
              <w:ind w:left="567"/>
              <w:rPr>
                <w:rFonts w:cs="Arial"/>
                <w:b/>
                <w:sz w:val="22"/>
                <w:szCs w:val="22"/>
              </w:rPr>
            </w:pPr>
            <w:r w:rsidRPr="009F4796">
              <w:rPr>
                <w:rFonts w:cs="Arial"/>
                <w:b/>
                <w:sz w:val="22"/>
                <w:szCs w:val="22"/>
              </w:rPr>
              <w:t>“SI”</w:t>
            </w:r>
          </w:p>
        </w:tc>
        <w:tc>
          <w:tcPr>
            <w:tcW w:w="3215" w:type="pct"/>
          </w:tcPr>
          <w:p w14:paraId="46061C35" w14:textId="40B57C5C" w:rsidR="009F4796" w:rsidRPr="00984A70" w:rsidRDefault="009F4796" w:rsidP="009F4796">
            <w:pPr>
              <w:pStyle w:val="BodyText1"/>
              <w:spacing w:before="0" w:after="0"/>
              <w:ind w:left="567"/>
              <w:rPr>
                <w:rFonts w:cs="Arial"/>
              </w:rPr>
            </w:pPr>
            <w:r w:rsidRPr="00984A70">
              <w:rPr>
                <w:rFonts w:cs="Arial"/>
              </w:rPr>
              <w:t>Means the Statutory Instrument for measuring PM</w:t>
            </w:r>
            <w:r w:rsidRPr="00984A70">
              <w:rPr>
                <w:rFonts w:cs="Arial"/>
                <w:vertAlign w:val="subscript"/>
              </w:rPr>
              <w:t>2.5</w:t>
            </w:r>
            <w:r w:rsidRPr="00984A70">
              <w:rPr>
                <w:rFonts w:cs="Arial"/>
              </w:rPr>
              <w:t xml:space="preserve"> targets, legislation that is </w:t>
            </w:r>
            <w:r w:rsidR="00984A70">
              <w:rPr>
                <w:rFonts w:cs="Arial"/>
              </w:rPr>
              <w:t>now in place</w:t>
            </w:r>
            <w:r w:rsidR="00984A70" w:rsidRPr="00984A70">
              <w:rPr>
                <w:rFonts w:cs="Arial"/>
              </w:rPr>
              <w:t xml:space="preserve"> </w:t>
            </w:r>
            <w:r w:rsidRPr="00984A70">
              <w:rPr>
                <w:rFonts w:cs="Arial"/>
              </w:rPr>
              <w:t>as part of the PM</w:t>
            </w:r>
            <w:r w:rsidRPr="00984A70">
              <w:rPr>
                <w:rFonts w:cs="Arial"/>
                <w:vertAlign w:val="subscript"/>
              </w:rPr>
              <w:t xml:space="preserve">2.5 </w:t>
            </w:r>
            <w:r w:rsidRPr="00984A70">
              <w:rPr>
                <w:rFonts w:cs="Arial"/>
              </w:rPr>
              <w:t>target setting process</w:t>
            </w:r>
            <w:r w:rsidR="002C2AD9">
              <w:rPr>
                <w:rFonts w:cs="Arial"/>
              </w:rPr>
              <w:t xml:space="preserve">. </w:t>
            </w:r>
            <w:hyperlink r:id="rId12" w:history="1">
              <w:r w:rsidR="002C2AD9">
                <w:rPr>
                  <w:rStyle w:val="Hyperlink"/>
                </w:rPr>
                <w:t xml:space="preserve">The Environmental </w:t>
              </w:r>
              <w:r w:rsidR="002C2AD9">
                <w:rPr>
                  <w:rStyle w:val="Hyperlink"/>
                </w:rPr>
                <w:lastRenderedPageBreak/>
                <w:t>Targets (Fine Particulate Matter) (England) Regulations 2023 (legislation.gov.uk)</w:t>
              </w:r>
            </w:hyperlink>
          </w:p>
        </w:tc>
      </w:tr>
      <w:tr w:rsidR="009F4796" w:rsidRPr="003E5C07" w14:paraId="7CD76B1F" w14:textId="77777777" w:rsidTr="00AB24AC">
        <w:tc>
          <w:tcPr>
            <w:tcW w:w="1785" w:type="pct"/>
          </w:tcPr>
          <w:p w14:paraId="673E3C26" w14:textId="77777777" w:rsidR="009F4796" w:rsidRPr="003D2F98" w:rsidRDefault="009F4796" w:rsidP="009F4796">
            <w:pPr>
              <w:pStyle w:val="BodyText1"/>
              <w:spacing w:before="0" w:after="0"/>
              <w:ind w:left="567"/>
              <w:rPr>
                <w:rFonts w:cs="Arial"/>
                <w:b/>
                <w:sz w:val="22"/>
                <w:szCs w:val="22"/>
              </w:rPr>
            </w:pPr>
            <w:r>
              <w:rPr>
                <w:rFonts w:cs="Arial"/>
                <w:b/>
                <w:sz w:val="22"/>
                <w:szCs w:val="22"/>
              </w:rPr>
              <w:lastRenderedPageBreak/>
              <w:t>“</w:t>
            </w:r>
            <w:r w:rsidRPr="003D2F98">
              <w:rPr>
                <w:rFonts w:cs="Arial"/>
                <w:b/>
                <w:sz w:val="22"/>
                <w:szCs w:val="22"/>
              </w:rPr>
              <w:t>SG</w:t>
            </w:r>
            <w:r>
              <w:rPr>
                <w:rFonts w:cs="Arial"/>
                <w:b/>
                <w:sz w:val="22"/>
                <w:szCs w:val="22"/>
              </w:rPr>
              <w:t>”</w:t>
            </w:r>
          </w:p>
        </w:tc>
        <w:tc>
          <w:tcPr>
            <w:tcW w:w="3215" w:type="pct"/>
          </w:tcPr>
          <w:p w14:paraId="59967A1C" w14:textId="77777777" w:rsidR="009F4796" w:rsidRPr="00984A70" w:rsidRDefault="009F4796" w:rsidP="009F4796">
            <w:pPr>
              <w:pStyle w:val="BodyText1"/>
              <w:spacing w:before="0" w:after="0"/>
              <w:ind w:left="567"/>
              <w:rPr>
                <w:rFonts w:cs="Arial"/>
              </w:rPr>
            </w:pPr>
            <w:r w:rsidRPr="00984A70">
              <w:rPr>
                <w:rFonts w:cs="Arial"/>
              </w:rPr>
              <w:t>means the Scottish Government</w:t>
            </w:r>
          </w:p>
        </w:tc>
      </w:tr>
      <w:tr w:rsidR="009F4796" w:rsidRPr="003E5C07" w14:paraId="697B1D16" w14:textId="77777777" w:rsidTr="00AB24AC">
        <w:tc>
          <w:tcPr>
            <w:tcW w:w="1785" w:type="pct"/>
            <w:vAlign w:val="center"/>
          </w:tcPr>
          <w:p w14:paraId="6F357421" w14:textId="77777777" w:rsidR="009F4796" w:rsidRPr="003E5C07" w:rsidRDefault="009F4796" w:rsidP="009F4796">
            <w:pPr>
              <w:pStyle w:val="BodyText1"/>
              <w:spacing w:before="0" w:after="0"/>
              <w:ind w:left="567"/>
              <w:rPr>
                <w:rFonts w:cs="Arial"/>
                <w:b/>
                <w:sz w:val="22"/>
                <w:szCs w:val="22"/>
              </w:rPr>
            </w:pPr>
            <w:r w:rsidRPr="003E5C07">
              <w:rPr>
                <w:rFonts w:cs="Arial"/>
                <w:b/>
                <w:sz w:val="22"/>
                <w:szCs w:val="22"/>
              </w:rPr>
              <w:t xml:space="preserve"> “the ITT”</w:t>
            </w:r>
          </w:p>
        </w:tc>
        <w:tc>
          <w:tcPr>
            <w:tcW w:w="3215" w:type="pct"/>
          </w:tcPr>
          <w:p w14:paraId="70B4F72B" w14:textId="77777777" w:rsidR="009F4796" w:rsidRPr="00984A70" w:rsidRDefault="009F4796" w:rsidP="009F4796">
            <w:pPr>
              <w:pStyle w:val="BodyText1"/>
              <w:spacing w:before="0" w:after="0"/>
              <w:ind w:left="567"/>
              <w:rPr>
                <w:rFonts w:cs="Arial"/>
              </w:rPr>
            </w:pPr>
            <w:r w:rsidRPr="00984A70">
              <w:rPr>
                <w:rFonts w:cs="Arial"/>
              </w:rPr>
              <w:t>means this invitation to tender and all related documents published by the Environment Agency and made available to Tenderers.</w:t>
            </w:r>
          </w:p>
        </w:tc>
      </w:tr>
      <w:tr w:rsidR="009F4796" w:rsidRPr="003E5C07" w14:paraId="4C457B52" w14:textId="77777777" w:rsidTr="00AB24AC">
        <w:tc>
          <w:tcPr>
            <w:tcW w:w="1785" w:type="pct"/>
          </w:tcPr>
          <w:p w14:paraId="2C2870AD" w14:textId="77777777" w:rsidR="009F4796" w:rsidRPr="009F4796" w:rsidRDefault="009F4796" w:rsidP="009F4796">
            <w:pPr>
              <w:pStyle w:val="BodyText1"/>
              <w:spacing w:before="0" w:after="0"/>
              <w:ind w:left="567"/>
              <w:rPr>
                <w:rFonts w:cs="Arial"/>
                <w:b/>
                <w:sz w:val="22"/>
                <w:szCs w:val="22"/>
              </w:rPr>
            </w:pPr>
            <w:r w:rsidRPr="009F4796">
              <w:rPr>
                <w:rFonts w:cs="Arial"/>
                <w:b/>
                <w:sz w:val="22"/>
                <w:szCs w:val="22"/>
              </w:rPr>
              <w:t>“Regulations”</w:t>
            </w:r>
          </w:p>
        </w:tc>
        <w:tc>
          <w:tcPr>
            <w:tcW w:w="3215" w:type="pct"/>
          </w:tcPr>
          <w:p w14:paraId="26775D5D" w14:textId="77777777" w:rsidR="009F4796" w:rsidRPr="00984A70" w:rsidRDefault="009F4796" w:rsidP="009F4796">
            <w:pPr>
              <w:autoSpaceDE w:val="0"/>
              <w:autoSpaceDN w:val="0"/>
              <w:adjustRightInd w:val="0"/>
              <w:spacing w:after="0" w:line="240" w:lineRule="auto"/>
              <w:ind w:left="567"/>
              <w:rPr>
                <w:rFonts w:ascii="Arial" w:hAnsi="Arial" w:cs="Arial"/>
                <w:color w:val="000000"/>
                <w:sz w:val="20"/>
                <w:szCs w:val="20"/>
              </w:rPr>
            </w:pPr>
            <w:r w:rsidRPr="00984A70">
              <w:rPr>
                <w:rFonts w:ascii="Arial" w:hAnsi="Arial" w:cs="Arial"/>
                <w:color w:val="000000"/>
                <w:sz w:val="20"/>
                <w:szCs w:val="20"/>
              </w:rPr>
              <w:t>means the Public Contracts Regulations 2015</w:t>
            </w:r>
            <w:r w:rsidRPr="00984A70">
              <w:rPr>
                <w:rFonts w:ascii="Arial" w:hAnsi="Arial" w:cs="Arial"/>
                <w:color w:val="000000"/>
                <w:sz w:val="20"/>
                <w:szCs w:val="20"/>
                <w:lang w:eastAsia="en-GB"/>
              </w:rPr>
              <w:t xml:space="preserve">  (unless otherwise stated) </w:t>
            </w:r>
          </w:p>
        </w:tc>
      </w:tr>
      <w:tr w:rsidR="009F4796" w:rsidRPr="003E5C07" w14:paraId="0640A9AB" w14:textId="77777777" w:rsidTr="00AB24AC">
        <w:tc>
          <w:tcPr>
            <w:tcW w:w="1785" w:type="pct"/>
            <w:vAlign w:val="center"/>
          </w:tcPr>
          <w:p w14:paraId="2098DE05" w14:textId="77777777" w:rsidR="009F4796" w:rsidRPr="009F4796" w:rsidRDefault="009F4796" w:rsidP="009F4796">
            <w:pPr>
              <w:pStyle w:val="BodyText1"/>
              <w:spacing w:before="0" w:after="0"/>
              <w:ind w:left="567"/>
              <w:rPr>
                <w:rFonts w:cs="Arial"/>
                <w:b/>
                <w:sz w:val="22"/>
                <w:szCs w:val="22"/>
              </w:rPr>
            </w:pPr>
            <w:r w:rsidRPr="009F4796">
              <w:rPr>
                <w:rFonts w:cs="Arial"/>
                <w:b/>
                <w:sz w:val="22"/>
                <w:szCs w:val="22"/>
              </w:rPr>
              <w:t xml:space="preserve"> “Tender”</w:t>
            </w:r>
          </w:p>
        </w:tc>
        <w:tc>
          <w:tcPr>
            <w:tcW w:w="3215" w:type="pct"/>
          </w:tcPr>
          <w:p w14:paraId="238A2881" w14:textId="77777777" w:rsidR="009F4796" w:rsidRPr="00984A70" w:rsidRDefault="009F4796" w:rsidP="009F4796">
            <w:pPr>
              <w:pStyle w:val="BodyText1"/>
              <w:spacing w:before="0" w:after="0"/>
              <w:ind w:left="567"/>
              <w:rPr>
                <w:rFonts w:cs="Arial"/>
              </w:rPr>
            </w:pPr>
            <w:r w:rsidRPr="00984A70">
              <w:rPr>
                <w:rFonts w:cs="Arial"/>
              </w:rPr>
              <w:t>means a formal tender in response to this ITT.</w:t>
            </w:r>
          </w:p>
        </w:tc>
      </w:tr>
      <w:tr w:rsidR="009F4796" w:rsidRPr="003E5C07" w14:paraId="4CAAE9E9" w14:textId="77777777" w:rsidTr="00AB24AC">
        <w:tc>
          <w:tcPr>
            <w:tcW w:w="1785" w:type="pct"/>
            <w:vAlign w:val="center"/>
          </w:tcPr>
          <w:p w14:paraId="79B9BF90" w14:textId="77777777" w:rsidR="009F4796" w:rsidRPr="009F4796" w:rsidRDefault="009F4796" w:rsidP="009F4796">
            <w:pPr>
              <w:pStyle w:val="BodyText1"/>
              <w:spacing w:before="0" w:after="0"/>
              <w:ind w:left="567"/>
              <w:rPr>
                <w:rFonts w:cs="Arial"/>
                <w:b/>
                <w:sz w:val="22"/>
                <w:szCs w:val="22"/>
              </w:rPr>
            </w:pPr>
            <w:r w:rsidRPr="009F4796">
              <w:rPr>
                <w:rFonts w:cs="Arial"/>
                <w:b/>
                <w:sz w:val="22"/>
                <w:szCs w:val="22"/>
              </w:rPr>
              <w:t>“Tenderer”</w:t>
            </w:r>
          </w:p>
        </w:tc>
        <w:tc>
          <w:tcPr>
            <w:tcW w:w="3215" w:type="pct"/>
          </w:tcPr>
          <w:p w14:paraId="65F6EB39" w14:textId="77777777" w:rsidR="009F4796" w:rsidRPr="00984A70" w:rsidRDefault="009F4796" w:rsidP="009F4796">
            <w:pPr>
              <w:pStyle w:val="BodyText1"/>
              <w:spacing w:before="0" w:after="0"/>
              <w:ind w:left="567"/>
              <w:rPr>
                <w:rFonts w:cs="Arial"/>
              </w:rPr>
            </w:pPr>
            <w:r w:rsidRPr="00984A70">
              <w:rPr>
                <w:rFonts w:cs="Arial"/>
              </w:rPr>
              <w:t>means anyone responding to this ITT and, where the context requires, includes a potential tenderer.</w:t>
            </w:r>
          </w:p>
        </w:tc>
      </w:tr>
      <w:tr w:rsidR="009F4796" w:rsidRPr="003E5C07" w14:paraId="134CD527" w14:textId="77777777" w:rsidTr="00AB24AC">
        <w:tc>
          <w:tcPr>
            <w:tcW w:w="1785" w:type="pct"/>
            <w:vAlign w:val="center"/>
          </w:tcPr>
          <w:p w14:paraId="53DC6151" w14:textId="77777777" w:rsidR="009F4796" w:rsidRPr="009F4796" w:rsidRDefault="009F4796" w:rsidP="009F4796">
            <w:pPr>
              <w:spacing w:after="0" w:line="240" w:lineRule="auto"/>
              <w:ind w:left="567"/>
              <w:rPr>
                <w:rFonts w:ascii="Arial" w:hAnsi="Arial" w:cs="Arial"/>
                <w:b/>
                <w:color w:val="000000"/>
              </w:rPr>
            </w:pPr>
            <w:r w:rsidRPr="009F4796">
              <w:rPr>
                <w:rFonts w:ascii="Arial" w:hAnsi="Arial" w:cs="Arial"/>
                <w:b/>
                <w:color w:val="000000"/>
              </w:rPr>
              <w:t>“UK”</w:t>
            </w:r>
          </w:p>
        </w:tc>
        <w:tc>
          <w:tcPr>
            <w:tcW w:w="3215" w:type="pct"/>
            <w:vAlign w:val="center"/>
          </w:tcPr>
          <w:p w14:paraId="488E39D1" w14:textId="77777777" w:rsidR="009F4796" w:rsidRPr="00984A70" w:rsidRDefault="009F4796" w:rsidP="009F4796">
            <w:pPr>
              <w:spacing w:after="0" w:line="240" w:lineRule="auto"/>
              <w:ind w:left="567"/>
              <w:rPr>
                <w:rFonts w:ascii="Arial" w:hAnsi="Arial" w:cs="Arial"/>
                <w:color w:val="000000"/>
                <w:sz w:val="20"/>
                <w:szCs w:val="20"/>
              </w:rPr>
            </w:pPr>
            <w:r w:rsidRPr="00984A70">
              <w:rPr>
                <w:rFonts w:ascii="Arial" w:hAnsi="Arial" w:cs="Arial"/>
                <w:sz w:val="20"/>
                <w:szCs w:val="20"/>
              </w:rPr>
              <w:t>means</w:t>
            </w:r>
            <w:r w:rsidRPr="00984A70">
              <w:rPr>
                <w:rFonts w:ascii="Arial" w:hAnsi="Arial" w:cs="Arial"/>
                <w:color w:val="000000"/>
                <w:sz w:val="20"/>
                <w:szCs w:val="20"/>
              </w:rPr>
              <w:t xml:space="preserve"> the United Kingdom</w:t>
            </w:r>
          </w:p>
        </w:tc>
      </w:tr>
      <w:tr w:rsidR="009F4796" w:rsidRPr="003E5C07" w14:paraId="389E3000" w14:textId="77777777" w:rsidTr="00AB24AC">
        <w:tc>
          <w:tcPr>
            <w:tcW w:w="1785" w:type="pct"/>
            <w:vAlign w:val="center"/>
          </w:tcPr>
          <w:p w14:paraId="059A04ED" w14:textId="77777777" w:rsidR="009F4796" w:rsidRPr="009F4796" w:rsidRDefault="009F4796" w:rsidP="009F4796">
            <w:pPr>
              <w:spacing w:after="0" w:line="240" w:lineRule="auto"/>
              <w:ind w:left="567"/>
              <w:rPr>
                <w:rFonts w:ascii="Arial" w:hAnsi="Arial" w:cs="Arial"/>
                <w:b/>
                <w:color w:val="000000"/>
              </w:rPr>
            </w:pPr>
            <w:r w:rsidRPr="009F4796">
              <w:rPr>
                <w:rFonts w:ascii="Arial" w:hAnsi="Arial" w:cs="Arial"/>
                <w:b/>
                <w:color w:val="000000"/>
              </w:rPr>
              <w:t>“UK AIR”</w:t>
            </w:r>
          </w:p>
        </w:tc>
        <w:tc>
          <w:tcPr>
            <w:tcW w:w="3215" w:type="pct"/>
            <w:vAlign w:val="center"/>
          </w:tcPr>
          <w:p w14:paraId="00BB9DB7" w14:textId="77777777" w:rsidR="009F4796" w:rsidRPr="00984A70" w:rsidRDefault="009F4796" w:rsidP="009F4796">
            <w:pPr>
              <w:spacing w:after="0" w:line="240" w:lineRule="auto"/>
              <w:ind w:left="567"/>
              <w:rPr>
                <w:rFonts w:ascii="Arial" w:hAnsi="Arial" w:cs="Arial"/>
                <w:sz w:val="20"/>
                <w:szCs w:val="20"/>
              </w:rPr>
            </w:pPr>
            <w:r w:rsidRPr="00984A70">
              <w:rPr>
                <w:rFonts w:ascii="Arial" w:hAnsi="Arial" w:cs="Arial"/>
                <w:sz w:val="20"/>
                <w:szCs w:val="20"/>
              </w:rPr>
              <w:t>means the website where government based UK air measurements, modelling and reporting data can be accessed - https://uk-air.defra.gov.uk</w:t>
            </w:r>
          </w:p>
        </w:tc>
      </w:tr>
      <w:tr w:rsidR="009F4796" w:rsidRPr="003E5C07" w14:paraId="5745E8F7" w14:textId="77777777" w:rsidTr="00AB24AC">
        <w:tc>
          <w:tcPr>
            <w:tcW w:w="1785" w:type="pct"/>
            <w:vAlign w:val="center"/>
          </w:tcPr>
          <w:p w14:paraId="367973BE" w14:textId="77777777" w:rsidR="009F4796" w:rsidRPr="009F4796" w:rsidRDefault="009F4796" w:rsidP="009F4796">
            <w:pPr>
              <w:spacing w:after="0" w:line="240" w:lineRule="auto"/>
              <w:ind w:left="567"/>
              <w:rPr>
                <w:rFonts w:ascii="Arial" w:hAnsi="Arial" w:cs="Arial"/>
                <w:b/>
                <w:color w:val="000000"/>
              </w:rPr>
            </w:pPr>
            <w:r w:rsidRPr="009F4796">
              <w:rPr>
                <w:rFonts w:ascii="Arial" w:hAnsi="Arial" w:cs="Arial"/>
                <w:b/>
                <w:color w:val="000000"/>
              </w:rPr>
              <w:t>“WG”</w:t>
            </w:r>
          </w:p>
        </w:tc>
        <w:tc>
          <w:tcPr>
            <w:tcW w:w="3215" w:type="pct"/>
            <w:vAlign w:val="center"/>
          </w:tcPr>
          <w:p w14:paraId="6C5A178A" w14:textId="77777777" w:rsidR="009F4796" w:rsidRPr="00984A70" w:rsidRDefault="009F4796" w:rsidP="009F4796">
            <w:pPr>
              <w:spacing w:after="0" w:line="240" w:lineRule="auto"/>
              <w:ind w:left="567"/>
              <w:rPr>
                <w:rFonts w:ascii="Arial" w:hAnsi="Arial" w:cs="Arial"/>
                <w:color w:val="000000"/>
                <w:sz w:val="20"/>
                <w:szCs w:val="20"/>
              </w:rPr>
            </w:pPr>
            <w:r w:rsidRPr="00984A70">
              <w:rPr>
                <w:rFonts w:ascii="Arial" w:hAnsi="Arial" w:cs="Arial"/>
                <w:sz w:val="20"/>
                <w:szCs w:val="20"/>
              </w:rPr>
              <w:t>means</w:t>
            </w:r>
            <w:r w:rsidRPr="00984A70">
              <w:rPr>
                <w:rFonts w:ascii="Arial" w:hAnsi="Arial" w:cs="Arial"/>
                <w:color w:val="000000"/>
                <w:sz w:val="20"/>
                <w:szCs w:val="20"/>
              </w:rPr>
              <w:t xml:space="preserve"> the Welsh Government</w:t>
            </w:r>
          </w:p>
        </w:tc>
      </w:tr>
    </w:tbl>
    <w:p w14:paraId="7E2E7812" w14:textId="77E8300E" w:rsidR="0066469D" w:rsidRDefault="0066469D" w:rsidP="67FE4590">
      <w:pPr>
        <w:pStyle w:val="Heading1"/>
        <w:rPr>
          <w:rFonts w:eastAsia="Calibri"/>
        </w:rPr>
      </w:pPr>
      <w:bookmarkStart w:id="1" w:name="_Ref120193683"/>
      <w:bookmarkStart w:id="2" w:name="_Toc153342465"/>
      <w:r>
        <w:t>B</w:t>
      </w:r>
      <w:r w:rsidR="24AFAFC9">
        <w:t>ackground</w:t>
      </w:r>
      <w:bookmarkEnd w:id="1"/>
      <w:bookmarkEnd w:id="2"/>
    </w:p>
    <w:p w14:paraId="7B4285B3" w14:textId="204EAA39" w:rsidR="0066469D" w:rsidRDefault="0066469D" w:rsidP="0066469D">
      <w:pPr>
        <w:pStyle w:val="Heading4"/>
        <w:numPr>
          <w:ilvl w:val="0"/>
          <w:numId w:val="0"/>
        </w:numPr>
        <w:ind w:left="2160"/>
        <w:rPr>
          <w:rFonts w:eastAsia="Calibri"/>
        </w:rPr>
      </w:pPr>
    </w:p>
    <w:p w14:paraId="7C41256E" w14:textId="4D0809CA" w:rsidR="007B3274" w:rsidRPr="002B6674" w:rsidRDefault="00EB7432" w:rsidP="002B6674">
      <w:r w:rsidRPr="002B6674">
        <w:t xml:space="preserve">The Authority manages and maintains national air quality monitoring networks to meet the requirements of EU and UK legislation. The air quality monitors are located around the UK </w:t>
      </w:r>
      <w:r w:rsidR="00441A80" w:rsidRPr="002B6674">
        <w:t xml:space="preserve">within the Zones and Agglomerations </w:t>
      </w:r>
      <w:r w:rsidRPr="002B6674">
        <w:t>and are housed in standalone enclosures of varying sizes</w:t>
      </w:r>
      <w:r w:rsidRPr="383F7D73">
        <w:rPr>
          <w:rStyle w:val="FootnoteReference"/>
          <w:rFonts w:eastAsia="Calibri"/>
        </w:rPr>
        <w:footnoteReference w:id="2"/>
      </w:r>
      <w:r w:rsidRPr="002B6674">
        <w:t xml:space="preserve">. </w:t>
      </w:r>
      <w:r w:rsidR="00331750" w:rsidRPr="002B6674">
        <w:t xml:space="preserve">The Contract will meet the need of new housings needed for the ACMT and </w:t>
      </w:r>
      <w:r w:rsidR="00371AEB" w:rsidRPr="002B6674">
        <w:t>PERT England target setting</w:t>
      </w:r>
      <w:r w:rsidR="007401DC" w:rsidRPr="002B6674">
        <w:t xml:space="preserve">, which may lead to approximately </w:t>
      </w:r>
      <w:r w:rsidR="00BA224C">
        <w:t>2</w:t>
      </w:r>
      <w:r w:rsidR="005C6C88">
        <w:t>3</w:t>
      </w:r>
      <w:r w:rsidR="00BA224C" w:rsidRPr="002B6674">
        <w:t xml:space="preserve"> </w:t>
      </w:r>
      <w:r w:rsidR="007401DC" w:rsidRPr="002B6674">
        <w:t xml:space="preserve">additional housings being needed and </w:t>
      </w:r>
      <w:r w:rsidR="004B4B9E" w:rsidRPr="002B6674">
        <w:t>installed</w:t>
      </w:r>
      <w:r w:rsidR="007401DC" w:rsidRPr="002B6674">
        <w:t xml:space="preserve"> between 2023 and 202</w:t>
      </w:r>
      <w:r w:rsidR="00E56949">
        <w:t>5</w:t>
      </w:r>
      <w:r w:rsidR="007401DC" w:rsidRPr="002B6674">
        <w:t xml:space="preserve">. Additionally existing stations may need </w:t>
      </w:r>
      <w:r w:rsidR="002249E1">
        <w:t>housings</w:t>
      </w:r>
      <w:r w:rsidR="007401DC" w:rsidRPr="002B6674">
        <w:t xml:space="preserve"> replaced as they reach life expired status, as a rate of approximately </w:t>
      </w:r>
      <w:r w:rsidR="00BA224C">
        <w:t xml:space="preserve">1-2 </w:t>
      </w:r>
      <w:r w:rsidR="004B4B9E" w:rsidRPr="002B6674">
        <w:t>housings per</w:t>
      </w:r>
      <w:r w:rsidR="00E05894" w:rsidRPr="002B6674">
        <w:t xml:space="preserve"> year.</w:t>
      </w:r>
    </w:p>
    <w:p w14:paraId="7945F764" w14:textId="7CBF9430" w:rsidR="00371AEB" w:rsidRDefault="00371AEB" w:rsidP="002B6674">
      <w:r>
        <w:t xml:space="preserve">The Contract will be with the Environment Agency </w:t>
      </w:r>
      <w:r w:rsidR="004816EA">
        <w:t xml:space="preserve">but as it is call off in nature, partner organisations </w:t>
      </w:r>
      <w:r w:rsidR="007401DC">
        <w:t xml:space="preserve">may also call off </w:t>
      </w:r>
      <w:r w:rsidR="002249E1">
        <w:t>housing</w:t>
      </w:r>
      <w:r w:rsidR="007401DC">
        <w:t xml:space="preserve"> orders if they are</w:t>
      </w:r>
      <w:r w:rsidR="004816EA">
        <w:t xml:space="preserve"> expanding or investing in </w:t>
      </w:r>
      <w:r w:rsidR="008D2DB7">
        <w:t>Air Quality Housings</w:t>
      </w:r>
      <w:r w:rsidR="00301999">
        <w:t xml:space="preserve">. </w:t>
      </w:r>
      <w:r w:rsidR="00145889">
        <w:t xml:space="preserve">These organisations include </w:t>
      </w:r>
      <w:r w:rsidR="00F67447">
        <w:t>WG, SG, DAERA</w:t>
      </w:r>
      <w:r w:rsidR="0064180C">
        <w:t xml:space="preserve"> and</w:t>
      </w:r>
      <w:r w:rsidR="00145889">
        <w:t xml:space="preserve"> Local Authorities</w:t>
      </w:r>
      <w:r w:rsidR="00F67447">
        <w:t xml:space="preserve">, and partner </w:t>
      </w:r>
      <w:r w:rsidR="00933375">
        <w:t>organisations</w:t>
      </w:r>
      <w:r w:rsidR="00F67447">
        <w:t xml:space="preserve"> Scottish Environment Protection Agency</w:t>
      </w:r>
      <w:r w:rsidR="007401DC">
        <w:t xml:space="preserve"> and</w:t>
      </w:r>
      <w:r w:rsidR="00F67447">
        <w:t xml:space="preserve"> National Resources Wales</w:t>
      </w:r>
      <w:r w:rsidR="00F85F7B">
        <w:t xml:space="preserve">. This </w:t>
      </w:r>
      <w:r w:rsidR="00F85F7B" w:rsidRPr="00F85F7B">
        <w:rPr>
          <w:i/>
          <w:iCs/>
        </w:rPr>
        <w:t>should not</w:t>
      </w:r>
      <w:r w:rsidR="00F85F7B">
        <w:t xml:space="preserve"> be interpreted as suggesting any partner organisation involvement at this time, just that the contract is open to them if they wish to access it. </w:t>
      </w:r>
    </w:p>
    <w:p w14:paraId="2B701B3F" w14:textId="4D0B2FB4" w:rsidR="00EB7432" w:rsidRDefault="7A6DD5CF" w:rsidP="002B6674">
      <w:pPr>
        <w:rPr>
          <w:rFonts w:eastAsia="Calibri"/>
        </w:rPr>
      </w:pPr>
      <w:r w:rsidRPr="4807E8A2">
        <w:rPr>
          <w:rFonts w:eastAsia="Calibri"/>
        </w:rPr>
        <w:t xml:space="preserve">The nature of the monitoring networks is that housings are periodically replaced, and therefore the contract will allow the Authority to purchase further housings from the contract as required. Furthermore, the major expansion of the monitoring networks as part of the </w:t>
      </w:r>
      <w:r w:rsidR="001A0CDA">
        <w:t>PM</w:t>
      </w:r>
      <w:r w:rsidR="001A0CDA" w:rsidRPr="005D64A6">
        <w:rPr>
          <w:vertAlign w:val="subscript"/>
        </w:rPr>
        <w:t>2.5</w:t>
      </w:r>
      <w:r w:rsidR="001A0CDA" w:rsidRPr="005D64A6">
        <w:t xml:space="preserve"> </w:t>
      </w:r>
      <w:r w:rsidRPr="4807E8A2">
        <w:rPr>
          <w:rFonts w:eastAsia="Calibri"/>
        </w:rPr>
        <w:t xml:space="preserve"> expansion</w:t>
      </w:r>
      <w:r w:rsidR="2EA1ECA9" w:rsidRPr="4807E8A2">
        <w:rPr>
          <w:rFonts w:eastAsia="Calibri"/>
        </w:rPr>
        <w:t xml:space="preserve"> project</w:t>
      </w:r>
      <w:r w:rsidRPr="4807E8A2">
        <w:rPr>
          <w:rFonts w:eastAsia="Calibri"/>
        </w:rPr>
        <w:t xml:space="preserve"> will require a number of new housings in new sites – again, purchased from the contract as required. </w:t>
      </w:r>
      <w:r w:rsidR="44491B28" w:rsidRPr="4807E8A2">
        <w:rPr>
          <w:rFonts w:eastAsia="Calibri"/>
        </w:rPr>
        <w:t>Flexibility</w:t>
      </w:r>
      <w:r w:rsidR="2EA1ECA9" w:rsidRPr="4807E8A2">
        <w:rPr>
          <w:rFonts w:eastAsia="Calibri"/>
        </w:rPr>
        <w:t xml:space="preserve"> in ordering is required –</w:t>
      </w:r>
      <w:r w:rsidR="46FDF58E" w:rsidRPr="4807E8A2">
        <w:rPr>
          <w:rFonts w:eastAsia="Calibri"/>
        </w:rPr>
        <w:t xml:space="preserve"> while</w:t>
      </w:r>
      <w:r w:rsidR="2EA1ECA9" w:rsidRPr="4807E8A2">
        <w:rPr>
          <w:rFonts w:eastAsia="Calibri"/>
        </w:rPr>
        <w:t xml:space="preserve"> we envisage </w:t>
      </w:r>
      <w:r w:rsidR="006F5F2B">
        <w:rPr>
          <w:rFonts w:eastAsia="Calibri"/>
        </w:rPr>
        <w:t>2</w:t>
      </w:r>
      <w:r w:rsidR="005C6C88">
        <w:rPr>
          <w:rFonts w:eastAsia="Calibri"/>
        </w:rPr>
        <w:t>3</w:t>
      </w:r>
      <w:r w:rsidR="123F8324" w:rsidRPr="4807E8A2">
        <w:rPr>
          <w:rFonts w:eastAsia="Calibri"/>
        </w:rPr>
        <w:t xml:space="preserve"> large cabins </w:t>
      </w:r>
      <w:r w:rsidR="34C0EAF3" w:rsidRPr="4807E8A2">
        <w:rPr>
          <w:rFonts w:eastAsia="Calibri"/>
        </w:rPr>
        <w:t xml:space="preserve"> </w:t>
      </w:r>
      <w:r w:rsidR="2C25716C" w:rsidRPr="4807E8A2">
        <w:rPr>
          <w:rFonts w:eastAsia="Calibri"/>
        </w:rPr>
        <w:t>installed over the next</w:t>
      </w:r>
      <w:r w:rsidR="7F4FE989" w:rsidRPr="4807E8A2">
        <w:rPr>
          <w:rFonts w:eastAsia="Calibri"/>
        </w:rPr>
        <w:t xml:space="preserve"> </w:t>
      </w:r>
      <w:r w:rsidR="2839D546" w:rsidRPr="4807E8A2">
        <w:rPr>
          <w:rFonts w:eastAsia="Calibri"/>
        </w:rPr>
        <w:t>2 years</w:t>
      </w:r>
      <w:r w:rsidR="665CFFB6" w:rsidRPr="4807E8A2">
        <w:rPr>
          <w:rFonts w:eastAsia="Calibri"/>
        </w:rPr>
        <w:t>,</w:t>
      </w:r>
      <w:r w:rsidR="123F8324" w:rsidRPr="4807E8A2">
        <w:rPr>
          <w:rFonts w:eastAsia="Calibri"/>
        </w:rPr>
        <w:t xml:space="preserve"> this is subject to some variation</w:t>
      </w:r>
      <w:r w:rsidR="0718D092" w:rsidRPr="4807E8A2">
        <w:rPr>
          <w:rFonts w:eastAsia="Calibri"/>
        </w:rPr>
        <w:t xml:space="preserve"> as to the total number </w:t>
      </w:r>
      <w:r w:rsidR="001A0CDA">
        <w:rPr>
          <w:rFonts w:eastAsia="Calibri"/>
        </w:rPr>
        <w:t xml:space="preserve">on each Lot. </w:t>
      </w:r>
      <w:r w:rsidR="003E1B0A">
        <w:rPr>
          <w:rFonts w:eastAsia="Calibri"/>
        </w:rPr>
        <w:t>It is known that evolving</w:t>
      </w:r>
      <w:r w:rsidR="001A0CDA">
        <w:rPr>
          <w:rFonts w:eastAsia="Calibri"/>
        </w:rPr>
        <w:t xml:space="preserve"> PM</w:t>
      </w:r>
      <w:r w:rsidR="001A0CDA">
        <w:rPr>
          <w:rFonts w:eastAsia="Calibri"/>
          <w:vertAlign w:val="subscript"/>
        </w:rPr>
        <w:t>2.5</w:t>
      </w:r>
      <w:r w:rsidR="003E1B0A">
        <w:rPr>
          <w:rFonts w:eastAsia="Calibri"/>
          <w:vertAlign w:val="subscript"/>
        </w:rPr>
        <w:t xml:space="preserve"> </w:t>
      </w:r>
      <w:r w:rsidR="003E1B0A">
        <w:rPr>
          <w:rFonts w:eastAsia="Calibri"/>
        </w:rPr>
        <w:t>equivalence analysers are being designed to operate outside of traditional air-conditioned housings. However to minimise risk and future proof the network for potential other future monitoring requirements, it is currently expected housings from this contract will be deployed for all expansion sites. This position may be subject to future review as a new PM</w:t>
      </w:r>
      <w:r w:rsidR="003E1B0A">
        <w:rPr>
          <w:rFonts w:eastAsia="Calibri"/>
          <w:vertAlign w:val="subscript"/>
        </w:rPr>
        <w:t xml:space="preserve">2.5 </w:t>
      </w:r>
      <w:r w:rsidR="003E1B0A">
        <w:rPr>
          <w:rFonts w:eastAsia="Calibri"/>
        </w:rPr>
        <w:t xml:space="preserve">Analyser tender </w:t>
      </w:r>
      <w:r w:rsidR="00E70874">
        <w:rPr>
          <w:rFonts w:eastAsia="Calibri"/>
        </w:rPr>
        <w:t xml:space="preserve">for roadside monitoring purposes </w:t>
      </w:r>
      <w:r w:rsidR="003E1B0A">
        <w:rPr>
          <w:rFonts w:eastAsia="Calibri"/>
        </w:rPr>
        <w:t>is projected to be released by the Authority, as shown in Figure 1.</w:t>
      </w:r>
    </w:p>
    <w:p w14:paraId="343DCCE5" w14:textId="2213A067" w:rsidR="003E1B0A" w:rsidRDefault="00EB7432" w:rsidP="002B6674">
      <w:pPr>
        <w:rPr>
          <w:rFonts w:eastAsia="Calibri"/>
        </w:rPr>
      </w:pPr>
      <w:r w:rsidRPr="2881A1EB">
        <w:rPr>
          <w:rFonts w:eastAsia="Calibri"/>
        </w:rPr>
        <w:lastRenderedPageBreak/>
        <w:t xml:space="preserve">In addition, the Contractor shall have the capability to produce bespoke housings within defined size ranges and with different architectural qualities from those set out below. The Contractor shall provide storage of all goods </w:t>
      </w:r>
      <w:r w:rsidR="00447387" w:rsidRPr="2881A1EB">
        <w:rPr>
          <w:rFonts w:eastAsia="Calibri"/>
        </w:rPr>
        <w:t xml:space="preserve">delivered prior to </w:t>
      </w:r>
      <w:r w:rsidR="000B01E2" w:rsidRPr="2881A1EB">
        <w:rPr>
          <w:rFonts w:eastAsia="Calibri"/>
        </w:rPr>
        <w:t>final assembly</w:t>
      </w:r>
      <w:r w:rsidR="00E70874">
        <w:rPr>
          <w:rFonts w:eastAsia="Calibri"/>
        </w:rPr>
        <w:t xml:space="preserve"> and installation</w:t>
      </w:r>
      <w:r w:rsidR="000B01E2" w:rsidRPr="2881A1EB">
        <w:rPr>
          <w:rFonts w:eastAsia="Calibri"/>
        </w:rPr>
        <w:t>.</w:t>
      </w:r>
    </w:p>
    <w:p w14:paraId="015996EF" w14:textId="1E7B49FC" w:rsidR="00115643" w:rsidRDefault="00B50021" w:rsidP="002B6674">
      <w:r w:rsidRPr="006546B8">
        <w:t>The Contractor will be considered a ‘</w:t>
      </w:r>
      <w:r w:rsidR="00CE7C14">
        <w:t>CDM Designer</w:t>
      </w:r>
      <w:r w:rsidRPr="006546B8">
        <w:t xml:space="preserve">’ </w:t>
      </w:r>
      <w:r w:rsidR="00C127F5">
        <w:t xml:space="preserve">under CDM </w:t>
      </w:r>
      <w:r w:rsidRPr="006546B8">
        <w:t xml:space="preserve">for the purposes of designing the necessary construction and layout details of the </w:t>
      </w:r>
      <w:r w:rsidR="002249E1" w:rsidRPr="006546B8">
        <w:t>housing</w:t>
      </w:r>
      <w:r w:rsidRPr="006546B8">
        <w:t>, and for the</w:t>
      </w:r>
      <w:r w:rsidR="00E826FC" w:rsidRPr="006546B8">
        <w:t xml:space="preserve"> manufacturing and</w:t>
      </w:r>
      <w:r w:rsidRPr="006546B8">
        <w:t xml:space="preserve"> installation of the </w:t>
      </w:r>
      <w:r w:rsidR="002249E1" w:rsidRPr="006546B8">
        <w:t>Housing</w:t>
      </w:r>
      <w:r w:rsidRPr="006546B8">
        <w:t xml:space="preserve"> will act as a ‘</w:t>
      </w:r>
      <w:r w:rsidR="00CE7C14">
        <w:t>CDM Contractor</w:t>
      </w:r>
      <w:r w:rsidRPr="006546B8">
        <w:t>’</w:t>
      </w:r>
      <w:r w:rsidRPr="002D3638">
        <w:t xml:space="preserve"> under</w:t>
      </w:r>
      <w:r>
        <w:t xml:space="preserve"> t</w:t>
      </w:r>
      <w:r w:rsidRPr="00B50021">
        <w:t>he Construction (Design and Management) Regulations 2015</w:t>
      </w:r>
      <w:r>
        <w:t xml:space="preserve"> (CDM 2015). The authority acts as Client although we have a significant input from the Principal </w:t>
      </w:r>
      <w:r w:rsidR="00CE7C14">
        <w:t>CDM Contractor</w:t>
      </w:r>
      <w:r w:rsidR="004B4B9E">
        <w:t xml:space="preserve"> (the relevant CMCU)</w:t>
      </w:r>
      <w:r>
        <w:t xml:space="preserve"> in the creation of</w:t>
      </w:r>
      <w:r w:rsidR="00190CDE">
        <w:t xml:space="preserve"> necessary documents to demonstrate we have undertaken our client role. As a </w:t>
      </w:r>
      <w:r w:rsidR="00CE7C14">
        <w:t>CDM Designer</w:t>
      </w:r>
      <w:r w:rsidR="004B4B9E">
        <w:t xml:space="preserve"> </w:t>
      </w:r>
      <w:r w:rsidR="00190CDE">
        <w:t xml:space="preserve">for the </w:t>
      </w:r>
      <w:r w:rsidR="002249E1">
        <w:t>housing</w:t>
      </w:r>
      <w:r w:rsidR="00190CDE">
        <w:t>,</w:t>
      </w:r>
      <w:r w:rsidR="002B6674">
        <w:t xml:space="preserve"> the</w:t>
      </w:r>
      <w:r w:rsidR="00190CDE">
        <w:t xml:space="preserve"> </w:t>
      </w:r>
      <w:r w:rsidR="004B4B9E">
        <w:t xml:space="preserve">successful Contractor will need to work on the </w:t>
      </w:r>
      <w:r w:rsidR="00E826FC">
        <w:t>operational layout</w:t>
      </w:r>
      <w:r w:rsidR="004B4B9E">
        <w:t xml:space="preserve"> of the housing to meet any site-specific needs and gain approvals from CMCU prior to installation at </w:t>
      </w:r>
      <w:r w:rsidR="00427F93">
        <w:t xml:space="preserve">the </w:t>
      </w:r>
      <w:r w:rsidR="004B4B9E">
        <w:t>specified site</w:t>
      </w:r>
      <w:r w:rsidR="001A0CDA">
        <w:t xml:space="preserve">. Following installation, final ‘as built’ drawings </w:t>
      </w:r>
      <w:r w:rsidR="00FB2CA5">
        <w:t>such as cabin layout and electrical sing</w:t>
      </w:r>
      <w:r w:rsidR="001A0CDA">
        <w:t>le line diagrams are required</w:t>
      </w:r>
      <w:r w:rsidR="00FB2CA5">
        <w:t xml:space="preserve"> to be shared so that in case of any cabin re-configurations the site layout can be amended, and in case</w:t>
      </w:r>
      <w:r w:rsidR="001816E7">
        <w:t xml:space="preserve"> at</w:t>
      </w:r>
      <w:r w:rsidR="00FB2CA5">
        <w:t xml:space="preserve"> the final install </w:t>
      </w:r>
      <w:r w:rsidR="001816E7">
        <w:t xml:space="preserve">stage, </w:t>
      </w:r>
      <w:r w:rsidR="00FB2CA5">
        <w:t>site layout alterations were required.</w:t>
      </w:r>
    </w:p>
    <w:p w14:paraId="5129685A" w14:textId="5FBF5FFB" w:rsidR="00077E38" w:rsidRDefault="00077E38" w:rsidP="002B6674">
      <w:r>
        <w:t xml:space="preserve">The delivery of the housings relies on cohesive interactions between the Authorities </w:t>
      </w:r>
      <w:r w:rsidR="00CE7C14">
        <w:t xml:space="preserve">CDM </w:t>
      </w:r>
      <w:r w:rsidR="005435DA">
        <w:t>Contractors</w:t>
      </w:r>
      <w:r>
        <w:t xml:space="preserve"> who deliver the management of the contracts and deliver the CDM work.  Figure 1 details these current interactions and the expectations of how the Contractor will help deliver the ‘New’ PM</w:t>
      </w:r>
      <w:r w:rsidRPr="00854AAB">
        <w:rPr>
          <w:vertAlign w:val="subscript"/>
        </w:rPr>
        <w:t xml:space="preserve">2.5 </w:t>
      </w:r>
      <w:r>
        <w:t xml:space="preserve">sites. </w:t>
      </w:r>
    </w:p>
    <w:p w14:paraId="2C3A4B73" w14:textId="77777777" w:rsidR="00FB2CA5" w:rsidRDefault="00FB2CA5">
      <w:r>
        <w:br w:type="page"/>
      </w:r>
    </w:p>
    <w:p w14:paraId="0472A64A" w14:textId="77777777" w:rsidR="00FB2CA5" w:rsidRDefault="00FB2CA5" w:rsidP="00B92640">
      <w:pPr>
        <w:keepNext/>
        <w:sectPr w:rsidR="00FB2CA5" w:rsidSect="0096481C">
          <w:headerReference w:type="default" r:id="rId13"/>
          <w:pgSz w:w="11906" w:h="16838"/>
          <w:pgMar w:top="1440" w:right="1440" w:bottom="1440" w:left="1440" w:header="708" w:footer="708" w:gutter="0"/>
          <w:cols w:space="708"/>
          <w:docGrid w:linePitch="360"/>
        </w:sectPr>
      </w:pPr>
    </w:p>
    <w:p w14:paraId="4E53B803" w14:textId="77777777" w:rsidR="00BC44CC" w:rsidRDefault="00BC44CC" w:rsidP="00B92640">
      <w:pPr>
        <w:keepNext/>
        <w:rPr>
          <w:noProof/>
        </w:rPr>
      </w:pPr>
    </w:p>
    <w:p w14:paraId="45DC16EC" w14:textId="2B5DF383" w:rsidR="00B92640" w:rsidRDefault="00AA044C" w:rsidP="00B92640">
      <w:pPr>
        <w:keepNext/>
      </w:pPr>
      <w:r>
        <w:rPr>
          <w:noProof/>
        </w:rPr>
        <w:drawing>
          <wp:inline distT="0" distB="0" distL="0" distR="0" wp14:anchorId="7AF2F61E" wp14:editId="5608D19A">
            <wp:extent cx="7495953" cy="4985266"/>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4">
                      <a:extLst>
                        <a:ext uri="{28A0092B-C50C-407E-A947-70E740481C1C}">
                          <a14:useLocalDpi xmlns:a14="http://schemas.microsoft.com/office/drawing/2010/main" val="0"/>
                        </a:ext>
                      </a:extLst>
                    </a:blip>
                    <a:srcRect r="15422"/>
                    <a:stretch/>
                  </pic:blipFill>
                  <pic:spPr bwMode="auto">
                    <a:xfrm>
                      <a:off x="0" y="0"/>
                      <a:ext cx="7496132" cy="4985385"/>
                    </a:xfrm>
                    <a:prstGeom prst="rect">
                      <a:avLst/>
                    </a:prstGeom>
                    <a:ln>
                      <a:noFill/>
                    </a:ln>
                    <a:extLst>
                      <a:ext uri="{53640926-AAD7-44D8-BBD7-CCE9431645EC}">
                        <a14:shadowObscured xmlns:a14="http://schemas.microsoft.com/office/drawing/2010/main"/>
                      </a:ext>
                    </a:extLst>
                  </pic:spPr>
                </pic:pic>
              </a:graphicData>
            </a:graphic>
          </wp:inline>
        </w:drawing>
      </w:r>
    </w:p>
    <w:p w14:paraId="443D07C1" w14:textId="296ED0B9" w:rsidR="00315C69" w:rsidRDefault="00B92640" w:rsidP="00B92640">
      <w:pPr>
        <w:pStyle w:val="Caption"/>
        <w:rPr>
          <w:noProof/>
        </w:rPr>
      </w:pPr>
      <w:bookmarkStart w:id="3" w:name="_Ref124431059"/>
      <w:r>
        <w:t xml:space="preserve">Figure </w:t>
      </w:r>
      <w:r>
        <w:fldChar w:fldCharType="begin"/>
      </w:r>
      <w:r>
        <w:instrText>SEQ Figure \* ARABIC</w:instrText>
      </w:r>
      <w:r>
        <w:fldChar w:fldCharType="separate"/>
      </w:r>
      <w:r w:rsidR="003F221C">
        <w:rPr>
          <w:noProof/>
        </w:rPr>
        <w:t>1</w:t>
      </w:r>
      <w:r>
        <w:fldChar w:fldCharType="end"/>
      </w:r>
      <w:bookmarkEnd w:id="3"/>
      <w:r>
        <w:t xml:space="preserve"> </w:t>
      </w:r>
      <w:r w:rsidR="00FB2CA5">
        <w:t xml:space="preserve">- </w:t>
      </w:r>
      <w:r>
        <w:t xml:space="preserve">Schematic of the </w:t>
      </w:r>
      <w:r w:rsidR="005829E8">
        <w:t xml:space="preserve">process </w:t>
      </w:r>
      <w:r>
        <w:t xml:space="preserve">relationship between </w:t>
      </w:r>
      <w:r w:rsidR="00FF1F9F">
        <w:t>contract</w:t>
      </w:r>
      <w:r w:rsidR="00711A7D">
        <w:t>ors</w:t>
      </w:r>
      <w:r w:rsidR="00FF1F9F">
        <w:t xml:space="preserve"> and the EA</w:t>
      </w:r>
      <w:r>
        <w:t xml:space="preserve"> for delivering</w:t>
      </w:r>
      <w:r>
        <w:rPr>
          <w:noProof/>
        </w:rPr>
        <w:t xml:space="preserve"> new AQ monitoring sites</w:t>
      </w:r>
    </w:p>
    <w:p w14:paraId="1823E71F" w14:textId="77777777" w:rsidR="00FB2CA5" w:rsidRDefault="00FB2CA5" w:rsidP="00FB2CA5">
      <w:pPr>
        <w:rPr>
          <w:highlight w:val="yellow"/>
        </w:rPr>
        <w:sectPr w:rsidR="00FB2CA5" w:rsidSect="005E3E33">
          <w:pgSz w:w="16838" w:h="11906" w:orient="landscape"/>
          <w:pgMar w:top="1440" w:right="1440" w:bottom="1440" w:left="1440" w:header="708" w:footer="708" w:gutter="0"/>
          <w:cols w:space="708"/>
          <w:docGrid w:linePitch="360"/>
        </w:sectPr>
      </w:pPr>
    </w:p>
    <w:p w14:paraId="3E3B0D75" w14:textId="30BF615E" w:rsidR="001F4A10" w:rsidRPr="00DE6364" w:rsidRDefault="000A7AB7" w:rsidP="003F3027">
      <w:pPr>
        <w:pStyle w:val="Heading1"/>
      </w:pPr>
      <w:bookmarkStart w:id="4" w:name="_Toc153342466"/>
      <w:r>
        <w:lastRenderedPageBreak/>
        <w:t xml:space="preserve">Contract </w:t>
      </w:r>
      <w:r w:rsidR="00175A33">
        <w:t>Objectives</w:t>
      </w:r>
      <w:bookmarkEnd w:id="4"/>
    </w:p>
    <w:p w14:paraId="37EF95B2" w14:textId="51EA6874" w:rsidR="004C1FCB" w:rsidRPr="00447734" w:rsidRDefault="00175A33" w:rsidP="008A6FD4">
      <w:pPr>
        <w:pStyle w:val="Heading2"/>
        <w:rPr>
          <w:color w:val="auto"/>
          <w:sz w:val="22"/>
          <w:szCs w:val="22"/>
        </w:rPr>
      </w:pPr>
      <w:r w:rsidRPr="0041185B">
        <w:rPr>
          <w:color w:val="auto"/>
          <w:sz w:val="22"/>
          <w:szCs w:val="22"/>
        </w:rPr>
        <w:t xml:space="preserve">Deliver a </w:t>
      </w:r>
      <w:r w:rsidRPr="00447734">
        <w:rPr>
          <w:color w:val="auto"/>
          <w:sz w:val="22"/>
          <w:szCs w:val="22"/>
        </w:rPr>
        <w:t>standard d</w:t>
      </w:r>
      <w:r w:rsidR="00115643" w:rsidRPr="00447734">
        <w:rPr>
          <w:color w:val="auto"/>
          <w:sz w:val="22"/>
          <w:szCs w:val="22"/>
        </w:rPr>
        <w:t xml:space="preserve">esign </w:t>
      </w:r>
      <w:r w:rsidR="00AC5460" w:rsidRPr="00447734">
        <w:rPr>
          <w:color w:val="auto"/>
          <w:sz w:val="22"/>
          <w:szCs w:val="22"/>
        </w:rPr>
        <w:t xml:space="preserve">of </w:t>
      </w:r>
      <w:r w:rsidR="002249E1" w:rsidRPr="00447734">
        <w:rPr>
          <w:color w:val="auto"/>
          <w:sz w:val="22"/>
          <w:szCs w:val="22"/>
        </w:rPr>
        <w:t>housing</w:t>
      </w:r>
      <w:r w:rsidR="00115643" w:rsidRPr="00447734">
        <w:rPr>
          <w:color w:val="auto"/>
          <w:sz w:val="22"/>
          <w:szCs w:val="22"/>
        </w:rPr>
        <w:t xml:space="preserve"> to</w:t>
      </w:r>
      <w:r w:rsidR="00AC5460" w:rsidRPr="00447734">
        <w:rPr>
          <w:color w:val="auto"/>
          <w:sz w:val="22"/>
          <w:szCs w:val="22"/>
        </w:rPr>
        <w:t xml:space="preserve"> the</w:t>
      </w:r>
      <w:r w:rsidR="00115643" w:rsidRPr="00447734">
        <w:rPr>
          <w:color w:val="auto"/>
          <w:sz w:val="22"/>
          <w:szCs w:val="22"/>
        </w:rPr>
        <w:t xml:space="preserve"> requirements of the Environment Agency and the Principal </w:t>
      </w:r>
      <w:r w:rsidR="00CE7C14" w:rsidRPr="00447734">
        <w:rPr>
          <w:color w:val="auto"/>
          <w:sz w:val="22"/>
          <w:szCs w:val="22"/>
        </w:rPr>
        <w:t>CDM Contractor</w:t>
      </w:r>
      <w:r w:rsidR="00077E38" w:rsidRPr="00447734">
        <w:rPr>
          <w:color w:val="auto"/>
          <w:sz w:val="22"/>
          <w:szCs w:val="22"/>
        </w:rPr>
        <w:t>. Provide flexibility for bespoke housings as needed.</w:t>
      </w:r>
      <w:r w:rsidR="00115643" w:rsidRPr="00447734">
        <w:rPr>
          <w:color w:val="auto"/>
          <w:sz w:val="22"/>
          <w:szCs w:val="22"/>
        </w:rPr>
        <w:t xml:space="preserve"> </w:t>
      </w:r>
    </w:p>
    <w:p w14:paraId="06A044CD" w14:textId="1673F300" w:rsidR="00175A33" w:rsidRPr="00447734" w:rsidRDefault="00175A33" w:rsidP="00261D19">
      <w:pPr>
        <w:pStyle w:val="Heading2"/>
        <w:numPr>
          <w:ilvl w:val="0"/>
          <w:numId w:val="0"/>
        </w:numPr>
        <w:ind w:left="1854"/>
        <w:rPr>
          <w:sz w:val="22"/>
          <w:szCs w:val="22"/>
        </w:rPr>
      </w:pPr>
      <w:r w:rsidRPr="00447734">
        <w:rPr>
          <w:sz w:val="22"/>
          <w:szCs w:val="22"/>
        </w:rPr>
        <w:t xml:space="preserve">Demonstrate capability of </w:t>
      </w:r>
      <w:r w:rsidR="0010307A" w:rsidRPr="00447734">
        <w:rPr>
          <w:sz w:val="22"/>
          <w:szCs w:val="22"/>
        </w:rPr>
        <w:t xml:space="preserve">meeting </w:t>
      </w:r>
      <w:r w:rsidRPr="00447734">
        <w:rPr>
          <w:sz w:val="22"/>
          <w:szCs w:val="22"/>
        </w:rPr>
        <w:t xml:space="preserve">EA minimum standards </w:t>
      </w:r>
      <w:r w:rsidR="00261D19" w:rsidRPr="00447734">
        <w:rPr>
          <w:sz w:val="22"/>
          <w:szCs w:val="22"/>
        </w:rPr>
        <w:t>d</w:t>
      </w:r>
      <w:r w:rsidR="00123EC8" w:rsidRPr="00447734">
        <w:rPr>
          <w:color w:val="auto"/>
          <w:sz w:val="22"/>
          <w:szCs w:val="22"/>
        </w:rPr>
        <w:t>esign, fabricate, Factory acceptance testing, transportation,</w:t>
      </w:r>
      <w:r w:rsidR="00261D19" w:rsidRPr="00447734">
        <w:rPr>
          <w:color w:val="auto"/>
          <w:sz w:val="22"/>
          <w:szCs w:val="22"/>
        </w:rPr>
        <w:t xml:space="preserve"> </w:t>
      </w:r>
      <w:r w:rsidR="00123EC8" w:rsidRPr="00447734">
        <w:rPr>
          <w:color w:val="auto"/>
          <w:sz w:val="22"/>
          <w:szCs w:val="22"/>
        </w:rPr>
        <w:t>offloading, installation and testing ( where required), site acceptance testing (where required) , decommissioning and disposal requirements, drawings, documents and Operation and Maintenance manuals and schedules.</w:t>
      </w:r>
    </w:p>
    <w:p w14:paraId="2C45EA58" w14:textId="5F133C9D" w:rsidR="009A4F27" w:rsidRPr="00447734" w:rsidRDefault="00175A33" w:rsidP="009A4F27">
      <w:pPr>
        <w:pStyle w:val="Heading2"/>
        <w:rPr>
          <w:color w:val="auto"/>
          <w:sz w:val="22"/>
          <w:szCs w:val="22"/>
        </w:rPr>
      </w:pPr>
      <w:r w:rsidRPr="00447734">
        <w:rPr>
          <w:color w:val="auto"/>
          <w:sz w:val="22"/>
          <w:szCs w:val="22"/>
        </w:rPr>
        <w:t xml:space="preserve">Demonstrate capacity and resource to manage an internal design layout and agreement with our management </w:t>
      </w:r>
      <w:r w:rsidR="00CE7C14" w:rsidRPr="00447734">
        <w:rPr>
          <w:color w:val="auto"/>
          <w:sz w:val="22"/>
          <w:szCs w:val="22"/>
        </w:rPr>
        <w:t>CDM Contractor</w:t>
      </w:r>
    </w:p>
    <w:p w14:paraId="42BF880E" w14:textId="23ED5015" w:rsidR="009A4F27" w:rsidRPr="00447734" w:rsidRDefault="009A4F27" w:rsidP="009A4F27">
      <w:pPr>
        <w:pStyle w:val="Heading2"/>
        <w:rPr>
          <w:color w:val="auto"/>
          <w:sz w:val="22"/>
          <w:szCs w:val="22"/>
        </w:rPr>
      </w:pPr>
      <w:r w:rsidRPr="00447734">
        <w:rPr>
          <w:color w:val="auto"/>
          <w:sz w:val="22"/>
          <w:szCs w:val="22"/>
        </w:rPr>
        <w:t>Demonstrate capacity to provide CAD drawings, visualisations and housing details to support any planning application process for sites where a full planning application process is being delivered by CMCU</w:t>
      </w:r>
      <w:r w:rsidR="00077E38" w:rsidRPr="00447734">
        <w:rPr>
          <w:color w:val="auto"/>
          <w:sz w:val="22"/>
          <w:szCs w:val="22"/>
        </w:rPr>
        <w:t xml:space="preserve">, and for </w:t>
      </w:r>
      <w:r w:rsidR="005435DA" w:rsidRPr="00447734">
        <w:rPr>
          <w:color w:val="auto"/>
          <w:sz w:val="22"/>
          <w:szCs w:val="22"/>
        </w:rPr>
        <w:t>site-by-site</w:t>
      </w:r>
      <w:r w:rsidR="00077E38" w:rsidRPr="00447734">
        <w:rPr>
          <w:color w:val="auto"/>
          <w:sz w:val="22"/>
          <w:szCs w:val="22"/>
        </w:rPr>
        <w:t xml:space="preserve"> amendments.</w:t>
      </w:r>
    </w:p>
    <w:p w14:paraId="2E72E509" w14:textId="6BF06232" w:rsidR="00175A33" w:rsidRPr="00447734" w:rsidRDefault="00175A33" w:rsidP="008A6FD4">
      <w:pPr>
        <w:pStyle w:val="Heading2"/>
        <w:rPr>
          <w:color w:val="auto"/>
          <w:sz w:val="22"/>
          <w:szCs w:val="22"/>
        </w:rPr>
      </w:pPr>
      <w:r w:rsidRPr="00447734">
        <w:rPr>
          <w:color w:val="auto"/>
          <w:sz w:val="22"/>
          <w:szCs w:val="22"/>
        </w:rPr>
        <w:t>Demonstrate safe working practices for</w:t>
      </w:r>
      <w:r w:rsidR="00005EF1" w:rsidRPr="00447734">
        <w:rPr>
          <w:color w:val="auto"/>
          <w:sz w:val="22"/>
          <w:szCs w:val="22"/>
        </w:rPr>
        <w:t xml:space="preserve"> manufacturing,</w:t>
      </w:r>
      <w:r w:rsidRPr="00447734">
        <w:rPr>
          <w:color w:val="auto"/>
          <w:sz w:val="22"/>
          <w:szCs w:val="22"/>
        </w:rPr>
        <w:t xml:space="preserve"> delivery and install</w:t>
      </w:r>
    </w:p>
    <w:p w14:paraId="426A65EC" w14:textId="64A3567E" w:rsidR="00175A33" w:rsidRPr="00447734" w:rsidRDefault="00175A33" w:rsidP="008A6FD4">
      <w:pPr>
        <w:pStyle w:val="Heading2"/>
        <w:rPr>
          <w:color w:val="auto"/>
          <w:sz w:val="22"/>
          <w:szCs w:val="22"/>
        </w:rPr>
      </w:pPr>
      <w:r w:rsidRPr="00447734">
        <w:rPr>
          <w:color w:val="auto"/>
          <w:sz w:val="22"/>
          <w:szCs w:val="22"/>
        </w:rPr>
        <w:t>Provide flexible capacity and good value to the</w:t>
      </w:r>
      <w:r w:rsidR="00077E38" w:rsidRPr="00447734">
        <w:rPr>
          <w:color w:val="auto"/>
          <w:sz w:val="22"/>
          <w:szCs w:val="22"/>
        </w:rPr>
        <w:t xml:space="preserve"> Authority</w:t>
      </w:r>
    </w:p>
    <w:p w14:paraId="6B2E2C7A" w14:textId="5C546068" w:rsidR="00175A33" w:rsidRPr="00447734" w:rsidRDefault="00175A33" w:rsidP="008A6FD4">
      <w:pPr>
        <w:pStyle w:val="Heading2"/>
        <w:rPr>
          <w:color w:val="auto"/>
          <w:sz w:val="22"/>
          <w:szCs w:val="22"/>
        </w:rPr>
      </w:pPr>
      <w:r w:rsidRPr="00447734">
        <w:rPr>
          <w:color w:val="auto"/>
          <w:sz w:val="22"/>
          <w:szCs w:val="22"/>
        </w:rPr>
        <w:t xml:space="preserve">Produce high quality, energy efficient </w:t>
      </w:r>
      <w:r w:rsidR="002249E1" w:rsidRPr="00447734">
        <w:rPr>
          <w:color w:val="auto"/>
          <w:sz w:val="22"/>
          <w:szCs w:val="22"/>
        </w:rPr>
        <w:t>housings</w:t>
      </w:r>
      <w:r w:rsidRPr="00447734">
        <w:rPr>
          <w:color w:val="auto"/>
          <w:sz w:val="22"/>
          <w:szCs w:val="22"/>
        </w:rPr>
        <w:t xml:space="preserve"> to help us meet our net zero objectives</w:t>
      </w:r>
    </w:p>
    <w:p w14:paraId="51EBA760" w14:textId="52482E93" w:rsidR="002D3638" w:rsidRPr="00447734" w:rsidRDefault="00175A33" w:rsidP="002D3638">
      <w:pPr>
        <w:pStyle w:val="Heading2"/>
        <w:rPr>
          <w:color w:val="auto"/>
          <w:sz w:val="22"/>
          <w:szCs w:val="22"/>
        </w:rPr>
      </w:pPr>
      <w:r w:rsidRPr="00447734">
        <w:rPr>
          <w:color w:val="auto"/>
          <w:sz w:val="22"/>
          <w:szCs w:val="22"/>
        </w:rPr>
        <w:t>Demonstrate supplier can produce a timely product and service delivery for installation</w:t>
      </w:r>
    </w:p>
    <w:p w14:paraId="74C9FB2F" w14:textId="67A756B6" w:rsidR="00175A33" w:rsidRPr="00447734" w:rsidRDefault="002D3638" w:rsidP="00877BA3">
      <w:pPr>
        <w:pStyle w:val="Heading2"/>
        <w:rPr>
          <w:sz w:val="22"/>
          <w:szCs w:val="22"/>
        </w:rPr>
      </w:pPr>
      <w:r w:rsidRPr="00447734">
        <w:rPr>
          <w:sz w:val="22"/>
          <w:szCs w:val="22"/>
        </w:rPr>
        <w:t>Deliver and provide programme management of the build and installation work so that the programme of cabin design and install will mean the PM</w:t>
      </w:r>
      <w:r w:rsidRPr="00447734">
        <w:rPr>
          <w:sz w:val="22"/>
          <w:szCs w:val="22"/>
          <w:vertAlign w:val="subscript"/>
        </w:rPr>
        <w:t xml:space="preserve">2.5 </w:t>
      </w:r>
      <w:r w:rsidRPr="00447734">
        <w:rPr>
          <w:sz w:val="22"/>
          <w:szCs w:val="22"/>
        </w:rPr>
        <w:t xml:space="preserve">monitoring expansion is delivered in a timely and </w:t>
      </w:r>
      <w:r w:rsidR="000A7AB7" w:rsidRPr="00447734">
        <w:rPr>
          <w:sz w:val="22"/>
          <w:szCs w:val="22"/>
        </w:rPr>
        <w:t>cost-effective</w:t>
      </w:r>
      <w:r w:rsidRPr="00447734">
        <w:rPr>
          <w:sz w:val="22"/>
          <w:szCs w:val="22"/>
        </w:rPr>
        <w:t xml:space="preserve"> manner</w:t>
      </w:r>
    </w:p>
    <w:p w14:paraId="0184A082" w14:textId="36272F82" w:rsidR="007E7531" w:rsidRPr="00330658" w:rsidRDefault="007E7531">
      <w:r w:rsidRPr="00330658">
        <w:br w:type="page"/>
      </w:r>
    </w:p>
    <w:p w14:paraId="40D2FA10" w14:textId="096F1A34" w:rsidR="00433D9A" w:rsidRDefault="00175A33" w:rsidP="00433D9A">
      <w:pPr>
        <w:pStyle w:val="Heading1"/>
      </w:pPr>
      <w:bookmarkStart w:id="5" w:name="_Toc153342467"/>
      <w:r>
        <w:lastRenderedPageBreak/>
        <w:t>Contract</w:t>
      </w:r>
      <w:r w:rsidR="54719C58">
        <w:t xml:space="preserve"> Structure, Contract </w:t>
      </w:r>
      <w:r w:rsidR="00357E3D">
        <w:t xml:space="preserve">Lifespan and </w:t>
      </w:r>
      <w:r>
        <w:t>Deliverables</w:t>
      </w:r>
      <w:bookmarkEnd w:id="5"/>
      <w:r w:rsidR="00357E3D">
        <w:t xml:space="preserve"> </w:t>
      </w:r>
    </w:p>
    <w:p w14:paraId="0260A569" w14:textId="77777777" w:rsidR="00E672B2" w:rsidRPr="00E672B2" w:rsidRDefault="00E672B2" w:rsidP="00E672B2"/>
    <w:p w14:paraId="7A564F7D" w14:textId="722A3C92" w:rsidR="4DE8CE4B" w:rsidRDefault="00FE5B3D" w:rsidP="00FE5B3D">
      <w:pPr>
        <w:pStyle w:val="Heading2"/>
      </w:pPr>
      <w:r>
        <w:t>Contract Structure</w:t>
      </w:r>
      <w:r w:rsidR="001A0CDA">
        <w:t xml:space="preserve"> </w:t>
      </w:r>
    </w:p>
    <w:p w14:paraId="23F97D9E" w14:textId="77777777" w:rsidR="00FE5B3D" w:rsidRDefault="00FE5B3D" w:rsidP="00FE5B3D"/>
    <w:p w14:paraId="1BD205E5" w14:textId="506B3DA4" w:rsidR="00C60C13" w:rsidRDefault="00FE5B3D" w:rsidP="00CB4A4E">
      <w:pPr>
        <w:pStyle w:val="ListParagraph"/>
        <w:ind w:left="0"/>
        <w:jc w:val="both"/>
      </w:pPr>
      <w:r>
        <w:t xml:space="preserve">The contract will be awarded as </w:t>
      </w:r>
      <w:r w:rsidR="00B102B6">
        <w:t>1</w:t>
      </w:r>
      <w:r>
        <w:t xml:space="preserve"> lot</w:t>
      </w:r>
      <w:r w:rsidR="00BD52DE">
        <w:t xml:space="preserve"> based on the supply of </w:t>
      </w:r>
      <w:r w:rsidR="00B102B6">
        <w:t xml:space="preserve">a </w:t>
      </w:r>
      <w:r w:rsidR="00BD52DE">
        <w:t>standardised design</w:t>
      </w:r>
      <w:r w:rsidR="00AC1AD1">
        <w:t xml:space="preserve"> detailed in </w:t>
      </w:r>
      <w:r w:rsidR="00AC1AD1">
        <w:fldChar w:fldCharType="begin"/>
      </w:r>
      <w:r w:rsidR="00AC1AD1">
        <w:instrText xml:space="preserve"> REF _Ref120794861 \r \h </w:instrText>
      </w:r>
      <w:r w:rsidR="00AC1AD1">
        <w:fldChar w:fldCharType="separate"/>
      </w:r>
      <w:r w:rsidR="003F221C">
        <w:t>6.2</w:t>
      </w:r>
      <w:r w:rsidR="00AC1AD1">
        <w:fldChar w:fldCharType="end"/>
      </w:r>
    </w:p>
    <w:p w14:paraId="1FC43646" w14:textId="77777777" w:rsidR="00AC1AD1" w:rsidRDefault="00AC1AD1" w:rsidP="00CB4A4E">
      <w:pPr>
        <w:pStyle w:val="ListParagraph"/>
        <w:ind w:left="0"/>
        <w:jc w:val="both"/>
      </w:pPr>
    </w:p>
    <w:p w14:paraId="4AF602E7" w14:textId="5CA5EFEF" w:rsidR="00FE5B3D" w:rsidRDefault="00C56AD0" w:rsidP="00CB4A4E">
      <w:pPr>
        <w:pStyle w:val="ListParagraph"/>
        <w:ind w:left="0"/>
        <w:jc w:val="both"/>
      </w:pPr>
      <w:r>
        <w:t xml:space="preserve">As per the discussion in section </w:t>
      </w:r>
      <w:r>
        <w:fldChar w:fldCharType="begin"/>
      </w:r>
      <w:r>
        <w:instrText xml:space="preserve"> REF _Ref120794925 \r \h </w:instrText>
      </w:r>
      <w:r>
        <w:fldChar w:fldCharType="separate"/>
      </w:r>
      <w:r w:rsidR="003F221C">
        <w:t>6.2.2</w:t>
      </w:r>
      <w:r>
        <w:fldChar w:fldCharType="end"/>
      </w:r>
      <w:r>
        <w:t xml:space="preserve"> </w:t>
      </w:r>
      <w:r w:rsidR="00D7459A">
        <w:t xml:space="preserve">custom housings are to be designed and built on a </w:t>
      </w:r>
      <w:r w:rsidR="005435DA">
        <w:t>case-by-case</w:t>
      </w:r>
      <w:r w:rsidR="00D7459A">
        <w:t xml:space="preserve"> basis, pricing agreed on a similar basis</w:t>
      </w:r>
      <w:r w:rsidR="001A0CDA">
        <w:t xml:space="preserve">. </w:t>
      </w:r>
    </w:p>
    <w:p w14:paraId="6D22AD42" w14:textId="439627DD" w:rsidR="001A0CDA" w:rsidRDefault="001A0CDA" w:rsidP="00CB4A4E">
      <w:pPr>
        <w:pStyle w:val="ListParagraph"/>
        <w:ind w:left="0"/>
        <w:jc w:val="both"/>
      </w:pPr>
    </w:p>
    <w:p w14:paraId="5A0FDF0F" w14:textId="77777777" w:rsidR="00E15ABB" w:rsidRDefault="00E15ABB" w:rsidP="00E15ABB">
      <w:pPr>
        <w:pStyle w:val="Heading2"/>
      </w:pPr>
      <w:r>
        <w:t>Contract Lifespan</w:t>
      </w:r>
    </w:p>
    <w:p w14:paraId="2DED2595" w14:textId="77777777" w:rsidR="00E15ABB" w:rsidRPr="00737026" w:rsidRDefault="00E15ABB" w:rsidP="00E15ABB"/>
    <w:p w14:paraId="28C9A01A" w14:textId="15C53CEC" w:rsidR="00E15ABB" w:rsidRDefault="6178DC02" w:rsidP="004F6FAA">
      <w:r>
        <w:t xml:space="preserve">The contractor </w:t>
      </w:r>
      <w:r w:rsidR="264A77BE">
        <w:t xml:space="preserve">awarded </w:t>
      </w:r>
      <w:r>
        <w:t xml:space="preserve">will supply housings to the EA and other stakeholders for the period of 3 years from commencement with an option to extend the contract for a further three </w:t>
      </w:r>
      <w:r w:rsidR="005435DA">
        <w:t>12-month</w:t>
      </w:r>
      <w:r>
        <w:t xml:space="preserve"> periods.</w:t>
      </w:r>
    </w:p>
    <w:p w14:paraId="164FC451" w14:textId="4747235C" w:rsidR="004F6FAA" w:rsidRDefault="004C722F" w:rsidP="004F6FAA">
      <w:r>
        <w:t xml:space="preserve">As discussed in section </w:t>
      </w:r>
      <w:r>
        <w:fldChar w:fldCharType="begin"/>
      </w:r>
      <w:r>
        <w:instrText xml:space="preserve"> REF _Ref120193683 \r \h </w:instrText>
      </w:r>
      <w:r>
        <w:fldChar w:fldCharType="separate"/>
      </w:r>
      <w:r w:rsidR="003F221C">
        <w:t>2</w:t>
      </w:r>
      <w:r>
        <w:fldChar w:fldCharType="end"/>
      </w:r>
      <w:r w:rsidR="004F6FAA">
        <w:t xml:space="preserve"> exact numbers of housings required cannot yet be </w:t>
      </w:r>
      <w:r>
        <w:t>confirmed</w:t>
      </w:r>
      <w:r w:rsidR="004F6FAA">
        <w:t xml:space="preserve">, the following are likely requirements </w:t>
      </w:r>
      <w:r>
        <w:t>over the contract lifetime. They exclude any potential use of this call off contract by DEFRA or other partners in a call.</w:t>
      </w:r>
    </w:p>
    <w:p w14:paraId="24C4D0C0" w14:textId="4E69A31D" w:rsidR="0022326A" w:rsidRDefault="0022326A" w:rsidP="0022326A">
      <w:pPr>
        <w:pStyle w:val="Caption"/>
      </w:pPr>
      <w:bookmarkStart w:id="6" w:name="_Ref121132634"/>
      <w:bookmarkStart w:id="7" w:name="_Ref120875409"/>
      <w:bookmarkStart w:id="8" w:name="_Toc121132789"/>
      <w:r>
        <w:t xml:space="preserve">Table </w:t>
      </w:r>
      <w:r>
        <w:fldChar w:fldCharType="begin"/>
      </w:r>
      <w:r>
        <w:instrText>SEQ Table \* ARABIC</w:instrText>
      </w:r>
      <w:r>
        <w:fldChar w:fldCharType="separate"/>
      </w:r>
      <w:r w:rsidR="003F221C">
        <w:rPr>
          <w:noProof/>
        </w:rPr>
        <w:t>1</w:t>
      </w:r>
      <w:r>
        <w:fldChar w:fldCharType="end"/>
      </w:r>
      <w:bookmarkEnd w:id="6"/>
      <w:r w:rsidR="00FB2CA5">
        <w:t xml:space="preserve"> -</w:t>
      </w:r>
      <w:r>
        <w:t xml:space="preserve"> Projected housing requirements (</w:t>
      </w:r>
      <w:r w:rsidR="002D3638">
        <w:t xml:space="preserve">Environment Agency </w:t>
      </w:r>
      <w:r>
        <w:t>only)</w:t>
      </w:r>
      <w:bookmarkEnd w:id="7"/>
      <w:bookmarkEnd w:id="8"/>
    </w:p>
    <w:tbl>
      <w:tblPr>
        <w:tblStyle w:val="TableGrid"/>
        <w:tblW w:w="0" w:type="auto"/>
        <w:tblLook w:val="04A0" w:firstRow="1" w:lastRow="0" w:firstColumn="1" w:lastColumn="0" w:noHBand="0" w:noVBand="1"/>
      </w:tblPr>
      <w:tblGrid>
        <w:gridCol w:w="3005"/>
        <w:gridCol w:w="3005"/>
        <w:gridCol w:w="3006"/>
      </w:tblGrid>
      <w:tr w:rsidR="00D55025" w14:paraId="3AF57FE9" w14:textId="77777777" w:rsidTr="00D55025">
        <w:tc>
          <w:tcPr>
            <w:tcW w:w="3005" w:type="dxa"/>
          </w:tcPr>
          <w:p w14:paraId="74708834" w14:textId="3FAFE67B" w:rsidR="00D55025" w:rsidRPr="007B0D32" w:rsidRDefault="007B0D32" w:rsidP="004F6FAA">
            <w:pPr>
              <w:rPr>
                <w:b/>
                <w:bCs/>
              </w:rPr>
            </w:pPr>
            <w:r>
              <w:rPr>
                <w:b/>
                <w:bCs/>
              </w:rPr>
              <w:t>Project Name</w:t>
            </w:r>
          </w:p>
        </w:tc>
        <w:tc>
          <w:tcPr>
            <w:tcW w:w="3005" w:type="dxa"/>
          </w:tcPr>
          <w:p w14:paraId="1C2626A9" w14:textId="109252B6" w:rsidR="00D55025" w:rsidRPr="007B0D32" w:rsidRDefault="00621F44" w:rsidP="004F6FAA">
            <w:pPr>
              <w:rPr>
                <w:b/>
                <w:bCs/>
              </w:rPr>
            </w:pPr>
            <w:r w:rsidRPr="007B0D32">
              <w:rPr>
                <w:b/>
                <w:bCs/>
              </w:rPr>
              <w:t xml:space="preserve">Number of housings </w:t>
            </w:r>
          </w:p>
        </w:tc>
        <w:tc>
          <w:tcPr>
            <w:tcW w:w="3006" w:type="dxa"/>
          </w:tcPr>
          <w:p w14:paraId="39E405A7" w14:textId="77777777" w:rsidR="002D3638" w:rsidRDefault="00621F44" w:rsidP="004F6FAA">
            <w:pPr>
              <w:rPr>
                <w:b/>
                <w:bCs/>
              </w:rPr>
            </w:pPr>
            <w:r w:rsidRPr="007B0D32">
              <w:rPr>
                <w:b/>
                <w:bCs/>
              </w:rPr>
              <w:t>Timescale</w:t>
            </w:r>
            <w:r w:rsidR="002D3638">
              <w:rPr>
                <w:b/>
                <w:bCs/>
              </w:rPr>
              <w:t xml:space="preserve"> </w:t>
            </w:r>
          </w:p>
          <w:p w14:paraId="7EA5D551" w14:textId="7D121607" w:rsidR="00D55025" w:rsidRPr="007B0D32" w:rsidRDefault="002D3638" w:rsidP="004F6FAA">
            <w:pPr>
              <w:rPr>
                <w:b/>
                <w:bCs/>
              </w:rPr>
            </w:pPr>
            <w:r>
              <w:rPr>
                <w:b/>
                <w:bCs/>
              </w:rPr>
              <w:t>(financial year April to March)</w:t>
            </w:r>
          </w:p>
        </w:tc>
      </w:tr>
      <w:tr w:rsidR="00D55025" w14:paraId="66331CA2" w14:textId="77777777" w:rsidTr="00D55025">
        <w:tc>
          <w:tcPr>
            <w:tcW w:w="3005" w:type="dxa"/>
          </w:tcPr>
          <w:p w14:paraId="7738CE4E" w14:textId="5A5D2265" w:rsidR="00621F44" w:rsidRDefault="00621F44" w:rsidP="004F6FAA">
            <w:r>
              <w:t>PM</w:t>
            </w:r>
            <w:r w:rsidRPr="00CB6EAD">
              <w:rPr>
                <w:vertAlign w:val="subscript"/>
              </w:rPr>
              <w:t>2.5</w:t>
            </w:r>
            <w:r w:rsidRPr="002D3638">
              <w:t xml:space="preserve"> </w:t>
            </w:r>
            <w:r>
              <w:t>expansion Year 1</w:t>
            </w:r>
          </w:p>
        </w:tc>
        <w:tc>
          <w:tcPr>
            <w:tcW w:w="3005" w:type="dxa"/>
          </w:tcPr>
          <w:p w14:paraId="594F7D2C" w14:textId="5BE00423" w:rsidR="00D55025" w:rsidRDefault="00621F44" w:rsidP="004F6FAA">
            <w:r>
              <w:t>~</w:t>
            </w:r>
            <w:r w:rsidR="00574321">
              <w:t xml:space="preserve"> </w:t>
            </w:r>
            <w:r w:rsidR="009F68C7">
              <w:t>4</w:t>
            </w:r>
          </w:p>
        </w:tc>
        <w:tc>
          <w:tcPr>
            <w:tcW w:w="3006" w:type="dxa"/>
          </w:tcPr>
          <w:p w14:paraId="5981DE1E" w14:textId="71E7E156" w:rsidR="00D55025" w:rsidRDefault="00621F44" w:rsidP="004F6FAA">
            <w:r>
              <w:t>f/y 23/24</w:t>
            </w:r>
          </w:p>
        </w:tc>
      </w:tr>
      <w:tr w:rsidR="00D55025" w14:paraId="5743FE3A" w14:textId="77777777" w:rsidTr="00D55025">
        <w:tc>
          <w:tcPr>
            <w:tcW w:w="3005" w:type="dxa"/>
          </w:tcPr>
          <w:p w14:paraId="51DE56BB" w14:textId="64B7C6B7" w:rsidR="00D55025" w:rsidRDefault="001A0CDA" w:rsidP="004F6FAA">
            <w:r>
              <w:t>PM</w:t>
            </w:r>
            <w:r w:rsidRPr="005D64A6">
              <w:rPr>
                <w:vertAlign w:val="subscript"/>
              </w:rPr>
              <w:t>2.5</w:t>
            </w:r>
            <w:r w:rsidRPr="005D64A6">
              <w:t xml:space="preserve"> </w:t>
            </w:r>
            <w:r w:rsidR="00621F44">
              <w:t xml:space="preserve">expansion Year 2 </w:t>
            </w:r>
          </w:p>
        </w:tc>
        <w:tc>
          <w:tcPr>
            <w:tcW w:w="3005" w:type="dxa"/>
          </w:tcPr>
          <w:p w14:paraId="59B222A4" w14:textId="35A38394" w:rsidR="00D55025" w:rsidRDefault="00621F44" w:rsidP="004F6FAA">
            <w:r>
              <w:t>~</w:t>
            </w:r>
            <w:r w:rsidR="00FB2CA5">
              <w:t xml:space="preserve"> </w:t>
            </w:r>
            <w:r w:rsidR="009F68C7">
              <w:t>15</w:t>
            </w:r>
          </w:p>
        </w:tc>
        <w:tc>
          <w:tcPr>
            <w:tcW w:w="3006" w:type="dxa"/>
          </w:tcPr>
          <w:p w14:paraId="21E7DE33" w14:textId="585C55C8" w:rsidR="00D55025" w:rsidRDefault="00621F44" w:rsidP="004F6FAA">
            <w:r>
              <w:t>f/y 24/25</w:t>
            </w:r>
          </w:p>
        </w:tc>
      </w:tr>
      <w:tr w:rsidR="00621F44" w14:paraId="3093B979" w14:textId="77777777" w:rsidTr="00D55025">
        <w:tc>
          <w:tcPr>
            <w:tcW w:w="3005" w:type="dxa"/>
          </w:tcPr>
          <w:p w14:paraId="2ACB6CF9" w14:textId="596F7905" w:rsidR="00621F44" w:rsidRDefault="00CB779C" w:rsidP="004F6FAA">
            <w:r>
              <w:t>Business as usual replacement</w:t>
            </w:r>
          </w:p>
        </w:tc>
        <w:tc>
          <w:tcPr>
            <w:tcW w:w="3005" w:type="dxa"/>
          </w:tcPr>
          <w:p w14:paraId="59204B9F" w14:textId="3B98A9F6" w:rsidR="00621F44" w:rsidRDefault="00574321" w:rsidP="004F6FAA">
            <w:r>
              <w:t xml:space="preserve">~ </w:t>
            </w:r>
            <w:r w:rsidR="009F68C7">
              <w:t>1</w:t>
            </w:r>
          </w:p>
        </w:tc>
        <w:tc>
          <w:tcPr>
            <w:tcW w:w="3006" w:type="dxa"/>
          </w:tcPr>
          <w:p w14:paraId="4701F152" w14:textId="0C7795DE" w:rsidR="00621F44" w:rsidRDefault="00574321" w:rsidP="004F6FAA">
            <w:r>
              <w:t>Per contract year for the life of the contract</w:t>
            </w:r>
            <w:r w:rsidR="002D3638">
              <w:t xml:space="preserve"> (fy  23/24, 24/25,25/26</w:t>
            </w:r>
            <w:r w:rsidR="003E1B0A">
              <w:t>). 3 extension years possible</w:t>
            </w:r>
          </w:p>
        </w:tc>
      </w:tr>
    </w:tbl>
    <w:p w14:paraId="5044D862" w14:textId="2D2FEE79" w:rsidR="00851887" w:rsidRDefault="00851887" w:rsidP="004F6FAA"/>
    <w:p w14:paraId="7B29A9BE" w14:textId="60C9CF65" w:rsidR="003E1B0A" w:rsidRDefault="003E1B0A" w:rsidP="383F7D73">
      <w:r>
        <w:t xml:space="preserve">Minimum Capacity of </w:t>
      </w:r>
      <w:r w:rsidR="002A27FD">
        <w:t>10/year</w:t>
      </w:r>
    </w:p>
    <w:p w14:paraId="6A3002D8" w14:textId="77777777" w:rsidR="000A7E8C" w:rsidRDefault="000A7E8C" w:rsidP="383F7D73"/>
    <w:p w14:paraId="22DC6762" w14:textId="7B6ACF58" w:rsidR="00EC2DDA" w:rsidRDefault="00EC2DDA" w:rsidP="00EC2DDA">
      <w:pPr>
        <w:pStyle w:val="Heading2"/>
      </w:pPr>
      <w:r>
        <w:t>Contract deliverables</w:t>
      </w:r>
    </w:p>
    <w:p w14:paraId="0A09ECC1" w14:textId="77777777" w:rsidR="00EC2DDA" w:rsidRDefault="00EC2DDA" w:rsidP="004F6FAA"/>
    <w:p w14:paraId="637FBE4A" w14:textId="47B1C61C" w:rsidR="004C722F" w:rsidRPr="004F6FAA" w:rsidRDefault="00B8108B" w:rsidP="004F6FAA">
      <w:r>
        <w:t>The Key Contract Deliverables the contractor will be expected to provide are outlined below.</w:t>
      </w:r>
    </w:p>
    <w:p w14:paraId="4FAEE932" w14:textId="087C56DD" w:rsidR="00217498" w:rsidRPr="004C2A11" w:rsidRDefault="00FF0712" w:rsidP="00FF0712">
      <w:pPr>
        <w:pStyle w:val="Caption"/>
        <w:rPr>
          <w:rFonts w:asciiTheme="majorHAnsi" w:eastAsiaTheme="majorEastAsia" w:hAnsiTheme="majorHAnsi" w:cstheme="majorBidi"/>
          <w:b/>
          <w:bCs/>
          <w:sz w:val="28"/>
          <w:szCs w:val="26"/>
        </w:rPr>
      </w:pPr>
      <w:bookmarkStart w:id="9" w:name="_Toc121132790"/>
      <w:r>
        <w:t xml:space="preserve">Table </w:t>
      </w:r>
      <w:r>
        <w:fldChar w:fldCharType="begin"/>
      </w:r>
      <w:r>
        <w:instrText>SEQ Table \* ARABIC</w:instrText>
      </w:r>
      <w:r>
        <w:fldChar w:fldCharType="separate"/>
      </w:r>
      <w:r w:rsidR="003F221C">
        <w:rPr>
          <w:noProof/>
        </w:rPr>
        <w:t>2</w:t>
      </w:r>
      <w:r>
        <w:fldChar w:fldCharType="end"/>
      </w:r>
      <w:r>
        <w:t xml:space="preserve"> Key Deliverables</w:t>
      </w:r>
      <w:bookmarkEnd w:id="9"/>
    </w:p>
    <w:tbl>
      <w:tblPr>
        <w:tblStyle w:val="TableGrid"/>
        <w:tblW w:w="9209" w:type="dxa"/>
        <w:tblLook w:val="04A0" w:firstRow="1" w:lastRow="0" w:firstColumn="1" w:lastColumn="0" w:noHBand="0" w:noVBand="1"/>
      </w:tblPr>
      <w:tblGrid>
        <w:gridCol w:w="610"/>
        <w:gridCol w:w="8599"/>
      </w:tblGrid>
      <w:tr w:rsidR="004C2A11" w:rsidRPr="004C2A11" w14:paraId="18F8CB87" w14:textId="77777777" w:rsidTr="383F7D73">
        <w:tc>
          <w:tcPr>
            <w:tcW w:w="610" w:type="dxa"/>
          </w:tcPr>
          <w:p w14:paraId="46EB4F3E" w14:textId="728BF192" w:rsidR="00156591" w:rsidRPr="004C2A11" w:rsidRDefault="2F7EDC76" w:rsidP="383F7D73">
            <w:pPr>
              <w:rPr>
                <w:rFonts w:asciiTheme="majorHAnsi" w:eastAsiaTheme="majorEastAsia" w:hAnsiTheme="majorHAnsi" w:cstheme="majorBidi"/>
                <w:b/>
                <w:bCs/>
                <w:sz w:val="28"/>
                <w:szCs w:val="28"/>
              </w:rPr>
            </w:pPr>
            <w:r w:rsidRPr="383F7D73">
              <w:rPr>
                <w:rFonts w:asciiTheme="majorHAnsi" w:eastAsiaTheme="majorEastAsia" w:hAnsiTheme="majorHAnsi" w:cstheme="majorBidi"/>
                <w:b/>
                <w:bCs/>
                <w:sz w:val="28"/>
                <w:szCs w:val="28"/>
              </w:rPr>
              <w:t>N</w:t>
            </w:r>
            <w:r w:rsidR="11F1CEF5" w:rsidRPr="383F7D73">
              <w:rPr>
                <w:rFonts w:asciiTheme="majorHAnsi" w:eastAsiaTheme="majorEastAsia" w:hAnsiTheme="majorHAnsi" w:cstheme="majorBidi"/>
                <w:b/>
                <w:bCs/>
                <w:sz w:val="28"/>
                <w:szCs w:val="28"/>
              </w:rPr>
              <w:t>o</w:t>
            </w:r>
          </w:p>
        </w:tc>
        <w:tc>
          <w:tcPr>
            <w:tcW w:w="8599" w:type="dxa"/>
          </w:tcPr>
          <w:p w14:paraId="4C4BE3F3" w14:textId="4316B731" w:rsidR="00156591" w:rsidRPr="004C2A11" w:rsidRDefault="00156591" w:rsidP="00217498">
            <w:pPr>
              <w:rPr>
                <w:rFonts w:asciiTheme="majorHAnsi" w:eastAsiaTheme="majorEastAsia" w:hAnsiTheme="majorHAnsi" w:cstheme="majorBidi"/>
                <w:b/>
                <w:bCs/>
                <w:sz w:val="28"/>
                <w:szCs w:val="26"/>
              </w:rPr>
            </w:pPr>
            <w:r w:rsidRPr="004C2A11">
              <w:rPr>
                <w:rFonts w:asciiTheme="majorHAnsi" w:eastAsiaTheme="majorEastAsia" w:hAnsiTheme="majorHAnsi" w:cstheme="majorBidi"/>
                <w:b/>
                <w:bCs/>
                <w:sz w:val="28"/>
                <w:szCs w:val="26"/>
              </w:rPr>
              <w:t>Contract Deliverable</w:t>
            </w:r>
          </w:p>
        </w:tc>
      </w:tr>
      <w:tr w:rsidR="00156591" w14:paraId="0325BA48" w14:textId="77777777" w:rsidTr="383F7D73">
        <w:tc>
          <w:tcPr>
            <w:tcW w:w="610" w:type="dxa"/>
          </w:tcPr>
          <w:p w14:paraId="1BA4BA7C" w14:textId="22328A8C" w:rsidR="00156591" w:rsidRPr="00A54D68" w:rsidRDefault="00156591" w:rsidP="00217498">
            <w:pPr>
              <w:rPr>
                <w:rFonts w:eastAsiaTheme="majorEastAsia" w:cstheme="minorHAnsi"/>
              </w:rPr>
            </w:pPr>
            <w:r w:rsidRPr="00A54D68">
              <w:rPr>
                <w:rFonts w:eastAsiaTheme="majorEastAsia" w:cstheme="minorHAnsi"/>
              </w:rPr>
              <w:t>1</w:t>
            </w:r>
          </w:p>
        </w:tc>
        <w:tc>
          <w:tcPr>
            <w:tcW w:w="8599" w:type="dxa"/>
          </w:tcPr>
          <w:p w14:paraId="1992E29E" w14:textId="4A8DEE14" w:rsidR="00156591" w:rsidRPr="00A54D68" w:rsidRDefault="00762083" w:rsidP="00217498">
            <w:pPr>
              <w:rPr>
                <w:rFonts w:eastAsiaTheme="majorEastAsia" w:cstheme="minorHAnsi"/>
              </w:rPr>
            </w:pPr>
            <w:r w:rsidRPr="00A54D68">
              <w:rPr>
                <w:rFonts w:eastAsiaTheme="majorEastAsia" w:cstheme="minorHAnsi"/>
              </w:rPr>
              <w:t xml:space="preserve">Ordered housings </w:t>
            </w:r>
            <w:r w:rsidR="003C3D05">
              <w:rPr>
                <w:rFonts w:eastAsiaTheme="majorEastAsia" w:cstheme="minorHAnsi"/>
              </w:rPr>
              <w:t xml:space="preserve">that are </w:t>
            </w:r>
            <w:r w:rsidRPr="00A54D68">
              <w:rPr>
                <w:rFonts w:eastAsiaTheme="majorEastAsia" w:cstheme="minorHAnsi"/>
              </w:rPr>
              <w:t>of a standard design</w:t>
            </w:r>
            <w:r w:rsidR="00772CA7">
              <w:rPr>
                <w:rFonts w:eastAsiaTheme="majorEastAsia" w:cstheme="minorHAnsi"/>
              </w:rPr>
              <w:t xml:space="preserve"> are</w:t>
            </w:r>
            <w:r w:rsidRPr="00A54D68">
              <w:rPr>
                <w:rFonts w:eastAsiaTheme="majorEastAsia" w:cstheme="minorHAnsi"/>
              </w:rPr>
              <w:t xml:space="preserve"> to be delivered </w:t>
            </w:r>
            <w:r w:rsidR="00263973" w:rsidRPr="00A54D68">
              <w:rPr>
                <w:rFonts w:eastAsiaTheme="majorEastAsia" w:cstheme="minorHAnsi"/>
              </w:rPr>
              <w:t>with components</w:t>
            </w:r>
            <w:r w:rsidR="00263973">
              <w:rPr>
                <w:rFonts w:eastAsiaTheme="majorEastAsia" w:cstheme="minorHAnsi"/>
              </w:rPr>
              <w:t xml:space="preserve"> ready</w:t>
            </w:r>
            <w:r w:rsidR="00263973" w:rsidRPr="00A54D68">
              <w:rPr>
                <w:rFonts w:eastAsiaTheme="majorEastAsia" w:cstheme="minorHAnsi"/>
              </w:rPr>
              <w:t xml:space="preserve"> for install </w:t>
            </w:r>
            <w:r w:rsidRPr="00A54D68">
              <w:rPr>
                <w:rFonts w:eastAsiaTheme="majorEastAsia" w:cstheme="minorHAnsi"/>
              </w:rPr>
              <w:t xml:space="preserve">(pre fit out) within a minimum </w:t>
            </w:r>
            <w:r w:rsidR="005435DA" w:rsidRPr="00A54D68">
              <w:rPr>
                <w:rFonts w:eastAsiaTheme="majorEastAsia" w:cstheme="minorHAnsi"/>
              </w:rPr>
              <w:t>4-month</w:t>
            </w:r>
            <w:r w:rsidRPr="00A54D68">
              <w:rPr>
                <w:rFonts w:eastAsiaTheme="majorEastAsia" w:cstheme="minorHAnsi"/>
              </w:rPr>
              <w:t xml:space="preserve"> window or less than this as per contracted offer</w:t>
            </w:r>
            <w:r w:rsidR="002A27FD">
              <w:rPr>
                <w:rFonts w:eastAsiaTheme="majorEastAsia" w:cstheme="minorHAnsi"/>
              </w:rPr>
              <w:t>.</w:t>
            </w:r>
          </w:p>
        </w:tc>
      </w:tr>
      <w:tr w:rsidR="00762083" w14:paraId="3511F014" w14:textId="77777777" w:rsidTr="383F7D73">
        <w:tc>
          <w:tcPr>
            <w:tcW w:w="610" w:type="dxa"/>
          </w:tcPr>
          <w:p w14:paraId="1C947945" w14:textId="362772E0" w:rsidR="00762083" w:rsidRPr="00A54D68" w:rsidRDefault="00284191" w:rsidP="00217498">
            <w:pPr>
              <w:rPr>
                <w:rFonts w:eastAsiaTheme="majorEastAsia" w:cstheme="minorHAnsi"/>
              </w:rPr>
            </w:pPr>
            <w:r w:rsidRPr="00A54D68">
              <w:rPr>
                <w:rFonts w:eastAsiaTheme="majorEastAsia" w:cstheme="minorHAnsi"/>
              </w:rPr>
              <w:t>2</w:t>
            </w:r>
          </w:p>
        </w:tc>
        <w:tc>
          <w:tcPr>
            <w:tcW w:w="8599" w:type="dxa"/>
          </w:tcPr>
          <w:p w14:paraId="06FD0E15" w14:textId="368B03F5" w:rsidR="00762083" w:rsidRPr="00A54D68" w:rsidRDefault="00762083" w:rsidP="00284191">
            <w:pPr>
              <w:rPr>
                <w:rFonts w:eastAsiaTheme="majorEastAsia" w:cstheme="minorHAnsi"/>
              </w:rPr>
            </w:pPr>
            <w:r w:rsidRPr="00A54D68">
              <w:rPr>
                <w:rFonts w:eastAsiaTheme="majorEastAsia" w:cstheme="minorHAnsi"/>
              </w:rPr>
              <w:t>Bespoke design ordered housings</w:t>
            </w:r>
            <w:r w:rsidR="00772CA7">
              <w:rPr>
                <w:rFonts w:eastAsiaTheme="majorEastAsia" w:cstheme="minorHAnsi"/>
              </w:rPr>
              <w:t xml:space="preserve"> are</w:t>
            </w:r>
            <w:r w:rsidRPr="00A54D68">
              <w:rPr>
                <w:rFonts w:eastAsiaTheme="majorEastAsia" w:cstheme="minorHAnsi"/>
              </w:rPr>
              <w:t xml:space="preserve"> to be delivered as per agreed </w:t>
            </w:r>
            <w:r w:rsidR="002A27FD">
              <w:rPr>
                <w:rFonts w:eastAsiaTheme="majorEastAsia" w:cstheme="minorHAnsi"/>
              </w:rPr>
              <w:t xml:space="preserve">cost, specification and </w:t>
            </w:r>
            <w:r w:rsidRPr="00A54D68">
              <w:rPr>
                <w:rFonts w:eastAsiaTheme="majorEastAsia" w:cstheme="minorHAnsi"/>
              </w:rPr>
              <w:t>timescale at point of order</w:t>
            </w:r>
          </w:p>
        </w:tc>
      </w:tr>
      <w:tr w:rsidR="00762083" w14:paraId="647511C3" w14:textId="77777777" w:rsidTr="383F7D73">
        <w:tc>
          <w:tcPr>
            <w:tcW w:w="610" w:type="dxa"/>
          </w:tcPr>
          <w:p w14:paraId="0C340ECD" w14:textId="226ED524" w:rsidR="00762083" w:rsidRPr="00A5747C" w:rsidRDefault="00284191" w:rsidP="00217498">
            <w:pPr>
              <w:rPr>
                <w:rFonts w:eastAsiaTheme="majorEastAsia" w:cstheme="minorHAnsi"/>
              </w:rPr>
            </w:pPr>
            <w:r w:rsidRPr="00A5747C">
              <w:rPr>
                <w:rFonts w:eastAsiaTheme="majorEastAsia" w:cstheme="minorHAnsi"/>
              </w:rPr>
              <w:t>3</w:t>
            </w:r>
          </w:p>
        </w:tc>
        <w:tc>
          <w:tcPr>
            <w:tcW w:w="8599" w:type="dxa"/>
          </w:tcPr>
          <w:p w14:paraId="2B835BCE" w14:textId="4E4032A6" w:rsidR="00284191" w:rsidRPr="00A5747C" w:rsidRDefault="00284191" w:rsidP="00284191">
            <w:pPr>
              <w:rPr>
                <w:rFonts w:eastAsiaTheme="majorEastAsia" w:cstheme="minorHAnsi"/>
              </w:rPr>
            </w:pPr>
            <w:r w:rsidRPr="00A5747C">
              <w:rPr>
                <w:rFonts w:eastAsiaTheme="majorEastAsia" w:cstheme="minorHAnsi"/>
              </w:rPr>
              <w:t>Liaise with Principal</w:t>
            </w:r>
            <w:r w:rsidR="00CE7C14">
              <w:rPr>
                <w:rFonts w:eastAsiaTheme="majorEastAsia" w:cstheme="minorHAnsi"/>
              </w:rPr>
              <w:t xml:space="preserve"> CDM</w:t>
            </w:r>
            <w:r w:rsidRPr="00A5747C">
              <w:rPr>
                <w:rFonts w:eastAsiaTheme="majorEastAsia" w:cstheme="minorHAnsi"/>
              </w:rPr>
              <w:t xml:space="preserve"> Contractor and other contractors to:</w:t>
            </w:r>
          </w:p>
          <w:p w14:paraId="6965ACC6" w14:textId="77777777" w:rsidR="00284191" w:rsidRPr="00A5747C" w:rsidRDefault="00284191" w:rsidP="00A54D68">
            <w:pPr>
              <w:rPr>
                <w:rFonts w:eastAsiaTheme="majorEastAsia" w:cstheme="minorHAnsi"/>
              </w:rPr>
            </w:pPr>
            <w:r w:rsidRPr="00A5747C">
              <w:rPr>
                <w:rFonts w:eastAsiaTheme="majorEastAsia" w:cstheme="minorHAnsi"/>
              </w:rPr>
              <w:lastRenderedPageBreak/>
              <w:t>•</w:t>
            </w:r>
            <w:r w:rsidRPr="00A5747C">
              <w:rPr>
                <w:rFonts w:eastAsiaTheme="majorEastAsia" w:cstheme="minorHAnsi"/>
              </w:rPr>
              <w:tab/>
              <w:t xml:space="preserve">Support planning applications where necessary in respect of CAD drawings and visualisations </w:t>
            </w:r>
          </w:p>
          <w:p w14:paraId="7CA217F2" w14:textId="77777777" w:rsidR="00284191" w:rsidRPr="00A5747C" w:rsidRDefault="00284191" w:rsidP="00A54D68">
            <w:pPr>
              <w:rPr>
                <w:rFonts w:eastAsiaTheme="majorEastAsia" w:cstheme="minorHAnsi"/>
              </w:rPr>
            </w:pPr>
            <w:r w:rsidRPr="00A5747C">
              <w:rPr>
                <w:rFonts w:eastAsiaTheme="majorEastAsia" w:cstheme="minorHAnsi"/>
              </w:rPr>
              <w:t>•</w:t>
            </w:r>
            <w:r w:rsidRPr="00A5747C">
              <w:rPr>
                <w:rFonts w:eastAsiaTheme="majorEastAsia" w:cstheme="minorHAnsi"/>
              </w:rPr>
              <w:tab/>
              <w:t>Complete CDM requirements and any internal relevant EA design/risk assessments as required.</w:t>
            </w:r>
          </w:p>
          <w:p w14:paraId="717D8DF5" w14:textId="77777777" w:rsidR="00284191" w:rsidRPr="00A5747C" w:rsidRDefault="00284191" w:rsidP="00A54D68">
            <w:pPr>
              <w:rPr>
                <w:rFonts w:eastAsiaTheme="majorEastAsia" w:cstheme="minorHAnsi"/>
              </w:rPr>
            </w:pPr>
            <w:r w:rsidRPr="00A5747C">
              <w:rPr>
                <w:rFonts w:eastAsiaTheme="majorEastAsia" w:cstheme="minorHAnsi"/>
              </w:rPr>
              <w:t>•</w:t>
            </w:r>
            <w:r w:rsidRPr="00A5747C">
              <w:rPr>
                <w:rFonts w:eastAsiaTheme="majorEastAsia" w:cstheme="minorHAnsi"/>
              </w:rPr>
              <w:tab/>
              <w:t>Complete design risk assessment for cabin design, and to liaise with CMCU regarding any remediation required</w:t>
            </w:r>
          </w:p>
          <w:p w14:paraId="78BBD155" w14:textId="77777777" w:rsidR="00284191" w:rsidRPr="00A5747C" w:rsidRDefault="00284191" w:rsidP="00A54D68">
            <w:pPr>
              <w:rPr>
                <w:rFonts w:eastAsiaTheme="majorEastAsia" w:cstheme="minorHAnsi"/>
              </w:rPr>
            </w:pPr>
            <w:r w:rsidRPr="00A5747C">
              <w:rPr>
                <w:rFonts w:eastAsiaTheme="majorEastAsia" w:cstheme="minorHAnsi"/>
              </w:rPr>
              <w:t>•</w:t>
            </w:r>
            <w:r w:rsidRPr="00A5747C">
              <w:rPr>
                <w:rFonts w:eastAsiaTheme="majorEastAsia" w:cstheme="minorHAnsi"/>
              </w:rPr>
              <w:tab/>
              <w:t>Utilise the Red/Amber/Green list when designing, to align with EA best practice techniques to minimise risk</w:t>
            </w:r>
          </w:p>
          <w:p w14:paraId="585AA848" w14:textId="77777777" w:rsidR="00284191" w:rsidRPr="00A5747C" w:rsidRDefault="00284191" w:rsidP="00A54D68">
            <w:pPr>
              <w:rPr>
                <w:rFonts w:eastAsiaTheme="majorEastAsia" w:cstheme="minorHAnsi"/>
              </w:rPr>
            </w:pPr>
            <w:r w:rsidRPr="00A5747C">
              <w:rPr>
                <w:rFonts w:eastAsiaTheme="majorEastAsia" w:cstheme="minorHAnsi"/>
              </w:rPr>
              <w:t>•</w:t>
            </w:r>
            <w:r w:rsidRPr="00A5747C">
              <w:rPr>
                <w:rFonts w:eastAsiaTheme="majorEastAsia" w:cstheme="minorHAnsi"/>
              </w:rPr>
              <w:tab/>
              <w:t>Supply buildability statements for pre-construction information</w:t>
            </w:r>
          </w:p>
          <w:p w14:paraId="442898A7" w14:textId="6D88CC3D" w:rsidR="00762083" w:rsidRPr="00A5747C" w:rsidRDefault="00284191" w:rsidP="00A54D68">
            <w:pPr>
              <w:rPr>
                <w:rFonts w:eastAsiaTheme="majorEastAsia" w:cstheme="minorHAnsi"/>
              </w:rPr>
            </w:pPr>
            <w:r w:rsidRPr="00A5747C">
              <w:rPr>
                <w:rFonts w:eastAsiaTheme="majorEastAsia" w:cstheme="minorHAnsi"/>
              </w:rPr>
              <w:t>•</w:t>
            </w:r>
            <w:r w:rsidRPr="00A5747C">
              <w:rPr>
                <w:rFonts w:eastAsiaTheme="majorEastAsia" w:cstheme="minorHAnsi"/>
              </w:rPr>
              <w:tab/>
              <w:t>Allow necessary preparatory work/groundworks to be carried out</w:t>
            </w:r>
          </w:p>
        </w:tc>
      </w:tr>
      <w:tr w:rsidR="00762083" w14:paraId="007201AC" w14:textId="77777777" w:rsidTr="383F7D73">
        <w:tc>
          <w:tcPr>
            <w:tcW w:w="610" w:type="dxa"/>
          </w:tcPr>
          <w:p w14:paraId="69EE13F7" w14:textId="10F390C9" w:rsidR="00762083" w:rsidRPr="00A5747C" w:rsidRDefault="00284191" w:rsidP="00217498">
            <w:pPr>
              <w:rPr>
                <w:rFonts w:eastAsiaTheme="majorEastAsia" w:cstheme="minorHAnsi"/>
              </w:rPr>
            </w:pPr>
            <w:r w:rsidRPr="00A5747C">
              <w:rPr>
                <w:rFonts w:eastAsiaTheme="majorEastAsia" w:cstheme="minorHAnsi"/>
              </w:rPr>
              <w:lastRenderedPageBreak/>
              <w:t>4</w:t>
            </w:r>
          </w:p>
        </w:tc>
        <w:tc>
          <w:tcPr>
            <w:tcW w:w="8599" w:type="dxa"/>
          </w:tcPr>
          <w:p w14:paraId="6D80C77D" w14:textId="22CE2C8C" w:rsidR="00762083" w:rsidRPr="00A5747C" w:rsidRDefault="00284191" w:rsidP="00217498">
            <w:pPr>
              <w:rPr>
                <w:rFonts w:eastAsiaTheme="majorEastAsia" w:cstheme="minorHAnsi"/>
              </w:rPr>
            </w:pPr>
            <w:r w:rsidRPr="00A5747C">
              <w:rPr>
                <w:rFonts w:cstheme="minorHAnsi"/>
              </w:rPr>
              <w:t>Fitting out of housings to the requirements of the specific site within 1 month of request</w:t>
            </w:r>
          </w:p>
        </w:tc>
      </w:tr>
      <w:tr w:rsidR="00762083" w14:paraId="5192CCAD" w14:textId="77777777" w:rsidTr="383F7D73">
        <w:tc>
          <w:tcPr>
            <w:tcW w:w="610" w:type="dxa"/>
          </w:tcPr>
          <w:p w14:paraId="30B6CF52" w14:textId="6B06262A" w:rsidR="00762083" w:rsidRPr="00A5747C" w:rsidRDefault="00284191" w:rsidP="00217498">
            <w:pPr>
              <w:rPr>
                <w:rFonts w:eastAsiaTheme="majorEastAsia" w:cstheme="minorHAnsi"/>
              </w:rPr>
            </w:pPr>
            <w:r w:rsidRPr="00A5747C">
              <w:rPr>
                <w:rFonts w:eastAsiaTheme="majorEastAsia" w:cstheme="minorHAnsi"/>
              </w:rPr>
              <w:t>5</w:t>
            </w:r>
          </w:p>
        </w:tc>
        <w:tc>
          <w:tcPr>
            <w:tcW w:w="8599" w:type="dxa"/>
          </w:tcPr>
          <w:p w14:paraId="703C3A3B" w14:textId="37B35936" w:rsidR="00762083" w:rsidRPr="00A5747C" w:rsidRDefault="00284191" w:rsidP="00217498">
            <w:pPr>
              <w:rPr>
                <w:rFonts w:eastAsiaTheme="majorEastAsia" w:cstheme="minorHAnsi"/>
              </w:rPr>
            </w:pPr>
            <w:r w:rsidRPr="00A5747C">
              <w:rPr>
                <w:rFonts w:eastAsiaTheme="majorEastAsia" w:cstheme="minorHAnsi"/>
              </w:rPr>
              <w:t>Store produced goods until installation or for a maximum of 2 years</w:t>
            </w:r>
            <w:r w:rsidR="000549D3">
              <w:rPr>
                <w:rFonts w:eastAsiaTheme="majorEastAsia" w:cstheme="minorHAnsi"/>
              </w:rPr>
              <w:t xml:space="preserve">. Storage capacity must be sufficient to hold 2/3 of the </w:t>
            </w:r>
            <w:r w:rsidR="0022326A">
              <w:rPr>
                <w:rFonts w:eastAsiaTheme="majorEastAsia" w:cstheme="minorHAnsi"/>
              </w:rPr>
              <w:t xml:space="preserve">proposed </w:t>
            </w:r>
            <w:r w:rsidR="00A15159">
              <w:rPr>
                <w:rFonts w:eastAsiaTheme="majorEastAsia" w:cstheme="minorHAnsi"/>
              </w:rPr>
              <w:t xml:space="preserve">cabins in </w:t>
            </w:r>
            <w:r w:rsidR="00A15159">
              <w:rPr>
                <w:rFonts w:eastAsiaTheme="majorEastAsia" w:cstheme="minorHAnsi"/>
              </w:rPr>
              <w:fldChar w:fldCharType="begin"/>
            </w:r>
            <w:r w:rsidR="00A15159">
              <w:rPr>
                <w:rFonts w:eastAsiaTheme="majorEastAsia" w:cstheme="minorHAnsi"/>
              </w:rPr>
              <w:instrText xml:space="preserve"> REF _Ref120875409 \h </w:instrText>
            </w:r>
            <w:r w:rsidR="00A15159">
              <w:rPr>
                <w:rFonts w:eastAsiaTheme="majorEastAsia" w:cstheme="minorHAnsi"/>
              </w:rPr>
            </w:r>
            <w:r w:rsidR="00A15159">
              <w:rPr>
                <w:rFonts w:eastAsiaTheme="majorEastAsia" w:cstheme="minorHAnsi"/>
              </w:rPr>
              <w:fldChar w:fldCharType="separate"/>
            </w:r>
            <w:r w:rsidR="003F221C">
              <w:t xml:space="preserve">Table </w:t>
            </w:r>
            <w:r w:rsidR="003F221C">
              <w:rPr>
                <w:noProof/>
              </w:rPr>
              <w:t>1</w:t>
            </w:r>
            <w:r w:rsidR="003F221C">
              <w:t xml:space="preserve"> - Projected housing requirements (Environment Agency only)</w:t>
            </w:r>
            <w:r w:rsidR="00A15159">
              <w:rPr>
                <w:rFonts w:eastAsiaTheme="majorEastAsia" w:cstheme="minorHAnsi"/>
              </w:rPr>
              <w:fldChar w:fldCharType="end"/>
            </w:r>
            <w:r w:rsidR="002A27FD">
              <w:rPr>
                <w:rFonts w:eastAsiaTheme="majorEastAsia" w:cstheme="minorHAnsi"/>
              </w:rPr>
              <w:t xml:space="preserve"> based on a worst case scenario of being unable to install any housings.</w:t>
            </w:r>
          </w:p>
        </w:tc>
      </w:tr>
      <w:tr w:rsidR="00762083" w14:paraId="3149349F" w14:textId="77777777" w:rsidTr="383F7D73">
        <w:tc>
          <w:tcPr>
            <w:tcW w:w="610" w:type="dxa"/>
          </w:tcPr>
          <w:p w14:paraId="549EAC40" w14:textId="559F1471" w:rsidR="00762083" w:rsidRPr="00A5747C" w:rsidRDefault="00A54D68" w:rsidP="00217498">
            <w:pPr>
              <w:rPr>
                <w:rFonts w:eastAsiaTheme="majorEastAsia" w:cstheme="minorHAnsi"/>
              </w:rPr>
            </w:pPr>
            <w:r w:rsidRPr="00A5747C">
              <w:rPr>
                <w:rFonts w:eastAsiaTheme="majorEastAsia" w:cstheme="minorHAnsi"/>
              </w:rPr>
              <w:t>6</w:t>
            </w:r>
          </w:p>
        </w:tc>
        <w:tc>
          <w:tcPr>
            <w:tcW w:w="8599" w:type="dxa"/>
          </w:tcPr>
          <w:p w14:paraId="6642F1F5" w14:textId="153E0B03" w:rsidR="00762083" w:rsidRPr="00A5747C" w:rsidRDefault="00610745" w:rsidP="00217498">
            <w:pPr>
              <w:rPr>
                <w:rFonts w:eastAsiaTheme="majorEastAsia" w:cstheme="minorHAnsi"/>
              </w:rPr>
            </w:pPr>
            <w:r>
              <w:rPr>
                <w:rFonts w:eastAsiaTheme="majorEastAsia" w:cstheme="minorHAnsi"/>
              </w:rPr>
              <w:t>To carry out d</w:t>
            </w:r>
            <w:r w:rsidR="00284191" w:rsidRPr="00A5747C">
              <w:rPr>
                <w:rFonts w:eastAsiaTheme="majorEastAsia" w:cstheme="minorHAnsi"/>
              </w:rPr>
              <w:t>elivery and installation</w:t>
            </w:r>
            <w:r>
              <w:rPr>
                <w:rFonts w:eastAsiaTheme="majorEastAsia" w:cstheme="minorHAnsi"/>
              </w:rPr>
              <w:t xml:space="preserve"> </w:t>
            </w:r>
            <w:r w:rsidR="00284191" w:rsidRPr="00A5747C">
              <w:rPr>
                <w:rFonts w:eastAsiaTheme="majorEastAsia" w:cstheme="minorHAnsi"/>
              </w:rPr>
              <w:t>in liaison with CMCU when site arrangements are confirmed as being ready for install</w:t>
            </w:r>
          </w:p>
        </w:tc>
      </w:tr>
      <w:tr w:rsidR="00762083" w14:paraId="0F92CE77" w14:textId="77777777" w:rsidTr="383F7D73">
        <w:tc>
          <w:tcPr>
            <w:tcW w:w="610" w:type="dxa"/>
          </w:tcPr>
          <w:p w14:paraId="607491D3" w14:textId="52E0114F" w:rsidR="00762083" w:rsidRPr="00A5747C" w:rsidRDefault="00A54D68" w:rsidP="00217498">
            <w:pPr>
              <w:rPr>
                <w:rFonts w:eastAsiaTheme="majorEastAsia" w:cstheme="minorHAnsi"/>
              </w:rPr>
            </w:pPr>
            <w:r w:rsidRPr="00A5747C">
              <w:rPr>
                <w:rFonts w:eastAsiaTheme="majorEastAsia" w:cstheme="minorHAnsi"/>
              </w:rPr>
              <w:t>7</w:t>
            </w:r>
          </w:p>
        </w:tc>
        <w:tc>
          <w:tcPr>
            <w:tcW w:w="8599" w:type="dxa"/>
          </w:tcPr>
          <w:p w14:paraId="730B323A" w14:textId="0C69B2A1" w:rsidR="00762083" w:rsidRPr="00A5747C" w:rsidRDefault="00610745" w:rsidP="00217498">
            <w:pPr>
              <w:rPr>
                <w:rFonts w:eastAsiaTheme="majorEastAsia" w:cstheme="minorHAnsi"/>
              </w:rPr>
            </w:pPr>
            <w:r>
              <w:rPr>
                <w:rFonts w:eastAsiaTheme="majorEastAsia" w:cstheme="minorHAnsi"/>
              </w:rPr>
              <w:t xml:space="preserve">To </w:t>
            </w:r>
            <w:r w:rsidR="00263973">
              <w:rPr>
                <w:rFonts w:eastAsiaTheme="majorEastAsia" w:cstheme="minorHAnsi"/>
              </w:rPr>
              <w:t>h</w:t>
            </w:r>
            <w:r w:rsidR="00284191" w:rsidRPr="00A5747C">
              <w:rPr>
                <w:rFonts w:eastAsiaTheme="majorEastAsia" w:cstheme="minorHAnsi"/>
              </w:rPr>
              <w:t xml:space="preserve">ave </w:t>
            </w:r>
            <w:r w:rsidR="002A27FD">
              <w:rPr>
                <w:rFonts w:eastAsiaTheme="majorEastAsia" w:cstheme="minorHAnsi"/>
              </w:rPr>
              <w:t>the technical competence and capability</w:t>
            </w:r>
            <w:r w:rsidR="00284191" w:rsidRPr="00A5747C">
              <w:rPr>
                <w:rFonts w:eastAsiaTheme="majorEastAsia" w:cstheme="minorHAnsi"/>
              </w:rPr>
              <w:t xml:space="preserve"> to install air quality instrumentation such as gas analysers and particulate analysers as part of initial housing installation on site</w:t>
            </w:r>
          </w:p>
        </w:tc>
      </w:tr>
      <w:tr w:rsidR="00284191" w14:paraId="1365B98C" w14:textId="77777777" w:rsidTr="383F7D73">
        <w:tc>
          <w:tcPr>
            <w:tcW w:w="610" w:type="dxa"/>
          </w:tcPr>
          <w:p w14:paraId="386126AE" w14:textId="7904F0DE" w:rsidR="00284191" w:rsidRPr="00A5747C" w:rsidRDefault="00A54D68" w:rsidP="00217498">
            <w:pPr>
              <w:rPr>
                <w:rFonts w:eastAsiaTheme="majorEastAsia" w:cstheme="minorHAnsi"/>
              </w:rPr>
            </w:pPr>
            <w:r w:rsidRPr="00A5747C">
              <w:rPr>
                <w:rFonts w:eastAsiaTheme="majorEastAsia" w:cstheme="minorHAnsi"/>
              </w:rPr>
              <w:t>8</w:t>
            </w:r>
          </w:p>
        </w:tc>
        <w:tc>
          <w:tcPr>
            <w:tcW w:w="8599" w:type="dxa"/>
          </w:tcPr>
          <w:p w14:paraId="0215A4F3" w14:textId="00094861" w:rsidR="00284191" w:rsidRPr="00A5747C" w:rsidRDefault="00284191" w:rsidP="00217498">
            <w:pPr>
              <w:rPr>
                <w:rFonts w:eastAsiaTheme="majorEastAsia" w:cstheme="minorHAnsi"/>
              </w:rPr>
            </w:pPr>
            <w:r w:rsidRPr="00A5747C">
              <w:rPr>
                <w:rFonts w:eastAsiaTheme="majorEastAsia" w:cstheme="minorHAnsi"/>
              </w:rPr>
              <w:t xml:space="preserve">Compliance with all relevant CDM and building regulations – </w:t>
            </w:r>
            <w:r w:rsidR="00DE1941">
              <w:rPr>
                <w:rFonts w:eastAsiaTheme="majorEastAsia" w:cstheme="minorHAnsi"/>
              </w:rPr>
              <w:t>respond to any issues raised</w:t>
            </w:r>
            <w:r w:rsidR="00DE1941" w:rsidRPr="00A5747C">
              <w:rPr>
                <w:rFonts w:eastAsiaTheme="majorEastAsia" w:cstheme="minorHAnsi"/>
              </w:rPr>
              <w:t xml:space="preserve"> </w:t>
            </w:r>
            <w:r w:rsidRPr="00A5747C">
              <w:rPr>
                <w:rFonts w:eastAsiaTheme="majorEastAsia" w:cstheme="minorHAnsi"/>
              </w:rPr>
              <w:t>by commissioning or</w:t>
            </w:r>
            <w:r w:rsidR="00DE1941">
              <w:rPr>
                <w:rFonts w:eastAsiaTheme="majorEastAsia" w:cstheme="minorHAnsi"/>
              </w:rPr>
              <w:t xml:space="preserve"> Principal</w:t>
            </w:r>
            <w:r w:rsidRPr="00A5747C">
              <w:rPr>
                <w:rFonts w:eastAsiaTheme="majorEastAsia" w:cstheme="minorHAnsi"/>
              </w:rPr>
              <w:t xml:space="preserve"> </w:t>
            </w:r>
            <w:r w:rsidR="00CE7C14">
              <w:rPr>
                <w:rFonts w:eastAsiaTheme="majorEastAsia" w:cstheme="minorHAnsi"/>
              </w:rPr>
              <w:t>CDM Contractor</w:t>
            </w:r>
            <w:r w:rsidRPr="00A5747C">
              <w:rPr>
                <w:rFonts w:eastAsiaTheme="majorEastAsia" w:cstheme="minorHAnsi"/>
              </w:rPr>
              <w:t xml:space="preserve"> </w:t>
            </w:r>
            <w:r w:rsidR="00DE1941">
              <w:rPr>
                <w:rFonts w:eastAsiaTheme="majorEastAsia" w:cstheme="minorHAnsi"/>
              </w:rPr>
              <w:t xml:space="preserve">/ Client </w:t>
            </w:r>
            <w:r w:rsidRPr="00A5747C">
              <w:rPr>
                <w:rFonts w:eastAsiaTheme="majorEastAsia" w:cstheme="minorHAnsi"/>
              </w:rPr>
              <w:t>Audit</w:t>
            </w:r>
          </w:p>
        </w:tc>
      </w:tr>
      <w:tr w:rsidR="00284191" w14:paraId="49666E15" w14:textId="77777777" w:rsidTr="383F7D73">
        <w:tc>
          <w:tcPr>
            <w:tcW w:w="610" w:type="dxa"/>
          </w:tcPr>
          <w:p w14:paraId="7EABE3BB" w14:textId="4D996770" w:rsidR="00284191" w:rsidRPr="00A5747C" w:rsidRDefault="00A54D68" w:rsidP="00217498">
            <w:pPr>
              <w:rPr>
                <w:rFonts w:eastAsiaTheme="majorEastAsia" w:cstheme="minorHAnsi"/>
              </w:rPr>
            </w:pPr>
            <w:r w:rsidRPr="00A5747C">
              <w:rPr>
                <w:rFonts w:eastAsiaTheme="majorEastAsia" w:cstheme="minorHAnsi"/>
              </w:rPr>
              <w:t>9</w:t>
            </w:r>
          </w:p>
        </w:tc>
        <w:tc>
          <w:tcPr>
            <w:tcW w:w="8599" w:type="dxa"/>
          </w:tcPr>
          <w:p w14:paraId="234C83BB" w14:textId="591D8673" w:rsidR="00284191" w:rsidRPr="00A5747C" w:rsidRDefault="00284191" w:rsidP="00F42F13">
            <w:pPr>
              <w:pStyle w:val="Heading2"/>
              <w:numPr>
                <w:ilvl w:val="0"/>
                <w:numId w:val="0"/>
              </w:numPr>
              <w:rPr>
                <w:rFonts w:asciiTheme="minorHAnsi" w:hAnsiTheme="minorHAnsi" w:cstheme="minorHAnsi"/>
                <w:color w:val="auto"/>
                <w:sz w:val="22"/>
                <w:szCs w:val="22"/>
              </w:rPr>
            </w:pPr>
            <w:r w:rsidRPr="00A5747C">
              <w:rPr>
                <w:rFonts w:asciiTheme="minorHAnsi" w:hAnsiTheme="minorHAnsi" w:cstheme="minorHAnsi"/>
                <w:color w:val="auto"/>
                <w:sz w:val="22"/>
                <w:szCs w:val="22"/>
              </w:rPr>
              <w:t xml:space="preserve">Ensuring compliance of subcontractors of supply chain to agreed standards. </w:t>
            </w:r>
          </w:p>
        </w:tc>
      </w:tr>
      <w:tr w:rsidR="00284191" w14:paraId="58BF8A5C" w14:textId="77777777" w:rsidTr="383F7D73">
        <w:tc>
          <w:tcPr>
            <w:tcW w:w="610" w:type="dxa"/>
          </w:tcPr>
          <w:p w14:paraId="32F40948" w14:textId="0E69D3A1" w:rsidR="00284191" w:rsidRPr="00A5747C" w:rsidRDefault="00A54D68" w:rsidP="00217498">
            <w:pPr>
              <w:rPr>
                <w:rFonts w:eastAsiaTheme="majorEastAsia" w:cstheme="minorHAnsi"/>
              </w:rPr>
            </w:pPr>
            <w:r w:rsidRPr="00A5747C">
              <w:rPr>
                <w:rFonts w:eastAsiaTheme="majorEastAsia" w:cstheme="minorHAnsi"/>
              </w:rPr>
              <w:t>10</w:t>
            </w:r>
          </w:p>
        </w:tc>
        <w:tc>
          <w:tcPr>
            <w:tcW w:w="8599" w:type="dxa"/>
          </w:tcPr>
          <w:p w14:paraId="5714EC71" w14:textId="6F4325CC" w:rsidR="00284191" w:rsidRPr="00A5747C" w:rsidRDefault="00284191" w:rsidP="00F42F13">
            <w:pPr>
              <w:pStyle w:val="Heading2"/>
              <w:numPr>
                <w:ilvl w:val="0"/>
                <w:numId w:val="0"/>
              </w:numPr>
              <w:ind w:left="40"/>
              <w:rPr>
                <w:rFonts w:asciiTheme="minorHAnsi" w:hAnsiTheme="minorHAnsi" w:cstheme="minorHAnsi"/>
                <w:color w:val="auto"/>
                <w:sz w:val="22"/>
                <w:szCs w:val="22"/>
              </w:rPr>
            </w:pPr>
            <w:r w:rsidRPr="00A5747C">
              <w:rPr>
                <w:rFonts w:asciiTheme="minorHAnsi" w:hAnsiTheme="minorHAnsi" w:cstheme="minorHAnsi"/>
                <w:color w:val="auto"/>
                <w:sz w:val="22"/>
                <w:szCs w:val="22"/>
              </w:rPr>
              <w:t>Compliance with all relevant health and safety standards, and ensure subcontractors do the same</w:t>
            </w:r>
          </w:p>
        </w:tc>
      </w:tr>
      <w:tr w:rsidR="00F42F13" w14:paraId="16FEB995" w14:textId="77777777" w:rsidTr="383F7D73">
        <w:tc>
          <w:tcPr>
            <w:tcW w:w="610" w:type="dxa"/>
          </w:tcPr>
          <w:p w14:paraId="49ECB81D" w14:textId="2FAEA912" w:rsidR="00A54D68" w:rsidRPr="00A5747C" w:rsidRDefault="00A54D68" w:rsidP="00F42F13">
            <w:pPr>
              <w:rPr>
                <w:rFonts w:eastAsiaTheme="majorEastAsia" w:cstheme="minorHAnsi"/>
              </w:rPr>
            </w:pPr>
            <w:r w:rsidRPr="00A5747C">
              <w:rPr>
                <w:rFonts w:eastAsiaTheme="majorEastAsia" w:cstheme="minorHAnsi"/>
              </w:rPr>
              <w:t>11</w:t>
            </w:r>
          </w:p>
        </w:tc>
        <w:tc>
          <w:tcPr>
            <w:tcW w:w="8599" w:type="dxa"/>
          </w:tcPr>
          <w:p w14:paraId="19601B29" w14:textId="2380C9E0" w:rsidR="00F42F13" w:rsidRPr="00A5747C" w:rsidRDefault="00F42F13" w:rsidP="00F42F13">
            <w:pPr>
              <w:pStyle w:val="Heading2"/>
              <w:numPr>
                <w:ilvl w:val="0"/>
                <w:numId w:val="0"/>
              </w:numPr>
              <w:ind w:left="40"/>
              <w:rPr>
                <w:rFonts w:asciiTheme="minorHAnsi" w:hAnsiTheme="minorHAnsi" w:cstheme="minorHAnsi"/>
                <w:color w:val="auto"/>
                <w:sz w:val="22"/>
                <w:szCs w:val="22"/>
              </w:rPr>
            </w:pPr>
            <w:r w:rsidRPr="00A5747C">
              <w:rPr>
                <w:rFonts w:asciiTheme="minorHAnsi" w:hAnsiTheme="minorHAnsi" w:cstheme="minorHAnsi"/>
                <w:color w:val="auto"/>
                <w:sz w:val="22"/>
                <w:szCs w:val="22"/>
              </w:rPr>
              <w:t>Safe removal and legal disposal of old or damaged housings</w:t>
            </w:r>
            <w:r w:rsidR="00901E3E">
              <w:rPr>
                <w:rFonts w:asciiTheme="minorHAnsi" w:hAnsiTheme="minorHAnsi" w:cstheme="minorHAnsi"/>
                <w:color w:val="auto"/>
                <w:sz w:val="22"/>
                <w:szCs w:val="22"/>
              </w:rPr>
              <w:t xml:space="preserve"> under WEEE regulations</w:t>
            </w:r>
            <w:r w:rsidR="00DE1941">
              <w:rPr>
                <w:rFonts w:asciiTheme="minorHAnsi" w:hAnsiTheme="minorHAnsi" w:cstheme="minorHAnsi"/>
                <w:color w:val="auto"/>
                <w:sz w:val="22"/>
                <w:szCs w:val="22"/>
              </w:rPr>
              <w:t>, and air conditioning systems via F-gas regulations.</w:t>
            </w:r>
          </w:p>
        </w:tc>
      </w:tr>
      <w:tr w:rsidR="00EB1922" w14:paraId="452B0069" w14:textId="77777777" w:rsidTr="383F7D73">
        <w:tc>
          <w:tcPr>
            <w:tcW w:w="610" w:type="dxa"/>
          </w:tcPr>
          <w:p w14:paraId="43C909F8" w14:textId="3E36D016" w:rsidR="00EB1922" w:rsidRPr="00A5747C" w:rsidRDefault="00EB1922" w:rsidP="00F42F13">
            <w:pPr>
              <w:rPr>
                <w:rFonts w:eastAsiaTheme="majorEastAsia" w:cstheme="minorHAnsi"/>
              </w:rPr>
            </w:pPr>
            <w:r>
              <w:rPr>
                <w:rFonts w:eastAsiaTheme="majorEastAsia" w:cstheme="minorHAnsi"/>
              </w:rPr>
              <w:t>12</w:t>
            </w:r>
          </w:p>
        </w:tc>
        <w:tc>
          <w:tcPr>
            <w:tcW w:w="8599" w:type="dxa"/>
          </w:tcPr>
          <w:p w14:paraId="12904EC8" w14:textId="07026861" w:rsidR="00EB1922" w:rsidRPr="00A5747C" w:rsidRDefault="00191147" w:rsidP="00AD5AC1">
            <w:pPr>
              <w:pStyle w:val="Heading2"/>
              <w:numPr>
                <w:ilvl w:val="0"/>
                <w:numId w:val="0"/>
              </w:numPr>
              <w:spacing w:before="240"/>
              <w:ind w:left="40"/>
              <w:rPr>
                <w:rFonts w:asciiTheme="minorHAnsi" w:hAnsiTheme="minorHAnsi" w:cstheme="minorHAnsi"/>
                <w:color w:val="auto"/>
                <w:sz w:val="22"/>
                <w:szCs w:val="22"/>
              </w:rPr>
            </w:pPr>
            <w:r>
              <w:rPr>
                <w:rFonts w:asciiTheme="minorHAnsi" w:hAnsiTheme="minorHAnsi" w:cstheme="minorHAnsi"/>
                <w:color w:val="auto"/>
                <w:sz w:val="22"/>
                <w:szCs w:val="22"/>
              </w:rPr>
              <w:t>Provision of and</w:t>
            </w:r>
            <w:r w:rsidR="00804331">
              <w:rPr>
                <w:rFonts w:asciiTheme="minorHAnsi" w:hAnsiTheme="minorHAnsi" w:cstheme="minorHAnsi"/>
                <w:color w:val="auto"/>
                <w:sz w:val="22"/>
                <w:szCs w:val="22"/>
              </w:rPr>
              <w:t xml:space="preserve"> live</w:t>
            </w:r>
            <w:r>
              <w:rPr>
                <w:rFonts w:asciiTheme="minorHAnsi" w:hAnsiTheme="minorHAnsi" w:cstheme="minorHAnsi"/>
                <w:color w:val="auto"/>
                <w:sz w:val="22"/>
                <w:szCs w:val="22"/>
              </w:rPr>
              <w:t xml:space="preserve"> update of a </w:t>
            </w:r>
            <w:r w:rsidR="005502AA">
              <w:rPr>
                <w:rFonts w:asciiTheme="minorHAnsi" w:hAnsiTheme="minorHAnsi" w:cstheme="minorHAnsi"/>
                <w:color w:val="auto"/>
                <w:sz w:val="22"/>
                <w:szCs w:val="22"/>
              </w:rPr>
              <w:t>database/tracker of orders</w:t>
            </w:r>
            <w:r w:rsidR="000A56D2">
              <w:rPr>
                <w:rFonts w:asciiTheme="minorHAnsi" w:hAnsiTheme="minorHAnsi" w:cstheme="minorHAnsi"/>
                <w:color w:val="auto"/>
                <w:sz w:val="22"/>
                <w:szCs w:val="22"/>
              </w:rPr>
              <w:t xml:space="preserve"> </w:t>
            </w:r>
            <w:r w:rsidR="00AD5AC1">
              <w:rPr>
                <w:rFonts w:asciiTheme="minorHAnsi" w:hAnsiTheme="minorHAnsi" w:cstheme="minorHAnsi"/>
                <w:color w:val="auto"/>
                <w:sz w:val="22"/>
                <w:szCs w:val="22"/>
              </w:rPr>
              <w:t>(</w:t>
            </w:r>
            <w:r w:rsidR="0072204B">
              <w:rPr>
                <w:rFonts w:asciiTheme="minorHAnsi" w:hAnsiTheme="minorHAnsi" w:cstheme="minorHAnsi"/>
                <w:color w:val="auto"/>
                <w:sz w:val="22"/>
                <w:szCs w:val="22"/>
              </w:rPr>
              <w:t>to</w:t>
            </w:r>
            <w:r w:rsidR="000A56D2">
              <w:rPr>
                <w:rFonts w:asciiTheme="minorHAnsi" w:hAnsiTheme="minorHAnsi" w:cstheme="minorHAnsi"/>
                <w:color w:val="auto"/>
                <w:sz w:val="22"/>
                <w:szCs w:val="22"/>
              </w:rPr>
              <w:t xml:space="preserve"> </w:t>
            </w:r>
            <w:r w:rsidR="00B019C6">
              <w:rPr>
                <w:rFonts w:asciiTheme="minorHAnsi" w:hAnsiTheme="minorHAnsi" w:cstheme="minorHAnsi"/>
                <w:color w:val="auto"/>
                <w:sz w:val="22"/>
                <w:szCs w:val="22"/>
              </w:rPr>
              <w:t>the level of the individual housing</w:t>
            </w:r>
            <w:r w:rsidR="00AD5AC1">
              <w:rPr>
                <w:rFonts w:asciiTheme="minorHAnsi" w:hAnsiTheme="minorHAnsi" w:cstheme="minorHAnsi"/>
                <w:color w:val="auto"/>
                <w:sz w:val="22"/>
                <w:szCs w:val="22"/>
              </w:rPr>
              <w:t>)</w:t>
            </w:r>
            <w:r w:rsidR="00804331">
              <w:rPr>
                <w:rFonts w:asciiTheme="minorHAnsi" w:hAnsiTheme="minorHAnsi" w:cstheme="minorHAnsi"/>
                <w:color w:val="auto"/>
                <w:sz w:val="22"/>
                <w:szCs w:val="22"/>
              </w:rPr>
              <w:t xml:space="preserve"> received</w:t>
            </w:r>
            <w:r w:rsidR="005502AA">
              <w:rPr>
                <w:rFonts w:asciiTheme="minorHAnsi" w:hAnsiTheme="minorHAnsi" w:cstheme="minorHAnsi"/>
                <w:color w:val="auto"/>
                <w:sz w:val="22"/>
                <w:szCs w:val="22"/>
              </w:rPr>
              <w:t xml:space="preserve"> from the Authority</w:t>
            </w:r>
            <w:r w:rsidR="00804331">
              <w:rPr>
                <w:rFonts w:asciiTheme="minorHAnsi" w:hAnsiTheme="minorHAnsi" w:cstheme="minorHAnsi"/>
                <w:color w:val="auto"/>
                <w:sz w:val="22"/>
                <w:szCs w:val="22"/>
              </w:rPr>
              <w:t xml:space="preserve">, their </w:t>
            </w:r>
            <w:r w:rsidR="00DE1941">
              <w:rPr>
                <w:rFonts w:asciiTheme="minorHAnsi" w:hAnsiTheme="minorHAnsi" w:cstheme="minorHAnsi"/>
                <w:color w:val="auto"/>
                <w:sz w:val="22"/>
                <w:szCs w:val="22"/>
              </w:rPr>
              <w:t>expected time of arrival (ETA)</w:t>
            </w:r>
            <w:r w:rsidR="00804331">
              <w:rPr>
                <w:rFonts w:asciiTheme="minorHAnsi" w:hAnsiTheme="minorHAnsi" w:cstheme="minorHAnsi"/>
                <w:color w:val="auto"/>
                <w:sz w:val="22"/>
                <w:szCs w:val="22"/>
              </w:rPr>
              <w:t xml:space="preserve"> status and </w:t>
            </w:r>
            <w:r w:rsidR="00AD5AC1">
              <w:rPr>
                <w:rFonts w:asciiTheme="minorHAnsi" w:hAnsiTheme="minorHAnsi" w:cstheme="minorHAnsi"/>
                <w:color w:val="auto"/>
                <w:sz w:val="22"/>
                <w:szCs w:val="22"/>
              </w:rPr>
              <w:t>any issues encountered.</w:t>
            </w:r>
          </w:p>
        </w:tc>
      </w:tr>
      <w:tr w:rsidR="006E638E" w14:paraId="7B802BDA" w14:textId="77777777" w:rsidTr="383F7D73">
        <w:tc>
          <w:tcPr>
            <w:tcW w:w="610" w:type="dxa"/>
          </w:tcPr>
          <w:p w14:paraId="64C84D4B" w14:textId="06D2F1C6" w:rsidR="006E638E" w:rsidRDefault="006E638E" w:rsidP="00F42F13">
            <w:pPr>
              <w:rPr>
                <w:rFonts w:eastAsiaTheme="majorEastAsia" w:cstheme="minorHAnsi"/>
              </w:rPr>
            </w:pPr>
            <w:r>
              <w:rPr>
                <w:rFonts w:eastAsiaTheme="majorEastAsia" w:cstheme="minorHAnsi"/>
              </w:rPr>
              <w:t xml:space="preserve">13 </w:t>
            </w:r>
          </w:p>
        </w:tc>
        <w:tc>
          <w:tcPr>
            <w:tcW w:w="8599" w:type="dxa"/>
          </w:tcPr>
          <w:p w14:paraId="734A1122" w14:textId="3881D9B6" w:rsidR="006E638E" w:rsidRDefault="0017742B" w:rsidP="00AD5AC1">
            <w:pPr>
              <w:pStyle w:val="Heading2"/>
              <w:numPr>
                <w:ilvl w:val="0"/>
                <w:numId w:val="0"/>
              </w:numPr>
              <w:spacing w:before="240"/>
              <w:ind w:left="40"/>
              <w:rPr>
                <w:rFonts w:asciiTheme="minorHAnsi" w:hAnsiTheme="minorHAnsi" w:cstheme="minorHAnsi"/>
                <w:color w:val="auto"/>
                <w:sz w:val="22"/>
                <w:szCs w:val="22"/>
              </w:rPr>
            </w:pPr>
            <w:r>
              <w:rPr>
                <w:rFonts w:asciiTheme="minorHAnsi" w:hAnsiTheme="minorHAnsi" w:cstheme="minorHAnsi"/>
                <w:color w:val="auto"/>
                <w:sz w:val="22"/>
                <w:szCs w:val="22"/>
              </w:rPr>
              <w:t xml:space="preserve">Attendance of regular planning/oversight meetings </w:t>
            </w:r>
            <w:r w:rsidR="00B8108B">
              <w:rPr>
                <w:rFonts w:asciiTheme="minorHAnsi" w:hAnsiTheme="minorHAnsi" w:cstheme="minorHAnsi"/>
                <w:color w:val="auto"/>
                <w:sz w:val="22"/>
                <w:szCs w:val="22"/>
              </w:rPr>
              <w:t>with the Authority/CMCU as required</w:t>
            </w:r>
          </w:p>
        </w:tc>
      </w:tr>
      <w:tr w:rsidR="00B55D80" w14:paraId="7DBA6A97" w14:textId="77777777" w:rsidTr="383F7D73">
        <w:tc>
          <w:tcPr>
            <w:tcW w:w="610" w:type="dxa"/>
          </w:tcPr>
          <w:p w14:paraId="219E5C0A" w14:textId="7B5DCBE0" w:rsidR="00B55D80" w:rsidRDefault="00AF0465" w:rsidP="00AF0465">
            <w:r>
              <w:t>14</w:t>
            </w:r>
          </w:p>
        </w:tc>
        <w:tc>
          <w:tcPr>
            <w:tcW w:w="8599" w:type="dxa"/>
          </w:tcPr>
          <w:p w14:paraId="533D9CEF" w14:textId="2D039DEF" w:rsidR="00B55D80" w:rsidRDefault="00B55D80" w:rsidP="00AD5AC1">
            <w:pPr>
              <w:pStyle w:val="Heading2"/>
              <w:numPr>
                <w:ilvl w:val="0"/>
                <w:numId w:val="0"/>
              </w:numPr>
              <w:spacing w:before="240"/>
              <w:ind w:left="40"/>
              <w:rPr>
                <w:rFonts w:asciiTheme="minorHAnsi" w:hAnsiTheme="minorHAnsi" w:cstheme="minorHAnsi"/>
                <w:color w:val="auto"/>
                <w:sz w:val="22"/>
                <w:szCs w:val="22"/>
              </w:rPr>
            </w:pPr>
            <w:r>
              <w:rPr>
                <w:rFonts w:asciiTheme="minorHAnsi" w:hAnsiTheme="minorHAnsi" w:cstheme="minorHAnsi"/>
                <w:color w:val="auto"/>
                <w:sz w:val="22"/>
                <w:szCs w:val="22"/>
              </w:rPr>
              <w:t>Complete delivery</w:t>
            </w:r>
            <w:r w:rsidR="00392AB6">
              <w:rPr>
                <w:rFonts w:asciiTheme="minorHAnsi" w:hAnsiTheme="minorHAnsi" w:cstheme="minorHAnsi"/>
                <w:color w:val="auto"/>
                <w:sz w:val="22"/>
                <w:szCs w:val="22"/>
              </w:rPr>
              <w:t xml:space="preserve"> within the </w:t>
            </w:r>
            <w:r w:rsidR="005435DA">
              <w:rPr>
                <w:rFonts w:asciiTheme="minorHAnsi" w:hAnsiTheme="minorHAnsi" w:cstheme="minorHAnsi"/>
                <w:color w:val="auto"/>
                <w:sz w:val="22"/>
                <w:szCs w:val="22"/>
              </w:rPr>
              <w:t>2-month</w:t>
            </w:r>
            <w:r w:rsidR="00392AB6">
              <w:rPr>
                <w:rFonts w:asciiTheme="minorHAnsi" w:hAnsiTheme="minorHAnsi" w:cstheme="minorHAnsi"/>
                <w:color w:val="auto"/>
                <w:sz w:val="22"/>
                <w:szCs w:val="22"/>
              </w:rPr>
              <w:t xml:space="preserve"> window</w:t>
            </w:r>
            <w:r>
              <w:rPr>
                <w:rFonts w:asciiTheme="minorHAnsi" w:hAnsiTheme="minorHAnsi" w:cstheme="minorHAnsi"/>
                <w:color w:val="auto"/>
                <w:sz w:val="22"/>
                <w:szCs w:val="22"/>
              </w:rPr>
              <w:t xml:space="preserve"> and</w:t>
            </w:r>
            <w:r w:rsidR="00377C9A">
              <w:rPr>
                <w:rFonts w:asciiTheme="minorHAnsi" w:hAnsiTheme="minorHAnsi" w:cstheme="minorHAnsi"/>
                <w:color w:val="auto"/>
                <w:sz w:val="22"/>
                <w:szCs w:val="22"/>
              </w:rPr>
              <w:t xml:space="preserve"> provide complete</w:t>
            </w:r>
            <w:r w:rsidR="006E5D67">
              <w:rPr>
                <w:rFonts w:asciiTheme="minorHAnsi" w:hAnsiTheme="minorHAnsi" w:cstheme="minorHAnsi"/>
                <w:color w:val="auto"/>
                <w:sz w:val="22"/>
                <w:szCs w:val="22"/>
              </w:rPr>
              <w:t>d</w:t>
            </w:r>
            <w:r>
              <w:rPr>
                <w:rFonts w:asciiTheme="minorHAnsi" w:hAnsiTheme="minorHAnsi" w:cstheme="minorHAnsi"/>
                <w:color w:val="auto"/>
                <w:sz w:val="22"/>
                <w:szCs w:val="22"/>
              </w:rPr>
              <w:t xml:space="preserve"> installation/commissioning sign off forms</w:t>
            </w:r>
            <w:r w:rsidR="00CA1111">
              <w:rPr>
                <w:rFonts w:asciiTheme="minorHAnsi" w:hAnsiTheme="minorHAnsi" w:cstheme="minorHAnsi"/>
                <w:color w:val="auto"/>
                <w:sz w:val="22"/>
                <w:szCs w:val="22"/>
              </w:rPr>
              <w:t xml:space="preserve"> at the time of deliver</w:t>
            </w:r>
            <w:r w:rsidR="006D7CB5">
              <w:rPr>
                <w:rFonts w:asciiTheme="minorHAnsi" w:hAnsiTheme="minorHAnsi" w:cstheme="minorHAnsi"/>
                <w:color w:val="auto"/>
                <w:sz w:val="22"/>
                <w:szCs w:val="22"/>
              </w:rPr>
              <w:t>y (to storage/or installation) or installation/commissioning and report to the Authority</w:t>
            </w:r>
          </w:p>
        </w:tc>
      </w:tr>
      <w:tr w:rsidR="00ED03E5" w14:paraId="67D3116C" w14:textId="77777777" w:rsidTr="383F7D73">
        <w:tc>
          <w:tcPr>
            <w:tcW w:w="610" w:type="dxa"/>
          </w:tcPr>
          <w:p w14:paraId="4DDE9AE7" w14:textId="3CE9AC46" w:rsidR="00ED03E5" w:rsidRDefault="00A53202" w:rsidP="00AF0465">
            <w:r>
              <w:t>15</w:t>
            </w:r>
          </w:p>
        </w:tc>
        <w:tc>
          <w:tcPr>
            <w:tcW w:w="8599" w:type="dxa"/>
          </w:tcPr>
          <w:p w14:paraId="6FE964F5" w14:textId="3F17245C" w:rsidR="00ED03E5" w:rsidRDefault="00A53202" w:rsidP="00AD5AC1">
            <w:pPr>
              <w:pStyle w:val="Heading2"/>
              <w:numPr>
                <w:ilvl w:val="0"/>
                <w:numId w:val="0"/>
              </w:numPr>
              <w:spacing w:before="240"/>
              <w:ind w:left="40"/>
              <w:rPr>
                <w:rFonts w:asciiTheme="minorHAnsi" w:hAnsiTheme="minorHAnsi" w:cstheme="minorHAnsi"/>
                <w:color w:val="auto"/>
                <w:sz w:val="22"/>
                <w:szCs w:val="22"/>
              </w:rPr>
            </w:pPr>
            <w:r>
              <w:rPr>
                <w:rFonts w:asciiTheme="minorHAnsi" w:hAnsiTheme="minorHAnsi" w:cstheme="minorHAnsi"/>
                <w:color w:val="auto"/>
                <w:sz w:val="22"/>
                <w:szCs w:val="22"/>
              </w:rPr>
              <w:t>Dead test certificate supplied alongside the delivery form.</w:t>
            </w:r>
          </w:p>
        </w:tc>
      </w:tr>
      <w:tr w:rsidR="00ED03E5" w14:paraId="1167A10C" w14:textId="77777777" w:rsidTr="383F7D73">
        <w:tc>
          <w:tcPr>
            <w:tcW w:w="610" w:type="dxa"/>
          </w:tcPr>
          <w:p w14:paraId="6507B03F" w14:textId="2753D06F" w:rsidR="00ED03E5" w:rsidRDefault="00A53202" w:rsidP="00AF0465">
            <w:r>
              <w:t xml:space="preserve">16 </w:t>
            </w:r>
          </w:p>
        </w:tc>
        <w:tc>
          <w:tcPr>
            <w:tcW w:w="8599" w:type="dxa"/>
          </w:tcPr>
          <w:p w14:paraId="73013BFF" w14:textId="68A2522B" w:rsidR="00ED03E5" w:rsidRDefault="00EE5E31" w:rsidP="00AD5AC1">
            <w:pPr>
              <w:pStyle w:val="Heading2"/>
              <w:numPr>
                <w:ilvl w:val="0"/>
                <w:numId w:val="0"/>
              </w:numPr>
              <w:spacing w:before="240"/>
              <w:ind w:left="40"/>
              <w:rPr>
                <w:rFonts w:asciiTheme="minorHAnsi" w:hAnsiTheme="minorHAnsi" w:cstheme="minorHAnsi"/>
                <w:color w:val="auto"/>
                <w:sz w:val="22"/>
                <w:szCs w:val="22"/>
              </w:rPr>
            </w:pPr>
            <w:r>
              <w:rPr>
                <w:rFonts w:asciiTheme="minorHAnsi" w:hAnsiTheme="minorHAnsi" w:cstheme="minorHAnsi"/>
                <w:color w:val="auto"/>
                <w:sz w:val="22"/>
                <w:szCs w:val="22"/>
              </w:rPr>
              <w:t xml:space="preserve">Final design </w:t>
            </w:r>
            <w:r w:rsidR="00593A2A">
              <w:rPr>
                <w:rFonts w:asciiTheme="minorHAnsi" w:hAnsiTheme="minorHAnsi" w:cstheme="minorHAnsi"/>
                <w:color w:val="auto"/>
                <w:sz w:val="22"/>
                <w:szCs w:val="22"/>
              </w:rPr>
              <w:t>drawings</w:t>
            </w:r>
            <w:r>
              <w:rPr>
                <w:rFonts w:asciiTheme="minorHAnsi" w:hAnsiTheme="minorHAnsi" w:cstheme="minorHAnsi"/>
                <w:color w:val="auto"/>
                <w:sz w:val="22"/>
                <w:szCs w:val="22"/>
              </w:rPr>
              <w:t xml:space="preserve"> to be provided to the authority for reference purposes</w:t>
            </w:r>
          </w:p>
        </w:tc>
      </w:tr>
      <w:tr w:rsidR="007925A4" w14:paraId="64EB38DB" w14:textId="77777777" w:rsidTr="383F7D73">
        <w:tc>
          <w:tcPr>
            <w:tcW w:w="610" w:type="dxa"/>
          </w:tcPr>
          <w:p w14:paraId="219433E9" w14:textId="74353702" w:rsidR="007925A4" w:rsidRDefault="007925A4" w:rsidP="00AF0465">
            <w:r>
              <w:t>17</w:t>
            </w:r>
          </w:p>
        </w:tc>
        <w:tc>
          <w:tcPr>
            <w:tcW w:w="8599" w:type="dxa"/>
          </w:tcPr>
          <w:p w14:paraId="4D984065" w14:textId="026B0CBC" w:rsidR="007925A4" w:rsidRDefault="007925A4" w:rsidP="00AD5AC1">
            <w:pPr>
              <w:pStyle w:val="Heading2"/>
              <w:numPr>
                <w:ilvl w:val="0"/>
                <w:numId w:val="0"/>
              </w:numPr>
              <w:spacing w:before="240"/>
              <w:ind w:left="40"/>
              <w:rPr>
                <w:rFonts w:asciiTheme="minorHAnsi" w:hAnsiTheme="minorHAnsi" w:cstheme="minorHAnsi"/>
                <w:color w:val="auto"/>
                <w:sz w:val="22"/>
                <w:szCs w:val="22"/>
              </w:rPr>
            </w:pPr>
            <w:r>
              <w:rPr>
                <w:rFonts w:asciiTheme="minorHAnsi" w:hAnsiTheme="minorHAnsi" w:cstheme="minorHAnsi"/>
                <w:color w:val="auto"/>
                <w:sz w:val="22"/>
                <w:szCs w:val="22"/>
              </w:rPr>
              <w:t>An issues/obligations risk log</w:t>
            </w:r>
            <w:r w:rsidR="009E6821">
              <w:rPr>
                <w:rFonts w:asciiTheme="minorHAnsi" w:hAnsiTheme="minorHAnsi" w:cstheme="minorHAnsi"/>
                <w:color w:val="auto"/>
                <w:sz w:val="22"/>
                <w:szCs w:val="22"/>
              </w:rPr>
              <w:t xml:space="preserve"> / KPI tracker</w:t>
            </w:r>
            <w:r>
              <w:rPr>
                <w:rFonts w:asciiTheme="minorHAnsi" w:hAnsiTheme="minorHAnsi" w:cstheme="minorHAnsi"/>
                <w:color w:val="auto"/>
                <w:sz w:val="22"/>
                <w:szCs w:val="22"/>
              </w:rPr>
              <w:t xml:space="preserve"> in an agreed format will be maintained by the </w:t>
            </w:r>
            <w:r w:rsidR="009E6821">
              <w:rPr>
                <w:rFonts w:asciiTheme="minorHAnsi" w:hAnsiTheme="minorHAnsi" w:cstheme="minorHAnsi"/>
                <w:color w:val="auto"/>
                <w:sz w:val="22"/>
                <w:szCs w:val="22"/>
              </w:rPr>
              <w:t>C</w:t>
            </w:r>
            <w:r>
              <w:rPr>
                <w:rFonts w:asciiTheme="minorHAnsi" w:hAnsiTheme="minorHAnsi" w:cstheme="minorHAnsi"/>
                <w:color w:val="auto"/>
                <w:sz w:val="22"/>
                <w:szCs w:val="22"/>
              </w:rPr>
              <w:t>ontractor</w:t>
            </w:r>
            <w:r w:rsidR="009E6821">
              <w:rPr>
                <w:rFonts w:asciiTheme="minorHAnsi" w:hAnsiTheme="minorHAnsi" w:cstheme="minorHAnsi"/>
                <w:color w:val="auto"/>
                <w:sz w:val="22"/>
                <w:szCs w:val="22"/>
              </w:rPr>
              <w:t xml:space="preserve"> as required and at least quarterly.</w:t>
            </w:r>
          </w:p>
        </w:tc>
      </w:tr>
      <w:tr w:rsidR="002256B4" w14:paraId="625905CC" w14:textId="77777777" w:rsidTr="383F7D73">
        <w:tc>
          <w:tcPr>
            <w:tcW w:w="610" w:type="dxa"/>
          </w:tcPr>
          <w:p w14:paraId="7D2B49AA" w14:textId="1AB38DC8" w:rsidR="002256B4" w:rsidRDefault="002256B4" w:rsidP="00AF0465">
            <w:r>
              <w:t>18</w:t>
            </w:r>
          </w:p>
        </w:tc>
        <w:tc>
          <w:tcPr>
            <w:tcW w:w="8599" w:type="dxa"/>
          </w:tcPr>
          <w:p w14:paraId="00B607E1" w14:textId="5FD44450" w:rsidR="002256B4" w:rsidRDefault="005D6CAF" w:rsidP="00AD5AC1">
            <w:pPr>
              <w:pStyle w:val="Heading2"/>
              <w:numPr>
                <w:ilvl w:val="0"/>
                <w:numId w:val="0"/>
              </w:numPr>
              <w:spacing w:before="240"/>
              <w:ind w:left="40"/>
              <w:rPr>
                <w:rFonts w:asciiTheme="minorHAnsi" w:hAnsiTheme="minorHAnsi" w:cstheme="minorHAnsi"/>
                <w:color w:val="auto"/>
                <w:sz w:val="22"/>
                <w:szCs w:val="22"/>
              </w:rPr>
            </w:pPr>
            <w:r>
              <w:rPr>
                <w:rFonts w:asciiTheme="minorHAnsi" w:hAnsiTheme="minorHAnsi" w:cstheme="minorHAnsi"/>
                <w:color w:val="auto"/>
                <w:sz w:val="22"/>
                <w:szCs w:val="22"/>
              </w:rPr>
              <w:t xml:space="preserve">Provision of </w:t>
            </w:r>
            <w:r w:rsidR="00C00C6C">
              <w:rPr>
                <w:rFonts w:asciiTheme="minorHAnsi" w:hAnsiTheme="minorHAnsi" w:cstheme="minorHAnsi"/>
                <w:color w:val="auto"/>
                <w:sz w:val="22"/>
                <w:szCs w:val="22"/>
              </w:rPr>
              <w:t>cabin alteration services</w:t>
            </w:r>
            <w:r>
              <w:rPr>
                <w:rFonts w:asciiTheme="minorHAnsi" w:hAnsiTheme="minorHAnsi" w:cstheme="minorHAnsi"/>
                <w:color w:val="auto"/>
                <w:sz w:val="22"/>
                <w:szCs w:val="22"/>
              </w:rPr>
              <w:t xml:space="preserve"> </w:t>
            </w:r>
            <w:r w:rsidR="001C1743">
              <w:rPr>
                <w:rFonts w:asciiTheme="minorHAnsi" w:hAnsiTheme="minorHAnsi" w:cstheme="minorHAnsi"/>
                <w:color w:val="auto"/>
                <w:sz w:val="22"/>
                <w:szCs w:val="22"/>
              </w:rPr>
              <w:t xml:space="preserve">- </w:t>
            </w:r>
            <w:r w:rsidR="001C1743" w:rsidRPr="001C1743">
              <w:rPr>
                <w:rFonts w:asciiTheme="minorHAnsi" w:hAnsiTheme="minorHAnsi" w:cstheme="minorHAnsi"/>
                <w:color w:val="auto"/>
                <w:sz w:val="22"/>
                <w:szCs w:val="22"/>
              </w:rPr>
              <w:t xml:space="preserve">significant cabin alterations and design changes to existing </w:t>
            </w:r>
            <w:r w:rsidR="00077E38">
              <w:rPr>
                <w:rFonts w:asciiTheme="minorHAnsi" w:hAnsiTheme="minorHAnsi" w:cstheme="minorHAnsi"/>
                <w:color w:val="auto"/>
                <w:sz w:val="22"/>
                <w:szCs w:val="22"/>
              </w:rPr>
              <w:t>Authority</w:t>
            </w:r>
            <w:r w:rsidR="001C1743" w:rsidRPr="001C1743">
              <w:rPr>
                <w:rFonts w:asciiTheme="minorHAnsi" w:hAnsiTheme="minorHAnsi" w:cstheme="minorHAnsi"/>
                <w:color w:val="auto"/>
                <w:sz w:val="22"/>
                <w:szCs w:val="22"/>
              </w:rPr>
              <w:t xml:space="preserve"> or partner owned cabins, for example a change to the design of an inlet cage</w:t>
            </w:r>
          </w:p>
        </w:tc>
      </w:tr>
      <w:tr w:rsidR="00DD5EDB" w14:paraId="2660A229" w14:textId="77777777" w:rsidTr="383F7D73">
        <w:tc>
          <w:tcPr>
            <w:tcW w:w="610" w:type="dxa"/>
          </w:tcPr>
          <w:p w14:paraId="71076CC8" w14:textId="644A985C" w:rsidR="00DD5EDB" w:rsidRDefault="00206B81" w:rsidP="00AF0465">
            <w:r>
              <w:t>19</w:t>
            </w:r>
          </w:p>
        </w:tc>
        <w:tc>
          <w:tcPr>
            <w:tcW w:w="8599" w:type="dxa"/>
          </w:tcPr>
          <w:p w14:paraId="44E528F2" w14:textId="1510BBA8" w:rsidR="00DD5EDB" w:rsidRDefault="00206B81" w:rsidP="00AD5AC1">
            <w:pPr>
              <w:pStyle w:val="Heading2"/>
              <w:numPr>
                <w:ilvl w:val="0"/>
                <w:numId w:val="0"/>
              </w:numPr>
              <w:spacing w:before="240"/>
              <w:ind w:left="40"/>
              <w:rPr>
                <w:rFonts w:asciiTheme="minorHAnsi" w:hAnsiTheme="minorHAnsi" w:cstheme="minorHAnsi"/>
                <w:color w:val="auto"/>
                <w:sz w:val="22"/>
                <w:szCs w:val="22"/>
              </w:rPr>
            </w:pPr>
            <w:r>
              <w:rPr>
                <w:rFonts w:asciiTheme="minorHAnsi" w:hAnsiTheme="minorHAnsi" w:cstheme="minorHAnsi"/>
                <w:color w:val="auto"/>
                <w:sz w:val="22"/>
                <w:szCs w:val="22"/>
              </w:rPr>
              <w:t>Declaration of Conformity (DoC) for the Kiosk as an integrated system</w:t>
            </w:r>
            <w:r w:rsidR="00123EC8">
              <w:rPr>
                <w:rFonts w:asciiTheme="minorHAnsi" w:hAnsiTheme="minorHAnsi" w:cstheme="minorHAnsi"/>
                <w:color w:val="auto"/>
                <w:sz w:val="22"/>
                <w:szCs w:val="22"/>
              </w:rPr>
              <w:t>, and a UKHCA (or CE while still allowed) marking.</w:t>
            </w:r>
          </w:p>
        </w:tc>
      </w:tr>
    </w:tbl>
    <w:p w14:paraId="6E09770A" w14:textId="77777777" w:rsidR="0096481C" w:rsidRDefault="0096481C" w:rsidP="00217498">
      <w:pPr>
        <w:rPr>
          <w:rFonts w:asciiTheme="majorHAnsi" w:eastAsiaTheme="majorEastAsia" w:hAnsiTheme="majorHAnsi" w:cstheme="majorBidi"/>
          <w:color w:val="2F5496" w:themeColor="accent1" w:themeShade="BF"/>
          <w:sz w:val="28"/>
          <w:szCs w:val="26"/>
        </w:rPr>
        <w:sectPr w:rsidR="0096481C" w:rsidSect="0096481C">
          <w:pgSz w:w="11906" w:h="16838"/>
          <w:pgMar w:top="1440" w:right="1440" w:bottom="1440" w:left="1440" w:header="708" w:footer="708" w:gutter="0"/>
          <w:cols w:space="708"/>
          <w:docGrid w:linePitch="360"/>
        </w:sectPr>
      </w:pPr>
    </w:p>
    <w:p w14:paraId="6CDE6FBC" w14:textId="78974BC9" w:rsidR="003F5159" w:rsidRDefault="003F5159" w:rsidP="00802F3F">
      <w:pPr>
        <w:pStyle w:val="Heading1"/>
      </w:pPr>
      <w:bookmarkStart w:id="10" w:name="_Ref120199950"/>
      <w:bookmarkStart w:id="11" w:name="_Toc153342468"/>
      <w:r>
        <w:lastRenderedPageBreak/>
        <w:t>Performance Management Framework</w:t>
      </w:r>
      <w:bookmarkEnd w:id="10"/>
      <w:bookmarkEnd w:id="11"/>
    </w:p>
    <w:p w14:paraId="20B3DCFC" w14:textId="77777777" w:rsidR="003F5159" w:rsidRPr="003F5159" w:rsidRDefault="003F5159" w:rsidP="003F5159"/>
    <w:p w14:paraId="6BD0AA9C" w14:textId="47EC5115" w:rsidR="00EC10DD" w:rsidRDefault="003F5159" w:rsidP="003F5159">
      <w:pPr>
        <w:pStyle w:val="Caption"/>
      </w:pPr>
      <w:bookmarkStart w:id="12" w:name="_Toc121132791"/>
      <w:bookmarkStart w:id="13" w:name="_Ref122101230"/>
      <w:r>
        <w:t xml:space="preserve">Table </w:t>
      </w:r>
      <w:r>
        <w:fldChar w:fldCharType="begin"/>
      </w:r>
      <w:r>
        <w:instrText>SEQ Table \* ARABIC</w:instrText>
      </w:r>
      <w:r>
        <w:fldChar w:fldCharType="separate"/>
      </w:r>
      <w:r w:rsidR="003F221C">
        <w:rPr>
          <w:noProof/>
        </w:rPr>
        <w:t>3</w:t>
      </w:r>
      <w:r>
        <w:fldChar w:fldCharType="end"/>
      </w:r>
      <w:r>
        <w:t xml:space="preserve"> - Key Performance Indicators</w:t>
      </w:r>
      <w:bookmarkEnd w:id="12"/>
      <w:bookmarkEnd w:id="13"/>
      <w:r w:rsidR="007272D0">
        <w:t xml:space="preserve"> </w:t>
      </w:r>
    </w:p>
    <w:tbl>
      <w:tblPr>
        <w:tblW w:w="14566" w:type="dxa"/>
        <w:tblInd w:w="-1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817"/>
        <w:gridCol w:w="1701"/>
        <w:gridCol w:w="3047"/>
        <w:gridCol w:w="2906"/>
        <w:gridCol w:w="2031"/>
        <w:gridCol w:w="2032"/>
        <w:gridCol w:w="2032"/>
      </w:tblGrid>
      <w:tr w:rsidR="00747D0A" w:rsidRPr="007869A3" w14:paraId="3771445A" w14:textId="77777777" w:rsidTr="383F7D73">
        <w:trPr>
          <w:trHeight w:val="468"/>
          <w:tblHeader/>
        </w:trPr>
        <w:tc>
          <w:tcPr>
            <w:tcW w:w="817" w:type="dxa"/>
            <w:shd w:val="clear" w:color="auto" w:fill="BFBFBF" w:themeFill="background1" w:themeFillShade="BF"/>
            <w:vAlign w:val="center"/>
          </w:tcPr>
          <w:p w14:paraId="71978221" w14:textId="507B8B48" w:rsidR="00EC10DD" w:rsidRPr="007869A3" w:rsidRDefault="00EC10DD" w:rsidP="00E51F67">
            <w:pPr>
              <w:autoSpaceDE w:val="0"/>
              <w:autoSpaceDN w:val="0"/>
              <w:adjustRightInd w:val="0"/>
              <w:spacing w:after="0"/>
              <w:contextualSpacing/>
              <w:jc w:val="center"/>
              <w:rPr>
                <w:rFonts w:cs="Arial"/>
                <w:b/>
                <w:sz w:val="20"/>
                <w:szCs w:val="20"/>
              </w:rPr>
            </w:pPr>
            <w:r w:rsidRPr="007869A3">
              <w:rPr>
                <w:rFonts w:cs="Arial"/>
                <w:b/>
                <w:sz w:val="20"/>
                <w:szCs w:val="20"/>
              </w:rPr>
              <w:t>Metric</w:t>
            </w:r>
          </w:p>
        </w:tc>
        <w:tc>
          <w:tcPr>
            <w:tcW w:w="1701" w:type="dxa"/>
            <w:shd w:val="clear" w:color="auto" w:fill="BFBFBF" w:themeFill="background1" w:themeFillShade="BF"/>
            <w:vAlign w:val="center"/>
          </w:tcPr>
          <w:p w14:paraId="5C6817F5" w14:textId="77777777" w:rsidR="00EC10DD" w:rsidRPr="007869A3" w:rsidRDefault="00EC10DD" w:rsidP="00E51F67">
            <w:pPr>
              <w:autoSpaceDE w:val="0"/>
              <w:autoSpaceDN w:val="0"/>
              <w:adjustRightInd w:val="0"/>
              <w:spacing w:after="0"/>
              <w:contextualSpacing/>
              <w:jc w:val="center"/>
              <w:rPr>
                <w:rFonts w:cs="Arial"/>
                <w:b/>
                <w:sz w:val="20"/>
                <w:szCs w:val="20"/>
              </w:rPr>
            </w:pPr>
            <w:r w:rsidRPr="007869A3">
              <w:rPr>
                <w:rFonts w:cs="Arial"/>
                <w:b/>
                <w:sz w:val="20"/>
                <w:szCs w:val="20"/>
              </w:rPr>
              <w:t>KPI</w:t>
            </w:r>
          </w:p>
        </w:tc>
        <w:tc>
          <w:tcPr>
            <w:tcW w:w="3047" w:type="dxa"/>
            <w:shd w:val="clear" w:color="auto" w:fill="BFBFBF" w:themeFill="background1" w:themeFillShade="BF"/>
            <w:vAlign w:val="center"/>
          </w:tcPr>
          <w:p w14:paraId="206C0878" w14:textId="77777777" w:rsidR="00EC10DD" w:rsidRPr="007869A3" w:rsidRDefault="00EC10DD" w:rsidP="00E51F67">
            <w:pPr>
              <w:autoSpaceDE w:val="0"/>
              <w:autoSpaceDN w:val="0"/>
              <w:adjustRightInd w:val="0"/>
              <w:spacing w:after="0"/>
              <w:contextualSpacing/>
              <w:jc w:val="center"/>
              <w:rPr>
                <w:rFonts w:cs="Arial"/>
                <w:b/>
                <w:sz w:val="20"/>
                <w:szCs w:val="20"/>
              </w:rPr>
            </w:pPr>
            <w:r w:rsidRPr="007869A3">
              <w:rPr>
                <w:rFonts w:cs="Arial"/>
                <w:b/>
                <w:sz w:val="20"/>
                <w:szCs w:val="20"/>
              </w:rPr>
              <w:t>What is required to make this measurable</w:t>
            </w:r>
          </w:p>
        </w:tc>
        <w:tc>
          <w:tcPr>
            <w:tcW w:w="2906" w:type="dxa"/>
            <w:shd w:val="clear" w:color="auto" w:fill="BFBFBF" w:themeFill="background1" w:themeFillShade="BF"/>
            <w:vAlign w:val="center"/>
          </w:tcPr>
          <w:p w14:paraId="6B8D9DBC" w14:textId="77777777" w:rsidR="00EC10DD" w:rsidRPr="007869A3" w:rsidRDefault="00EC10DD" w:rsidP="00E51F67">
            <w:pPr>
              <w:autoSpaceDE w:val="0"/>
              <w:autoSpaceDN w:val="0"/>
              <w:adjustRightInd w:val="0"/>
              <w:spacing w:after="0"/>
              <w:contextualSpacing/>
              <w:jc w:val="center"/>
              <w:rPr>
                <w:rFonts w:cs="Arial"/>
                <w:b/>
                <w:sz w:val="20"/>
                <w:szCs w:val="20"/>
              </w:rPr>
            </w:pPr>
            <w:r w:rsidRPr="007869A3">
              <w:rPr>
                <w:rFonts w:cs="Arial"/>
                <w:b/>
                <w:sz w:val="20"/>
                <w:szCs w:val="20"/>
              </w:rPr>
              <w:t>KPI Measurement</w:t>
            </w:r>
          </w:p>
        </w:tc>
        <w:tc>
          <w:tcPr>
            <w:tcW w:w="6095" w:type="dxa"/>
            <w:gridSpan w:val="3"/>
            <w:shd w:val="clear" w:color="auto" w:fill="BFBFBF" w:themeFill="background1" w:themeFillShade="BF"/>
            <w:vAlign w:val="center"/>
          </w:tcPr>
          <w:p w14:paraId="32E933B4" w14:textId="77777777" w:rsidR="00EC10DD" w:rsidRPr="007869A3" w:rsidRDefault="00EC10DD" w:rsidP="00E51F67">
            <w:pPr>
              <w:autoSpaceDE w:val="0"/>
              <w:autoSpaceDN w:val="0"/>
              <w:adjustRightInd w:val="0"/>
              <w:spacing w:after="0"/>
              <w:contextualSpacing/>
              <w:jc w:val="center"/>
              <w:rPr>
                <w:rFonts w:cs="Arial"/>
                <w:b/>
                <w:sz w:val="20"/>
                <w:szCs w:val="20"/>
              </w:rPr>
            </w:pPr>
            <w:r w:rsidRPr="007869A3">
              <w:rPr>
                <w:rFonts w:cs="Arial"/>
                <w:b/>
                <w:sz w:val="20"/>
                <w:szCs w:val="20"/>
              </w:rPr>
              <w:t>KPI Rating</w:t>
            </w:r>
          </w:p>
        </w:tc>
      </w:tr>
      <w:tr w:rsidR="00747D0A" w:rsidRPr="0054440C" w14:paraId="1F4D51B9" w14:textId="77777777" w:rsidTr="383F7D73">
        <w:trPr>
          <w:cantSplit/>
          <w:trHeight w:val="1134"/>
        </w:trPr>
        <w:tc>
          <w:tcPr>
            <w:tcW w:w="817" w:type="dxa"/>
            <w:shd w:val="clear" w:color="auto" w:fill="auto"/>
            <w:textDirection w:val="btLr"/>
            <w:vAlign w:val="center"/>
          </w:tcPr>
          <w:p w14:paraId="0F5800DF" w14:textId="705F7D26" w:rsidR="00EC10DD" w:rsidRPr="0054440C" w:rsidRDefault="00EC10DD" w:rsidP="00E51F67">
            <w:pPr>
              <w:autoSpaceDE w:val="0"/>
              <w:autoSpaceDN w:val="0"/>
              <w:adjustRightInd w:val="0"/>
              <w:spacing w:after="0"/>
              <w:ind w:left="113" w:right="113"/>
              <w:contextualSpacing/>
              <w:jc w:val="center"/>
              <w:rPr>
                <w:rFonts w:cs="Arial"/>
                <w:sz w:val="20"/>
                <w:szCs w:val="20"/>
              </w:rPr>
            </w:pPr>
            <w:r w:rsidRPr="0054440C">
              <w:rPr>
                <w:rFonts w:cs="Arial"/>
                <w:sz w:val="20"/>
                <w:szCs w:val="20"/>
              </w:rPr>
              <w:t xml:space="preserve">Contract </w:t>
            </w:r>
            <w:r w:rsidR="00E1250B">
              <w:rPr>
                <w:rFonts w:cs="Arial"/>
                <w:sz w:val="20"/>
                <w:szCs w:val="20"/>
              </w:rPr>
              <w:t>Fulfilment</w:t>
            </w:r>
          </w:p>
        </w:tc>
        <w:tc>
          <w:tcPr>
            <w:tcW w:w="1701" w:type="dxa"/>
            <w:shd w:val="clear" w:color="auto" w:fill="auto"/>
          </w:tcPr>
          <w:p w14:paraId="5D9A48A9" w14:textId="77777777" w:rsidR="00EC10DD" w:rsidRDefault="00041A4B" w:rsidP="00E51F67">
            <w:pPr>
              <w:autoSpaceDE w:val="0"/>
              <w:autoSpaceDN w:val="0"/>
              <w:adjustRightInd w:val="0"/>
              <w:spacing w:after="0"/>
              <w:contextualSpacing/>
              <w:jc w:val="center"/>
              <w:rPr>
                <w:rFonts w:cs="Arial"/>
                <w:b/>
                <w:sz w:val="20"/>
                <w:szCs w:val="20"/>
              </w:rPr>
            </w:pPr>
            <w:r>
              <w:rPr>
                <w:rFonts w:cs="Arial"/>
                <w:b/>
                <w:sz w:val="20"/>
                <w:szCs w:val="20"/>
              </w:rPr>
              <w:t>KPI 1 -</w:t>
            </w:r>
            <w:r w:rsidR="00BA619D">
              <w:rPr>
                <w:rFonts w:cs="Arial"/>
                <w:b/>
                <w:sz w:val="20"/>
                <w:szCs w:val="20"/>
              </w:rPr>
              <w:t>Design/</w:t>
            </w:r>
            <w:r w:rsidR="001C5BF3">
              <w:rPr>
                <w:rFonts w:cs="Arial"/>
                <w:b/>
                <w:sz w:val="20"/>
                <w:szCs w:val="20"/>
              </w:rPr>
              <w:t>Manufacturing</w:t>
            </w:r>
            <w:r w:rsidR="00BA619D">
              <w:rPr>
                <w:rFonts w:cs="Arial"/>
                <w:b/>
                <w:sz w:val="20"/>
                <w:szCs w:val="20"/>
              </w:rPr>
              <w:t>/</w:t>
            </w:r>
            <w:r>
              <w:rPr>
                <w:rFonts w:cs="Arial"/>
                <w:b/>
                <w:sz w:val="20"/>
                <w:szCs w:val="20"/>
              </w:rPr>
              <w:t>supply</w:t>
            </w:r>
          </w:p>
          <w:p w14:paraId="421497A3" w14:textId="77777777" w:rsidR="009A55ED" w:rsidRDefault="009A55ED" w:rsidP="00E51F67">
            <w:pPr>
              <w:autoSpaceDE w:val="0"/>
              <w:autoSpaceDN w:val="0"/>
              <w:adjustRightInd w:val="0"/>
              <w:spacing w:after="0"/>
              <w:contextualSpacing/>
              <w:jc w:val="center"/>
              <w:rPr>
                <w:rFonts w:cs="Arial"/>
                <w:b/>
                <w:sz w:val="20"/>
                <w:szCs w:val="20"/>
              </w:rPr>
            </w:pPr>
          </w:p>
          <w:p w14:paraId="30309AE8" w14:textId="0E2C7E3E" w:rsidR="009A55ED" w:rsidRPr="0054440C" w:rsidRDefault="009A55ED" w:rsidP="00E51F67">
            <w:pPr>
              <w:autoSpaceDE w:val="0"/>
              <w:autoSpaceDN w:val="0"/>
              <w:adjustRightInd w:val="0"/>
              <w:spacing w:after="0"/>
              <w:contextualSpacing/>
              <w:jc w:val="center"/>
              <w:rPr>
                <w:rFonts w:cs="Arial"/>
                <w:sz w:val="20"/>
                <w:szCs w:val="20"/>
              </w:rPr>
            </w:pPr>
            <w:r>
              <w:rPr>
                <w:rFonts w:cs="Arial"/>
                <w:b/>
                <w:sz w:val="20"/>
                <w:szCs w:val="20"/>
              </w:rPr>
              <w:t xml:space="preserve">Service Credit </w:t>
            </w:r>
            <w:r w:rsidR="000B460F">
              <w:rPr>
                <w:rFonts w:cs="Arial"/>
                <w:b/>
                <w:sz w:val="20"/>
                <w:szCs w:val="20"/>
              </w:rPr>
              <w:t>1</w:t>
            </w:r>
          </w:p>
        </w:tc>
        <w:tc>
          <w:tcPr>
            <w:tcW w:w="3047" w:type="dxa"/>
            <w:shd w:val="clear" w:color="auto" w:fill="auto"/>
          </w:tcPr>
          <w:p w14:paraId="5C6C0543" w14:textId="22AD99E1" w:rsidR="00C94BCA" w:rsidRDefault="00341368" w:rsidP="00E51F67">
            <w:pPr>
              <w:autoSpaceDE w:val="0"/>
              <w:autoSpaceDN w:val="0"/>
              <w:adjustRightInd w:val="0"/>
              <w:spacing w:after="0"/>
              <w:contextualSpacing/>
              <w:rPr>
                <w:rFonts w:cs="Arial"/>
                <w:color w:val="000000"/>
                <w:sz w:val="20"/>
                <w:szCs w:val="20"/>
              </w:rPr>
            </w:pPr>
            <w:r>
              <w:rPr>
                <w:rFonts w:cs="Arial"/>
                <w:color w:val="000000"/>
                <w:sz w:val="20"/>
                <w:szCs w:val="20"/>
              </w:rPr>
              <w:t xml:space="preserve">Invoicing </w:t>
            </w:r>
            <w:r w:rsidR="001A347F">
              <w:rPr>
                <w:rFonts w:cs="Arial"/>
                <w:color w:val="000000"/>
                <w:sz w:val="20"/>
                <w:szCs w:val="20"/>
              </w:rPr>
              <w:t xml:space="preserve">and associated reports </w:t>
            </w:r>
            <w:r>
              <w:rPr>
                <w:rFonts w:cs="Arial"/>
                <w:color w:val="000000"/>
                <w:sz w:val="20"/>
                <w:szCs w:val="20"/>
              </w:rPr>
              <w:t>for the manufacture and supply of housing is</w:t>
            </w:r>
            <w:r w:rsidR="00D8055F">
              <w:rPr>
                <w:rFonts w:cs="Arial"/>
                <w:color w:val="000000"/>
                <w:sz w:val="20"/>
                <w:szCs w:val="20"/>
              </w:rPr>
              <w:t xml:space="preserve"> to be</w:t>
            </w:r>
            <w:r>
              <w:rPr>
                <w:rFonts w:cs="Arial"/>
                <w:color w:val="000000"/>
                <w:sz w:val="20"/>
                <w:szCs w:val="20"/>
              </w:rPr>
              <w:t xml:space="preserve"> provided </w:t>
            </w:r>
            <w:r w:rsidR="001A347F">
              <w:rPr>
                <w:rFonts w:cs="Arial"/>
                <w:color w:val="000000"/>
                <w:sz w:val="20"/>
                <w:szCs w:val="20"/>
              </w:rPr>
              <w:t xml:space="preserve">to the Authority </w:t>
            </w:r>
            <w:r>
              <w:rPr>
                <w:rFonts w:cs="Arial"/>
                <w:color w:val="000000"/>
                <w:sz w:val="20"/>
                <w:szCs w:val="20"/>
              </w:rPr>
              <w:t>when each housing is complete</w:t>
            </w:r>
            <w:r w:rsidR="00AF71AF">
              <w:rPr>
                <w:rFonts w:cs="Arial"/>
                <w:color w:val="000000"/>
                <w:sz w:val="20"/>
                <w:szCs w:val="20"/>
              </w:rPr>
              <w:t xml:space="preserve"> and ready for storage/installation. </w:t>
            </w:r>
          </w:p>
          <w:p w14:paraId="630B3F66" w14:textId="77777777" w:rsidR="00C94BCA" w:rsidRDefault="00C94BCA" w:rsidP="00E51F67">
            <w:pPr>
              <w:autoSpaceDE w:val="0"/>
              <w:autoSpaceDN w:val="0"/>
              <w:adjustRightInd w:val="0"/>
              <w:spacing w:after="0"/>
              <w:contextualSpacing/>
              <w:rPr>
                <w:rFonts w:cs="Arial"/>
                <w:color w:val="000000"/>
                <w:sz w:val="20"/>
                <w:szCs w:val="20"/>
              </w:rPr>
            </w:pPr>
          </w:p>
          <w:p w14:paraId="2A032E91" w14:textId="55FB4A0A" w:rsidR="00EC10DD" w:rsidRPr="0054440C" w:rsidRDefault="00AF71AF" w:rsidP="00E51F67">
            <w:pPr>
              <w:autoSpaceDE w:val="0"/>
              <w:autoSpaceDN w:val="0"/>
              <w:adjustRightInd w:val="0"/>
              <w:spacing w:after="0"/>
              <w:contextualSpacing/>
              <w:rPr>
                <w:rFonts w:cs="Arial"/>
                <w:sz w:val="20"/>
                <w:szCs w:val="20"/>
              </w:rPr>
            </w:pPr>
            <w:r>
              <w:rPr>
                <w:rFonts w:cs="Arial"/>
                <w:color w:val="000000"/>
                <w:sz w:val="20"/>
                <w:szCs w:val="20"/>
              </w:rPr>
              <w:t xml:space="preserve">Contractor to maintain </w:t>
            </w:r>
            <w:r w:rsidR="00C0054C">
              <w:rPr>
                <w:rFonts w:cs="Arial"/>
                <w:color w:val="000000"/>
                <w:sz w:val="20"/>
                <w:szCs w:val="20"/>
              </w:rPr>
              <w:t xml:space="preserve">in concert with the EA contract manager, </w:t>
            </w:r>
            <w:r>
              <w:rPr>
                <w:rFonts w:cs="Arial"/>
                <w:color w:val="000000"/>
                <w:sz w:val="20"/>
                <w:szCs w:val="20"/>
              </w:rPr>
              <w:t>a</w:t>
            </w:r>
            <w:r w:rsidR="00B309D3">
              <w:rPr>
                <w:rFonts w:cs="Arial"/>
                <w:color w:val="000000"/>
                <w:sz w:val="20"/>
                <w:szCs w:val="20"/>
              </w:rPr>
              <w:t xml:space="preserve">n </w:t>
            </w:r>
            <w:r w:rsidR="005435DA">
              <w:rPr>
                <w:rFonts w:cs="Arial"/>
                <w:color w:val="000000"/>
                <w:sz w:val="20"/>
                <w:szCs w:val="20"/>
              </w:rPr>
              <w:t>up-to-date</w:t>
            </w:r>
            <w:r>
              <w:rPr>
                <w:rFonts w:cs="Arial"/>
                <w:color w:val="000000"/>
                <w:sz w:val="20"/>
                <w:szCs w:val="20"/>
              </w:rPr>
              <w:t xml:space="preserve"> tracker/database of </w:t>
            </w:r>
            <w:r w:rsidR="00D8055F">
              <w:rPr>
                <w:rFonts w:cs="Arial"/>
                <w:color w:val="000000"/>
                <w:sz w:val="20"/>
                <w:szCs w:val="20"/>
              </w:rPr>
              <w:t>order</w:t>
            </w:r>
            <w:r w:rsidR="00B379A4">
              <w:rPr>
                <w:rFonts w:cs="Arial"/>
                <w:color w:val="000000"/>
                <w:sz w:val="20"/>
                <w:szCs w:val="20"/>
              </w:rPr>
              <w:t>s, their progress, and any reasons for delay</w:t>
            </w:r>
            <w:r w:rsidR="008206BF">
              <w:rPr>
                <w:rFonts w:cs="Arial"/>
                <w:color w:val="000000"/>
                <w:sz w:val="20"/>
                <w:szCs w:val="20"/>
              </w:rPr>
              <w:t>.</w:t>
            </w:r>
          </w:p>
        </w:tc>
        <w:tc>
          <w:tcPr>
            <w:tcW w:w="2906" w:type="dxa"/>
            <w:shd w:val="clear" w:color="auto" w:fill="auto"/>
          </w:tcPr>
          <w:p w14:paraId="2A414B90" w14:textId="25A29EAC" w:rsidR="008947F3" w:rsidRDefault="008947F3" w:rsidP="007A6955">
            <w:pPr>
              <w:autoSpaceDE w:val="0"/>
              <w:autoSpaceDN w:val="0"/>
              <w:adjustRightInd w:val="0"/>
              <w:spacing w:after="0"/>
              <w:contextualSpacing/>
              <w:jc w:val="both"/>
              <w:rPr>
                <w:rFonts w:cs="Arial"/>
                <w:sz w:val="20"/>
                <w:szCs w:val="20"/>
              </w:rPr>
            </w:pPr>
            <w:r>
              <w:rPr>
                <w:rFonts w:cs="Arial"/>
                <w:sz w:val="20"/>
                <w:szCs w:val="20"/>
              </w:rPr>
              <w:t xml:space="preserve">Supply by the contractor of </w:t>
            </w:r>
            <w:r w:rsidR="006308E3">
              <w:rPr>
                <w:rFonts w:cs="Arial"/>
                <w:sz w:val="20"/>
                <w:szCs w:val="20"/>
              </w:rPr>
              <w:t xml:space="preserve">Acceptance/Delivery check form. </w:t>
            </w:r>
          </w:p>
          <w:p w14:paraId="2F3B8696" w14:textId="77777777" w:rsidR="006308E3" w:rsidRDefault="006308E3" w:rsidP="007A6955">
            <w:pPr>
              <w:autoSpaceDE w:val="0"/>
              <w:autoSpaceDN w:val="0"/>
              <w:adjustRightInd w:val="0"/>
              <w:spacing w:after="0"/>
              <w:contextualSpacing/>
              <w:jc w:val="both"/>
              <w:rPr>
                <w:rFonts w:cs="Arial"/>
                <w:sz w:val="20"/>
                <w:szCs w:val="20"/>
              </w:rPr>
            </w:pPr>
          </w:p>
          <w:p w14:paraId="0D9EB59C" w14:textId="29C88458" w:rsidR="00EC10DD" w:rsidRPr="0054440C" w:rsidRDefault="007F45FC" w:rsidP="624D0DDA">
            <w:pPr>
              <w:autoSpaceDE w:val="0"/>
              <w:autoSpaceDN w:val="0"/>
              <w:adjustRightInd w:val="0"/>
              <w:spacing w:after="0"/>
              <w:contextualSpacing/>
              <w:jc w:val="both"/>
              <w:rPr>
                <w:rFonts w:cs="Arial"/>
                <w:sz w:val="20"/>
                <w:szCs w:val="20"/>
              </w:rPr>
            </w:pPr>
            <w:r>
              <w:rPr>
                <w:rFonts w:cs="Arial"/>
                <w:sz w:val="20"/>
                <w:szCs w:val="20"/>
              </w:rPr>
              <w:t xml:space="preserve">Completion of </w:t>
            </w:r>
            <w:r w:rsidR="006C6788">
              <w:rPr>
                <w:rFonts w:cs="Arial"/>
                <w:sz w:val="20"/>
                <w:szCs w:val="20"/>
              </w:rPr>
              <w:t xml:space="preserve">Housings that are taking </w:t>
            </w:r>
            <w:r w:rsidR="00101C20">
              <w:rPr>
                <w:rFonts w:cs="Arial"/>
                <w:sz w:val="20"/>
                <w:szCs w:val="20"/>
              </w:rPr>
              <w:t xml:space="preserve">longer than the stated lead time at point of order to manufacture/supply are to be flagged in a tracker. </w:t>
            </w:r>
          </w:p>
          <w:p w14:paraId="332CD0A9" w14:textId="7AA8BEA4" w:rsidR="00EC10DD" w:rsidRPr="0054440C" w:rsidRDefault="00EC10DD" w:rsidP="624D0DDA">
            <w:pPr>
              <w:autoSpaceDE w:val="0"/>
              <w:autoSpaceDN w:val="0"/>
              <w:adjustRightInd w:val="0"/>
              <w:spacing w:after="0"/>
              <w:contextualSpacing/>
              <w:jc w:val="both"/>
              <w:rPr>
                <w:rFonts w:cs="Arial"/>
                <w:sz w:val="20"/>
                <w:szCs w:val="20"/>
              </w:rPr>
            </w:pPr>
          </w:p>
          <w:p w14:paraId="3C3DC83E" w14:textId="7607C6F3" w:rsidR="00EC10DD" w:rsidRPr="0054440C" w:rsidRDefault="00EC10DD" w:rsidP="007A6955">
            <w:pPr>
              <w:autoSpaceDE w:val="0"/>
              <w:autoSpaceDN w:val="0"/>
              <w:adjustRightInd w:val="0"/>
              <w:spacing w:after="0"/>
              <w:contextualSpacing/>
              <w:jc w:val="both"/>
              <w:rPr>
                <w:rFonts w:cs="Arial"/>
                <w:sz w:val="20"/>
                <w:szCs w:val="20"/>
              </w:rPr>
            </w:pPr>
          </w:p>
        </w:tc>
        <w:tc>
          <w:tcPr>
            <w:tcW w:w="2031" w:type="dxa"/>
            <w:shd w:val="clear" w:color="auto" w:fill="FF0000"/>
          </w:tcPr>
          <w:p w14:paraId="43EFBB14" w14:textId="59E4ED24" w:rsidR="00EC10DD" w:rsidRDefault="007B61A9" w:rsidP="00E51F67">
            <w:pPr>
              <w:autoSpaceDE w:val="0"/>
              <w:autoSpaceDN w:val="0"/>
              <w:adjustRightInd w:val="0"/>
              <w:spacing w:after="0"/>
              <w:contextualSpacing/>
              <w:rPr>
                <w:rFonts w:cs="Arial"/>
                <w:sz w:val="20"/>
                <w:szCs w:val="20"/>
              </w:rPr>
            </w:pPr>
            <w:r>
              <w:rPr>
                <w:rFonts w:cs="Arial"/>
                <w:sz w:val="20"/>
                <w:szCs w:val="20"/>
              </w:rPr>
              <w:t xml:space="preserve">Does not meet expectations </w:t>
            </w:r>
            <w:r w:rsidR="005F7D76">
              <w:rPr>
                <w:rFonts w:cs="Arial"/>
                <w:sz w:val="20"/>
                <w:szCs w:val="20"/>
              </w:rPr>
              <w:t>–</w:t>
            </w:r>
            <w:r>
              <w:rPr>
                <w:rFonts w:cs="Arial"/>
                <w:sz w:val="20"/>
                <w:szCs w:val="20"/>
              </w:rPr>
              <w:t xml:space="preserve"> </w:t>
            </w:r>
          </w:p>
          <w:p w14:paraId="22FFFE71" w14:textId="6256065B" w:rsidR="005F7D76" w:rsidRPr="0054440C" w:rsidRDefault="005F7D76" w:rsidP="00E51F67">
            <w:pPr>
              <w:autoSpaceDE w:val="0"/>
              <w:autoSpaceDN w:val="0"/>
              <w:adjustRightInd w:val="0"/>
              <w:spacing w:after="0"/>
              <w:contextualSpacing/>
              <w:rPr>
                <w:rFonts w:cs="Arial"/>
                <w:sz w:val="20"/>
                <w:szCs w:val="20"/>
              </w:rPr>
            </w:pPr>
            <w:r>
              <w:rPr>
                <w:rFonts w:cs="Arial"/>
                <w:sz w:val="20"/>
                <w:szCs w:val="20"/>
              </w:rPr>
              <w:t>Housings ordered are not supplied ready for storage/installation within the agreed timescales</w:t>
            </w:r>
            <w:r w:rsidR="0048096E">
              <w:rPr>
                <w:rFonts w:cs="Arial"/>
                <w:sz w:val="20"/>
                <w:szCs w:val="20"/>
              </w:rPr>
              <w:t xml:space="preserve">. </w:t>
            </w:r>
            <w:r w:rsidR="00277B4E">
              <w:rPr>
                <w:rFonts w:cs="Arial"/>
                <w:sz w:val="20"/>
                <w:szCs w:val="20"/>
              </w:rPr>
              <w:t>Delays brought to the attention of the Authority and other affected parties.</w:t>
            </w:r>
          </w:p>
          <w:p w14:paraId="5EE8D750" w14:textId="77777777" w:rsidR="00EC10DD" w:rsidRPr="0054440C" w:rsidRDefault="00EC10DD" w:rsidP="00E51F67">
            <w:pPr>
              <w:autoSpaceDE w:val="0"/>
              <w:autoSpaceDN w:val="0"/>
              <w:adjustRightInd w:val="0"/>
              <w:spacing w:after="0"/>
              <w:contextualSpacing/>
              <w:rPr>
                <w:rFonts w:cs="Arial"/>
                <w:sz w:val="20"/>
                <w:szCs w:val="20"/>
              </w:rPr>
            </w:pPr>
          </w:p>
        </w:tc>
        <w:tc>
          <w:tcPr>
            <w:tcW w:w="2032" w:type="dxa"/>
            <w:shd w:val="clear" w:color="auto" w:fill="FFC000" w:themeFill="accent4"/>
          </w:tcPr>
          <w:p w14:paraId="25990B3B" w14:textId="77777777" w:rsidR="00EC10DD" w:rsidRPr="0054440C" w:rsidRDefault="00EC10DD" w:rsidP="00E51F67">
            <w:pPr>
              <w:autoSpaceDE w:val="0"/>
              <w:autoSpaceDN w:val="0"/>
              <w:adjustRightInd w:val="0"/>
              <w:spacing w:after="0"/>
              <w:contextualSpacing/>
              <w:rPr>
                <w:rFonts w:cs="Arial"/>
                <w:sz w:val="20"/>
                <w:szCs w:val="20"/>
              </w:rPr>
            </w:pPr>
            <w:r>
              <w:rPr>
                <w:rFonts w:cs="Arial"/>
                <w:sz w:val="20"/>
                <w:szCs w:val="20"/>
              </w:rPr>
              <w:t>NA</w:t>
            </w:r>
          </w:p>
        </w:tc>
        <w:tc>
          <w:tcPr>
            <w:tcW w:w="2032" w:type="dxa"/>
            <w:shd w:val="clear" w:color="auto" w:fill="00B050"/>
          </w:tcPr>
          <w:p w14:paraId="7B5090E0" w14:textId="77777777" w:rsidR="00EC10DD" w:rsidRPr="0054440C" w:rsidRDefault="00EC10DD" w:rsidP="00E51F67">
            <w:pPr>
              <w:autoSpaceDE w:val="0"/>
              <w:autoSpaceDN w:val="0"/>
              <w:adjustRightInd w:val="0"/>
              <w:spacing w:after="0"/>
              <w:contextualSpacing/>
              <w:rPr>
                <w:rFonts w:cs="Arial"/>
                <w:sz w:val="20"/>
                <w:szCs w:val="20"/>
              </w:rPr>
            </w:pPr>
            <w:r w:rsidRPr="0054440C">
              <w:rPr>
                <w:rFonts w:cs="Arial"/>
                <w:sz w:val="20"/>
                <w:szCs w:val="20"/>
              </w:rPr>
              <w:t>Meets</w:t>
            </w:r>
          </w:p>
          <w:p w14:paraId="5CD2D54A" w14:textId="44D8DCBF" w:rsidR="00EC10DD" w:rsidRPr="0054440C" w:rsidRDefault="00EC10DD" w:rsidP="00E51F67">
            <w:pPr>
              <w:autoSpaceDE w:val="0"/>
              <w:autoSpaceDN w:val="0"/>
              <w:adjustRightInd w:val="0"/>
              <w:spacing w:after="0"/>
              <w:contextualSpacing/>
              <w:rPr>
                <w:rFonts w:cs="Arial"/>
                <w:sz w:val="20"/>
                <w:szCs w:val="20"/>
              </w:rPr>
            </w:pPr>
            <w:r>
              <w:rPr>
                <w:rFonts w:cs="Arial"/>
                <w:sz w:val="20"/>
                <w:szCs w:val="20"/>
              </w:rPr>
              <w:t xml:space="preserve">Expectations – </w:t>
            </w:r>
            <w:r w:rsidR="002948FC">
              <w:rPr>
                <w:rFonts w:cs="Arial"/>
                <w:sz w:val="20"/>
                <w:szCs w:val="20"/>
              </w:rPr>
              <w:t xml:space="preserve">Housings ordered are manufactured and ready for storage/installation within the agreed timescales. </w:t>
            </w:r>
          </w:p>
        </w:tc>
      </w:tr>
      <w:tr w:rsidR="00747D0A" w:rsidRPr="0054440C" w14:paraId="41D962C6" w14:textId="77777777" w:rsidTr="383F7D73">
        <w:trPr>
          <w:cantSplit/>
          <w:trHeight w:val="1134"/>
        </w:trPr>
        <w:tc>
          <w:tcPr>
            <w:tcW w:w="817" w:type="dxa"/>
            <w:shd w:val="clear" w:color="auto" w:fill="auto"/>
            <w:textDirection w:val="btLr"/>
            <w:vAlign w:val="center"/>
          </w:tcPr>
          <w:p w14:paraId="59BC0BF9" w14:textId="77B318AD" w:rsidR="00C0163A" w:rsidRPr="0054440C" w:rsidRDefault="00C0163A" w:rsidP="00C0163A">
            <w:pPr>
              <w:autoSpaceDE w:val="0"/>
              <w:autoSpaceDN w:val="0"/>
              <w:adjustRightInd w:val="0"/>
              <w:spacing w:after="0"/>
              <w:ind w:left="113" w:right="113"/>
              <w:contextualSpacing/>
              <w:jc w:val="center"/>
              <w:rPr>
                <w:rFonts w:cs="Arial"/>
                <w:sz w:val="20"/>
                <w:szCs w:val="20"/>
              </w:rPr>
            </w:pPr>
            <w:r>
              <w:rPr>
                <w:rFonts w:cs="Arial"/>
                <w:sz w:val="20"/>
                <w:szCs w:val="20"/>
              </w:rPr>
              <w:t>Contract Fulfilment</w:t>
            </w:r>
          </w:p>
        </w:tc>
        <w:tc>
          <w:tcPr>
            <w:tcW w:w="1701" w:type="dxa"/>
            <w:shd w:val="clear" w:color="auto" w:fill="auto"/>
          </w:tcPr>
          <w:p w14:paraId="7ADBDBDF" w14:textId="77777777" w:rsidR="00C0163A" w:rsidRDefault="00C0163A" w:rsidP="00C0163A">
            <w:pPr>
              <w:autoSpaceDE w:val="0"/>
              <w:autoSpaceDN w:val="0"/>
              <w:adjustRightInd w:val="0"/>
              <w:spacing w:after="0"/>
              <w:contextualSpacing/>
              <w:rPr>
                <w:rFonts w:cs="Arial"/>
                <w:b/>
                <w:sz w:val="20"/>
                <w:szCs w:val="20"/>
              </w:rPr>
            </w:pPr>
            <w:r>
              <w:rPr>
                <w:rFonts w:cs="Arial"/>
                <w:b/>
                <w:sz w:val="20"/>
                <w:szCs w:val="20"/>
              </w:rPr>
              <w:t xml:space="preserve">KPI </w:t>
            </w:r>
            <w:r w:rsidR="00C94BCA">
              <w:rPr>
                <w:rFonts w:cs="Arial"/>
                <w:b/>
                <w:sz w:val="20"/>
                <w:szCs w:val="20"/>
              </w:rPr>
              <w:t>2</w:t>
            </w:r>
            <w:r>
              <w:rPr>
                <w:rFonts w:cs="Arial"/>
                <w:b/>
                <w:sz w:val="20"/>
                <w:szCs w:val="20"/>
              </w:rPr>
              <w:t xml:space="preserve"> - Delivery and install</w:t>
            </w:r>
          </w:p>
          <w:p w14:paraId="0B418062" w14:textId="77777777" w:rsidR="009A55ED" w:rsidRDefault="009A55ED" w:rsidP="00C0163A">
            <w:pPr>
              <w:autoSpaceDE w:val="0"/>
              <w:autoSpaceDN w:val="0"/>
              <w:adjustRightInd w:val="0"/>
              <w:spacing w:after="0"/>
              <w:contextualSpacing/>
              <w:rPr>
                <w:rFonts w:cs="Arial"/>
                <w:b/>
                <w:sz w:val="20"/>
                <w:szCs w:val="20"/>
              </w:rPr>
            </w:pPr>
          </w:p>
          <w:p w14:paraId="1E242A59" w14:textId="7931BC39" w:rsidR="009A55ED" w:rsidRPr="003B1FDC" w:rsidRDefault="009A55ED" w:rsidP="00C0163A">
            <w:pPr>
              <w:autoSpaceDE w:val="0"/>
              <w:autoSpaceDN w:val="0"/>
              <w:adjustRightInd w:val="0"/>
              <w:spacing w:after="0"/>
              <w:contextualSpacing/>
              <w:rPr>
                <w:rFonts w:cs="Arial"/>
                <w:b/>
                <w:sz w:val="20"/>
                <w:szCs w:val="20"/>
              </w:rPr>
            </w:pPr>
            <w:r>
              <w:rPr>
                <w:rFonts w:cs="Arial"/>
                <w:b/>
                <w:sz w:val="20"/>
                <w:szCs w:val="20"/>
              </w:rPr>
              <w:t xml:space="preserve">Service Credit </w:t>
            </w:r>
            <w:r w:rsidR="000B460F">
              <w:rPr>
                <w:rFonts w:cs="Arial"/>
                <w:b/>
                <w:sz w:val="20"/>
                <w:szCs w:val="20"/>
              </w:rPr>
              <w:t>1</w:t>
            </w:r>
          </w:p>
        </w:tc>
        <w:tc>
          <w:tcPr>
            <w:tcW w:w="3047" w:type="dxa"/>
            <w:shd w:val="clear" w:color="auto" w:fill="auto"/>
          </w:tcPr>
          <w:p w14:paraId="493E47C5" w14:textId="6974A1D1" w:rsidR="00C0163A" w:rsidRPr="0054440C" w:rsidRDefault="004215C3" w:rsidP="508C3BBD">
            <w:pPr>
              <w:autoSpaceDE w:val="0"/>
              <w:autoSpaceDN w:val="0"/>
              <w:adjustRightInd w:val="0"/>
              <w:spacing w:after="0"/>
              <w:contextualSpacing/>
              <w:rPr>
                <w:rFonts w:cs="Arial"/>
                <w:color w:val="000000" w:themeColor="text1"/>
                <w:sz w:val="20"/>
                <w:szCs w:val="20"/>
              </w:rPr>
            </w:pPr>
            <w:r w:rsidRPr="508C3BBD">
              <w:rPr>
                <w:rFonts w:cs="Arial"/>
                <w:color w:val="000000" w:themeColor="text1"/>
                <w:sz w:val="20"/>
                <w:szCs w:val="20"/>
              </w:rPr>
              <w:t>Commissioning</w:t>
            </w:r>
            <w:r w:rsidR="00C84435" w:rsidRPr="508C3BBD">
              <w:rPr>
                <w:rFonts w:cs="Arial"/>
                <w:color w:val="000000" w:themeColor="text1"/>
                <w:sz w:val="20"/>
                <w:szCs w:val="20"/>
              </w:rPr>
              <w:t xml:space="preserve"> checks are in place</w:t>
            </w:r>
            <w:r w:rsidRPr="508C3BBD">
              <w:rPr>
                <w:rFonts w:cs="Arial"/>
                <w:color w:val="000000" w:themeColor="text1"/>
                <w:sz w:val="20"/>
                <w:szCs w:val="20"/>
              </w:rPr>
              <w:t xml:space="preserve"> to certify successful </w:t>
            </w:r>
            <w:r w:rsidR="00967D72" w:rsidRPr="508C3BBD">
              <w:rPr>
                <w:rFonts w:cs="Arial"/>
                <w:color w:val="000000" w:themeColor="text1"/>
                <w:sz w:val="20"/>
                <w:szCs w:val="20"/>
              </w:rPr>
              <w:t>install and</w:t>
            </w:r>
            <w:r w:rsidRPr="508C3BBD">
              <w:rPr>
                <w:rFonts w:cs="Arial"/>
                <w:color w:val="000000" w:themeColor="text1"/>
                <w:sz w:val="20"/>
                <w:szCs w:val="20"/>
              </w:rPr>
              <w:t xml:space="preserve"> are </w:t>
            </w:r>
            <w:r w:rsidR="000E2179" w:rsidRPr="508C3BBD">
              <w:rPr>
                <w:rFonts w:cs="Arial"/>
                <w:color w:val="000000" w:themeColor="text1"/>
                <w:sz w:val="20"/>
                <w:szCs w:val="20"/>
              </w:rPr>
              <w:t xml:space="preserve">documented and followed by the </w:t>
            </w:r>
            <w:r w:rsidR="005435DA" w:rsidRPr="508C3BBD">
              <w:rPr>
                <w:rFonts w:cs="Arial"/>
                <w:color w:val="000000" w:themeColor="text1"/>
                <w:sz w:val="20"/>
                <w:szCs w:val="20"/>
              </w:rPr>
              <w:t>contractor’s</w:t>
            </w:r>
            <w:r w:rsidR="000E2179" w:rsidRPr="508C3BBD">
              <w:rPr>
                <w:rFonts w:cs="Arial"/>
                <w:color w:val="000000" w:themeColor="text1"/>
                <w:sz w:val="20"/>
                <w:szCs w:val="20"/>
              </w:rPr>
              <w:t xml:space="preserve"> management.</w:t>
            </w:r>
            <w:r w:rsidRPr="508C3BBD">
              <w:rPr>
                <w:rFonts w:cs="Arial"/>
                <w:color w:val="000000" w:themeColor="text1"/>
                <w:sz w:val="20"/>
                <w:szCs w:val="20"/>
              </w:rPr>
              <w:t xml:space="preserve"> </w:t>
            </w:r>
          </w:p>
          <w:p w14:paraId="6C795878" w14:textId="08845255" w:rsidR="00C0163A" w:rsidRPr="0054440C" w:rsidRDefault="00C0163A" w:rsidP="00C0163A">
            <w:pPr>
              <w:autoSpaceDE w:val="0"/>
              <w:autoSpaceDN w:val="0"/>
              <w:adjustRightInd w:val="0"/>
              <w:spacing w:after="0"/>
              <w:contextualSpacing/>
              <w:rPr>
                <w:rFonts w:cs="Arial"/>
                <w:color w:val="000000"/>
                <w:sz w:val="20"/>
                <w:szCs w:val="20"/>
              </w:rPr>
            </w:pPr>
          </w:p>
        </w:tc>
        <w:tc>
          <w:tcPr>
            <w:tcW w:w="2906" w:type="dxa"/>
            <w:shd w:val="clear" w:color="auto" w:fill="auto"/>
          </w:tcPr>
          <w:p w14:paraId="1F5ADEBA" w14:textId="08ECEB9D" w:rsidR="00C0163A" w:rsidRPr="0054440C" w:rsidRDefault="00BC24A7" w:rsidP="63BB4941">
            <w:pPr>
              <w:autoSpaceDE w:val="0"/>
              <w:autoSpaceDN w:val="0"/>
              <w:adjustRightInd w:val="0"/>
              <w:spacing w:after="0"/>
              <w:contextualSpacing/>
              <w:rPr>
                <w:rFonts w:cs="Arial"/>
                <w:color w:val="000000" w:themeColor="text1"/>
                <w:sz w:val="20"/>
                <w:szCs w:val="20"/>
              </w:rPr>
            </w:pPr>
            <w:r>
              <w:rPr>
                <w:rFonts w:cs="Arial"/>
                <w:sz w:val="20"/>
                <w:szCs w:val="20"/>
              </w:rPr>
              <w:t>Commissioning</w:t>
            </w:r>
            <w:r w:rsidR="003E069A">
              <w:rPr>
                <w:rFonts w:cs="Arial"/>
                <w:sz w:val="20"/>
                <w:szCs w:val="20"/>
              </w:rPr>
              <w:t xml:space="preserve"> checks are completed and documented </w:t>
            </w:r>
            <w:r w:rsidR="000E2179">
              <w:rPr>
                <w:rFonts w:cs="Arial"/>
                <w:sz w:val="20"/>
                <w:szCs w:val="20"/>
              </w:rPr>
              <w:t xml:space="preserve">immediately </w:t>
            </w:r>
            <w:r w:rsidR="00967D72">
              <w:rPr>
                <w:rFonts w:cs="Arial"/>
                <w:sz w:val="20"/>
                <w:szCs w:val="20"/>
              </w:rPr>
              <w:t>following</w:t>
            </w:r>
            <w:r w:rsidR="003E069A">
              <w:rPr>
                <w:rFonts w:cs="Arial"/>
                <w:sz w:val="20"/>
                <w:szCs w:val="20"/>
              </w:rPr>
              <w:t xml:space="preserve"> install, and evidence provided to the </w:t>
            </w:r>
            <w:r w:rsidR="00277B4E">
              <w:rPr>
                <w:rFonts w:cs="Arial"/>
                <w:sz w:val="20"/>
                <w:szCs w:val="20"/>
              </w:rPr>
              <w:t>Authority</w:t>
            </w:r>
            <w:r w:rsidR="003E069A">
              <w:rPr>
                <w:rFonts w:cs="Arial"/>
                <w:sz w:val="20"/>
                <w:szCs w:val="20"/>
              </w:rPr>
              <w:t>/CMCU</w:t>
            </w:r>
          </w:p>
          <w:p w14:paraId="55AE2240" w14:textId="75F86B36" w:rsidR="00C0163A" w:rsidRPr="0054440C" w:rsidRDefault="00C0163A" w:rsidP="63BB4941">
            <w:pPr>
              <w:autoSpaceDE w:val="0"/>
              <w:autoSpaceDN w:val="0"/>
              <w:adjustRightInd w:val="0"/>
              <w:spacing w:after="0"/>
              <w:contextualSpacing/>
              <w:rPr>
                <w:rFonts w:cs="Arial"/>
                <w:color w:val="000000" w:themeColor="text1"/>
                <w:sz w:val="20"/>
                <w:szCs w:val="20"/>
              </w:rPr>
            </w:pPr>
          </w:p>
          <w:p w14:paraId="0643E005" w14:textId="2FFD6DD7" w:rsidR="00C0163A" w:rsidRPr="0054440C" w:rsidRDefault="00C0163A" w:rsidP="00ED1429">
            <w:pPr>
              <w:autoSpaceDE w:val="0"/>
              <w:autoSpaceDN w:val="0"/>
              <w:adjustRightInd w:val="0"/>
              <w:spacing w:after="0"/>
              <w:contextualSpacing/>
              <w:rPr>
                <w:rFonts w:cs="Arial"/>
                <w:sz w:val="20"/>
                <w:szCs w:val="20"/>
              </w:rPr>
            </w:pPr>
          </w:p>
        </w:tc>
        <w:tc>
          <w:tcPr>
            <w:tcW w:w="2031" w:type="dxa"/>
            <w:shd w:val="clear" w:color="auto" w:fill="FF0000"/>
          </w:tcPr>
          <w:p w14:paraId="47BED4F0" w14:textId="1CC6AF20" w:rsidR="00C0163A" w:rsidRDefault="00033F6F" w:rsidP="00C0163A">
            <w:pPr>
              <w:autoSpaceDE w:val="0"/>
              <w:autoSpaceDN w:val="0"/>
              <w:adjustRightInd w:val="0"/>
              <w:spacing w:after="0"/>
              <w:contextualSpacing/>
              <w:rPr>
                <w:rFonts w:cs="Arial"/>
                <w:sz w:val="20"/>
                <w:szCs w:val="20"/>
              </w:rPr>
            </w:pPr>
            <w:r>
              <w:rPr>
                <w:rFonts w:cs="Arial"/>
                <w:sz w:val="20"/>
                <w:szCs w:val="20"/>
              </w:rPr>
              <w:t xml:space="preserve">Does not meet expectations – </w:t>
            </w:r>
          </w:p>
          <w:p w14:paraId="4E888B2F" w14:textId="4AE72FFB" w:rsidR="00B25AB8" w:rsidRDefault="00033F6F" w:rsidP="00C0163A">
            <w:pPr>
              <w:autoSpaceDE w:val="0"/>
              <w:autoSpaceDN w:val="0"/>
              <w:adjustRightInd w:val="0"/>
              <w:spacing w:after="0"/>
              <w:contextualSpacing/>
              <w:rPr>
                <w:rFonts w:cs="Arial"/>
                <w:sz w:val="20"/>
                <w:szCs w:val="20"/>
              </w:rPr>
            </w:pPr>
            <w:r>
              <w:rPr>
                <w:rFonts w:cs="Arial"/>
                <w:sz w:val="20"/>
                <w:szCs w:val="20"/>
              </w:rPr>
              <w:t>Housing ordered has not been delivere</w:t>
            </w:r>
            <w:r w:rsidR="00F71978">
              <w:rPr>
                <w:rFonts w:cs="Arial"/>
                <w:sz w:val="20"/>
                <w:szCs w:val="20"/>
              </w:rPr>
              <w:t xml:space="preserve">d </w:t>
            </w:r>
            <w:r w:rsidR="7DB973D2" w:rsidRPr="6488CC4D">
              <w:rPr>
                <w:rFonts w:cs="Arial"/>
                <w:sz w:val="20"/>
                <w:szCs w:val="20"/>
              </w:rPr>
              <w:t>to site</w:t>
            </w:r>
            <w:r w:rsidR="00F71978" w:rsidRPr="2F6E5C45">
              <w:rPr>
                <w:rFonts w:cs="Arial"/>
                <w:sz w:val="20"/>
                <w:szCs w:val="20"/>
              </w:rPr>
              <w:t xml:space="preserve"> </w:t>
            </w:r>
            <w:r w:rsidR="00F71978">
              <w:rPr>
                <w:rFonts w:cs="Arial"/>
                <w:sz w:val="20"/>
                <w:szCs w:val="20"/>
              </w:rPr>
              <w:t xml:space="preserve">or install completed </w:t>
            </w:r>
            <w:r w:rsidR="00202BA3">
              <w:rPr>
                <w:rFonts w:cs="Arial"/>
                <w:sz w:val="20"/>
                <w:szCs w:val="20"/>
              </w:rPr>
              <w:t xml:space="preserve">to the agreed timescale. </w:t>
            </w:r>
            <w:r w:rsidR="00B25AB8">
              <w:rPr>
                <w:rFonts w:cs="Arial"/>
                <w:sz w:val="20"/>
                <w:szCs w:val="20"/>
              </w:rPr>
              <w:t xml:space="preserve">No extension has been agreed with the Authority. </w:t>
            </w:r>
          </w:p>
          <w:p w14:paraId="11B13E36" w14:textId="77777777" w:rsidR="00B25AB8" w:rsidRDefault="00B25AB8" w:rsidP="00C0163A">
            <w:pPr>
              <w:autoSpaceDE w:val="0"/>
              <w:autoSpaceDN w:val="0"/>
              <w:adjustRightInd w:val="0"/>
              <w:spacing w:after="0"/>
              <w:contextualSpacing/>
              <w:rPr>
                <w:rFonts w:cs="Arial"/>
                <w:sz w:val="20"/>
                <w:szCs w:val="20"/>
              </w:rPr>
            </w:pPr>
          </w:p>
          <w:p w14:paraId="74F5CCFF" w14:textId="5F042D13" w:rsidR="00033F6F" w:rsidRPr="0054440C" w:rsidRDefault="00202BA3" w:rsidP="00C0163A">
            <w:pPr>
              <w:autoSpaceDE w:val="0"/>
              <w:autoSpaceDN w:val="0"/>
              <w:adjustRightInd w:val="0"/>
              <w:spacing w:after="0"/>
              <w:contextualSpacing/>
              <w:rPr>
                <w:rFonts w:cs="Arial"/>
                <w:sz w:val="20"/>
                <w:szCs w:val="20"/>
              </w:rPr>
            </w:pPr>
            <w:r>
              <w:rPr>
                <w:rFonts w:cs="Arial"/>
                <w:sz w:val="20"/>
                <w:szCs w:val="20"/>
              </w:rPr>
              <w:t xml:space="preserve">Commissioning checks </w:t>
            </w:r>
            <w:r w:rsidR="00815F3C">
              <w:rPr>
                <w:rFonts w:cs="Arial"/>
                <w:sz w:val="20"/>
                <w:szCs w:val="20"/>
              </w:rPr>
              <w:t xml:space="preserve">have not been </w:t>
            </w:r>
            <w:r>
              <w:rPr>
                <w:rFonts w:cs="Arial"/>
                <w:sz w:val="20"/>
                <w:szCs w:val="20"/>
              </w:rPr>
              <w:t>carried out</w:t>
            </w:r>
            <w:r w:rsidR="00815F3C">
              <w:rPr>
                <w:rFonts w:cs="Arial"/>
                <w:sz w:val="20"/>
                <w:szCs w:val="20"/>
              </w:rPr>
              <w:t xml:space="preserve"> as agreed</w:t>
            </w:r>
          </w:p>
        </w:tc>
        <w:tc>
          <w:tcPr>
            <w:tcW w:w="2032" w:type="dxa"/>
            <w:shd w:val="clear" w:color="auto" w:fill="FFC000" w:themeFill="accent4"/>
          </w:tcPr>
          <w:p w14:paraId="14C640C9" w14:textId="77777777" w:rsidR="00C0163A" w:rsidRDefault="00C0163A" w:rsidP="00C0163A">
            <w:pPr>
              <w:autoSpaceDE w:val="0"/>
              <w:autoSpaceDN w:val="0"/>
              <w:adjustRightInd w:val="0"/>
              <w:spacing w:after="0"/>
              <w:contextualSpacing/>
              <w:rPr>
                <w:rFonts w:cs="Arial"/>
                <w:sz w:val="20"/>
                <w:szCs w:val="20"/>
              </w:rPr>
            </w:pPr>
          </w:p>
        </w:tc>
        <w:tc>
          <w:tcPr>
            <w:tcW w:w="2032" w:type="dxa"/>
            <w:shd w:val="clear" w:color="auto" w:fill="00B050"/>
          </w:tcPr>
          <w:p w14:paraId="7A9E2F59" w14:textId="7AE10F96" w:rsidR="00B25AB8" w:rsidRDefault="00B25AB8" w:rsidP="00C0163A">
            <w:pPr>
              <w:autoSpaceDE w:val="0"/>
              <w:autoSpaceDN w:val="0"/>
              <w:adjustRightInd w:val="0"/>
              <w:spacing w:after="0"/>
              <w:contextualSpacing/>
              <w:rPr>
                <w:rFonts w:cs="Arial"/>
                <w:sz w:val="20"/>
                <w:szCs w:val="20"/>
              </w:rPr>
            </w:pPr>
            <w:r>
              <w:rPr>
                <w:rFonts w:cs="Arial"/>
                <w:sz w:val="20"/>
                <w:szCs w:val="20"/>
              </w:rPr>
              <w:t>Meets Expectations</w:t>
            </w:r>
            <w:r w:rsidR="006A71CC">
              <w:rPr>
                <w:rFonts w:cs="Arial"/>
                <w:sz w:val="20"/>
                <w:szCs w:val="20"/>
              </w:rPr>
              <w:t xml:space="preserve"> – </w:t>
            </w:r>
          </w:p>
          <w:p w14:paraId="14B01319" w14:textId="790BD090" w:rsidR="00DA2A0C" w:rsidRPr="0054440C" w:rsidRDefault="006A71CC" w:rsidP="00C0163A">
            <w:pPr>
              <w:autoSpaceDE w:val="0"/>
              <w:autoSpaceDN w:val="0"/>
              <w:adjustRightInd w:val="0"/>
              <w:spacing w:after="0"/>
              <w:contextualSpacing/>
              <w:rPr>
                <w:rFonts w:cs="Arial"/>
                <w:sz w:val="20"/>
                <w:szCs w:val="20"/>
              </w:rPr>
            </w:pPr>
            <w:r>
              <w:rPr>
                <w:rFonts w:cs="Arial"/>
                <w:sz w:val="20"/>
                <w:szCs w:val="20"/>
              </w:rPr>
              <w:t xml:space="preserve">Housings ordered are </w:t>
            </w:r>
            <w:r w:rsidR="002E7E05">
              <w:rPr>
                <w:rFonts w:cs="Arial"/>
                <w:sz w:val="20"/>
                <w:szCs w:val="20"/>
              </w:rPr>
              <w:t>delivered to the site and installed on schedule</w:t>
            </w:r>
            <w:r w:rsidR="00DA2A0C">
              <w:rPr>
                <w:rFonts w:cs="Arial"/>
                <w:sz w:val="20"/>
                <w:szCs w:val="20"/>
              </w:rPr>
              <w:t xml:space="preserve">. Evidence of installation is provided to the Authority. </w:t>
            </w:r>
          </w:p>
        </w:tc>
      </w:tr>
      <w:tr w:rsidR="00747D0A" w:rsidRPr="0054440C" w14:paraId="09B79A73" w14:textId="77777777" w:rsidTr="383F7D73">
        <w:trPr>
          <w:cantSplit/>
          <w:trHeight w:val="1134"/>
        </w:trPr>
        <w:tc>
          <w:tcPr>
            <w:tcW w:w="817" w:type="dxa"/>
            <w:shd w:val="clear" w:color="auto" w:fill="auto"/>
            <w:textDirection w:val="btLr"/>
            <w:vAlign w:val="center"/>
          </w:tcPr>
          <w:p w14:paraId="550557E4" w14:textId="55ADE7DF" w:rsidR="00C0163A" w:rsidRPr="0054440C" w:rsidRDefault="009E6821" w:rsidP="00C0163A">
            <w:pPr>
              <w:autoSpaceDE w:val="0"/>
              <w:autoSpaceDN w:val="0"/>
              <w:adjustRightInd w:val="0"/>
              <w:spacing w:after="0"/>
              <w:ind w:left="113" w:right="113"/>
              <w:contextualSpacing/>
              <w:jc w:val="center"/>
              <w:rPr>
                <w:rFonts w:cs="Arial"/>
                <w:sz w:val="20"/>
                <w:szCs w:val="20"/>
              </w:rPr>
            </w:pPr>
            <w:r>
              <w:rPr>
                <w:rFonts w:cs="Arial"/>
                <w:sz w:val="20"/>
                <w:szCs w:val="20"/>
              </w:rPr>
              <w:lastRenderedPageBreak/>
              <w:t>Contract</w:t>
            </w:r>
            <w:r w:rsidR="00C0163A">
              <w:rPr>
                <w:rFonts w:cs="Arial"/>
                <w:sz w:val="20"/>
                <w:szCs w:val="20"/>
              </w:rPr>
              <w:t xml:space="preserve"> </w:t>
            </w:r>
            <w:r>
              <w:rPr>
                <w:rFonts w:cs="Arial"/>
                <w:sz w:val="20"/>
                <w:szCs w:val="20"/>
              </w:rPr>
              <w:t>Management</w:t>
            </w:r>
          </w:p>
        </w:tc>
        <w:tc>
          <w:tcPr>
            <w:tcW w:w="1701" w:type="dxa"/>
            <w:shd w:val="clear" w:color="auto" w:fill="auto"/>
          </w:tcPr>
          <w:p w14:paraId="7B749FB2" w14:textId="77777777" w:rsidR="00C0163A" w:rsidRPr="00831CA3" w:rsidRDefault="00C0163A" w:rsidP="00C0163A">
            <w:pPr>
              <w:autoSpaceDE w:val="0"/>
              <w:autoSpaceDN w:val="0"/>
              <w:adjustRightInd w:val="0"/>
              <w:spacing w:after="0"/>
              <w:contextualSpacing/>
              <w:rPr>
                <w:rFonts w:cs="Arial"/>
                <w:b/>
                <w:bCs/>
                <w:sz w:val="20"/>
                <w:szCs w:val="20"/>
              </w:rPr>
            </w:pPr>
          </w:p>
          <w:p w14:paraId="049C9825" w14:textId="77777777" w:rsidR="00C0163A" w:rsidRDefault="00C0163A" w:rsidP="00C0163A">
            <w:pPr>
              <w:jc w:val="center"/>
              <w:rPr>
                <w:rFonts w:cs="Arial"/>
                <w:b/>
                <w:bCs/>
                <w:sz w:val="20"/>
                <w:szCs w:val="20"/>
              </w:rPr>
            </w:pPr>
            <w:r w:rsidRPr="00831CA3">
              <w:rPr>
                <w:rFonts w:cs="Arial"/>
                <w:b/>
                <w:bCs/>
                <w:sz w:val="20"/>
                <w:szCs w:val="20"/>
              </w:rPr>
              <w:t>KPI-</w:t>
            </w:r>
            <w:r w:rsidR="00C94BCA">
              <w:rPr>
                <w:rFonts w:cs="Arial"/>
                <w:b/>
                <w:bCs/>
                <w:sz w:val="20"/>
                <w:szCs w:val="20"/>
              </w:rPr>
              <w:t>3</w:t>
            </w:r>
            <w:r w:rsidRPr="00831CA3">
              <w:rPr>
                <w:rFonts w:cs="Arial"/>
                <w:b/>
                <w:bCs/>
                <w:sz w:val="20"/>
                <w:szCs w:val="20"/>
              </w:rPr>
              <w:t xml:space="preserve"> Health and Safety</w:t>
            </w:r>
          </w:p>
          <w:p w14:paraId="4909B459" w14:textId="49688E2E" w:rsidR="009A55ED" w:rsidRPr="00831CA3" w:rsidRDefault="009A55ED" w:rsidP="009A55ED">
            <w:pPr>
              <w:rPr>
                <w:rFonts w:cs="Arial"/>
                <w:b/>
                <w:bCs/>
                <w:sz w:val="20"/>
                <w:szCs w:val="20"/>
              </w:rPr>
            </w:pPr>
            <w:r>
              <w:rPr>
                <w:rFonts w:cs="Arial"/>
                <w:b/>
                <w:sz w:val="20"/>
                <w:szCs w:val="20"/>
              </w:rPr>
              <w:t xml:space="preserve">Service Credit </w:t>
            </w:r>
            <w:r w:rsidR="000B460F">
              <w:rPr>
                <w:rFonts w:cs="Arial"/>
                <w:b/>
                <w:sz w:val="20"/>
                <w:szCs w:val="20"/>
              </w:rPr>
              <w:t>2</w:t>
            </w:r>
          </w:p>
        </w:tc>
        <w:tc>
          <w:tcPr>
            <w:tcW w:w="3047" w:type="dxa"/>
            <w:shd w:val="clear" w:color="auto" w:fill="auto"/>
          </w:tcPr>
          <w:p w14:paraId="1458911A" w14:textId="1273F16F" w:rsidR="00C0163A" w:rsidRPr="0054440C" w:rsidRDefault="00C0163A" w:rsidP="002932F1">
            <w:pPr>
              <w:autoSpaceDE w:val="0"/>
              <w:autoSpaceDN w:val="0"/>
              <w:adjustRightInd w:val="0"/>
              <w:spacing w:after="0"/>
              <w:contextualSpacing/>
              <w:rPr>
                <w:rFonts w:cs="Arial"/>
                <w:color w:val="000000"/>
                <w:sz w:val="20"/>
                <w:szCs w:val="20"/>
              </w:rPr>
            </w:pPr>
            <w:r w:rsidRPr="0054440C">
              <w:rPr>
                <w:rFonts w:cs="Arial"/>
                <w:color w:val="000000"/>
                <w:sz w:val="20"/>
                <w:szCs w:val="20"/>
              </w:rPr>
              <w:t xml:space="preserve">Ensure that all </w:t>
            </w:r>
            <w:r>
              <w:rPr>
                <w:rFonts w:cs="Arial"/>
                <w:color w:val="000000"/>
                <w:sz w:val="20"/>
                <w:szCs w:val="20"/>
              </w:rPr>
              <w:t>Employees and Subcontractors</w:t>
            </w:r>
            <w:r w:rsidRPr="0054440C">
              <w:rPr>
                <w:rFonts w:cs="Arial"/>
                <w:color w:val="000000"/>
                <w:sz w:val="20"/>
                <w:szCs w:val="20"/>
              </w:rPr>
              <w:t xml:space="preserve"> are aware of their</w:t>
            </w:r>
            <w:r>
              <w:rPr>
                <w:rFonts w:cs="Arial"/>
                <w:color w:val="000000"/>
                <w:sz w:val="20"/>
                <w:szCs w:val="20"/>
              </w:rPr>
              <w:t xml:space="preserve"> health and safety obligations. Contractor to </w:t>
            </w:r>
            <w:r w:rsidR="002932F1">
              <w:rPr>
                <w:rFonts w:cs="Arial"/>
                <w:color w:val="000000" w:themeColor="text1"/>
                <w:sz w:val="20"/>
                <w:szCs w:val="20"/>
              </w:rPr>
              <w:t>follow own CDM</w:t>
            </w:r>
            <w:r w:rsidR="008024E3">
              <w:rPr>
                <w:rFonts w:cs="Arial"/>
                <w:color w:val="000000" w:themeColor="text1"/>
                <w:sz w:val="20"/>
                <w:szCs w:val="20"/>
              </w:rPr>
              <w:t xml:space="preserve"> risk assessments that they have submitted, and to report any CDM issues to the </w:t>
            </w:r>
            <w:r w:rsidR="005435DA">
              <w:rPr>
                <w:rFonts w:cs="Arial"/>
                <w:color w:val="000000" w:themeColor="text1"/>
                <w:sz w:val="20"/>
                <w:szCs w:val="20"/>
              </w:rPr>
              <w:t>principal</w:t>
            </w:r>
            <w:r w:rsidR="008024E3">
              <w:rPr>
                <w:rFonts w:cs="Arial"/>
                <w:color w:val="000000" w:themeColor="text1"/>
                <w:sz w:val="20"/>
                <w:szCs w:val="20"/>
              </w:rPr>
              <w:t xml:space="preserve"> contractor during site work.</w:t>
            </w:r>
          </w:p>
        </w:tc>
        <w:tc>
          <w:tcPr>
            <w:tcW w:w="2906" w:type="dxa"/>
            <w:shd w:val="clear" w:color="auto" w:fill="auto"/>
          </w:tcPr>
          <w:p w14:paraId="6C1D18F1" w14:textId="201E3A7B" w:rsidR="00C0163A" w:rsidRDefault="00C0163A" w:rsidP="00C0163A">
            <w:pPr>
              <w:autoSpaceDE w:val="0"/>
              <w:autoSpaceDN w:val="0"/>
              <w:adjustRightInd w:val="0"/>
              <w:spacing w:after="0"/>
              <w:contextualSpacing/>
              <w:rPr>
                <w:rFonts w:cs="Arial"/>
                <w:sz w:val="20"/>
                <w:szCs w:val="20"/>
              </w:rPr>
            </w:pPr>
            <w:r w:rsidRPr="0054440C">
              <w:rPr>
                <w:rFonts w:cs="Arial"/>
                <w:sz w:val="20"/>
                <w:szCs w:val="20"/>
              </w:rPr>
              <w:t xml:space="preserve">Information relating to any new safety incidents or near misses to be provided in </w:t>
            </w:r>
            <w:r w:rsidR="00C144AB">
              <w:rPr>
                <w:rFonts w:cs="Arial"/>
                <w:sz w:val="20"/>
                <w:szCs w:val="20"/>
              </w:rPr>
              <w:t>contractor meetings</w:t>
            </w:r>
            <w:r w:rsidRPr="0054440C">
              <w:rPr>
                <w:rFonts w:cs="Arial"/>
                <w:sz w:val="20"/>
                <w:szCs w:val="20"/>
              </w:rPr>
              <w:t>.</w:t>
            </w:r>
            <w:r>
              <w:rPr>
                <w:rFonts w:cs="Arial"/>
                <w:sz w:val="20"/>
                <w:szCs w:val="20"/>
              </w:rPr>
              <w:t xml:space="preserve"> </w:t>
            </w:r>
          </w:p>
          <w:p w14:paraId="56C298B4" w14:textId="77777777" w:rsidR="00277B4E" w:rsidRDefault="00277B4E" w:rsidP="00C0163A">
            <w:pPr>
              <w:autoSpaceDE w:val="0"/>
              <w:autoSpaceDN w:val="0"/>
              <w:adjustRightInd w:val="0"/>
              <w:spacing w:after="0"/>
              <w:contextualSpacing/>
              <w:rPr>
                <w:rFonts w:cs="Arial"/>
                <w:sz w:val="20"/>
                <w:szCs w:val="20"/>
              </w:rPr>
            </w:pPr>
          </w:p>
          <w:p w14:paraId="24C352F6" w14:textId="3352C592" w:rsidR="00C0163A" w:rsidRPr="0054440C" w:rsidRDefault="00C0163A" w:rsidP="00C0163A">
            <w:pPr>
              <w:autoSpaceDE w:val="0"/>
              <w:autoSpaceDN w:val="0"/>
              <w:adjustRightInd w:val="0"/>
              <w:spacing w:after="0"/>
              <w:contextualSpacing/>
              <w:rPr>
                <w:rFonts w:cs="Arial"/>
                <w:sz w:val="20"/>
                <w:szCs w:val="20"/>
              </w:rPr>
            </w:pPr>
            <w:r>
              <w:rPr>
                <w:rFonts w:cs="Arial"/>
                <w:sz w:val="20"/>
                <w:szCs w:val="20"/>
              </w:rPr>
              <w:t>H&amp;S certificates remain up to date and valid.</w:t>
            </w:r>
          </w:p>
        </w:tc>
        <w:tc>
          <w:tcPr>
            <w:tcW w:w="2031" w:type="dxa"/>
            <w:shd w:val="clear" w:color="auto" w:fill="FF0000"/>
          </w:tcPr>
          <w:p w14:paraId="28041F7D" w14:textId="77777777" w:rsidR="00C0163A" w:rsidRDefault="00DA6018" w:rsidP="00C0163A">
            <w:pPr>
              <w:autoSpaceDE w:val="0"/>
              <w:autoSpaceDN w:val="0"/>
              <w:adjustRightInd w:val="0"/>
              <w:spacing w:after="0"/>
              <w:contextualSpacing/>
              <w:rPr>
                <w:rFonts w:cs="Arial"/>
                <w:sz w:val="20"/>
                <w:szCs w:val="20"/>
              </w:rPr>
            </w:pPr>
            <w:r>
              <w:rPr>
                <w:rFonts w:cs="Arial"/>
                <w:sz w:val="20"/>
                <w:szCs w:val="20"/>
              </w:rPr>
              <w:t>Environment agency SHEW-COP has not been followed</w:t>
            </w:r>
            <w:r w:rsidR="009A66E7">
              <w:rPr>
                <w:rFonts w:cs="Arial"/>
                <w:sz w:val="20"/>
                <w:szCs w:val="20"/>
              </w:rPr>
              <w:t xml:space="preserve">, risk assessments not followed, or staff lacking the correct qualifications on site. </w:t>
            </w:r>
          </w:p>
          <w:p w14:paraId="388B71F0" w14:textId="77777777" w:rsidR="009A66E7" w:rsidRDefault="009A66E7" w:rsidP="00C0163A">
            <w:pPr>
              <w:autoSpaceDE w:val="0"/>
              <w:autoSpaceDN w:val="0"/>
              <w:adjustRightInd w:val="0"/>
              <w:spacing w:after="0"/>
              <w:contextualSpacing/>
              <w:rPr>
                <w:rFonts w:cs="Arial"/>
                <w:sz w:val="20"/>
                <w:szCs w:val="20"/>
              </w:rPr>
            </w:pPr>
          </w:p>
          <w:p w14:paraId="745269E7" w14:textId="01687A08" w:rsidR="009A66E7" w:rsidRPr="0054440C" w:rsidRDefault="009A66E7" w:rsidP="00C0163A">
            <w:pPr>
              <w:autoSpaceDE w:val="0"/>
              <w:autoSpaceDN w:val="0"/>
              <w:adjustRightInd w:val="0"/>
              <w:spacing w:after="0"/>
              <w:contextualSpacing/>
              <w:rPr>
                <w:rFonts w:cs="Arial"/>
                <w:sz w:val="20"/>
                <w:szCs w:val="20"/>
              </w:rPr>
            </w:pPr>
            <w:r>
              <w:rPr>
                <w:rFonts w:cs="Arial"/>
                <w:sz w:val="20"/>
                <w:szCs w:val="20"/>
              </w:rPr>
              <w:t xml:space="preserve">H+S Incidents not reported during site work. </w:t>
            </w:r>
          </w:p>
        </w:tc>
        <w:tc>
          <w:tcPr>
            <w:tcW w:w="2032" w:type="dxa"/>
            <w:shd w:val="clear" w:color="auto" w:fill="FFC000" w:themeFill="accent4"/>
          </w:tcPr>
          <w:p w14:paraId="18B5A826" w14:textId="7D7B44BA" w:rsidR="00C0163A" w:rsidRDefault="00C0163A" w:rsidP="00C0163A">
            <w:pPr>
              <w:autoSpaceDE w:val="0"/>
              <w:autoSpaceDN w:val="0"/>
              <w:adjustRightInd w:val="0"/>
              <w:spacing w:after="0"/>
              <w:contextualSpacing/>
              <w:rPr>
                <w:rFonts w:cs="Arial"/>
                <w:sz w:val="20"/>
                <w:szCs w:val="20"/>
              </w:rPr>
            </w:pPr>
            <w:r>
              <w:rPr>
                <w:rFonts w:cs="Arial"/>
                <w:sz w:val="20"/>
                <w:szCs w:val="20"/>
              </w:rPr>
              <w:t>NA</w:t>
            </w:r>
          </w:p>
        </w:tc>
        <w:tc>
          <w:tcPr>
            <w:tcW w:w="2032" w:type="dxa"/>
            <w:shd w:val="clear" w:color="auto" w:fill="00B050"/>
          </w:tcPr>
          <w:p w14:paraId="7D087F64" w14:textId="77777777" w:rsidR="00C0163A" w:rsidRPr="0054440C" w:rsidRDefault="00C0163A" w:rsidP="00C0163A">
            <w:pPr>
              <w:autoSpaceDE w:val="0"/>
              <w:autoSpaceDN w:val="0"/>
              <w:adjustRightInd w:val="0"/>
              <w:spacing w:after="0"/>
              <w:contextualSpacing/>
              <w:rPr>
                <w:rFonts w:cs="Arial"/>
                <w:sz w:val="20"/>
                <w:szCs w:val="20"/>
              </w:rPr>
            </w:pPr>
            <w:r w:rsidRPr="0054440C">
              <w:rPr>
                <w:rFonts w:cs="Arial"/>
                <w:sz w:val="20"/>
                <w:szCs w:val="20"/>
              </w:rPr>
              <w:t>Meets</w:t>
            </w:r>
          </w:p>
          <w:p w14:paraId="2DFE0CB1" w14:textId="77777777" w:rsidR="00C0163A" w:rsidRDefault="00C0163A" w:rsidP="00C0163A">
            <w:pPr>
              <w:autoSpaceDE w:val="0"/>
              <w:autoSpaceDN w:val="0"/>
              <w:adjustRightInd w:val="0"/>
              <w:spacing w:after="0"/>
              <w:contextualSpacing/>
              <w:rPr>
                <w:rFonts w:cs="Arial"/>
                <w:sz w:val="20"/>
                <w:szCs w:val="20"/>
              </w:rPr>
            </w:pPr>
            <w:r>
              <w:rPr>
                <w:rFonts w:cs="Arial"/>
                <w:sz w:val="20"/>
                <w:szCs w:val="20"/>
              </w:rPr>
              <w:t>Expectations –</w:t>
            </w:r>
            <w:r w:rsidR="00F42B16">
              <w:rPr>
                <w:rFonts w:cs="Arial"/>
                <w:sz w:val="20"/>
                <w:szCs w:val="20"/>
              </w:rPr>
              <w:t xml:space="preserve">At contractor meetings, </w:t>
            </w:r>
            <w:r w:rsidRPr="05E5AE68">
              <w:rPr>
                <w:rFonts w:cs="Arial"/>
                <w:sz w:val="20"/>
                <w:szCs w:val="20"/>
              </w:rPr>
              <w:t>any</w:t>
            </w:r>
            <w:r>
              <w:rPr>
                <w:rFonts w:cs="Arial"/>
                <w:sz w:val="20"/>
                <w:szCs w:val="20"/>
              </w:rPr>
              <w:t xml:space="preserve"> H&amp;S incidents </w:t>
            </w:r>
            <w:r w:rsidR="009B61F1">
              <w:rPr>
                <w:rFonts w:cs="Arial"/>
                <w:sz w:val="20"/>
                <w:szCs w:val="20"/>
              </w:rPr>
              <w:t xml:space="preserve">regarding project work </w:t>
            </w:r>
            <w:r>
              <w:rPr>
                <w:rFonts w:cs="Arial"/>
                <w:sz w:val="20"/>
                <w:szCs w:val="20"/>
              </w:rPr>
              <w:t>which may have occurred in the previous quarter and all issues are evidenced</w:t>
            </w:r>
            <w:r w:rsidR="00F42B16">
              <w:rPr>
                <w:rFonts w:cs="Arial"/>
                <w:sz w:val="20"/>
                <w:szCs w:val="20"/>
              </w:rPr>
              <w:t>.</w:t>
            </w:r>
          </w:p>
          <w:p w14:paraId="0C007C92" w14:textId="0ECA4EA8" w:rsidR="00582248" w:rsidRPr="0054440C" w:rsidRDefault="00582248" w:rsidP="00C0163A">
            <w:pPr>
              <w:autoSpaceDE w:val="0"/>
              <w:autoSpaceDN w:val="0"/>
              <w:adjustRightInd w:val="0"/>
              <w:spacing w:after="0"/>
              <w:contextualSpacing/>
              <w:rPr>
                <w:rFonts w:cs="Arial"/>
                <w:sz w:val="20"/>
                <w:szCs w:val="20"/>
              </w:rPr>
            </w:pPr>
            <w:r>
              <w:rPr>
                <w:rFonts w:cs="Arial"/>
                <w:sz w:val="20"/>
                <w:szCs w:val="20"/>
              </w:rPr>
              <w:t xml:space="preserve"> SHEW</w:t>
            </w:r>
            <w:r w:rsidR="00F235AA">
              <w:rPr>
                <w:rFonts w:cs="Arial"/>
                <w:sz w:val="20"/>
                <w:szCs w:val="20"/>
              </w:rPr>
              <w:t xml:space="preserve"> COP has been followed, risk assessments are complete and evidenced. </w:t>
            </w:r>
          </w:p>
        </w:tc>
      </w:tr>
      <w:tr w:rsidR="00747D0A" w:rsidRPr="0054440C" w14:paraId="18684922" w14:textId="77777777" w:rsidTr="383F7D73">
        <w:trPr>
          <w:cantSplit/>
          <w:trHeight w:val="1134"/>
        </w:trPr>
        <w:tc>
          <w:tcPr>
            <w:tcW w:w="817" w:type="dxa"/>
            <w:shd w:val="clear" w:color="auto" w:fill="auto"/>
            <w:textDirection w:val="btLr"/>
            <w:vAlign w:val="center"/>
          </w:tcPr>
          <w:p w14:paraId="63ACE419" w14:textId="1FF98001" w:rsidR="00C0163A" w:rsidRPr="0054440C" w:rsidRDefault="00C0163A" w:rsidP="00C0163A">
            <w:pPr>
              <w:autoSpaceDE w:val="0"/>
              <w:autoSpaceDN w:val="0"/>
              <w:adjustRightInd w:val="0"/>
              <w:spacing w:after="0"/>
              <w:ind w:left="113" w:right="113"/>
              <w:contextualSpacing/>
              <w:jc w:val="center"/>
              <w:rPr>
                <w:rFonts w:cs="Arial"/>
                <w:sz w:val="20"/>
                <w:szCs w:val="20"/>
              </w:rPr>
            </w:pPr>
            <w:r>
              <w:rPr>
                <w:rFonts w:cs="Arial"/>
                <w:sz w:val="20"/>
                <w:szCs w:val="20"/>
              </w:rPr>
              <w:t>Sustainability</w:t>
            </w:r>
          </w:p>
        </w:tc>
        <w:tc>
          <w:tcPr>
            <w:tcW w:w="1701" w:type="dxa"/>
            <w:shd w:val="clear" w:color="auto" w:fill="auto"/>
          </w:tcPr>
          <w:p w14:paraId="575E6A41" w14:textId="77777777" w:rsidR="00C0163A" w:rsidRDefault="00C0163A" w:rsidP="00C0163A">
            <w:pPr>
              <w:autoSpaceDE w:val="0"/>
              <w:autoSpaceDN w:val="0"/>
              <w:adjustRightInd w:val="0"/>
              <w:spacing w:after="0"/>
              <w:contextualSpacing/>
              <w:rPr>
                <w:rFonts w:cs="Arial"/>
                <w:b/>
                <w:sz w:val="20"/>
                <w:szCs w:val="20"/>
              </w:rPr>
            </w:pPr>
            <w:r>
              <w:rPr>
                <w:rFonts w:cs="Arial"/>
                <w:b/>
                <w:sz w:val="20"/>
                <w:szCs w:val="20"/>
              </w:rPr>
              <w:t>KPI</w:t>
            </w:r>
            <w:r w:rsidR="000B0AB9">
              <w:rPr>
                <w:rFonts w:cs="Arial"/>
                <w:b/>
                <w:sz w:val="20"/>
                <w:szCs w:val="20"/>
              </w:rPr>
              <w:t>-</w:t>
            </w:r>
            <w:r>
              <w:rPr>
                <w:rFonts w:cs="Arial"/>
                <w:b/>
                <w:sz w:val="20"/>
                <w:szCs w:val="20"/>
              </w:rPr>
              <w:t>4 Net Zero</w:t>
            </w:r>
            <w:r w:rsidR="007D6AC6">
              <w:rPr>
                <w:rFonts w:cs="Arial"/>
                <w:b/>
                <w:sz w:val="20"/>
                <w:szCs w:val="20"/>
              </w:rPr>
              <w:t xml:space="preserve">, Sustainability, </w:t>
            </w:r>
            <w:r>
              <w:rPr>
                <w:rFonts w:cs="Arial"/>
                <w:b/>
                <w:sz w:val="20"/>
                <w:szCs w:val="20"/>
              </w:rPr>
              <w:t>and Carbon neutrality</w:t>
            </w:r>
          </w:p>
          <w:p w14:paraId="30EC5FA2" w14:textId="77777777" w:rsidR="006B3CFB" w:rsidRDefault="006B3CFB" w:rsidP="00C0163A">
            <w:pPr>
              <w:autoSpaceDE w:val="0"/>
              <w:autoSpaceDN w:val="0"/>
              <w:adjustRightInd w:val="0"/>
              <w:spacing w:after="0"/>
              <w:contextualSpacing/>
              <w:rPr>
                <w:rFonts w:cs="Arial"/>
                <w:b/>
                <w:sz w:val="20"/>
                <w:szCs w:val="20"/>
              </w:rPr>
            </w:pPr>
          </w:p>
          <w:p w14:paraId="7AB7875E" w14:textId="51488F31" w:rsidR="006B3CFB" w:rsidRPr="003B1FDC" w:rsidRDefault="006B3CFB" w:rsidP="00C0163A">
            <w:pPr>
              <w:autoSpaceDE w:val="0"/>
              <w:autoSpaceDN w:val="0"/>
              <w:adjustRightInd w:val="0"/>
              <w:spacing w:after="0"/>
              <w:contextualSpacing/>
              <w:rPr>
                <w:rFonts w:cs="Arial"/>
                <w:b/>
                <w:sz w:val="20"/>
                <w:szCs w:val="20"/>
              </w:rPr>
            </w:pPr>
            <w:r>
              <w:rPr>
                <w:rFonts w:cs="Arial"/>
                <w:b/>
                <w:sz w:val="20"/>
                <w:szCs w:val="20"/>
              </w:rPr>
              <w:t>Service Credit 3</w:t>
            </w:r>
          </w:p>
        </w:tc>
        <w:tc>
          <w:tcPr>
            <w:tcW w:w="3047" w:type="dxa"/>
            <w:shd w:val="clear" w:color="auto" w:fill="auto"/>
          </w:tcPr>
          <w:p w14:paraId="6DD11DC0" w14:textId="13219759" w:rsidR="00C0163A" w:rsidRPr="0054440C" w:rsidRDefault="001C6761" w:rsidP="00C0163A">
            <w:pPr>
              <w:autoSpaceDE w:val="0"/>
              <w:autoSpaceDN w:val="0"/>
              <w:adjustRightInd w:val="0"/>
              <w:spacing w:after="0"/>
              <w:contextualSpacing/>
              <w:rPr>
                <w:rFonts w:cs="Arial"/>
                <w:color w:val="000000"/>
                <w:sz w:val="20"/>
                <w:szCs w:val="20"/>
              </w:rPr>
            </w:pPr>
            <w:r w:rsidRPr="383F7D73">
              <w:rPr>
                <w:rFonts w:cs="Arial"/>
                <w:color w:val="000000" w:themeColor="text1"/>
                <w:sz w:val="20"/>
                <w:szCs w:val="20"/>
              </w:rPr>
              <w:t>Contractor to maintain sustainability</w:t>
            </w:r>
            <w:r w:rsidR="00C0163A" w:rsidRPr="383F7D73">
              <w:rPr>
                <w:rFonts w:cs="Arial"/>
                <w:color w:val="000000" w:themeColor="text1"/>
                <w:sz w:val="20"/>
                <w:szCs w:val="20"/>
              </w:rPr>
              <w:t xml:space="preserve"> reporting sheets</w:t>
            </w:r>
            <w:r w:rsidR="00553A79" w:rsidRPr="383F7D73">
              <w:rPr>
                <w:rFonts w:cs="Arial"/>
                <w:color w:val="000000" w:themeColor="text1"/>
                <w:sz w:val="20"/>
                <w:szCs w:val="20"/>
              </w:rPr>
              <w:t xml:space="preserve">. </w:t>
            </w:r>
            <w:r w:rsidR="003F10FF" w:rsidRPr="383F7D73">
              <w:rPr>
                <w:rFonts w:cs="Arial"/>
                <w:color w:val="000000" w:themeColor="text1"/>
                <w:sz w:val="20"/>
                <w:szCs w:val="20"/>
              </w:rPr>
              <w:t>Sustainability to be an</w:t>
            </w:r>
            <w:r w:rsidR="00553A79" w:rsidRPr="383F7D73">
              <w:rPr>
                <w:rFonts w:cs="Arial"/>
                <w:color w:val="000000" w:themeColor="text1"/>
                <w:sz w:val="20"/>
                <w:szCs w:val="20"/>
              </w:rPr>
              <w:t xml:space="preserve"> agenda item on </w:t>
            </w:r>
            <w:r w:rsidR="786B5245" w:rsidRPr="383F7D73">
              <w:rPr>
                <w:rFonts w:cs="Arial"/>
                <w:color w:val="000000" w:themeColor="text1"/>
                <w:sz w:val="20"/>
                <w:szCs w:val="20"/>
              </w:rPr>
              <w:t xml:space="preserve">authority/contractor </w:t>
            </w:r>
            <w:r w:rsidR="000B0AB9" w:rsidRPr="383F7D73">
              <w:rPr>
                <w:rFonts w:cs="Arial"/>
                <w:color w:val="000000" w:themeColor="text1"/>
                <w:sz w:val="20"/>
                <w:szCs w:val="20"/>
              </w:rPr>
              <w:t xml:space="preserve">meetings </w:t>
            </w:r>
            <w:r w:rsidR="003F10FF" w:rsidRPr="383F7D73">
              <w:rPr>
                <w:rFonts w:cs="Arial"/>
                <w:color w:val="000000" w:themeColor="text1"/>
                <w:sz w:val="20"/>
                <w:szCs w:val="20"/>
              </w:rPr>
              <w:t xml:space="preserve">for sharing of </w:t>
            </w:r>
            <w:r w:rsidR="00F00063" w:rsidRPr="383F7D73">
              <w:rPr>
                <w:rFonts w:cs="Arial"/>
                <w:color w:val="000000" w:themeColor="text1"/>
                <w:sz w:val="20"/>
                <w:szCs w:val="20"/>
              </w:rPr>
              <w:t xml:space="preserve">experiences and innovation. </w:t>
            </w:r>
          </w:p>
        </w:tc>
        <w:tc>
          <w:tcPr>
            <w:tcW w:w="2906" w:type="dxa"/>
            <w:shd w:val="clear" w:color="auto" w:fill="auto"/>
          </w:tcPr>
          <w:p w14:paraId="0A6F51A7" w14:textId="60CE8FB1" w:rsidR="00C0163A" w:rsidRPr="0054440C" w:rsidRDefault="00C0163A" w:rsidP="00C0163A">
            <w:pPr>
              <w:autoSpaceDE w:val="0"/>
              <w:autoSpaceDN w:val="0"/>
              <w:adjustRightInd w:val="0"/>
              <w:spacing w:after="0"/>
              <w:contextualSpacing/>
              <w:rPr>
                <w:rFonts w:cs="Arial"/>
                <w:sz w:val="20"/>
                <w:szCs w:val="20"/>
              </w:rPr>
            </w:pPr>
            <w:r>
              <w:rPr>
                <w:rFonts w:cs="Arial"/>
                <w:sz w:val="20"/>
                <w:szCs w:val="20"/>
              </w:rPr>
              <w:t xml:space="preserve">Reporting sheets </w:t>
            </w:r>
            <w:r w:rsidR="003F10FF">
              <w:rPr>
                <w:rFonts w:cs="Arial"/>
                <w:sz w:val="20"/>
                <w:szCs w:val="20"/>
              </w:rPr>
              <w:t>completed annually</w:t>
            </w:r>
            <w:r w:rsidR="00F00063">
              <w:rPr>
                <w:rFonts w:cs="Arial"/>
                <w:sz w:val="20"/>
                <w:szCs w:val="20"/>
              </w:rPr>
              <w:t xml:space="preserve"> and submitted to the </w:t>
            </w:r>
            <w:r w:rsidR="0BCDF13F" w:rsidRPr="05E5AE68">
              <w:rPr>
                <w:rFonts w:cs="Arial"/>
                <w:sz w:val="20"/>
                <w:szCs w:val="20"/>
              </w:rPr>
              <w:t>Authority</w:t>
            </w:r>
            <w:r w:rsidR="17A9CFD9" w:rsidRPr="07C6A78E">
              <w:rPr>
                <w:rFonts w:cs="Arial"/>
                <w:sz w:val="20"/>
                <w:szCs w:val="20"/>
              </w:rPr>
              <w:t>.</w:t>
            </w:r>
          </w:p>
        </w:tc>
        <w:tc>
          <w:tcPr>
            <w:tcW w:w="2031" w:type="dxa"/>
            <w:shd w:val="clear" w:color="auto" w:fill="FF0000"/>
          </w:tcPr>
          <w:p w14:paraId="6B9C33BB" w14:textId="481AE922" w:rsidR="00C0163A" w:rsidRPr="0054440C" w:rsidRDefault="00BE50C6" w:rsidP="00C0163A">
            <w:pPr>
              <w:autoSpaceDE w:val="0"/>
              <w:autoSpaceDN w:val="0"/>
              <w:adjustRightInd w:val="0"/>
              <w:spacing w:after="0"/>
              <w:contextualSpacing/>
              <w:rPr>
                <w:rFonts w:cs="Arial"/>
                <w:sz w:val="20"/>
                <w:szCs w:val="20"/>
              </w:rPr>
            </w:pPr>
            <w:r>
              <w:rPr>
                <w:rFonts w:cs="Arial"/>
                <w:sz w:val="20"/>
                <w:szCs w:val="20"/>
              </w:rPr>
              <w:t>Does not meet expectations - Reporting not completed</w:t>
            </w:r>
          </w:p>
        </w:tc>
        <w:tc>
          <w:tcPr>
            <w:tcW w:w="2032" w:type="dxa"/>
            <w:shd w:val="clear" w:color="auto" w:fill="FFC000" w:themeFill="accent4"/>
          </w:tcPr>
          <w:p w14:paraId="62797262" w14:textId="77777777" w:rsidR="00C0163A" w:rsidRDefault="00C0163A" w:rsidP="00C0163A">
            <w:pPr>
              <w:autoSpaceDE w:val="0"/>
              <w:autoSpaceDN w:val="0"/>
              <w:adjustRightInd w:val="0"/>
              <w:spacing w:after="0"/>
              <w:contextualSpacing/>
              <w:rPr>
                <w:rFonts w:cs="Arial"/>
                <w:sz w:val="20"/>
                <w:szCs w:val="20"/>
              </w:rPr>
            </w:pPr>
          </w:p>
        </w:tc>
        <w:tc>
          <w:tcPr>
            <w:tcW w:w="2032" w:type="dxa"/>
            <w:shd w:val="clear" w:color="auto" w:fill="00B050"/>
          </w:tcPr>
          <w:p w14:paraId="682617B4" w14:textId="764ABC55" w:rsidR="00C0163A" w:rsidRPr="0054440C" w:rsidRDefault="00BE50C6" w:rsidP="00C0163A">
            <w:pPr>
              <w:autoSpaceDE w:val="0"/>
              <w:autoSpaceDN w:val="0"/>
              <w:adjustRightInd w:val="0"/>
              <w:spacing w:after="0"/>
              <w:contextualSpacing/>
              <w:rPr>
                <w:rFonts w:cs="Arial"/>
                <w:sz w:val="20"/>
                <w:szCs w:val="20"/>
              </w:rPr>
            </w:pPr>
            <w:r>
              <w:rPr>
                <w:rFonts w:cs="Arial"/>
                <w:sz w:val="20"/>
                <w:szCs w:val="20"/>
              </w:rPr>
              <w:t>Reporting completed on schedule.</w:t>
            </w:r>
          </w:p>
        </w:tc>
      </w:tr>
    </w:tbl>
    <w:p w14:paraId="455C0AFC" w14:textId="77777777" w:rsidR="00D9721F" w:rsidRDefault="00D9721F" w:rsidP="005B1356">
      <w:pPr>
        <w:sectPr w:rsidR="00D9721F" w:rsidSect="00533E1B">
          <w:pgSz w:w="16838" w:h="11906" w:orient="landscape"/>
          <w:pgMar w:top="1440" w:right="1440" w:bottom="1440" w:left="1440" w:header="708" w:footer="708" w:gutter="0"/>
          <w:cols w:space="708"/>
          <w:docGrid w:linePitch="360"/>
        </w:sectPr>
      </w:pPr>
    </w:p>
    <w:p w14:paraId="2E181DC1" w14:textId="372AFAE4" w:rsidR="00BB0300" w:rsidRPr="00DC71E5" w:rsidRDefault="007B4DB4" w:rsidP="00E60F9C">
      <w:pPr>
        <w:pStyle w:val="Heading2"/>
        <w:rPr>
          <w:color w:val="000000"/>
          <w:sz w:val="22"/>
          <w:szCs w:val="22"/>
        </w:rPr>
      </w:pPr>
      <w:r w:rsidRPr="00DC71E5">
        <w:rPr>
          <w:sz w:val="22"/>
          <w:szCs w:val="22"/>
        </w:rPr>
        <w:lastRenderedPageBreak/>
        <w:t xml:space="preserve">The Contractor shall detail performance against </w:t>
      </w:r>
      <w:r w:rsidR="007E0427" w:rsidRPr="00DC71E5">
        <w:rPr>
          <w:sz w:val="22"/>
          <w:szCs w:val="22"/>
        </w:rPr>
        <w:t>KPI’s outlined</w:t>
      </w:r>
      <w:r w:rsidR="0096481C" w:rsidRPr="00DC71E5">
        <w:rPr>
          <w:sz w:val="22"/>
          <w:szCs w:val="22"/>
        </w:rPr>
        <w:t xml:space="preserve"> in </w:t>
      </w:r>
      <w:r w:rsidR="0096481C" w:rsidRPr="00DC71E5">
        <w:rPr>
          <w:sz w:val="22"/>
          <w:szCs w:val="22"/>
        </w:rPr>
        <w:fldChar w:fldCharType="begin"/>
      </w:r>
      <w:r w:rsidR="0096481C" w:rsidRPr="00DC71E5">
        <w:rPr>
          <w:rFonts w:cstheme="majorHAnsi"/>
          <w:sz w:val="22"/>
          <w:szCs w:val="22"/>
        </w:rPr>
        <w:instrText xml:space="preserve"> REF _Ref122101230 \h </w:instrText>
      </w:r>
      <w:r w:rsidR="007B4703" w:rsidRPr="00DC71E5">
        <w:rPr>
          <w:rFonts w:cstheme="majorHAnsi"/>
          <w:sz w:val="22"/>
          <w:szCs w:val="22"/>
        </w:rPr>
        <w:instrText xml:space="preserve"> \* MERGEFORMAT </w:instrText>
      </w:r>
      <w:r w:rsidR="0096481C" w:rsidRPr="00DC71E5">
        <w:rPr>
          <w:sz w:val="22"/>
          <w:szCs w:val="22"/>
        </w:rPr>
      </w:r>
      <w:r w:rsidR="0096481C" w:rsidRPr="00DC71E5">
        <w:rPr>
          <w:sz w:val="22"/>
          <w:szCs w:val="22"/>
        </w:rPr>
        <w:fldChar w:fldCharType="separate"/>
      </w:r>
      <w:r w:rsidR="003F221C" w:rsidRPr="003F221C">
        <w:rPr>
          <w:sz w:val="22"/>
          <w:szCs w:val="22"/>
        </w:rPr>
        <w:t xml:space="preserve">Table </w:t>
      </w:r>
      <w:r w:rsidR="003F221C" w:rsidRPr="003F221C">
        <w:rPr>
          <w:noProof/>
          <w:sz w:val="22"/>
          <w:szCs w:val="22"/>
        </w:rPr>
        <w:t>3</w:t>
      </w:r>
      <w:r w:rsidR="003F221C" w:rsidRPr="003F221C">
        <w:rPr>
          <w:sz w:val="22"/>
          <w:szCs w:val="22"/>
        </w:rPr>
        <w:t xml:space="preserve"> - Key Performance Indicators</w:t>
      </w:r>
      <w:r w:rsidR="0096481C" w:rsidRPr="00DC71E5">
        <w:rPr>
          <w:sz w:val="22"/>
          <w:szCs w:val="22"/>
        </w:rPr>
        <w:fldChar w:fldCharType="end"/>
      </w:r>
      <w:r w:rsidR="0096481C" w:rsidRPr="00DC71E5">
        <w:rPr>
          <w:sz w:val="22"/>
          <w:szCs w:val="22"/>
        </w:rPr>
        <w:t xml:space="preserve"> </w:t>
      </w:r>
      <w:r w:rsidR="009E6821" w:rsidRPr="00DC71E5">
        <w:rPr>
          <w:sz w:val="22"/>
          <w:szCs w:val="22"/>
        </w:rPr>
        <w:t>during Contract meetings, and if required as part of the Issues logs.</w:t>
      </w:r>
    </w:p>
    <w:p w14:paraId="16153E75" w14:textId="1C05BF6A" w:rsidR="007B4DB4" w:rsidRPr="00DC71E5" w:rsidRDefault="007B4DB4" w:rsidP="0025718C">
      <w:pPr>
        <w:pStyle w:val="Heading2"/>
        <w:rPr>
          <w:color w:val="000000"/>
          <w:sz w:val="22"/>
          <w:szCs w:val="22"/>
        </w:rPr>
      </w:pPr>
      <w:r w:rsidRPr="00DC71E5">
        <w:rPr>
          <w:sz w:val="22"/>
          <w:szCs w:val="22"/>
        </w:rPr>
        <w:t>KPI’s shall be monitored on a regular basis and shall form part of the contract performance review. Performance of KPI’s will be reported quarterly and annually.</w:t>
      </w:r>
    </w:p>
    <w:p w14:paraId="3AD93B0B" w14:textId="46F2CE13" w:rsidR="007B4DB4" w:rsidRPr="00DC71E5" w:rsidRDefault="007B4DB4" w:rsidP="0025718C">
      <w:pPr>
        <w:pStyle w:val="Heading2"/>
        <w:rPr>
          <w:rFonts w:cstheme="majorHAnsi"/>
          <w:color w:val="000000"/>
          <w:sz w:val="22"/>
          <w:szCs w:val="22"/>
        </w:rPr>
      </w:pPr>
      <w:r w:rsidRPr="00DC71E5">
        <w:rPr>
          <w:color w:val="000000"/>
          <w:sz w:val="22"/>
          <w:szCs w:val="22"/>
        </w:rPr>
        <w:t>Any performance issues highlighted in these reports will be addressed by the Contractor, who shall be required to provide an improvement plan (“Remediation Plan”) to address all issues highlighted withi</w:t>
      </w:r>
      <w:r w:rsidRPr="00DC71E5">
        <w:rPr>
          <w:rFonts w:cstheme="majorHAnsi"/>
          <w:color w:val="000000"/>
          <w:sz w:val="22"/>
          <w:szCs w:val="22"/>
        </w:rPr>
        <w:t xml:space="preserve">n a week of the </w:t>
      </w:r>
      <w:r w:rsidR="00077E38" w:rsidRPr="00DC71E5">
        <w:rPr>
          <w:rFonts w:cstheme="majorHAnsi"/>
          <w:color w:val="000000"/>
          <w:sz w:val="22"/>
          <w:szCs w:val="22"/>
        </w:rPr>
        <w:t>Authority</w:t>
      </w:r>
      <w:r w:rsidRPr="00DC71E5">
        <w:rPr>
          <w:rFonts w:cstheme="majorHAnsi"/>
          <w:color w:val="000000"/>
          <w:sz w:val="22"/>
          <w:szCs w:val="22"/>
        </w:rPr>
        <w:t xml:space="preserve"> request.</w:t>
      </w:r>
    </w:p>
    <w:p w14:paraId="3ABAEFBC" w14:textId="6BD87B54" w:rsidR="007B4DB4" w:rsidRPr="00DC71E5" w:rsidRDefault="007B4DB4" w:rsidP="0025718C">
      <w:pPr>
        <w:pStyle w:val="Heading2"/>
        <w:rPr>
          <w:rFonts w:cstheme="majorHAnsi"/>
          <w:color w:val="000000"/>
          <w:sz w:val="22"/>
          <w:szCs w:val="22"/>
        </w:rPr>
      </w:pPr>
      <w:r w:rsidRPr="00DC71E5">
        <w:rPr>
          <w:color w:val="000000"/>
          <w:sz w:val="22"/>
          <w:szCs w:val="22"/>
        </w:rPr>
        <w:t xml:space="preserve">Performance failure by the Contractor may result in administrative costs to the </w:t>
      </w:r>
      <w:r w:rsidR="00077E38" w:rsidRPr="00DC71E5">
        <w:rPr>
          <w:rFonts w:cstheme="majorHAnsi"/>
          <w:color w:val="000000"/>
          <w:sz w:val="22"/>
          <w:szCs w:val="22"/>
        </w:rPr>
        <w:t>Authority</w:t>
      </w:r>
      <w:r w:rsidRPr="00DC71E5">
        <w:rPr>
          <w:rFonts w:cstheme="majorHAnsi"/>
          <w:color w:val="000000"/>
          <w:sz w:val="22"/>
          <w:szCs w:val="22"/>
        </w:rPr>
        <w:t>. Where failure attributable to the Contractor is identified in the Performance Management report and relates to the KPI’s then the service credit regime shall apply.</w:t>
      </w:r>
    </w:p>
    <w:p w14:paraId="308BD7DD" w14:textId="6B0029D8" w:rsidR="007B4DB4" w:rsidRPr="00DC71E5" w:rsidRDefault="007B4DB4" w:rsidP="0025718C">
      <w:pPr>
        <w:pStyle w:val="Heading2"/>
        <w:rPr>
          <w:rFonts w:cstheme="majorHAnsi"/>
          <w:color w:val="000000"/>
          <w:sz w:val="22"/>
          <w:szCs w:val="22"/>
        </w:rPr>
      </w:pPr>
      <w:r w:rsidRPr="00DC71E5">
        <w:rPr>
          <w:color w:val="000000"/>
          <w:sz w:val="22"/>
          <w:szCs w:val="22"/>
        </w:rPr>
        <w:t xml:space="preserve">Key Performance Indicators (KPIs) are essential in order to align Contractor’s </w:t>
      </w:r>
      <w:r w:rsidRPr="00DC71E5">
        <w:rPr>
          <w:rFonts w:cstheme="majorHAnsi"/>
          <w:color w:val="000000"/>
          <w:sz w:val="22"/>
          <w:szCs w:val="22"/>
        </w:rPr>
        <w:t xml:space="preserve">performance with the requirements of the </w:t>
      </w:r>
      <w:r w:rsidR="00077E38" w:rsidRPr="00DC71E5">
        <w:rPr>
          <w:rFonts w:cstheme="majorHAnsi"/>
          <w:color w:val="000000"/>
          <w:sz w:val="22"/>
          <w:szCs w:val="22"/>
        </w:rPr>
        <w:t xml:space="preserve">Authority </w:t>
      </w:r>
      <w:r w:rsidRPr="00DC71E5">
        <w:rPr>
          <w:rFonts w:cstheme="majorHAnsi"/>
          <w:color w:val="000000"/>
          <w:sz w:val="22"/>
          <w:szCs w:val="22"/>
        </w:rPr>
        <w:t xml:space="preserve">and to do so in a fair and practical way. KPIs have to be realistic and achievable; they also have to be </w:t>
      </w:r>
      <w:r w:rsidR="00D36F4C" w:rsidRPr="00DC71E5">
        <w:rPr>
          <w:rFonts w:cstheme="majorHAnsi"/>
          <w:color w:val="000000"/>
          <w:sz w:val="22"/>
          <w:szCs w:val="22"/>
        </w:rPr>
        <w:t>m</w:t>
      </w:r>
      <w:r w:rsidRPr="00DC71E5">
        <w:rPr>
          <w:rFonts w:cstheme="majorHAnsi"/>
          <w:color w:val="000000"/>
          <w:sz w:val="22"/>
          <w:szCs w:val="22"/>
        </w:rPr>
        <w:t>et otherwise indicating that the service is failing to deliver. Without the use of service credits in such a situation, this service failure places strain on the relationship as delivery falls short of agreed levels. As a result, the only recourse would be to terminate and seek alternative supply.</w:t>
      </w:r>
    </w:p>
    <w:p w14:paraId="7FE50795" w14:textId="005225B4" w:rsidR="007B4DB4" w:rsidRPr="00DC71E5" w:rsidRDefault="007B4DB4" w:rsidP="0025718C">
      <w:pPr>
        <w:pStyle w:val="Heading2"/>
        <w:rPr>
          <w:rFonts w:cstheme="majorHAnsi"/>
          <w:color w:val="000000"/>
          <w:sz w:val="22"/>
          <w:szCs w:val="22"/>
        </w:rPr>
      </w:pPr>
      <w:r w:rsidRPr="00DC71E5">
        <w:rPr>
          <w:color w:val="000000"/>
          <w:sz w:val="22"/>
          <w:szCs w:val="22"/>
        </w:rPr>
        <w:t>The use of a strong service credit regime accompanied by a proactive approach to correcting failures and</w:t>
      </w:r>
      <w:r w:rsidRPr="00DC71E5">
        <w:rPr>
          <w:rFonts w:cstheme="majorHAnsi"/>
          <w:color w:val="000000"/>
          <w:sz w:val="22"/>
          <w:szCs w:val="22"/>
        </w:rPr>
        <w:t xml:space="preserve"> addressing their cause improves the relationship and enables a partnership rather than a confrontational style of working. Its focus is on managing and improving service. It is NOT about taking cost out of the service to the </w:t>
      </w:r>
      <w:r w:rsidR="00077E38" w:rsidRPr="00DC71E5">
        <w:rPr>
          <w:rFonts w:cstheme="majorHAnsi"/>
          <w:color w:val="000000"/>
          <w:sz w:val="22"/>
          <w:szCs w:val="22"/>
        </w:rPr>
        <w:t>Authority</w:t>
      </w:r>
      <w:r w:rsidRPr="00DC71E5">
        <w:rPr>
          <w:rFonts w:cstheme="majorHAnsi"/>
          <w:color w:val="000000"/>
          <w:sz w:val="22"/>
          <w:szCs w:val="22"/>
        </w:rPr>
        <w:t>.</w:t>
      </w:r>
    </w:p>
    <w:p w14:paraId="424FF482" w14:textId="77777777" w:rsidR="007B4DB4" w:rsidRDefault="007B4DB4" w:rsidP="0025718C">
      <w:pPr>
        <w:pStyle w:val="Heading2"/>
        <w:numPr>
          <w:ilvl w:val="0"/>
          <w:numId w:val="0"/>
        </w:numPr>
        <w:ind w:left="1854"/>
        <w:rPr>
          <w:color w:val="000000"/>
        </w:rPr>
      </w:pPr>
    </w:p>
    <w:p w14:paraId="0E86FF38" w14:textId="530C9E10" w:rsidR="007F614B" w:rsidRPr="007F614B" w:rsidRDefault="007F614B" w:rsidP="00BB0300">
      <w:pPr>
        <w:pStyle w:val="Heading2"/>
        <w:rPr>
          <w:rFonts w:cstheme="majorHAnsi"/>
          <w:color w:val="000000"/>
          <w:sz w:val="22"/>
          <w:szCs w:val="22"/>
        </w:rPr>
      </w:pPr>
      <w:r w:rsidRPr="007F614B">
        <w:rPr>
          <w:color w:val="000000"/>
        </w:rPr>
        <w:t>Service Credits</w:t>
      </w:r>
    </w:p>
    <w:p w14:paraId="6BF9CCBA" w14:textId="77777777" w:rsidR="007F614B" w:rsidRPr="007F614B" w:rsidRDefault="007F614B" w:rsidP="0025718C">
      <w:pPr>
        <w:pStyle w:val="Heading3"/>
        <w:rPr>
          <w:rFonts w:cstheme="majorHAnsi"/>
          <w:color w:val="000000"/>
          <w:sz w:val="22"/>
          <w:szCs w:val="22"/>
        </w:rPr>
      </w:pPr>
      <w:r w:rsidRPr="007F614B">
        <w:t>Th</w:t>
      </w:r>
      <w:r w:rsidRPr="007F614B">
        <w:rPr>
          <w:rFonts w:cstheme="majorHAnsi"/>
          <w:color w:val="000000"/>
          <w:sz w:val="22"/>
          <w:szCs w:val="22"/>
        </w:rPr>
        <w:t>e use of Service Credits is governed by the following principles:</w:t>
      </w:r>
    </w:p>
    <w:p w14:paraId="36A4E1C9" w14:textId="77777777" w:rsidR="00BB0300" w:rsidRDefault="00BB0300" w:rsidP="00BB0300">
      <w:pPr>
        <w:pStyle w:val="Heading3"/>
        <w:numPr>
          <w:ilvl w:val="0"/>
          <w:numId w:val="0"/>
        </w:numPr>
        <w:ind w:left="1800"/>
      </w:pPr>
    </w:p>
    <w:p w14:paraId="692FDD0D" w14:textId="179B29F2" w:rsidR="007F614B" w:rsidRPr="007F614B" w:rsidRDefault="007F614B" w:rsidP="007E46C1">
      <w:pPr>
        <w:pStyle w:val="Heading3"/>
        <w:numPr>
          <w:ilvl w:val="0"/>
          <w:numId w:val="0"/>
        </w:numPr>
        <w:ind w:left="1800"/>
        <w:rPr>
          <w:rFonts w:cstheme="majorHAnsi"/>
          <w:color w:val="000000"/>
          <w:sz w:val="22"/>
          <w:szCs w:val="22"/>
        </w:rPr>
      </w:pPr>
      <w:r w:rsidRPr="007F614B">
        <w:t xml:space="preserve">· Service Credits sit within the wider service management approach being pursued by the Contractor and the </w:t>
      </w:r>
      <w:r w:rsidR="00077E38">
        <w:rPr>
          <w:rFonts w:cstheme="majorHAnsi"/>
          <w:color w:val="000000"/>
          <w:sz w:val="22"/>
          <w:szCs w:val="22"/>
        </w:rPr>
        <w:t>Authority</w:t>
      </w:r>
      <w:r w:rsidRPr="007F614B">
        <w:rPr>
          <w:rFonts w:cstheme="majorHAnsi"/>
          <w:color w:val="000000"/>
          <w:sz w:val="22"/>
          <w:szCs w:val="22"/>
        </w:rPr>
        <w:t xml:space="preserve">. The use of Service Credits does not prejudice the </w:t>
      </w:r>
      <w:r w:rsidR="00077E38">
        <w:rPr>
          <w:rFonts w:cstheme="majorHAnsi"/>
          <w:color w:val="000000"/>
          <w:sz w:val="22"/>
          <w:szCs w:val="22"/>
        </w:rPr>
        <w:t>Authority</w:t>
      </w:r>
      <w:r w:rsidRPr="007F614B">
        <w:rPr>
          <w:rFonts w:cstheme="majorHAnsi"/>
          <w:color w:val="000000"/>
          <w:sz w:val="22"/>
          <w:szCs w:val="22"/>
        </w:rPr>
        <w:t>’s rights under appropriate clauses of the contract in the event of inadequate performance by the Contractor.</w:t>
      </w:r>
    </w:p>
    <w:p w14:paraId="6C4021B3" w14:textId="21867D38" w:rsidR="007F614B" w:rsidRPr="007F614B" w:rsidRDefault="007F614B" w:rsidP="007E46C1">
      <w:pPr>
        <w:pStyle w:val="Heading3"/>
        <w:numPr>
          <w:ilvl w:val="0"/>
          <w:numId w:val="51"/>
        </w:numPr>
        <w:rPr>
          <w:rFonts w:cstheme="majorHAnsi"/>
          <w:color w:val="000000"/>
          <w:sz w:val="22"/>
          <w:szCs w:val="22"/>
        </w:rPr>
      </w:pPr>
      <w:r w:rsidRPr="007F614B">
        <w:t xml:space="preserve">The Service Credit regime </w:t>
      </w:r>
      <w:r w:rsidRPr="007F614B">
        <w:rPr>
          <w:rFonts w:cstheme="majorHAnsi"/>
          <w:color w:val="000000"/>
          <w:sz w:val="22"/>
          <w:szCs w:val="22"/>
        </w:rPr>
        <w:t>would be instigated on each occasion where there is a service failure (i.e. where a KPI is identified as having a ‘Red’ status). This would also give rise to a remediation plan.</w:t>
      </w:r>
    </w:p>
    <w:p w14:paraId="7359B208" w14:textId="3F7E9DAB" w:rsidR="007F614B" w:rsidRPr="007F614B" w:rsidRDefault="007F614B" w:rsidP="007E46C1">
      <w:pPr>
        <w:pStyle w:val="Heading3"/>
        <w:numPr>
          <w:ilvl w:val="0"/>
          <w:numId w:val="51"/>
        </w:numPr>
        <w:rPr>
          <w:rFonts w:cstheme="majorHAnsi"/>
          <w:color w:val="000000"/>
          <w:sz w:val="22"/>
          <w:szCs w:val="22"/>
        </w:rPr>
      </w:pPr>
      <w:r w:rsidRPr="007F614B">
        <w:t xml:space="preserve">The </w:t>
      </w:r>
      <w:r w:rsidR="00077E38">
        <w:rPr>
          <w:rFonts w:cstheme="majorHAnsi"/>
          <w:color w:val="000000"/>
          <w:sz w:val="22"/>
          <w:szCs w:val="22"/>
        </w:rPr>
        <w:t>Authority</w:t>
      </w:r>
      <w:r w:rsidRPr="007F614B">
        <w:rPr>
          <w:rFonts w:cstheme="majorHAnsi"/>
          <w:color w:val="000000"/>
          <w:sz w:val="22"/>
          <w:szCs w:val="22"/>
        </w:rPr>
        <w:t xml:space="preserve"> has full and complete discretion on whether to claim all, part or none of a Service Credit to which it is due.</w:t>
      </w:r>
    </w:p>
    <w:p w14:paraId="530FCD39" w14:textId="7773782B" w:rsidR="007F614B" w:rsidRPr="007F614B" w:rsidRDefault="007F614B" w:rsidP="007E46C1">
      <w:pPr>
        <w:pStyle w:val="Heading3"/>
        <w:numPr>
          <w:ilvl w:val="0"/>
          <w:numId w:val="51"/>
        </w:numPr>
        <w:rPr>
          <w:rFonts w:cstheme="majorHAnsi"/>
          <w:color w:val="000000"/>
          <w:sz w:val="22"/>
          <w:szCs w:val="22"/>
        </w:rPr>
      </w:pPr>
      <w:r w:rsidRPr="007F614B">
        <w:t>The full, agreed Service Credit regime shall operate from the initial delivery d</w:t>
      </w:r>
      <w:r w:rsidRPr="007F614B">
        <w:rPr>
          <w:rFonts w:cstheme="majorHAnsi"/>
          <w:color w:val="000000"/>
          <w:sz w:val="22"/>
          <w:szCs w:val="22"/>
        </w:rPr>
        <w:t>ate until the end of the Contract Period.</w:t>
      </w:r>
    </w:p>
    <w:p w14:paraId="5A653384" w14:textId="6237DED5" w:rsidR="006E7C72" w:rsidRDefault="006E7C72">
      <w:pPr>
        <w:rPr>
          <w:rFonts w:asciiTheme="majorHAnsi" w:eastAsiaTheme="majorEastAsia" w:hAnsiTheme="majorHAnsi" w:cstheme="majorBidi"/>
          <w:color w:val="000000" w:themeColor="text1"/>
          <w:sz w:val="24"/>
          <w:szCs w:val="24"/>
        </w:rPr>
      </w:pPr>
      <w:r>
        <w:br w:type="page"/>
      </w:r>
    </w:p>
    <w:p w14:paraId="146C7782" w14:textId="77777777" w:rsidR="00BB0300" w:rsidRDefault="00BB0300" w:rsidP="00BB0300">
      <w:pPr>
        <w:pStyle w:val="Heading3"/>
        <w:numPr>
          <w:ilvl w:val="0"/>
          <w:numId w:val="0"/>
        </w:numPr>
        <w:ind w:left="1800"/>
      </w:pPr>
    </w:p>
    <w:p w14:paraId="2040E857" w14:textId="6E76B0B0" w:rsidR="007F614B" w:rsidRDefault="007F614B" w:rsidP="007E0427">
      <w:pPr>
        <w:pStyle w:val="Heading3"/>
        <w:numPr>
          <w:ilvl w:val="0"/>
          <w:numId w:val="0"/>
        </w:numPr>
        <w:ind w:left="142"/>
        <w:rPr>
          <w:rFonts w:cstheme="majorHAnsi"/>
          <w:color w:val="000000"/>
          <w:sz w:val="22"/>
          <w:szCs w:val="22"/>
        </w:rPr>
      </w:pPr>
      <w:r w:rsidRPr="007F614B">
        <w:t>Service credits will be applied as follows:</w:t>
      </w:r>
    </w:p>
    <w:tbl>
      <w:tblPr>
        <w:tblStyle w:val="TableGrid"/>
        <w:tblW w:w="0" w:type="auto"/>
        <w:tblLook w:val="04A0" w:firstRow="1" w:lastRow="0" w:firstColumn="1" w:lastColumn="0" w:noHBand="0" w:noVBand="1"/>
      </w:tblPr>
      <w:tblGrid>
        <w:gridCol w:w="3005"/>
        <w:gridCol w:w="3005"/>
        <w:gridCol w:w="3006"/>
      </w:tblGrid>
      <w:tr w:rsidR="008D398E" w14:paraId="5071ADD6" w14:textId="77777777" w:rsidTr="4807E8A2">
        <w:tc>
          <w:tcPr>
            <w:tcW w:w="3005" w:type="dxa"/>
          </w:tcPr>
          <w:p w14:paraId="281992D7" w14:textId="533CDD9C" w:rsidR="008D398E" w:rsidRPr="00860BD2" w:rsidRDefault="008D398E" w:rsidP="007F614B">
            <w:pPr>
              <w:pStyle w:val="NormalWeb"/>
              <w:rPr>
                <w:rFonts w:asciiTheme="majorHAnsi" w:hAnsiTheme="majorHAnsi" w:cstheme="majorHAnsi"/>
                <w:b/>
                <w:bCs/>
                <w:color w:val="000000"/>
                <w:sz w:val="22"/>
                <w:szCs w:val="22"/>
              </w:rPr>
            </w:pPr>
            <w:r w:rsidRPr="00860BD2">
              <w:rPr>
                <w:rFonts w:asciiTheme="majorHAnsi" w:hAnsiTheme="majorHAnsi" w:cstheme="majorHAnsi"/>
                <w:b/>
                <w:bCs/>
                <w:color w:val="000000"/>
                <w:sz w:val="22"/>
                <w:szCs w:val="22"/>
              </w:rPr>
              <w:t>Service Credit</w:t>
            </w:r>
          </w:p>
        </w:tc>
        <w:tc>
          <w:tcPr>
            <w:tcW w:w="3005" w:type="dxa"/>
          </w:tcPr>
          <w:p w14:paraId="782308D6" w14:textId="64958711" w:rsidR="008D398E" w:rsidRPr="00860BD2" w:rsidRDefault="00C96ABA" w:rsidP="007F614B">
            <w:pPr>
              <w:pStyle w:val="NormalWeb"/>
              <w:rPr>
                <w:rFonts w:asciiTheme="majorHAnsi" w:hAnsiTheme="majorHAnsi" w:cstheme="majorHAnsi"/>
                <w:b/>
                <w:bCs/>
                <w:color w:val="000000"/>
                <w:sz w:val="22"/>
                <w:szCs w:val="22"/>
              </w:rPr>
            </w:pPr>
            <w:r w:rsidRPr="00860BD2">
              <w:rPr>
                <w:rFonts w:asciiTheme="majorHAnsi" w:hAnsiTheme="majorHAnsi" w:cstheme="majorHAnsi"/>
                <w:b/>
                <w:bCs/>
                <w:color w:val="000000"/>
                <w:sz w:val="22"/>
                <w:szCs w:val="22"/>
              </w:rPr>
              <w:t>Description</w:t>
            </w:r>
          </w:p>
        </w:tc>
        <w:tc>
          <w:tcPr>
            <w:tcW w:w="3006" w:type="dxa"/>
          </w:tcPr>
          <w:p w14:paraId="7316E590" w14:textId="2E6765E0" w:rsidR="008D398E" w:rsidRPr="00860BD2" w:rsidRDefault="00860BD2" w:rsidP="007F614B">
            <w:pPr>
              <w:pStyle w:val="NormalWeb"/>
              <w:rPr>
                <w:rFonts w:asciiTheme="majorHAnsi" w:hAnsiTheme="majorHAnsi" w:cstheme="majorHAnsi"/>
                <w:b/>
                <w:bCs/>
                <w:color w:val="000000"/>
                <w:sz w:val="22"/>
                <w:szCs w:val="22"/>
              </w:rPr>
            </w:pPr>
            <w:r w:rsidRPr="00860BD2">
              <w:rPr>
                <w:rFonts w:asciiTheme="majorHAnsi" w:hAnsiTheme="majorHAnsi" w:cstheme="majorHAnsi"/>
                <w:b/>
                <w:bCs/>
                <w:color w:val="000000"/>
                <w:sz w:val="22"/>
                <w:szCs w:val="22"/>
              </w:rPr>
              <w:t>V</w:t>
            </w:r>
            <w:r w:rsidR="00C96ABA" w:rsidRPr="00860BD2">
              <w:rPr>
                <w:rFonts w:asciiTheme="majorHAnsi" w:hAnsiTheme="majorHAnsi" w:cstheme="majorHAnsi"/>
                <w:b/>
                <w:bCs/>
                <w:color w:val="000000"/>
                <w:sz w:val="22"/>
                <w:szCs w:val="22"/>
              </w:rPr>
              <w:t>alue</w:t>
            </w:r>
          </w:p>
        </w:tc>
      </w:tr>
      <w:tr w:rsidR="008D398E" w14:paraId="3AF12310" w14:textId="77777777" w:rsidTr="4807E8A2">
        <w:tc>
          <w:tcPr>
            <w:tcW w:w="3005" w:type="dxa"/>
          </w:tcPr>
          <w:p w14:paraId="3426D391" w14:textId="19AE333D" w:rsidR="008D398E" w:rsidRDefault="00274E83" w:rsidP="007F614B">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 xml:space="preserve">Service Credit </w:t>
            </w:r>
            <w:r w:rsidR="00F91624">
              <w:rPr>
                <w:rFonts w:asciiTheme="majorHAnsi" w:hAnsiTheme="majorHAnsi" w:cstheme="majorHAnsi"/>
                <w:color w:val="000000"/>
                <w:sz w:val="22"/>
                <w:szCs w:val="22"/>
              </w:rPr>
              <w:t>1: KPI</w:t>
            </w:r>
            <w:r w:rsidR="002A26BD">
              <w:rPr>
                <w:rFonts w:asciiTheme="majorHAnsi" w:hAnsiTheme="majorHAnsi" w:cstheme="majorHAnsi"/>
                <w:color w:val="000000"/>
                <w:sz w:val="22"/>
                <w:szCs w:val="22"/>
              </w:rPr>
              <w:t>1</w:t>
            </w:r>
            <w:r w:rsidR="00C65198">
              <w:rPr>
                <w:rFonts w:asciiTheme="majorHAnsi" w:hAnsiTheme="majorHAnsi" w:cstheme="majorHAnsi"/>
                <w:color w:val="000000"/>
                <w:sz w:val="22"/>
                <w:szCs w:val="22"/>
              </w:rPr>
              <w:t xml:space="preserve"> and 2</w:t>
            </w:r>
            <w:r w:rsidR="00300902">
              <w:rPr>
                <w:rFonts w:asciiTheme="majorHAnsi" w:hAnsiTheme="majorHAnsi" w:cstheme="majorHAnsi"/>
                <w:color w:val="000000"/>
                <w:sz w:val="22"/>
                <w:szCs w:val="22"/>
              </w:rPr>
              <w:t xml:space="preserve"> – Supply and </w:t>
            </w:r>
            <w:r w:rsidR="00566E72">
              <w:rPr>
                <w:rFonts w:asciiTheme="majorHAnsi" w:hAnsiTheme="majorHAnsi" w:cstheme="majorHAnsi"/>
                <w:color w:val="000000"/>
                <w:sz w:val="22"/>
                <w:szCs w:val="22"/>
              </w:rPr>
              <w:t>Commissioning</w:t>
            </w:r>
          </w:p>
        </w:tc>
        <w:tc>
          <w:tcPr>
            <w:tcW w:w="3005" w:type="dxa"/>
          </w:tcPr>
          <w:p w14:paraId="508F3FEF" w14:textId="4E30CE41" w:rsidR="008D398E" w:rsidRDefault="002A26BD" w:rsidP="007F614B">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 xml:space="preserve">Without written clearance by the </w:t>
            </w:r>
            <w:r w:rsidR="00077E38">
              <w:rPr>
                <w:rFonts w:asciiTheme="majorHAnsi" w:hAnsiTheme="majorHAnsi" w:cstheme="majorHAnsi"/>
                <w:color w:val="000000"/>
                <w:sz w:val="22"/>
                <w:szCs w:val="22"/>
              </w:rPr>
              <w:t>Authority</w:t>
            </w:r>
            <w:r>
              <w:rPr>
                <w:rFonts w:asciiTheme="majorHAnsi" w:hAnsiTheme="majorHAnsi" w:cstheme="majorHAnsi"/>
                <w:color w:val="000000"/>
                <w:sz w:val="22"/>
                <w:szCs w:val="22"/>
              </w:rPr>
              <w:t>, a score of Red against KP</w:t>
            </w:r>
            <w:r w:rsidR="00E83C57">
              <w:rPr>
                <w:rFonts w:asciiTheme="majorHAnsi" w:hAnsiTheme="majorHAnsi" w:cstheme="majorHAnsi"/>
                <w:color w:val="000000"/>
                <w:sz w:val="22"/>
                <w:szCs w:val="22"/>
              </w:rPr>
              <w:t xml:space="preserve">I 1 or 2 will result in a reduction in value of the relevant invoice </w:t>
            </w:r>
            <w:r w:rsidR="00E94553">
              <w:rPr>
                <w:rFonts w:asciiTheme="majorHAnsi" w:hAnsiTheme="majorHAnsi" w:cstheme="majorHAnsi"/>
                <w:color w:val="000000"/>
                <w:sz w:val="22"/>
                <w:szCs w:val="22"/>
              </w:rPr>
              <w:t xml:space="preserve">sent to the EA after that score was awarded. </w:t>
            </w:r>
          </w:p>
        </w:tc>
        <w:tc>
          <w:tcPr>
            <w:tcW w:w="3006" w:type="dxa"/>
          </w:tcPr>
          <w:p w14:paraId="60BB0F22" w14:textId="77777777" w:rsidR="008D398E" w:rsidRDefault="00CF38AF" w:rsidP="007F614B">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 xml:space="preserve">The applicable deductions are as follows: </w:t>
            </w:r>
          </w:p>
          <w:p w14:paraId="2294A0FF" w14:textId="05305F4C" w:rsidR="004072A8" w:rsidRPr="008E7D6F" w:rsidRDefault="009E6821" w:rsidP="008E7D6F">
            <w:pPr>
              <w:pStyle w:val="NormalWeb"/>
              <w:numPr>
                <w:ilvl w:val="0"/>
                <w:numId w:val="41"/>
              </w:numPr>
              <w:rPr>
                <w:rFonts w:asciiTheme="majorHAnsi" w:hAnsiTheme="majorHAnsi" w:cstheme="majorHAnsi"/>
                <w:color w:val="000000"/>
                <w:sz w:val="22"/>
                <w:szCs w:val="22"/>
              </w:rPr>
            </w:pPr>
            <w:r>
              <w:rPr>
                <w:rFonts w:asciiTheme="majorHAnsi" w:hAnsiTheme="majorHAnsi" w:cstheme="majorHAnsi"/>
                <w:color w:val="000000"/>
                <w:sz w:val="22"/>
                <w:szCs w:val="22"/>
              </w:rPr>
              <w:t>Up</w:t>
            </w:r>
            <w:r w:rsidR="007E0427">
              <w:rPr>
                <w:rFonts w:asciiTheme="majorHAnsi" w:hAnsiTheme="majorHAnsi" w:cstheme="majorHAnsi"/>
                <w:color w:val="000000"/>
                <w:sz w:val="22"/>
                <w:szCs w:val="22"/>
              </w:rPr>
              <w:t xml:space="preserve"> </w:t>
            </w:r>
            <w:r>
              <w:rPr>
                <w:rFonts w:asciiTheme="majorHAnsi" w:hAnsiTheme="majorHAnsi" w:cstheme="majorHAnsi"/>
                <w:color w:val="000000"/>
                <w:sz w:val="22"/>
                <w:szCs w:val="22"/>
              </w:rPr>
              <w:t xml:space="preserve">to </w:t>
            </w:r>
            <w:r w:rsidR="00CF38AF">
              <w:rPr>
                <w:rFonts w:asciiTheme="majorHAnsi" w:hAnsiTheme="majorHAnsi" w:cstheme="majorHAnsi"/>
                <w:color w:val="000000"/>
                <w:sz w:val="22"/>
                <w:szCs w:val="22"/>
              </w:rPr>
              <w:t>10% of the value of the relevant</w:t>
            </w:r>
            <w:r>
              <w:rPr>
                <w:rFonts w:asciiTheme="majorHAnsi" w:hAnsiTheme="majorHAnsi" w:cstheme="majorHAnsi"/>
                <w:color w:val="000000"/>
                <w:sz w:val="22"/>
                <w:szCs w:val="22"/>
              </w:rPr>
              <w:t xml:space="preserve"> contract price prior to</w:t>
            </w:r>
            <w:r w:rsidR="00CF38AF">
              <w:rPr>
                <w:rFonts w:asciiTheme="majorHAnsi" w:hAnsiTheme="majorHAnsi" w:cstheme="majorHAnsi"/>
                <w:color w:val="000000"/>
                <w:sz w:val="22"/>
                <w:szCs w:val="22"/>
              </w:rPr>
              <w:t xml:space="preserve"> invoice (either supply or commissioning)</w:t>
            </w:r>
          </w:p>
        </w:tc>
      </w:tr>
      <w:tr w:rsidR="008D398E" w14:paraId="6387613F" w14:textId="77777777" w:rsidTr="4807E8A2">
        <w:tc>
          <w:tcPr>
            <w:tcW w:w="3005" w:type="dxa"/>
          </w:tcPr>
          <w:p w14:paraId="4FDB0124" w14:textId="1BD7C49D" w:rsidR="008D398E" w:rsidRDefault="00274E83" w:rsidP="007F614B">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 xml:space="preserve">Service Credit 2: </w:t>
            </w:r>
            <w:r w:rsidR="00EA1DF0">
              <w:rPr>
                <w:rFonts w:asciiTheme="majorHAnsi" w:hAnsiTheme="majorHAnsi" w:cstheme="majorHAnsi"/>
                <w:color w:val="000000"/>
                <w:sz w:val="22"/>
                <w:szCs w:val="22"/>
              </w:rPr>
              <w:t>KPI 3</w:t>
            </w:r>
            <w:r w:rsidR="00300902">
              <w:rPr>
                <w:rFonts w:asciiTheme="majorHAnsi" w:hAnsiTheme="majorHAnsi" w:cstheme="majorHAnsi"/>
                <w:color w:val="000000"/>
                <w:sz w:val="22"/>
                <w:szCs w:val="22"/>
              </w:rPr>
              <w:t xml:space="preserve"> – Health and Safety and reporting</w:t>
            </w:r>
          </w:p>
        </w:tc>
        <w:tc>
          <w:tcPr>
            <w:tcW w:w="3005" w:type="dxa"/>
          </w:tcPr>
          <w:p w14:paraId="1FC7A43D" w14:textId="05050875" w:rsidR="008D398E" w:rsidRDefault="009F3DF1" w:rsidP="007F614B">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 xml:space="preserve">Without written clearance by the </w:t>
            </w:r>
            <w:r w:rsidR="00077E38">
              <w:rPr>
                <w:rFonts w:asciiTheme="majorHAnsi" w:hAnsiTheme="majorHAnsi" w:cstheme="majorHAnsi"/>
                <w:color w:val="000000"/>
                <w:sz w:val="22"/>
                <w:szCs w:val="22"/>
              </w:rPr>
              <w:t>Authority</w:t>
            </w:r>
            <w:r>
              <w:rPr>
                <w:rFonts w:asciiTheme="majorHAnsi" w:hAnsiTheme="majorHAnsi" w:cstheme="majorHAnsi"/>
                <w:color w:val="000000"/>
                <w:sz w:val="22"/>
                <w:szCs w:val="22"/>
              </w:rPr>
              <w:t xml:space="preserve">, a score of Red against KPI </w:t>
            </w:r>
            <w:r w:rsidR="00281884">
              <w:rPr>
                <w:rFonts w:asciiTheme="majorHAnsi" w:hAnsiTheme="majorHAnsi" w:cstheme="majorHAnsi"/>
                <w:color w:val="000000"/>
                <w:sz w:val="22"/>
                <w:szCs w:val="22"/>
              </w:rPr>
              <w:t>3</w:t>
            </w:r>
            <w:r>
              <w:rPr>
                <w:rFonts w:asciiTheme="majorHAnsi" w:hAnsiTheme="majorHAnsi" w:cstheme="majorHAnsi"/>
                <w:color w:val="000000"/>
                <w:sz w:val="22"/>
                <w:szCs w:val="22"/>
              </w:rPr>
              <w:t xml:space="preserve"> will result in a </w:t>
            </w:r>
            <w:r w:rsidR="009E6821">
              <w:rPr>
                <w:rFonts w:asciiTheme="majorHAnsi" w:hAnsiTheme="majorHAnsi" w:cstheme="majorHAnsi"/>
                <w:color w:val="000000"/>
                <w:sz w:val="22"/>
                <w:szCs w:val="22"/>
              </w:rPr>
              <w:t>remediation plan being required</w:t>
            </w:r>
            <w:r w:rsidR="00EE5C54">
              <w:rPr>
                <w:rFonts w:asciiTheme="majorHAnsi" w:hAnsiTheme="majorHAnsi" w:cstheme="majorHAnsi"/>
                <w:color w:val="000000"/>
                <w:sz w:val="22"/>
                <w:szCs w:val="22"/>
              </w:rPr>
              <w:t xml:space="preserve"> to improve health and safety reporting process at the Contract.</w:t>
            </w:r>
          </w:p>
        </w:tc>
        <w:tc>
          <w:tcPr>
            <w:tcW w:w="3006" w:type="dxa"/>
          </w:tcPr>
          <w:p w14:paraId="48F469B0" w14:textId="7D991B82" w:rsidR="00C52B5E" w:rsidRPr="002668C4" w:rsidRDefault="00BB0300" w:rsidP="002668C4">
            <w:pPr>
              <w:pStyle w:val="NormalWeb"/>
              <w:numPr>
                <w:ilvl w:val="0"/>
                <w:numId w:val="41"/>
              </w:numPr>
              <w:rPr>
                <w:rFonts w:asciiTheme="majorHAnsi" w:hAnsiTheme="majorHAnsi" w:cstheme="majorHAnsi"/>
                <w:color w:val="000000"/>
                <w:sz w:val="22"/>
                <w:szCs w:val="22"/>
              </w:rPr>
            </w:pPr>
            <w:r>
              <w:rPr>
                <w:rFonts w:asciiTheme="majorHAnsi" w:hAnsiTheme="majorHAnsi" w:cstheme="majorHAnsi"/>
                <w:color w:val="000000"/>
                <w:sz w:val="22"/>
                <w:szCs w:val="22"/>
              </w:rPr>
              <w:t>No service credit applied – remediation plan only</w:t>
            </w:r>
          </w:p>
        </w:tc>
      </w:tr>
      <w:tr w:rsidR="008D398E" w14:paraId="18168358" w14:textId="77777777" w:rsidTr="4807E8A2">
        <w:tc>
          <w:tcPr>
            <w:tcW w:w="3005" w:type="dxa"/>
          </w:tcPr>
          <w:p w14:paraId="5BAAA5B2" w14:textId="503BAB46" w:rsidR="008D398E" w:rsidRDefault="008510F1" w:rsidP="007F614B">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 xml:space="preserve">Service Credit 3: KPI 4 </w:t>
            </w:r>
            <w:r w:rsidR="00372474">
              <w:rPr>
                <w:rFonts w:asciiTheme="majorHAnsi" w:hAnsiTheme="majorHAnsi" w:cstheme="majorHAnsi"/>
                <w:color w:val="000000"/>
                <w:sz w:val="22"/>
                <w:szCs w:val="22"/>
              </w:rPr>
              <w:t xml:space="preserve">– Sustainability and net </w:t>
            </w:r>
            <w:r w:rsidR="00300902">
              <w:rPr>
                <w:rFonts w:asciiTheme="majorHAnsi" w:hAnsiTheme="majorHAnsi" w:cstheme="majorHAnsi"/>
                <w:color w:val="000000"/>
                <w:sz w:val="22"/>
                <w:szCs w:val="22"/>
              </w:rPr>
              <w:t>z</w:t>
            </w:r>
            <w:r w:rsidR="00372474">
              <w:rPr>
                <w:rFonts w:asciiTheme="majorHAnsi" w:hAnsiTheme="majorHAnsi" w:cstheme="majorHAnsi"/>
                <w:color w:val="000000"/>
                <w:sz w:val="22"/>
                <w:szCs w:val="22"/>
              </w:rPr>
              <w:t>ero</w:t>
            </w:r>
          </w:p>
        </w:tc>
        <w:tc>
          <w:tcPr>
            <w:tcW w:w="3005" w:type="dxa"/>
          </w:tcPr>
          <w:p w14:paraId="3CA38883" w14:textId="494E1962" w:rsidR="008D398E" w:rsidRDefault="009F3DF1" w:rsidP="007F614B">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 xml:space="preserve">Without written clearance by the </w:t>
            </w:r>
            <w:r w:rsidR="00077E38">
              <w:rPr>
                <w:rFonts w:asciiTheme="majorHAnsi" w:hAnsiTheme="majorHAnsi" w:cstheme="majorHAnsi"/>
                <w:color w:val="000000"/>
                <w:sz w:val="22"/>
                <w:szCs w:val="22"/>
              </w:rPr>
              <w:t>Authority</w:t>
            </w:r>
            <w:r>
              <w:rPr>
                <w:rFonts w:asciiTheme="majorHAnsi" w:hAnsiTheme="majorHAnsi" w:cstheme="majorHAnsi"/>
                <w:color w:val="000000"/>
                <w:sz w:val="22"/>
                <w:szCs w:val="22"/>
              </w:rPr>
              <w:t xml:space="preserve">, a score of Red against KPI </w:t>
            </w:r>
            <w:r w:rsidR="004460E8">
              <w:rPr>
                <w:rFonts w:asciiTheme="majorHAnsi" w:hAnsiTheme="majorHAnsi" w:cstheme="majorHAnsi"/>
                <w:color w:val="000000"/>
                <w:sz w:val="22"/>
                <w:szCs w:val="22"/>
              </w:rPr>
              <w:t>4</w:t>
            </w:r>
            <w:r>
              <w:rPr>
                <w:rFonts w:asciiTheme="majorHAnsi" w:hAnsiTheme="majorHAnsi" w:cstheme="majorHAnsi"/>
                <w:color w:val="000000"/>
                <w:sz w:val="22"/>
                <w:szCs w:val="22"/>
              </w:rPr>
              <w:t xml:space="preserve"> </w:t>
            </w:r>
            <w:r w:rsidR="00EE5C54">
              <w:rPr>
                <w:rFonts w:asciiTheme="majorHAnsi" w:hAnsiTheme="majorHAnsi" w:cstheme="majorHAnsi"/>
                <w:color w:val="000000"/>
                <w:sz w:val="22"/>
                <w:szCs w:val="22"/>
              </w:rPr>
              <w:t>will result in a remediation plan being required to improve sustainability reporting process at the Contract.</w:t>
            </w:r>
          </w:p>
        </w:tc>
        <w:tc>
          <w:tcPr>
            <w:tcW w:w="3006" w:type="dxa"/>
          </w:tcPr>
          <w:p w14:paraId="68B8E42D" w14:textId="59F20E91" w:rsidR="003A30F7" w:rsidRDefault="00BB0300" w:rsidP="00A73C7E">
            <w:pPr>
              <w:pStyle w:val="BulletText1"/>
              <w:rPr>
                <w:rFonts w:cstheme="majorBidi"/>
              </w:rPr>
            </w:pPr>
            <w:r w:rsidRPr="002D5767">
              <w:t>No service credit applied – remediation plan only</w:t>
            </w:r>
          </w:p>
        </w:tc>
      </w:tr>
    </w:tbl>
    <w:p w14:paraId="577EC5DB" w14:textId="77777777" w:rsidR="004A2C3A" w:rsidRDefault="004A2C3A" w:rsidP="007F614B">
      <w:pPr>
        <w:pStyle w:val="NormalWeb"/>
        <w:rPr>
          <w:rFonts w:asciiTheme="majorHAnsi" w:hAnsiTheme="majorHAnsi" w:cstheme="majorHAnsi"/>
          <w:color w:val="000000"/>
          <w:sz w:val="22"/>
          <w:szCs w:val="22"/>
        </w:rPr>
      </w:pPr>
    </w:p>
    <w:p w14:paraId="2B82A7E7" w14:textId="77777777" w:rsidR="004A2C3A" w:rsidRDefault="004A2C3A">
      <w:pPr>
        <w:rPr>
          <w:rFonts w:asciiTheme="majorHAnsi" w:eastAsia="Times New Roman" w:hAnsiTheme="majorHAnsi" w:cstheme="majorHAnsi"/>
          <w:color w:val="000000"/>
          <w:lang w:eastAsia="en-GB"/>
        </w:rPr>
      </w:pPr>
      <w:r>
        <w:rPr>
          <w:rFonts w:asciiTheme="majorHAnsi" w:hAnsiTheme="majorHAnsi" w:cstheme="majorHAnsi"/>
          <w:color w:val="000000"/>
        </w:rPr>
        <w:br w:type="page"/>
      </w:r>
    </w:p>
    <w:p w14:paraId="3633E231" w14:textId="1B80888D" w:rsidR="001F4A10" w:rsidRDefault="001F4A10" w:rsidP="003F3027">
      <w:pPr>
        <w:pStyle w:val="Heading1"/>
      </w:pPr>
      <w:bookmarkStart w:id="14" w:name="_Toc153342469"/>
      <w:r w:rsidRPr="004801BF">
        <w:lastRenderedPageBreak/>
        <w:t xml:space="preserve">Technical requirements </w:t>
      </w:r>
      <w:r w:rsidR="006776D3" w:rsidRPr="004801BF">
        <w:t xml:space="preserve">of </w:t>
      </w:r>
      <w:r w:rsidR="002249E1">
        <w:t>housings</w:t>
      </w:r>
      <w:bookmarkEnd w:id="14"/>
    </w:p>
    <w:p w14:paraId="5ECB629C" w14:textId="77777777" w:rsidR="00A0719F" w:rsidRPr="00A0719F" w:rsidRDefault="00A0719F" w:rsidP="00A0719F"/>
    <w:p w14:paraId="2F95F6CA" w14:textId="6C12F2A7" w:rsidR="001B05ED" w:rsidRDefault="001B05ED" w:rsidP="004801BF">
      <w:pPr>
        <w:pStyle w:val="Heading2"/>
      </w:pPr>
      <w:bookmarkStart w:id="15" w:name="_Toc61530543"/>
      <w:bookmarkStart w:id="16" w:name="_Toc84255825"/>
      <w:r w:rsidRPr="00DE6364">
        <w:t>Scope of the specification</w:t>
      </w:r>
      <w:bookmarkEnd w:id="15"/>
      <w:bookmarkEnd w:id="16"/>
    </w:p>
    <w:p w14:paraId="7BAF098C" w14:textId="18B77E6B" w:rsidR="007B1813" w:rsidRPr="007B1813" w:rsidRDefault="007B1813" w:rsidP="007B1813">
      <w:r>
        <w:t>This section</w:t>
      </w:r>
      <w:r w:rsidR="0012708A">
        <w:t xml:space="preserve"> is intended to define the physical parameters of the</w:t>
      </w:r>
      <w:r w:rsidR="002248E6">
        <w:t xml:space="preserve"> </w:t>
      </w:r>
      <w:r w:rsidR="00FF27CF">
        <w:t>housings covered by this contract</w:t>
      </w:r>
      <w:r w:rsidR="00371FFD">
        <w:t xml:space="preserve"> – the general size, shape and construction of the housings, and the </w:t>
      </w:r>
      <w:r w:rsidR="001534B5">
        <w:t xml:space="preserve">fixtures and equipment supplied by the contractor as part of a housing order. </w:t>
      </w:r>
      <w:r w:rsidR="56BCF0FF">
        <w:t>T</w:t>
      </w:r>
      <w:r w:rsidR="00FF27CF">
        <w:t xml:space="preserve">he supplier shall </w:t>
      </w:r>
      <w:r w:rsidR="00AC7A5A">
        <w:t xml:space="preserve">in general </w:t>
      </w:r>
      <w:r w:rsidR="00115D9D">
        <w:t xml:space="preserve">work to </w:t>
      </w:r>
      <w:r w:rsidR="00183F48">
        <w:t xml:space="preserve">the standard design of housing </w:t>
      </w:r>
      <w:r w:rsidR="00115D9D">
        <w:t xml:space="preserve">(outlined </w:t>
      </w:r>
      <w:r w:rsidR="00562173">
        <w:t xml:space="preserve">in section </w:t>
      </w:r>
      <w:r>
        <w:fldChar w:fldCharType="begin"/>
      </w:r>
      <w:r>
        <w:instrText xml:space="preserve"> REF _Ref120794861 \r \h </w:instrText>
      </w:r>
      <w:r>
        <w:fldChar w:fldCharType="separate"/>
      </w:r>
      <w:r w:rsidR="003F221C">
        <w:t>6.2</w:t>
      </w:r>
      <w:r>
        <w:fldChar w:fldCharType="end"/>
      </w:r>
      <w:r w:rsidR="009D50AA">
        <w:t>.1-.3</w:t>
      </w:r>
      <w:r w:rsidR="00AC7A5A">
        <w:t>)</w:t>
      </w:r>
      <w:r w:rsidR="0033600C">
        <w:t xml:space="preserve"> with variation in layout</w:t>
      </w:r>
      <w:r w:rsidR="00AC7A5A">
        <w:t xml:space="preserve"> and fittings as required.</w:t>
      </w:r>
      <w:r w:rsidR="00276098">
        <w:t xml:space="preserve"> However in some cases</w:t>
      </w:r>
      <w:r w:rsidR="0035383D">
        <w:t xml:space="preserve"> - </w:t>
      </w:r>
      <w:r>
        <w:fldChar w:fldCharType="begin"/>
      </w:r>
      <w:r>
        <w:instrText xml:space="preserve"> REF _Ref120794925 \r \h </w:instrText>
      </w:r>
      <w:r>
        <w:fldChar w:fldCharType="separate"/>
      </w:r>
      <w:r w:rsidR="003F221C">
        <w:t>6.2.2</w:t>
      </w:r>
      <w:r>
        <w:fldChar w:fldCharType="end"/>
      </w:r>
      <w:r w:rsidR="0035383D">
        <w:t xml:space="preserve"> </w:t>
      </w:r>
      <w:r w:rsidR="00B45569">
        <w:t>– fully custom</w:t>
      </w:r>
      <w:r w:rsidR="00BC333A">
        <w:t xml:space="preserve">ised housings that substantially </w:t>
      </w:r>
      <w:r w:rsidR="0077015B">
        <w:t>deviate</w:t>
      </w:r>
      <w:r w:rsidR="00BC333A">
        <w:t xml:space="preserve"> from </w:t>
      </w:r>
      <w:r w:rsidR="006517DB">
        <w:t xml:space="preserve">the basic designs will be required. </w:t>
      </w:r>
    </w:p>
    <w:p w14:paraId="27297834" w14:textId="24D5CB41" w:rsidR="001B05ED" w:rsidRPr="004928EA" w:rsidRDefault="00C80E17" w:rsidP="000F5FA4">
      <w:pPr>
        <w:rPr>
          <w:rStyle w:val="BlockText1"/>
        </w:rPr>
      </w:pPr>
      <w:r>
        <w:t>Housings</w:t>
      </w:r>
      <w:r w:rsidR="001B05ED" w:rsidRPr="00DE6364">
        <w:t xml:space="preserve"> shall comply with all applicable Statutory Regulations, Environmental Legislation (including The Waste Electrical and Electronic Equipment Regulations), the </w:t>
      </w:r>
      <w:r w:rsidR="001B05ED" w:rsidRPr="004928EA">
        <w:t xml:space="preserve">relevant Environment Agency procedures/requirements and the latest editions (at the time of Tender) of all applicable British and Harmonised European and international Standards. </w:t>
      </w:r>
    </w:p>
    <w:p w14:paraId="41734588" w14:textId="7118698E" w:rsidR="0022399F" w:rsidRPr="004928EA" w:rsidRDefault="0022399F" w:rsidP="000F5FA4">
      <w:r w:rsidRPr="004928EA">
        <w:t xml:space="preserve">In addition, </w:t>
      </w:r>
      <w:r w:rsidR="00C80E17">
        <w:t>housings</w:t>
      </w:r>
      <w:r w:rsidR="001B05ED" w:rsidRPr="004928EA">
        <w:t xml:space="preserve"> must comply with:</w:t>
      </w:r>
    </w:p>
    <w:p w14:paraId="64F43CF4" w14:textId="1AF79D18" w:rsidR="001B05ED" w:rsidRPr="004928EA" w:rsidRDefault="0022399F" w:rsidP="0022399F">
      <w:pPr>
        <w:pStyle w:val="BulletText1"/>
      </w:pPr>
      <w:r w:rsidRPr="004928EA">
        <w:t>All documents found in Section</w:t>
      </w:r>
      <w:r w:rsidR="004A2C3A">
        <w:t xml:space="preserve"> </w:t>
      </w:r>
      <w:r w:rsidR="00B664BF">
        <w:fldChar w:fldCharType="begin"/>
      </w:r>
      <w:r w:rsidR="00B664BF">
        <w:instrText xml:space="preserve"> REF _Ref126150494 \w \h </w:instrText>
      </w:r>
      <w:r w:rsidR="00B664BF">
        <w:fldChar w:fldCharType="separate"/>
      </w:r>
      <w:r w:rsidR="003F221C">
        <w:t>13</w:t>
      </w:r>
      <w:r w:rsidR="00B664BF">
        <w:fldChar w:fldCharType="end"/>
      </w:r>
      <w:r w:rsidR="00210508" w:rsidRPr="004928EA">
        <w:t xml:space="preserve"> of this ITT</w:t>
      </w:r>
    </w:p>
    <w:p w14:paraId="7F65E8DE" w14:textId="6A558A41" w:rsidR="001B05ED" w:rsidRPr="004928EA" w:rsidRDefault="0022399F" w:rsidP="001B05ED">
      <w:pPr>
        <w:pStyle w:val="BulletText1"/>
      </w:pPr>
      <w:r w:rsidRPr="004928EA">
        <w:t xml:space="preserve">Any </w:t>
      </w:r>
      <w:r w:rsidR="001B05ED" w:rsidRPr="004928EA">
        <w:t xml:space="preserve">project specific </w:t>
      </w:r>
      <w:r w:rsidR="00287A60" w:rsidRPr="004928EA">
        <w:t>‘custom requirements</w:t>
      </w:r>
      <w:r w:rsidR="00EE3B34" w:rsidRPr="004928EA">
        <w:t>’</w:t>
      </w:r>
      <w:r w:rsidR="000F5FA4" w:rsidRPr="004928EA">
        <w:t xml:space="preserve"> </w:t>
      </w:r>
      <w:r w:rsidR="005435DA" w:rsidRPr="004928EA">
        <w:t>e.g.</w:t>
      </w:r>
      <w:r w:rsidR="000F5FA4" w:rsidRPr="004928EA">
        <w:t xml:space="preserve"> bespoke claddings/colourings, bespoke </w:t>
      </w:r>
      <w:r w:rsidR="002249E1">
        <w:t>housing</w:t>
      </w:r>
      <w:r w:rsidR="000F5FA4" w:rsidRPr="004928EA">
        <w:t xml:space="preserve"> sizes</w:t>
      </w:r>
      <w:r w:rsidR="001B05ED" w:rsidRPr="004928EA">
        <w:t xml:space="preserve">; </w:t>
      </w:r>
    </w:p>
    <w:p w14:paraId="1E4E3670" w14:textId="1FDF4372" w:rsidR="004928EA" w:rsidRPr="004928EA" w:rsidRDefault="001B05ED" w:rsidP="00101BAC">
      <w:pPr>
        <w:pStyle w:val="BulletText1"/>
        <w:rPr>
          <w:rFonts w:cstheme="minorHAnsi"/>
          <w:bCs/>
        </w:rPr>
      </w:pPr>
      <w:r w:rsidRPr="004928EA">
        <w:t xml:space="preserve">any other documentation issued by the </w:t>
      </w:r>
      <w:r w:rsidR="00077E38">
        <w:t>Authority (</w:t>
      </w:r>
      <w:r w:rsidR="00B664BF">
        <w:t xml:space="preserve">unless otherwise agreed, </w:t>
      </w:r>
      <w:r w:rsidR="00077E38">
        <w:t xml:space="preserve">the </w:t>
      </w:r>
      <w:r w:rsidRPr="004928EA">
        <w:t>Environment Agency</w:t>
      </w:r>
      <w:r w:rsidR="00077E38">
        <w:t>)</w:t>
      </w:r>
      <w:r w:rsidR="004928EA">
        <w:t xml:space="preserve"> as client</w:t>
      </w:r>
    </w:p>
    <w:p w14:paraId="4EB10DCA" w14:textId="77777777" w:rsidR="002D798D" w:rsidRPr="002D798D" w:rsidRDefault="002D798D" w:rsidP="002D798D">
      <w:pPr>
        <w:pStyle w:val="BulletText1"/>
        <w:numPr>
          <w:ilvl w:val="0"/>
          <w:numId w:val="0"/>
        </w:numPr>
        <w:ind w:left="1440"/>
        <w:rPr>
          <w:rStyle w:val="Boldtext"/>
          <w:rFonts w:asciiTheme="minorHAnsi" w:hAnsiTheme="minorHAnsi" w:cstheme="minorBidi"/>
          <w:b w:val="0"/>
          <w:sz w:val="22"/>
          <w:lang w:eastAsia="en-GB"/>
        </w:rPr>
      </w:pPr>
    </w:p>
    <w:p w14:paraId="03A376FA" w14:textId="7911370A" w:rsidR="004928EA" w:rsidRPr="006A3F92" w:rsidRDefault="004928EA" w:rsidP="4807E8A2">
      <w:pPr>
        <w:pStyle w:val="BulletText1"/>
        <w:numPr>
          <w:ilvl w:val="0"/>
          <w:numId w:val="0"/>
        </w:numPr>
        <w:ind w:left="757" w:hanging="360"/>
        <w:rPr>
          <w:rStyle w:val="Boldtext"/>
          <w:rFonts w:asciiTheme="minorHAnsi" w:hAnsiTheme="minorHAnsi" w:cstheme="minorBidi"/>
          <w:b w:val="0"/>
          <w:sz w:val="22"/>
          <w:lang w:eastAsia="en-GB"/>
        </w:rPr>
      </w:pPr>
      <w:r w:rsidRPr="4807E8A2">
        <w:rPr>
          <w:rStyle w:val="Boldtext"/>
          <w:rFonts w:asciiTheme="minorHAnsi" w:hAnsiTheme="minorHAnsi" w:cstheme="minorBidi"/>
          <w:b w:val="0"/>
          <w:sz w:val="22"/>
        </w:rPr>
        <w:t>Note</w:t>
      </w:r>
      <w:r w:rsidRPr="4807E8A2">
        <w:rPr>
          <w:lang w:eastAsia="en-GB"/>
        </w:rPr>
        <w:t xml:space="preserve">: Where such documentation imposes additional requirements to the Standards listed in </w:t>
      </w:r>
      <w:r w:rsidR="00BB0300">
        <w:rPr>
          <w:lang w:eastAsia="en-GB"/>
        </w:rPr>
        <w:t xml:space="preserve">Section </w:t>
      </w:r>
      <w:r w:rsidR="00BB0300">
        <w:rPr>
          <w:lang w:eastAsia="en-GB"/>
        </w:rPr>
        <w:fldChar w:fldCharType="begin"/>
      </w:r>
      <w:r w:rsidR="00BB0300">
        <w:rPr>
          <w:lang w:eastAsia="en-GB"/>
        </w:rPr>
        <w:instrText xml:space="preserve"> REF _Ref125987758 \r \h </w:instrText>
      </w:r>
      <w:r w:rsidR="00BB0300">
        <w:rPr>
          <w:lang w:eastAsia="en-GB"/>
        </w:rPr>
      </w:r>
      <w:r w:rsidR="00BB0300">
        <w:rPr>
          <w:lang w:eastAsia="en-GB"/>
        </w:rPr>
        <w:fldChar w:fldCharType="separate"/>
      </w:r>
      <w:r w:rsidR="003F221C">
        <w:rPr>
          <w:lang w:eastAsia="en-GB"/>
        </w:rPr>
        <w:t>13</w:t>
      </w:r>
      <w:r w:rsidR="00BB0300">
        <w:rPr>
          <w:lang w:eastAsia="en-GB"/>
        </w:rPr>
        <w:fldChar w:fldCharType="end"/>
      </w:r>
      <w:r w:rsidR="00FD672B">
        <w:rPr>
          <w:lang w:eastAsia="en-GB"/>
        </w:rPr>
        <w:t xml:space="preserve"> </w:t>
      </w:r>
      <w:r w:rsidRPr="4807E8A2">
        <w:rPr>
          <w:lang w:eastAsia="en-GB"/>
        </w:rPr>
        <w:t xml:space="preserve">the requirements of the specific project documentation take precedence. Designs are </w:t>
      </w:r>
      <w:r w:rsidR="1DEBFCB4" w:rsidRPr="4807E8A2">
        <w:rPr>
          <w:lang w:eastAsia="en-GB"/>
        </w:rPr>
        <w:t xml:space="preserve">required in the first case </w:t>
      </w:r>
      <w:r w:rsidRPr="4807E8A2">
        <w:rPr>
          <w:lang w:eastAsia="en-GB"/>
        </w:rPr>
        <w:t>to meet or exceed the listed MEICA standards</w:t>
      </w:r>
      <w:r w:rsidR="74E45840" w:rsidRPr="4807E8A2">
        <w:rPr>
          <w:lang w:eastAsia="en-GB"/>
        </w:rPr>
        <w:t xml:space="preserve"> in the Appendices</w:t>
      </w:r>
      <w:r w:rsidRPr="4807E8A2">
        <w:rPr>
          <w:lang w:eastAsia="en-GB"/>
        </w:rPr>
        <w:t xml:space="preserve">, but if specific project requirements require a </w:t>
      </w:r>
      <w:r w:rsidRPr="4807E8A2">
        <w:rPr>
          <w:i/>
          <w:iCs/>
          <w:lang w:eastAsia="en-GB"/>
        </w:rPr>
        <w:t xml:space="preserve">lower </w:t>
      </w:r>
      <w:r w:rsidRPr="4807E8A2">
        <w:rPr>
          <w:lang w:eastAsia="en-GB"/>
        </w:rPr>
        <w:t xml:space="preserve">standard, then justification to and approval by the </w:t>
      </w:r>
      <w:r w:rsidR="00077E38">
        <w:rPr>
          <w:lang w:eastAsia="en-GB"/>
        </w:rPr>
        <w:t>Authority</w:t>
      </w:r>
      <w:r w:rsidRPr="4807E8A2">
        <w:rPr>
          <w:lang w:eastAsia="en-GB"/>
        </w:rPr>
        <w:t xml:space="preserve"> is required in advance.</w:t>
      </w:r>
      <w:bookmarkStart w:id="17" w:name="_Toc61530545"/>
    </w:p>
    <w:p w14:paraId="657F241D" w14:textId="3237F1DF" w:rsidR="000C7E4F" w:rsidRPr="004801BF" w:rsidRDefault="002249E1" w:rsidP="004801BF">
      <w:pPr>
        <w:pStyle w:val="Heading2"/>
      </w:pPr>
      <w:bookmarkStart w:id="18" w:name="_Ref120794861"/>
      <w:bookmarkEnd w:id="17"/>
      <w:r>
        <w:t>Housing</w:t>
      </w:r>
      <w:r w:rsidR="001F4A10" w:rsidRPr="004801BF">
        <w:t xml:space="preserve"> description</w:t>
      </w:r>
      <w:bookmarkEnd w:id="18"/>
    </w:p>
    <w:p w14:paraId="080EB26D" w14:textId="3C263000" w:rsidR="0025655A" w:rsidRDefault="0025655A" w:rsidP="00AF580C">
      <w:pPr>
        <w:pStyle w:val="Heading3"/>
        <w:numPr>
          <w:ilvl w:val="0"/>
          <w:numId w:val="0"/>
        </w:numPr>
        <w:ind w:left="1800"/>
        <w:rPr>
          <w:sz w:val="20"/>
          <w:szCs w:val="20"/>
        </w:rPr>
      </w:pPr>
    </w:p>
    <w:p w14:paraId="6C83F6A0" w14:textId="21219DB0" w:rsidR="003F1B2A" w:rsidRPr="00DE6364" w:rsidRDefault="003F1B2A" w:rsidP="0025655A">
      <w:pPr>
        <w:pStyle w:val="Heading3"/>
      </w:pPr>
      <w:bookmarkStart w:id="19" w:name="_Ref124518608"/>
      <w:r>
        <w:t xml:space="preserve">Large Static Walk in </w:t>
      </w:r>
      <w:r w:rsidR="002249E1">
        <w:t>Cabin</w:t>
      </w:r>
      <w:bookmarkEnd w:id="19"/>
    </w:p>
    <w:p w14:paraId="4B5DA9CE" w14:textId="6842E449" w:rsidR="0022399F" w:rsidRDefault="0022399F" w:rsidP="0022399F">
      <w:pPr>
        <w:rPr>
          <w:sz w:val="20"/>
          <w:szCs w:val="20"/>
        </w:rPr>
      </w:pPr>
    </w:p>
    <w:p w14:paraId="26D4FB91" w14:textId="2150B86A" w:rsidR="0000270F" w:rsidRDefault="0000270F" w:rsidP="0022399F">
      <w:pPr>
        <w:rPr>
          <w:sz w:val="20"/>
          <w:szCs w:val="20"/>
        </w:rPr>
      </w:pPr>
      <w:r>
        <w:rPr>
          <w:sz w:val="20"/>
          <w:szCs w:val="20"/>
        </w:rPr>
        <w:t xml:space="preserve">Large static walk-in cabins are cabins with space for multiple gas analysers and </w:t>
      </w:r>
      <w:r w:rsidR="005D544C">
        <w:rPr>
          <w:sz w:val="20"/>
          <w:szCs w:val="20"/>
        </w:rPr>
        <w:t>PM analysers</w:t>
      </w:r>
      <w:r w:rsidR="00A760BB">
        <w:rPr>
          <w:sz w:val="20"/>
          <w:szCs w:val="20"/>
        </w:rPr>
        <w:t xml:space="preserve"> on racking and benches</w:t>
      </w:r>
      <w:r w:rsidR="005D544C">
        <w:rPr>
          <w:sz w:val="20"/>
          <w:szCs w:val="20"/>
        </w:rPr>
        <w:t xml:space="preserve">, in addition to workspace for a technician within the cabin. They are deployed at sites where multiple networks use the same site. </w:t>
      </w:r>
      <w:r w:rsidR="00A760BB">
        <w:rPr>
          <w:sz w:val="20"/>
          <w:szCs w:val="20"/>
        </w:rPr>
        <w:t xml:space="preserve">They also have greater capacity for future expansion. </w:t>
      </w:r>
    </w:p>
    <w:p w14:paraId="0D0E9377" w14:textId="643EEBEB" w:rsidR="0022399F" w:rsidRDefault="507B7550" w:rsidP="1D42B4A5">
      <w:pPr>
        <w:rPr>
          <w:b/>
          <w:bCs/>
          <w:sz w:val="20"/>
          <w:szCs w:val="20"/>
        </w:rPr>
      </w:pPr>
      <w:r w:rsidRPr="1D42B4A5">
        <w:rPr>
          <w:b/>
          <w:bCs/>
          <w:sz w:val="20"/>
          <w:szCs w:val="20"/>
        </w:rPr>
        <w:t xml:space="preserve">The </w:t>
      </w:r>
      <w:r w:rsidR="38EAB3EA" w:rsidRPr="1D42B4A5">
        <w:rPr>
          <w:b/>
          <w:bCs/>
          <w:sz w:val="20"/>
          <w:szCs w:val="20"/>
        </w:rPr>
        <w:t xml:space="preserve">Large Static Walk in </w:t>
      </w:r>
      <w:r w:rsidR="00BF7943" w:rsidRPr="1D42B4A5">
        <w:rPr>
          <w:b/>
          <w:bCs/>
        </w:rPr>
        <w:t>must meet the MEICA spec and other</w:t>
      </w:r>
      <w:r w:rsidR="00BF7943">
        <w:rPr>
          <w:b/>
          <w:bCs/>
        </w:rPr>
        <w:t xml:space="preserve"> documents in Section</w:t>
      </w:r>
      <w:r w:rsidR="00BF7943" w:rsidRPr="1D42B4A5">
        <w:rPr>
          <w:b/>
          <w:bCs/>
        </w:rPr>
        <w:t xml:space="preserve"> </w:t>
      </w:r>
      <w:r w:rsidR="00BF7943">
        <w:rPr>
          <w:b/>
          <w:bCs/>
        </w:rPr>
        <w:fldChar w:fldCharType="begin"/>
      </w:r>
      <w:r w:rsidR="00BF7943">
        <w:rPr>
          <w:b/>
          <w:bCs/>
        </w:rPr>
        <w:instrText xml:space="preserve"> REF _Ref125987768 \r \h </w:instrText>
      </w:r>
      <w:r w:rsidR="00BF7943">
        <w:rPr>
          <w:b/>
          <w:bCs/>
        </w:rPr>
      </w:r>
      <w:r w:rsidR="00BF7943">
        <w:rPr>
          <w:b/>
          <w:bCs/>
        </w:rPr>
        <w:fldChar w:fldCharType="separate"/>
      </w:r>
      <w:r w:rsidR="003F221C">
        <w:rPr>
          <w:b/>
          <w:bCs/>
        </w:rPr>
        <w:t>13</w:t>
      </w:r>
      <w:r w:rsidR="00BF7943">
        <w:rPr>
          <w:b/>
          <w:bCs/>
        </w:rPr>
        <w:fldChar w:fldCharType="end"/>
      </w:r>
      <w:r w:rsidR="00BF7943" w:rsidRPr="1D42B4A5">
        <w:rPr>
          <w:b/>
          <w:bCs/>
        </w:rPr>
        <w:t xml:space="preserve"> of this ITT, aside from the </w:t>
      </w:r>
      <w:r w:rsidR="00BF7943">
        <w:rPr>
          <w:b/>
          <w:bCs/>
        </w:rPr>
        <w:t>deviations</w:t>
      </w:r>
      <w:r w:rsidR="00BF7943" w:rsidRPr="1D42B4A5">
        <w:rPr>
          <w:b/>
          <w:bCs/>
        </w:rPr>
        <w:t xml:space="preserve"> listed below</w:t>
      </w:r>
      <w:r w:rsidR="00BF7943">
        <w:rPr>
          <w:b/>
          <w:bCs/>
        </w:rPr>
        <w:t>.</w:t>
      </w:r>
    </w:p>
    <w:p w14:paraId="4C08EAA6" w14:textId="306A9009" w:rsidR="003545FD" w:rsidRDefault="003545FD" w:rsidP="003F1B2A">
      <w:pPr>
        <w:rPr>
          <w:sz w:val="20"/>
          <w:szCs w:val="20"/>
        </w:rPr>
      </w:pPr>
      <w:r>
        <w:rPr>
          <w:sz w:val="20"/>
          <w:szCs w:val="20"/>
        </w:rPr>
        <w:t xml:space="preserve">The Large Static Walk in </w:t>
      </w:r>
      <w:r w:rsidR="002249E1">
        <w:rPr>
          <w:sz w:val="20"/>
          <w:szCs w:val="20"/>
        </w:rPr>
        <w:t>Cabin</w:t>
      </w:r>
      <w:r>
        <w:rPr>
          <w:sz w:val="20"/>
          <w:szCs w:val="20"/>
        </w:rPr>
        <w:t xml:space="preserve"> shall be capable of housing </w:t>
      </w:r>
    </w:p>
    <w:p w14:paraId="68E6E4B2" w14:textId="1E7CF7A1" w:rsidR="003545FD" w:rsidRDefault="003545FD" w:rsidP="003545FD">
      <w:pPr>
        <w:pStyle w:val="ListParagraph"/>
        <w:numPr>
          <w:ilvl w:val="0"/>
          <w:numId w:val="15"/>
        </w:numPr>
        <w:rPr>
          <w:sz w:val="20"/>
          <w:szCs w:val="20"/>
        </w:rPr>
      </w:pPr>
      <w:r w:rsidRPr="003545FD">
        <w:rPr>
          <w:sz w:val="20"/>
          <w:szCs w:val="20"/>
        </w:rPr>
        <w:t xml:space="preserve">up to 2x L40 and 1x L50 </w:t>
      </w:r>
      <w:r w:rsidR="759E8112" w:rsidRPr="774184AA">
        <w:rPr>
          <w:sz w:val="20"/>
          <w:szCs w:val="20"/>
        </w:rPr>
        <w:t>cylinders</w:t>
      </w:r>
      <w:r w:rsidRPr="003545FD">
        <w:rPr>
          <w:sz w:val="20"/>
          <w:szCs w:val="20"/>
        </w:rPr>
        <w:t xml:space="preserve"> using suitable gas support equipment</w:t>
      </w:r>
      <w:r>
        <w:rPr>
          <w:sz w:val="20"/>
          <w:szCs w:val="20"/>
        </w:rPr>
        <w:t>, and;</w:t>
      </w:r>
    </w:p>
    <w:p w14:paraId="4B57FAD9" w14:textId="354FC699" w:rsidR="003545FD" w:rsidRDefault="003545FD" w:rsidP="003545FD">
      <w:pPr>
        <w:pStyle w:val="ListParagraph"/>
        <w:numPr>
          <w:ilvl w:val="0"/>
          <w:numId w:val="15"/>
        </w:numPr>
        <w:rPr>
          <w:sz w:val="20"/>
          <w:szCs w:val="20"/>
        </w:rPr>
      </w:pPr>
      <w:r w:rsidRPr="003545FD">
        <w:rPr>
          <w:sz w:val="20"/>
          <w:szCs w:val="20"/>
        </w:rPr>
        <w:t>up to 4 gas analysers</w:t>
      </w:r>
      <w:r w:rsidR="00A760BB">
        <w:rPr>
          <w:sz w:val="20"/>
          <w:szCs w:val="20"/>
        </w:rPr>
        <w:t xml:space="preserve"> in racking</w:t>
      </w:r>
      <w:r w:rsidRPr="003545FD">
        <w:rPr>
          <w:sz w:val="20"/>
          <w:szCs w:val="20"/>
        </w:rPr>
        <w:t xml:space="preserve"> </w:t>
      </w:r>
      <w:r w:rsidR="00A760BB" w:rsidRPr="00E178B5">
        <w:rPr>
          <w:i/>
          <w:iCs/>
          <w:sz w:val="20"/>
          <w:szCs w:val="20"/>
        </w:rPr>
        <w:t>and</w:t>
      </w:r>
      <w:r>
        <w:rPr>
          <w:sz w:val="20"/>
          <w:szCs w:val="20"/>
        </w:rPr>
        <w:t>;</w:t>
      </w:r>
      <w:r w:rsidRPr="003545FD">
        <w:rPr>
          <w:sz w:val="20"/>
          <w:szCs w:val="20"/>
        </w:rPr>
        <w:t xml:space="preserve"> </w:t>
      </w:r>
    </w:p>
    <w:p w14:paraId="5536ED3C" w14:textId="75546720" w:rsidR="003F1B2A" w:rsidRPr="003545FD" w:rsidRDefault="00A760BB" w:rsidP="003545FD">
      <w:pPr>
        <w:pStyle w:val="ListParagraph"/>
        <w:numPr>
          <w:ilvl w:val="0"/>
          <w:numId w:val="15"/>
        </w:numPr>
        <w:rPr>
          <w:sz w:val="20"/>
          <w:szCs w:val="20"/>
        </w:rPr>
      </w:pPr>
      <w:r>
        <w:rPr>
          <w:sz w:val="20"/>
          <w:szCs w:val="20"/>
        </w:rPr>
        <w:t xml:space="preserve">1-2 </w:t>
      </w:r>
      <w:r w:rsidR="003545FD" w:rsidRPr="003545FD">
        <w:rPr>
          <w:sz w:val="20"/>
          <w:szCs w:val="20"/>
        </w:rPr>
        <w:t>PM</w:t>
      </w:r>
      <w:r w:rsidR="003545FD" w:rsidRPr="003545FD">
        <w:rPr>
          <w:sz w:val="20"/>
          <w:szCs w:val="20"/>
          <w:vertAlign w:val="subscript"/>
        </w:rPr>
        <w:t>2.5</w:t>
      </w:r>
      <w:r w:rsidR="003545FD" w:rsidRPr="003545FD">
        <w:rPr>
          <w:sz w:val="20"/>
          <w:szCs w:val="20"/>
        </w:rPr>
        <w:t xml:space="preserve"> and PM</w:t>
      </w:r>
      <w:r w:rsidR="003545FD" w:rsidRPr="003545FD">
        <w:rPr>
          <w:sz w:val="20"/>
          <w:szCs w:val="20"/>
          <w:vertAlign w:val="subscript"/>
        </w:rPr>
        <w:t xml:space="preserve">10  </w:t>
      </w:r>
      <w:r w:rsidR="003545FD" w:rsidRPr="003545FD">
        <w:rPr>
          <w:sz w:val="20"/>
          <w:szCs w:val="20"/>
        </w:rPr>
        <w:t>analysers</w:t>
      </w:r>
      <w:r>
        <w:rPr>
          <w:sz w:val="20"/>
          <w:szCs w:val="20"/>
        </w:rPr>
        <w:t xml:space="preserve"> on the bench</w:t>
      </w:r>
      <w:r w:rsidR="003545FD" w:rsidRPr="003545FD">
        <w:rPr>
          <w:sz w:val="20"/>
          <w:szCs w:val="20"/>
        </w:rPr>
        <w:t xml:space="preserve">. </w:t>
      </w:r>
    </w:p>
    <w:p w14:paraId="5A430F58" w14:textId="3C569EF8" w:rsidR="0022399F" w:rsidRDefault="0022399F" w:rsidP="003545FD">
      <w:pPr>
        <w:pStyle w:val="ListParagraph"/>
        <w:numPr>
          <w:ilvl w:val="0"/>
          <w:numId w:val="15"/>
        </w:numPr>
        <w:rPr>
          <w:sz w:val="20"/>
          <w:szCs w:val="20"/>
        </w:rPr>
      </w:pPr>
      <w:r>
        <w:rPr>
          <w:sz w:val="20"/>
          <w:szCs w:val="20"/>
        </w:rPr>
        <w:t>Space for 1-2 adults to enter the cabin and work on the equipment.</w:t>
      </w:r>
    </w:p>
    <w:p w14:paraId="621D5DF1" w14:textId="5B8468ED" w:rsidR="00A67E6C" w:rsidRPr="00A67E6C" w:rsidRDefault="00A67E6C" w:rsidP="00A67E6C">
      <w:pPr>
        <w:rPr>
          <w:sz w:val="20"/>
          <w:szCs w:val="20"/>
        </w:rPr>
      </w:pPr>
      <w:r>
        <w:rPr>
          <w:sz w:val="20"/>
          <w:szCs w:val="20"/>
        </w:rPr>
        <w:t>The housing may also be required to house meteorological equipment</w:t>
      </w:r>
      <w:r w:rsidR="00DC6340">
        <w:rPr>
          <w:sz w:val="20"/>
          <w:szCs w:val="20"/>
        </w:rPr>
        <w:t xml:space="preserve"> instead of or additional to the above equipment if space allows, without changing the stated volume. </w:t>
      </w:r>
    </w:p>
    <w:p w14:paraId="30EEA5D3" w14:textId="1FAC0392" w:rsidR="00582387" w:rsidRPr="003545FD" w:rsidRDefault="003545FD" w:rsidP="003545FD">
      <w:pPr>
        <w:pStyle w:val="Caption"/>
        <w:keepNext/>
        <w:rPr>
          <w:rFonts w:ascii="Arial" w:hAnsi="Arial" w:cs="Arial"/>
          <w:sz w:val="20"/>
          <w:szCs w:val="20"/>
        </w:rPr>
      </w:pPr>
      <w:bookmarkStart w:id="20" w:name="_Toc121132793"/>
      <w:r w:rsidRPr="003545FD">
        <w:rPr>
          <w:rFonts w:ascii="Arial" w:hAnsi="Arial" w:cs="Arial"/>
          <w:sz w:val="20"/>
          <w:szCs w:val="20"/>
        </w:rPr>
        <w:lastRenderedPageBreak/>
        <w:t xml:space="preserve">Table </w:t>
      </w:r>
      <w:r w:rsidRPr="003545FD">
        <w:rPr>
          <w:rFonts w:ascii="Arial" w:hAnsi="Arial" w:cs="Arial"/>
          <w:sz w:val="20"/>
          <w:szCs w:val="20"/>
        </w:rPr>
        <w:fldChar w:fldCharType="begin"/>
      </w:r>
      <w:r w:rsidRPr="003545FD">
        <w:rPr>
          <w:rFonts w:ascii="Arial" w:hAnsi="Arial" w:cs="Arial"/>
          <w:sz w:val="20"/>
          <w:szCs w:val="20"/>
        </w:rPr>
        <w:instrText xml:space="preserve"> SEQ Table \* ARABIC </w:instrText>
      </w:r>
      <w:r w:rsidRPr="003545FD">
        <w:rPr>
          <w:rFonts w:ascii="Arial" w:hAnsi="Arial" w:cs="Arial"/>
          <w:sz w:val="20"/>
          <w:szCs w:val="20"/>
        </w:rPr>
        <w:fldChar w:fldCharType="separate"/>
      </w:r>
      <w:r w:rsidR="003F221C">
        <w:rPr>
          <w:rFonts w:ascii="Arial" w:hAnsi="Arial" w:cs="Arial"/>
          <w:noProof/>
          <w:sz w:val="20"/>
          <w:szCs w:val="20"/>
        </w:rPr>
        <w:t>4</w:t>
      </w:r>
      <w:r w:rsidRPr="003545FD">
        <w:rPr>
          <w:rFonts w:ascii="Arial" w:hAnsi="Arial" w:cs="Arial"/>
          <w:sz w:val="20"/>
          <w:szCs w:val="20"/>
        </w:rPr>
        <w:fldChar w:fldCharType="end"/>
      </w:r>
      <w:r w:rsidRPr="003545FD">
        <w:rPr>
          <w:rFonts w:ascii="Arial" w:hAnsi="Arial" w:cs="Arial"/>
          <w:sz w:val="20"/>
          <w:szCs w:val="20"/>
        </w:rPr>
        <w:t xml:space="preserve"> Specific requirements beyond or differing from </w:t>
      </w:r>
      <w:r w:rsidR="002F3953">
        <w:rPr>
          <w:rFonts w:ascii="Arial" w:hAnsi="Arial" w:cs="Arial"/>
          <w:sz w:val="20"/>
          <w:szCs w:val="20"/>
        </w:rPr>
        <w:t>MEICA</w:t>
      </w:r>
      <w:r w:rsidRPr="003545FD">
        <w:rPr>
          <w:rFonts w:ascii="Arial" w:hAnsi="Arial" w:cs="Arial"/>
          <w:sz w:val="20"/>
          <w:szCs w:val="20"/>
        </w:rPr>
        <w:t xml:space="preserve"> standards (Large Static Walk in </w:t>
      </w:r>
      <w:r w:rsidR="002249E1">
        <w:rPr>
          <w:rFonts w:ascii="Arial" w:hAnsi="Arial" w:cs="Arial"/>
          <w:sz w:val="20"/>
          <w:szCs w:val="20"/>
        </w:rPr>
        <w:t>Cabin</w:t>
      </w:r>
      <w:r w:rsidRPr="003545FD">
        <w:rPr>
          <w:rFonts w:ascii="Arial" w:hAnsi="Arial" w:cs="Arial"/>
          <w:sz w:val="20"/>
          <w:szCs w:val="20"/>
        </w:rPr>
        <w:t>)</w:t>
      </w:r>
      <w:bookmarkEnd w:id="20"/>
    </w:p>
    <w:tbl>
      <w:tblPr>
        <w:tblStyle w:val="TableGrid"/>
        <w:tblW w:w="9067" w:type="dxa"/>
        <w:tblLook w:val="04A0" w:firstRow="1" w:lastRow="0" w:firstColumn="1" w:lastColumn="0" w:noHBand="0" w:noVBand="1"/>
      </w:tblPr>
      <w:tblGrid>
        <w:gridCol w:w="1710"/>
        <w:gridCol w:w="1546"/>
        <w:gridCol w:w="5811"/>
      </w:tblGrid>
      <w:tr w:rsidR="00582387" w:rsidRPr="00DE6364" w14:paraId="408AE117" w14:textId="77777777" w:rsidTr="1D42B4A5">
        <w:trPr>
          <w:trHeight w:val="722"/>
        </w:trPr>
        <w:tc>
          <w:tcPr>
            <w:tcW w:w="1710" w:type="dxa"/>
            <w:shd w:val="clear" w:color="auto" w:fill="A6A6A6" w:themeFill="background1" w:themeFillShade="A6"/>
          </w:tcPr>
          <w:p w14:paraId="4E5C59FB" w14:textId="77777777" w:rsidR="00582387" w:rsidRPr="00DE6364" w:rsidRDefault="00582387" w:rsidP="0023018A">
            <w:pPr>
              <w:rPr>
                <w:b/>
                <w:bCs/>
                <w:sz w:val="20"/>
                <w:szCs w:val="20"/>
              </w:rPr>
            </w:pPr>
            <w:r>
              <w:rPr>
                <w:b/>
                <w:bCs/>
                <w:sz w:val="20"/>
                <w:szCs w:val="20"/>
              </w:rPr>
              <w:t>Category</w:t>
            </w:r>
          </w:p>
        </w:tc>
        <w:tc>
          <w:tcPr>
            <w:tcW w:w="1546" w:type="dxa"/>
            <w:shd w:val="clear" w:color="auto" w:fill="A6A6A6" w:themeFill="background1" w:themeFillShade="A6"/>
          </w:tcPr>
          <w:p w14:paraId="47F4D337" w14:textId="77777777" w:rsidR="00582387" w:rsidRPr="00DE6364" w:rsidRDefault="00582387" w:rsidP="0023018A">
            <w:pPr>
              <w:rPr>
                <w:b/>
                <w:bCs/>
                <w:sz w:val="20"/>
                <w:szCs w:val="20"/>
              </w:rPr>
            </w:pPr>
            <w:r w:rsidRPr="00DE6364">
              <w:rPr>
                <w:b/>
                <w:bCs/>
                <w:sz w:val="20"/>
                <w:szCs w:val="20"/>
              </w:rPr>
              <w:t>Section Title</w:t>
            </w:r>
          </w:p>
        </w:tc>
        <w:tc>
          <w:tcPr>
            <w:tcW w:w="5811" w:type="dxa"/>
            <w:shd w:val="clear" w:color="auto" w:fill="A6A6A6" w:themeFill="background1" w:themeFillShade="A6"/>
          </w:tcPr>
          <w:p w14:paraId="1657C770" w14:textId="77777777" w:rsidR="00582387" w:rsidRPr="00DE6364" w:rsidRDefault="00582387" w:rsidP="0023018A">
            <w:pPr>
              <w:rPr>
                <w:b/>
                <w:bCs/>
                <w:sz w:val="20"/>
                <w:szCs w:val="20"/>
              </w:rPr>
            </w:pPr>
            <w:r w:rsidRPr="00DE6364">
              <w:rPr>
                <w:b/>
                <w:bCs/>
                <w:sz w:val="20"/>
                <w:szCs w:val="20"/>
              </w:rPr>
              <w:t>Deviation from the MEICA standard above</w:t>
            </w:r>
          </w:p>
        </w:tc>
      </w:tr>
      <w:tr w:rsidR="00582387" w:rsidRPr="00DE6364" w14:paraId="0765E3D0" w14:textId="77777777" w:rsidTr="1D42B4A5">
        <w:tc>
          <w:tcPr>
            <w:tcW w:w="1710" w:type="dxa"/>
          </w:tcPr>
          <w:p w14:paraId="2AE9FB2F" w14:textId="77777777" w:rsidR="00582387" w:rsidRPr="00DE6364" w:rsidRDefault="00582387" w:rsidP="0023018A">
            <w:pPr>
              <w:rPr>
                <w:sz w:val="20"/>
                <w:szCs w:val="20"/>
              </w:rPr>
            </w:pPr>
            <w:r>
              <w:rPr>
                <w:sz w:val="20"/>
                <w:szCs w:val="20"/>
              </w:rPr>
              <w:t>Construction</w:t>
            </w:r>
          </w:p>
        </w:tc>
        <w:tc>
          <w:tcPr>
            <w:tcW w:w="1546" w:type="dxa"/>
          </w:tcPr>
          <w:p w14:paraId="6D560D04" w14:textId="77777777" w:rsidR="00582387" w:rsidRPr="00DE6364" w:rsidRDefault="00582387" w:rsidP="0023018A">
            <w:pPr>
              <w:rPr>
                <w:sz w:val="20"/>
                <w:szCs w:val="20"/>
              </w:rPr>
            </w:pPr>
            <w:r w:rsidRPr="00DE6364">
              <w:rPr>
                <w:sz w:val="20"/>
                <w:szCs w:val="20"/>
              </w:rPr>
              <w:t>Sizing</w:t>
            </w:r>
            <w:r w:rsidRPr="00DE6364">
              <w:rPr>
                <w:sz w:val="20"/>
                <w:szCs w:val="20"/>
              </w:rPr>
              <w:tab/>
            </w:r>
          </w:p>
        </w:tc>
        <w:tc>
          <w:tcPr>
            <w:tcW w:w="5811" w:type="dxa"/>
          </w:tcPr>
          <w:p w14:paraId="193E5595" w14:textId="6EC27588" w:rsidR="00582387" w:rsidRPr="00DE6364" w:rsidRDefault="1F008870" w:rsidP="0023018A">
            <w:pPr>
              <w:rPr>
                <w:sz w:val="20"/>
                <w:szCs w:val="20"/>
              </w:rPr>
            </w:pPr>
            <w:r w:rsidRPr="09EFB0E3">
              <w:rPr>
                <w:sz w:val="20"/>
                <w:szCs w:val="20"/>
              </w:rPr>
              <w:t xml:space="preserve">The </w:t>
            </w:r>
            <w:r w:rsidR="672B83BC" w:rsidRPr="09EFB0E3">
              <w:rPr>
                <w:sz w:val="20"/>
                <w:szCs w:val="20"/>
              </w:rPr>
              <w:t>cabin</w:t>
            </w:r>
            <w:r w:rsidRPr="09EFB0E3">
              <w:rPr>
                <w:sz w:val="20"/>
                <w:szCs w:val="20"/>
              </w:rPr>
              <w:t xml:space="preserve"> dimensions shall be approximately: </w:t>
            </w:r>
            <w:r w:rsidR="00DE05EC">
              <w:rPr>
                <w:sz w:val="20"/>
                <w:szCs w:val="20"/>
              </w:rPr>
              <w:t>2500</w:t>
            </w:r>
            <w:r w:rsidR="00DE05EC" w:rsidRPr="09EFB0E3">
              <w:rPr>
                <w:sz w:val="20"/>
                <w:szCs w:val="20"/>
              </w:rPr>
              <w:t xml:space="preserve">mm </w:t>
            </w:r>
            <w:r w:rsidRPr="09EFB0E3">
              <w:rPr>
                <w:sz w:val="20"/>
                <w:szCs w:val="20"/>
              </w:rPr>
              <w:t xml:space="preserve">(W) x </w:t>
            </w:r>
            <w:r w:rsidR="006E1486">
              <w:rPr>
                <w:sz w:val="20"/>
                <w:szCs w:val="20"/>
              </w:rPr>
              <w:t>1200</w:t>
            </w:r>
            <w:r w:rsidR="006E1486" w:rsidRPr="09EFB0E3">
              <w:rPr>
                <w:sz w:val="20"/>
                <w:szCs w:val="20"/>
              </w:rPr>
              <w:t xml:space="preserve">mm </w:t>
            </w:r>
            <w:r w:rsidRPr="09EFB0E3">
              <w:rPr>
                <w:sz w:val="20"/>
                <w:szCs w:val="20"/>
              </w:rPr>
              <w:t xml:space="preserve">(D) x </w:t>
            </w:r>
            <w:r w:rsidR="006E1486">
              <w:rPr>
                <w:sz w:val="20"/>
                <w:szCs w:val="20"/>
              </w:rPr>
              <w:t>2300</w:t>
            </w:r>
            <w:r w:rsidR="006E1486" w:rsidRPr="09EFB0E3">
              <w:rPr>
                <w:sz w:val="20"/>
                <w:szCs w:val="20"/>
              </w:rPr>
              <w:t xml:space="preserve">mm </w:t>
            </w:r>
            <w:r w:rsidRPr="09EFB0E3">
              <w:rPr>
                <w:sz w:val="20"/>
                <w:szCs w:val="20"/>
              </w:rPr>
              <w:t xml:space="preserve">(H) excluding any external fittings such as sample inlet cage etc. </w:t>
            </w:r>
            <w:r w:rsidR="55C4F802" w:rsidRPr="09EFB0E3">
              <w:rPr>
                <w:sz w:val="20"/>
                <w:szCs w:val="20"/>
              </w:rPr>
              <w:t xml:space="preserve"> </w:t>
            </w:r>
            <w:r w:rsidR="00B2362B" w:rsidRPr="0019091C">
              <w:rPr>
                <w:sz w:val="20"/>
                <w:szCs w:val="20"/>
              </w:rPr>
              <w:t xml:space="preserve"> The </w:t>
            </w:r>
            <w:r w:rsidR="00B2362B">
              <w:rPr>
                <w:sz w:val="20"/>
                <w:szCs w:val="20"/>
              </w:rPr>
              <w:t>cabin</w:t>
            </w:r>
            <w:r w:rsidR="00B2362B" w:rsidRPr="0019091C">
              <w:rPr>
                <w:sz w:val="20"/>
                <w:szCs w:val="20"/>
              </w:rPr>
              <w:t xml:space="preserve"> shall</w:t>
            </w:r>
            <w:r w:rsidR="00B2362B">
              <w:rPr>
                <w:sz w:val="20"/>
                <w:szCs w:val="20"/>
              </w:rPr>
              <w:t xml:space="preserve"> have two access doors, one to the analyser room, and the other to the gas storage area.</w:t>
            </w:r>
          </w:p>
        </w:tc>
      </w:tr>
      <w:tr w:rsidR="00582387" w:rsidRPr="000C7E4F" w14:paraId="5695D061" w14:textId="77777777" w:rsidTr="1D42B4A5">
        <w:tc>
          <w:tcPr>
            <w:tcW w:w="1710" w:type="dxa"/>
          </w:tcPr>
          <w:p w14:paraId="6AE15C41" w14:textId="77777777" w:rsidR="00582387" w:rsidRPr="00DE6364" w:rsidRDefault="00582387" w:rsidP="0023018A">
            <w:pPr>
              <w:rPr>
                <w:sz w:val="20"/>
                <w:szCs w:val="20"/>
              </w:rPr>
            </w:pPr>
            <w:r>
              <w:rPr>
                <w:sz w:val="20"/>
                <w:szCs w:val="20"/>
              </w:rPr>
              <w:t>Construction</w:t>
            </w:r>
          </w:p>
        </w:tc>
        <w:tc>
          <w:tcPr>
            <w:tcW w:w="1546" w:type="dxa"/>
          </w:tcPr>
          <w:p w14:paraId="629D2492" w14:textId="44E725DA" w:rsidR="00582387" w:rsidRPr="00DE6364" w:rsidRDefault="00582387" w:rsidP="0023018A">
            <w:pPr>
              <w:rPr>
                <w:sz w:val="20"/>
                <w:szCs w:val="20"/>
              </w:rPr>
            </w:pPr>
            <w:r>
              <w:rPr>
                <w:sz w:val="20"/>
                <w:szCs w:val="20"/>
              </w:rPr>
              <w:t>Ingress</w:t>
            </w:r>
            <w:r w:rsidR="002F3953">
              <w:rPr>
                <w:sz w:val="20"/>
                <w:szCs w:val="20"/>
              </w:rPr>
              <w:t>/</w:t>
            </w:r>
            <w:r>
              <w:rPr>
                <w:sz w:val="20"/>
                <w:szCs w:val="20"/>
              </w:rPr>
              <w:t>Egress of Sample heads</w:t>
            </w:r>
          </w:p>
        </w:tc>
        <w:tc>
          <w:tcPr>
            <w:tcW w:w="5811" w:type="dxa"/>
          </w:tcPr>
          <w:p w14:paraId="4190D1BA" w14:textId="6552BAA6" w:rsidR="00582387" w:rsidRDefault="00582387" w:rsidP="0025655A">
            <w:pPr>
              <w:rPr>
                <w:sz w:val="20"/>
                <w:szCs w:val="20"/>
              </w:rPr>
            </w:pPr>
            <w:r w:rsidRPr="0025655A">
              <w:rPr>
                <w:sz w:val="20"/>
                <w:szCs w:val="20"/>
              </w:rPr>
              <w:t xml:space="preserve">To provide weatherproof access for analyser sampling heads, appropriate glands must be supplied and fitted. Consideration </w:t>
            </w:r>
            <w:r w:rsidR="00485B09">
              <w:rPr>
                <w:sz w:val="20"/>
                <w:szCs w:val="20"/>
              </w:rPr>
              <w:t>must</w:t>
            </w:r>
            <w:r w:rsidRPr="0025655A">
              <w:rPr>
                <w:sz w:val="20"/>
                <w:szCs w:val="20"/>
              </w:rPr>
              <w:t xml:space="preserve"> be given when locating these to permit easy access from the side of the </w:t>
            </w:r>
            <w:r w:rsidR="002249E1">
              <w:rPr>
                <w:sz w:val="20"/>
                <w:szCs w:val="20"/>
              </w:rPr>
              <w:t>cabin</w:t>
            </w:r>
            <w:r w:rsidRPr="0025655A">
              <w:rPr>
                <w:sz w:val="20"/>
                <w:szCs w:val="20"/>
              </w:rPr>
              <w:t>.</w:t>
            </w:r>
          </w:p>
          <w:p w14:paraId="3C3DFB72" w14:textId="77777777" w:rsidR="0025655A" w:rsidRPr="0025655A" w:rsidRDefault="0025655A" w:rsidP="0025655A">
            <w:pPr>
              <w:rPr>
                <w:sz w:val="20"/>
                <w:szCs w:val="20"/>
              </w:rPr>
            </w:pPr>
          </w:p>
          <w:p w14:paraId="525EE7A5" w14:textId="04BA7790" w:rsidR="00A033F8" w:rsidRDefault="00A033F8" w:rsidP="00A033F8">
            <w:pPr>
              <w:rPr>
                <w:sz w:val="20"/>
                <w:szCs w:val="20"/>
              </w:rPr>
            </w:pPr>
            <w:r w:rsidRPr="008015E7">
              <w:rPr>
                <w:sz w:val="20"/>
                <w:szCs w:val="20"/>
              </w:rPr>
              <w:t>Sample heads shall be enclosed within an anti-vandal sample inlet cage</w:t>
            </w:r>
            <w:r w:rsidR="00E65F3D">
              <w:rPr>
                <w:sz w:val="20"/>
                <w:szCs w:val="20"/>
              </w:rPr>
              <w:t>, that is anti-corrosive in nature, and included in the warranty</w:t>
            </w:r>
            <w:r w:rsidRPr="008015E7">
              <w:rPr>
                <w:sz w:val="20"/>
                <w:szCs w:val="20"/>
              </w:rPr>
              <w:t xml:space="preserve">. This should open </w:t>
            </w:r>
            <w:r>
              <w:rPr>
                <w:sz w:val="20"/>
                <w:szCs w:val="20"/>
              </w:rPr>
              <w:t>at the side and at the top</w:t>
            </w:r>
            <w:r w:rsidRPr="008015E7">
              <w:rPr>
                <w:sz w:val="20"/>
                <w:szCs w:val="20"/>
              </w:rPr>
              <w:t xml:space="preserve"> allowing for easy access to the analyser inlets</w:t>
            </w:r>
            <w:r>
              <w:rPr>
                <w:sz w:val="20"/>
                <w:szCs w:val="20"/>
              </w:rPr>
              <w:t>/sampler heads</w:t>
            </w:r>
            <w:r w:rsidRPr="008015E7">
              <w:rPr>
                <w:sz w:val="20"/>
                <w:szCs w:val="20"/>
              </w:rPr>
              <w:t xml:space="preserve"> and have sufficient height for PM inlets to be removed and zero filters to be fitted. The design is to be provided to CMCU and QA/QC ahead of manufacture for final approval</w:t>
            </w:r>
          </w:p>
          <w:p w14:paraId="1DE98C45" w14:textId="77777777" w:rsidR="00A033F8" w:rsidRDefault="00A033F8" w:rsidP="00A033F8">
            <w:pPr>
              <w:rPr>
                <w:sz w:val="20"/>
                <w:szCs w:val="20"/>
              </w:rPr>
            </w:pPr>
          </w:p>
          <w:p w14:paraId="6BCA9A7E" w14:textId="78A34E18" w:rsidR="00E70368" w:rsidRPr="0025655A" w:rsidRDefault="00F10642" w:rsidP="00A033F8">
            <w:pPr>
              <w:rPr>
                <w:sz w:val="20"/>
                <w:szCs w:val="20"/>
              </w:rPr>
            </w:pPr>
            <w:r>
              <w:rPr>
                <w:sz w:val="20"/>
                <w:szCs w:val="20"/>
              </w:rPr>
              <w:t>Maximum height of the inlet cage shall be no more than 750mm above the top of the enclosure</w:t>
            </w:r>
          </w:p>
        </w:tc>
      </w:tr>
      <w:tr w:rsidR="000D66D9" w:rsidRPr="00DE6364" w14:paraId="4A53E24A" w14:textId="77777777" w:rsidTr="1D42B4A5">
        <w:tc>
          <w:tcPr>
            <w:tcW w:w="1710" w:type="dxa"/>
          </w:tcPr>
          <w:p w14:paraId="4C67F5C6" w14:textId="77777777" w:rsidR="000D66D9" w:rsidRPr="00DE6364" w:rsidRDefault="000D66D9" w:rsidP="000D66D9">
            <w:pPr>
              <w:rPr>
                <w:sz w:val="20"/>
                <w:szCs w:val="20"/>
              </w:rPr>
            </w:pPr>
            <w:r>
              <w:rPr>
                <w:sz w:val="20"/>
                <w:szCs w:val="20"/>
              </w:rPr>
              <w:t>Construction</w:t>
            </w:r>
          </w:p>
        </w:tc>
        <w:tc>
          <w:tcPr>
            <w:tcW w:w="1546" w:type="dxa"/>
          </w:tcPr>
          <w:p w14:paraId="4B4C9348" w14:textId="77777777" w:rsidR="000D66D9" w:rsidRPr="00DE6364" w:rsidRDefault="000D66D9" w:rsidP="000D66D9">
            <w:pPr>
              <w:rPr>
                <w:sz w:val="20"/>
                <w:szCs w:val="20"/>
              </w:rPr>
            </w:pPr>
            <w:r w:rsidRPr="00DE6364">
              <w:rPr>
                <w:sz w:val="20"/>
                <w:szCs w:val="20"/>
              </w:rPr>
              <w:t>Roof</w:t>
            </w:r>
          </w:p>
        </w:tc>
        <w:tc>
          <w:tcPr>
            <w:tcW w:w="5811" w:type="dxa"/>
          </w:tcPr>
          <w:p w14:paraId="53BB0FA4" w14:textId="3C3A64FC" w:rsidR="000D66D9" w:rsidRPr="00DE6364" w:rsidRDefault="000D66D9" w:rsidP="000D66D9">
            <w:pPr>
              <w:rPr>
                <w:sz w:val="20"/>
                <w:szCs w:val="20"/>
              </w:rPr>
            </w:pPr>
            <w:r w:rsidRPr="00DE6364">
              <w:rPr>
                <w:sz w:val="20"/>
                <w:szCs w:val="20"/>
              </w:rPr>
              <w:t>Contrary to the MEICA requirements in</w:t>
            </w:r>
            <w:r>
              <w:rPr>
                <w:sz w:val="20"/>
                <w:szCs w:val="20"/>
              </w:rPr>
              <w:t xml:space="preserve"> </w:t>
            </w:r>
            <w:r>
              <w:rPr>
                <w:sz w:val="20"/>
                <w:szCs w:val="20"/>
              </w:rPr>
              <w:fldChar w:fldCharType="begin"/>
            </w:r>
            <w:r>
              <w:rPr>
                <w:sz w:val="20"/>
                <w:szCs w:val="20"/>
              </w:rPr>
              <w:instrText xml:space="preserve"> REF _Ref122008660 \h </w:instrText>
            </w:r>
            <w:r>
              <w:rPr>
                <w:sz w:val="20"/>
                <w:szCs w:val="20"/>
              </w:rPr>
            </w:r>
            <w:r>
              <w:rPr>
                <w:sz w:val="20"/>
                <w:szCs w:val="20"/>
              </w:rPr>
              <w:fldChar w:fldCharType="separate"/>
            </w:r>
            <w:r w:rsidR="003F221C" w:rsidRPr="00FE4AED">
              <w:t xml:space="preserve">Appendix </w:t>
            </w:r>
            <w:r w:rsidR="003F221C">
              <w:rPr>
                <w:i/>
                <w:iCs/>
                <w:noProof/>
              </w:rPr>
              <w:t>2</w:t>
            </w:r>
            <w:r>
              <w:rPr>
                <w:sz w:val="20"/>
                <w:szCs w:val="20"/>
              </w:rPr>
              <w:fldChar w:fldCharType="end"/>
            </w:r>
            <w:r>
              <w:rPr>
                <w:sz w:val="20"/>
                <w:szCs w:val="20"/>
              </w:rPr>
              <w:t xml:space="preserve"> the roof must be </w:t>
            </w:r>
            <w:r w:rsidR="00DE47B9">
              <w:rPr>
                <w:sz w:val="20"/>
                <w:szCs w:val="20"/>
              </w:rPr>
              <w:t>flat</w:t>
            </w:r>
            <w:r w:rsidRPr="00DE6364">
              <w:rPr>
                <w:sz w:val="20"/>
                <w:szCs w:val="20"/>
              </w:rPr>
              <w:t>. However, consideration must be given to inlet glands available and their compatibility with analyser sampler heads.</w:t>
            </w:r>
            <w:r>
              <w:rPr>
                <w:sz w:val="20"/>
                <w:szCs w:val="20"/>
              </w:rPr>
              <w:t xml:space="preserve"> Design must also ensure that water cannot pool on the cabin roof.</w:t>
            </w:r>
            <w:r w:rsidRPr="00DE6364">
              <w:rPr>
                <w:sz w:val="20"/>
                <w:szCs w:val="20"/>
              </w:rPr>
              <w:t xml:space="preserve"> </w:t>
            </w:r>
            <w:r>
              <w:rPr>
                <w:sz w:val="20"/>
                <w:szCs w:val="20"/>
              </w:rPr>
              <w:t xml:space="preserve">An example sample inlet cage is shown in </w:t>
            </w:r>
            <w:r>
              <w:rPr>
                <w:sz w:val="20"/>
                <w:szCs w:val="20"/>
              </w:rPr>
              <w:fldChar w:fldCharType="begin"/>
            </w:r>
            <w:r>
              <w:rPr>
                <w:sz w:val="20"/>
                <w:szCs w:val="20"/>
              </w:rPr>
              <w:instrText xml:space="preserve"> REF _Ref122008681 \h </w:instrText>
            </w:r>
            <w:r>
              <w:rPr>
                <w:sz w:val="20"/>
                <w:szCs w:val="20"/>
              </w:rPr>
            </w:r>
            <w:r>
              <w:rPr>
                <w:sz w:val="20"/>
                <w:szCs w:val="20"/>
              </w:rPr>
              <w:fldChar w:fldCharType="separate"/>
            </w:r>
            <w:r w:rsidR="003F221C" w:rsidRPr="00FE4AED">
              <w:t xml:space="preserve">Appendix </w:t>
            </w:r>
            <w:r w:rsidR="003F221C">
              <w:rPr>
                <w:i/>
                <w:iCs/>
                <w:noProof/>
              </w:rPr>
              <w:t>12</w:t>
            </w:r>
            <w:r>
              <w:rPr>
                <w:sz w:val="20"/>
                <w:szCs w:val="20"/>
              </w:rPr>
              <w:fldChar w:fldCharType="end"/>
            </w:r>
          </w:p>
        </w:tc>
      </w:tr>
      <w:tr w:rsidR="00722579" w:rsidRPr="00DE6364" w14:paraId="1A78BC17" w14:textId="77777777" w:rsidTr="1D42B4A5">
        <w:tc>
          <w:tcPr>
            <w:tcW w:w="1710" w:type="dxa"/>
          </w:tcPr>
          <w:p w14:paraId="56BA261A" w14:textId="04E08CE6" w:rsidR="00722579" w:rsidRDefault="00722579" w:rsidP="0023018A">
            <w:pPr>
              <w:rPr>
                <w:sz w:val="20"/>
                <w:szCs w:val="20"/>
              </w:rPr>
            </w:pPr>
            <w:r>
              <w:rPr>
                <w:sz w:val="20"/>
                <w:szCs w:val="20"/>
              </w:rPr>
              <w:t>Construction</w:t>
            </w:r>
          </w:p>
        </w:tc>
        <w:tc>
          <w:tcPr>
            <w:tcW w:w="1546" w:type="dxa"/>
          </w:tcPr>
          <w:p w14:paraId="3E5496F3" w14:textId="349E0341" w:rsidR="00722579" w:rsidRPr="00DE6364" w:rsidRDefault="00722579" w:rsidP="0023018A">
            <w:pPr>
              <w:rPr>
                <w:sz w:val="20"/>
                <w:szCs w:val="20"/>
              </w:rPr>
            </w:pPr>
            <w:r>
              <w:rPr>
                <w:sz w:val="20"/>
                <w:szCs w:val="20"/>
              </w:rPr>
              <w:t>Roof</w:t>
            </w:r>
          </w:p>
        </w:tc>
        <w:tc>
          <w:tcPr>
            <w:tcW w:w="5811" w:type="dxa"/>
          </w:tcPr>
          <w:p w14:paraId="4E2FCA82" w14:textId="7BF78626" w:rsidR="00722579" w:rsidRPr="00DE6364" w:rsidRDefault="00722579" w:rsidP="0023018A">
            <w:pPr>
              <w:rPr>
                <w:sz w:val="20"/>
                <w:szCs w:val="20"/>
              </w:rPr>
            </w:pPr>
            <w:r>
              <w:rPr>
                <w:sz w:val="20"/>
                <w:szCs w:val="20"/>
              </w:rPr>
              <w:t>While as per below, roof access should not be required</w:t>
            </w:r>
            <w:r w:rsidR="00C90D2A">
              <w:rPr>
                <w:sz w:val="20"/>
                <w:szCs w:val="20"/>
              </w:rPr>
              <w:t xml:space="preserve"> or intended</w:t>
            </w:r>
            <w:r>
              <w:rPr>
                <w:sz w:val="20"/>
                <w:szCs w:val="20"/>
              </w:rPr>
              <w:t xml:space="preserve">, roof must be structurally strong enough to bear human weight in addition to any sample cages etc installed. </w:t>
            </w:r>
            <w:r w:rsidR="00C90D2A">
              <w:rPr>
                <w:sz w:val="20"/>
                <w:szCs w:val="20"/>
              </w:rPr>
              <w:t>The intention is to provide resilience in case of vandalism/accidents.</w:t>
            </w:r>
          </w:p>
        </w:tc>
      </w:tr>
      <w:tr w:rsidR="00582387" w:rsidRPr="00DE6364" w14:paraId="7EAE9B46" w14:textId="77777777" w:rsidTr="1D42B4A5">
        <w:tc>
          <w:tcPr>
            <w:tcW w:w="1710" w:type="dxa"/>
          </w:tcPr>
          <w:p w14:paraId="0F1D1750" w14:textId="77777777" w:rsidR="00582387" w:rsidRPr="00DE6364" w:rsidRDefault="00582387" w:rsidP="0023018A">
            <w:pPr>
              <w:rPr>
                <w:sz w:val="20"/>
                <w:szCs w:val="20"/>
              </w:rPr>
            </w:pPr>
            <w:r>
              <w:rPr>
                <w:sz w:val="20"/>
                <w:szCs w:val="20"/>
              </w:rPr>
              <w:t>Construction</w:t>
            </w:r>
          </w:p>
        </w:tc>
        <w:tc>
          <w:tcPr>
            <w:tcW w:w="1546" w:type="dxa"/>
          </w:tcPr>
          <w:p w14:paraId="6A141726" w14:textId="77777777" w:rsidR="00582387" w:rsidRPr="00DE6364" w:rsidRDefault="00582387" w:rsidP="0023018A">
            <w:pPr>
              <w:rPr>
                <w:sz w:val="20"/>
                <w:szCs w:val="20"/>
              </w:rPr>
            </w:pPr>
            <w:r w:rsidRPr="00DE6364">
              <w:rPr>
                <w:sz w:val="20"/>
                <w:szCs w:val="20"/>
              </w:rPr>
              <w:t>Roof Access</w:t>
            </w:r>
          </w:p>
        </w:tc>
        <w:tc>
          <w:tcPr>
            <w:tcW w:w="5811" w:type="dxa"/>
          </w:tcPr>
          <w:p w14:paraId="779E5DE8" w14:textId="64D274E6" w:rsidR="00582387" w:rsidRDefault="00582387" w:rsidP="00582387">
            <w:pPr>
              <w:spacing w:after="160" w:line="259" w:lineRule="auto"/>
              <w:rPr>
                <w:sz w:val="20"/>
                <w:szCs w:val="20"/>
              </w:rPr>
            </w:pPr>
            <w:r w:rsidRPr="00DE6364">
              <w:rPr>
                <w:sz w:val="20"/>
                <w:szCs w:val="20"/>
              </w:rPr>
              <w:t xml:space="preserve">Where access to the roof is required to maintain sampler heads in their cage, </w:t>
            </w:r>
            <w:r w:rsidR="003545FD">
              <w:rPr>
                <w:sz w:val="20"/>
                <w:szCs w:val="20"/>
              </w:rPr>
              <w:t xml:space="preserve">tie-off bolts </w:t>
            </w:r>
            <w:r w:rsidR="001D4129">
              <w:rPr>
                <w:sz w:val="20"/>
                <w:szCs w:val="20"/>
              </w:rPr>
              <w:t>must</w:t>
            </w:r>
            <w:r w:rsidR="003545FD">
              <w:rPr>
                <w:sz w:val="20"/>
                <w:szCs w:val="20"/>
              </w:rPr>
              <w:t xml:space="preserve"> be mounted at appropriate locations to allow access using best practice (</w:t>
            </w:r>
            <w:r w:rsidR="000D66D9">
              <w:rPr>
                <w:sz w:val="20"/>
                <w:szCs w:val="20"/>
              </w:rPr>
              <w:fldChar w:fldCharType="begin"/>
            </w:r>
            <w:r w:rsidR="000D66D9">
              <w:rPr>
                <w:sz w:val="20"/>
                <w:szCs w:val="20"/>
              </w:rPr>
              <w:instrText xml:space="preserve"> REF _Ref122011435 \h </w:instrText>
            </w:r>
            <w:r w:rsidR="000D66D9">
              <w:rPr>
                <w:sz w:val="20"/>
                <w:szCs w:val="20"/>
              </w:rPr>
            </w:r>
            <w:r w:rsidR="000D66D9">
              <w:rPr>
                <w:sz w:val="20"/>
                <w:szCs w:val="20"/>
              </w:rPr>
              <w:fldChar w:fldCharType="separate"/>
            </w:r>
            <w:r w:rsidR="003F221C" w:rsidRPr="00FE4AED">
              <w:t xml:space="preserve">Appendix </w:t>
            </w:r>
            <w:r w:rsidR="003F221C">
              <w:rPr>
                <w:i/>
                <w:iCs/>
                <w:noProof/>
              </w:rPr>
              <w:t>8</w:t>
            </w:r>
            <w:r w:rsidR="000D66D9">
              <w:rPr>
                <w:sz w:val="20"/>
                <w:szCs w:val="20"/>
              </w:rPr>
              <w:fldChar w:fldCharType="end"/>
            </w:r>
            <w:r w:rsidR="003545FD">
              <w:rPr>
                <w:sz w:val="20"/>
                <w:szCs w:val="20"/>
              </w:rPr>
              <w:t>)</w:t>
            </w:r>
            <w:r w:rsidRPr="00DE6364">
              <w:rPr>
                <w:sz w:val="20"/>
                <w:szCs w:val="20"/>
              </w:rPr>
              <w:t xml:space="preserve">. </w:t>
            </w:r>
          </w:p>
          <w:p w14:paraId="1FC90AC3" w14:textId="1A265771" w:rsidR="00A316AB" w:rsidRPr="00DE6364" w:rsidRDefault="00A316AB" w:rsidP="00582387">
            <w:pPr>
              <w:spacing w:after="160" w:line="259" w:lineRule="auto"/>
              <w:rPr>
                <w:sz w:val="20"/>
                <w:szCs w:val="20"/>
              </w:rPr>
            </w:pPr>
            <w:r>
              <w:rPr>
                <w:sz w:val="20"/>
                <w:szCs w:val="20"/>
              </w:rPr>
              <w:t xml:space="preserve">Any requirement to access </w:t>
            </w:r>
            <w:r w:rsidRPr="00A87EAA">
              <w:rPr>
                <w:i/>
                <w:iCs/>
                <w:sz w:val="20"/>
                <w:szCs w:val="20"/>
              </w:rPr>
              <w:t>onto</w:t>
            </w:r>
            <w:r>
              <w:rPr>
                <w:sz w:val="20"/>
                <w:szCs w:val="20"/>
              </w:rPr>
              <w:t xml:space="preserve"> the roof </w:t>
            </w:r>
            <w:r w:rsidR="00485B09">
              <w:rPr>
                <w:sz w:val="20"/>
                <w:szCs w:val="20"/>
              </w:rPr>
              <w:t>must</w:t>
            </w:r>
            <w:r>
              <w:rPr>
                <w:sz w:val="20"/>
                <w:szCs w:val="20"/>
              </w:rPr>
              <w:t xml:space="preserve"> be designed out</w:t>
            </w:r>
            <w:r w:rsidR="00A87EAA">
              <w:rPr>
                <w:sz w:val="20"/>
                <w:szCs w:val="20"/>
              </w:rPr>
              <w:t xml:space="preserve"> – i.e. sample heads and roof furniture should be accessible from the edge without climbing on the roof. </w:t>
            </w:r>
          </w:p>
        </w:tc>
      </w:tr>
      <w:tr w:rsidR="003C68EF" w:rsidRPr="00DE6364" w14:paraId="428B377B" w14:textId="77777777" w:rsidTr="1D42B4A5">
        <w:trPr>
          <w:trHeight w:val="183"/>
        </w:trPr>
        <w:tc>
          <w:tcPr>
            <w:tcW w:w="1710" w:type="dxa"/>
          </w:tcPr>
          <w:p w14:paraId="504F58ED" w14:textId="5C6AC2D8" w:rsidR="003C68EF" w:rsidRDefault="003C68EF" w:rsidP="0023018A">
            <w:pPr>
              <w:rPr>
                <w:sz w:val="20"/>
                <w:szCs w:val="20"/>
              </w:rPr>
            </w:pPr>
            <w:r>
              <w:rPr>
                <w:sz w:val="20"/>
                <w:szCs w:val="20"/>
              </w:rPr>
              <w:t>Construction</w:t>
            </w:r>
          </w:p>
        </w:tc>
        <w:tc>
          <w:tcPr>
            <w:tcW w:w="1546" w:type="dxa"/>
          </w:tcPr>
          <w:p w14:paraId="0F1353C4" w14:textId="2053FB10" w:rsidR="003C68EF" w:rsidRPr="00DE6364" w:rsidRDefault="003C68EF" w:rsidP="0023018A">
            <w:pPr>
              <w:rPr>
                <w:sz w:val="20"/>
                <w:szCs w:val="20"/>
              </w:rPr>
            </w:pPr>
            <w:r>
              <w:rPr>
                <w:sz w:val="20"/>
                <w:szCs w:val="20"/>
              </w:rPr>
              <w:t xml:space="preserve">Ladder </w:t>
            </w:r>
            <w:r w:rsidR="001D4129">
              <w:rPr>
                <w:sz w:val="20"/>
                <w:szCs w:val="20"/>
              </w:rPr>
              <w:t>Restraints</w:t>
            </w:r>
            <w:r>
              <w:rPr>
                <w:sz w:val="20"/>
                <w:szCs w:val="20"/>
              </w:rPr>
              <w:t xml:space="preserve"> </w:t>
            </w:r>
          </w:p>
        </w:tc>
        <w:tc>
          <w:tcPr>
            <w:tcW w:w="5811" w:type="dxa"/>
          </w:tcPr>
          <w:p w14:paraId="7724CABB" w14:textId="29C36007" w:rsidR="00D43D44" w:rsidRDefault="00485B09" w:rsidP="00D43D44">
            <w:pPr>
              <w:rPr>
                <w:i/>
                <w:iCs/>
              </w:rPr>
            </w:pPr>
            <w:r>
              <w:rPr>
                <w:sz w:val="20"/>
                <w:szCs w:val="20"/>
              </w:rPr>
              <w:t>Must</w:t>
            </w:r>
            <w:r w:rsidR="003C68EF">
              <w:rPr>
                <w:sz w:val="20"/>
                <w:szCs w:val="20"/>
              </w:rPr>
              <w:t xml:space="preserve"> be fitted to a recognised standard by a qualified person if being used to secure ladders - </w:t>
            </w:r>
            <w:r w:rsidR="003C68EF" w:rsidRPr="00C44E70">
              <w:rPr>
                <w:i/>
                <w:iCs/>
              </w:rPr>
              <w:t>EN 795 Class A Anchor Bolt</w:t>
            </w:r>
            <w:r w:rsidR="003C68EF">
              <w:rPr>
                <w:i/>
                <w:iCs/>
              </w:rPr>
              <w:t>, is considered acceptable, and other standards should be justified if equivalent. There must be a manner of securing a ladder safely to enable safe working</w:t>
            </w:r>
          </w:p>
          <w:p w14:paraId="7A777D51" w14:textId="77777777" w:rsidR="00F72F8F" w:rsidRDefault="00F72F8F" w:rsidP="00D43D44">
            <w:pPr>
              <w:rPr>
                <w:i/>
                <w:iCs/>
                <w:sz w:val="20"/>
                <w:szCs w:val="20"/>
              </w:rPr>
            </w:pPr>
          </w:p>
          <w:p w14:paraId="73814D9B" w14:textId="7BA1558C" w:rsidR="003C68EF" w:rsidRPr="00DE6364" w:rsidRDefault="00F72F8F" w:rsidP="00582387">
            <w:pPr>
              <w:rPr>
                <w:sz w:val="20"/>
                <w:szCs w:val="20"/>
              </w:rPr>
            </w:pPr>
            <w:r>
              <w:rPr>
                <w:sz w:val="20"/>
                <w:szCs w:val="20"/>
              </w:rPr>
              <w:t>Ladder restraints must be fitted in a location that allows access to roof furniture as needed but does not force obstruction of inlet cage access with the ladder</w:t>
            </w:r>
            <w:r w:rsidR="00B97843">
              <w:rPr>
                <w:sz w:val="20"/>
                <w:szCs w:val="20"/>
              </w:rPr>
              <w:t xml:space="preserve"> – as such, will require agreement of CMCU</w:t>
            </w:r>
          </w:p>
        </w:tc>
      </w:tr>
      <w:tr w:rsidR="00582387" w:rsidRPr="00DE6364" w14:paraId="11F478C2" w14:textId="77777777" w:rsidTr="1D42B4A5">
        <w:tc>
          <w:tcPr>
            <w:tcW w:w="1710" w:type="dxa"/>
          </w:tcPr>
          <w:p w14:paraId="0B87D4BA" w14:textId="77777777" w:rsidR="00582387" w:rsidRPr="00DE6364" w:rsidRDefault="00582387" w:rsidP="0023018A">
            <w:pPr>
              <w:rPr>
                <w:rFonts w:cstheme="minorHAnsi"/>
                <w:sz w:val="20"/>
                <w:szCs w:val="20"/>
              </w:rPr>
            </w:pPr>
            <w:r>
              <w:rPr>
                <w:sz w:val="20"/>
                <w:szCs w:val="20"/>
              </w:rPr>
              <w:t>Construction</w:t>
            </w:r>
          </w:p>
        </w:tc>
        <w:tc>
          <w:tcPr>
            <w:tcW w:w="1546" w:type="dxa"/>
          </w:tcPr>
          <w:p w14:paraId="74F8A6A1" w14:textId="77777777" w:rsidR="00582387" w:rsidRPr="00DE6364" w:rsidRDefault="00582387" w:rsidP="0023018A">
            <w:pPr>
              <w:rPr>
                <w:rFonts w:cstheme="minorHAnsi"/>
                <w:sz w:val="20"/>
                <w:szCs w:val="20"/>
              </w:rPr>
            </w:pPr>
            <w:r w:rsidRPr="00DE6364">
              <w:rPr>
                <w:rFonts w:cstheme="minorHAnsi"/>
                <w:sz w:val="20"/>
                <w:szCs w:val="20"/>
              </w:rPr>
              <w:t>Sound Attenuation</w:t>
            </w:r>
          </w:p>
        </w:tc>
        <w:tc>
          <w:tcPr>
            <w:tcW w:w="5811" w:type="dxa"/>
          </w:tcPr>
          <w:p w14:paraId="021D5E23" w14:textId="1D8AB015" w:rsidR="00582387" w:rsidRPr="00DE6364" w:rsidRDefault="00582387" w:rsidP="0023018A">
            <w:pPr>
              <w:rPr>
                <w:rFonts w:cstheme="minorHAnsi"/>
                <w:color w:val="000000"/>
                <w:sz w:val="20"/>
                <w:szCs w:val="20"/>
              </w:rPr>
            </w:pPr>
            <w:r w:rsidRPr="00DE6364">
              <w:rPr>
                <w:rFonts w:cstheme="minorHAnsi"/>
                <w:color w:val="000000"/>
                <w:sz w:val="20"/>
                <w:szCs w:val="20"/>
              </w:rPr>
              <w:t xml:space="preserve">Enclosures </w:t>
            </w:r>
            <w:r w:rsidR="00485B09">
              <w:rPr>
                <w:rFonts w:cstheme="minorHAnsi"/>
                <w:color w:val="000000"/>
                <w:sz w:val="20"/>
                <w:szCs w:val="20"/>
              </w:rPr>
              <w:t>will</w:t>
            </w:r>
            <w:r w:rsidRPr="00DE6364">
              <w:rPr>
                <w:rFonts w:cstheme="minorHAnsi"/>
                <w:color w:val="000000"/>
                <w:sz w:val="20"/>
                <w:szCs w:val="20"/>
              </w:rPr>
              <w:t xml:space="preserve"> have a minimum of 24dB acoustic performance over centre band frequency range 31.5Hz to 16kHz</w:t>
            </w:r>
          </w:p>
          <w:p w14:paraId="3BB10AB4" w14:textId="77777777" w:rsidR="00582387" w:rsidRPr="00DE6364" w:rsidRDefault="00582387" w:rsidP="0023018A">
            <w:pPr>
              <w:rPr>
                <w:rFonts w:cstheme="minorHAnsi"/>
                <w:sz w:val="20"/>
                <w:szCs w:val="20"/>
              </w:rPr>
            </w:pPr>
          </w:p>
        </w:tc>
      </w:tr>
      <w:tr w:rsidR="008277F9" w:rsidRPr="00DE6364" w14:paraId="1D015955" w14:textId="77777777" w:rsidTr="1D42B4A5">
        <w:tc>
          <w:tcPr>
            <w:tcW w:w="1710" w:type="dxa"/>
          </w:tcPr>
          <w:p w14:paraId="6AC95B07" w14:textId="77777777" w:rsidR="008277F9" w:rsidRDefault="008277F9" w:rsidP="008277F9">
            <w:pPr>
              <w:rPr>
                <w:sz w:val="20"/>
                <w:szCs w:val="20"/>
              </w:rPr>
            </w:pPr>
            <w:r>
              <w:rPr>
                <w:sz w:val="20"/>
                <w:szCs w:val="20"/>
              </w:rPr>
              <w:t>Construction</w:t>
            </w:r>
          </w:p>
        </w:tc>
        <w:tc>
          <w:tcPr>
            <w:tcW w:w="1546" w:type="dxa"/>
          </w:tcPr>
          <w:p w14:paraId="49B6105B" w14:textId="77777777" w:rsidR="008277F9" w:rsidRPr="00DE6364" w:rsidRDefault="008277F9" w:rsidP="008277F9">
            <w:pPr>
              <w:rPr>
                <w:rFonts w:cstheme="minorHAnsi"/>
                <w:sz w:val="20"/>
                <w:szCs w:val="20"/>
              </w:rPr>
            </w:pPr>
            <w:r>
              <w:rPr>
                <w:rFonts w:cstheme="minorHAnsi"/>
                <w:sz w:val="20"/>
                <w:szCs w:val="20"/>
              </w:rPr>
              <w:t>Colour</w:t>
            </w:r>
          </w:p>
        </w:tc>
        <w:tc>
          <w:tcPr>
            <w:tcW w:w="5811" w:type="dxa"/>
          </w:tcPr>
          <w:p w14:paraId="689E53CA" w14:textId="4283AF4F" w:rsidR="008277F9" w:rsidRPr="00DE6364" w:rsidRDefault="008277F9" w:rsidP="008277F9">
            <w:pPr>
              <w:rPr>
                <w:rFonts w:cstheme="minorHAnsi"/>
                <w:color w:val="000000"/>
                <w:sz w:val="20"/>
                <w:szCs w:val="20"/>
              </w:rPr>
            </w:pPr>
            <w:r w:rsidRPr="09A23015">
              <w:rPr>
                <w:color w:val="000000" w:themeColor="text1"/>
                <w:sz w:val="20"/>
                <w:szCs w:val="20"/>
              </w:rPr>
              <w:t xml:space="preserve">‘Holly’ (see colours in </w:t>
            </w:r>
            <w:r>
              <w:rPr>
                <w:rFonts w:cstheme="minorHAnsi"/>
                <w:color w:val="000000"/>
                <w:sz w:val="20"/>
                <w:szCs w:val="20"/>
              </w:rPr>
              <w:fldChar w:fldCharType="begin"/>
            </w:r>
            <w:r>
              <w:rPr>
                <w:rFonts w:cstheme="minorHAnsi"/>
                <w:color w:val="000000"/>
                <w:sz w:val="20"/>
                <w:szCs w:val="20"/>
              </w:rPr>
              <w:instrText xml:space="preserve"> REF _Ref122008695 \h </w:instrText>
            </w:r>
            <w:r>
              <w:rPr>
                <w:rFonts w:cstheme="minorHAnsi"/>
                <w:color w:val="000000"/>
                <w:sz w:val="20"/>
                <w:szCs w:val="20"/>
              </w:rPr>
            </w:r>
            <w:r>
              <w:rPr>
                <w:rFonts w:cstheme="minorHAnsi"/>
                <w:color w:val="000000"/>
                <w:sz w:val="20"/>
                <w:szCs w:val="20"/>
              </w:rPr>
              <w:fldChar w:fldCharType="separate"/>
            </w:r>
            <w:r w:rsidR="003F221C" w:rsidRPr="00FE4AED">
              <w:t xml:space="preserve">Appendix </w:t>
            </w:r>
            <w:r w:rsidR="003F221C">
              <w:rPr>
                <w:i/>
                <w:iCs/>
                <w:noProof/>
              </w:rPr>
              <w:t>4</w:t>
            </w:r>
            <w:r>
              <w:rPr>
                <w:rFonts w:cstheme="minorHAnsi"/>
                <w:color w:val="000000"/>
                <w:sz w:val="20"/>
                <w:szCs w:val="20"/>
              </w:rPr>
              <w:fldChar w:fldCharType="end"/>
            </w:r>
            <w:r>
              <w:rPr>
                <w:rFonts w:cstheme="minorHAnsi"/>
                <w:color w:val="000000"/>
                <w:sz w:val="20"/>
                <w:szCs w:val="20"/>
              </w:rPr>
              <w:t>)</w:t>
            </w:r>
            <w:r w:rsidRPr="09A23015">
              <w:rPr>
                <w:color w:val="000000" w:themeColor="text1"/>
                <w:sz w:val="20"/>
                <w:szCs w:val="20"/>
              </w:rPr>
              <w:t xml:space="preserve">  or the nearest BS standard colour equivalent is suggested as a standard colour for the exterior. Grey or light grey may be acceptable alternatives, especially where </w:t>
            </w:r>
            <w:r w:rsidRPr="09A23015">
              <w:rPr>
                <w:color w:val="000000" w:themeColor="text1"/>
                <w:sz w:val="20"/>
                <w:szCs w:val="20"/>
              </w:rPr>
              <w:lastRenderedPageBreak/>
              <w:t>there is need for reducing solar gain. A range of colours, or bespoke cladded options must be available to accommodate any local planning permission requirements. Colour to be specified at point of order.</w:t>
            </w:r>
          </w:p>
        </w:tc>
      </w:tr>
      <w:tr w:rsidR="008277F9" w:rsidRPr="00DE6364" w14:paraId="33AA53A4" w14:textId="77777777" w:rsidTr="1D42B4A5">
        <w:trPr>
          <w:trHeight w:val="1265"/>
        </w:trPr>
        <w:tc>
          <w:tcPr>
            <w:tcW w:w="1710" w:type="dxa"/>
          </w:tcPr>
          <w:p w14:paraId="060CFCD7" w14:textId="1020885B" w:rsidR="008277F9" w:rsidRPr="00DE6364" w:rsidRDefault="008277F9" w:rsidP="008277F9">
            <w:pPr>
              <w:rPr>
                <w:rFonts w:cstheme="minorHAnsi"/>
                <w:sz w:val="20"/>
                <w:szCs w:val="20"/>
              </w:rPr>
            </w:pPr>
            <w:r>
              <w:rPr>
                <w:rFonts w:cstheme="minorHAnsi"/>
                <w:sz w:val="20"/>
                <w:szCs w:val="20"/>
              </w:rPr>
              <w:lastRenderedPageBreak/>
              <w:t>Construction</w:t>
            </w:r>
          </w:p>
        </w:tc>
        <w:tc>
          <w:tcPr>
            <w:tcW w:w="1546" w:type="dxa"/>
          </w:tcPr>
          <w:p w14:paraId="3B4C6E24" w14:textId="405AD17D" w:rsidR="008277F9" w:rsidRPr="00DE6364" w:rsidRDefault="008277F9" w:rsidP="008277F9">
            <w:pPr>
              <w:rPr>
                <w:rFonts w:cstheme="minorHAnsi"/>
                <w:sz w:val="20"/>
                <w:szCs w:val="20"/>
              </w:rPr>
            </w:pPr>
            <w:r>
              <w:rPr>
                <w:rFonts w:cstheme="minorHAnsi"/>
                <w:sz w:val="20"/>
                <w:szCs w:val="20"/>
              </w:rPr>
              <w:t>Floor</w:t>
            </w:r>
          </w:p>
        </w:tc>
        <w:tc>
          <w:tcPr>
            <w:tcW w:w="5811" w:type="dxa"/>
          </w:tcPr>
          <w:p w14:paraId="7E2A3118" w14:textId="18D77077" w:rsidR="008277F9" w:rsidRDefault="008277F9" w:rsidP="008277F9">
            <w:r w:rsidRPr="00B97843">
              <w:rPr>
                <w:rFonts w:eastAsia="Calibri" w:cstheme="minorHAnsi"/>
                <w:color w:val="000000"/>
                <w:sz w:val="20"/>
                <w:szCs w:val="20"/>
              </w:rPr>
              <w:t xml:space="preserve">To maintain a fully sealed and weatherproof </w:t>
            </w:r>
            <w:r>
              <w:rPr>
                <w:rFonts w:eastAsia="Calibri" w:cstheme="minorHAnsi"/>
                <w:color w:val="000000"/>
                <w:sz w:val="20"/>
                <w:szCs w:val="20"/>
              </w:rPr>
              <w:t>housing</w:t>
            </w:r>
            <w:r w:rsidRPr="00B97843">
              <w:rPr>
                <w:rFonts w:eastAsia="Calibri" w:cstheme="minorHAnsi"/>
                <w:color w:val="000000"/>
                <w:sz w:val="20"/>
                <w:szCs w:val="20"/>
              </w:rPr>
              <w:t xml:space="preserve">, a floor to the </w:t>
            </w:r>
            <w:r>
              <w:rPr>
                <w:rFonts w:eastAsia="Calibri" w:cstheme="minorHAnsi"/>
                <w:color w:val="000000"/>
                <w:sz w:val="20"/>
                <w:szCs w:val="20"/>
              </w:rPr>
              <w:t>housing</w:t>
            </w:r>
            <w:r w:rsidRPr="00B97843">
              <w:rPr>
                <w:rFonts w:eastAsia="Calibri" w:cstheme="minorHAnsi"/>
                <w:color w:val="000000"/>
                <w:sz w:val="20"/>
                <w:szCs w:val="20"/>
              </w:rPr>
              <w:t xml:space="preserve"> is required. It </w:t>
            </w:r>
            <w:r>
              <w:rPr>
                <w:rFonts w:eastAsia="Calibri" w:cstheme="minorHAnsi"/>
                <w:color w:val="000000"/>
                <w:sz w:val="20"/>
                <w:szCs w:val="20"/>
              </w:rPr>
              <w:t>must</w:t>
            </w:r>
            <w:r w:rsidRPr="00B97843">
              <w:rPr>
                <w:rFonts w:eastAsia="Calibri" w:cstheme="minorHAnsi"/>
                <w:color w:val="000000"/>
                <w:sz w:val="20"/>
                <w:szCs w:val="20"/>
              </w:rPr>
              <w:t xml:space="preserve"> have sufficient structural strength to allow storage of equipment such as AC units inside the housing prior to housing installation.</w:t>
            </w:r>
            <w:r>
              <w:rPr>
                <w:rFonts w:eastAsia="Calibri" w:cstheme="minorHAnsi"/>
                <w:color w:val="000000"/>
                <w:sz w:val="20"/>
                <w:szCs w:val="20"/>
              </w:rPr>
              <w:t xml:space="preserve"> It will also be structurally strong enough to support all installed equipment and human weight.</w:t>
            </w:r>
          </w:p>
        </w:tc>
      </w:tr>
      <w:tr w:rsidR="00C65A2F" w:rsidRPr="00DE6364" w14:paraId="44161540" w14:textId="77777777" w:rsidTr="1D42B4A5">
        <w:trPr>
          <w:trHeight w:val="1265"/>
        </w:trPr>
        <w:tc>
          <w:tcPr>
            <w:tcW w:w="1710" w:type="dxa"/>
          </w:tcPr>
          <w:p w14:paraId="195AF1EC" w14:textId="70EE6CE7" w:rsidR="00C65A2F" w:rsidRDefault="00C65A2F" w:rsidP="00C65A2F">
            <w:pPr>
              <w:rPr>
                <w:rFonts w:cstheme="minorHAnsi"/>
                <w:sz w:val="20"/>
                <w:szCs w:val="20"/>
              </w:rPr>
            </w:pPr>
            <w:r w:rsidRPr="1D42B4A5">
              <w:rPr>
                <w:sz w:val="20"/>
                <w:szCs w:val="20"/>
              </w:rPr>
              <w:t>Construction</w:t>
            </w:r>
          </w:p>
        </w:tc>
        <w:tc>
          <w:tcPr>
            <w:tcW w:w="1546" w:type="dxa"/>
          </w:tcPr>
          <w:p w14:paraId="50FFB00B" w14:textId="05D4BB41" w:rsidR="00C65A2F" w:rsidRDefault="00C65A2F" w:rsidP="00C65A2F">
            <w:pPr>
              <w:rPr>
                <w:rFonts w:cstheme="minorHAnsi"/>
                <w:sz w:val="20"/>
                <w:szCs w:val="20"/>
              </w:rPr>
            </w:pPr>
            <w:r w:rsidRPr="1D42B4A5">
              <w:rPr>
                <w:sz w:val="20"/>
                <w:szCs w:val="20"/>
              </w:rPr>
              <w:t>Structure and Fixings</w:t>
            </w:r>
          </w:p>
        </w:tc>
        <w:tc>
          <w:tcPr>
            <w:tcW w:w="5811" w:type="dxa"/>
          </w:tcPr>
          <w:p w14:paraId="6DCE2721" w14:textId="482CF22C" w:rsidR="00C65A2F" w:rsidRDefault="00C65A2F" w:rsidP="00C65A2F">
            <w:r w:rsidRPr="4807E8A2">
              <w:rPr>
                <w:rFonts w:eastAsia="Calibri"/>
                <w:color w:val="000000" w:themeColor="text1"/>
                <w:sz w:val="20"/>
                <w:szCs w:val="20"/>
              </w:rPr>
              <w:t xml:space="preserve">The kiosks </w:t>
            </w:r>
            <w:r w:rsidRPr="593F6459">
              <w:rPr>
                <w:rFonts w:eastAsia="Calibri"/>
                <w:color w:val="000000" w:themeColor="text1"/>
                <w:sz w:val="20"/>
                <w:szCs w:val="20"/>
              </w:rPr>
              <w:t>may</w:t>
            </w:r>
            <w:r w:rsidRPr="4807E8A2">
              <w:rPr>
                <w:rFonts w:eastAsia="Calibri"/>
                <w:color w:val="000000" w:themeColor="text1"/>
                <w:sz w:val="20"/>
                <w:szCs w:val="20"/>
              </w:rPr>
              <w:t xml:space="preserve"> be placed in locations that may include exposed locations and should be designed to withstand the UK’s most extreme weather, including winds of a minimum 120mph gust speed and temperatures of </w:t>
            </w:r>
            <w:r w:rsidR="005435DA" w:rsidRPr="4807E8A2">
              <w:rPr>
                <w:rFonts w:eastAsia="Calibri"/>
                <w:color w:val="000000" w:themeColor="text1"/>
                <w:sz w:val="20"/>
                <w:szCs w:val="20"/>
              </w:rPr>
              <w:t>up to</w:t>
            </w:r>
            <w:r w:rsidRPr="4807E8A2">
              <w:rPr>
                <w:rFonts w:eastAsia="Calibri"/>
                <w:color w:val="000000" w:themeColor="text1"/>
                <w:sz w:val="20"/>
                <w:szCs w:val="20"/>
              </w:rPr>
              <w:t xml:space="preserve"> of –25 to +40 degrees Celsius</w:t>
            </w:r>
            <w:r>
              <w:rPr>
                <w:rFonts w:eastAsia="Calibri"/>
                <w:color w:val="000000" w:themeColor="text1"/>
                <w:sz w:val="20"/>
                <w:szCs w:val="20"/>
              </w:rPr>
              <w:t xml:space="preserve">. For clarity an SR2 security rating is required from Table 1 in </w:t>
            </w:r>
            <w:hyperlink r:id="rId15" w:history="1">
              <w:r>
                <w:rPr>
                  <w:rStyle w:val="Hyperlink"/>
                </w:rPr>
                <w:t>LPS1175 - Issue 8</w:t>
              </w:r>
            </w:hyperlink>
            <w:r>
              <w:t>.</w:t>
            </w:r>
          </w:p>
          <w:p w14:paraId="7C117082" w14:textId="77777777" w:rsidR="00C65A2F" w:rsidRPr="00B97843" w:rsidRDefault="00C65A2F" w:rsidP="00C65A2F">
            <w:pPr>
              <w:rPr>
                <w:rFonts w:eastAsia="Calibri" w:cstheme="minorHAnsi"/>
                <w:color w:val="000000"/>
                <w:sz w:val="20"/>
                <w:szCs w:val="20"/>
              </w:rPr>
            </w:pPr>
          </w:p>
        </w:tc>
      </w:tr>
      <w:tr w:rsidR="008277F9" w:rsidRPr="00DE6364" w14:paraId="27761954" w14:textId="77777777" w:rsidTr="1D42B4A5">
        <w:trPr>
          <w:trHeight w:val="1265"/>
        </w:trPr>
        <w:tc>
          <w:tcPr>
            <w:tcW w:w="1710" w:type="dxa"/>
          </w:tcPr>
          <w:p w14:paraId="57CCC966" w14:textId="77777777" w:rsidR="008277F9" w:rsidRPr="00DE6364" w:rsidRDefault="008277F9" w:rsidP="008277F9">
            <w:pPr>
              <w:rPr>
                <w:rFonts w:cstheme="minorHAnsi"/>
                <w:sz w:val="20"/>
                <w:szCs w:val="20"/>
              </w:rPr>
            </w:pPr>
            <w:r w:rsidRPr="00DE6364">
              <w:rPr>
                <w:rFonts w:cstheme="minorHAnsi"/>
                <w:sz w:val="20"/>
                <w:szCs w:val="20"/>
              </w:rPr>
              <w:t>Heating and ventilation</w:t>
            </w:r>
          </w:p>
        </w:tc>
        <w:tc>
          <w:tcPr>
            <w:tcW w:w="1546" w:type="dxa"/>
          </w:tcPr>
          <w:p w14:paraId="66573EBF" w14:textId="77777777" w:rsidR="008277F9" w:rsidRPr="00DE6364" w:rsidRDefault="008277F9" w:rsidP="008277F9">
            <w:pPr>
              <w:rPr>
                <w:rFonts w:cstheme="minorHAnsi"/>
                <w:sz w:val="20"/>
                <w:szCs w:val="20"/>
              </w:rPr>
            </w:pPr>
            <w:r w:rsidRPr="00DE6364">
              <w:rPr>
                <w:rFonts w:cstheme="minorHAnsi"/>
                <w:sz w:val="20"/>
                <w:szCs w:val="20"/>
              </w:rPr>
              <w:t>Ventilation requirements</w:t>
            </w:r>
            <w:r>
              <w:rPr>
                <w:rFonts w:cstheme="minorHAnsi"/>
                <w:sz w:val="20"/>
                <w:szCs w:val="20"/>
              </w:rPr>
              <w:t xml:space="preserve"> – gas storage</w:t>
            </w:r>
            <w:r w:rsidRPr="00DE6364">
              <w:rPr>
                <w:rFonts w:cstheme="minorHAnsi"/>
                <w:sz w:val="20"/>
                <w:szCs w:val="20"/>
              </w:rPr>
              <w:tab/>
            </w:r>
          </w:p>
        </w:tc>
        <w:tc>
          <w:tcPr>
            <w:tcW w:w="5811" w:type="dxa"/>
          </w:tcPr>
          <w:p w14:paraId="0DAD08D0" w14:textId="3BBD72B0" w:rsidR="008277F9" w:rsidRDefault="008277F9" w:rsidP="008277F9">
            <w:pPr>
              <w:pStyle w:val="ListParagraph"/>
              <w:numPr>
                <w:ilvl w:val="0"/>
                <w:numId w:val="16"/>
              </w:numPr>
            </w:pPr>
            <w:r>
              <w:t xml:space="preserve">A separate gas cylinder storage shall be designed into the main structure of the cabin, following best practice as outlined in </w:t>
            </w:r>
            <w:r>
              <w:fldChar w:fldCharType="begin"/>
            </w:r>
            <w:r>
              <w:instrText xml:space="preserve"> REF _Ref122011366 \h </w:instrText>
            </w:r>
            <w:r>
              <w:fldChar w:fldCharType="separate"/>
            </w:r>
            <w:r w:rsidR="003F221C" w:rsidRPr="00FE4AED">
              <w:t xml:space="preserve">Appendix </w:t>
            </w:r>
            <w:r w:rsidR="003F221C">
              <w:rPr>
                <w:i/>
                <w:iCs/>
                <w:noProof/>
              </w:rPr>
              <w:t>9</w:t>
            </w:r>
            <w:r>
              <w:fldChar w:fldCharType="end"/>
            </w:r>
            <w:r w:rsidR="00C65A2F">
              <w:rPr>
                <w:rFonts w:eastAsia="Calibri" w:cstheme="minorHAnsi"/>
                <w:color w:val="000000"/>
                <w:sz w:val="20"/>
                <w:szCs w:val="20"/>
              </w:rPr>
              <w:t xml:space="preserve"> as a minimum. The responsibility for the design of the ventilation system resides with the Contractor. </w:t>
            </w:r>
            <w:r>
              <w:t xml:space="preserve">This storage area will be sealed from the main cabin, and accessed externally via a separate secure door. </w:t>
            </w:r>
          </w:p>
          <w:p w14:paraId="2BE8ABE9" w14:textId="5C5B5B10" w:rsidR="008277F9" w:rsidRDefault="008277F9" w:rsidP="008277F9">
            <w:pPr>
              <w:pStyle w:val="ListParagraph"/>
              <w:numPr>
                <w:ilvl w:val="0"/>
                <w:numId w:val="16"/>
              </w:numPr>
            </w:pPr>
            <w:r>
              <w:t xml:space="preserve">The space is not intended as a </w:t>
            </w:r>
            <w:r w:rsidR="005435DA">
              <w:t>walk-in</w:t>
            </w:r>
            <w:r>
              <w:t xml:space="preserve"> area, and should not be designed as such.</w:t>
            </w:r>
          </w:p>
          <w:p w14:paraId="4D82E05D" w14:textId="25036D01" w:rsidR="008277F9" w:rsidRDefault="008277F9" w:rsidP="008277F9">
            <w:pPr>
              <w:pStyle w:val="ListParagraph"/>
              <w:numPr>
                <w:ilvl w:val="0"/>
                <w:numId w:val="16"/>
              </w:numPr>
            </w:pPr>
            <w:r>
              <w:t xml:space="preserve">It will be fitted with appropriate gas cylinder restraints and will be lockable. </w:t>
            </w:r>
          </w:p>
          <w:p w14:paraId="64841A80" w14:textId="77777777" w:rsidR="008277F9" w:rsidRDefault="008277F9" w:rsidP="008277F9">
            <w:pPr>
              <w:pStyle w:val="ListParagraph"/>
              <w:numPr>
                <w:ilvl w:val="0"/>
                <w:numId w:val="16"/>
              </w:numPr>
            </w:pPr>
            <w:r>
              <w:t>It will have appropriate glands fitted to allow piping into the main cabin</w:t>
            </w:r>
          </w:p>
          <w:p w14:paraId="3C0F066B" w14:textId="6C206A8B" w:rsidR="008277F9" w:rsidRPr="002F3953" w:rsidRDefault="00F31BE3" w:rsidP="008277F9">
            <w:pPr>
              <w:pStyle w:val="ListParagraph"/>
              <w:numPr>
                <w:ilvl w:val="0"/>
                <w:numId w:val="16"/>
              </w:numPr>
            </w:pPr>
            <w:r>
              <w:t xml:space="preserve">It should provide a visually aesthetic look </w:t>
            </w:r>
            <w:r w:rsidR="00447887">
              <w:t>by blending into the housing footprint without protruding</w:t>
            </w:r>
            <w:r w:rsidR="00DF7227">
              <w:t xml:space="preserve"> </w:t>
            </w:r>
            <w:r w:rsidR="00447887">
              <w:t xml:space="preserve"> </w:t>
            </w:r>
            <w:r w:rsidR="00853308">
              <w:t>outwards of the structure</w:t>
            </w:r>
            <w:r w:rsidR="00DF7227">
              <w:t>.</w:t>
            </w:r>
          </w:p>
        </w:tc>
      </w:tr>
      <w:tr w:rsidR="008277F9" w:rsidRPr="00DE6364" w14:paraId="263B4A59" w14:textId="77777777" w:rsidTr="1D42B4A5">
        <w:trPr>
          <w:trHeight w:val="1265"/>
        </w:trPr>
        <w:tc>
          <w:tcPr>
            <w:tcW w:w="1710" w:type="dxa"/>
          </w:tcPr>
          <w:p w14:paraId="359BEBC3" w14:textId="4FF8F389" w:rsidR="008277F9" w:rsidRPr="00DE6364" w:rsidRDefault="008277F9" w:rsidP="008277F9">
            <w:pPr>
              <w:rPr>
                <w:rFonts w:cstheme="minorHAnsi"/>
                <w:sz w:val="20"/>
                <w:szCs w:val="20"/>
              </w:rPr>
            </w:pPr>
            <w:r w:rsidRPr="00DE6364">
              <w:rPr>
                <w:rFonts w:cstheme="minorHAnsi"/>
                <w:sz w:val="20"/>
                <w:szCs w:val="20"/>
              </w:rPr>
              <w:t>Heating and ventilation</w:t>
            </w:r>
          </w:p>
        </w:tc>
        <w:tc>
          <w:tcPr>
            <w:tcW w:w="1546" w:type="dxa"/>
          </w:tcPr>
          <w:p w14:paraId="39B066D1" w14:textId="37F228FB" w:rsidR="008277F9" w:rsidRPr="00DE6364" w:rsidRDefault="008277F9" w:rsidP="008277F9">
            <w:pPr>
              <w:rPr>
                <w:rFonts w:cstheme="minorHAnsi"/>
                <w:sz w:val="20"/>
                <w:szCs w:val="20"/>
              </w:rPr>
            </w:pPr>
            <w:r>
              <w:rPr>
                <w:rFonts w:cstheme="minorHAnsi"/>
                <w:sz w:val="20"/>
                <w:szCs w:val="20"/>
              </w:rPr>
              <w:t>Ventilation requirements – gas safety</w:t>
            </w:r>
          </w:p>
        </w:tc>
        <w:tc>
          <w:tcPr>
            <w:tcW w:w="5811" w:type="dxa"/>
          </w:tcPr>
          <w:p w14:paraId="107D2DD1" w14:textId="77777777" w:rsidR="008277F9" w:rsidRPr="00A039D2" w:rsidRDefault="008277F9" w:rsidP="008277F9">
            <w:r w:rsidRPr="00A039D2">
              <w:t>Venting installed shall be in a location that cannot be obstructed by installed or future equipment.</w:t>
            </w:r>
          </w:p>
          <w:p w14:paraId="1338FD71" w14:textId="600DE7A9" w:rsidR="008277F9" w:rsidRPr="00A039D2" w:rsidRDefault="008277F9" w:rsidP="008277F9">
            <w:r w:rsidRPr="00A039D2">
              <w:t xml:space="preserve"> </w:t>
            </w:r>
          </w:p>
          <w:p w14:paraId="3F5B4606" w14:textId="7D4104E5" w:rsidR="008277F9" w:rsidRPr="00A039D2" w:rsidRDefault="008277F9" w:rsidP="008277F9">
            <w:r w:rsidRPr="00A039D2">
              <w:t xml:space="preserve">Venting shall be designed in such a way to minimise risks from unexpected releases of gas from equipment or gas cylinders, but also to maintain safe CO2 levels when people are working and breathing within the closed cabin. See </w:t>
            </w:r>
            <w:r w:rsidRPr="00A039D2">
              <w:fldChar w:fldCharType="begin"/>
            </w:r>
            <w:r w:rsidRPr="00A039D2">
              <w:instrText xml:space="preserve"> REF _Ref122011563 \h </w:instrText>
            </w:r>
            <w:r w:rsidR="005C3AF7">
              <w:instrText xml:space="preserve"> \* MERGEFORMAT </w:instrText>
            </w:r>
            <w:r w:rsidRPr="00A039D2">
              <w:fldChar w:fldCharType="separate"/>
            </w:r>
            <w:r w:rsidR="003F221C" w:rsidRPr="00FE4AED">
              <w:t xml:space="preserve">Appendix </w:t>
            </w:r>
            <w:r w:rsidR="003F221C">
              <w:rPr>
                <w:i/>
                <w:iCs/>
                <w:noProof/>
              </w:rPr>
              <w:t>10</w:t>
            </w:r>
            <w:r w:rsidRPr="00A039D2">
              <w:fldChar w:fldCharType="end"/>
            </w:r>
          </w:p>
          <w:p w14:paraId="7DA01B19" w14:textId="77777777" w:rsidR="008277F9" w:rsidRPr="00A039D2" w:rsidRDefault="008277F9" w:rsidP="008277F9"/>
          <w:p w14:paraId="2A3F57BE" w14:textId="77777777" w:rsidR="008277F9" w:rsidRPr="005C3AF7" w:rsidRDefault="008277F9" w:rsidP="008277F9">
            <w:r w:rsidRPr="005C3AF7">
              <w:t>Ventilation shall be provided in both the gas storage area and the main analyser room.</w:t>
            </w:r>
          </w:p>
          <w:p w14:paraId="4F633AC3" w14:textId="77777777" w:rsidR="008277F9" w:rsidRDefault="008277F9" w:rsidP="008277F9"/>
          <w:p w14:paraId="3F6524A3" w14:textId="369CAF8D" w:rsidR="005C3AF7" w:rsidRPr="00A039D2" w:rsidRDefault="005C3AF7" w:rsidP="008277F9">
            <w:r>
              <w:t xml:space="preserve">The MEICA spec  provides guidance </w:t>
            </w:r>
            <w:r w:rsidR="006221AF">
              <w:t>refer</w:t>
            </w:r>
            <w:r w:rsidR="00853FF2">
              <w:t>ring</w:t>
            </w:r>
            <w:r w:rsidR="006221AF">
              <w:t xml:space="preserve"> to CIBSE guidance – which  is considered to be CIBSE Applications manual Version 10 </w:t>
            </w:r>
            <w:hyperlink r:id="rId16" w:history="1">
              <w:r w:rsidR="006221AF">
                <w:rPr>
                  <w:rStyle w:val="Hyperlink"/>
                </w:rPr>
                <w:t>Applications Manual 10: Natural ventilation in non-domestic buildings (2005) | CIBSE</w:t>
              </w:r>
            </w:hyperlink>
          </w:p>
        </w:tc>
      </w:tr>
      <w:tr w:rsidR="008277F9" w:rsidRPr="000C7E4F" w14:paraId="5FA9A713" w14:textId="77777777" w:rsidTr="1D42B4A5">
        <w:tc>
          <w:tcPr>
            <w:tcW w:w="1710" w:type="dxa"/>
          </w:tcPr>
          <w:p w14:paraId="319323BD" w14:textId="77777777" w:rsidR="008277F9" w:rsidRPr="00DE6364" w:rsidRDefault="008277F9" w:rsidP="008277F9">
            <w:pPr>
              <w:rPr>
                <w:sz w:val="20"/>
                <w:szCs w:val="20"/>
              </w:rPr>
            </w:pPr>
            <w:r w:rsidRPr="00DE6364">
              <w:rPr>
                <w:sz w:val="20"/>
                <w:szCs w:val="20"/>
              </w:rPr>
              <w:t>Heating and ventilation</w:t>
            </w:r>
          </w:p>
        </w:tc>
        <w:tc>
          <w:tcPr>
            <w:tcW w:w="1546" w:type="dxa"/>
          </w:tcPr>
          <w:p w14:paraId="74CEDBC7" w14:textId="77777777" w:rsidR="008277F9" w:rsidRPr="00DE6364" w:rsidRDefault="008277F9" w:rsidP="008277F9">
            <w:pPr>
              <w:rPr>
                <w:sz w:val="20"/>
                <w:szCs w:val="20"/>
              </w:rPr>
            </w:pPr>
            <w:r w:rsidRPr="00DE6364">
              <w:rPr>
                <w:sz w:val="20"/>
                <w:szCs w:val="20"/>
              </w:rPr>
              <w:t>Air Conditioning</w:t>
            </w:r>
          </w:p>
        </w:tc>
        <w:tc>
          <w:tcPr>
            <w:tcW w:w="5811" w:type="dxa"/>
          </w:tcPr>
          <w:p w14:paraId="3ED2647E" w14:textId="41C0F0E9" w:rsidR="008277F9" w:rsidRPr="000C7E4F" w:rsidRDefault="008277F9" w:rsidP="008277F9">
            <w:pPr>
              <w:pStyle w:val="ListParagraph"/>
              <w:numPr>
                <w:ilvl w:val="0"/>
                <w:numId w:val="12"/>
              </w:numPr>
              <w:rPr>
                <w:sz w:val="20"/>
                <w:szCs w:val="20"/>
              </w:rPr>
            </w:pPr>
            <w:r w:rsidRPr="000C7E4F">
              <w:rPr>
                <w:sz w:val="20"/>
                <w:szCs w:val="20"/>
              </w:rPr>
              <w:t>A</w:t>
            </w:r>
            <w:r>
              <w:rPr>
                <w:sz w:val="20"/>
                <w:szCs w:val="20"/>
              </w:rPr>
              <w:t xml:space="preserve"> split system, side mounted</w:t>
            </w:r>
            <w:r w:rsidRPr="000C7E4F">
              <w:rPr>
                <w:sz w:val="20"/>
                <w:szCs w:val="20"/>
              </w:rPr>
              <w:t xml:space="preserve"> air conditioning unit </w:t>
            </w:r>
            <w:r>
              <w:rPr>
                <w:sz w:val="20"/>
                <w:szCs w:val="20"/>
              </w:rPr>
              <w:t>will</w:t>
            </w:r>
            <w:r w:rsidRPr="000C7E4F">
              <w:rPr>
                <w:sz w:val="20"/>
                <w:szCs w:val="20"/>
              </w:rPr>
              <w:t xml:space="preserve"> be supplied. </w:t>
            </w:r>
          </w:p>
          <w:p w14:paraId="286611B6" w14:textId="2593862C" w:rsidR="008277F9" w:rsidRPr="000C7E4F" w:rsidRDefault="008277F9" w:rsidP="008277F9">
            <w:pPr>
              <w:pStyle w:val="ListParagraph"/>
              <w:numPr>
                <w:ilvl w:val="0"/>
                <w:numId w:val="12"/>
              </w:numPr>
              <w:rPr>
                <w:sz w:val="20"/>
                <w:szCs w:val="20"/>
              </w:rPr>
            </w:pPr>
            <w:r w:rsidRPr="000C7E4F">
              <w:rPr>
                <w:sz w:val="20"/>
                <w:szCs w:val="20"/>
              </w:rPr>
              <w:t xml:space="preserve">The AC unit supplied will have sufficient power to maintain the temperature limits listed in the MEICA </w:t>
            </w:r>
            <w:r w:rsidRPr="000C7E4F">
              <w:rPr>
                <w:rFonts w:cstheme="minorHAnsi"/>
                <w:sz w:val="20"/>
                <w:szCs w:val="20"/>
              </w:rPr>
              <w:t xml:space="preserve">specification </w:t>
            </w:r>
            <w:r w:rsidR="006A4BBA">
              <w:rPr>
                <w:rFonts w:cstheme="minorHAnsi"/>
                <w:sz w:val="20"/>
                <w:szCs w:val="20"/>
              </w:rPr>
              <w:fldChar w:fldCharType="begin"/>
            </w:r>
            <w:r w:rsidR="006A4BBA">
              <w:rPr>
                <w:rFonts w:cstheme="minorHAnsi"/>
                <w:sz w:val="20"/>
                <w:szCs w:val="20"/>
              </w:rPr>
              <w:instrText xml:space="preserve"> REF _Ref122008660 \h </w:instrText>
            </w:r>
            <w:r w:rsidR="006A4BBA">
              <w:rPr>
                <w:rFonts w:cstheme="minorHAnsi"/>
                <w:sz w:val="20"/>
                <w:szCs w:val="20"/>
              </w:rPr>
            </w:r>
            <w:r w:rsidR="006A4BBA">
              <w:rPr>
                <w:rFonts w:cstheme="minorHAnsi"/>
                <w:sz w:val="20"/>
                <w:szCs w:val="20"/>
              </w:rPr>
              <w:fldChar w:fldCharType="separate"/>
            </w:r>
            <w:r w:rsidR="003F221C" w:rsidRPr="00FE4AED">
              <w:t xml:space="preserve">Appendix </w:t>
            </w:r>
            <w:r w:rsidR="003F221C">
              <w:rPr>
                <w:i/>
                <w:iCs/>
                <w:noProof/>
              </w:rPr>
              <w:t>2</w:t>
            </w:r>
            <w:r w:rsidR="006A4BBA">
              <w:rPr>
                <w:rFonts w:cstheme="minorHAnsi"/>
                <w:sz w:val="20"/>
                <w:szCs w:val="20"/>
              </w:rPr>
              <w:fldChar w:fldCharType="end"/>
            </w:r>
          </w:p>
          <w:p w14:paraId="6EC24815" w14:textId="63046CCF" w:rsidR="008277F9" w:rsidRPr="000C7E4F" w:rsidRDefault="008277F9" w:rsidP="008277F9">
            <w:pPr>
              <w:pStyle w:val="ListParagraph"/>
              <w:numPr>
                <w:ilvl w:val="0"/>
                <w:numId w:val="12"/>
              </w:numPr>
              <w:rPr>
                <w:sz w:val="20"/>
                <w:szCs w:val="20"/>
              </w:rPr>
            </w:pPr>
            <w:r w:rsidRPr="000C7E4F">
              <w:rPr>
                <w:sz w:val="20"/>
                <w:szCs w:val="20"/>
              </w:rPr>
              <w:t xml:space="preserve">This requirement will be determined by the </w:t>
            </w:r>
            <w:r w:rsidR="00CE7C14">
              <w:rPr>
                <w:sz w:val="20"/>
                <w:szCs w:val="20"/>
              </w:rPr>
              <w:t>Contractor</w:t>
            </w:r>
            <w:r w:rsidRPr="000C7E4F">
              <w:rPr>
                <w:sz w:val="20"/>
                <w:szCs w:val="20"/>
              </w:rPr>
              <w:t xml:space="preserve"> in concert with </w:t>
            </w:r>
            <w:r>
              <w:rPr>
                <w:sz w:val="20"/>
                <w:szCs w:val="20"/>
              </w:rPr>
              <w:t>CMCU</w:t>
            </w:r>
          </w:p>
          <w:p w14:paraId="2E544D15" w14:textId="2D898F4E" w:rsidR="008277F9" w:rsidRPr="000C7E4F" w:rsidRDefault="008277F9" w:rsidP="008277F9">
            <w:pPr>
              <w:pStyle w:val="ListParagraph"/>
              <w:numPr>
                <w:ilvl w:val="0"/>
                <w:numId w:val="12"/>
              </w:numPr>
              <w:rPr>
                <w:sz w:val="20"/>
                <w:szCs w:val="20"/>
              </w:rPr>
            </w:pPr>
            <w:r w:rsidRPr="000C7E4F">
              <w:rPr>
                <w:rFonts w:cstheme="minorHAnsi"/>
                <w:sz w:val="20"/>
                <w:szCs w:val="20"/>
              </w:rPr>
              <w:lastRenderedPageBreak/>
              <w:t xml:space="preserve">The AC will be fitted on the side of the </w:t>
            </w:r>
            <w:r>
              <w:rPr>
                <w:rFonts w:cstheme="minorHAnsi"/>
                <w:sz w:val="20"/>
                <w:szCs w:val="20"/>
              </w:rPr>
              <w:t>cabin</w:t>
            </w:r>
            <w:r w:rsidRPr="000C7E4F">
              <w:rPr>
                <w:rFonts w:cstheme="minorHAnsi"/>
                <w:sz w:val="20"/>
                <w:szCs w:val="20"/>
              </w:rPr>
              <w:t xml:space="preserve"> with an </w:t>
            </w:r>
            <w:r w:rsidRPr="000C7E4F">
              <w:rPr>
                <w:rFonts w:eastAsia="Calibri" w:cstheme="minorHAnsi"/>
                <w:color w:val="000000"/>
                <w:sz w:val="20"/>
                <w:szCs w:val="20"/>
              </w:rPr>
              <w:t xml:space="preserve">anti-vandal security cage/sun-shield included. The cage or shield provided is to be easily removed to allow for required servicing and maintenance. </w:t>
            </w:r>
          </w:p>
          <w:p w14:paraId="731DF76B" w14:textId="77777777" w:rsidR="008277F9" w:rsidRPr="000C7E4F" w:rsidRDefault="008277F9" w:rsidP="008277F9">
            <w:pPr>
              <w:pStyle w:val="ListParagraph"/>
              <w:numPr>
                <w:ilvl w:val="0"/>
                <w:numId w:val="12"/>
              </w:numPr>
              <w:rPr>
                <w:sz w:val="20"/>
                <w:szCs w:val="20"/>
              </w:rPr>
            </w:pPr>
            <w:r w:rsidRPr="000C7E4F">
              <w:rPr>
                <w:rFonts w:eastAsia="Calibri" w:cstheme="minorHAnsi"/>
                <w:color w:val="000000"/>
                <w:sz w:val="20"/>
                <w:szCs w:val="20"/>
              </w:rPr>
              <w:t>Should any specific tools be required to complete the removal of the shield the tools and the instructions are to be provided upon delivery of the housing.</w:t>
            </w:r>
          </w:p>
        </w:tc>
      </w:tr>
      <w:tr w:rsidR="008277F9" w:rsidRPr="00DE6364" w14:paraId="3ED749CD" w14:textId="77777777" w:rsidTr="1D42B4A5">
        <w:tc>
          <w:tcPr>
            <w:tcW w:w="1710" w:type="dxa"/>
          </w:tcPr>
          <w:p w14:paraId="0A7B70A0" w14:textId="77777777" w:rsidR="008277F9" w:rsidRPr="00DE6364" w:rsidRDefault="008277F9" w:rsidP="008277F9">
            <w:pPr>
              <w:rPr>
                <w:sz w:val="20"/>
                <w:szCs w:val="20"/>
              </w:rPr>
            </w:pPr>
            <w:r w:rsidRPr="00DE6364">
              <w:rPr>
                <w:sz w:val="20"/>
                <w:szCs w:val="20"/>
              </w:rPr>
              <w:lastRenderedPageBreak/>
              <w:t>Equipment and fittings</w:t>
            </w:r>
            <w:r w:rsidRPr="00DE6364">
              <w:rPr>
                <w:sz w:val="20"/>
                <w:szCs w:val="20"/>
              </w:rPr>
              <w:tab/>
            </w:r>
          </w:p>
        </w:tc>
        <w:tc>
          <w:tcPr>
            <w:tcW w:w="1546" w:type="dxa"/>
          </w:tcPr>
          <w:p w14:paraId="3C9C731B" w14:textId="77777777" w:rsidR="008277F9" w:rsidRPr="00DE6364" w:rsidRDefault="008277F9" w:rsidP="008277F9">
            <w:pPr>
              <w:rPr>
                <w:sz w:val="20"/>
                <w:szCs w:val="20"/>
              </w:rPr>
            </w:pPr>
            <w:r w:rsidRPr="00DE6364">
              <w:rPr>
                <w:sz w:val="20"/>
                <w:szCs w:val="20"/>
              </w:rPr>
              <w:t>Socket Outlets</w:t>
            </w:r>
            <w:r w:rsidRPr="00DE6364">
              <w:rPr>
                <w:sz w:val="20"/>
                <w:szCs w:val="20"/>
              </w:rPr>
              <w:tab/>
            </w:r>
          </w:p>
        </w:tc>
        <w:tc>
          <w:tcPr>
            <w:tcW w:w="5811" w:type="dxa"/>
          </w:tcPr>
          <w:p w14:paraId="643CC06C" w14:textId="7B031AF2" w:rsidR="00640AFC" w:rsidRDefault="00640AFC" w:rsidP="00640AFC">
            <w:pPr>
              <w:rPr>
                <w:sz w:val="20"/>
                <w:szCs w:val="20"/>
              </w:rPr>
            </w:pPr>
            <w:r>
              <w:rPr>
                <w:sz w:val="20"/>
                <w:szCs w:val="20"/>
              </w:rPr>
              <w:t xml:space="preserve">Following the design requirements in </w:t>
            </w:r>
            <w:r>
              <w:rPr>
                <w:sz w:val="20"/>
                <w:szCs w:val="20"/>
              </w:rPr>
              <w:fldChar w:fldCharType="begin"/>
            </w:r>
            <w:r>
              <w:rPr>
                <w:sz w:val="20"/>
                <w:szCs w:val="20"/>
              </w:rPr>
              <w:instrText xml:space="preserve"> REF _Ref122008778 \h </w:instrText>
            </w:r>
            <w:r>
              <w:rPr>
                <w:sz w:val="20"/>
                <w:szCs w:val="20"/>
              </w:rPr>
            </w:r>
            <w:r>
              <w:rPr>
                <w:sz w:val="20"/>
                <w:szCs w:val="20"/>
              </w:rPr>
              <w:fldChar w:fldCharType="separate"/>
            </w:r>
            <w:r w:rsidR="003F221C" w:rsidRPr="00FE4AED">
              <w:t xml:space="preserve">Appendix </w:t>
            </w:r>
            <w:r w:rsidR="003F221C">
              <w:rPr>
                <w:i/>
                <w:iCs/>
                <w:noProof/>
              </w:rPr>
              <w:t>5</w:t>
            </w:r>
            <w:r>
              <w:rPr>
                <w:sz w:val="20"/>
                <w:szCs w:val="20"/>
              </w:rPr>
              <w:fldChar w:fldCharType="end"/>
            </w:r>
            <w:r>
              <w:rPr>
                <w:sz w:val="20"/>
                <w:szCs w:val="20"/>
              </w:rPr>
              <w:t>, 8-12 standard UK 3 pin outlets will be fitted, depending on the configuration of the cabin as set out by CMCU.</w:t>
            </w:r>
          </w:p>
          <w:p w14:paraId="09AEE181" w14:textId="77777777" w:rsidR="00640AFC" w:rsidRDefault="00640AFC" w:rsidP="00640AFC">
            <w:pPr>
              <w:rPr>
                <w:sz w:val="20"/>
                <w:szCs w:val="20"/>
              </w:rPr>
            </w:pPr>
          </w:p>
          <w:p w14:paraId="150DC56B" w14:textId="77777777" w:rsidR="00640AFC" w:rsidRDefault="00640AFC" w:rsidP="00640AFC">
            <w:pPr>
              <w:rPr>
                <w:sz w:val="20"/>
                <w:szCs w:val="20"/>
              </w:rPr>
            </w:pPr>
            <w:r>
              <w:rPr>
                <w:sz w:val="20"/>
                <w:szCs w:val="20"/>
              </w:rPr>
              <w:t xml:space="preserve">OPTION: If extra resilience is required, the sockets may include individual RCD socket trips. The intention is to avoid a power anomaly in one piece of equipment shutting down multiple analysers unnecessarily. </w:t>
            </w:r>
          </w:p>
          <w:p w14:paraId="4C5B4C26" w14:textId="77777777" w:rsidR="00640AFC" w:rsidRDefault="00640AFC" w:rsidP="00640AFC">
            <w:pPr>
              <w:rPr>
                <w:sz w:val="20"/>
                <w:szCs w:val="20"/>
              </w:rPr>
            </w:pPr>
          </w:p>
          <w:p w14:paraId="65852312" w14:textId="07B8BB83" w:rsidR="00640AFC" w:rsidRDefault="00640AFC" w:rsidP="00640AFC">
            <w:pPr>
              <w:rPr>
                <w:sz w:val="20"/>
                <w:szCs w:val="20"/>
              </w:rPr>
            </w:pPr>
            <w:r>
              <w:rPr>
                <w:sz w:val="20"/>
                <w:szCs w:val="20"/>
              </w:rPr>
              <w:t xml:space="preserve">OPTION: If required, a </w:t>
            </w:r>
            <w:r w:rsidR="005435DA">
              <w:rPr>
                <w:sz w:val="20"/>
                <w:szCs w:val="20"/>
              </w:rPr>
              <w:t>temperature-controlled</w:t>
            </w:r>
            <w:r>
              <w:rPr>
                <w:sz w:val="20"/>
                <w:szCs w:val="20"/>
              </w:rPr>
              <w:t xml:space="preserve"> </w:t>
            </w:r>
            <w:r w:rsidR="005435DA">
              <w:rPr>
                <w:sz w:val="20"/>
                <w:szCs w:val="20"/>
              </w:rPr>
              <w:t>cut-out</w:t>
            </w:r>
            <w:r>
              <w:rPr>
                <w:sz w:val="20"/>
                <w:szCs w:val="20"/>
              </w:rPr>
              <w:t xml:space="preserve"> will be installed to cut power to the sockets in the event of climate control failure. This is to prevent ancillary electrical equipment such as pumps without built in thermal protection from overheating in the event of an AC failure.</w:t>
            </w:r>
          </w:p>
          <w:p w14:paraId="3F9F5E81" w14:textId="77777777" w:rsidR="00640AFC" w:rsidRDefault="00640AFC" w:rsidP="00640AFC">
            <w:pPr>
              <w:rPr>
                <w:sz w:val="20"/>
                <w:szCs w:val="20"/>
              </w:rPr>
            </w:pPr>
          </w:p>
          <w:p w14:paraId="5FF94318" w14:textId="7D3E2B4B" w:rsidR="00640AFC" w:rsidRPr="00DE6364" w:rsidRDefault="00640AFC" w:rsidP="00640AFC">
            <w:pPr>
              <w:rPr>
                <w:sz w:val="20"/>
                <w:szCs w:val="20"/>
              </w:rPr>
            </w:pPr>
            <w:r>
              <w:rPr>
                <w:sz w:val="20"/>
                <w:szCs w:val="20"/>
              </w:rPr>
              <w:t xml:space="preserve">In addition to any lightning protection outlined in </w:t>
            </w:r>
            <w:r>
              <w:rPr>
                <w:sz w:val="20"/>
                <w:szCs w:val="20"/>
              </w:rPr>
              <w:fldChar w:fldCharType="begin"/>
            </w:r>
            <w:r>
              <w:rPr>
                <w:sz w:val="20"/>
                <w:szCs w:val="20"/>
              </w:rPr>
              <w:instrText xml:space="preserve"> REF _Ref122008778 \h </w:instrText>
            </w:r>
            <w:r>
              <w:rPr>
                <w:sz w:val="20"/>
                <w:szCs w:val="20"/>
              </w:rPr>
            </w:r>
            <w:r>
              <w:rPr>
                <w:sz w:val="20"/>
                <w:szCs w:val="20"/>
              </w:rPr>
              <w:fldChar w:fldCharType="separate"/>
            </w:r>
            <w:r w:rsidR="003F221C" w:rsidRPr="00FE4AED">
              <w:t xml:space="preserve">Appendix </w:t>
            </w:r>
            <w:r w:rsidR="003F221C">
              <w:rPr>
                <w:i/>
                <w:iCs/>
                <w:noProof/>
              </w:rPr>
              <w:t>5</w:t>
            </w:r>
            <w:r>
              <w:rPr>
                <w:sz w:val="20"/>
                <w:szCs w:val="20"/>
              </w:rPr>
              <w:fldChar w:fldCharType="end"/>
            </w:r>
            <w:r>
              <w:rPr>
                <w:sz w:val="20"/>
                <w:szCs w:val="20"/>
              </w:rPr>
              <w:t xml:space="preserve">, surge protectors will be fitted where compatible and following approval from CMCU to protect sensitive equipment from power spikes or surges. </w:t>
            </w:r>
          </w:p>
          <w:p w14:paraId="568B7368" w14:textId="0F5B5438" w:rsidR="008277F9" w:rsidRPr="00DE6364" w:rsidRDefault="008277F9" w:rsidP="008277F9">
            <w:pPr>
              <w:rPr>
                <w:sz w:val="20"/>
                <w:szCs w:val="20"/>
              </w:rPr>
            </w:pPr>
          </w:p>
        </w:tc>
      </w:tr>
      <w:tr w:rsidR="008277F9" w:rsidRPr="004801BF" w14:paraId="3F5CD07C" w14:textId="77777777" w:rsidTr="1D42B4A5">
        <w:tc>
          <w:tcPr>
            <w:tcW w:w="1710" w:type="dxa"/>
          </w:tcPr>
          <w:p w14:paraId="27F9229C" w14:textId="77777777" w:rsidR="008277F9" w:rsidRDefault="008277F9" w:rsidP="008277F9">
            <w:pPr>
              <w:rPr>
                <w:sz w:val="20"/>
                <w:szCs w:val="20"/>
              </w:rPr>
            </w:pPr>
            <w:r>
              <w:rPr>
                <w:sz w:val="20"/>
                <w:szCs w:val="20"/>
              </w:rPr>
              <w:t>Equipment and fittings</w:t>
            </w:r>
          </w:p>
        </w:tc>
        <w:tc>
          <w:tcPr>
            <w:tcW w:w="1546" w:type="dxa"/>
          </w:tcPr>
          <w:p w14:paraId="1BB18D2C" w14:textId="77777777" w:rsidR="008277F9" w:rsidRDefault="008277F9" w:rsidP="008277F9">
            <w:pPr>
              <w:rPr>
                <w:sz w:val="20"/>
                <w:szCs w:val="20"/>
              </w:rPr>
            </w:pPr>
            <w:r>
              <w:rPr>
                <w:sz w:val="20"/>
                <w:szCs w:val="20"/>
              </w:rPr>
              <w:t>Equipment Shelving</w:t>
            </w:r>
          </w:p>
        </w:tc>
        <w:tc>
          <w:tcPr>
            <w:tcW w:w="5811" w:type="dxa"/>
          </w:tcPr>
          <w:p w14:paraId="37705B55" w14:textId="16E3D492" w:rsidR="008277F9" w:rsidRDefault="008277F9" w:rsidP="008277F9">
            <w:pPr>
              <w:pStyle w:val="ListParagraph"/>
              <w:numPr>
                <w:ilvl w:val="0"/>
                <w:numId w:val="14"/>
              </w:numPr>
              <w:rPr>
                <w:sz w:val="20"/>
                <w:szCs w:val="20"/>
              </w:rPr>
            </w:pPr>
            <w:r w:rsidRPr="00A316AB">
              <w:rPr>
                <w:sz w:val="20"/>
                <w:szCs w:val="20"/>
              </w:rPr>
              <w:t xml:space="preserve">The </w:t>
            </w:r>
            <w:r>
              <w:rPr>
                <w:sz w:val="20"/>
                <w:szCs w:val="20"/>
              </w:rPr>
              <w:t>cabin</w:t>
            </w:r>
            <w:r w:rsidRPr="00A316AB">
              <w:rPr>
                <w:sz w:val="20"/>
                <w:szCs w:val="20"/>
              </w:rPr>
              <w:t xml:space="preserve"> shall be of suitable size to allow standard 19” instrument racking of 600mm x 800mm x 1800mm to be installed within the </w:t>
            </w:r>
            <w:r>
              <w:rPr>
                <w:sz w:val="20"/>
                <w:szCs w:val="20"/>
              </w:rPr>
              <w:t>cabin</w:t>
            </w:r>
            <w:r w:rsidRPr="00A316AB">
              <w:rPr>
                <w:sz w:val="20"/>
                <w:szCs w:val="20"/>
              </w:rPr>
              <w:t xml:space="preserve">. Housing walls </w:t>
            </w:r>
            <w:r>
              <w:rPr>
                <w:sz w:val="20"/>
                <w:szCs w:val="20"/>
              </w:rPr>
              <w:t>must</w:t>
            </w:r>
            <w:r w:rsidRPr="00A316AB">
              <w:rPr>
                <w:sz w:val="20"/>
                <w:szCs w:val="20"/>
              </w:rPr>
              <w:t xml:space="preserve"> have sufficient structural strength to support shelving</w:t>
            </w:r>
            <w:r>
              <w:rPr>
                <w:sz w:val="20"/>
                <w:szCs w:val="20"/>
              </w:rPr>
              <w:t>/racking</w:t>
            </w:r>
            <w:r w:rsidRPr="00A316AB">
              <w:rPr>
                <w:sz w:val="20"/>
                <w:szCs w:val="20"/>
              </w:rPr>
              <w:t xml:space="preserve"> which can hold an analyser weighing 15kg, or have flexibility for floor mounted supports for analysers that need to be positioned near to the roof of the </w:t>
            </w:r>
            <w:r>
              <w:rPr>
                <w:sz w:val="20"/>
                <w:szCs w:val="20"/>
              </w:rPr>
              <w:t>cabin</w:t>
            </w:r>
            <w:r w:rsidRPr="00A316AB">
              <w:rPr>
                <w:sz w:val="20"/>
                <w:szCs w:val="20"/>
              </w:rPr>
              <w:t>, due to short inlet lengths.</w:t>
            </w:r>
          </w:p>
          <w:p w14:paraId="28AD3C85" w14:textId="3D6357F1" w:rsidR="008277F9" w:rsidRPr="00691D72" w:rsidRDefault="008277F9" w:rsidP="008277F9">
            <w:pPr>
              <w:pStyle w:val="ListParagraph"/>
              <w:numPr>
                <w:ilvl w:val="0"/>
                <w:numId w:val="14"/>
              </w:numPr>
              <w:rPr>
                <w:sz w:val="20"/>
                <w:szCs w:val="20"/>
              </w:rPr>
            </w:pPr>
            <w:r>
              <w:rPr>
                <w:sz w:val="20"/>
                <w:szCs w:val="20"/>
              </w:rPr>
              <w:t>As an alternative</w:t>
            </w:r>
            <w:r w:rsidRPr="004801BF">
              <w:rPr>
                <w:sz w:val="20"/>
                <w:szCs w:val="20"/>
              </w:rPr>
              <w:t xml:space="preserve"> to </w:t>
            </w:r>
            <w:r>
              <w:rPr>
                <w:sz w:val="20"/>
                <w:szCs w:val="20"/>
              </w:rPr>
              <w:t>racking</w:t>
            </w:r>
            <w:r w:rsidRPr="004801BF">
              <w:rPr>
                <w:sz w:val="20"/>
                <w:szCs w:val="20"/>
              </w:rPr>
              <w:t>,</w:t>
            </w:r>
            <w:r>
              <w:rPr>
                <w:sz w:val="20"/>
                <w:szCs w:val="20"/>
              </w:rPr>
              <w:t xml:space="preserve"> shelving</w:t>
            </w:r>
            <w:r w:rsidRPr="004801BF">
              <w:rPr>
                <w:sz w:val="20"/>
                <w:szCs w:val="20"/>
              </w:rPr>
              <w:t xml:space="preserve"> may be used if appropriate.</w:t>
            </w:r>
          </w:p>
          <w:p w14:paraId="656DC649" w14:textId="2162F870" w:rsidR="008277F9" w:rsidRPr="00691D72" w:rsidRDefault="008277F9" w:rsidP="008277F9">
            <w:pPr>
              <w:pStyle w:val="ListParagraph"/>
              <w:numPr>
                <w:ilvl w:val="0"/>
                <w:numId w:val="14"/>
              </w:numPr>
              <w:rPr>
                <w:sz w:val="20"/>
                <w:szCs w:val="20"/>
              </w:rPr>
            </w:pPr>
            <w:r w:rsidRPr="004801BF">
              <w:rPr>
                <w:sz w:val="20"/>
                <w:szCs w:val="20"/>
              </w:rPr>
              <w:t xml:space="preserve">Agreement of CMCU of the design will be needed before installation. </w:t>
            </w:r>
          </w:p>
        </w:tc>
      </w:tr>
      <w:tr w:rsidR="008277F9" w:rsidRPr="004801BF" w14:paraId="590A7793" w14:textId="77777777" w:rsidTr="1D42B4A5">
        <w:tc>
          <w:tcPr>
            <w:tcW w:w="1710" w:type="dxa"/>
          </w:tcPr>
          <w:p w14:paraId="33A58BCE" w14:textId="601BBAD4" w:rsidR="008277F9" w:rsidRDefault="008277F9" w:rsidP="008277F9">
            <w:pPr>
              <w:rPr>
                <w:sz w:val="20"/>
                <w:szCs w:val="20"/>
              </w:rPr>
            </w:pPr>
            <w:r>
              <w:rPr>
                <w:sz w:val="20"/>
                <w:szCs w:val="20"/>
              </w:rPr>
              <w:t>Equipment and fittings</w:t>
            </w:r>
          </w:p>
        </w:tc>
        <w:tc>
          <w:tcPr>
            <w:tcW w:w="1546" w:type="dxa"/>
          </w:tcPr>
          <w:p w14:paraId="70F13935" w14:textId="2FD11E11" w:rsidR="008277F9" w:rsidRDefault="008277F9" w:rsidP="008277F9">
            <w:pPr>
              <w:rPr>
                <w:sz w:val="20"/>
                <w:szCs w:val="20"/>
              </w:rPr>
            </w:pPr>
            <w:r>
              <w:rPr>
                <w:sz w:val="20"/>
                <w:szCs w:val="20"/>
              </w:rPr>
              <w:t>Ladders</w:t>
            </w:r>
          </w:p>
        </w:tc>
        <w:tc>
          <w:tcPr>
            <w:tcW w:w="5811" w:type="dxa"/>
          </w:tcPr>
          <w:p w14:paraId="46439985" w14:textId="77777777" w:rsidR="00640AFC" w:rsidRPr="00AE1451" w:rsidRDefault="00640AFC" w:rsidP="00640AFC">
            <w:pPr>
              <w:pStyle w:val="ListParagraph"/>
              <w:numPr>
                <w:ilvl w:val="0"/>
                <w:numId w:val="14"/>
              </w:numPr>
              <w:rPr>
                <w:sz w:val="20"/>
                <w:szCs w:val="20"/>
              </w:rPr>
            </w:pPr>
            <w:r>
              <w:rPr>
                <w:sz w:val="20"/>
                <w:szCs w:val="20"/>
              </w:rPr>
              <w:t xml:space="preserve">A telescopic ladder </w:t>
            </w:r>
            <w:r w:rsidRPr="00AE1451">
              <w:rPr>
                <w:sz w:val="20"/>
                <w:szCs w:val="20"/>
              </w:rPr>
              <w:t>conform</w:t>
            </w:r>
            <w:r>
              <w:rPr>
                <w:sz w:val="20"/>
                <w:szCs w:val="20"/>
              </w:rPr>
              <w:t>ing</w:t>
            </w:r>
            <w:r w:rsidRPr="00AE1451">
              <w:rPr>
                <w:sz w:val="20"/>
                <w:szCs w:val="20"/>
              </w:rPr>
              <w:t xml:space="preserve"> to BS EN 131</w:t>
            </w:r>
            <w:r>
              <w:rPr>
                <w:sz w:val="20"/>
                <w:szCs w:val="20"/>
              </w:rPr>
              <w:t xml:space="preserve"> shall be provided</w:t>
            </w:r>
          </w:p>
          <w:p w14:paraId="712CA6DE" w14:textId="2F45B0B5" w:rsidR="008277F9" w:rsidRPr="00A316AB" w:rsidRDefault="00640AFC" w:rsidP="00640AFC">
            <w:pPr>
              <w:pStyle w:val="ListParagraph"/>
              <w:numPr>
                <w:ilvl w:val="0"/>
                <w:numId w:val="14"/>
              </w:numPr>
              <w:rPr>
                <w:sz w:val="20"/>
                <w:szCs w:val="20"/>
              </w:rPr>
            </w:pPr>
            <w:r w:rsidRPr="00A906CD">
              <w:rPr>
                <w:sz w:val="20"/>
                <w:szCs w:val="20"/>
              </w:rPr>
              <w:t xml:space="preserve">Ladder restraint system or fixing system that meets Working at Height regulations (see </w:t>
            </w:r>
            <w:r>
              <w:rPr>
                <w:sz w:val="20"/>
                <w:szCs w:val="20"/>
              </w:rPr>
              <w:fldChar w:fldCharType="begin"/>
            </w:r>
            <w:r>
              <w:rPr>
                <w:sz w:val="20"/>
                <w:szCs w:val="20"/>
              </w:rPr>
              <w:instrText xml:space="preserve"> REF _Ref122011435 \h </w:instrText>
            </w:r>
            <w:r>
              <w:rPr>
                <w:sz w:val="20"/>
                <w:szCs w:val="20"/>
              </w:rPr>
            </w:r>
            <w:r>
              <w:rPr>
                <w:sz w:val="20"/>
                <w:szCs w:val="20"/>
              </w:rPr>
              <w:fldChar w:fldCharType="separate"/>
            </w:r>
            <w:r w:rsidR="003F221C" w:rsidRPr="00FE4AED">
              <w:t xml:space="preserve">Appendix </w:t>
            </w:r>
            <w:r w:rsidR="003F221C">
              <w:rPr>
                <w:i/>
                <w:iCs/>
                <w:noProof/>
              </w:rPr>
              <w:t>8</w:t>
            </w:r>
            <w:r>
              <w:rPr>
                <w:sz w:val="20"/>
                <w:szCs w:val="20"/>
              </w:rPr>
              <w:fldChar w:fldCharType="end"/>
            </w:r>
          </w:p>
        </w:tc>
      </w:tr>
      <w:tr w:rsidR="008277F9" w14:paraId="5902BA9F" w14:textId="77777777" w:rsidTr="1D42B4A5">
        <w:tc>
          <w:tcPr>
            <w:tcW w:w="1710" w:type="dxa"/>
          </w:tcPr>
          <w:p w14:paraId="66B70973" w14:textId="04D606AD" w:rsidR="008277F9" w:rsidRDefault="008277F9" w:rsidP="008277F9">
            <w:pPr>
              <w:rPr>
                <w:sz w:val="20"/>
                <w:szCs w:val="20"/>
              </w:rPr>
            </w:pPr>
            <w:r>
              <w:rPr>
                <w:sz w:val="20"/>
                <w:szCs w:val="20"/>
              </w:rPr>
              <w:t>Equipment and fittings</w:t>
            </w:r>
          </w:p>
        </w:tc>
        <w:tc>
          <w:tcPr>
            <w:tcW w:w="1546" w:type="dxa"/>
          </w:tcPr>
          <w:p w14:paraId="16F269E8" w14:textId="77777777" w:rsidR="008277F9" w:rsidRDefault="008277F9" w:rsidP="008277F9">
            <w:pPr>
              <w:rPr>
                <w:sz w:val="20"/>
                <w:szCs w:val="20"/>
              </w:rPr>
            </w:pPr>
            <w:r>
              <w:rPr>
                <w:sz w:val="20"/>
                <w:szCs w:val="20"/>
              </w:rPr>
              <w:t>Gas Cylinder Storage</w:t>
            </w:r>
          </w:p>
        </w:tc>
        <w:tc>
          <w:tcPr>
            <w:tcW w:w="5811" w:type="dxa"/>
          </w:tcPr>
          <w:p w14:paraId="6CD596AF" w14:textId="7C9E1BD7" w:rsidR="008277F9" w:rsidRPr="007D4151" w:rsidRDefault="008277F9" w:rsidP="008277F9">
            <w:pPr>
              <w:rPr>
                <w:b/>
                <w:sz w:val="20"/>
                <w:szCs w:val="20"/>
              </w:rPr>
            </w:pPr>
            <w:r w:rsidRPr="00C615BE">
              <w:rPr>
                <w:sz w:val="20"/>
                <w:szCs w:val="20"/>
              </w:rPr>
              <w:t xml:space="preserve">Gas cylinder restraints </w:t>
            </w:r>
            <w:r>
              <w:rPr>
                <w:sz w:val="20"/>
                <w:szCs w:val="20"/>
              </w:rPr>
              <w:t xml:space="preserve">suitable for L10, L40 and L50 cylinders </w:t>
            </w:r>
            <w:r w:rsidRPr="00C615BE">
              <w:rPr>
                <w:sz w:val="20"/>
                <w:szCs w:val="20"/>
              </w:rPr>
              <w:t>shall be fitted</w:t>
            </w:r>
            <w:r>
              <w:rPr>
                <w:sz w:val="20"/>
                <w:szCs w:val="20"/>
              </w:rPr>
              <w:t xml:space="preserve"> in the external gas store if required.</w:t>
            </w:r>
            <w:r w:rsidR="00F31BE3">
              <w:rPr>
                <w:sz w:val="20"/>
                <w:szCs w:val="20"/>
              </w:rPr>
              <w:t xml:space="preserve"> </w:t>
            </w:r>
          </w:p>
        </w:tc>
      </w:tr>
      <w:tr w:rsidR="008277F9" w:rsidRPr="00DE6364" w14:paraId="0E602D27" w14:textId="77777777" w:rsidTr="1D42B4A5">
        <w:tc>
          <w:tcPr>
            <w:tcW w:w="1710" w:type="dxa"/>
          </w:tcPr>
          <w:p w14:paraId="2028FB3B" w14:textId="77777777" w:rsidR="008277F9" w:rsidRPr="00DE6364" w:rsidRDefault="008277F9" w:rsidP="008277F9">
            <w:pPr>
              <w:rPr>
                <w:sz w:val="20"/>
                <w:szCs w:val="20"/>
              </w:rPr>
            </w:pPr>
            <w:r>
              <w:rPr>
                <w:sz w:val="20"/>
                <w:szCs w:val="20"/>
              </w:rPr>
              <w:t>Documentation and Labels</w:t>
            </w:r>
          </w:p>
        </w:tc>
        <w:tc>
          <w:tcPr>
            <w:tcW w:w="1546" w:type="dxa"/>
          </w:tcPr>
          <w:p w14:paraId="5F3AB962" w14:textId="77777777" w:rsidR="008277F9" w:rsidRPr="00DE6364" w:rsidRDefault="008277F9" w:rsidP="008277F9">
            <w:pPr>
              <w:rPr>
                <w:sz w:val="20"/>
                <w:szCs w:val="20"/>
              </w:rPr>
            </w:pPr>
            <w:r w:rsidRPr="00DE6364">
              <w:rPr>
                <w:sz w:val="20"/>
                <w:szCs w:val="20"/>
              </w:rPr>
              <w:t>Documentation</w:t>
            </w:r>
          </w:p>
        </w:tc>
        <w:tc>
          <w:tcPr>
            <w:tcW w:w="5811" w:type="dxa"/>
          </w:tcPr>
          <w:p w14:paraId="11BD4730" w14:textId="0B845B24" w:rsidR="008277F9" w:rsidRDefault="008277F9" w:rsidP="008277F9">
            <w:pPr>
              <w:rPr>
                <w:sz w:val="20"/>
                <w:szCs w:val="20"/>
              </w:rPr>
            </w:pPr>
            <w:r w:rsidRPr="00F82B53">
              <w:rPr>
                <w:sz w:val="20"/>
                <w:szCs w:val="20"/>
              </w:rPr>
              <w:t xml:space="preserve">The wiring shall be supplied with a ‘New Installation Condition Certificate’ and completed by a NICEIC registered electrician. </w:t>
            </w:r>
            <w:r>
              <w:rPr>
                <w:sz w:val="20"/>
                <w:szCs w:val="20"/>
              </w:rPr>
              <w:t>A</w:t>
            </w:r>
            <w:r w:rsidRPr="00F82B53">
              <w:rPr>
                <w:sz w:val="20"/>
                <w:szCs w:val="20"/>
              </w:rPr>
              <w:t xml:space="preserve"> “dead test” certificate carried out by a 1</w:t>
            </w:r>
            <w:r>
              <w:rPr>
                <w:sz w:val="20"/>
                <w:szCs w:val="20"/>
              </w:rPr>
              <w:t>8</w:t>
            </w:r>
            <w:r w:rsidRPr="00F82B53">
              <w:rPr>
                <w:sz w:val="20"/>
                <w:szCs w:val="20"/>
              </w:rPr>
              <w:t xml:space="preserve">th Edition qualified electrical engineer shall </w:t>
            </w:r>
            <w:r>
              <w:rPr>
                <w:sz w:val="20"/>
                <w:szCs w:val="20"/>
              </w:rPr>
              <w:t xml:space="preserve">also </w:t>
            </w:r>
            <w:r w:rsidRPr="00F82B53">
              <w:rPr>
                <w:sz w:val="20"/>
                <w:szCs w:val="20"/>
              </w:rPr>
              <w:t>be provided</w:t>
            </w:r>
            <w:r>
              <w:rPr>
                <w:sz w:val="20"/>
                <w:szCs w:val="20"/>
              </w:rPr>
              <w:t xml:space="preserve"> after fit out</w:t>
            </w:r>
            <w:r w:rsidRPr="00F82B53">
              <w:rPr>
                <w:sz w:val="20"/>
                <w:szCs w:val="20"/>
              </w:rPr>
              <w:t>.</w:t>
            </w:r>
          </w:p>
          <w:p w14:paraId="5B52B114" w14:textId="77777777" w:rsidR="008277F9" w:rsidRPr="00DE6364" w:rsidRDefault="008277F9" w:rsidP="008277F9">
            <w:pPr>
              <w:rPr>
                <w:sz w:val="20"/>
                <w:szCs w:val="20"/>
              </w:rPr>
            </w:pPr>
          </w:p>
        </w:tc>
      </w:tr>
      <w:tr w:rsidR="008277F9" w:rsidRPr="00DE6364" w14:paraId="1CFAB974" w14:textId="77777777" w:rsidTr="1D42B4A5">
        <w:tc>
          <w:tcPr>
            <w:tcW w:w="1710" w:type="dxa"/>
          </w:tcPr>
          <w:p w14:paraId="34369CD6" w14:textId="0DB162E1" w:rsidR="008277F9" w:rsidRDefault="008277F9" w:rsidP="008277F9">
            <w:pPr>
              <w:rPr>
                <w:sz w:val="20"/>
                <w:szCs w:val="20"/>
              </w:rPr>
            </w:pPr>
            <w:r>
              <w:rPr>
                <w:sz w:val="20"/>
                <w:szCs w:val="20"/>
              </w:rPr>
              <w:t>Documentation and Labels</w:t>
            </w:r>
          </w:p>
        </w:tc>
        <w:tc>
          <w:tcPr>
            <w:tcW w:w="1546" w:type="dxa"/>
          </w:tcPr>
          <w:p w14:paraId="2E2B8FA4" w14:textId="692B0AC2" w:rsidR="008277F9" w:rsidRPr="00DE6364" w:rsidRDefault="008277F9" w:rsidP="008277F9">
            <w:pPr>
              <w:rPr>
                <w:sz w:val="20"/>
                <w:szCs w:val="20"/>
              </w:rPr>
            </w:pPr>
            <w:r>
              <w:rPr>
                <w:sz w:val="20"/>
                <w:szCs w:val="20"/>
              </w:rPr>
              <w:t>Drawings</w:t>
            </w:r>
          </w:p>
        </w:tc>
        <w:tc>
          <w:tcPr>
            <w:tcW w:w="5811" w:type="dxa"/>
          </w:tcPr>
          <w:p w14:paraId="33489715" w14:textId="77777777" w:rsidR="008277F9" w:rsidRDefault="008277F9" w:rsidP="008277F9">
            <w:pPr>
              <w:rPr>
                <w:sz w:val="20"/>
                <w:szCs w:val="20"/>
              </w:rPr>
            </w:pPr>
            <w:r>
              <w:rPr>
                <w:sz w:val="20"/>
                <w:szCs w:val="20"/>
              </w:rPr>
              <w:t>4 Computer Aided Design (CAD) documents per cabin will be required, compliant with MEICA document standards and any other relevant standards</w:t>
            </w:r>
          </w:p>
          <w:p w14:paraId="02D8DBF8" w14:textId="77777777" w:rsidR="008277F9" w:rsidRDefault="19FE516F" w:rsidP="008277F9">
            <w:pPr>
              <w:pStyle w:val="ListParagraph"/>
              <w:numPr>
                <w:ilvl w:val="0"/>
                <w:numId w:val="20"/>
              </w:numPr>
              <w:rPr>
                <w:sz w:val="20"/>
                <w:szCs w:val="20"/>
              </w:rPr>
            </w:pPr>
            <w:r w:rsidRPr="1D42B4A5">
              <w:rPr>
                <w:sz w:val="20"/>
                <w:szCs w:val="20"/>
              </w:rPr>
              <w:t xml:space="preserve">Internal and external layout drawing  </w:t>
            </w:r>
          </w:p>
          <w:p w14:paraId="547B7CAE" w14:textId="77777777" w:rsidR="008277F9" w:rsidRDefault="19FE516F" w:rsidP="008277F9">
            <w:pPr>
              <w:pStyle w:val="ListParagraph"/>
              <w:numPr>
                <w:ilvl w:val="0"/>
                <w:numId w:val="20"/>
              </w:numPr>
              <w:rPr>
                <w:sz w:val="20"/>
                <w:szCs w:val="20"/>
              </w:rPr>
            </w:pPr>
            <w:r w:rsidRPr="1D42B4A5">
              <w:rPr>
                <w:sz w:val="20"/>
                <w:szCs w:val="20"/>
              </w:rPr>
              <w:t xml:space="preserve">On site equipment arrangement model </w:t>
            </w:r>
          </w:p>
          <w:p w14:paraId="206AF2E9" w14:textId="77777777" w:rsidR="008277F9" w:rsidRDefault="19FE516F" w:rsidP="008277F9">
            <w:pPr>
              <w:pStyle w:val="ListParagraph"/>
              <w:numPr>
                <w:ilvl w:val="0"/>
                <w:numId w:val="20"/>
              </w:numPr>
              <w:rPr>
                <w:sz w:val="20"/>
                <w:szCs w:val="20"/>
              </w:rPr>
            </w:pPr>
            <w:r w:rsidRPr="1D42B4A5">
              <w:rPr>
                <w:sz w:val="20"/>
                <w:szCs w:val="20"/>
              </w:rPr>
              <w:t>Electrical Single Line Diagram</w:t>
            </w:r>
          </w:p>
          <w:p w14:paraId="41F59B01" w14:textId="29E031B2" w:rsidR="008277F9" w:rsidRDefault="19FE516F" w:rsidP="008277F9">
            <w:pPr>
              <w:pStyle w:val="ListParagraph"/>
              <w:numPr>
                <w:ilvl w:val="0"/>
                <w:numId w:val="20"/>
              </w:numPr>
              <w:rPr>
                <w:sz w:val="20"/>
                <w:szCs w:val="20"/>
              </w:rPr>
            </w:pPr>
            <w:r w:rsidRPr="1D42B4A5">
              <w:rPr>
                <w:sz w:val="20"/>
                <w:szCs w:val="20"/>
              </w:rPr>
              <w:lastRenderedPageBreak/>
              <w:t>Electrical Layout Drawing</w:t>
            </w:r>
          </w:p>
          <w:p w14:paraId="18DF4C63" w14:textId="6DE5D864" w:rsidR="008277F9" w:rsidRPr="00EC1900" w:rsidRDefault="00640AFC" w:rsidP="008277F9">
            <w:pPr>
              <w:rPr>
                <w:sz w:val="20"/>
                <w:szCs w:val="20"/>
              </w:rPr>
            </w:pPr>
            <w:r>
              <w:rPr>
                <w:sz w:val="20"/>
                <w:szCs w:val="20"/>
              </w:rPr>
              <w:fldChar w:fldCharType="begin"/>
            </w:r>
            <w:r>
              <w:rPr>
                <w:sz w:val="20"/>
                <w:szCs w:val="20"/>
              </w:rPr>
              <w:instrText xml:space="preserve"> REF _Ref122011801 \h </w:instrText>
            </w:r>
            <w:r>
              <w:rPr>
                <w:sz w:val="20"/>
                <w:szCs w:val="20"/>
              </w:rPr>
            </w:r>
            <w:r>
              <w:rPr>
                <w:sz w:val="20"/>
                <w:szCs w:val="20"/>
              </w:rPr>
              <w:fldChar w:fldCharType="separate"/>
            </w:r>
            <w:r w:rsidR="003F221C" w:rsidRPr="00FE4AED">
              <w:t xml:space="preserve">Appendix </w:t>
            </w:r>
            <w:r w:rsidR="003F221C">
              <w:rPr>
                <w:i/>
                <w:iCs/>
                <w:noProof/>
              </w:rPr>
              <w:t>11</w:t>
            </w:r>
            <w:r>
              <w:rPr>
                <w:sz w:val="20"/>
                <w:szCs w:val="20"/>
              </w:rPr>
              <w:fldChar w:fldCharType="end"/>
            </w:r>
            <w:r w:rsidR="008277F9">
              <w:rPr>
                <w:sz w:val="20"/>
                <w:szCs w:val="20"/>
              </w:rPr>
              <w:t xml:space="preserve"> provides an example document showing minimum standards. </w:t>
            </w:r>
          </w:p>
          <w:p w14:paraId="58324E82" w14:textId="47E150A9" w:rsidR="008277F9" w:rsidRDefault="008277F9" w:rsidP="008277F9">
            <w:pPr>
              <w:rPr>
                <w:sz w:val="20"/>
                <w:szCs w:val="20"/>
              </w:rPr>
            </w:pPr>
            <w:r>
              <w:rPr>
                <w:sz w:val="20"/>
                <w:szCs w:val="20"/>
              </w:rPr>
              <w:t xml:space="preserve">Documents to justify design calculations for AC/Ventilation, power draw and heat management shall be provided with each cabin. </w:t>
            </w:r>
          </w:p>
        </w:tc>
      </w:tr>
      <w:tr w:rsidR="008277F9" w14:paraId="54175C6D" w14:textId="77777777" w:rsidTr="1D42B4A5">
        <w:tc>
          <w:tcPr>
            <w:tcW w:w="1710" w:type="dxa"/>
          </w:tcPr>
          <w:p w14:paraId="1AB0DF54" w14:textId="77777777" w:rsidR="008277F9" w:rsidRDefault="008277F9" w:rsidP="008277F9">
            <w:pPr>
              <w:rPr>
                <w:sz w:val="20"/>
                <w:szCs w:val="20"/>
              </w:rPr>
            </w:pPr>
            <w:r>
              <w:rPr>
                <w:sz w:val="20"/>
                <w:szCs w:val="20"/>
              </w:rPr>
              <w:lastRenderedPageBreak/>
              <w:t>Health and Safety</w:t>
            </w:r>
          </w:p>
        </w:tc>
        <w:tc>
          <w:tcPr>
            <w:tcW w:w="1546" w:type="dxa"/>
          </w:tcPr>
          <w:p w14:paraId="0E7448CC" w14:textId="77777777" w:rsidR="008277F9" w:rsidRPr="00DE6364" w:rsidRDefault="008277F9" w:rsidP="008277F9">
            <w:pPr>
              <w:rPr>
                <w:sz w:val="20"/>
                <w:szCs w:val="20"/>
              </w:rPr>
            </w:pPr>
            <w:r>
              <w:rPr>
                <w:sz w:val="20"/>
                <w:szCs w:val="20"/>
              </w:rPr>
              <w:t>Fire</w:t>
            </w:r>
          </w:p>
        </w:tc>
        <w:tc>
          <w:tcPr>
            <w:tcW w:w="5811" w:type="dxa"/>
          </w:tcPr>
          <w:p w14:paraId="1E198531" w14:textId="733898AA" w:rsidR="008277F9" w:rsidRDefault="008277F9" w:rsidP="008277F9">
            <w:pPr>
              <w:rPr>
                <w:sz w:val="20"/>
                <w:szCs w:val="20"/>
              </w:rPr>
            </w:pPr>
            <w:r w:rsidRPr="00084C3C">
              <w:rPr>
                <w:sz w:val="20"/>
                <w:szCs w:val="20"/>
              </w:rPr>
              <w:t xml:space="preserve">A fire extinguisher (2kg CO2) shall be fitted to the inside of one of the </w:t>
            </w:r>
            <w:r>
              <w:rPr>
                <w:sz w:val="20"/>
                <w:szCs w:val="20"/>
              </w:rPr>
              <w:t>cabin</w:t>
            </w:r>
            <w:r w:rsidRPr="00084C3C">
              <w:rPr>
                <w:sz w:val="20"/>
                <w:szCs w:val="20"/>
              </w:rPr>
              <w:t xml:space="preserve"> doors</w:t>
            </w:r>
          </w:p>
        </w:tc>
      </w:tr>
      <w:tr w:rsidR="008277F9" w14:paraId="0F28E467" w14:textId="77777777" w:rsidTr="1D42B4A5">
        <w:tc>
          <w:tcPr>
            <w:tcW w:w="1710" w:type="dxa"/>
          </w:tcPr>
          <w:p w14:paraId="1F41A135" w14:textId="77777777" w:rsidR="008277F9" w:rsidRDefault="008277F9" w:rsidP="008277F9">
            <w:pPr>
              <w:rPr>
                <w:sz w:val="20"/>
                <w:szCs w:val="20"/>
              </w:rPr>
            </w:pPr>
            <w:r>
              <w:rPr>
                <w:sz w:val="20"/>
                <w:szCs w:val="20"/>
              </w:rPr>
              <w:t>Health and Safety</w:t>
            </w:r>
          </w:p>
        </w:tc>
        <w:tc>
          <w:tcPr>
            <w:tcW w:w="1546" w:type="dxa"/>
          </w:tcPr>
          <w:p w14:paraId="33D23F67" w14:textId="77777777" w:rsidR="008277F9" w:rsidRPr="00DE6364" w:rsidRDefault="008277F9" w:rsidP="008277F9">
            <w:pPr>
              <w:rPr>
                <w:sz w:val="20"/>
                <w:szCs w:val="20"/>
              </w:rPr>
            </w:pPr>
            <w:r>
              <w:rPr>
                <w:sz w:val="20"/>
                <w:szCs w:val="20"/>
              </w:rPr>
              <w:t>First Aid</w:t>
            </w:r>
          </w:p>
        </w:tc>
        <w:tc>
          <w:tcPr>
            <w:tcW w:w="5811" w:type="dxa"/>
          </w:tcPr>
          <w:p w14:paraId="23D72165" w14:textId="77777777" w:rsidR="008277F9" w:rsidRDefault="008277F9" w:rsidP="008277F9">
            <w:pPr>
              <w:jc w:val="both"/>
              <w:rPr>
                <w:sz w:val="20"/>
                <w:szCs w:val="20"/>
              </w:rPr>
            </w:pPr>
            <w:r w:rsidRPr="00084C3C">
              <w:rPr>
                <w:sz w:val="20"/>
                <w:szCs w:val="20"/>
              </w:rPr>
              <w:t>A first aid box which contents complies with BS 8599 and matches the requirements identified through a site risk assessment shall be fitted to the internal of the door.</w:t>
            </w:r>
          </w:p>
        </w:tc>
      </w:tr>
    </w:tbl>
    <w:p w14:paraId="6B746C9D" w14:textId="649E88B0" w:rsidR="003C3A5A" w:rsidRPr="00DE6364" w:rsidRDefault="003C3A5A" w:rsidP="003F1B2A">
      <w:pPr>
        <w:rPr>
          <w:sz w:val="20"/>
          <w:szCs w:val="20"/>
        </w:rPr>
      </w:pPr>
    </w:p>
    <w:p w14:paraId="489577F9" w14:textId="77777777" w:rsidR="003C3A5A" w:rsidRPr="00DE6364" w:rsidRDefault="003C3A5A" w:rsidP="003F1B2A">
      <w:pPr>
        <w:rPr>
          <w:sz w:val="20"/>
          <w:szCs w:val="20"/>
        </w:rPr>
      </w:pPr>
    </w:p>
    <w:p w14:paraId="4D3375B4" w14:textId="6174ED7A" w:rsidR="00287A60" w:rsidRDefault="00287A60" w:rsidP="004801BF">
      <w:pPr>
        <w:pStyle w:val="Heading3"/>
      </w:pPr>
      <w:bookmarkStart w:id="21" w:name="_Ref120794925"/>
      <w:r w:rsidRPr="00DE6364">
        <w:t xml:space="preserve">Custom </w:t>
      </w:r>
      <w:r w:rsidR="002249E1">
        <w:t>Housings</w:t>
      </w:r>
      <w:bookmarkEnd w:id="21"/>
    </w:p>
    <w:p w14:paraId="2C41FD2B" w14:textId="77777777" w:rsidR="00FE5AFB" w:rsidRPr="00FE5AFB" w:rsidRDefault="00FE5AFB" w:rsidP="00FE5AFB"/>
    <w:p w14:paraId="4A899976" w14:textId="322E8A1F" w:rsidR="00287A60" w:rsidRPr="00345E26" w:rsidRDefault="00FE5AFB" w:rsidP="00287A60">
      <w:r w:rsidRPr="00345E26">
        <w:t xml:space="preserve">Housings </w:t>
      </w:r>
      <w:r w:rsidR="00EC29BD" w:rsidRPr="00345E26">
        <w:t>shall</w:t>
      </w:r>
      <w:r w:rsidRPr="00345E26">
        <w:t xml:space="preserve"> be generally supplied to a standard basic design per size category, with </w:t>
      </w:r>
      <w:r w:rsidR="00EC29BD" w:rsidRPr="00345E26">
        <w:t>modifications</w:t>
      </w:r>
      <w:r w:rsidRPr="00345E26">
        <w:t xml:space="preserve"> to the exterior</w:t>
      </w:r>
      <w:r w:rsidR="00EC29BD" w:rsidRPr="00345E26">
        <w:t>/interior</w:t>
      </w:r>
      <w:r w:rsidRPr="00345E26">
        <w:t xml:space="preserve"> on a </w:t>
      </w:r>
      <w:r w:rsidR="005435DA" w:rsidRPr="00345E26">
        <w:t>case-by-case</w:t>
      </w:r>
      <w:r w:rsidRPr="00345E26">
        <w:t xml:space="preserve"> basis. These modifications will be </w:t>
      </w:r>
      <w:r w:rsidR="0040152A" w:rsidRPr="00345E26">
        <w:t>based on the local requirements of the site (</w:t>
      </w:r>
      <w:r w:rsidR="00132336" w:rsidRPr="00345E26">
        <w:t>e.g.</w:t>
      </w:r>
      <w:r w:rsidR="0040152A" w:rsidRPr="00345E26">
        <w:t xml:space="preserve"> doors on a particular side) or internal requirements </w:t>
      </w:r>
      <w:r w:rsidR="00ED1429" w:rsidRPr="00345E26">
        <w:t>(</w:t>
      </w:r>
      <w:r w:rsidR="00132336">
        <w:t>e.g. wide access doors to allow larger instrumentation</w:t>
      </w:r>
      <w:r w:rsidR="00ED1429" w:rsidRPr="00345E26">
        <w:t>)</w:t>
      </w:r>
      <w:r w:rsidR="0040152A" w:rsidRPr="00345E26">
        <w:t xml:space="preserve">. These requirements will be determined in concert with the CMCU and the Authority. </w:t>
      </w:r>
    </w:p>
    <w:p w14:paraId="296A2ECB" w14:textId="2CA17F10" w:rsidR="00DE465C" w:rsidRDefault="00EC29BD" w:rsidP="00287A60">
      <w:r w:rsidRPr="00345E26">
        <w:t>In the event that the standard designs are not workable, t</w:t>
      </w:r>
      <w:r w:rsidR="00F72F8F" w:rsidRPr="00345E26">
        <w:t>he</w:t>
      </w:r>
      <w:r w:rsidR="00287A60" w:rsidRPr="00345E26">
        <w:t xml:space="preserve"> </w:t>
      </w:r>
      <w:r w:rsidR="00077E38">
        <w:t>Authority</w:t>
      </w:r>
      <w:r w:rsidR="00287A60" w:rsidRPr="00345E26">
        <w:t xml:space="preserve"> and its subcontractors managing the Air Quality Monitoring Networks may require bespoke </w:t>
      </w:r>
      <w:r w:rsidR="002249E1" w:rsidRPr="00345E26">
        <w:t>housings</w:t>
      </w:r>
      <w:r w:rsidR="00287A60" w:rsidRPr="00345E26">
        <w:t xml:space="preserve"> to be supplied</w:t>
      </w:r>
      <w:r w:rsidR="00DE465C">
        <w:t>. Example cases include:</w:t>
      </w:r>
    </w:p>
    <w:p w14:paraId="4C5B41FD" w14:textId="7707B3B2" w:rsidR="000A0F6F" w:rsidRDefault="00DE465C" w:rsidP="00DE465C">
      <w:pPr>
        <w:pStyle w:val="ListParagraph"/>
        <w:numPr>
          <w:ilvl w:val="0"/>
          <w:numId w:val="40"/>
        </w:numPr>
      </w:pPr>
      <w:r>
        <w:t>For</w:t>
      </w:r>
      <w:r w:rsidR="00287A60">
        <w:t xml:space="preserve"> a location with specific space requirements or </w:t>
      </w:r>
      <w:r w:rsidR="000026AE">
        <w:t>different building materials</w:t>
      </w:r>
      <w:r w:rsidR="00287A60">
        <w:t>.</w:t>
      </w:r>
    </w:p>
    <w:p w14:paraId="34CD3584" w14:textId="621ACFB8" w:rsidR="000A0F6F" w:rsidRDefault="00DE465C" w:rsidP="00DE465C">
      <w:pPr>
        <w:pStyle w:val="ListParagraph"/>
        <w:numPr>
          <w:ilvl w:val="0"/>
          <w:numId w:val="40"/>
        </w:numPr>
      </w:pPr>
      <w:r>
        <w:t>T</w:t>
      </w:r>
      <w:r w:rsidR="003F1E86">
        <w:t xml:space="preserve">o include </w:t>
      </w:r>
      <w:r w:rsidR="0024550B">
        <w:t xml:space="preserve">additional </w:t>
      </w:r>
      <w:r w:rsidR="003F1E86">
        <w:t xml:space="preserve">space and facilities for the collection of </w:t>
      </w:r>
      <w:r w:rsidR="003228F9">
        <w:t>meteorological</w:t>
      </w:r>
      <w:r w:rsidR="003F1E86">
        <w:t xml:space="preserve"> data. This can include </w:t>
      </w:r>
      <w:r w:rsidR="003228F9">
        <w:t xml:space="preserve">instruments using a 15m telescoping meteorological mast, as well as other ground-based instrumentation. The contractor </w:t>
      </w:r>
      <w:r w:rsidR="0024550B">
        <w:t>will l</w:t>
      </w:r>
      <w:r w:rsidR="00023363">
        <w:t>i</w:t>
      </w:r>
      <w:r w:rsidR="0024550B">
        <w:t>a</w:t>
      </w:r>
      <w:r w:rsidR="00023363">
        <w:t>i</w:t>
      </w:r>
      <w:r w:rsidR="0024550B">
        <w:t xml:space="preserve">se with </w:t>
      </w:r>
      <w:r w:rsidR="00023363">
        <w:t xml:space="preserve">any </w:t>
      </w:r>
      <w:r w:rsidR="0024550B">
        <w:t xml:space="preserve">relevant additional stakeholders in the design of these more complex cabins. </w:t>
      </w:r>
    </w:p>
    <w:p w14:paraId="40B60C8B" w14:textId="5A4DF292" w:rsidR="00DE465C" w:rsidRPr="00345E26" w:rsidRDefault="00DE465C" w:rsidP="00DE465C">
      <w:pPr>
        <w:pStyle w:val="ListParagraph"/>
        <w:numPr>
          <w:ilvl w:val="0"/>
          <w:numId w:val="40"/>
        </w:numPr>
      </w:pPr>
      <w:r>
        <w:t xml:space="preserve">For a site </w:t>
      </w:r>
      <w:r w:rsidR="007C6228">
        <w:t xml:space="preserve">design with unusual access requirements – </w:t>
      </w:r>
      <w:r w:rsidR="003117CE">
        <w:t>e.g.</w:t>
      </w:r>
      <w:r w:rsidR="007C6228">
        <w:t xml:space="preserve"> air transportable housing, modular housings to be assembled on site, </w:t>
      </w:r>
      <w:r w:rsidR="003117CE">
        <w:t>or roof access as part of the design, for meteorological instrumentation siting.</w:t>
      </w:r>
    </w:p>
    <w:p w14:paraId="05E465B4" w14:textId="65EC24A0" w:rsidR="00287A60" w:rsidRPr="00345E26" w:rsidRDefault="00287A60" w:rsidP="00287A60">
      <w:r>
        <w:t xml:space="preserve">These custom </w:t>
      </w:r>
      <w:r w:rsidR="002249E1">
        <w:t>housings</w:t>
      </w:r>
      <w:r>
        <w:t xml:space="preserve"> are to adhere to the same standards and basic design principles as the off the shelf </w:t>
      </w:r>
      <w:r w:rsidR="002249E1">
        <w:t>housings</w:t>
      </w:r>
      <w:r>
        <w:t xml:space="preserve"> wherever possible. </w:t>
      </w:r>
    </w:p>
    <w:p w14:paraId="349E12AC" w14:textId="44166EA3" w:rsidR="72999DD0" w:rsidRDefault="72999DD0" w:rsidP="4DE8CE4B">
      <w:pPr>
        <w:pStyle w:val="ListParagraph"/>
        <w:numPr>
          <w:ilvl w:val="0"/>
          <w:numId w:val="40"/>
        </w:numPr>
      </w:pPr>
      <w:r>
        <w:t xml:space="preserve">custom housings are to be designed and built on a </w:t>
      </w:r>
      <w:r w:rsidR="005435DA">
        <w:t>case-by-case</w:t>
      </w:r>
      <w:r>
        <w:t xml:space="preserve"> </w:t>
      </w:r>
      <w:r w:rsidR="005435DA">
        <w:t>basis;</w:t>
      </w:r>
      <w:r>
        <w:t xml:space="preserve"> pricing agreed on a similar basis.</w:t>
      </w:r>
    </w:p>
    <w:p w14:paraId="2E9948CE" w14:textId="39FD0F79" w:rsidR="72999DD0" w:rsidRDefault="72999DD0" w:rsidP="4DE8CE4B">
      <w:pPr>
        <w:pStyle w:val="ListParagraph"/>
        <w:numPr>
          <w:ilvl w:val="0"/>
          <w:numId w:val="40"/>
        </w:numPr>
      </w:pPr>
      <w:r>
        <w:t xml:space="preserve">Work on custom housings will be </w:t>
      </w:r>
      <w:r w:rsidR="00345311">
        <w:t>open book costed.</w:t>
      </w:r>
    </w:p>
    <w:p w14:paraId="18AE8EC5" w14:textId="4F94D8C2" w:rsidR="72999DD0" w:rsidRDefault="72999DD0" w:rsidP="4DE8CE4B">
      <w:r>
        <w:t xml:space="preserve"> </w:t>
      </w:r>
    </w:p>
    <w:p w14:paraId="581B78CA" w14:textId="4C508ADD" w:rsidR="009F38A3" w:rsidRDefault="009F38A3" w:rsidP="009F38A3">
      <w:pPr>
        <w:pStyle w:val="Heading3"/>
      </w:pPr>
      <w:bookmarkStart w:id="22" w:name="_Ref119494043"/>
      <w:r>
        <w:t>Integrated climate control system testing</w:t>
      </w:r>
      <w:bookmarkEnd w:id="22"/>
      <w:r w:rsidR="001A0CDA">
        <w:t xml:space="preserve"> </w:t>
      </w:r>
    </w:p>
    <w:p w14:paraId="5F9EA09D" w14:textId="1A097530" w:rsidR="000938C9" w:rsidRPr="000938C9" w:rsidRDefault="000938C9" w:rsidP="000938C9"/>
    <w:p w14:paraId="77E17F3C" w14:textId="3AC27843" w:rsidR="009F38A3" w:rsidRDefault="009F38A3" w:rsidP="009F38A3">
      <w:r>
        <w:t>As part of the EA commitment to reducing the carbon footprint of our networks (outlined in</w:t>
      </w:r>
      <w:r w:rsidR="00E65427">
        <w:t xml:space="preserve"> section</w:t>
      </w:r>
      <w:r>
        <w:t xml:space="preserve"> </w:t>
      </w:r>
      <w:r w:rsidR="00E65427">
        <w:fldChar w:fldCharType="begin"/>
      </w:r>
      <w:r w:rsidR="00E65427">
        <w:instrText xml:space="preserve"> REF _Ref122012539 \r \h </w:instrText>
      </w:r>
      <w:r w:rsidR="00E65427">
        <w:fldChar w:fldCharType="separate"/>
      </w:r>
      <w:r w:rsidR="003F221C">
        <w:t>8</w:t>
      </w:r>
      <w:r w:rsidR="00E65427">
        <w:fldChar w:fldCharType="end"/>
      </w:r>
      <w:r w:rsidR="00E65427">
        <w:t>)</w:t>
      </w:r>
      <w:r>
        <w:t xml:space="preserve">, and increasing resilience to extreme weather events, the following spec points will be trialled at </w:t>
      </w:r>
      <w:r w:rsidR="004472B7">
        <w:t>a</w:t>
      </w:r>
      <w:r>
        <w:t xml:space="preserve"> site not yet determined.  The contractor will be required to fit out one</w:t>
      </w:r>
      <w:r w:rsidR="00B254AE">
        <w:t xml:space="preserve"> large</w:t>
      </w:r>
      <w:r>
        <w:t xml:space="preserve"> cabin with additional </w:t>
      </w:r>
      <w:r w:rsidR="004472B7">
        <w:t xml:space="preserve">climate control </w:t>
      </w:r>
      <w:r>
        <w:t xml:space="preserve">equipment to determine the practicality of the </w:t>
      </w:r>
      <w:r w:rsidR="004472B7">
        <w:t xml:space="preserve">proposed </w:t>
      </w:r>
      <w:r>
        <w:t xml:space="preserve">system and a cost/benefit analysis of refitting the network nationwide. </w:t>
      </w:r>
    </w:p>
    <w:p w14:paraId="37F062AD" w14:textId="63216EA4" w:rsidR="006118B8" w:rsidRDefault="006118B8" w:rsidP="009F38A3">
      <w:r>
        <w:lastRenderedPageBreak/>
        <w:t>Cost</w:t>
      </w:r>
      <w:r w:rsidR="00537D63">
        <w:t>s for this item are</w:t>
      </w:r>
      <w:r>
        <w:t xml:space="preserve"> to be </w:t>
      </w:r>
      <w:r w:rsidR="00FA4AC8">
        <w:t>agreed at a later date</w:t>
      </w:r>
      <w:r w:rsidR="00E61FBA">
        <w:t>.</w:t>
      </w:r>
    </w:p>
    <w:p w14:paraId="5EFE5A11" w14:textId="139EF83E" w:rsidR="00FA4AC8" w:rsidRDefault="00FA4AC8" w:rsidP="009F38A3">
      <w:r>
        <w:t xml:space="preserve">Option also for installing proposed low carbon measures discussed in section </w:t>
      </w:r>
      <w:r>
        <w:fldChar w:fldCharType="begin"/>
      </w:r>
      <w:r>
        <w:instrText xml:space="preserve"> REF _Ref120183539 \r \h </w:instrText>
      </w:r>
      <w:r>
        <w:fldChar w:fldCharType="separate"/>
      </w:r>
      <w:r w:rsidR="003F221C">
        <w:t>8.1</w:t>
      </w:r>
      <w:r>
        <w:fldChar w:fldCharType="end"/>
      </w:r>
      <w:r>
        <w:t>.</w:t>
      </w:r>
    </w:p>
    <w:tbl>
      <w:tblPr>
        <w:tblStyle w:val="TableGrid"/>
        <w:tblW w:w="9067" w:type="dxa"/>
        <w:tblLook w:val="04A0" w:firstRow="1" w:lastRow="0" w:firstColumn="1" w:lastColumn="0" w:noHBand="0" w:noVBand="1"/>
      </w:tblPr>
      <w:tblGrid>
        <w:gridCol w:w="1710"/>
        <w:gridCol w:w="1546"/>
        <w:gridCol w:w="5811"/>
      </w:tblGrid>
      <w:tr w:rsidR="009F38A3" w:rsidRPr="00DE6364" w14:paraId="3F1D60EF" w14:textId="77777777" w:rsidTr="009F38A3">
        <w:tc>
          <w:tcPr>
            <w:tcW w:w="1710" w:type="dxa"/>
          </w:tcPr>
          <w:p w14:paraId="70B75AF0" w14:textId="77777777" w:rsidR="009F38A3" w:rsidRPr="00DE6364" w:rsidRDefault="009F38A3" w:rsidP="00E51F67">
            <w:pPr>
              <w:rPr>
                <w:rFonts w:cstheme="minorHAnsi"/>
                <w:sz w:val="20"/>
                <w:szCs w:val="20"/>
              </w:rPr>
            </w:pPr>
            <w:r w:rsidRPr="00DE6364">
              <w:rPr>
                <w:rFonts w:cstheme="minorHAnsi"/>
                <w:sz w:val="20"/>
                <w:szCs w:val="20"/>
              </w:rPr>
              <w:t>Heating and ventilation</w:t>
            </w:r>
          </w:p>
        </w:tc>
        <w:tc>
          <w:tcPr>
            <w:tcW w:w="1546" w:type="dxa"/>
          </w:tcPr>
          <w:p w14:paraId="45288D84" w14:textId="77777777" w:rsidR="009F38A3" w:rsidRPr="00DE6364" w:rsidRDefault="009F38A3" w:rsidP="00E51F67">
            <w:pPr>
              <w:rPr>
                <w:rFonts w:cstheme="minorHAnsi"/>
                <w:sz w:val="20"/>
                <w:szCs w:val="20"/>
              </w:rPr>
            </w:pPr>
            <w:r w:rsidRPr="00DE6364">
              <w:rPr>
                <w:rFonts w:cstheme="minorHAnsi"/>
                <w:sz w:val="20"/>
                <w:szCs w:val="20"/>
              </w:rPr>
              <w:t>Ventilation – temperature control</w:t>
            </w:r>
            <w:r w:rsidRPr="00DE6364">
              <w:rPr>
                <w:rFonts w:cstheme="minorHAnsi"/>
                <w:sz w:val="20"/>
                <w:szCs w:val="20"/>
              </w:rPr>
              <w:tab/>
            </w:r>
          </w:p>
        </w:tc>
        <w:tc>
          <w:tcPr>
            <w:tcW w:w="5811" w:type="dxa"/>
          </w:tcPr>
          <w:p w14:paraId="3FC9E32F" w14:textId="4C6F672D" w:rsidR="009F38A3" w:rsidRPr="00DE6364" w:rsidRDefault="009F38A3" w:rsidP="00E51F67">
            <w:pPr>
              <w:rPr>
                <w:rFonts w:cstheme="minorHAnsi"/>
                <w:sz w:val="20"/>
                <w:szCs w:val="20"/>
              </w:rPr>
            </w:pPr>
            <w:r w:rsidRPr="00DE6364">
              <w:rPr>
                <w:rFonts w:cstheme="minorHAnsi"/>
                <w:sz w:val="20"/>
                <w:szCs w:val="20"/>
              </w:rPr>
              <w:t xml:space="preserve">As per the MEICA requirements in </w:t>
            </w:r>
            <w:r w:rsidR="00640AFC">
              <w:rPr>
                <w:rFonts w:cstheme="minorHAnsi"/>
                <w:sz w:val="20"/>
                <w:szCs w:val="20"/>
              </w:rPr>
              <w:fldChar w:fldCharType="begin"/>
            </w:r>
            <w:r w:rsidR="00640AFC">
              <w:rPr>
                <w:rFonts w:cstheme="minorHAnsi"/>
                <w:sz w:val="20"/>
                <w:szCs w:val="20"/>
              </w:rPr>
              <w:instrText xml:space="preserve"> REF _Ref122008660 \h </w:instrText>
            </w:r>
            <w:r w:rsidR="00640AFC">
              <w:rPr>
                <w:rFonts w:cstheme="minorHAnsi"/>
                <w:sz w:val="20"/>
                <w:szCs w:val="20"/>
              </w:rPr>
            </w:r>
            <w:r w:rsidR="00640AFC">
              <w:rPr>
                <w:rFonts w:cstheme="minorHAnsi"/>
                <w:sz w:val="20"/>
                <w:szCs w:val="20"/>
              </w:rPr>
              <w:fldChar w:fldCharType="separate"/>
            </w:r>
            <w:r w:rsidR="003F221C" w:rsidRPr="00FE4AED">
              <w:t xml:space="preserve">Appendix </w:t>
            </w:r>
            <w:r w:rsidR="003F221C">
              <w:rPr>
                <w:i/>
                <w:iCs/>
                <w:noProof/>
              </w:rPr>
              <w:t>2</w:t>
            </w:r>
            <w:r w:rsidR="00640AFC">
              <w:rPr>
                <w:rFonts w:cstheme="minorHAnsi"/>
                <w:sz w:val="20"/>
                <w:szCs w:val="20"/>
              </w:rPr>
              <w:fldChar w:fldCharType="end"/>
            </w:r>
            <w:r w:rsidRPr="00597E88">
              <w:rPr>
                <w:rFonts w:cstheme="minorHAnsi"/>
                <w:sz w:val="20"/>
                <w:szCs w:val="20"/>
              </w:rPr>
              <w:t xml:space="preserve"> </w:t>
            </w:r>
            <w:r w:rsidRPr="00DE6364">
              <w:rPr>
                <w:rFonts w:cstheme="minorHAnsi"/>
                <w:sz w:val="20"/>
                <w:szCs w:val="20"/>
              </w:rPr>
              <w:t xml:space="preserve">an appropriate number of thermostatically controlled extract fans </w:t>
            </w:r>
            <w:r w:rsidR="00B254AE">
              <w:rPr>
                <w:rFonts w:cstheme="minorHAnsi"/>
                <w:sz w:val="20"/>
                <w:szCs w:val="20"/>
              </w:rPr>
              <w:t>will</w:t>
            </w:r>
            <w:r w:rsidRPr="00DE6364">
              <w:rPr>
                <w:rFonts w:cstheme="minorHAnsi"/>
                <w:sz w:val="20"/>
                <w:szCs w:val="20"/>
              </w:rPr>
              <w:t xml:space="preserve"> be fitted for the size of the cabin. Where heat output from the equipment to be installed exceeds the limits of forced ventilation, appropriate air conditioning units </w:t>
            </w:r>
            <w:r w:rsidR="00B254AE">
              <w:rPr>
                <w:rFonts w:cstheme="minorHAnsi"/>
                <w:sz w:val="20"/>
                <w:szCs w:val="20"/>
              </w:rPr>
              <w:t>will</w:t>
            </w:r>
            <w:r w:rsidRPr="00DE6364">
              <w:rPr>
                <w:rFonts w:cstheme="minorHAnsi"/>
                <w:sz w:val="20"/>
                <w:szCs w:val="20"/>
              </w:rPr>
              <w:t xml:space="preserve"> be fitted</w:t>
            </w:r>
            <w:r w:rsidR="00B254AE">
              <w:rPr>
                <w:rFonts w:cstheme="minorHAnsi"/>
                <w:sz w:val="20"/>
                <w:szCs w:val="20"/>
              </w:rPr>
              <w:t xml:space="preserve"> as well</w:t>
            </w:r>
            <w:r w:rsidRPr="00DE6364">
              <w:rPr>
                <w:rFonts w:cstheme="minorHAnsi"/>
                <w:sz w:val="20"/>
                <w:szCs w:val="20"/>
              </w:rPr>
              <w:t>. Extract fans should be designed to work in coordination with the Air Conditioning unit</w:t>
            </w:r>
            <w:r w:rsidRPr="00597E88">
              <w:rPr>
                <w:rFonts w:cstheme="minorHAnsi"/>
                <w:sz w:val="20"/>
                <w:szCs w:val="20"/>
              </w:rPr>
              <w:t>.</w:t>
            </w:r>
          </w:p>
        </w:tc>
      </w:tr>
      <w:tr w:rsidR="009F38A3" w:rsidRPr="00264961" w14:paraId="1E0ED221" w14:textId="77777777" w:rsidTr="00E51F67">
        <w:tc>
          <w:tcPr>
            <w:tcW w:w="1710" w:type="dxa"/>
          </w:tcPr>
          <w:p w14:paraId="4B7357EB" w14:textId="77777777" w:rsidR="009F38A3" w:rsidRPr="00DE6364" w:rsidRDefault="009F38A3" w:rsidP="00E51F67">
            <w:pPr>
              <w:rPr>
                <w:sz w:val="20"/>
                <w:szCs w:val="20"/>
              </w:rPr>
            </w:pPr>
            <w:r>
              <w:rPr>
                <w:sz w:val="20"/>
                <w:szCs w:val="20"/>
              </w:rPr>
              <w:t>Equipment and fittings</w:t>
            </w:r>
          </w:p>
        </w:tc>
        <w:tc>
          <w:tcPr>
            <w:tcW w:w="1546" w:type="dxa"/>
          </w:tcPr>
          <w:p w14:paraId="2300A804" w14:textId="77777777" w:rsidR="009F38A3" w:rsidRPr="00DE6364" w:rsidRDefault="009F38A3" w:rsidP="00E51F67">
            <w:pPr>
              <w:rPr>
                <w:sz w:val="20"/>
                <w:szCs w:val="20"/>
              </w:rPr>
            </w:pPr>
            <w:r>
              <w:rPr>
                <w:sz w:val="20"/>
                <w:szCs w:val="20"/>
              </w:rPr>
              <w:t>Environmental Monitoring</w:t>
            </w:r>
          </w:p>
        </w:tc>
        <w:tc>
          <w:tcPr>
            <w:tcW w:w="5811" w:type="dxa"/>
          </w:tcPr>
          <w:p w14:paraId="6B3A6C87" w14:textId="0614D38F" w:rsidR="009F38A3" w:rsidRDefault="009F38A3" w:rsidP="00E51F67">
            <w:pPr>
              <w:rPr>
                <w:sz w:val="20"/>
                <w:szCs w:val="20"/>
              </w:rPr>
            </w:pPr>
            <w:r>
              <w:rPr>
                <w:sz w:val="20"/>
                <w:szCs w:val="20"/>
              </w:rPr>
              <w:t xml:space="preserve">The contractor should supply and fit a remote climate control system for the </w:t>
            </w:r>
            <w:r w:rsidR="002249E1">
              <w:rPr>
                <w:sz w:val="20"/>
                <w:szCs w:val="20"/>
              </w:rPr>
              <w:t>housing</w:t>
            </w:r>
            <w:r>
              <w:rPr>
                <w:sz w:val="20"/>
                <w:szCs w:val="20"/>
              </w:rPr>
              <w:t>, integrated with the aforementioned vents and air conditioning units. The [CMCU] should be able to</w:t>
            </w:r>
          </w:p>
          <w:p w14:paraId="3B627765" w14:textId="77777777" w:rsidR="009F38A3" w:rsidRDefault="009F38A3" w:rsidP="00E51F67">
            <w:pPr>
              <w:pStyle w:val="ListParagraph"/>
              <w:numPr>
                <w:ilvl w:val="0"/>
                <w:numId w:val="13"/>
              </w:numPr>
              <w:rPr>
                <w:sz w:val="20"/>
                <w:szCs w:val="20"/>
              </w:rPr>
            </w:pPr>
            <w:r w:rsidRPr="00264961">
              <w:rPr>
                <w:sz w:val="20"/>
                <w:szCs w:val="20"/>
              </w:rPr>
              <w:t>remotely monitor</w:t>
            </w:r>
            <w:r>
              <w:rPr>
                <w:sz w:val="20"/>
                <w:szCs w:val="20"/>
              </w:rPr>
              <w:t xml:space="preserve"> and control</w:t>
            </w:r>
            <w:r w:rsidRPr="00264961">
              <w:rPr>
                <w:sz w:val="20"/>
                <w:szCs w:val="20"/>
              </w:rPr>
              <w:t xml:space="preserve"> the internal temperature of the cabin</w:t>
            </w:r>
          </w:p>
          <w:p w14:paraId="4B8B3D60" w14:textId="77777777" w:rsidR="009F38A3" w:rsidRDefault="009F38A3" w:rsidP="00E51F67">
            <w:pPr>
              <w:pStyle w:val="ListParagraph"/>
              <w:numPr>
                <w:ilvl w:val="0"/>
                <w:numId w:val="13"/>
              </w:numPr>
              <w:rPr>
                <w:sz w:val="20"/>
                <w:szCs w:val="20"/>
              </w:rPr>
            </w:pPr>
            <w:r>
              <w:rPr>
                <w:sz w:val="20"/>
                <w:szCs w:val="20"/>
              </w:rPr>
              <w:t>adjust the automated temperature controls (eg thermostats)</w:t>
            </w:r>
          </w:p>
          <w:p w14:paraId="37BE63FE" w14:textId="77777777" w:rsidR="009F38A3" w:rsidRPr="00264961" w:rsidRDefault="009F38A3" w:rsidP="00E51F67">
            <w:pPr>
              <w:pStyle w:val="ListParagraph"/>
              <w:numPr>
                <w:ilvl w:val="0"/>
                <w:numId w:val="13"/>
              </w:numPr>
              <w:rPr>
                <w:sz w:val="20"/>
                <w:szCs w:val="20"/>
              </w:rPr>
            </w:pPr>
            <w:r>
              <w:rPr>
                <w:sz w:val="20"/>
                <w:szCs w:val="20"/>
              </w:rPr>
              <w:t xml:space="preserve">receive automated alerts regarding failures of the climate control system or temperature alerts </w:t>
            </w:r>
          </w:p>
        </w:tc>
      </w:tr>
    </w:tbl>
    <w:p w14:paraId="02EE822F" w14:textId="54D84489" w:rsidR="009F38A3" w:rsidRDefault="009F38A3" w:rsidP="009F38A3">
      <w:pPr>
        <w:pStyle w:val="Heading3"/>
        <w:numPr>
          <w:ilvl w:val="0"/>
          <w:numId w:val="0"/>
        </w:numPr>
      </w:pPr>
    </w:p>
    <w:p w14:paraId="07CA1982" w14:textId="6F414C9E" w:rsidR="00251212" w:rsidRDefault="00251212" w:rsidP="00251212"/>
    <w:p w14:paraId="372532AC" w14:textId="6260C902" w:rsidR="009B10A9" w:rsidRDefault="009B10A9">
      <w:r>
        <w:br w:type="page"/>
      </w:r>
    </w:p>
    <w:p w14:paraId="360C4D82" w14:textId="77777777" w:rsidR="00251212" w:rsidRPr="00251212" w:rsidRDefault="00251212" w:rsidP="00251212"/>
    <w:p w14:paraId="18563B37" w14:textId="1E4CB8F3" w:rsidR="004B5203" w:rsidRDefault="00A9244D" w:rsidP="003F3027">
      <w:pPr>
        <w:pStyle w:val="Heading1"/>
      </w:pPr>
      <w:bookmarkStart w:id="23" w:name="_Ref119424308"/>
      <w:bookmarkStart w:id="24" w:name="_Toc153342470"/>
      <w:r>
        <w:t xml:space="preserve">Supply, </w:t>
      </w:r>
      <w:r w:rsidR="00252727">
        <w:t xml:space="preserve">Delivery and </w:t>
      </w:r>
      <w:r w:rsidR="004B5203">
        <w:t>Installation</w:t>
      </w:r>
      <w:bookmarkEnd w:id="24"/>
    </w:p>
    <w:p w14:paraId="049B4CA7" w14:textId="77777777" w:rsidR="00251212" w:rsidRPr="00251212" w:rsidRDefault="00251212" w:rsidP="00251212"/>
    <w:p w14:paraId="5A27624D" w14:textId="1854C3FC" w:rsidR="00A9244D" w:rsidRPr="00C65A2F" w:rsidRDefault="2BB35243" w:rsidP="00A9244D">
      <w:pPr>
        <w:pStyle w:val="Heading2"/>
        <w:rPr>
          <w:rFonts w:asciiTheme="minorHAnsi" w:hAnsiTheme="minorHAnsi" w:cstheme="minorHAnsi"/>
        </w:rPr>
      </w:pPr>
      <w:r w:rsidRPr="00A14180">
        <w:rPr>
          <w:rFonts w:asciiTheme="minorHAnsi" w:hAnsiTheme="minorHAnsi" w:cstheme="minorHAnsi"/>
        </w:rPr>
        <w:t>Supply of a cabin is defined as the supply of a cabin ready for storage or installation</w:t>
      </w:r>
      <w:r w:rsidR="139D00F5" w:rsidRPr="00A14180">
        <w:rPr>
          <w:rFonts w:asciiTheme="minorHAnsi" w:hAnsiTheme="minorHAnsi" w:cstheme="minorHAnsi"/>
        </w:rPr>
        <w:t xml:space="preserve"> and prior to final fit out design</w:t>
      </w:r>
      <w:r w:rsidR="78630F25" w:rsidRPr="00A14180">
        <w:rPr>
          <w:rFonts w:asciiTheme="minorHAnsi" w:hAnsiTheme="minorHAnsi" w:cstheme="minorHAnsi"/>
        </w:rPr>
        <w:t xml:space="preserve"> and </w:t>
      </w:r>
      <w:r w:rsidR="005435DA">
        <w:rPr>
          <w:rFonts w:asciiTheme="minorHAnsi" w:hAnsiTheme="minorHAnsi" w:cstheme="minorHAnsi"/>
        </w:rPr>
        <w:t>on-site</w:t>
      </w:r>
      <w:r w:rsidR="006950F4">
        <w:rPr>
          <w:rFonts w:asciiTheme="minorHAnsi" w:hAnsiTheme="minorHAnsi" w:cstheme="minorHAnsi"/>
        </w:rPr>
        <w:t xml:space="preserve"> </w:t>
      </w:r>
      <w:r w:rsidR="78630F25" w:rsidRPr="00A14180">
        <w:rPr>
          <w:rFonts w:asciiTheme="minorHAnsi" w:hAnsiTheme="minorHAnsi" w:cstheme="minorHAnsi"/>
        </w:rPr>
        <w:t>build.</w:t>
      </w:r>
      <w:r w:rsidR="00DD0E6E">
        <w:rPr>
          <w:rFonts w:asciiTheme="minorHAnsi" w:hAnsiTheme="minorHAnsi" w:cstheme="minorHAnsi"/>
        </w:rPr>
        <w:t xml:space="preserve"> </w:t>
      </w:r>
      <w:r w:rsidRPr="00A14180">
        <w:rPr>
          <w:rFonts w:asciiTheme="minorHAnsi" w:hAnsiTheme="minorHAnsi" w:cstheme="minorHAnsi"/>
        </w:rPr>
        <w:t xml:space="preserve"> In some cases storage may be required while a site is made ready. </w:t>
      </w:r>
      <w:r w:rsidR="3707F457" w:rsidRPr="00A14180">
        <w:rPr>
          <w:rFonts w:asciiTheme="minorHAnsi" w:hAnsiTheme="minorHAnsi" w:cstheme="minorHAnsi"/>
        </w:rPr>
        <w:t>The delivery acceptance form would be required at this stage.</w:t>
      </w:r>
    </w:p>
    <w:p w14:paraId="58E672F2" w14:textId="77777777" w:rsidR="00BB0300" w:rsidRPr="00A14180" w:rsidRDefault="00BB0300" w:rsidP="00A14180">
      <w:pPr>
        <w:rPr>
          <w:rFonts w:cstheme="minorHAnsi"/>
        </w:rPr>
      </w:pPr>
    </w:p>
    <w:p w14:paraId="3A2D05F0" w14:textId="77777777" w:rsidR="00E20F22" w:rsidRDefault="00BE6FF7" w:rsidP="009B10A9">
      <w:pPr>
        <w:pStyle w:val="Heading2"/>
      </w:pPr>
      <w:r w:rsidRPr="00A14180">
        <w:rPr>
          <w:rFonts w:asciiTheme="minorHAnsi" w:hAnsiTheme="minorHAnsi" w:cstheme="minorHAnsi"/>
        </w:rPr>
        <w:t>The following asset label should be attach</w:t>
      </w:r>
      <w:r w:rsidR="00F0570E" w:rsidRPr="00A14180">
        <w:rPr>
          <w:rFonts w:asciiTheme="minorHAnsi" w:hAnsiTheme="minorHAnsi" w:cstheme="minorHAnsi"/>
        </w:rPr>
        <w:t xml:space="preserve">ed inside the cabin in a visible location, and the Asset ID must be </w:t>
      </w:r>
      <w:r w:rsidR="00E20F22" w:rsidRPr="00A14180">
        <w:rPr>
          <w:rFonts w:asciiTheme="minorHAnsi" w:hAnsiTheme="minorHAnsi" w:cstheme="minorHAnsi"/>
        </w:rPr>
        <w:t>arranged with the relevant CM</w:t>
      </w:r>
      <w:r w:rsidR="00E20F22">
        <w:t>CU.</w:t>
      </w:r>
    </w:p>
    <w:p w14:paraId="6149A7A9" w14:textId="77777777" w:rsidR="00E20F22" w:rsidRDefault="00E20F22" w:rsidP="00E20F22">
      <w:pPr>
        <w:pStyle w:val="Heading2"/>
        <w:numPr>
          <w:ilvl w:val="0"/>
          <w:numId w:val="0"/>
        </w:numPr>
        <w:ind w:left="1160"/>
      </w:pPr>
    </w:p>
    <w:p w14:paraId="61212ADC" w14:textId="6C49AB9D" w:rsidR="009B10A9" w:rsidRPr="009B10A9" w:rsidRDefault="00BE6FF7" w:rsidP="00E20F22">
      <w:pPr>
        <w:pStyle w:val="Heading2"/>
        <w:numPr>
          <w:ilvl w:val="0"/>
          <w:numId w:val="0"/>
        </w:numPr>
        <w:ind w:left="1160"/>
      </w:pPr>
      <w:r w:rsidRPr="00BE6FF7">
        <w:rPr>
          <w:noProof/>
        </w:rPr>
        <w:drawing>
          <wp:inline distT="0" distB="0" distL="0" distR="0" wp14:anchorId="24938670" wp14:editId="4A9948F5">
            <wp:extent cx="3000794" cy="2086266"/>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00794" cy="2086266"/>
                    </a:xfrm>
                    <a:prstGeom prst="rect">
                      <a:avLst/>
                    </a:prstGeom>
                  </pic:spPr>
                </pic:pic>
              </a:graphicData>
            </a:graphic>
          </wp:inline>
        </w:drawing>
      </w:r>
    </w:p>
    <w:p w14:paraId="25AB073C" w14:textId="3E3A3638" w:rsidR="00DD0E6E" w:rsidRDefault="00224D2C" w:rsidP="00A9244D">
      <w:pPr>
        <w:pStyle w:val="Heading2"/>
      </w:pPr>
      <w:r>
        <w:t>Fit-out</w:t>
      </w:r>
      <w:r w:rsidR="00B358D9">
        <w:t>,</w:t>
      </w:r>
      <w:r w:rsidR="00A9244D">
        <w:t xml:space="preserve"> installation/commissioning is defined as the fitting out of a cabin </w:t>
      </w:r>
      <w:r w:rsidR="00DD0E6E">
        <w:t>including</w:t>
      </w:r>
      <w:r w:rsidR="003856C5">
        <w:t xml:space="preserve"> as a minimum key final design points for:</w:t>
      </w:r>
    </w:p>
    <w:p w14:paraId="7BCDBCBA" w14:textId="2046265B" w:rsidR="00DD0E6E" w:rsidRDefault="00DD0E6E" w:rsidP="00DD0E6E">
      <w:pPr>
        <w:pStyle w:val="Heading2"/>
        <w:numPr>
          <w:ilvl w:val="0"/>
          <w:numId w:val="13"/>
        </w:numPr>
      </w:pPr>
      <w:r>
        <w:t xml:space="preserve">Shelving </w:t>
      </w:r>
      <w:r w:rsidR="003856C5">
        <w:t>positions (width / length / heights / location inside cabin</w:t>
      </w:r>
    </w:p>
    <w:p w14:paraId="26A6C86E" w14:textId="77777777" w:rsidR="00DD0E6E" w:rsidRDefault="00DD0E6E" w:rsidP="00DD0E6E">
      <w:pPr>
        <w:pStyle w:val="Heading2"/>
        <w:numPr>
          <w:ilvl w:val="0"/>
          <w:numId w:val="13"/>
        </w:numPr>
      </w:pPr>
      <w:r>
        <w:t>Wiring Layouts (Socket / switches / Distribution board)</w:t>
      </w:r>
    </w:p>
    <w:p w14:paraId="42FADD25" w14:textId="7091A5D4" w:rsidR="00DD0E6E" w:rsidRDefault="00DD0E6E" w:rsidP="00DD0E6E">
      <w:pPr>
        <w:pStyle w:val="Heading2"/>
        <w:numPr>
          <w:ilvl w:val="0"/>
          <w:numId w:val="13"/>
        </w:numPr>
      </w:pPr>
      <w:r>
        <w:t>Proposed wiring labelling</w:t>
      </w:r>
    </w:p>
    <w:p w14:paraId="7725124C" w14:textId="5C3F6BD5" w:rsidR="00DD0E6E" w:rsidRDefault="00DD0E6E" w:rsidP="00DD0E6E">
      <w:pPr>
        <w:pStyle w:val="ListParagraph"/>
        <w:numPr>
          <w:ilvl w:val="0"/>
          <w:numId w:val="13"/>
        </w:numPr>
      </w:pPr>
      <w:r>
        <w:t>Emergency Light Location</w:t>
      </w:r>
    </w:p>
    <w:p w14:paraId="08189F5A" w14:textId="034BE522" w:rsidR="00DD0E6E" w:rsidRDefault="00DD0E6E" w:rsidP="00DD0E6E">
      <w:pPr>
        <w:pStyle w:val="ListParagraph"/>
        <w:numPr>
          <w:ilvl w:val="0"/>
          <w:numId w:val="13"/>
        </w:numPr>
      </w:pPr>
      <w:r>
        <w:t>Interior Light Location</w:t>
      </w:r>
    </w:p>
    <w:p w14:paraId="11A2055F" w14:textId="7A883219" w:rsidR="00DD0E6E" w:rsidRDefault="00DD0E6E" w:rsidP="00DD0E6E">
      <w:pPr>
        <w:pStyle w:val="ListParagraph"/>
        <w:numPr>
          <w:ilvl w:val="0"/>
          <w:numId w:val="13"/>
        </w:numPr>
      </w:pPr>
      <w:r>
        <w:t>Air Conditioning Unit location and proposed wiring</w:t>
      </w:r>
    </w:p>
    <w:p w14:paraId="206EDB9A" w14:textId="3A0CF081" w:rsidR="00DD0E6E" w:rsidRDefault="00DD0E6E" w:rsidP="00DD0E6E">
      <w:pPr>
        <w:pStyle w:val="ListParagraph"/>
        <w:numPr>
          <w:ilvl w:val="0"/>
          <w:numId w:val="13"/>
        </w:numPr>
      </w:pPr>
      <w:r>
        <w:t>Location of Vents</w:t>
      </w:r>
    </w:p>
    <w:p w14:paraId="1D735AA9" w14:textId="76084644" w:rsidR="00DD0E6E" w:rsidRDefault="00DD0E6E" w:rsidP="00DD0E6E">
      <w:pPr>
        <w:pStyle w:val="ListParagraph"/>
        <w:numPr>
          <w:ilvl w:val="0"/>
          <w:numId w:val="13"/>
        </w:numPr>
      </w:pPr>
      <w:r>
        <w:t>Location of Inlet heads</w:t>
      </w:r>
    </w:p>
    <w:p w14:paraId="367C99D0" w14:textId="112F7000" w:rsidR="00DD0E6E" w:rsidRDefault="00DD0E6E" w:rsidP="00DD0E6E">
      <w:pPr>
        <w:pStyle w:val="ListParagraph"/>
        <w:numPr>
          <w:ilvl w:val="0"/>
          <w:numId w:val="13"/>
        </w:numPr>
      </w:pPr>
      <w:r>
        <w:t>Bench location and height</w:t>
      </w:r>
    </w:p>
    <w:p w14:paraId="63E8778E" w14:textId="3479F2B7" w:rsidR="00DD0E6E" w:rsidRDefault="00DD0E6E" w:rsidP="00DD0E6E">
      <w:pPr>
        <w:pStyle w:val="ListParagraph"/>
        <w:numPr>
          <w:ilvl w:val="0"/>
          <w:numId w:val="13"/>
        </w:numPr>
      </w:pPr>
      <w:r>
        <w:t>Proposed Door and opening direction</w:t>
      </w:r>
    </w:p>
    <w:p w14:paraId="456132CB" w14:textId="19AEC840" w:rsidR="00DD0E6E" w:rsidRDefault="00DD0E6E" w:rsidP="00DD0E6E">
      <w:pPr>
        <w:pStyle w:val="ListParagraph"/>
        <w:numPr>
          <w:ilvl w:val="0"/>
          <w:numId w:val="13"/>
        </w:numPr>
      </w:pPr>
      <w:r>
        <w:t>Circuit Power entry location</w:t>
      </w:r>
    </w:p>
    <w:p w14:paraId="6144EE4E" w14:textId="3C54C423" w:rsidR="00DD0E6E" w:rsidRDefault="00DD0E6E" w:rsidP="00DD0E6E">
      <w:pPr>
        <w:pStyle w:val="ListParagraph"/>
        <w:numPr>
          <w:ilvl w:val="0"/>
          <w:numId w:val="13"/>
        </w:numPr>
      </w:pPr>
      <w:r>
        <w:t>Cage design and heights, location</w:t>
      </w:r>
    </w:p>
    <w:p w14:paraId="265FA6B0" w14:textId="423F767F" w:rsidR="00DD0E6E" w:rsidRDefault="00DD0E6E" w:rsidP="00DD0E6E">
      <w:pPr>
        <w:pStyle w:val="ListParagraph"/>
        <w:numPr>
          <w:ilvl w:val="0"/>
          <w:numId w:val="13"/>
        </w:numPr>
      </w:pPr>
      <w:r>
        <w:t>Location of lifting bolts and ladder storage</w:t>
      </w:r>
    </w:p>
    <w:p w14:paraId="72C117EB" w14:textId="5A3ECEEB" w:rsidR="00DD0E6E" w:rsidRDefault="00DD0E6E" w:rsidP="00DD0E6E">
      <w:pPr>
        <w:pStyle w:val="ListParagraph"/>
        <w:numPr>
          <w:ilvl w:val="0"/>
          <w:numId w:val="13"/>
        </w:numPr>
      </w:pPr>
      <w:r>
        <w:t>Gas Cylinder storage</w:t>
      </w:r>
    </w:p>
    <w:p w14:paraId="3694FFA3" w14:textId="2CB07083" w:rsidR="003856C5" w:rsidRDefault="003856C5" w:rsidP="00DD0E6E">
      <w:pPr>
        <w:pStyle w:val="ListParagraph"/>
        <w:numPr>
          <w:ilvl w:val="0"/>
          <w:numId w:val="13"/>
        </w:numPr>
      </w:pPr>
      <w:r>
        <w:t xml:space="preserve">Analyser location on benches and any analyser </w:t>
      </w:r>
      <w:r w:rsidR="008E4C64">
        <w:t>ancillaries</w:t>
      </w:r>
      <w:r>
        <w:t xml:space="preserve"> that need to be positioned within the cabin</w:t>
      </w:r>
    </w:p>
    <w:p w14:paraId="181A621A" w14:textId="31CB8359" w:rsidR="003856C5" w:rsidRPr="00261D19" w:rsidRDefault="003856C5" w:rsidP="00C65A2F">
      <w:pPr>
        <w:pStyle w:val="ListParagraph"/>
        <w:numPr>
          <w:ilvl w:val="0"/>
          <w:numId w:val="13"/>
        </w:numPr>
      </w:pPr>
      <w:r>
        <w:t>Sample line routing</w:t>
      </w:r>
    </w:p>
    <w:p w14:paraId="7046E3A7" w14:textId="27274B98" w:rsidR="00DD0E6E" w:rsidRPr="00261D19" w:rsidRDefault="00DD0E6E" w:rsidP="00C65A2F">
      <w:pPr>
        <w:ind w:left="720"/>
      </w:pPr>
    </w:p>
    <w:p w14:paraId="169BE5E6" w14:textId="74EC7182" w:rsidR="00A9244D" w:rsidRDefault="003856C5" w:rsidP="00C65A2F">
      <w:pPr>
        <w:pStyle w:val="Heading2"/>
        <w:numPr>
          <w:ilvl w:val="0"/>
          <w:numId w:val="0"/>
        </w:numPr>
        <w:ind w:left="770"/>
      </w:pPr>
      <w:r>
        <w:lastRenderedPageBreak/>
        <w:t xml:space="preserve">Following the final fit out and design, </w:t>
      </w:r>
      <w:r w:rsidR="001C7A54">
        <w:t xml:space="preserve">installation on site </w:t>
      </w:r>
      <w:r>
        <w:t xml:space="preserve">will occur </w:t>
      </w:r>
      <w:r w:rsidR="001C7A54">
        <w:t xml:space="preserve">ready for analysers to be activated on their network. </w:t>
      </w:r>
      <w:r w:rsidR="00A26DEC">
        <w:t xml:space="preserve">The fit out will need to </w:t>
      </w:r>
      <w:r w:rsidR="005435DA">
        <w:t xml:space="preserve">be </w:t>
      </w:r>
      <w:r w:rsidR="00A26DEC">
        <w:t xml:space="preserve">agreed with Principal Contractor, as per </w:t>
      </w:r>
      <w:r w:rsidR="00A26DEC">
        <w:fldChar w:fldCharType="begin"/>
      </w:r>
      <w:r w:rsidR="00A26DEC">
        <w:instrText xml:space="preserve"> REF _Ref124431059 \h </w:instrText>
      </w:r>
      <w:r w:rsidR="00A26DEC">
        <w:fldChar w:fldCharType="separate"/>
      </w:r>
      <w:r w:rsidR="003F221C">
        <w:t xml:space="preserve">Figure </w:t>
      </w:r>
      <w:r w:rsidR="003F221C">
        <w:rPr>
          <w:noProof/>
        </w:rPr>
        <w:t>1</w:t>
      </w:r>
      <w:r w:rsidR="00A26DEC">
        <w:fldChar w:fldCharType="end"/>
      </w:r>
      <w:r w:rsidR="00A26DEC">
        <w:t>.</w:t>
      </w:r>
      <w:r>
        <w:t xml:space="preserve"> Some items above are best to be installed on site, (for example air conditioning systems) and the Contractor will specify these in their ‘Construction Work instruction’ and method statements for the final construction work.</w:t>
      </w:r>
    </w:p>
    <w:p w14:paraId="5E25105F" w14:textId="77777777" w:rsidR="00BB0300" w:rsidRPr="002D5767" w:rsidRDefault="00BB0300" w:rsidP="00A14180"/>
    <w:p w14:paraId="4F860037" w14:textId="4EF1F197" w:rsidR="00A077DD" w:rsidRPr="00A077DD" w:rsidRDefault="0040437B" w:rsidP="00A077DD">
      <w:pPr>
        <w:pStyle w:val="Heading2"/>
      </w:pPr>
      <w:r>
        <w:t>Fit-out</w:t>
      </w:r>
      <w:r w:rsidR="00A077DD">
        <w:t xml:space="preserve">, installation and </w:t>
      </w:r>
      <w:r w:rsidR="00AE0D76">
        <w:t>commissioning</w:t>
      </w:r>
      <w:r w:rsidR="00A077DD">
        <w:t xml:space="preserve"> will be carried out </w:t>
      </w:r>
      <w:r w:rsidR="00AE0D76">
        <w:t xml:space="preserve">within 2 months of </w:t>
      </w:r>
      <w:r w:rsidR="00E37575">
        <w:t>a request for a confirmed date</w:t>
      </w:r>
      <w:r w:rsidR="00FD208D">
        <w:t xml:space="preserve"> from the EA or a CMCU. </w:t>
      </w:r>
    </w:p>
    <w:p w14:paraId="32CE08F8" w14:textId="77777777" w:rsidR="00BB0300" w:rsidRPr="002D5767" w:rsidRDefault="00BB0300" w:rsidP="00A14180"/>
    <w:p w14:paraId="619DC645" w14:textId="0C0D2B55" w:rsidR="00E6420C" w:rsidRPr="00E6420C" w:rsidRDefault="004922C0" w:rsidP="00E6420C">
      <w:pPr>
        <w:pStyle w:val="Heading2"/>
      </w:pPr>
      <w:r w:rsidRPr="004922C0">
        <w:t>The Contractor shall require a normal working instruction (WI) for the delivery of the specific size enclosures, and provide a specialist experienced Haulage Company for the transport and off-loading.</w:t>
      </w:r>
    </w:p>
    <w:p w14:paraId="704418A5" w14:textId="77777777" w:rsidR="00BB0300" w:rsidRPr="002D5767" w:rsidRDefault="00BB0300" w:rsidP="00A14180"/>
    <w:p w14:paraId="02A3E357" w14:textId="2E391D42" w:rsidR="006F78DB" w:rsidRDefault="00384ABB" w:rsidP="00870ACD">
      <w:pPr>
        <w:pStyle w:val="Heading2"/>
      </w:pPr>
      <w:r w:rsidRPr="000B5C6C">
        <w:t xml:space="preserve">There will be a requirement to agree a delivery plan. This will be developed following a review and assessment of each of the locations using UKAIR site location information, other mapping information, together with a roundtable discussion with CMCU, relevant stakeholders and </w:t>
      </w:r>
      <w:r w:rsidR="005435DA" w:rsidRPr="000B5C6C">
        <w:t>Contractor’s</w:t>
      </w:r>
      <w:r w:rsidRPr="000B5C6C">
        <w:t xml:space="preserve"> service engineers who have experience at these sites. This will be supplied by the Contractor together with a method statement and risk assessment</w:t>
      </w:r>
      <w:r>
        <w:t xml:space="preserve"> a minimum of 1 week,</w:t>
      </w:r>
      <w:r w:rsidRPr="000B5C6C">
        <w:t xml:space="preserve"> prior to the delivery taking place</w:t>
      </w:r>
      <w:r>
        <w:t xml:space="preserve"> or as agreed with the CMCU contractor</w:t>
      </w:r>
      <w:r w:rsidRPr="000B5C6C">
        <w:t xml:space="preserve">. </w:t>
      </w:r>
    </w:p>
    <w:p w14:paraId="609B14EA" w14:textId="77777777" w:rsidR="00BB0300" w:rsidRPr="002D5767" w:rsidRDefault="00BB0300" w:rsidP="00A14180"/>
    <w:p w14:paraId="58CEF063" w14:textId="181728A6" w:rsidR="00384ABB" w:rsidRDefault="4D654340" w:rsidP="00870ACD">
      <w:pPr>
        <w:pStyle w:val="Heading2"/>
        <w:rPr>
          <w:bCs/>
        </w:rPr>
      </w:pPr>
      <w:r>
        <w:t>The</w:t>
      </w:r>
      <w:r w:rsidR="006F78DB">
        <w:t xml:space="preserve"> contractor will comply with CDM regulations and </w:t>
      </w:r>
      <w:r w:rsidR="00BA123D">
        <w:t xml:space="preserve">all </w:t>
      </w:r>
      <w:r w:rsidR="00B340C4">
        <w:t>EA SHEWCOP requirements outlined elsewhere in this document</w:t>
      </w:r>
      <w:r w:rsidR="00D022F7">
        <w:t xml:space="preserve"> or the appendices</w:t>
      </w:r>
      <w:r w:rsidR="00B340C4">
        <w:t xml:space="preserve">. </w:t>
      </w:r>
      <w:r w:rsidR="00BA123D">
        <w:t xml:space="preserve">The SHEWCOP is outlined in Appendix </w:t>
      </w:r>
      <w:r w:rsidR="008352B4">
        <w:rPr>
          <w:bCs/>
        </w:rPr>
        <w:t>13</w:t>
      </w:r>
    </w:p>
    <w:p w14:paraId="7EAB33B0" w14:textId="66A562AF" w:rsidR="17D08EF8" w:rsidRDefault="17D08EF8" w:rsidP="17D08EF8"/>
    <w:p w14:paraId="43830C67" w14:textId="1150F6A2" w:rsidR="00384ABB" w:rsidRPr="001D75C6" w:rsidRDefault="00A26DEC" w:rsidP="00A26DEC">
      <w:pPr>
        <w:pStyle w:val="Heading2"/>
      </w:pPr>
      <w:r>
        <w:t xml:space="preserve">Upon installation </w:t>
      </w:r>
      <w:r>
        <w:fldChar w:fldCharType="begin"/>
      </w:r>
      <w:r>
        <w:instrText xml:space="preserve"> REF _Ref122354180 \h </w:instrText>
      </w:r>
      <w:r>
        <w:fldChar w:fldCharType="separate"/>
      </w:r>
      <w:r w:rsidR="003F221C" w:rsidRPr="00554184">
        <w:t xml:space="preserve">Appendix </w:t>
      </w:r>
      <w:r w:rsidR="003F221C">
        <w:rPr>
          <w:i/>
          <w:iCs/>
          <w:noProof/>
        </w:rPr>
        <w:t>25</w:t>
      </w:r>
      <w:r>
        <w:fldChar w:fldCharType="end"/>
      </w:r>
      <w:r>
        <w:t xml:space="preserve">, will need to be completed demonstrating the housing has been installed to a good standard. </w:t>
      </w:r>
    </w:p>
    <w:p w14:paraId="1838D9C2" w14:textId="43F34306" w:rsidR="00895C77" w:rsidRPr="00DE6364" w:rsidRDefault="00895C77" w:rsidP="003F3027">
      <w:pPr>
        <w:pStyle w:val="Heading1"/>
      </w:pPr>
      <w:bookmarkStart w:id="25" w:name="_Ref122012539"/>
      <w:bookmarkStart w:id="26" w:name="_Toc153342471"/>
      <w:r w:rsidRPr="00DE6364">
        <w:t xml:space="preserve">Innovation and </w:t>
      </w:r>
      <w:r w:rsidR="000C0F42" w:rsidRPr="00DE6364">
        <w:t>Net Zero/Environmentalism</w:t>
      </w:r>
      <w:bookmarkEnd w:id="23"/>
      <w:bookmarkEnd w:id="25"/>
      <w:bookmarkEnd w:id="26"/>
    </w:p>
    <w:p w14:paraId="4B6B9D72" w14:textId="77777777" w:rsidR="00E203D5" w:rsidRPr="00A834EB" w:rsidRDefault="00E203D5" w:rsidP="00E203D5"/>
    <w:p w14:paraId="6995CE47" w14:textId="7E442880" w:rsidR="00895C77" w:rsidRDefault="00895C77" w:rsidP="00950AB0">
      <w:pPr>
        <w:pStyle w:val="Heading2"/>
      </w:pPr>
      <w:bookmarkStart w:id="27" w:name="_Ref120183539"/>
      <w:r w:rsidRPr="00A834EB">
        <w:t xml:space="preserve">The </w:t>
      </w:r>
      <w:r w:rsidR="00077E38">
        <w:t>Authority</w:t>
      </w:r>
      <w:r w:rsidRPr="00A834EB">
        <w:t xml:space="preserve"> welcomes innovation</w:t>
      </w:r>
      <w:r w:rsidR="000C0F42" w:rsidRPr="00A834EB">
        <w:t xml:space="preserve">, particularly where it aligns towards the Environment Agency’s </w:t>
      </w:r>
      <w:hyperlink r:id="rId18" w:history="1">
        <w:r w:rsidR="000C0F42" w:rsidRPr="00B43D63">
          <w:rPr>
            <w:rStyle w:val="Hyperlink"/>
          </w:rPr>
          <w:t>EA2025 plan</w:t>
        </w:r>
      </w:hyperlink>
      <w:r w:rsidR="000C0F42" w:rsidRPr="00A834EB">
        <w:t>. The design</w:t>
      </w:r>
      <w:r w:rsidR="00312473" w:rsidRPr="00A834EB">
        <w:t xml:space="preserve"> and supply</w:t>
      </w:r>
      <w:r w:rsidR="000C0F42" w:rsidRPr="00A834EB">
        <w:t xml:space="preserve"> of the housings specified above should </w:t>
      </w:r>
      <w:r w:rsidR="00312473" w:rsidRPr="00A834EB">
        <w:t>at every stage</w:t>
      </w:r>
      <w:r w:rsidR="000C0F42" w:rsidRPr="00A834EB">
        <w:t xml:space="preserve"> </w:t>
      </w:r>
      <w:r w:rsidR="00312473" w:rsidRPr="00A834EB">
        <w:t>attempt to</w:t>
      </w:r>
      <w:r w:rsidR="000C0F42" w:rsidRPr="00A834EB">
        <w:t xml:space="preserve"> minimis</w:t>
      </w:r>
      <w:r w:rsidR="00312473" w:rsidRPr="00A834EB">
        <w:t>e</w:t>
      </w:r>
      <w:r w:rsidR="000C0F42" w:rsidRPr="00A834EB">
        <w:t xml:space="preserve"> impact on </w:t>
      </w:r>
      <w:r w:rsidR="00AA7BDF" w:rsidRPr="00A834EB">
        <w:t xml:space="preserve">the environment. Innovative solutions to working towards net zero and sustainability goals </w:t>
      </w:r>
      <w:r w:rsidR="200037FD">
        <w:t>are not formally specified but</w:t>
      </w:r>
      <w:r w:rsidR="239EA422">
        <w:t xml:space="preserve"> </w:t>
      </w:r>
      <w:r w:rsidR="00AA7BDF" w:rsidRPr="00A834EB">
        <w:t xml:space="preserve">should be </w:t>
      </w:r>
      <w:r w:rsidR="000572F1">
        <w:t>proposed for design</w:t>
      </w:r>
      <w:r w:rsidR="00AA7BDF" w:rsidRPr="00A834EB">
        <w:t xml:space="preserve"> into the </w:t>
      </w:r>
      <w:r w:rsidR="002249E1" w:rsidRPr="00A834EB">
        <w:t>housings</w:t>
      </w:r>
      <w:r w:rsidR="00AA7BDF" w:rsidRPr="00A834EB">
        <w:t xml:space="preserve"> with </w:t>
      </w:r>
      <w:r w:rsidR="0083704F">
        <w:t>concurrent goal</w:t>
      </w:r>
      <w:r w:rsidR="00AA7BDF" w:rsidRPr="00A834EB">
        <w:t xml:space="preserve"> </w:t>
      </w:r>
      <w:r w:rsidR="0083704F">
        <w:t>of</w:t>
      </w:r>
      <w:r w:rsidR="00AA7BDF" w:rsidRPr="00A834EB">
        <w:t xml:space="preserve"> futureproofing the </w:t>
      </w:r>
      <w:r w:rsidR="00312473" w:rsidRPr="00A834EB">
        <w:t>network. Examples below</w:t>
      </w:r>
      <w:r w:rsidR="00E203D5" w:rsidRPr="00A834EB">
        <w:t>:</w:t>
      </w:r>
      <w:bookmarkEnd w:id="27"/>
    </w:p>
    <w:p w14:paraId="11A45CC6" w14:textId="77777777" w:rsidR="00FF5C84" w:rsidRPr="00FF5C84" w:rsidRDefault="00FF5C84" w:rsidP="00FF5C84"/>
    <w:p w14:paraId="5F620657" w14:textId="410531FA" w:rsidR="00312473" w:rsidRPr="00A834EB" w:rsidRDefault="00312473" w:rsidP="00312473">
      <w:pPr>
        <w:pStyle w:val="ListParagraph"/>
        <w:numPr>
          <w:ilvl w:val="0"/>
          <w:numId w:val="7"/>
        </w:numPr>
      </w:pPr>
      <w:r w:rsidRPr="00A834EB">
        <w:lastRenderedPageBreak/>
        <w:t>Fitting of solar panels or reservation of space in the internal design to allow solar panels and associated infrastructure like inverters</w:t>
      </w:r>
      <w:r w:rsidR="00A906CD" w:rsidRPr="00A834EB">
        <w:t xml:space="preserve"> and battery storage</w:t>
      </w:r>
      <w:r w:rsidRPr="00A834EB">
        <w:t xml:space="preserve"> to be installed at a later date</w:t>
      </w:r>
    </w:p>
    <w:p w14:paraId="72DC44E5" w14:textId="7F5B1364" w:rsidR="00312473" w:rsidRPr="00A834EB" w:rsidRDefault="00312473" w:rsidP="00312473">
      <w:pPr>
        <w:pStyle w:val="ListParagraph"/>
        <w:numPr>
          <w:ilvl w:val="0"/>
          <w:numId w:val="7"/>
        </w:numPr>
      </w:pPr>
      <w:r w:rsidRPr="00A834EB">
        <w:t>Green roo</w:t>
      </w:r>
      <w:r w:rsidR="00E203D5" w:rsidRPr="00A834EB">
        <w:t xml:space="preserve">fs and other ways of improving biodiversity and minimising/slowing rainfall runoff. </w:t>
      </w:r>
    </w:p>
    <w:p w14:paraId="6403DFC8" w14:textId="685B13FA" w:rsidR="00A906CD" w:rsidRPr="00A834EB" w:rsidRDefault="00A906CD" w:rsidP="00312473">
      <w:pPr>
        <w:pStyle w:val="ListParagraph"/>
        <w:numPr>
          <w:ilvl w:val="0"/>
          <w:numId w:val="7"/>
        </w:numPr>
      </w:pPr>
      <w:r w:rsidRPr="00A834EB">
        <w:t>Use of recycled or low carbon materials in the construction.</w:t>
      </w:r>
    </w:p>
    <w:p w14:paraId="316B4D9E" w14:textId="5ED3092A" w:rsidR="00E203D5" w:rsidRPr="00A834EB" w:rsidRDefault="00E203D5" w:rsidP="00312473">
      <w:pPr>
        <w:pStyle w:val="ListParagraph"/>
        <w:numPr>
          <w:ilvl w:val="0"/>
          <w:numId w:val="7"/>
        </w:numPr>
      </w:pPr>
      <w:r w:rsidRPr="00A834EB">
        <w:t>Integrated ventilation/air conditioning systems that minimise the need for Air Conditioning</w:t>
      </w:r>
      <w:r w:rsidR="00A834EB">
        <w:t xml:space="preserve"> – see section </w:t>
      </w:r>
      <w:r w:rsidR="00A834EB">
        <w:fldChar w:fldCharType="begin"/>
      </w:r>
      <w:r w:rsidR="00A834EB">
        <w:instrText xml:space="preserve"> REF _Ref119494043 \r \h </w:instrText>
      </w:r>
      <w:r w:rsidR="00A834EB">
        <w:fldChar w:fldCharType="separate"/>
      </w:r>
      <w:r w:rsidR="003F221C">
        <w:t>6.2.3</w:t>
      </w:r>
      <w:r w:rsidR="00A834EB">
        <w:fldChar w:fldCharType="end"/>
      </w:r>
    </w:p>
    <w:p w14:paraId="4FD0094E" w14:textId="229B3C06" w:rsidR="00A906CD" w:rsidRDefault="00A906CD" w:rsidP="00A906CD">
      <w:pPr>
        <w:pStyle w:val="Heading2"/>
        <w:numPr>
          <w:ilvl w:val="0"/>
          <w:numId w:val="0"/>
        </w:numPr>
        <w:ind w:left="1160"/>
        <w:rPr>
          <w:sz w:val="22"/>
          <w:szCs w:val="22"/>
        </w:rPr>
      </w:pPr>
    </w:p>
    <w:p w14:paraId="659058D9" w14:textId="77777777" w:rsidR="00582096" w:rsidRDefault="00582096" w:rsidP="001F7911">
      <w:pPr>
        <w:pStyle w:val="Heading2"/>
      </w:pPr>
      <w:r w:rsidRPr="00ED263E">
        <w:t>The Environment Agency is reducing its environmental impact both in its direct operations and through its supply chain in the goods, works and services that others provide on its behalf. We are committed to improving our total environmental impact.</w:t>
      </w:r>
    </w:p>
    <w:p w14:paraId="76FE7CD5" w14:textId="77777777" w:rsidR="00DC43F6" w:rsidRPr="00DC43F6" w:rsidRDefault="00DC43F6" w:rsidP="00DC43F6"/>
    <w:p w14:paraId="6DAD57DE" w14:textId="1B86BCAB" w:rsidR="00582096" w:rsidRPr="00ED263E" w:rsidRDefault="00582096" w:rsidP="00EB7A45">
      <w:pPr>
        <w:pStyle w:val="Heading2"/>
      </w:pPr>
      <w:r w:rsidRPr="00ED263E">
        <w:t>We have an environmental management system (EMS) that is certified to ISO14001:2015 standards which incorporates our procurement and supply chain activities. As part of our EMS, we take a full lifecycle approach to the identification and management of our significant environmental risks and opportunities. Our suppliers have a significant part to play in helping us achieve our commitment to reduce our total environmental impact.</w:t>
      </w:r>
    </w:p>
    <w:p w14:paraId="1B00B04F" w14:textId="77777777" w:rsidR="00BB0300" w:rsidRPr="002D5767" w:rsidRDefault="00BB0300" w:rsidP="000854DC"/>
    <w:p w14:paraId="2E10D417" w14:textId="6D7DC078" w:rsidR="00582096" w:rsidRPr="00ED263E" w:rsidRDefault="00582096" w:rsidP="00EB7A45">
      <w:pPr>
        <w:pStyle w:val="Heading2"/>
      </w:pPr>
      <w:r w:rsidRPr="00ED263E">
        <w:t>The Contractor will need to have a management system aligned or certified to ISO14001 accreditation and adopt a similar approach to the lifecycle identification, assessment and management of environmental risks and opportunities associated with the delivery of this contract.</w:t>
      </w:r>
    </w:p>
    <w:p w14:paraId="0C4DB0DD" w14:textId="77777777" w:rsidR="00BB0300" w:rsidRPr="002D5767" w:rsidRDefault="00BB0300" w:rsidP="000854DC"/>
    <w:p w14:paraId="56A53452" w14:textId="77777777" w:rsidR="00582096" w:rsidRPr="00ED263E" w:rsidRDefault="00582096" w:rsidP="004B4638">
      <w:pPr>
        <w:pStyle w:val="Heading2"/>
      </w:pPr>
      <w:r w:rsidRPr="00ED263E">
        <w:t xml:space="preserve"> The Contractors will ensure that at all times they;</w:t>
      </w:r>
    </w:p>
    <w:p w14:paraId="1AD50FF3" w14:textId="77777777" w:rsidR="00582096" w:rsidRPr="00ED263E" w:rsidRDefault="00582096" w:rsidP="00582096">
      <w:pPr>
        <w:pStyle w:val="TENDERBULLETS"/>
        <w:rPr>
          <w:rFonts w:asciiTheme="majorHAnsi" w:eastAsiaTheme="majorEastAsia" w:hAnsiTheme="majorHAnsi" w:cstheme="majorBidi"/>
        </w:rPr>
      </w:pPr>
      <w:r w:rsidRPr="1E527B6A">
        <w:rPr>
          <w:rFonts w:asciiTheme="majorHAnsi" w:eastAsiaTheme="majorEastAsia" w:hAnsiTheme="majorHAnsi" w:cstheme="majorBidi"/>
        </w:rPr>
        <w:t>Achieve compliance with all environmental legislation;</w:t>
      </w:r>
    </w:p>
    <w:p w14:paraId="7AD18ECD" w14:textId="77777777" w:rsidR="00582096" w:rsidRPr="00ED263E" w:rsidRDefault="00582096" w:rsidP="00582096">
      <w:pPr>
        <w:pStyle w:val="TENDERBULLETS"/>
        <w:rPr>
          <w:rFonts w:asciiTheme="majorHAnsi" w:eastAsiaTheme="majorEastAsia" w:hAnsiTheme="majorHAnsi" w:cstheme="majorBidi"/>
        </w:rPr>
      </w:pPr>
      <w:r w:rsidRPr="1E527B6A">
        <w:rPr>
          <w:rFonts w:asciiTheme="majorHAnsi" w:eastAsiaTheme="majorEastAsia" w:hAnsiTheme="majorHAnsi" w:cstheme="majorBidi"/>
        </w:rPr>
        <w:t>Have robust environmental management processes and procedures in place including but not limited to pollution prevention and waste management;</w:t>
      </w:r>
    </w:p>
    <w:p w14:paraId="54605126" w14:textId="77777777" w:rsidR="00582096" w:rsidRPr="00ED263E" w:rsidRDefault="00582096" w:rsidP="00582096">
      <w:pPr>
        <w:pStyle w:val="TENDERBULLETS"/>
        <w:rPr>
          <w:rFonts w:asciiTheme="majorHAnsi" w:eastAsiaTheme="majorEastAsia" w:hAnsiTheme="majorHAnsi" w:cstheme="majorBidi"/>
        </w:rPr>
      </w:pPr>
      <w:r w:rsidRPr="1E527B6A">
        <w:rPr>
          <w:rFonts w:asciiTheme="majorHAnsi" w:eastAsiaTheme="majorEastAsia" w:hAnsiTheme="majorHAnsi" w:cstheme="majorBidi"/>
        </w:rPr>
        <w:t>Have trained and competent staff to deliver these processes and procedures;</w:t>
      </w:r>
    </w:p>
    <w:p w14:paraId="0E15F041" w14:textId="77777777" w:rsidR="00582096" w:rsidRPr="00ED263E" w:rsidRDefault="00582096" w:rsidP="00582096">
      <w:pPr>
        <w:pStyle w:val="TENDERBULLETS"/>
        <w:rPr>
          <w:rFonts w:asciiTheme="majorHAnsi" w:eastAsiaTheme="majorEastAsia" w:hAnsiTheme="majorHAnsi" w:cstheme="majorBidi"/>
        </w:rPr>
      </w:pPr>
      <w:r w:rsidRPr="1E527B6A">
        <w:rPr>
          <w:rFonts w:asciiTheme="majorHAnsi" w:eastAsiaTheme="majorEastAsia" w:hAnsiTheme="majorHAnsi" w:cstheme="majorBidi"/>
        </w:rPr>
        <w:t>Achieve continuous improvement in environmental management; and</w:t>
      </w:r>
    </w:p>
    <w:p w14:paraId="7AAEB218" w14:textId="3B19C123" w:rsidR="00582096" w:rsidRPr="00ED263E" w:rsidRDefault="00582096" w:rsidP="00582096">
      <w:pPr>
        <w:pStyle w:val="TENDERBULLETS"/>
        <w:rPr>
          <w:rFonts w:asciiTheme="majorHAnsi" w:eastAsiaTheme="majorEastAsia" w:hAnsiTheme="majorHAnsi" w:cstheme="majorBidi"/>
        </w:rPr>
      </w:pPr>
      <w:r w:rsidRPr="1E527B6A">
        <w:rPr>
          <w:rFonts w:asciiTheme="majorHAnsi" w:eastAsiaTheme="majorEastAsia" w:hAnsiTheme="majorHAnsi" w:cstheme="majorBidi"/>
        </w:rPr>
        <w:t xml:space="preserve">Work to reduce the environmental impact of delivering </w:t>
      </w:r>
      <w:r w:rsidR="00C92281">
        <w:rPr>
          <w:rFonts w:asciiTheme="majorHAnsi" w:eastAsiaTheme="majorEastAsia" w:hAnsiTheme="majorHAnsi" w:cstheme="majorBidi"/>
        </w:rPr>
        <w:t>this contract.</w:t>
      </w:r>
    </w:p>
    <w:p w14:paraId="1AF343AC" w14:textId="77777777" w:rsidR="00582096" w:rsidRPr="00ED263E" w:rsidRDefault="00582096" w:rsidP="00582096">
      <w:pPr>
        <w:pStyle w:val="TENDERBULLETS"/>
        <w:numPr>
          <w:ilvl w:val="0"/>
          <w:numId w:val="0"/>
        </w:numPr>
      </w:pPr>
    </w:p>
    <w:p w14:paraId="39EFAAE1" w14:textId="5CEBFA51" w:rsidR="00582096" w:rsidRPr="00FA4752" w:rsidRDefault="00582096" w:rsidP="00077E54">
      <w:pPr>
        <w:pStyle w:val="Heading2"/>
        <w:jc w:val="both"/>
        <w:rPr>
          <w:rFonts w:cs="Arial"/>
        </w:rPr>
      </w:pPr>
      <w:r w:rsidRPr="00ED263E">
        <w:t>The Contractors will include an assessment of the environmental risks and opportunities linked to any recommendations provided in their project risk assessment and in their role in delivering the Contract(s). The Contractor(s) will need to complete the Environment Agency standard contract questionnaire (</w:t>
      </w:r>
      <w:r w:rsidR="00FA4752">
        <w:fldChar w:fldCharType="begin"/>
      </w:r>
      <w:r w:rsidR="00FA4752">
        <w:instrText xml:space="preserve"> REF _Ref122015699 \h </w:instrText>
      </w:r>
      <w:r w:rsidR="00FA4752">
        <w:fldChar w:fldCharType="separate"/>
      </w:r>
      <w:r w:rsidR="003F221C" w:rsidRPr="00FE4AED">
        <w:t xml:space="preserve">Appendix </w:t>
      </w:r>
      <w:r w:rsidR="003F221C">
        <w:rPr>
          <w:i/>
          <w:iCs/>
          <w:noProof/>
        </w:rPr>
        <w:t>16</w:t>
      </w:r>
      <w:r w:rsidR="00FA4752">
        <w:fldChar w:fldCharType="end"/>
      </w:r>
      <w:r w:rsidRPr="00ED263E">
        <w:t>) and provide environmental risks in their Project Risk assessment (</w:t>
      </w:r>
      <w:r w:rsidR="00FA4752">
        <w:fldChar w:fldCharType="begin"/>
      </w:r>
      <w:r w:rsidR="00FA4752">
        <w:instrText xml:space="preserve"> REF _Ref122015706 \h </w:instrText>
      </w:r>
      <w:r w:rsidR="00FA4752">
        <w:fldChar w:fldCharType="separate"/>
      </w:r>
      <w:r w:rsidR="003F221C" w:rsidRPr="002D5767">
        <w:t xml:space="preserve">Appendix </w:t>
      </w:r>
      <w:r w:rsidR="003F221C">
        <w:rPr>
          <w:i/>
          <w:iCs/>
          <w:noProof/>
        </w:rPr>
        <w:t>17</w:t>
      </w:r>
      <w:r w:rsidR="00FA4752">
        <w:fldChar w:fldCharType="end"/>
      </w:r>
      <w:r w:rsidRPr="00ED263E">
        <w:t>)</w:t>
      </w:r>
      <w:r w:rsidR="00FA4752">
        <w:t xml:space="preserve">. This is to </w:t>
      </w:r>
      <w:r w:rsidRPr="00FA4752">
        <w:rPr>
          <w:rFonts w:cs="Arial"/>
        </w:rPr>
        <w:t>be completed as part of their Project Management of the Contract.</w:t>
      </w:r>
    </w:p>
    <w:p w14:paraId="0278C081" w14:textId="77777777" w:rsidR="00BB0300" w:rsidRPr="002D5767" w:rsidRDefault="00BB0300" w:rsidP="000854DC"/>
    <w:p w14:paraId="3A7B39E1" w14:textId="04D42D96" w:rsidR="00582096" w:rsidRPr="004B4638" w:rsidRDefault="00582096" w:rsidP="004B4638">
      <w:pPr>
        <w:pStyle w:val="Heading2"/>
      </w:pPr>
      <w:r w:rsidRPr="004B4638">
        <w:lastRenderedPageBreak/>
        <w:t>The Contractor(s) will encourage the sharing of information, innovation and best practice that will help us to achieve continuous improvement in environmental performance in the delivery of this contract.</w:t>
      </w:r>
    </w:p>
    <w:p w14:paraId="5AE587B7" w14:textId="77777777" w:rsidR="00BB0300" w:rsidRPr="002D5767" w:rsidRDefault="00BB0300" w:rsidP="000854DC"/>
    <w:p w14:paraId="3D86E526" w14:textId="02D7984C" w:rsidR="00BB0300" w:rsidRDefault="00582096" w:rsidP="00BB0300">
      <w:pPr>
        <w:pStyle w:val="Heading2"/>
      </w:pPr>
      <w:r w:rsidRPr="00ED263E">
        <w:t>The Contractor(s) should seek to ensure the Environment Agency meet its E-mission 2030 ambitions as set out in</w:t>
      </w:r>
      <w:r w:rsidR="0035587C">
        <w:t xml:space="preserve"> </w:t>
      </w:r>
      <w:r w:rsidR="00526C7E">
        <w:fldChar w:fldCharType="begin"/>
      </w:r>
      <w:r w:rsidR="00526C7E">
        <w:instrText xml:space="preserve"> REF _Ref122015740 \h </w:instrText>
      </w:r>
      <w:r w:rsidR="00526C7E">
        <w:fldChar w:fldCharType="separate"/>
      </w:r>
      <w:r w:rsidR="003F221C" w:rsidRPr="00FE4AED">
        <w:t xml:space="preserve">Appendix </w:t>
      </w:r>
      <w:r w:rsidR="003F221C">
        <w:rPr>
          <w:i/>
          <w:iCs/>
          <w:noProof/>
        </w:rPr>
        <w:t>15</w:t>
      </w:r>
      <w:r w:rsidR="00526C7E">
        <w:fldChar w:fldCharType="end"/>
      </w:r>
    </w:p>
    <w:p w14:paraId="5B8B29EC" w14:textId="77777777" w:rsidR="00582096" w:rsidRPr="002D5767" w:rsidRDefault="00582096" w:rsidP="000854DC"/>
    <w:p w14:paraId="3B9E07F1" w14:textId="215E91A3" w:rsidR="00582096" w:rsidRPr="00ED263E" w:rsidRDefault="00582096" w:rsidP="004B4638">
      <w:pPr>
        <w:pStyle w:val="Heading2"/>
      </w:pPr>
      <w:bookmarkStart w:id="28" w:name="_Hlk74043511"/>
      <w:r w:rsidRPr="00ED263E">
        <w:t xml:space="preserve">Proposals and innovation regarding operations that can help achieve the targets </w:t>
      </w:r>
      <w:r w:rsidR="00526C7E">
        <w:t xml:space="preserve">in </w:t>
      </w:r>
      <w:r w:rsidR="00526C7E">
        <w:fldChar w:fldCharType="begin"/>
      </w:r>
      <w:r w:rsidR="00526C7E">
        <w:instrText xml:space="preserve"> REF _Ref122015740 \h </w:instrText>
      </w:r>
      <w:r w:rsidR="00526C7E">
        <w:fldChar w:fldCharType="separate"/>
      </w:r>
      <w:r w:rsidR="003F221C" w:rsidRPr="00FE4AED">
        <w:t xml:space="preserve">Appendix </w:t>
      </w:r>
      <w:r w:rsidR="003F221C">
        <w:rPr>
          <w:i/>
          <w:iCs/>
          <w:noProof/>
        </w:rPr>
        <w:t>15</w:t>
      </w:r>
      <w:r w:rsidR="00526C7E">
        <w:fldChar w:fldCharType="end"/>
      </w:r>
      <w:r w:rsidRPr="00ED263E">
        <w:t xml:space="preserve"> should be</w:t>
      </w:r>
      <w:r w:rsidR="0061290B">
        <w:t xml:space="preserve"> communicated to the Authority as soon as possible</w:t>
      </w:r>
      <w:r w:rsidRPr="00ED263E">
        <w:t xml:space="preserve">. </w:t>
      </w:r>
      <w:bookmarkEnd w:id="28"/>
      <w:r w:rsidRPr="00ED263E">
        <w:t>Travel and carbon use are considered some of the main sustainability risks. Contractors must minimise travel, use low carbon travel where possible, and use where possible vehicles with low emissions for example - Ultra Low Emission Vehicles or Electric Vehicles.</w:t>
      </w:r>
    </w:p>
    <w:p w14:paraId="79D7353A" w14:textId="77777777" w:rsidR="00BB0300" w:rsidRPr="002D5767" w:rsidRDefault="00BB0300" w:rsidP="000854DC"/>
    <w:p w14:paraId="033331CF" w14:textId="77777777" w:rsidR="00BB0300" w:rsidRPr="000854DC" w:rsidRDefault="00582096" w:rsidP="00BB0300">
      <w:pPr>
        <w:pStyle w:val="Heading2"/>
        <w:rPr>
          <w:rFonts w:eastAsiaTheme="minorEastAsia" w:cstheme="minorBidi"/>
          <w:caps/>
          <w:noProof/>
          <w:sz w:val="22"/>
          <w:szCs w:val="22"/>
          <w:lang w:eastAsia="en-GB"/>
        </w:rPr>
      </w:pPr>
      <w:r w:rsidRPr="00ED263E">
        <w:t xml:space="preserve">The Environment Agency is looking at ways it can baseline the environmental impact of its contracted work and monitor any improvements made. To this end, we are requiring the Contractor to collect sustainability data </w:t>
      </w:r>
      <w:r w:rsidR="00FA4752">
        <w:t>in</w:t>
      </w:r>
    </w:p>
    <w:p w14:paraId="52C00627" w14:textId="77777777" w:rsidR="00BB0300" w:rsidRDefault="00BB0300" w:rsidP="00BB0300">
      <w:pPr>
        <w:pStyle w:val="Heading2"/>
        <w:numPr>
          <w:ilvl w:val="0"/>
          <w:numId w:val="0"/>
        </w:numPr>
        <w:ind w:left="1854"/>
      </w:pPr>
    </w:p>
    <w:p w14:paraId="20D80413" w14:textId="30E58E7C" w:rsidR="00582096" w:rsidRPr="00ED263E" w:rsidRDefault="00FA4752" w:rsidP="00C65A2F">
      <w:pPr>
        <w:pStyle w:val="Heading2"/>
        <w:numPr>
          <w:ilvl w:val="0"/>
          <w:numId w:val="0"/>
        </w:numPr>
        <w:ind w:left="1854"/>
        <w:rPr>
          <w:rFonts w:cs="Arial"/>
        </w:rPr>
      </w:pPr>
      <w:r>
        <w:t xml:space="preserve"> </w:t>
      </w:r>
      <w:r w:rsidR="0072015E">
        <w:fldChar w:fldCharType="begin"/>
      </w:r>
      <w:r w:rsidR="0072015E">
        <w:instrText xml:space="preserve"> REF _Ref122015653 \h </w:instrText>
      </w:r>
      <w:r w:rsidR="0072015E">
        <w:fldChar w:fldCharType="separate"/>
      </w:r>
      <w:r w:rsidR="003F221C" w:rsidRPr="00FE4AED">
        <w:t xml:space="preserve">Appendix </w:t>
      </w:r>
      <w:r w:rsidR="003F221C">
        <w:rPr>
          <w:i/>
          <w:iCs/>
          <w:noProof/>
        </w:rPr>
        <w:t>20</w:t>
      </w:r>
      <w:r w:rsidR="003F221C" w:rsidRPr="00FE4AED">
        <w:t xml:space="preserve"> </w:t>
      </w:r>
      <w:r w:rsidR="003F221C">
        <w:tab/>
      </w:r>
      <w:r w:rsidR="003F221C" w:rsidRPr="00FE4AED">
        <w:t>Sustainability Reporting Requirements</w:t>
      </w:r>
      <w:r w:rsidR="0072015E">
        <w:fldChar w:fldCharType="end"/>
      </w:r>
    </w:p>
    <w:p w14:paraId="2EC23C91" w14:textId="77777777" w:rsidR="00BB0300" w:rsidRDefault="00BB0300" w:rsidP="002D57B2">
      <w:pPr>
        <w:pStyle w:val="Heading2"/>
        <w:numPr>
          <w:ilvl w:val="0"/>
          <w:numId w:val="0"/>
        </w:numPr>
        <w:ind w:left="1854"/>
      </w:pPr>
    </w:p>
    <w:p w14:paraId="1A210F97" w14:textId="2AB9A380" w:rsidR="00582096" w:rsidRPr="00ED263E" w:rsidRDefault="00582096" w:rsidP="004B4638">
      <w:pPr>
        <w:pStyle w:val="Heading2"/>
      </w:pPr>
      <w:r w:rsidRPr="00ED263E">
        <w:t xml:space="preserve">A flexible, resource appropriate approach is required and the contractor is expected to work with the Environment Agency sustainability reporting team. Sustainability reporting is mandatory for the contract. </w:t>
      </w:r>
    </w:p>
    <w:p w14:paraId="3F4A0D5A" w14:textId="77777777" w:rsidR="00BB0300" w:rsidRPr="002D5767" w:rsidRDefault="00BB0300" w:rsidP="000854DC"/>
    <w:p w14:paraId="015FE0A9" w14:textId="64D2ADB6" w:rsidR="00582096" w:rsidRPr="00ED263E" w:rsidRDefault="430B7638" w:rsidP="004B4638">
      <w:pPr>
        <w:pStyle w:val="Heading2"/>
      </w:pPr>
      <w:r>
        <w:t xml:space="preserve">The reporting excel sheet in </w:t>
      </w:r>
      <w:r w:rsidR="00582096">
        <w:fldChar w:fldCharType="begin"/>
      </w:r>
      <w:r w:rsidR="00582096">
        <w:instrText xml:space="preserve"> REF _Ref122015648 \h </w:instrText>
      </w:r>
      <w:r w:rsidR="00582096">
        <w:fldChar w:fldCharType="separate"/>
      </w:r>
      <w:r w:rsidR="003F221C" w:rsidRPr="00FE4AED">
        <w:t xml:space="preserve">Appendix </w:t>
      </w:r>
      <w:r w:rsidR="003F221C">
        <w:rPr>
          <w:i/>
          <w:iCs/>
          <w:noProof/>
        </w:rPr>
        <w:t>20</w:t>
      </w:r>
      <w:r w:rsidR="00582096">
        <w:fldChar w:fldCharType="end"/>
      </w:r>
      <w:r w:rsidR="55D56E34">
        <w:t xml:space="preserve"> </w:t>
      </w:r>
      <w:r>
        <w:t xml:space="preserve">is self-explanatory but data reported should include all the highest impacts of sustainability on the contract including the significant </w:t>
      </w:r>
      <w:r w:rsidR="005435DA">
        <w:t>site-based</w:t>
      </w:r>
      <w:r>
        <w:t xml:space="preserve"> activities, even if there are elements of the work that are sub-contracted. </w:t>
      </w:r>
      <w:r w:rsidR="7890FC87">
        <w:t xml:space="preserve">In this supply of goods contract, </w:t>
      </w:r>
      <w:r w:rsidR="1FD78A80">
        <w:t xml:space="preserve">embedded carbon in </w:t>
      </w:r>
      <w:r w:rsidR="7F9D598D">
        <w:t xml:space="preserve">housings and other physical items is also to be captured. </w:t>
      </w:r>
      <w:r>
        <w:t>Omissions to the reporting are by prior agreement with the responsible Agency officer.</w:t>
      </w:r>
    </w:p>
    <w:p w14:paraId="14C143F3" w14:textId="77777777" w:rsidR="00BB0300" w:rsidRPr="002D5767" w:rsidRDefault="00BB0300" w:rsidP="000854DC"/>
    <w:p w14:paraId="563A6DD6" w14:textId="1470BC7C" w:rsidR="00582096" w:rsidRPr="00ED263E" w:rsidRDefault="00582096" w:rsidP="004B4638">
      <w:pPr>
        <w:pStyle w:val="Heading2"/>
      </w:pPr>
      <w:r w:rsidRPr="00ED263E">
        <w:t xml:space="preserve">If purchasing electronic goods on behalf of the </w:t>
      </w:r>
      <w:r w:rsidR="00077E38">
        <w:t>Authority</w:t>
      </w:r>
      <w:r w:rsidRPr="00ED263E">
        <w:t xml:space="preserve"> the Contractor(s) should seek to confirm that your suppliers follow the guidelines for bringing electronic equipment to market in the UK following the guidelines at:</w:t>
      </w:r>
    </w:p>
    <w:p w14:paraId="1A949EA9" w14:textId="0F8A6453" w:rsidR="00582096" w:rsidRPr="00ED263E" w:rsidRDefault="00582096" w:rsidP="00582096">
      <w:pPr>
        <w:rPr>
          <w:rFonts w:cs="Arial"/>
        </w:rPr>
      </w:pPr>
      <w:r w:rsidRPr="00ED263E">
        <w:rPr>
          <w:rFonts w:cs="Arial"/>
        </w:rPr>
        <w:t xml:space="preserve"> </w:t>
      </w:r>
      <w:hyperlink r:id="rId19" w:history="1">
        <w:r w:rsidRPr="00ED263E">
          <w:rPr>
            <w:rStyle w:val="Hyperlink"/>
            <w:rFonts w:cs="Arial"/>
          </w:rPr>
          <w:t>https://www.gov.uk/guidance/electrical-and-electronic-equipment-eee-producer-responsibility</w:t>
        </w:r>
      </w:hyperlink>
    </w:p>
    <w:p w14:paraId="17ED6507" w14:textId="3E8820DC" w:rsidR="00582096" w:rsidRPr="00ED263E" w:rsidRDefault="00582096" w:rsidP="004B4638">
      <w:pPr>
        <w:pStyle w:val="Heading2"/>
      </w:pPr>
      <w:r w:rsidRPr="00ED263E">
        <w:lastRenderedPageBreak/>
        <w:t xml:space="preserve">In sourcing the raw materials for goods purchased by the </w:t>
      </w:r>
      <w:r w:rsidR="00077E38">
        <w:t>Authority</w:t>
      </w:r>
      <w:r w:rsidRPr="00ED263E">
        <w:t xml:space="preserve">,  Contractor(s) must ensure the International Labour Organisation ‘Recommendations’ applicable in the supply chain for raw materials are being met, latest guidance available on the website (https://www.ilo.org/global/lang--en/index.htm). This includes but is not limited to following guidelines and key sections: </w:t>
      </w:r>
    </w:p>
    <w:p w14:paraId="09498A59" w14:textId="77777777" w:rsidR="00582096" w:rsidRPr="00ED263E" w:rsidRDefault="00582096" w:rsidP="000854DC">
      <w:pPr>
        <w:pStyle w:val="ListParagraph"/>
        <w:numPr>
          <w:ilvl w:val="0"/>
          <w:numId w:val="49"/>
        </w:numPr>
      </w:pPr>
      <w:r w:rsidRPr="00ED263E">
        <w:t xml:space="preserve">Forced Labour  </w:t>
      </w:r>
    </w:p>
    <w:p w14:paraId="654D32C6" w14:textId="77777777" w:rsidR="00582096" w:rsidRPr="00ED263E" w:rsidRDefault="00582096" w:rsidP="000854DC">
      <w:pPr>
        <w:pStyle w:val="ListParagraph"/>
        <w:numPr>
          <w:ilvl w:val="0"/>
          <w:numId w:val="49"/>
        </w:numPr>
      </w:pPr>
      <w:r w:rsidRPr="00ED263E">
        <w:t xml:space="preserve">Child Labour </w:t>
      </w:r>
    </w:p>
    <w:p w14:paraId="5DA1C9D8" w14:textId="77777777" w:rsidR="00582096" w:rsidRPr="00ED263E" w:rsidRDefault="00582096" w:rsidP="000854DC">
      <w:pPr>
        <w:pStyle w:val="ListParagraph"/>
        <w:numPr>
          <w:ilvl w:val="0"/>
          <w:numId w:val="49"/>
        </w:numPr>
      </w:pPr>
      <w:r w:rsidRPr="00ED263E">
        <w:t xml:space="preserve">Working Time  </w:t>
      </w:r>
    </w:p>
    <w:p w14:paraId="22C93D3C" w14:textId="77777777" w:rsidR="00582096" w:rsidRPr="00ED263E" w:rsidRDefault="00582096" w:rsidP="000854DC">
      <w:pPr>
        <w:pStyle w:val="ListParagraph"/>
        <w:numPr>
          <w:ilvl w:val="0"/>
          <w:numId w:val="49"/>
        </w:numPr>
      </w:pPr>
      <w:r w:rsidRPr="00ED263E">
        <w:t xml:space="preserve">Employment security  </w:t>
      </w:r>
    </w:p>
    <w:p w14:paraId="1D3EF181" w14:textId="2E3B4568" w:rsidR="00582096" w:rsidRPr="00ED263E" w:rsidRDefault="00582096" w:rsidP="000854DC">
      <w:pPr>
        <w:pStyle w:val="ListParagraph"/>
        <w:numPr>
          <w:ilvl w:val="0"/>
          <w:numId w:val="49"/>
        </w:numPr>
      </w:pPr>
      <w:r w:rsidRPr="00ED263E">
        <w:t xml:space="preserve">Occupational Health and Safety </w:t>
      </w:r>
    </w:p>
    <w:p w14:paraId="32E27D79" w14:textId="77777777" w:rsidR="00BB0300" w:rsidRPr="00ED263E" w:rsidRDefault="00BB0300" w:rsidP="000854DC">
      <w:pPr>
        <w:pStyle w:val="TENDERBULLETS"/>
        <w:numPr>
          <w:ilvl w:val="0"/>
          <w:numId w:val="0"/>
        </w:numPr>
        <w:ind w:left="1854"/>
      </w:pPr>
    </w:p>
    <w:p w14:paraId="12C39903" w14:textId="346C0979" w:rsidR="00582096" w:rsidRPr="00ED263E" w:rsidRDefault="00582096" w:rsidP="004B4638">
      <w:pPr>
        <w:pStyle w:val="Heading2"/>
      </w:pPr>
      <w:r w:rsidRPr="00ED263E">
        <w:t xml:space="preserve">The </w:t>
      </w:r>
      <w:r w:rsidR="00077E38">
        <w:t>Authority</w:t>
      </w:r>
      <w:r w:rsidRPr="00ED263E">
        <w:t xml:space="preserve"> also expects that high standards of Equality, Diversity and Inclusion are met by its Subcontractors. We would expect that our Subcontractors deliver the work on behalf of the Environment Agency in line with the requirements under the Equality Act 2010, and matching our own ambitions to demonstrate the Environment Agency is an equal, diverse and inclusive (EDI) organisation. These expectations are set out to be achieved appropriate to the size and activity of the supply chain given the variety of different organisations in the UKEAP, with an appropriate resource invested regarding implementation of checks against the supply chain. The Contractor must look to take resource appropriate checks and promotion regarding the expectations set out in 8.16</w:t>
      </w:r>
      <w:r w:rsidRPr="00ED263E">
        <w:rPr>
          <w:color w:val="000000"/>
        </w:rPr>
        <w:t>.</w:t>
      </w:r>
      <w:r w:rsidRPr="00ED263E">
        <w:t xml:space="preserve"> The Contractors must be willing to accept and facilitate an EDI subcontractor audit if required.</w:t>
      </w:r>
    </w:p>
    <w:p w14:paraId="2FB42D51" w14:textId="77777777" w:rsidR="00BB0300" w:rsidRPr="002D5767" w:rsidRDefault="00BB0300" w:rsidP="000854DC"/>
    <w:p w14:paraId="31094DD3" w14:textId="3DEE9A47" w:rsidR="00582096" w:rsidRDefault="00582096" w:rsidP="00582096">
      <w:pPr>
        <w:pStyle w:val="Heading2"/>
        <w:rPr>
          <w:rFonts w:cs="Arial"/>
        </w:rPr>
      </w:pPr>
      <w:bookmarkStart w:id="29" w:name="_Ref64561991"/>
      <w:r w:rsidRPr="00ED263E">
        <w:t>The expectations of our contractors for EDI are therefore to</w:t>
      </w:r>
      <w:bookmarkEnd w:id="29"/>
      <w:r w:rsidR="0054282D">
        <w:t xml:space="preserve"> d</w:t>
      </w:r>
      <w:r w:rsidRPr="0054282D">
        <w:rPr>
          <w:rFonts w:cs="Arial"/>
        </w:rPr>
        <w:t xml:space="preserve">eliver work in a way that: </w:t>
      </w:r>
    </w:p>
    <w:p w14:paraId="05A15F3A" w14:textId="77777777" w:rsidR="00BB0300" w:rsidRPr="002D5767" w:rsidRDefault="00BB0300" w:rsidP="000854DC"/>
    <w:p w14:paraId="4CFB7862" w14:textId="77777777" w:rsidR="00582096" w:rsidRPr="00ED263E" w:rsidRDefault="00582096" w:rsidP="000854DC">
      <w:pPr>
        <w:pStyle w:val="ListParagraph"/>
        <w:numPr>
          <w:ilvl w:val="0"/>
          <w:numId w:val="48"/>
        </w:numPr>
      </w:pPr>
      <w:r w:rsidRPr="00ED263E">
        <w:t xml:space="preserve">reduces inequalities from socio economic disadvantage; </w:t>
      </w:r>
    </w:p>
    <w:p w14:paraId="6646348C" w14:textId="77777777" w:rsidR="00582096" w:rsidRPr="00ED263E" w:rsidRDefault="00582096" w:rsidP="000854DC">
      <w:pPr>
        <w:pStyle w:val="ListParagraph"/>
        <w:numPr>
          <w:ilvl w:val="0"/>
          <w:numId w:val="48"/>
        </w:numPr>
      </w:pPr>
      <w:r w:rsidRPr="00ED263E">
        <w:t xml:space="preserve">eliminates discrimination; </w:t>
      </w:r>
    </w:p>
    <w:p w14:paraId="2E5ABCBF" w14:textId="77777777" w:rsidR="00582096" w:rsidRPr="00ED263E" w:rsidRDefault="00582096" w:rsidP="000854DC">
      <w:pPr>
        <w:pStyle w:val="ListParagraph"/>
        <w:numPr>
          <w:ilvl w:val="0"/>
          <w:numId w:val="48"/>
        </w:numPr>
      </w:pPr>
      <w:r w:rsidRPr="00ED263E">
        <w:t xml:space="preserve">advances equality; </w:t>
      </w:r>
    </w:p>
    <w:p w14:paraId="6A07B5B7" w14:textId="77777777" w:rsidR="00582096" w:rsidRPr="00ED263E" w:rsidRDefault="00582096" w:rsidP="000854DC">
      <w:pPr>
        <w:pStyle w:val="ListParagraph"/>
        <w:numPr>
          <w:ilvl w:val="0"/>
          <w:numId w:val="48"/>
        </w:numPr>
      </w:pPr>
      <w:r w:rsidRPr="00ED263E">
        <w:t xml:space="preserve">fosters good relations (this includes tackling prejudice and promoting understanding); </w:t>
      </w:r>
    </w:p>
    <w:p w14:paraId="44D30E83" w14:textId="77777777" w:rsidR="00582096" w:rsidRPr="00ED263E" w:rsidRDefault="00582096" w:rsidP="000854DC">
      <w:pPr>
        <w:pStyle w:val="ListParagraph"/>
        <w:numPr>
          <w:ilvl w:val="0"/>
          <w:numId w:val="48"/>
        </w:numPr>
      </w:pPr>
      <w:r w:rsidRPr="00ED263E">
        <w:t xml:space="preserve">does not discriminate because of a protected characteristic; </w:t>
      </w:r>
    </w:p>
    <w:p w14:paraId="6FE09A0B" w14:textId="77777777" w:rsidR="00582096" w:rsidRPr="00ED263E" w:rsidRDefault="00582096" w:rsidP="000854DC">
      <w:pPr>
        <w:pStyle w:val="ListParagraph"/>
        <w:numPr>
          <w:ilvl w:val="0"/>
          <w:numId w:val="48"/>
        </w:numPr>
      </w:pPr>
      <w:r w:rsidRPr="00ED263E">
        <w:t xml:space="preserve">Provide reasonable adjustments for people with disabilities; </w:t>
      </w:r>
    </w:p>
    <w:p w14:paraId="16828BC3" w14:textId="77777777" w:rsidR="00582096" w:rsidRPr="00ED263E" w:rsidRDefault="00582096" w:rsidP="000854DC">
      <w:pPr>
        <w:pStyle w:val="ListParagraph"/>
        <w:numPr>
          <w:ilvl w:val="0"/>
          <w:numId w:val="48"/>
        </w:numPr>
      </w:pPr>
      <w:r w:rsidRPr="00ED263E">
        <w:t xml:space="preserve">Provide services that are accessible to all; </w:t>
      </w:r>
    </w:p>
    <w:p w14:paraId="293883BE" w14:textId="77777777" w:rsidR="00582096" w:rsidRPr="00ED263E" w:rsidRDefault="00582096" w:rsidP="000854DC">
      <w:pPr>
        <w:pStyle w:val="ListParagraph"/>
        <w:numPr>
          <w:ilvl w:val="0"/>
          <w:numId w:val="48"/>
        </w:numPr>
      </w:pPr>
      <w:r w:rsidRPr="00ED263E">
        <w:t>Provide maternity equality and pay;</w:t>
      </w:r>
    </w:p>
    <w:p w14:paraId="7822E9EF" w14:textId="77777777" w:rsidR="00582096" w:rsidRPr="00ED263E" w:rsidRDefault="00582096" w:rsidP="000854DC">
      <w:pPr>
        <w:pStyle w:val="ListParagraph"/>
        <w:numPr>
          <w:ilvl w:val="0"/>
          <w:numId w:val="48"/>
        </w:numPr>
      </w:pPr>
      <w:r w:rsidRPr="00ED263E">
        <w:t xml:space="preserve">Do not victimise employees because of a protected characteristic; </w:t>
      </w:r>
    </w:p>
    <w:p w14:paraId="6E7574D3" w14:textId="77777777" w:rsidR="00582096" w:rsidRPr="00ED263E" w:rsidRDefault="00582096" w:rsidP="000854DC">
      <w:pPr>
        <w:pStyle w:val="ListParagraph"/>
        <w:numPr>
          <w:ilvl w:val="0"/>
          <w:numId w:val="48"/>
        </w:numPr>
      </w:pPr>
      <w:r w:rsidRPr="00ED263E">
        <w:t>Do not enquire about a candidate's health before appointing them;</w:t>
      </w:r>
    </w:p>
    <w:p w14:paraId="2B0FBE5C" w14:textId="77777777" w:rsidR="00582096" w:rsidRPr="00ED263E" w:rsidRDefault="00582096" w:rsidP="000854DC">
      <w:pPr>
        <w:pStyle w:val="ListParagraph"/>
        <w:numPr>
          <w:ilvl w:val="0"/>
          <w:numId w:val="48"/>
        </w:numPr>
      </w:pPr>
      <w:r w:rsidRPr="00ED263E">
        <w:t xml:space="preserve">Do not have a pension scheme that discriminates against anyone; </w:t>
      </w:r>
    </w:p>
    <w:p w14:paraId="1606A511" w14:textId="77777777" w:rsidR="00582096" w:rsidRPr="00ED263E" w:rsidRDefault="00582096" w:rsidP="000854DC">
      <w:pPr>
        <w:pStyle w:val="ListParagraph"/>
        <w:numPr>
          <w:ilvl w:val="0"/>
          <w:numId w:val="48"/>
        </w:numPr>
      </w:pPr>
      <w:r w:rsidRPr="00ED263E">
        <w:t xml:space="preserve">Provide equal pay for "like for like" work;  </w:t>
      </w:r>
    </w:p>
    <w:p w14:paraId="17F74842" w14:textId="77777777" w:rsidR="00582096" w:rsidRPr="00ED263E" w:rsidRDefault="00582096" w:rsidP="000854DC">
      <w:pPr>
        <w:pStyle w:val="ListParagraph"/>
        <w:numPr>
          <w:ilvl w:val="0"/>
          <w:numId w:val="48"/>
        </w:numPr>
      </w:pPr>
      <w:r w:rsidRPr="00ED263E">
        <w:t xml:space="preserve">Provide positive action to; </w:t>
      </w:r>
    </w:p>
    <w:p w14:paraId="049BBF9B" w14:textId="77777777" w:rsidR="00582096" w:rsidRPr="00ED263E" w:rsidRDefault="00582096" w:rsidP="000854DC">
      <w:pPr>
        <w:pStyle w:val="ListParagraph"/>
        <w:numPr>
          <w:ilvl w:val="0"/>
          <w:numId w:val="48"/>
        </w:numPr>
      </w:pPr>
      <w:r w:rsidRPr="00ED263E">
        <w:lastRenderedPageBreak/>
        <w:t xml:space="preserve">enable people from or with protected characteristics to overcome or minimise that disadvantage; </w:t>
      </w:r>
    </w:p>
    <w:p w14:paraId="6612568D" w14:textId="77777777" w:rsidR="00582096" w:rsidRPr="00ED263E" w:rsidRDefault="00582096" w:rsidP="000854DC">
      <w:pPr>
        <w:pStyle w:val="ListParagraph"/>
        <w:numPr>
          <w:ilvl w:val="0"/>
          <w:numId w:val="48"/>
        </w:numPr>
      </w:pPr>
      <w:r w:rsidRPr="00ED263E">
        <w:t xml:space="preserve">meet their needs; </w:t>
      </w:r>
    </w:p>
    <w:p w14:paraId="688F56BB" w14:textId="77777777" w:rsidR="00582096" w:rsidRPr="00ED263E" w:rsidRDefault="00582096" w:rsidP="000854DC">
      <w:pPr>
        <w:pStyle w:val="ListParagraph"/>
        <w:numPr>
          <w:ilvl w:val="0"/>
          <w:numId w:val="48"/>
        </w:numPr>
      </w:pPr>
      <w:r w:rsidRPr="00ED263E">
        <w:t xml:space="preserve">enable them to participate in the activity; </w:t>
      </w:r>
    </w:p>
    <w:p w14:paraId="5DFF3945" w14:textId="0D3DEC21" w:rsidR="00582096" w:rsidRPr="00ED263E" w:rsidRDefault="00582096" w:rsidP="000854DC">
      <w:pPr>
        <w:pStyle w:val="ListParagraph"/>
        <w:numPr>
          <w:ilvl w:val="0"/>
          <w:numId w:val="48"/>
        </w:numPr>
      </w:pPr>
      <w:r w:rsidRPr="00ED263E">
        <w:t>not having a policy of positively discriminating against anyone.</w:t>
      </w:r>
    </w:p>
    <w:p w14:paraId="1B985481" w14:textId="77777777" w:rsidR="00BB0300" w:rsidRPr="00ED263E" w:rsidRDefault="00BB0300" w:rsidP="007E4DBD">
      <w:pPr>
        <w:pStyle w:val="TENDERBULLETS"/>
        <w:numPr>
          <w:ilvl w:val="0"/>
          <w:numId w:val="0"/>
        </w:numPr>
        <w:ind w:left="1854"/>
      </w:pPr>
    </w:p>
    <w:p w14:paraId="2344F724" w14:textId="77777777" w:rsidR="00582096" w:rsidRPr="00ED263E" w:rsidRDefault="00582096" w:rsidP="0054282D">
      <w:pPr>
        <w:pStyle w:val="Heading2"/>
      </w:pPr>
      <w:r w:rsidRPr="00ED263E">
        <w:t xml:space="preserve">The Environment Agency currently are working to a DEFRA family strategy to improve EDI, and the Contractor and supply chain should seek to share the objectives and ambitions of the current and future iterations of the DEFRA EDI Strategy within its own organisations, or develop an equivalent strategy. The current strategy is located at: </w:t>
      </w:r>
    </w:p>
    <w:p w14:paraId="27C9E936" w14:textId="287F7DF9" w:rsidR="00582096" w:rsidRPr="00ED263E" w:rsidRDefault="00000000" w:rsidP="00582096">
      <w:pPr>
        <w:rPr>
          <w:rFonts w:cs="Arial"/>
        </w:rPr>
      </w:pPr>
      <w:hyperlink r:id="rId20" w:history="1">
        <w:r w:rsidR="00582096" w:rsidRPr="00ED263E">
          <w:rPr>
            <w:rStyle w:val="Hyperlink"/>
            <w:rFonts w:cs="Arial"/>
          </w:rPr>
          <w:t>https://www.gov.uk/government/publications/defra-group-equality-diversity-and-inclusion-strategy-2020-to-2024/defra-group-equality-diversity-and-inclusion-strategy-2020-to-2024</w:t>
        </w:r>
      </w:hyperlink>
    </w:p>
    <w:p w14:paraId="08047AE3" w14:textId="53A6D7E0" w:rsidR="00582096" w:rsidRPr="00ED263E" w:rsidRDefault="00582096" w:rsidP="0054282D">
      <w:pPr>
        <w:pStyle w:val="Heading2"/>
      </w:pPr>
      <w:r w:rsidRPr="00ED263E">
        <w:t xml:space="preserve">The contractor will align with this and future version’s as far as </w:t>
      </w:r>
      <w:r w:rsidR="005435DA" w:rsidRPr="00ED263E">
        <w:t>reasonably</w:t>
      </w:r>
      <w:r w:rsidRPr="00ED263E">
        <w:t xml:space="preserve"> practical to promote shared ambitions and objectives on the EDI strategy.</w:t>
      </w:r>
    </w:p>
    <w:p w14:paraId="2EEB07C5" w14:textId="77777777" w:rsidR="00582096" w:rsidRPr="00ED263E" w:rsidRDefault="00582096" w:rsidP="0054282D">
      <w:pPr>
        <w:pStyle w:val="Heading2"/>
      </w:pPr>
      <w:r w:rsidRPr="00ED263E">
        <w:t>The Contractor will provide assurance their employees and supply chain workers receive the national living wage.</w:t>
      </w:r>
    </w:p>
    <w:p w14:paraId="0995D7FA" w14:textId="77777777" w:rsidR="00582096" w:rsidRPr="00ED263E" w:rsidRDefault="00582096" w:rsidP="0054282D">
      <w:pPr>
        <w:pStyle w:val="Heading2"/>
      </w:pPr>
      <w:r w:rsidRPr="00ED263E">
        <w:t>If during the contract period the contractor is found to have been failing to deliver the expectations for equality, diversity and inclusion, regarding the Equality Act 2010, the Environment Agency may request an improvement programme of measures or contract termination, in line with the stated terms and conditions.</w:t>
      </w:r>
    </w:p>
    <w:p w14:paraId="2082A0B1" w14:textId="61AA387C" w:rsidR="001A22A9" w:rsidRPr="001A22A9" w:rsidRDefault="001A22A9" w:rsidP="001A22A9"/>
    <w:p w14:paraId="5A45E95A" w14:textId="76AD16A3" w:rsidR="004144C8" w:rsidRDefault="004144C8">
      <w:r>
        <w:br w:type="page"/>
      </w:r>
    </w:p>
    <w:p w14:paraId="170E021F" w14:textId="7EA99267" w:rsidR="00470756" w:rsidRPr="0023563A" w:rsidRDefault="00470756" w:rsidP="007E4DBD">
      <w:pPr>
        <w:pStyle w:val="Heading1"/>
      </w:pPr>
      <w:bookmarkStart w:id="30" w:name="_Ref55289643"/>
      <w:bookmarkStart w:id="31" w:name="_Ref55289663"/>
      <w:bookmarkStart w:id="32" w:name="_Ref55289668"/>
      <w:bookmarkStart w:id="33" w:name="_Ref55289685"/>
      <w:bookmarkStart w:id="34" w:name="_Toc56101584"/>
      <w:bookmarkStart w:id="35" w:name="_Toc153342472"/>
      <w:r>
        <w:lastRenderedPageBreak/>
        <w:t>Electrical Management</w:t>
      </w:r>
      <w:bookmarkEnd w:id="35"/>
      <w:r>
        <w:t xml:space="preserve"> </w:t>
      </w:r>
      <w:bookmarkEnd w:id="30"/>
      <w:bookmarkEnd w:id="31"/>
      <w:bookmarkEnd w:id="32"/>
      <w:bookmarkEnd w:id="33"/>
      <w:bookmarkEnd w:id="34"/>
    </w:p>
    <w:p w14:paraId="603BA447" w14:textId="77777777" w:rsidR="00470756" w:rsidRPr="00625DB2" w:rsidRDefault="00470756" w:rsidP="007E4DBD">
      <w:pPr>
        <w:pStyle w:val="Heading2"/>
      </w:pPr>
      <w:r w:rsidRPr="00625DB2">
        <w:t xml:space="preserve">Before </w:t>
      </w:r>
      <w:r>
        <w:t>undertaking</w:t>
      </w:r>
      <w:r w:rsidRPr="00625DB2">
        <w:t xml:space="preserve"> any electrical works on</w:t>
      </w:r>
      <w:r>
        <w:t xml:space="preserve"> Environment Agency </w:t>
      </w:r>
      <w:r w:rsidRPr="00625DB2">
        <w:t>assets an Electrical Safety Agreement (ESA) must be issued to the Contractor</w:t>
      </w:r>
      <w:r>
        <w:t>’s nominated competent person</w:t>
      </w:r>
      <w:r w:rsidRPr="00625DB2">
        <w:t xml:space="preserve"> by </w:t>
      </w:r>
      <w:r>
        <w:t>the Environment Agency.</w:t>
      </w:r>
      <w:r w:rsidRPr="00625DB2">
        <w:t xml:space="preserve"> If not alr</w:t>
      </w:r>
      <w:r>
        <w:t>ea</w:t>
      </w:r>
      <w:r w:rsidRPr="00625DB2">
        <w:t xml:space="preserve">dy in place, the Contractor will be expected to work with </w:t>
      </w:r>
      <w:r>
        <w:t xml:space="preserve">the Environment Agency </w:t>
      </w:r>
      <w:r w:rsidRPr="00625DB2">
        <w:t xml:space="preserve">to achieve a National ESA within the first </w:t>
      </w:r>
      <w:r>
        <w:t>three (3) months</w:t>
      </w:r>
      <w:r w:rsidRPr="00625DB2">
        <w:t xml:space="preserve"> of contract unless notified by </w:t>
      </w:r>
      <w:r>
        <w:t xml:space="preserve">the Environment Agency </w:t>
      </w:r>
      <w:r w:rsidRPr="00625DB2">
        <w:t>this is no longer required</w:t>
      </w:r>
      <w:r>
        <w:t>.</w:t>
      </w:r>
      <w:r w:rsidRPr="00625DB2">
        <w:t xml:space="preserve"> </w:t>
      </w:r>
      <w:r>
        <w:t>Acting i</w:t>
      </w:r>
      <w:r w:rsidRPr="00625DB2">
        <w:t xml:space="preserve">n this role </w:t>
      </w:r>
      <w:r>
        <w:t>the contractor’s competent person</w:t>
      </w:r>
      <w:r w:rsidRPr="00625DB2">
        <w:t xml:space="preserve"> </w:t>
      </w:r>
      <w:r>
        <w:t xml:space="preserve">shall </w:t>
      </w:r>
      <w:r w:rsidRPr="00625DB2">
        <w:t xml:space="preserve">assure and manage electrical </w:t>
      </w:r>
      <w:r>
        <w:t xml:space="preserve">safety </w:t>
      </w:r>
      <w:r w:rsidRPr="00625DB2">
        <w:t xml:space="preserve">on the </w:t>
      </w:r>
      <w:r>
        <w:t xml:space="preserve">locations and assets the contract is working on. </w:t>
      </w:r>
    </w:p>
    <w:p w14:paraId="6B1A25B6" w14:textId="77777777" w:rsidR="00470756" w:rsidRPr="002C275E" w:rsidRDefault="00470756" w:rsidP="007E4DBD">
      <w:pPr>
        <w:pStyle w:val="Heading2"/>
        <w:numPr>
          <w:ilvl w:val="0"/>
          <w:numId w:val="0"/>
        </w:numPr>
        <w:ind w:left="1160"/>
      </w:pPr>
    </w:p>
    <w:p w14:paraId="6525A2DD" w14:textId="77777777" w:rsidR="00470756" w:rsidRPr="002C275E" w:rsidRDefault="00470756" w:rsidP="007E4DBD">
      <w:pPr>
        <w:pStyle w:val="Heading2"/>
      </w:pPr>
      <w:r w:rsidRPr="002C275E">
        <w:t xml:space="preserve">The Contractor’s ESA will be reviewed every </w:t>
      </w:r>
      <w:r>
        <w:t>three (3) years.</w:t>
      </w:r>
      <w:r w:rsidRPr="002C275E">
        <w:t xml:space="preserve"> </w:t>
      </w:r>
    </w:p>
    <w:p w14:paraId="6FE5D9EA" w14:textId="77777777" w:rsidR="00470756" w:rsidRPr="002C275E" w:rsidRDefault="00470756" w:rsidP="007E4DBD">
      <w:pPr>
        <w:pStyle w:val="Heading2"/>
        <w:numPr>
          <w:ilvl w:val="0"/>
          <w:numId w:val="0"/>
        </w:numPr>
        <w:ind w:left="1160"/>
      </w:pPr>
    </w:p>
    <w:p w14:paraId="5FE5D9D8" w14:textId="26A719BB" w:rsidR="00470756" w:rsidRPr="002C275E" w:rsidRDefault="00470756" w:rsidP="007E4DBD">
      <w:pPr>
        <w:pStyle w:val="Heading2"/>
      </w:pPr>
      <w:bookmarkStart w:id="36" w:name="_Ref55209317"/>
      <w:r w:rsidRPr="002C275E">
        <w:t xml:space="preserve">The </w:t>
      </w:r>
      <w:r>
        <w:t xml:space="preserve">primary </w:t>
      </w:r>
      <w:r w:rsidRPr="002C275E">
        <w:t>purpose of the ESA is to confirm that the Contractor has:</w:t>
      </w:r>
      <w:bookmarkEnd w:id="36"/>
    </w:p>
    <w:p w14:paraId="0FE32CC8" w14:textId="77777777" w:rsidR="00470756" w:rsidRPr="002C275E" w:rsidRDefault="00470756" w:rsidP="007E4DBD">
      <w:pPr>
        <w:pStyle w:val="Heading2"/>
        <w:numPr>
          <w:ilvl w:val="0"/>
          <w:numId w:val="0"/>
        </w:numPr>
        <w:ind w:left="1160"/>
      </w:pPr>
    </w:p>
    <w:p w14:paraId="1939AB0F" w14:textId="2015B1F2" w:rsidR="00470756" w:rsidRDefault="00470756" w:rsidP="007E4DBD">
      <w:pPr>
        <w:pStyle w:val="ListParagraph"/>
        <w:numPr>
          <w:ilvl w:val="0"/>
          <w:numId w:val="47"/>
        </w:numPr>
      </w:pPr>
      <w:r w:rsidRPr="002C275E">
        <w:t xml:space="preserve">A </w:t>
      </w:r>
      <w:r>
        <w:t xml:space="preserve">competent person </w:t>
      </w:r>
      <w:r w:rsidRPr="002C275E">
        <w:t xml:space="preserve">specifically appointed to manage electrical safety for the Contractor and </w:t>
      </w:r>
      <w:r>
        <w:t>any</w:t>
      </w:r>
      <w:r w:rsidRPr="002C275E">
        <w:t xml:space="preserve"> </w:t>
      </w:r>
      <w:r>
        <w:t>Subcontractors</w:t>
      </w:r>
      <w:r w:rsidRPr="002C275E">
        <w:t xml:space="preserve"> working on</w:t>
      </w:r>
      <w:r>
        <w:t xml:space="preserve"> Environment Agency </w:t>
      </w:r>
      <w:r w:rsidRPr="002C275E">
        <w:t xml:space="preserve">assets. This person </w:t>
      </w:r>
      <w:r>
        <w:t>must</w:t>
      </w:r>
      <w:r w:rsidRPr="002C275E">
        <w:t xml:space="preserve"> be deemed to be competent to accept an ESA by </w:t>
      </w:r>
      <w:r>
        <w:t>the Contractor’s senior management</w:t>
      </w:r>
      <w:r w:rsidRPr="002C275E">
        <w:t xml:space="preserve">.  </w:t>
      </w:r>
    </w:p>
    <w:p w14:paraId="13F14B5C" w14:textId="77777777" w:rsidR="00BB0300" w:rsidRDefault="00BB0300" w:rsidP="007E4DBD">
      <w:pPr>
        <w:pStyle w:val="ListParagraph"/>
      </w:pPr>
    </w:p>
    <w:p w14:paraId="54640CFB" w14:textId="05EDEEDD" w:rsidR="00470756" w:rsidRPr="002C275E" w:rsidRDefault="00470756" w:rsidP="007E4DBD">
      <w:pPr>
        <w:pStyle w:val="ListParagraph"/>
        <w:numPr>
          <w:ilvl w:val="0"/>
          <w:numId w:val="47"/>
        </w:numPr>
      </w:pPr>
      <w:r w:rsidRPr="002C275E">
        <w:t xml:space="preserve">A set of Contactor electrical safety rules </w:t>
      </w:r>
      <w:r>
        <w:t xml:space="preserve">or Code of Practice </w:t>
      </w:r>
      <w:r w:rsidRPr="002C275E">
        <w:t xml:space="preserve">equal or better than the </w:t>
      </w:r>
      <w:r>
        <w:t>Environment Agency’</w:t>
      </w:r>
      <w:r w:rsidRPr="002C275E">
        <w:t xml:space="preserve">s Code of Practice for Electrical Safety (CoPES). </w:t>
      </w:r>
    </w:p>
    <w:p w14:paraId="1D52CB4F" w14:textId="77777777" w:rsidR="00470756" w:rsidRPr="002C275E" w:rsidRDefault="00470756" w:rsidP="007E4DBD">
      <w:pPr>
        <w:pStyle w:val="Heading2"/>
        <w:numPr>
          <w:ilvl w:val="0"/>
          <w:numId w:val="0"/>
        </w:numPr>
        <w:ind w:left="1160"/>
      </w:pPr>
    </w:p>
    <w:p w14:paraId="0C4E4C2D" w14:textId="77777777" w:rsidR="00470756" w:rsidRPr="00CA0363" w:rsidRDefault="00470756" w:rsidP="007E4DBD">
      <w:pPr>
        <w:pStyle w:val="Heading2"/>
      </w:pPr>
      <w:bookmarkStart w:id="37" w:name="_Ref52973273"/>
      <w:r w:rsidRPr="008F0452">
        <w:t xml:space="preserve">To be </w:t>
      </w:r>
      <w:r>
        <w:t xml:space="preserve">able to be </w:t>
      </w:r>
      <w:r w:rsidRPr="008F0452">
        <w:t xml:space="preserve">issued with an ESA the Contractor </w:t>
      </w:r>
      <w:r>
        <w:t xml:space="preserve">must </w:t>
      </w:r>
      <w:r w:rsidRPr="008F0452">
        <w:t>complete and confirm compliance with all the requirements detailed in the</w:t>
      </w:r>
      <w:r>
        <w:t>:</w:t>
      </w:r>
      <w:bookmarkEnd w:id="37"/>
      <w:r w:rsidRPr="008F0452">
        <w:t xml:space="preserve"> </w:t>
      </w:r>
    </w:p>
    <w:p w14:paraId="32CD0FD9" w14:textId="77777777" w:rsidR="00470756" w:rsidRDefault="00470756" w:rsidP="00470756">
      <w:pPr>
        <w:pStyle w:val="TENDERLEVEL2"/>
        <w:numPr>
          <w:ilvl w:val="0"/>
          <w:numId w:val="0"/>
        </w:numPr>
        <w:ind w:left="567"/>
      </w:pPr>
      <w:bookmarkStart w:id="38" w:name="_Ref52812602"/>
      <w:bookmarkStart w:id="39" w:name="_Toc52813006"/>
    </w:p>
    <w:bookmarkStart w:id="40" w:name="_Ref55403946"/>
    <w:bookmarkStart w:id="41" w:name="_Ref55308662"/>
    <w:bookmarkStart w:id="42" w:name="_Toc56101501"/>
    <w:p w14:paraId="23489540" w14:textId="51606F91" w:rsidR="005435DA" w:rsidRDefault="007A572C" w:rsidP="007E4DBD">
      <w:pPr>
        <w:pStyle w:val="Caption"/>
        <w:ind w:left="1440" w:firstLine="720"/>
        <w:rPr>
          <w:iCs w:val="0"/>
          <w:szCs w:val="24"/>
        </w:rPr>
      </w:pPr>
      <w:r w:rsidRPr="00125BD6">
        <w:rPr>
          <w:iCs w:val="0"/>
          <w:szCs w:val="24"/>
        </w:rPr>
        <w:fldChar w:fldCharType="begin"/>
      </w:r>
      <w:r w:rsidRPr="00125BD6">
        <w:rPr>
          <w:szCs w:val="24"/>
        </w:rPr>
        <w:instrText xml:space="preserve"> REF _Ref126253859 \h  \* MERGEFORMAT </w:instrText>
      </w:r>
      <w:r w:rsidRPr="00125BD6">
        <w:rPr>
          <w:iCs w:val="0"/>
          <w:szCs w:val="24"/>
        </w:rPr>
      </w:r>
      <w:r w:rsidRPr="00125BD6">
        <w:rPr>
          <w:iCs w:val="0"/>
          <w:szCs w:val="24"/>
        </w:rPr>
        <w:fldChar w:fldCharType="separate"/>
      </w:r>
      <w:r w:rsidR="003F221C" w:rsidRPr="00FE4AED">
        <w:rPr>
          <w:i w:val="0"/>
          <w:iCs w:val="0"/>
        </w:rPr>
        <w:t xml:space="preserve">Appendix </w:t>
      </w:r>
      <w:r w:rsidR="003F221C">
        <w:rPr>
          <w:i w:val="0"/>
          <w:iCs w:val="0"/>
          <w:noProof/>
        </w:rPr>
        <w:t>16</w:t>
      </w:r>
      <w:r w:rsidR="003F221C" w:rsidRPr="00FE4AED">
        <w:rPr>
          <w:i w:val="0"/>
          <w:iCs w:val="0"/>
        </w:rPr>
        <w:t xml:space="preserve"> </w:t>
      </w:r>
      <w:r w:rsidR="003F221C">
        <w:rPr>
          <w:i w:val="0"/>
          <w:iCs w:val="0"/>
        </w:rPr>
        <w:tab/>
      </w:r>
      <w:r w:rsidR="003F221C" w:rsidRPr="00FE4AED">
        <w:rPr>
          <w:i w:val="0"/>
          <w:iCs w:val="0"/>
        </w:rPr>
        <w:t>EA Standard Contract questionnaire</w:t>
      </w:r>
      <w:r w:rsidRPr="00125BD6">
        <w:rPr>
          <w:iCs w:val="0"/>
          <w:szCs w:val="24"/>
        </w:rPr>
        <w:fldChar w:fldCharType="end"/>
      </w:r>
      <w:bookmarkEnd w:id="38"/>
      <w:bookmarkEnd w:id="39"/>
      <w:bookmarkEnd w:id="40"/>
      <w:bookmarkEnd w:id="41"/>
      <w:bookmarkEnd w:id="42"/>
    </w:p>
    <w:p w14:paraId="2CE35997" w14:textId="36A816FB" w:rsidR="00470756" w:rsidRDefault="00AC13DC" w:rsidP="00CA26BB">
      <w:pPr>
        <w:pStyle w:val="Caption"/>
        <w:ind w:left="1440" w:firstLine="720"/>
      </w:pPr>
      <w:r>
        <w:rPr>
          <w:iCs w:val="0"/>
          <w:szCs w:val="24"/>
        </w:rPr>
        <w:fldChar w:fldCharType="begin"/>
      </w:r>
      <w:r w:rsidRPr="00125BD6">
        <w:rPr>
          <w:szCs w:val="24"/>
        </w:rPr>
        <w:instrText xml:space="preserve"> REF _Ref126318458 \h </w:instrText>
      </w:r>
      <w:r w:rsidR="00125BD6" w:rsidRPr="00125BD6">
        <w:rPr>
          <w:i w:val="0"/>
          <w:szCs w:val="24"/>
        </w:rPr>
        <w:instrText xml:space="preserve"> \* MERGEFORMAT </w:instrText>
      </w:r>
      <w:r>
        <w:rPr>
          <w:iCs w:val="0"/>
          <w:szCs w:val="24"/>
        </w:rPr>
      </w:r>
      <w:r>
        <w:rPr>
          <w:iCs w:val="0"/>
          <w:szCs w:val="24"/>
        </w:rPr>
        <w:fldChar w:fldCharType="separate"/>
      </w:r>
      <w:r w:rsidR="003F221C" w:rsidRPr="003F221C">
        <w:rPr>
          <w:i w:val="0"/>
          <w:iCs w:val="0"/>
          <w:szCs w:val="24"/>
        </w:rPr>
        <w:t xml:space="preserve">Appendix </w:t>
      </w:r>
      <w:r w:rsidR="003F221C" w:rsidRPr="003F221C">
        <w:rPr>
          <w:i w:val="0"/>
          <w:iCs w:val="0"/>
          <w:noProof/>
          <w:szCs w:val="24"/>
        </w:rPr>
        <w:t>18</w:t>
      </w:r>
      <w:r w:rsidR="003F221C" w:rsidRPr="003F221C">
        <w:rPr>
          <w:i w:val="0"/>
          <w:iCs w:val="0"/>
          <w:szCs w:val="24"/>
        </w:rPr>
        <w:t xml:space="preserve"> </w:t>
      </w:r>
      <w:r w:rsidR="003F221C" w:rsidRPr="003F221C">
        <w:rPr>
          <w:i w:val="0"/>
          <w:iCs w:val="0"/>
          <w:szCs w:val="24"/>
        </w:rPr>
        <w:tab/>
        <w:t>Electrical Safety Agreement Questionnaire</w:t>
      </w:r>
      <w:r>
        <w:rPr>
          <w:iCs w:val="0"/>
          <w:szCs w:val="24"/>
        </w:rPr>
        <w:fldChar w:fldCharType="end"/>
      </w:r>
    </w:p>
    <w:p w14:paraId="28F0CE33" w14:textId="77777777" w:rsidR="00470756" w:rsidRPr="002C275E" w:rsidRDefault="00470756" w:rsidP="00AB7302">
      <w:pPr>
        <w:pStyle w:val="Heading2"/>
      </w:pPr>
      <w:r>
        <w:t xml:space="preserve">The contractor must make particular reference to the conditions section of the CoPES part 2 and the requirements regarding competencies of their organisation and the organisation’s employees. </w:t>
      </w:r>
      <w:r w:rsidRPr="002C275E">
        <w:t xml:space="preserve">The completed questionnaire will be reviewed by the national Mechanical Electrical Instrumentation Control and Automation (MEICA) Senior Manager </w:t>
      </w:r>
      <w:r>
        <w:t>as part of their assessment in completing the ESA process.</w:t>
      </w:r>
      <w:r w:rsidRPr="002C275E">
        <w:t xml:space="preserve"> </w:t>
      </w:r>
      <w:r>
        <w:t>If the ESA is not obtained the Environment Agency will reserve the right to re-contract the Electrical Safety Management to other parties who can be approved.</w:t>
      </w:r>
    </w:p>
    <w:p w14:paraId="392333EC" w14:textId="77777777" w:rsidR="00470756" w:rsidRPr="002C275E" w:rsidRDefault="00470756" w:rsidP="00470756">
      <w:pPr>
        <w:pStyle w:val="ListParagraph"/>
        <w:spacing w:after="0" w:line="240" w:lineRule="auto"/>
        <w:ind w:left="567"/>
      </w:pPr>
    </w:p>
    <w:p w14:paraId="75F2EDB0" w14:textId="22219503" w:rsidR="00470756" w:rsidRDefault="00470756" w:rsidP="00AB7302">
      <w:pPr>
        <w:pStyle w:val="Heading2"/>
        <w:numPr>
          <w:ilvl w:val="0"/>
          <w:numId w:val="0"/>
        </w:numPr>
        <w:ind w:left="1854" w:hanging="11"/>
      </w:pPr>
      <w:r>
        <w:lastRenderedPageBreak/>
        <w:t xml:space="preserve">The Environment Agency </w:t>
      </w:r>
      <w:r w:rsidRPr="002C275E">
        <w:t xml:space="preserve">reserves the right to audit (at regular intervals) the training and competency levels of contractor’s staff and their </w:t>
      </w:r>
      <w:r>
        <w:t>Subcontractors</w:t>
      </w:r>
      <w:r w:rsidRPr="002C275E">
        <w:t xml:space="preserve"> working on its electrical systems or equipment. This </w:t>
      </w:r>
      <w:r>
        <w:t>will be</w:t>
      </w:r>
      <w:r w:rsidRPr="002C275E">
        <w:t xml:space="preserve"> conducted by </w:t>
      </w:r>
      <w:r>
        <w:t>the Environment Agency’s</w:t>
      </w:r>
      <w:r w:rsidRPr="002C275E">
        <w:t xml:space="preserve"> </w:t>
      </w:r>
      <w:r>
        <w:t>ESA issuer for e</w:t>
      </w:r>
      <w:r w:rsidRPr="002C275E">
        <w:t>nsuring legal compliance with all legislation that applies to asset management of all equipment</w:t>
      </w:r>
      <w:r>
        <w:t>.</w:t>
      </w:r>
      <w:r w:rsidR="007A572C">
        <w:t xml:space="preserve"> </w:t>
      </w:r>
      <w:r w:rsidRPr="008F0452">
        <w:t xml:space="preserve">Details of the </w:t>
      </w:r>
      <w:r>
        <w:t>Environment Agency’</w:t>
      </w:r>
      <w:r w:rsidRPr="008F0452">
        <w:t>s</w:t>
      </w:r>
      <w:r>
        <w:t xml:space="preserve"> latest</w:t>
      </w:r>
      <w:r w:rsidRPr="008F0452">
        <w:t xml:space="preserve"> Code of Practice and suppo</w:t>
      </w:r>
      <w:r>
        <w:t>rting documents can be found in:</w:t>
      </w:r>
    </w:p>
    <w:p w14:paraId="0395624A" w14:textId="77777777" w:rsidR="00470756" w:rsidRPr="00DD4B77" w:rsidRDefault="00470756" w:rsidP="00470756">
      <w:pPr>
        <w:pStyle w:val="TENDERLEVEL2"/>
        <w:numPr>
          <w:ilvl w:val="0"/>
          <w:numId w:val="0"/>
        </w:numPr>
        <w:ind w:left="567"/>
      </w:pPr>
    </w:p>
    <w:bookmarkStart w:id="43" w:name="_Ref51326338"/>
    <w:bookmarkStart w:id="44" w:name="_Toc52813007"/>
    <w:bookmarkStart w:id="45" w:name="_Ref55308699"/>
    <w:bookmarkStart w:id="46" w:name="_Ref55399799"/>
    <w:bookmarkStart w:id="47" w:name="_Ref55404002"/>
    <w:bookmarkStart w:id="48" w:name="_Toc56101502"/>
    <w:p w14:paraId="6D408942" w14:textId="0FC6F49F" w:rsidR="007A572C" w:rsidRPr="00125BD6" w:rsidRDefault="007A572C" w:rsidP="00470756">
      <w:pPr>
        <w:pStyle w:val="Caption"/>
        <w:ind w:left="1843"/>
        <w:rPr>
          <w:rFonts w:eastAsiaTheme="minorEastAsia" w:cstheme="minorHAnsi"/>
          <w:i w:val="0"/>
          <w:iCs w:val="0"/>
          <w:szCs w:val="24"/>
        </w:rPr>
      </w:pPr>
      <w:r w:rsidRPr="00125BD6">
        <w:rPr>
          <w:rFonts w:eastAsiaTheme="minorEastAsia" w:cstheme="minorHAnsi"/>
          <w:szCs w:val="24"/>
        </w:rPr>
        <w:fldChar w:fldCharType="begin"/>
      </w:r>
      <w:r w:rsidRPr="00125BD6">
        <w:rPr>
          <w:rFonts w:eastAsiaTheme="minorEastAsia" w:cstheme="minorHAnsi"/>
          <w:szCs w:val="24"/>
        </w:rPr>
        <w:instrText xml:space="preserve"> REF _Ref126253960 \h  \* MERGEFORMAT </w:instrText>
      </w:r>
      <w:r w:rsidRPr="00125BD6">
        <w:rPr>
          <w:rFonts w:eastAsiaTheme="minorEastAsia" w:cstheme="minorHAnsi"/>
          <w:szCs w:val="24"/>
        </w:rPr>
      </w:r>
      <w:r w:rsidRPr="00125BD6">
        <w:rPr>
          <w:rFonts w:eastAsiaTheme="minorEastAsia" w:cstheme="minorHAnsi"/>
          <w:szCs w:val="24"/>
        </w:rPr>
        <w:fldChar w:fldCharType="separate"/>
      </w:r>
      <w:r w:rsidR="003F221C" w:rsidRPr="003F221C">
        <w:rPr>
          <w:rFonts w:eastAsiaTheme="minorEastAsia" w:cstheme="minorHAnsi"/>
          <w:szCs w:val="24"/>
        </w:rPr>
        <w:t xml:space="preserve">Appendix </w:t>
      </w:r>
      <w:r w:rsidR="003F221C" w:rsidRPr="003F221C">
        <w:rPr>
          <w:rFonts w:eastAsiaTheme="minorEastAsia" w:cstheme="minorHAnsi"/>
          <w:i w:val="0"/>
          <w:iCs w:val="0"/>
          <w:noProof/>
          <w:szCs w:val="24"/>
        </w:rPr>
        <w:t>7</w:t>
      </w:r>
      <w:r w:rsidR="003F221C" w:rsidRPr="003F221C">
        <w:rPr>
          <w:rFonts w:eastAsiaTheme="minorEastAsia" w:cstheme="minorHAnsi"/>
          <w:szCs w:val="24"/>
        </w:rPr>
        <w:tab/>
        <w:t xml:space="preserve"> Code of Practice for electrical Safety - part 2</w:t>
      </w:r>
      <w:r w:rsidRPr="00125BD6">
        <w:rPr>
          <w:rFonts w:eastAsiaTheme="minorEastAsia" w:cstheme="minorHAnsi"/>
          <w:szCs w:val="24"/>
        </w:rPr>
        <w:fldChar w:fldCharType="end"/>
      </w:r>
      <w:bookmarkEnd w:id="43"/>
      <w:bookmarkEnd w:id="44"/>
      <w:bookmarkEnd w:id="45"/>
      <w:bookmarkEnd w:id="46"/>
      <w:bookmarkEnd w:id="47"/>
      <w:bookmarkEnd w:id="48"/>
    </w:p>
    <w:p w14:paraId="26477B02" w14:textId="35953BBA" w:rsidR="122395B5" w:rsidRDefault="122395B5" w:rsidP="1EB9ACC1">
      <w:pPr>
        <w:pStyle w:val="Heading1"/>
      </w:pPr>
      <w:bookmarkStart w:id="49" w:name="_Toc153342473"/>
      <w:r>
        <w:t>Warranty terms/Quality assurance</w:t>
      </w:r>
      <w:bookmarkEnd w:id="49"/>
      <w:r>
        <w:t xml:space="preserve"> </w:t>
      </w:r>
    </w:p>
    <w:p w14:paraId="639CDA3D" w14:textId="0D7CDD1E" w:rsidR="005C5A1A" w:rsidRPr="00820CDC" w:rsidRDefault="00B80C68" w:rsidP="0054282D">
      <w:pPr>
        <w:pStyle w:val="Heading2"/>
        <w:rPr>
          <w:rFonts w:eastAsia="Calibri" w:cstheme="majorHAnsi"/>
          <w:sz w:val="22"/>
          <w:szCs w:val="22"/>
        </w:rPr>
      </w:pPr>
      <w:r w:rsidRPr="00820CDC">
        <w:rPr>
          <w:rFonts w:cstheme="majorHAnsi"/>
          <w:sz w:val="22"/>
          <w:szCs w:val="22"/>
        </w:rPr>
        <w:t xml:space="preserve">MEICA design requirements outlined in </w:t>
      </w:r>
      <w:r w:rsidR="004468E2" w:rsidRPr="00820CDC">
        <w:rPr>
          <w:rFonts w:cstheme="majorHAnsi"/>
          <w:sz w:val="22"/>
          <w:szCs w:val="22"/>
        </w:rPr>
        <w:fldChar w:fldCharType="begin"/>
      </w:r>
      <w:r w:rsidR="004468E2" w:rsidRPr="00820CDC">
        <w:rPr>
          <w:rFonts w:cstheme="majorHAnsi"/>
          <w:sz w:val="22"/>
          <w:szCs w:val="22"/>
        </w:rPr>
        <w:instrText xml:space="preserve"> REF _Ref122008660 \h </w:instrText>
      </w:r>
      <w:r w:rsidR="00820CDC" w:rsidRPr="00820CDC">
        <w:rPr>
          <w:rFonts w:cstheme="majorHAnsi"/>
          <w:sz w:val="22"/>
          <w:szCs w:val="22"/>
        </w:rPr>
        <w:instrText xml:space="preserve"> \* MERGEFORMAT </w:instrText>
      </w:r>
      <w:r w:rsidR="004468E2" w:rsidRPr="00820CDC">
        <w:rPr>
          <w:rFonts w:cstheme="majorHAnsi"/>
          <w:sz w:val="22"/>
          <w:szCs w:val="22"/>
        </w:rPr>
      </w:r>
      <w:r w:rsidR="004468E2" w:rsidRPr="00820CDC">
        <w:rPr>
          <w:rFonts w:cstheme="majorHAnsi"/>
          <w:sz w:val="22"/>
          <w:szCs w:val="22"/>
        </w:rPr>
        <w:fldChar w:fldCharType="separate"/>
      </w:r>
      <w:r w:rsidR="003F221C" w:rsidRPr="003F221C">
        <w:rPr>
          <w:rFonts w:cstheme="majorHAnsi"/>
          <w:sz w:val="22"/>
          <w:szCs w:val="22"/>
        </w:rPr>
        <w:t xml:space="preserve">Appendix </w:t>
      </w:r>
      <w:r w:rsidR="003F221C" w:rsidRPr="003F221C">
        <w:rPr>
          <w:rFonts w:cstheme="majorHAnsi"/>
          <w:i/>
          <w:iCs/>
          <w:noProof/>
          <w:sz w:val="22"/>
          <w:szCs w:val="22"/>
        </w:rPr>
        <w:t>2</w:t>
      </w:r>
      <w:r w:rsidR="004468E2" w:rsidRPr="00820CDC">
        <w:rPr>
          <w:rFonts w:cstheme="majorHAnsi"/>
          <w:sz w:val="22"/>
          <w:szCs w:val="22"/>
        </w:rPr>
        <w:fldChar w:fldCharType="end"/>
      </w:r>
      <w:r w:rsidRPr="00820CDC">
        <w:rPr>
          <w:rFonts w:cstheme="majorHAnsi"/>
          <w:sz w:val="22"/>
          <w:szCs w:val="22"/>
        </w:rPr>
        <w:t xml:space="preserve"> require a design life for housings of 20 years. </w:t>
      </w:r>
      <w:r w:rsidR="00730AF6" w:rsidRPr="00820CDC">
        <w:rPr>
          <w:rFonts w:cstheme="majorHAnsi"/>
          <w:sz w:val="22"/>
          <w:szCs w:val="22"/>
        </w:rPr>
        <w:t>Additionally, a</w:t>
      </w:r>
      <w:r w:rsidR="005C5A1A" w:rsidRPr="00820CDC">
        <w:rPr>
          <w:rFonts w:eastAsia="Calibri" w:cstheme="majorHAnsi"/>
          <w:sz w:val="22"/>
          <w:szCs w:val="22"/>
        </w:rPr>
        <w:t xml:space="preserve">ll </w:t>
      </w:r>
      <w:r w:rsidR="00374DCC" w:rsidRPr="00820CDC">
        <w:rPr>
          <w:rFonts w:eastAsia="Calibri" w:cstheme="majorHAnsi"/>
          <w:sz w:val="22"/>
          <w:szCs w:val="22"/>
        </w:rPr>
        <w:t>housings</w:t>
      </w:r>
      <w:r w:rsidR="005C5A1A" w:rsidRPr="00820CDC">
        <w:rPr>
          <w:rFonts w:eastAsia="Calibri" w:cstheme="majorHAnsi"/>
          <w:sz w:val="22"/>
          <w:szCs w:val="22"/>
        </w:rPr>
        <w:t xml:space="preserve"> shall come with a minimum of </w:t>
      </w:r>
      <w:r w:rsidR="005435DA" w:rsidRPr="00820CDC">
        <w:rPr>
          <w:rFonts w:eastAsia="Calibri" w:cstheme="majorHAnsi"/>
          <w:sz w:val="22"/>
          <w:szCs w:val="22"/>
        </w:rPr>
        <w:t>5-year</w:t>
      </w:r>
      <w:r w:rsidR="005C5A1A" w:rsidRPr="00820CDC">
        <w:rPr>
          <w:rFonts w:eastAsia="Calibri" w:cstheme="majorHAnsi"/>
          <w:sz w:val="22"/>
          <w:szCs w:val="22"/>
        </w:rPr>
        <w:t xml:space="preserve"> structural warranty, for the external walls, roofs, and floors, and the structural, load bearing elements of the enclosure </w:t>
      </w:r>
    </w:p>
    <w:p w14:paraId="67131777" w14:textId="77777777" w:rsidR="007A572C" w:rsidRPr="00A437E7" w:rsidRDefault="007A572C" w:rsidP="00AB7302"/>
    <w:p w14:paraId="136D52FE" w14:textId="436596D7" w:rsidR="005C5A1A" w:rsidRPr="00820CDC" w:rsidRDefault="005C5A1A" w:rsidP="0054282D">
      <w:pPr>
        <w:pStyle w:val="Heading2"/>
        <w:rPr>
          <w:rFonts w:cstheme="majorHAnsi"/>
          <w:sz w:val="22"/>
          <w:szCs w:val="22"/>
        </w:rPr>
      </w:pPr>
      <w:r w:rsidRPr="00820CDC">
        <w:rPr>
          <w:rFonts w:cstheme="majorHAnsi"/>
          <w:sz w:val="22"/>
          <w:szCs w:val="22"/>
        </w:rPr>
        <w:t xml:space="preserve">All </w:t>
      </w:r>
      <w:r w:rsidR="00374DCC" w:rsidRPr="00820CDC">
        <w:rPr>
          <w:rFonts w:cstheme="majorHAnsi"/>
          <w:sz w:val="22"/>
          <w:szCs w:val="22"/>
        </w:rPr>
        <w:t>housings</w:t>
      </w:r>
      <w:r w:rsidRPr="00820CDC">
        <w:rPr>
          <w:rFonts w:cstheme="majorHAnsi"/>
          <w:sz w:val="22"/>
          <w:szCs w:val="22"/>
        </w:rPr>
        <w:t xml:space="preserve"> will come with a </w:t>
      </w:r>
      <w:r w:rsidR="005435DA" w:rsidRPr="00820CDC">
        <w:rPr>
          <w:rFonts w:cstheme="majorHAnsi"/>
          <w:sz w:val="22"/>
          <w:szCs w:val="22"/>
        </w:rPr>
        <w:t>5-year</w:t>
      </w:r>
      <w:r w:rsidRPr="00820CDC">
        <w:rPr>
          <w:rFonts w:cstheme="majorHAnsi"/>
          <w:sz w:val="22"/>
          <w:szCs w:val="22"/>
        </w:rPr>
        <w:t xml:space="preserve"> product fittings warranty (excluding structural load bearing components covered in the structural warranty) and include the following guarantees:</w:t>
      </w:r>
    </w:p>
    <w:p w14:paraId="6415A546" w14:textId="77777777" w:rsidR="005C5A1A" w:rsidRPr="00820CDC" w:rsidRDefault="005C5A1A" w:rsidP="005C5A1A">
      <w:pPr>
        <w:keepNext/>
        <w:numPr>
          <w:ilvl w:val="0"/>
          <w:numId w:val="29"/>
        </w:numPr>
        <w:spacing w:before="240" w:after="120" w:line="276" w:lineRule="auto"/>
        <w:contextualSpacing/>
        <w:jc w:val="both"/>
        <w:rPr>
          <w:rFonts w:asciiTheme="majorHAnsi" w:eastAsia="Calibri" w:hAnsiTheme="majorHAnsi" w:cstheme="majorHAnsi"/>
          <w:lang w:val="x-none"/>
        </w:rPr>
      </w:pPr>
      <w:r w:rsidRPr="00820CDC">
        <w:rPr>
          <w:rFonts w:asciiTheme="majorHAnsi" w:eastAsia="Calibri" w:hAnsiTheme="majorHAnsi" w:cstheme="majorHAnsi"/>
        </w:rPr>
        <w:t>Waterproofing elements to prevent ingress of rain water</w:t>
      </w:r>
    </w:p>
    <w:p w14:paraId="2D7267D1" w14:textId="77777777" w:rsidR="005C5A1A" w:rsidRPr="00820CDC" w:rsidRDefault="005C5A1A" w:rsidP="005C5A1A">
      <w:pPr>
        <w:keepNext/>
        <w:numPr>
          <w:ilvl w:val="0"/>
          <w:numId w:val="29"/>
        </w:numPr>
        <w:spacing w:before="240" w:after="120" w:line="276" w:lineRule="auto"/>
        <w:contextualSpacing/>
        <w:jc w:val="both"/>
        <w:rPr>
          <w:rFonts w:asciiTheme="majorHAnsi" w:eastAsia="Calibri" w:hAnsiTheme="majorHAnsi" w:cstheme="majorHAnsi"/>
          <w:lang w:val="x-none"/>
        </w:rPr>
      </w:pPr>
      <w:r w:rsidRPr="00820CDC">
        <w:rPr>
          <w:rFonts w:asciiTheme="majorHAnsi" w:eastAsia="Calibri" w:hAnsiTheme="majorHAnsi" w:cstheme="majorHAnsi"/>
        </w:rPr>
        <w:t>Doors, flooring surfaces and internal non load bearing components.</w:t>
      </w:r>
    </w:p>
    <w:p w14:paraId="4AAF9F34" w14:textId="77777777" w:rsidR="007A572C" w:rsidRPr="00AB7302" w:rsidRDefault="005C5A1A" w:rsidP="005C5A1A">
      <w:pPr>
        <w:keepNext/>
        <w:numPr>
          <w:ilvl w:val="0"/>
          <w:numId w:val="29"/>
        </w:numPr>
        <w:spacing w:before="240" w:after="120" w:line="276" w:lineRule="auto"/>
        <w:contextualSpacing/>
        <w:jc w:val="both"/>
        <w:rPr>
          <w:rFonts w:asciiTheme="majorHAnsi" w:eastAsia="Calibri" w:hAnsiTheme="majorHAnsi" w:cstheme="majorHAnsi"/>
          <w:lang w:val="x-none"/>
        </w:rPr>
      </w:pPr>
      <w:r w:rsidRPr="00820CDC">
        <w:rPr>
          <w:rFonts w:asciiTheme="majorHAnsi" w:eastAsia="Calibri" w:hAnsiTheme="majorHAnsi" w:cstheme="majorHAnsi"/>
        </w:rPr>
        <w:t>Electrical circuit</w:t>
      </w:r>
    </w:p>
    <w:p w14:paraId="19057A4B" w14:textId="33937F03" w:rsidR="005C5A1A" w:rsidRPr="00820CDC" w:rsidRDefault="005C5A1A" w:rsidP="005C5A1A">
      <w:pPr>
        <w:keepNext/>
        <w:numPr>
          <w:ilvl w:val="0"/>
          <w:numId w:val="29"/>
        </w:numPr>
        <w:spacing w:before="240" w:after="120" w:line="276" w:lineRule="auto"/>
        <w:contextualSpacing/>
        <w:jc w:val="both"/>
        <w:rPr>
          <w:rFonts w:asciiTheme="majorHAnsi" w:eastAsia="Calibri" w:hAnsiTheme="majorHAnsi" w:cstheme="majorHAnsi"/>
          <w:lang w:val="x-none"/>
        </w:rPr>
      </w:pPr>
      <w:r w:rsidRPr="00820CDC">
        <w:rPr>
          <w:rFonts w:asciiTheme="majorHAnsi" w:eastAsia="Calibri" w:hAnsiTheme="majorHAnsi" w:cstheme="majorHAnsi"/>
        </w:rPr>
        <w:t xml:space="preserve">wiring, consumer units etc </w:t>
      </w:r>
    </w:p>
    <w:p w14:paraId="3B3D7250" w14:textId="635CC011" w:rsidR="005C5A1A" w:rsidRPr="00820CDC" w:rsidRDefault="005C5A1A" w:rsidP="0054282D">
      <w:pPr>
        <w:keepNext/>
        <w:numPr>
          <w:ilvl w:val="0"/>
          <w:numId w:val="29"/>
        </w:numPr>
        <w:spacing w:before="240" w:after="120" w:line="276" w:lineRule="auto"/>
        <w:contextualSpacing/>
        <w:jc w:val="both"/>
        <w:rPr>
          <w:rFonts w:asciiTheme="majorHAnsi" w:eastAsia="Calibri" w:hAnsiTheme="majorHAnsi" w:cstheme="majorHAnsi"/>
          <w:lang w:val="x-none"/>
        </w:rPr>
      </w:pPr>
      <w:r w:rsidRPr="00820CDC">
        <w:rPr>
          <w:rFonts w:asciiTheme="majorHAnsi" w:eastAsia="Calibri" w:hAnsiTheme="majorHAnsi" w:cstheme="majorHAnsi"/>
        </w:rPr>
        <w:t>Anti-vandal cages and hinges</w:t>
      </w:r>
    </w:p>
    <w:p w14:paraId="6B1FA04E" w14:textId="01A7F0CB" w:rsidR="005C5A1A" w:rsidRPr="00820CDC" w:rsidRDefault="005C5A1A" w:rsidP="0054282D">
      <w:pPr>
        <w:pStyle w:val="Heading2"/>
        <w:rPr>
          <w:rFonts w:cstheme="majorHAnsi"/>
          <w:sz w:val="22"/>
          <w:szCs w:val="22"/>
        </w:rPr>
      </w:pPr>
      <w:r w:rsidRPr="00820CDC">
        <w:rPr>
          <w:rFonts w:cstheme="majorHAnsi"/>
          <w:sz w:val="22"/>
          <w:szCs w:val="22"/>
        </w:rPr>
        <w:t xml:space="preserve">The air conditioning units supplied with the housings will be required to have a minimum of </w:t>
      </w:r>
      <w:r w:rsidR="005435DA" w:rsidRPr="00820CDC">
        <w:rPr>
          <w:rFonts w:cstheme="majorHAnsi"/>
          <w:sz w:val="22"/>
          <w:szCs w:val="22"/>
        </w:rPr>
        <w:t>2-year</w:t>
      </w:r>
      <w:r w:rsidRPr="00820CDC">
        <w:rPr>
          <w:rFonts w:cstheme="majorHAnsi"/>
          <w:sz w:val="22"/>
          <w:szCs w:val="22"/>
        </w:rPr>
        <w:t xml:space="preserve"> warranty</w:t>
      </w:r>
      <w:r w:rsidR="000B7C08" w:rsidRPr="00820CDC">
        <w:rPr>
          <w:rFonts w:cstheme="majorHAnsi"/>
          <w:sz w:val="22"/>
          <w:szCs w:val="22"/>
        </w:rPr>
        <w:t xml:space="preserve"> from the point of purchase</w:t>
      </w:r>
      <w:r w:rsidRPr="00820CDC">
        <w:rPr>
          <w:rFonts w:cstheme="majorHAnsi"/>
          <w:sz w:val="22"/>
          <w:szCs w:val="22"/>
        </w:rPr>
        <w:t>.</w:t>
      </w:r>
      <w:r w:rsidRPr="00A437E7">
        <w:rPr>
          <w:rFonts w:cstheme="majorHAnsi"/>
          <w:sz w:val="22"/>
          <w:szCs w:val="22"/>
        </w:rPr>
        <w:t xml:space="preserve"> </w:t>
      </w:r>
      <w:r w:rsidRPr="00820CDC">
        <w:rPr>
          <w:rFonts w:cstheme="majorHAnsi"/>
          <w:sz w:val="22"/>
          <w:szCs w:val="22"/>
        </w:rPr>
        <w:t>The warranty provided</w:t>
      </w:r>
      <w:r w:rsidR="00A9557C" w:rsidRPr="00820CDC">
        <w:rPr>
          <w:rFonts w:cstheme="majorHAnsi"/>
          <w:sz w:val="22"/>
          <w:szCs w:val="22"/>
        </w:rPr>
        <w:t xml:space="preserve"> for all the above</w:t>
      </w:r>
      <w:r w:rsidRPr="00820CDC">
        <w:rPr>
          <w:rFonts w:cstheme="majorHAnsi"/>
          <w:sz w:val="22"/>
          <w:szCs w:val="22"/>
        </w:rPr>
        <w:t xml:space="preserve"> shall include repair works costs completed, replacement parts, replacement and repair of Authority owned equipment damaged by a product failure, and staff costs </w:t>
      </w:r>
      <w:r w:rsidR="00A336AE" w:rsidRPr="00820CDC">
        <w:rPr>
          <w:rFonts w:cstheme="majorHAnsi"/>
          <w:sz w:val="22"/>
          <w:szCs w:val="22"/>
        </w:rPr>
        <w:t xml:space="preserve">for the time </w:t>
      </w:r>
      <w:r w:rsidR="003D047C" w:rsidRPr="00820CDC">
        <w:rPr>
          <w:rFonts w:cstheme="majorHAnsi"/>
          <w:sz w:val="22"/>
          <w:szCs w:val="22"/>
        </w:rPr>
        <w:t>taken to</w:t>
      </w:r>
      <w:r w:rsidR="00731486" w:rsidRPr="00820CDC">
        <w:rPr>
          <w:rFonts w:cstheme="majorHAnsi"/>
          <w:sz w:val="22"/>
          <w:szCs w:val="22"/>
        </w:rPr>
        <w:t xml:space="preserve"> </w:t>
      </w:r>
      <w:r w:rsidRPr="00820CDC">
        <w:rPr>
          <w:rFonts w:cstheme="majorHAnsi"/>
          <w:sz w:val="22"/>
          <w:szCs w:val="22"/>
        </w:rPr>
        <w:t xml:space="preserve">rectify faults. Warranty works </w:t>
      </w:r>
      <w:r w:rsidR="00A336AE" w:rsidRPr="00820CDC">
        <w:rPr>
          <w:rFonts w:cstheme="majorHAnsi"/>
          <w:sz w:val="22"/>
          <w:szCs w:val="22"/>
        </w:rPr>
        <w:t xml:space="preserve">to rectify faults identified during the warranty period </w:t>
      </w:r>
      <w:r w:rsidRPr="00820CDC">
        <w:rPr>
          <w:rFonts w:cstheme="majorHAnsi"/>
          <w:sz w:val="22"/>
          <w:szCs w:val="22"/>
        </w:rPr>
        <w:t>are to be completed at no cost to ‘The Authority’</w:t>
      </w:r>
      <w:r w:rsidR="00731486" w:rsidRPr="00820CDC">
        <w:rPr>
          <w:rFonts w:cstheme="majorHAnsi"/>
          <w:sz w:val="22"/>
          <w:szCs w:val="22"/>
        </w:rPr>
        <w:t xml:space="preserve">, and within 40 days </w:t>
      </w:r>
      <w:r w:rsidR="009001A6" w:rsidRPr="00820CDC">
        <w:rPr>
          <w:rFonts w:cstheme="majorHAnsi"/>
          <w:sz w:val="22"/>
          <w:szCs w:val="22"/>
        </w:rPr>
        <w:t>of the date the defect was noted</w:t>
      </w:r>
      <w:r w:rsidRPr="00820CDC">
        <w:rPr>
          <w:rFonts w:cstheme="majorHAnsi"/>
          <w:sz w:val="22"/>
          <w:szCs w:val="22"/>
        </w:rPr>
        <w:t>.</w:t>
      </w:r>
    </w:p>
    <w:p w14:paraId="4F9D9D33" w14:textId="77777777" w:rsidR="007A572C" w:rsidRPr="002D5767" w:rsidRDefault="007A572C" w:rsidP="00A437E7"/>
    <w:p w14:paraId="23951245" w14:textId="265813EB" w:rsidR="00E805C8" w:rsidRPr="00820CDC" w:rsidRDefault="00E805C8" w:rsidP="00E805C8">
      <w:pPr>
        <w:pStyle w:val="Heading2"/>
        <w:rPr>
          <w:rFonts w:cstheme="majorHAnsi"/>
          <w:sz w:val="22"/>
          <w:szCs w:val="22"/>
        </w:rPr>
      </w:pPr>
      <w:r w:rsidRPr="00820CDC">
        <w:rPr>
          <w:rStyle w:val="normaltextrun"/>
          <w:rFonts w:cstheme="majorHAnsi"/>
          <w:color w:val="000000"/>
          <w:sz w:val="22"/>
          <w:szCs w:val="22"/>
          <w:shd w:val="clear" w:color="auto" w:fill="FFFFFF"/>
        </w:rPr>
        <w:t xml:space="preserve">The </w:t>
      </w:r>
      <w:r w:rsidR="008028D5">
        <w:rPr>
          <w:rStyle w:val="normaltextrun"/>
          <w:rFonts w:cstheme="majorHAnsi"/>
          <w:color w:val="000000"/>
          <w:sz w:val="22"/>
          <w:szCs w:val="22"/>
          <w:shd w:val="clear" w:color="auto" w:fill="FFFFFF"/>
        </w:rPr>
        <w:t>supplier of the housings</w:t>
      </w:r>
      <w:r w:rsidRPr="00820CDC">
        <w:rPr>
          <w:rStyle w:val="normaltextrun"/>
          <w:rFonts w:cstheme="majorHAnsi"/>
          <w:color w:val="000000"/>
          <w:sz w:val="22"/>
          <w:szCs w:val="22"/>
          <w:shd w:val="clear" w:color="auto" w:fill="FFFFFF"/>
        </w:rPr>
        <w:t xml:space="preserve"> should be registered to a recognised quality system, such as </w:t>
      </w:r>
      <w:r w:rsidRPr="00820CDC">
        <w:rPr>
          <w:rStyle w:val="findhit"/>
          <w:rFonts w:cstheme="majorHAnsi"/>
          <w:color w:val="000000"/>
          <w:sz w:val="22"/>
          <w:szCs w:val="22"/>
          <w:shd w:val="clear" w:color="auto" w:fill="FFFFFF"/>
        </w:rPr>
        <w:t>ISO 9001</w:t>
      </w:r>
      <w:r w:rsidRPr="00820CDC">
        <w:rPr>
          <w:rStyle w:val="normaltextrun"/>
          <w:rFonts w:cstheme="majorHAnsi"/>
          <w:color w:val="000000"/>
          <w:sz w:val="22"/>
          <w:szCs w:val="22"/>
          <w:shd w:val="clear" w:color="auto" w:fill="FFFFFF"/>
        </w:rPr>
        <w:t xml:space="preserve">:2015, where the certification body is accredited by either UKAS or an equivalent body from outside the UK, to ISO/IEC 17021, with the expectation that any quality assurance issues with any manufacturing can be correctly addressed. If a supplier’s system is made up of several components produced by third party manufacturers, provision of their third-party manufacturers </w:t>
      </w:r>
      <w:r w:rsidRPr="00820CDC">
        <w:rPr>
          <w:rStyle w:val="findhit"/>
          <w:rFonts w:cstheme="majorHAnsi"/>
          <w:color w:val="000000"/>
          <w:sz w:val="22"/>
          <w:szCs w:val="22"/>
          <w:shd w:val="clear" w:color="auto" w:fill="FFFFFF"/>
        </w:rPr>
        <w:t>ISO 9001</w:t>
      </w:r>
      <w:r w:rsidRPr="00820CDC">
        <w:rPr>
          <w:rStyle w:val="normaltextrun"/>
          <w:rFonts w:cstheme="majorHAnsi"/>
          <w:color w:val="000000"/>
          <w:sz w:val="22"/>
          <w:szCs w:val="22"/>
          <w:shd w:val="clear" w:color="auto" w:fill="FFFFFF"/>
        </w:rPr>
        <w:t>:2015 accreditation or equivalent body certificate would be acceptable</w:t>
      </w:r>
      <w:r w:rsidR="007915B7">
        <w:rPr>
          <w:rStyle w:val="normaltextrun"/>
          <w:rFonts w:cstheme="majorHAnsi"/>
          <w:color w:val="000000"/>
          <w:sz w:val="22"/>
          <w:szCs w:val="22"/>
          <w:shd w:val="clear" w:color="auto" w:fill="FFFFFF"/>
        </w:rPr>
        <w:t xml:space="preserve"> (for example, the AC units)</w:t>
      </w:r>
      <w:r w:rsidRPr="00820CDC">
        <w:rPr>
          <w:rStyle w:val="normaltextrun"/>
          <w:rFonts w:cstheme="majorHAnsi"/>
          <w:color w:val="000000"/>
          <w:sz w:val="22"/>
          <w:szCs w:val="22"/>
          <w:shd w:val="clear" w:color="auto" w:fill="FFFFFF"/>
        </w:rPr>
        <w:t>. </w:t>
      </w:r>
      <w:r w:rsidRPr="00820CDC">
        <w:rPr>
          <w:rStyle w:val="eop"/>
          <w:rFonts w:cstheme="majorHAnsi"/>
          <w:color w:val="000000"/>
          <w:sz w:val="22"/>
          <w:szCs w:val="22"/>
          <w:shd w:val="clear" w:color="auto" w:fill="FFFFFF"/>
        </w:rPr>
        <w:t> </w:t>
      </w:r>
    </w:p>
    <w:p w14:paraId="0C860BA7" w14:textId="5FEFBF14" w:rsidR="452B5342" w:rsidRPr="00820CDC" w:rsidRDefault="452B5342">
      <w:pPr>
        <w:rPr>
          <w:rFonts w:asciiTheme="majorHAnsi" w:hAnsiTheme="majorHAnsi" w:cstheme="majorHAnsi"/>
        </w:rPr>
      </w:pPr>
      <w:r w:rsidRPr="00820CDC">
        <w:rPr>
          <w:rFonts w:asciiTheme="majorHAnsi" w:hAnsiTheme="majorHAnsi" w:cstheme="majorHAnsi"/>
        </w:rPr>
        <w:br w:type="page"/>
      </w:r>
    </w:p>
    <w:p w14:paraId="2DFBFD1C" w14:textId="3961B8B3" w:rsidR="452B5342" w:rsidRDefault="452B5342" w:rsidP="452B5342"/>
    <w:p w14:paraId="1D3025DC" w14:textId="70A37128" w:rsidR="122395B5" w:rsidRDefault="122395B5" w:rsidP="5D0D05B2">
      <w:pPr>
        <w:pStyle w:val="Heading1"/>
      </w:pPr>
      <w:bookmarkStart w:id="50" w:name="_Toc153342474"/>
      <w:r>
        <w:t xml:space="preserve">Construction Design and </w:t>
      </w:r>
      <w:r w:rsidR="004D5C8C">
        <w:t>Management</w:t>
      </w:r>
      <w:r w:rsidR="004D5C8C" w:rsidRPr="002D24D1">
        <w:t xml:space="preserve"> -</w:t>
      </w:r>
      <w:r w:rsidR="002D24D1">
        <w:t xml:space="preserve"> </w:t>
      </w:r>
      <w:r w:rsidR="002D24D1" w:rsidRPr="002D24D1">
        <w:t xml:space="preserve">Construction Design and Management Process for New </w:t>
      </w:r>
      <w:r w:rsidR="002249E1">
        <w:t>Housings</w:t>
      </w:r>
      <w:bookmarkEnd w:id="50"/>
    </w:p>
    <w:p w14:paraId="6E687088" w14:textId="400F6E16" w:rsidR="5D0D05B2" w:rsidRDefault="5D0D05B2" w:rsidP="008015E7">
      <w:pPr>
        <w:pStyle w:val="Heading2"/>
        <w:numPr>
          <w:ilvl w:val="0"/>
          <w:numId w:val="0"/>
        </w:numPr>
        <w:ind w:left="1160"/>
      </w:pPr>
    </w:p>
    <w:p w14:paraId="30A64BB9" w14:textId="3AACC0A3" w:rsidR="00CA0000" w:rsidRDefault="122395B5" w:rsidP="00CA0000">
      <w:pPr>
        <w:pStyle w:val="Heading2"/>
        <w:rPr>
          <w:rFonts w:cstheme="majorHAnsi"/>
          <w:sz w:val="22"/>
          <w:szCs w:val="22"/>
        </w:rPr>
      </w:pPr>
      <w:r w:rsidRPr="00DA3C5C">
        <w:rPr>
          <w:rFonts w:cstheme="majorHAnsi"/>
          <w:sz w:val="22"/>
          <w:szCs w:val="22"/>
        </w:rPr>
        <w:t>I</w:t>
      </w:r>
      <w:r w:rsidR="7E429422" w:rsidRPr="00DA3C5C">
        <w:rPr>
          <w:rFonts w:cstheme="majorHAnsi"/>
          <w:sz w:val="22"/>
          <w:szCs w:val="22"/>
        </w:rPr>
        <w:t xml:space="preserve">t is usual for a new cabin installation to </w:t>
      </w:r>
      <w:r w:rsidR="00D3274C" w:rsidRPr="00DA3C5C">
        <w:rPr>
          <w:rFonts w:cstheme="majorHAnsi"/>
          <w:sz w:val="22"/>
          <w:szCs w:val="22"/>
        </w:rPr>
        <w:t>be classified</w:t>
      </w:r>
      <w:r w:rsidR="7E429422" w:rsidRPr="00DA3C5C">
        <w:rPr>
          <w:rFonts w:cstheme="majorHAnsi"/>
          <w:sz w:val="22"/>
          <w:szCs w:val="22"/>
        </w:rPr>
        <w:t xml:space="preserve"> as ‘</w:t>
      </w:r>
      <w:r w:rsidRPr="00DA3C5C">
        <w:rPr>
          <w:rFonts w:cstheme="majorHAnsi"/>
          <w:sz w:val="22"/>
          <w:szCs w:val="22"/>
        </w:rPr>
        <w:t>construction</w:t>
      </w:r>
      <w:r w:rsidR="0A7909BD" w:rsidRPr="00DA3C5C">
        <w:rPr>
          <w:rFonts w:cstheme="majorHAnsi"/>
          <w:sz w:val="22"/>
          <w:szCs w:val="22"/>
        </w:rPr>
        <w:t>’ work and therefore the supplier and installer</w:t>
      </w:r>
      <w:r w:rsidRPr="00DA3C5C">
        <w:rPr>
          <w:rFonts w:cstheme="majorHAnsi"/>
          <w:sz w:val="22"/>
          <w:szCs w:val="22"/>
        </w:rPr>
        <w:t xml:space="preserve"> of an air quality cabin </w:t>
      </w:r>
      <w:r w:rsidR="543CDD20" w:rsidRPr="00DA3C5C">
        <w:rPr>
          <w:rFonts w:cstheme="majorHAnsi"/>
          <w:sz w:val="22"/>
          <w:szCs w:val="22"/>
        </w:rPr>
        <w:t xml:space="preserve">will be a </w:t>
      </w:r>
      <w:r w:rsidR="55743541" w:rsidRPr="00DA3C5C">
        <w:rPr>
          <w:rFonts w:cstheme="majorHAnsi"/>
          <w:sz w:val="22"/>
          <w:szCs w:val="22"/>
        </w:rPr>
        <w:t>‘</w:t>
      </w:r>
      <w:r w:rsidR="00CE7C14">
        <w:rPr>
          <w:rFonts w:cstheme="majorHAnsi"/>
          <w:sz w:val="22"/>
          <w:szCs w:val="22"/>
        </w:rPr>
        <w:t xml:space="preserve">CDM </w:t>
      </w:r>
      <w:r w:rsidRPr="00DA3C5C">
        <w:rPr>
          <w:rFonts w:cstheme="majorHAnsi"/>
          <w:sz w:val="22"/>
          <w:szCs w:val="22"/>
        </w:rPr>
        <w:t>Designer</w:t>
      </w:r>
      <w:r w:rsidR="3320B822" w:rsidRPr="00DA3C5C">
        <w:rPr>
          <w:rFonts w:cstheme="majorHAnsi"/>
          <w:sz w:val="22"/>
          <w:szCs w:val="22"/>
        </w:rPr>
        <w:t>’</w:t>
      </w:r>
      <w:r w:rsidRPr="00DA3C5C">
        <w:rPr>
          <w:rFonts w:cstheme="majorHAnsi"/>
          <w:sz w:val="22"/>
          <w:szCs w:val="22"/>
        </w:rPr>
        <w:t xml:space="preserve"> and a </w:t>
      </w:r>
      <w:r w:rsidR="7D017640" w:rsidRPr="00DA3C5C">
        <w:rPr>
          <w:rFonts w:cstheme="majorHAnsi"/>
          <w:sz w:val="22"/>
          <w:szCs w:val="22"/>
        </w:rPr>
        <w:t>‘</w:t>
      </w:r>
      <w:r w:rsidR="00CE7C14">
        <w:rPr>
          <w:rFonts w:cstheme="majorHAnsi"/>
          <w:sz w:val="22"/>
          <w:szCs w:val="22"/>
        </w:rPr>
        <w:t>CDM Contractor</w:t>
      </w:r>
      <w:r w:rsidR="74F78A8A" w:rsidRPr="00DA3C5C">
        <w:rPr>
          <w:rFonts w:cstheme="majorHAnsi"/>
          <w:sz w:val="22"/>
          <w:szCs w:val="22"/>
        </w:rPr>
        <w:t>’</w:t>
      </w:r>
      <w:r w:rsidRPr="00DA3C5C">
        <w:rPr>
          <w:rFonts w:cstheme="majorHAnsi"/>
          <w:sz w:val="22"/>
          <w:szCs w:val="22"/>
        </w:rPr>
        <w:t xml:space="preserve">, as per the terminology in the Construction Design and Management Regulations 2015.  </w:t>
      </w:r>
      <w:r w:rsidR="26B43579" w:rsidRPr="00DA3C5C">
        <w:rPr>
          <w:rFonts w:cstheme="majorHAnsi"/>
          <w:sz w:val="22"/>
          <w:szCs w:val="22"/>
        </w:rPr>
        <w:t xml:space="preserve">This may include any analyser systems </w:t>
      </w:r>
      <w:r w:rsidR="00B6179C" w:rsidRPr="00DA3C5C">
        <w:rPr>
          <w:rFonts w:cstheme="majorHAnsi"/>
          <w:sz w:val="22"/>
          <w:szCs w:val="22"/>
        </w:rPr>
        <w:t xml:space="preserve">and ancillaries </w:t>
      </w:r>
      <w:r w:rsidR="26B43579" w:rsidRPr="00DA3C5C">
        <w:rPr>
          <w:rFonts w:cstheme="majorHAnsi"/>
          <w:sz w:val="22"/>
          <w:szCs w:val="22"/>
        </w:rPr>
        <w:t xml:space="preserve">existing </w:t>
      </w:r>
      <w:r w:rsidR="00B6179C" w:rsidRPr="00DA3C5C">
        <w:rPr>
          <w:rFonts w:cstheme="majorHAnsi"/>
          <w:sz w:val="22"/>
          <w:szCs w:val="22"/>
        </w:rPr>
        <w:t>along with the</w:t>
      </w:r>
      <w:r w:rsidR="26B43579" w:rsidRPr="00DA3C5C">
        <w:rPr>
          <w:rFonts w:cstheme="majorHAnsi"/>
          <w:sz w:val="22"/>
          <w:szCs w:val="22"/>
        </w:rPr>
        <w:t xml:space="preserve"> new supplied with the housings to ensure the layout is as practical as possible for ongoing maintenance.</w:t>
      </w:r>
      <w:r w:rsidR="00077E38">
        <w:rPr>
          <w:rFonts w:cstheme="majorHAnsi"/>
          <w:sz w:val="22"/>
          <w:szCs w:val="22"/>
        </w:rPr>
        <w:t xml:space="preserve"> If alternative clients access this contract (for example Welsh Government, they </w:t>
      </w:r>
      <w:r w:rsidR="005435DA">
        <w:rPr>
          <w:rFonts w:cstheme="majorHAnsi"/>
          <w:sz w:val="22"/>
          <w:szCs w:val="22"/>
        </w:rPr>
        <w:t>will</w:t>
      </w:r>
      <w:r w:rsidR="00077E38">
        <w:rPr>
          <w:rFonts w:cstheme="majorHAnsi"/>
          <w:sz w:val="22"/>
          <w:szCs w:val="22"/>
        </w:rPr>
        <w:t xml:space="preserve"> need to state their own CDM needs to the </w:t>
      </w:r>
      <w:r w:rsidR="00CE7C14">
        <w:rPr>
          <w:rFonts w:cstheme="majorHAnsi"/>
          <w:sz w:val="22"/>
          <w:szCs w:val="22"/>
        </w:rPr>
        <w:t>CDM Contractor</w:t>
      </w:r>
      <w:r w:rsidR="00077E38">
        <w:rPr>
          <w:rFonts w:cstheme="majorHAnsi"/>
          <w:sz w:val="22"/>
          <w:szCs w:val="22"/>
        </w:rPr>
        <w:t>, as this section 9 is relevant only when the Environment Agency is the client.</w:t>
      </w:r>
    </w:p>
    <w:p w14:paraId="6A1D4070" w14:textId="77777777" w:rsidR="00052C0A" w:rsidRDefault="00CA0000" w:rsidP="00052C0A">
      <w:pPr>
        <w:keepNext/>
      </w:pPr>
      <w:r>
        <w:rPr>
          <w:noProof/>
        </w:rPr>
        <w:drawing>
          <wp:inline distT="0" distB="0" distL="0" distR="0" wp14:anchorId="520C32B3" wp14:editId="2308BC19">
            <wp:extent cx="5731510" cy="322397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1">
                      <a:extLst>
                        <a:ext uri="{28A0092B-C50C-407E-A947-70E740481C1C}">
                          <a14:useLocalDpi xmlns:a14="http://schemas.microsoft.com/office/drawing/2010/main" val="0"/>
                        </a:ext>
                      </a:extLst>
                    </a:blip>
                    <a:stretch>
                      <a:fillRect/>
                    </a:stretch>
                  </pic:blipFill>
                  <pic:spPr>
                    <a:xfrm>
                      <a:off x="0" y="0"/>
                      <a:ext cx="5731510" cy="3223974"/>
                    </a:xfrm>
                    <a:prstGeom prst="rect">
                      <a:avLst/>
                    </a:prstGeom>
                  </pic:spPr>
                </pic:pic>
              </a:graphicData>
            </a:graphic>
          </wp:inline>
        </w:drawing>
      </w:r>
    </w:p>
    <w:p w14:paraId="7F3DFF72" w14:textId="3666647F" w:rsidR="00052C0A" w:rsidRPr="00125BD6" w:rsidRDefault="00052C0A" w:rsidP="00052C0A">
      <w:pPr>
        <w:pStyle w:val="Caption"/>
        <w:rPr>
          <w:szCs w:val="24"/>
        </w:rPr>
      </w:pPr>
      <w:r w:rsidRPr="00125BD6">
        <w:rPr>
          <w:szCs w:val="24"/>
        </w:rPr>
        <w:t xml:space="preserve">Figure </w:t>
      </w:r>
      <w:r w:rsidRPr="00125BD6">
        <w:rPr>
          <w:szCs w:val="24"/>
        </w:rPr>
        <w:fldChar w:fldCharType="begin"/>
      </w:r>
      <w:r w:rsidRPr="00125BD6">
        <w:rPr>
          <w:szCs w:val="24"/>
        </w:rPr>
        <w:instrText>SEQ Figure \* ARABIC</w:instrText>
      </w:r>
      <w:r w:rsidRPr="00125BD6">
        <w:rPr>
          <w:szCs w:val="24"/>
        </w:rPr>
        <w:fldChar w:fldCharType="separate"/>
      </w:r>
      <w:r w:rsidR="003F221C">
        <w:rPr>
          <w:noProof/>
          <w:szCs w:val="24"/>
        </w:rPr>
        <w:t>2</w:t>
      </w:r>
      <w:r w:rsidRPr="00125BD6">
        <w:rPr>
          <w:szCs w:val="24"/>
        </w:rPr>
        <w:fldChar w:fldCharType="end"/>
      </w:r>
      <w:r w:rsidRPr="00125BD6">
        <w:rPr>
          <w:szCs w:val="24"/>
        </w:rPr>
        <w:t xml:space="preserve"> CDM roles and responsibilities. This diagram does </w:t>
      </w:r>
      <w:r w:rsidRPr="00125BD6">
        <w:rPr>
          <w:b/>
          <w:bCs/>
          <w:szCs w:val="24"/>
        </w:rPr>
        <w:t>not</w:t>
      </w:r>
      <w:r w:rsidR="00436ABC" w:rsidRPr="00125BD6">
        <w:rPr>
          <w:b/>
          <w:bCs/>
          <w:szCs w:val="24"/>
        </w:rPr>
        <w:t xml:space="preserve"> </w:t>
      </w:r>
      <w:r w:rsidR="00436ABC" w:rsidRPr="00125BD6">
        <w:rPr>
          <w:szCs w:val="24"/>
        </w:rPr>
        <w:t>exhaustively</w:t>
      </w:r>
      <w:r w:rsidRPr="00125BD6">
        <w:rPr>
          <w:szCs w:val="24"/>
        </w:rPr>
        <w:t xml:space="preserve"> list all the CDM duties, it is intended only to state the relationships between the supplier of housings and the CDM roles required.</w:t>
      </w:r>
    </w:p>
    <w:p w14:paraId="4CB2E762" w14:textId="18D62384" w:rsidR="00CA0000" w:rsidRDefault="00CA0000" w:rsidP="00CA0000"/>
    <w:p w14:paraId="2ECD77DD" w14:textId="77777777" w:rsidR="00CA0000" w:rsidRPr="00261D19" w:rsidRDefault="00CA0000" w:rsidP="00CA26BB"/>
    <w:p w14:paraId="749FDBA3" w14:textId="3B564FB5" w:rsidR="00CA0000" w:rsidRPr="00CA26BB" w:rsidRDefault="00CA0000">
      <w:pPr>
        <w:pStyle w:val="Heading2"/>
      </w:pPr>
      <w:r>
        <w:t>As per Environment Agency requirements in internal document LIT 16444, each ‘person’ working on the delivery of the contract can only have a single role, and for this contract that means either being a ‘</w:t>
      </w:r>
      <w:r w:rsidR="00CE7C14">
        <w:t>CDM Designer</w:t>
      </w:r>
      <w:r>
        <w:t xml:space="preserve">’ or a ‘ </w:t>
      </w:r>
      <w:r w:rsidR="00CE7C14">
        <w:t>CDM Contractor</w:t>
      </w:r>
      <w:r>
        <w:t>’ under CDM. A derogation should be sought if any person is going to undertake both roles.</w:t>
      </w:r>
    </w:p>
    <w:p w14:paraId="5457F1E2" w14:textId="5FA2243A" w:rsidR="006B7931" w:rsidRPr="006B7931" w:rsidRDefault="006B7931" w:rsidP="006B7931"/>
    <w:p w14:paraId="1B9CA9FB" w14:textId="2FDBCCEA" w:rsidR="00253B70" w:rsidRDefault="04BAAA34" w:rsidP="00253B70">
      <w:pPr>
        <w:pStyle w:val="Heading2"/>
        <w:rPr>
          <w:rFonts w:cstheme="majorHAnsi"/>
          <w:sz w:val="22"/>
          <w:szCs w:val="22"/>
        </w:rPr>
      </w:pPr>
      <w:r w:rsidRPr="00DA3C5C">
        <w:rPr>
          <w:rFonts w:cstheme="majorHAnsi"/>
          <w:sz w:val="22"/>
          <w:szCs w:val="22"/>
        </w:rPr>
        <w:lastRenderedPageBreak/>
        <w:t>The Cont</w:t>
      </w:r>
      <w:r w:rsidR="11EEF899" w:rsidRPr="00DA3C5C">
        <w:rPr>
          <w:rFonts w:cstheme="majorHAnsi"/>
          <w:sz w:val="22"/>
          <w:szCs w:val="22"/>
        </w:rPr>
        <w:t>ractor will</w:t>
      </w:r>
      <w:r w:rsidR="00A336AE">
        <w:rPr>
          <w:rFonts w:cstheme="majorHAnsi"/>
          <w:sz w:val="22"/>
          <w:szCs w:val="22"/>
        </w:rPr>
        <w:t xml:space="preserve"> comply with and </w:t>
      </w:r>
      <w:r w:rsidR="000301EE">
        <w:rPr>
          <w:rFonts w:cstheme="majorHAnsi"/>
          <w:sz w:val="22"/>
          <w:szCs w:val="22"/>
        </w:rPr>
        <w:t>implement</w:t>
      </w:r>
      <w:r w:rsidR="00A336AE">
        <w:rPr>
          <w:rFonts w:cstheme="majorHAnsi"/>
          <w:sz w:val="22"/>
          <w:szCs w:val="22"/>
        </w:rPr>
        <w:t xml:space="preserve"> </w:t>
      </w:r>
      <w:r w:rsidR="005B1236">
        <w:rPr>
          <w:rFonts w:cstheme="majorHAnsi"/>
          <w:sz w:val="22"/>
          <w:szCs w:val="22"/>
        </w:rPr>
        <w:t xml:space="preserve">minimum standards that meet or exceed the </w:t>
      </w:r>
      <w:r w:rsidR="00A336AE" w:rsidRPr="00DA3C5C">
        <w:rPr>
          <w:rFonts w:cstheme="majorHAnsi"/>
          <w:sz w:val="22"/>
          <w:szCs w:val="22"/>
        </w:rPr>
        <w:t>Environment</w:t>
      </w:r>
      <w:r w:rsidR="122395B5" w:rsidRPr="00DA3C5C">
        <w:rPr>
          <w:rFonts w:cstheme="majorHAnsi"/>
          <w:sz w:val="22"/>
          <w:szCs w:val="22"/>
        </w:rPr>
        <w:t xml:space="preserve"> Agency’s key requirements contained within the Environment Agency’s SHEW</w:t>
      </w:r>
      <w:r w:rsidR="000301EE">
        <w:rPr>
          <w:rFonts w:cstheme="majorHAnsi"/>
          <w:sz w:val="22"/>
          <w:szCs w:val="22"/>
        </w:rPr>
        <w:t xml:space="preserve"> </w:t>
      </w:r>
      <w:r w:rsidR="122395B5" w:rsidRPr="00DA3C5C">
        <w:rPr>
          <w:rFonts w:cstheme="majorHAnsi"/>
          <w:sz w:val="22"/>
          <w:szCs w:val="22"/>
        </w:rPr>
        <w:t>COP</w:t>
      </w:r>
      <w:r w:rsidR="00761464">
        <w:rPr>
          <w:rFonts w:cstheme="majorHAnsi"/>
          <w:sz w:val="22"/>
          <w:szCs w:val="22"/>
        </w:rPr>
        <w:t xml:space="preserve"> - </w:t>
      </w:r>
      <w:r w:rsidR="00761464">
        <w:rPr>
          <w:rFonts w:cstheme="majorHAnsi"/>
          <w:sz w:val="22"/>
          <w:szCs w:val="22"/>
        </w:rPr>
        <w:fldChar w:fldCharType="begin"/>
      </w:r>
      <w:r w:rsidR="00761464">
        <w:rPr>
          <w:rFonts w:cstheme="majorHAnsi"/>
          <w:sz w:val="22"/>
          <w:szCs w:val="22"/>
        </w:rPr>
        <w:instrText xml:space="preserve"> REF _Ref122012947 \h </w:instrText>
      </w:r>
      <w:r w:rsidR="00761464">
        <w:rPr>
          <w:rFonts w:cstheme="majorHAnsi"/>
          <w:sz w:val="22"/>
          <w:szCs w:val="22"/>
        </w:rPr>
      </w:r>
      <w:r w:rsidR="00761464">
        <w:rPr>
          <w:rFonts w:cstheme="majorHAnsi"/>
          <w:sz w:val="22"/>
          <w:szCs w:val="22"/>
        </w:rPr>
        <w:fldChar w:fldCharType="separate"/>
      </w:r>
      <w:r w:rsidR="003F221C" w:rsidRPr="00FE4AED">
        <w:t xml:space="preserve">Appendix </w:t>
      </w:r>
      <w:r w:rsidR="003F221C">
        <w:rPr>
          <w:i/>
          <w:iCs/>
          <w:noProof/>
        </w:rPr>
        <w:t>13</w:t>
      </w:r>
      <w:r w:rsidR="00761464">
        <w:rPr>
          <w:rFonts w:cstheme="majorHAnsi"/>
          <w:sz w:val="22"/>
          <w:szCs w:val="22"/>
        </w:rPr>
        <w:fldChar w:fldCharType="end"/>
      </w:r>
      <w:r w:rsidR="122395B5" w:rsidRPr="00DA3C5C">
        <w:rPr>
          <w:rFonts w:cstheme="majorHAnsi"/>
          <w:sz w:val="22"/>
          <w:szCs w:val="22"/>
        </w:rPr>
        <w:t xml:space="preserve"> </w:t>
      </w:r>
    </w:p>
    <w:p w14:paraId="37D733A5" w14:textId="77777777" w:rsidR="00761464" w:rsidRPr="00761464" w:rsidRDefault="00761464" w:rsidP="00761464"/>
    <w:p w14:paraId="21796469" w14:textId="2D63D6DA" w:rsidR="5D0D05B2" w:rsidRDefault="49D03C34" w:rsidP="008015E7">
      <w:pPr>
        <w:pStyle w:val="Heading2"/>
        <w:rPr>
          <w:rFonts w:cstheme="majorHAnsi"/>
          <w:sz w:val="22"/>
          <w:szCs w:val="22"/>
        </w:rPr>
      </w:pPr>
      <w:r w:rsidRPr="00DA3C5C">
        <w:rPr>
          <w:rFonts w:cstheme="majorHAnsi"/>
          <w:sz w:val="22"/>
          <w:szCs w:val="22"/>
        </w:rPr>
        <w:t xml:space="preserve">The </w:t>
      </w:r>
      <w:r w:rsidR="00CE7C14">
        <w:rPr>
          <w:rFonts w:cstheme="majorHAnsi"/>
          <w:sz w:val="22"/>
          <w:szCs w:val="22"/>
        </w:rPr>
        <w:t>C</w:t>
      </w:r>
      <w:r w:rsidRPr="00DA3C5C">
        <w:rPr>
          <w:rFonts w:cstheme="majorHAnsi"/>
          <w:sz w:val="22"/>
          <w:szCs w:val="22"/>
        </w:rPr>
        <w:t>ontractor will supply suitably qualified staff which must include a relevant construction industry recognised card</w:t>
      </w:r>
      <w:r w:rsidR="1F8FE9C4" w:rsidRPr="00DA3C5C">
        <w:rPr>
          <w:rFonts w:cstheme="majorHAnsi"/>
          <w:sz w:val="22"/>
          <w:szCs w:val="22"/>
        </w:rPr>
        <w:t>, and demonstration they are suitably experienced</w:t>
      </w:r>
      <w:r w:rsidR="00A25A2C">
        <w:rPr>
          <w:rFonts w:cstheme="majorHAnsi"/>
          <w:sz w:val="22"/>
          <w:szCs w:val="22"/>
        </w:rPr>
        <w:t xml:space="preserve"> and qualified</w:t>
      </w:r>
      <w:r w:rsidR="1F8FE9C4" w:rsidRPr="00DA3C5C">
        <w:rPr>
          <w:rFonts w:cstheme="majorHAnsi"/>
          <w:sz w:val="22"/>
          <w:szCs w:val="22"/>
        </w:rPr>
        <w:t xml:space="preserve"> for the tasks they will complete.</w:t>
      </w:r>
      <w:r w:rsidR="009001A6">
        <w:rPr>
          <w:rFonts w:cstheme="majorHAnsi"/>
          <w:sz w:val="22"/>
          <w:szCs w:val="22"/>
        </w:rPr>
        <w:t xml:space="preserve"> </w:t>
      </w:r>
      <w:r w:rsidR="00C62497">
        <w:rPr>
          <w:rFonts w:cstheme="majorHAnsi"/>
          <w:sz w:val="22"/>
          <w:szCs w:val="22"/>
        </w:rPr>
        <w:t>This specifically</w:t>
      </w:r>
      <w:r w:rsidR="00E55D41">
        <w:rPr>
          <w:rFonts w:cstheme="majorHAnsi"/>
          <w:sz w:val="22"/>
          <w:szCs w:val="22"/>
        </w:rPr>
        <w:t xml:space="preserve"> also</w:t>
      </w:r>
      <w:r w:rsidR="00C62497">
        <w:rPr>
          <w:rFonts w:cstheme="majorHAnsi"/>
          <w:sz w:val="22"/>
          <w:szCs w:val="22"/>
        </w:rPr>
        <w:t xml:space="preserve"> includes</w:t>
      </w:r>
      <w:r w:rsidR="00EF7F58">
        <w:rPr>
          <w:rFonts w:cstheme="majorHAnsi"/>
          <w:sz w:val="22"/>
          <w:szCs w:val="22"/>
        </w:rPr>
        <w:t xml:space="preserve"> supply of </w:t>
      </w:r>
      <w:r w:rsidR="00200180">
        <w:rPr>
          <w:rFonts w:cstheme="majorHAnsi"/>
          <w:sz w:val="22"/>
          <w:szCs w:val="22"/>
        </w:rPr>
        <w:t xml:space="preserve">accessories and fittings, such as </w:t>
      </w:r>
      <w:r w:rsidR="00E55D41">
        <w:rPr>
          <w:rFonts w:cstheme="majorHAnsi"/>
          <w:sz w:val="22"/>
          <w:szCs w:val="22"/>
        </w:rPr>
        <w:t>F-Gas certification</w:t>
      </w:r>
      <w:r w:rsidR="00EF7F58">
        <w:rPr>
          <w:rFonts w:cstheme="majorHAnsi"/>
          <w:sz w:val="22"/>
          <w:szCs w:val="22"/>
        </w:rPr>
        <w:t xml:space="preserve">s </w:t>
      </w:r>
      <w:r w:rsidR="00200180">
        <w:rPr>
          <w:rFonts w:cstheme="majorHAnsi"/>
          <w:sz w:val="22"/>
          <w:szCs w:val="22"/>
        </w:rPr>
        <w:t xml:space="preserve">required for working on Air Conditioning </w:t>
      </w:r>
      <w:r w:rsidR="00273111">
        <w:rPr>
          <w:rFonts w:cstheme="majorHAnsi"/>
          <w:sz w:val="22"/>
          <w:szCs w:val="22"/>
        </w:rPr>
        <w:t xml:space="preserve">systems, as </w:t>
      </w:r>
      <w:r w:rsidR="00EF7F58">
        <w:rPr>
          <w:rFonts w:cstheme="majorHAnsi"/>
          <w:sz w:val="22"/>
          <w:szCs w:val="22"/>
        </w:rPr>
        <w:t xml:space="preserve">detailed in </w:t>
      </w:r>
      <w:r w:rsidR="00273111">
        <w:rPr>
          <w:rFonts w:cstheme="majorHAnsi"/>
          <w:sz w:val="22"/>
          <w:szCs w:val="22"/>
        </w:rPr>
        <w:fldChar w:fldCharType="begin"/>
      </w:r>
      <w:r w:rsidR="00273111">
        <w:rPr>
          <w:rFonts w:cstheme="majorHAnsi"/>
          <w:sz w:val="22"/>
          <w:szCs w:val="22"/>
        </w:rPr>
        <w:instrText xml:space="preserve"> REF _Ref123304517 \h </w:instrText>
      </w:r>
      <w:r w:rsidR="00273111">
        <w:rPr>
          <w:rFonts w:cstheme="majorHAnsi"/>
          <w:sz w:val="22"/>
          <w:szCs w:val="22"/>
        </w:rPr>
      </w:r>
      <w:r w:rsidR="00273111">
        <w:rPr>
          <w:rFonts w:cstheme="majorHAnsi"/>
          <w:sz w:val="22"/>
          <w:szCs w:val="22"/>
        </w:rPr>
        <w:fldChar w:fldCharType="separate"/>
      </w:r>
      <w:r w:rsidR="003F221C" w:rsidRPr="00286621">
        <w:t xml:space="preserve">Appendix </w:t>
      </w:r>
      <w:r w:rsidR="003F221C">
        <w:rPr>
          <w:i/>
          <w:iCs/>
          <w:noProof/>
        </w:rPr>
        <w:t>26</w:t>
      </w:r>
      <w:r w:rsidR="00273111">
        <w:rPr>
          <w:rFonts w:cstheme="majorHAnsi"/>
          <w:sz w:val="22"/>
          <w:szCs w:val="22"/>
        </w:rPr>
        <w:fldChar w:fldCharType="end"/>
      </w:r>
    </w:p>
    <w:p w14:paraId="604F5795" w14:textId="77777777" w:rsidR="006B7931" w:rsidRPr="006B7931" w:rsidRDefault="006B7931" w:rsidP="006B7931"/>
    <w:p w14:paraId="55351325" w14:textId="792C9BB6" w:rsidR="00FA0962" w:rsidRDefault="00FA0962" w:rsidP="00FA0962">
      <w:pPr>
        <w:pStyle w:val="Heading2"/>
        <w:rPr>
          <w:rFonts w:cstheme="majorHAnsi"/>
          <w:sz w:val="22"/>
          <w:szCs w:val="22"/>
        </w:rPr>
      </w:pPr>
      <w:r w:rsidRPr="00C031F2">
        <w:rPr>
          <w:rStyle w:val="BlockText1"/>
          <w:rFonts w:asciiTheme="majorHAnsi" w:hAnsiTheme="majorHAnsi" w:cstheme="majorHAnsi"/>
          <w:szCs w:val="22"/>
        </w:rPr>
        <w:t>The supply of larger housings will require specialist lift equipment, the Contractor will need to specifically demonstrate section 4.29 of the SHEWCOP is met to show that</w:t>
      </w:r>
      <w:r w:rsidRPr="00C031F2">
        <w:rPr>
          <w:rFonts w:cstheme="majorHAnsi"/>
          <w:sz w:val="22"/>
          <w:szCs w:val="22"/>
        </w:rPr>
        <w:t xml:space="preserve"> the LOLER regulations must be followed including CPA guidance for the mobile plant used, and the principles of BS 7121. </w:t>
      </w:r>
    </w:p>
    <w:p w14:paraId="47EBA013" w14:textId="77777777" w:rsidR="00E318D3" w:rsidRPr="00E318D3" w:rsidRDefault="00E318D3" w:rsidP="00E318D3"/>
    <w:p w14:paraId="4469FFD5" w14:textId="09D595ED" w:rsidR="00FA0962" w:rsidRPr="00E318D3" w:rsidRDefault="122395B5" w:rsidP="00FA0962">
      <w:pPr>
        <w:pStyle w:val="Heading2"/>
        <w:rPr>
          <w:sz w:val="22"/>
          <w:szCs w:val="22"/>
        </w:rPr>
      </w:pPr>
      <w:r w:rsidRPr="00C031F2">
        <w:rPr>
          <w:sz w:val="22"/>
          <w:szCs w:val="22"/>
        </w:rPr>
        <w:t>The process of CDM within the Environment Agency for construction is well established. For Air Quality the Contractor is expected to follow the draft process which includes the key steps of CDM, included in</w:t>
      </w:r>
      <w:r w:rsidR="00C031F2" w:rsidRPr="00C031F2">
        <w:rPr>
          <w:sz w:val="22"/>
          <w:szCs w:val="22"/>
        </w:rPr>
        <w:t xml:space="preserve"> </w:t>
      </w:r>
      <w:r w:rsidR="00866C31">
        <w:rPr>
          <w:sz w:val="22"/>
          <w:szCs w:val="22"/>
          <w:highlight w:val="yellow"/>
        </w:rPr>
        <w:fldChar w:fldCharType="begin"/>
      </w:r>
      <w:r w:rsidR="00866C31">
        <w:rPr>
          <w:sz w:val="22"/>
          <w:szCs w:val="22"/>
        </w:rPr>
        <w:instrText xml:space="preserve"> REF _Ref122012802 \h </w:instrText>
      </w:r>
      <w:r w:rsidR="00866C31">
        <w:rPr>
          <w:sz w:val="22"/>
          <w:szCs w:val="22"/>
          <w:highlight w:val="yellow"/>
        </w:rPr>
      </w:r>
      <w:r w:rsidR="00866C31">
        <w:rPr>
          <w:sz w:val="22"/>
          <w:szCs w:val="22"/>
          <w:highlight w:val="yellow"/>
        </w:rPr>
        <w:fldChar w:fldCharType="separate"/>
      </w:r>
      <w:r w:rsidR="003F221C" w:rsidRPr="00FE4AED">
        <w:t xml:space="preserve">Appendix </w:t>
      </w:r>
      <w:r w:rsidR="003F221C">
        <w:rPr>
          <w:i/>
          <w:iCs/>
          <w:noProof/>
        </w:rPr>
        <w:t>14</w:t>
      </w:r>
      <w:r w:rsidR="003F221C" w:rsidRPr="00FE4AED">
        <w:t xml:space="preserve"> </w:t>
      </w:r>
      <w:r w:rsidR="003F221C">
        <w:tab/>
      </w:r>
      <w:r w:rsidR="003F221C" w:rsidRPr="00FE4AED">
        <w:t>Draft CDM Processes EA AQ Contractors</w:t>
      </w:r>
      <w:r w:rsidR="00866C31">
        <w:rPr>
          <w:sz w:val="22"/>
          <w:szCs w:val="22"/>
          <w:highlight w:val="yellow"/>
        </w:rPr>
        <w:fldChar w:fldCharType="end"/>
      </w:r>
    </w:p>
    <w:p w14:paraId="778CC3FC" w14:textId="675259DB" w:rsidR="5D0D05B2" w:rsidRPr="00C031F2" w:rsidRDefault="5D0D05B2" w:rsidP="6428D087">
      <w:pPr>
        <w:pStyle w:val="Heading2"/>
        <w:numPr>
          <w:ilvl w:val="1"/>
          <w:numId w:val="0"/>
        </w:numPr>
        <w:ind w:left="360"/>
        <w:rPr>
          <w:rFonts w:cstheme="majorHAnsi"/>
          <w:sz w:val="22"/>
          <w:szCs w:val="22"/>
        </w:rPr>
      </w:pPr>
    </w:p>
    <w:p w14:paraId="5B1C4044" w14:textId="134BC174" w:rsidR="5D0D05B2" w:rsidRPr="00C031F2" w:rsidRDefault="122395B5" w:rsidP="00F37CFB">
      <w:pPr>
        <w:pStyle w:val="Heading2"/>
        <w:rPr>
          <w:rFonts w:cstheme="majorHAnsi"/>
          <w:sz w:val="22"/>
          <w:szCs w:val="22"/>
        </w:rPr>
      </w:pPr>
      <w:r w:rsidRPr="00C031F2">
        <w:rPr>
          <w:rFonts w:cstheme="majorHAnsi"/>
          <w:sz w:val="22"/>
          <w:szCs w:val="22"/>
        </w:rPr>
        <w:t xml:space="preserve"> </w:t>
      </w:r>
      <w:r w:rsidR="00FA0962" w:rsidRPr="00C031F2">
        <w:rPr>
          <w:rFonts w:cstheme="majorHAnsi"/>
          <w:sz w:val="22"/>
          <w:szCs w:val="22"/>
        </w:rPr>
        <w:t xml:space="preserve">The housing and install </w:t>
      </w:r>
      <w:r w:rsidR="00CE7C14">
        <w:rPr>
          <w:rFonts w:cstheme="majorHAnsi"/>
          <w:sz w:val="22"/>
          <w:szCs w:val="22"/>
        </w:rPr>
        <w:t>CDM Designer</w:t>
      </w:r>
      <w:r w:rsidR="00FA0962" w:rsidRPr="00C031F2">
        <w:rPr>
          <w:rFonts w:cstheme="majorHAnsi"/>
          <w:sz w:val="22"/>
          <w:szCs w:val="22"/>
        </w:rPr>
        <w:t xml:space="preserve"> </w:t>
      </w:r>
      <w:r w:rsidR="005435DA" w:rsidRPr="00C031F2">
        <w:rPr>
          <w:rFonts w:cstheme="majorHAnsi"/>
          <w:sz w:val="22"/>
          <w:szCs w:val="22"/>
        </w:rPr>
        <w:t>are</w:t>
      </w:r>
      <w:r w:rsidR="00FA0962" w:rsidRPr="00C031F2">
        <w:rPr>
          <w:rFonts w:cstheme="majorHAnsi"/>
          <w:sz w:val="22"/>
          <w:szCs w:val="22"/>
        </w:rPr>
        <w:t xml:space="preserve"> required to assist the Principal Contractor throughout the process including ensuring planned, </w:t>
      </w:r>
      <w:r w:rsidR="00AC7629" w:rsidRPr="00C031F2">
        <w:rPr>
          <w:rFonts w:cstheme="majorHAnsi"/>
          <w:sz w:val="22"/>
          <w:szCs w:val="22"/>
        </w:rPr>
        <w:t>final, and</w:t>
      </w:r>
      <w:r w:rsidR="00FA0962" w:rsidRPr="00C031F2">
        <w:rPr>
          <w:rFonts w:cstheme="majorHAnsi"/>
          <w:sz w:val="22"/>
          <w:szCs w:val="22"/>
        </w:rPr>
        <w:t xml:space="preserve"> final ‘as built’ drawings for the installation layout and cabin are supplied. </w:t>
      </w:r>
      <w:r w:rsidR="005D4605">
        <w:rPr>
          <w:rFonts w:cstheme="majorHAnsi"/>
          <w:sz w:val="22"/>
          <w:szCs w:val="22"/>
        </w:rPr>
        <w:t xml:space="preserve">The Principal Contractor will not be technically reviewing the </w:t>
      </w:r>
      <w:r w:rsidR="005B1236">
        <w:rPr>
          <w:rFonts w:cstheme="majorHAnsi"/>
          <w:sz w:val="22"/>
          <w:szCs w:val="22"/>
        </w:rPr>
        <w:t xml:space="preserve">engineering </w:t>
      </w:r>
      <w:r w:rsidR="005D4605">
        <w:rPr>
          <w:rFonts w:cstheme="majorHAnsi"/>
          <w:sz w:val="22"/>
          <w:szCs w:val="22"/>
        </w:rPr>
        <w:t xml:space="preserve">designs, this is for the Contractor to self </w:t>
      </w:r>
      <w:r w:rsidR="005B1236">
        <w:rPr>
          <w:rFonts w:cstheme="majorHAnsi"/>
          <w:sz w:val="22"/>
          <w:szCs w:val="22"/>
        </w:rPr>
        <w:t xml:space="preserve">quality </w:t>
      </w:r>
      <w:r w:rsidR="005D4605">
        <w:rPr>
          <w:rFonts w:cstheme="majorHAnsi"/>
          <w:sz w:val="22"/>
          <w:szCs w:val="22"/>
        </w:rPr>
        <w:t>assure.</w:t>
      </w:r>
      <w:r w:rsidR="005723C1">
        <w:rPr>
          <w:rFonts w:cstheme="majorHAnsi"/>
          <w:sz w:val="22"/>
          <w:szCs w:val="22"/>
        </w:rPr>
        <w:t xml:space="preserve"> Th</w:t>
      </w:r>
      <w:r w:rsidR="005B1236">
        <w:rPr>
          <w:rFonts w:cstheme="majorHAnsi"/>
          <w:sz w:val="22"/>
          <w:szCs w:val="22"/>
        </w:rPr>
        <w:t>e CDM Principal Contractor and CDM Principal Designer</w:t>
      </w:r>
      <w:r w:rsidR="005723C1">
        <w:rPr>
          <w:rFonts w:cstheme="majorHAnsi"/>
          <w:sz w:val="22"/>
          <w:szCs w:val="22"/>
        </w:rPr>
        <w:t xml:space="preserve"> role is to</w:t>
      </w:r>
      <w:r w:rsidR="005B1236">
        <w:rPr>
          <w:rFonts w:cstheme="majorHAnsi"/>
          <w:sz w:val="22"/>
          <w:szCs w:val="22"/>
        </w:rPr>
        <w:t xml:space="preserve"> manage and</w:t>
      </w:r>
      <w:r w:rsidR="005723C1">
        <w:rPr>
          <w:rFonts w:cstheme="majorHAnsi"/>
          <w:sz w:val="22"/>
          <w:szCs w:val="22"/>
        </w:rPr>
        <w:t xml:space="preserve"> assure via the CDM regulations.</w:t>
      </w:r>
      <w:r w:rsidR="005D4605">
        <w:rPr>
          <w:rFonts w:cstheme="majorHAnsi"/>
          <w:sz w:val="22"/>
          <w:szCs w:val="22"/>
        </w:rPr>
        <w:t xml:space="preserve"> </w:t>
      </w:r>
      <w:r w:rsidR="00FA0962" w:rsidRPr="00C031F2">
        <w:rPr>
          <w:rFonts w:cstheme="majorHAnsi"/>
          <w:sz w:val="22"/>
          <w:szCs w:val="22"/>
        </w:rPr>
        <w:t xml:space="preserve">Final design risk assessments should also be supplied. During the installation the supplier should provide method risk assessments and complete </w:t>
      </w:r>
      <w:r w:rsidR="00AC7629" w:rsidRPr="00C031F2">
        <w:rPr>
          <w:rFonts w:cstheme="majorHAnsi"/>
          <w:sz w:val="22"/>
          <w:szCs w:val="22"/>
        </w:rPr>
        <w:t>any necessary</w:t>
      </w:r>
      <w:r w:rsidR="00FA0962" w:rsidRPr="00C031F2">
        <w:rPr>
          <w:rFonts w:cstheme="majorHAnsi"/>
          <w:sz w:val="22"/>
          <w:szCs w:val="22"/>
        </w:rPr>
        <w:t xml:space="preserve"> </w:t>
      </w:r>
      <w:r w:rsidR="00F37CFB" w:rsidRPr="00C031F2">
        <w:rPr>
          <w:rFonts w:cstheme="majorHAnsi"/>
          <w:sz w:val="22"/>
          <w:szCs w:val="22"/>
        </w:rPr>
        <w:t xml:space="preserve">permits to work for any </w:t>
      </w:r>
      <w:r w:rsidR="00AC7629" w:rsidRPr="00C031F2">
        <w:rPr>
          <w:rFonts w:cstheme="majorHAnsi"/>
          <w:sz w:val="22"/>
          <w:szCs w:val="22"/>
        </w:rPr>
        <w:t>high-risk</w:t>
      </w:r>
      <w:r w:rsidR="00F37CFB" w:rsidRPr="00C031F2">
        <w:rPr>
          <w:rFonts w:cstheme="majorHAnsi"/>
          <w:sz w:val="22"/>
          <w:szCs w:val="22"/>
        </w:rPr>
        <w:t xml:space="preserve"> activities</w:t>
      </w:r>
      <w:r w:rsidR="005E43D7" w:rsidRPr="00C031F2">
        <w:rPr>
          <w:rFonts w:cstheme="majorHAnsi"/>
          <w:sz w:val="22"/>
          <w:szCs w:val="22"/>
        </w:rPr>
        <w:t>, such as working at height.</w:t>
      </w:r>
      <w:r w:rsidR="005B1236">
        <w:rPr>
          <w:rFonts w:cstheme="majorHAnsi"/>
          <w:sz w:val="22"/>
          <w:szCs w:val="22"/>
        </w:rPr>
        <w:t xml:space="preserve"> Any changes needed to complete the work must be updated via the Principal Contractor.</w:t>
      </w:r>
    </w:p>
    <w:p w14:paraId="0C49277F" w14:textId="77777777" w:rsidR="00FA0962" w:rsidRPr="00DA3C5C" w:rsidRDefault="00FA0962" w:rsidP="00FA0962">
      <w:pPr>
        <w:rPr>
          <w:rFonts w:asciiTheme="majorHAnsi" w:hAnsiTheme="majorHAnsi" w:cstheme="majorHAnsi"/>
          <w:color w:val="000000" w:themeColor="text1"/>
        </w:rPr>
      </w:pPr>
    </w:p>
    <w:p w14:paraId="37BC07ED" w14:textId="450A3F08" w:rsidR="5D0D05B2" w:rsidRPr="00DA3C5C" w:rsidRDefault="122395B5" w:rsidP="008015E7">
      <w:pPr>
        <w:pStyle w:val="Heading2"/>
        <w:rPr>
          <w:rFonts w:cstheme="majorHAnsi"/>
          <w:sz w:val="22"/>
          <w:szCs w:val="22"/>
        </w:rPr>
      </w:pPr>
      <w:r w:rsidRPr="00DA3C5C">
        <w:rPr>
          <w:rFonts w:cstheme="majorHAnsi"/>
          <w:sz w:val="22"/>
          <w:szCs w:val="22"/>
        </w:rPr>
        <w:t xml:space="preserve">As a </w:t>
      </w:r>
      <w:r w:rsidR="005723C1">
        <w:rPr>
          <w:rFonts w:cstheme="majorHAnsi"/>
          <w:sz w:val="22"/>
          <w:szCs w:val="22"/>
        </w:rPr>
        <w:t>CDM ‘D</w:t>
      </w:r>
      <w:r w:rsidRPr="00DA3C5C">
        <w:rPr>
          <w:rFonts w:cstheme="majorHAnsi"/>
          <w:sz w:val="22"/>
          <w:szCs w:val="22"/>
        </w:rPr>
        <w:t>esigner</w:t>
      </w:r>
      <w:r w:rsidR="005723C1">
        <w:rPr>
          <w:rFonts w:cstheme="majorHAnsi"/>
          <w:sz w:val="22"/>
          <w:szCs w:val="22"/>
        </w:rPr>
        <w:t>’</w:t>
      </w:r>
      <w:r w:rsidRPr="00DA3C5C">
        <w:rPr>
          <w:rFonts w:cstheme="majorHAnsi"/>
          <w:sz w:val="22"/>
          <w:szCs w:val="22"/>
        </w:rPr>
        <w:t xml:space="preserve">, the Contractor is responsible for the duties outlined in CDM 2015 and Environment Agency procedures, which includes but is not limited to: </w:t>
      </w:r>
    </w:p>
    <w:p w14:paraId="5083509D" w14:textId="3C1608C9" w:rsidR="5D0D05B2" w:rsidRPr="00DA3C5C" w:rsidRDefault="5D0D05B2" w:rsidP="00F37CFB">
      <w:pPr>
        <w:pStyle w:val="Heading2"/>
        <w:numPr>
          <w:ilvl w:val="0"/>
          <w:numId w:val="0"/>
        </w:numPr>
        <w:ind w:left="1160"/>
        <w:rPr>
          <w:rFonts w:cstheme="majorHAnsi"/>
          <w:sz w:val="22"/>
          <w:szCs w:val="22"/>
        </w:rPr>
      </w:pPr>
    </w:p>
    <w:p w14:paraId="432E2D7C" w14:textId="5A02560F" w:rsidR="5D0D05B2" w:rsidRPr="00DA3C5C" w:rsidRDefault="122395B5" w:rsidP="00AC7629">
      <w:pPr>
        <w:pStyle w:val="ListParagraph"/>
        <w:numPr>
          <w:ilvl w:val="0"/>
          <w:numId w:val="25"/>
        </w:numPr>
        <w:rPr>
          <w:rFonts w:asciiTheme="majorHAnsi" w:hAnsiTheme="majorHAnsi" w:cstheme="majorHAnsi"/>
          <w:color w:val="000000" w:themeColor="text1"/>
        </w:rPr>
      </w:pPr>
      <w:r w:rsidRPr="00DA3C5C">
        <w:rPr>
          <w:rFonts w:asciiTheme="majorHAnsi" w:hAnsiTheme="majorHAnsi" w:cstheme="majorHAnsi"/>
          <w:color w:val="000000" w:themeColor="text1"/>
        </w:rPr>
        <w:t>Following the Environment Agency SHEW CoP where relevant</w:t>
      </w:r>
    </w:p>
    <w:p w14:paraId="0293BDD4" w14:textId="030F5E0B" w:rsidR="5D0D05B2" w:rsidRPr="00DA3C5C" w:rsidRDefault="122395B5" w:rsidP="00AC7629">
      <w:pPr>
        <w:pStyle w:val="ListParagraph"/>
        <w:numPr>
          <w:ilvl w:val="0"/>
          <w:numId w:val="25"/>
        </w:numPr>
        <w:rPr>
          <w:rFonts w:asciiTheme="majorHAnsi" w:hAnsiTheme="majorHAnsi" w:cstheme="majorHAnsi"/>
          <w:color w:val="000000" w:themeColor="text1"/>
        </w:rPr>
      </w:pPr>
      <w:r w:rsidRPr="00DA3C5C">
        <w:rPr>
          <w:rFonts w:asciiTheme="majorHAnsi" w:hAnsiTheme="majorHAnsi" w:cstheme="majorHAnsi"/>
          <w:color w:val="000000" w:themeColor="text1"/>
        </w:rPr>
        <w:t xml:space="preserve">Co-operate with the Principal </w:t>
      </w:r>
      <w:r w:rsidR="005B1236">
        <w:rPr>
          <w:rFonts w:asciiTheme="majorHAnsi" w:hAnsiTheme="majorHAnsi" w:cstheme="majorHAnsi"/>
          <w:color w:val="000000" w:themeColor="text1"/>
        </w:rPr>
        <w:t xml:space="preserve">CDM </w:t>
      </w:r>
      <w:r w:rsidRPr="00DA3C5C">
        <w:rPr>
          <w:rFonts w:asciiTheme="majorHAnsi" w:hAnsiTheme="majorHAnsi" w:cstheme="majorHAnsi"/>
          <w:color w:val="000000" w:themeColor="text1"/>
        </w:rPr>
        <w:t xml:space="preserve">Designer and Principal </w:t>
      </w:r>
      <w:r w:rsidR="005B1236">
        <w:rPr>
          <w:rFonts w:asciiTheme="majorHAnsi" w:hAnsiTheme="majorHAnsi" w:cstheme="majorHAnsi"/>
          <w:color w:val="000000" w:themeColor="text1"/>
        </w:rPr>
        <w:t xml:space="preserve">CDM </w:t>
      </w:r>
      <w:r w:rsidRPr="00DA3C5C">
        <w:rPr>
          <w:rFonts w:asciiTheme="majorHAnsi" w:hAnsiTheme="majorHAnsi" w:cstheme="majorHAnsi"/>
          <w:color w:val="000000" w:themeColor="text1"/>
        </w:rPr>
        <w:t>Contractor</w:t>
      </w:r>
    </w:p>
    <w:p w14:paraId="0A62E827" w14:textId="2950FFE1" w:rsidR="5D0D05B2" w:rsidRPr="00DA3C5C" w:rsidRDefault="122395B5" w:rsidP="00AC7629">
      <w:pPr>
        <w:pStyle w:val="ListParagraph"/>
        <w:numPr>
          <w:ilvl w:val="0"/>
          <w:numId w:val="25"/>
        </w:numPr>
        <w:rPr>
          <w:rFonts w:asciiTheme="majorHAnsi" w:hAnsiTheme="majorHAnsi" w:cstheme="majorHAnsi"/>
          <w:color w:val="000000" w:themeColor="text1"/>
        </w:rPr>
      </w:pPr>
      <w:r w:rsidRPr="00DA3C5C">
        <w:rPr>
          <w:rFonts w:asciiTheme="majorHAnsi" w:hAnsiTheme="majorHAnsi" w:cstheme="majorHAnsi"/>
          <w:color w:val="000000" w:themeColor="text1"/>
        </w:rPr>
        <w:t>Inform the client of their duties under CDM if relevant</w:t>
      </w:r>
    </w:p>
    <w:p w14:paraId="1DA6CDEF" w14:textId="1D03A324" w:rsidR="5D0D05B2" w:rsidRDefault="122395B5" w:rsidP="00AC7629">
      <w:pPr>
        <w:pStyle w:val="ListParagraph"/>
        <w:numPr>
          <w:ilvl w:val="0"/>
          <w:numId w:val="25"/>
        </w:numPr>
        <w:rPr>
          <w:rFonts w:asciiTheme="majorHAnsi" w:hAnsiTheme="majorHAnsi" w:cstheme="majorHAnsi"/>
          <w:color w:val="000000" w:themeColor="text1"/>
        </w:rPr>
      </w:pPr>
      <w:r w:rsidRPr="00DA3C5C">
        <w:rPr>
          <w:rFonts w:asciiTheme="majorHAnsi" w:hAnsiTheme="majorHAnsi" w:cstheme="majorHAnsi"/>
          <w:color w:val="000000" w:themeColor="text1"/>
        </w:rPr>
        <w:t>When preparing or modifying designs, to eliminate, re</w:t>
      </w:r>
      <w:r w:rsidR="008C4886" w:rsidRPr="00DA3C5C">
        <w:rPr>
          <w:rFonts w:asciiTheme="majorHAnsi" w:hAnsiTheme="majorHAnsi" w:cstheme="majorHAnsi"/>
          <w:color w:val="000000" w:themeColor="text1"/>
        </w:rPr>
        <w:t>d</w:t>
      </w:r>
      <w:r w:rsidRPr="00DA3C5C">
        <w:rPr>
          <w:rFonts w:asciiTheme="majorHAnsi" w:hAnsiTheme="majorHAnsi" w:cstheme="majorHAnsi"/>
          <w:color w:val="000000" w:themeColor="text1"/>
        </w:rPr>
        <w:t>uce or control foreseeable risks that may arise during the construction, maintenance and use of a structure once it is built</w:t>
      </w:r>
    </w:p>
    <w:p w14:paraId="702A8667" w14:textId="7398F793" w:rsidR="006E43A6" w:rsidRPr="00DA3C5C" w:rsidRDefault="006E43A6" w:rsidP="00AC7629">
      <w:pPr>
        <w:pStyle w:val="ListParagraph"/>
        <w:numPr>
          <w:ilvl w:val="0"/>
          <w:numId w:val="25"/>
        </w:numPr>
        <w:rPr>
          <w:rFonts w:asciiTheme="majorHAnsi" w:hAnsiTheme="majorHAnsi" w:cstheme="majorHAnsi"/>
          <w:color w:val="000000" w:themeColor="text1"/>
        </w:rPr>
      </w:pPr>
      <w:r>
        <w:rPr>
          <w:rFonts w:asciiTheme="majorHAnsi" w:hAnsiTheme="majorHAnsi" w:cstheme="majorHAnsi"/>
          <w:color w:val="000000" w:themeColor="text1"/>
        </w:rPr>
        <w:t xml:space="preserve">Utilise the </w:t>
      </w:r>
      <w:r w:rsidR="006E7403">
        <w:rPr>
          <w:rFonts w:asciiTheme="majorHAnsi" w:hAnsiTheme="majorHAnsi" w:cstheme="majorHAnsi"/>
          <w:color w:val="000000" w:themeColor="text1"/>
        </w:rPr>
        <w:t xml:space="preserve">Red Amber Green list detailed in </w:t>
      </w:r>
      <w:r w:rsidR="006E7403">
        <w:rPr>
          <w:rFonts w:asciiTheme="majorHAnsi" w:hAnsiTheme="majorHAnsi" w:cstheme="majorHAnsi"/>
          <w:color w:val="000000" w:themeColor="text1"/>
        </w:rPr>
        <w:fldChar w:fldCharType="begin"/>
      </w:r>
      <w:r w:rsidR="006E7403">
        <w:rPr>
          <w:rFonts w:asciiTheme="majorHAnsi" w:hAnsiTheme="majorHAnsi" w:cstheme="majorHAnsi"/>
          <w:color w:val="000000" w:themeColor="text1"/>
        </w:rPr>
        <w:instrText xml:space="preserve"> REF _Ref123312350 \h </w:instrText>
      </w:r>
      <w:r w:rsidR="006E7403">
        <w:rPr>
          <w:rFonts w:asciiTheme="majorHAnsi" w:hAnsiTheme="majorHAnsi" w:cstheme="majorHAnsi"/>
          <w:color w:val="000000" w:themeColor="text1"/>
        </w:rPr>
      </w:r>
      <w:r w:rsidR="006E7403">
        <w:rPr>
          <w:rFonts w:asciiTheme="majorHAnsi" w:hAnsiTheme="majorHAnsi" w:cstheme="majorHAnsi"/>
          <w:color w:val="000000" w:themeColor="text1"/>
        </w:rPr>
        <w:fldChar w:fldCharType="separate"/>
      </w:r>
      <w:r w:rsidR="003F221C" w:rsidRPr="00286621">
        <w:t xml:space="preserve">Appendix </w:t>
      </w:r>
      <w:r w:rsidR="003F221C">
        <w:rPr>
          <w:i/>
          <w:iCs/>
          <w:noProof/>
        </w:rPr>
        <w:t>27</w:t>
      </w:r>
      <w:r w:rsidR="006E7403">
        <w:rPr>
          <w:rFonts w:asciiTheme="majorHAnsi" w:hAnsiTheme="majorHAnsi" w:cstheme="majorHAnsi"/>
          <w:color w:val="000000" w:themeColor="text1"/>
        </w:rPr>
        <w:fldChar w:fldCharType="end"/>
      </w:r>
      <w:r w:rsidR="006A5D96">
        <w:rPr>
          <w:rFonts w:asciiTheme="majorHAnsi" w:hAnsiTheme="majorHAnsi" w:cstheme="majorHAnsi"/>
          <w:color w:val="000000" w:themeColor="text1"/>
        </w:rPr>
        <w:t xml:space="preserve">. </w:t>
      </w:r>
      <w:r w:rsidR="006A5D96" w:rsidRPr="006A5D96">
        <w:rPr>
          <w:rFonts w:asciiTheme="majorHAnsi" w:hAnsiTheme="majorHAnsi" w:cstheme="majorHAnsi"/>
          <w:color w:val="000000" w:themeColor="text1"/>
        </w:rPr>
        <w:t xml:space="preserve">All appraisal options, design concepts and designs that impact the final design solution issued for construction will be formally reviewed against the RAG list by the </w:t>
      </w:r>
      <w:r w:rsidR="00CE7C14">
        <w:rPr>
          <w:rFonts w:asciiTheme="majorHAnsi" w:hAnsiTheme="majorHAnsi" w:cstheme="majorHAnsi"/>
          <w:color w:val="000000" w:themeColor="text1"/>
        </w:rPr>
        <w:t>CDM Principal Designer</w:t>
      </w:r>
      <w:r w:rsidR="006A5D96" w:rsidRPr="006A5D96">
        <w:rPr>
          <w:rFonts w:asciiTheme="majorHAnsi" w:hAnsiTheme="majorHAnsi" w:cstheme="majorHAnsi"/>
          <w:color w:val="000000" w:themeColor="text1"/>
        </w:rPr>
        <w:t xml:space="preserve">s’ </w:t>
      </w:r>
      <w:r w:rsidR="00CE7C14" w:rsidRPr="006A5D96">
        <w:rPr>
          <w:rFonts w:asciiTheme="majorHAnsi" w:hAnsiTheme="majorHAnsi" w:cstheme="majorHAnsi"/>
          <w:color w:val="000000" w:themeColor="text1"/>
        </w:rPr>
        <w:t xml:space="preserve"> </w:t>
      </w:r>
      <w:r w:rsidR="006A5D96" w:rsidRPr="006A5D96">
        <w:rPr>
          <w:rFonts w:asciiTheme="majorHAnsi" w:hAnsiTheme="majorHAnsi" w:cstheme="majorHAnsi"/>
          <w:color w:val="000000" w:themeColor="text1"/>
        </w:rPr>
        <w:t xml:space="preserve">reviewer during </w:t>
      </w:r>
      <w:r w:rsidR="00CE7C14">
        <w:rPr>
          <w:rFonts w:asciiTheme="majorHAnsi" w:hAnsiTheme="majorHAnsi" w:cstheme="majorHAnsi"/>
          <w:color w:val="000000" w:themeColor="text1"/>
        </w:rPr>
        <w:t>CDM health and safety process</w:t>
      </w:r>
      <w:r w:rsidR="006A5D96" w:rsidRPr="006A5D96">
        <w:rPr>
          <w:rFonts w:asciiTheme="majorHAnsi" w:hAnsiTheme="majorHAnsi" w:cstheme="majorHAnsi"/>
          <w:color w:val="000000" w:themeColor="text1"/>
        </w:rPr>
        <w:t xml:space="preserve"> review.</w:t>
      </w:r>
    </w:p>
    <w:p w14:paraId="5B78BFBA" w14:textId="3DDE50A5" w:rsidR="5D0D05B2" w:rsidRPr="00DA3C5C" w:rsidRDefault="122395B5" w:rsidP="00AC7629">
      <w:pPr>
        <w:pStyle w:val="ListParagraph"/>
        <w:numPr>
          <w:ilvl w:val="0"/>
          <w:numId w:val="25"/>
        </w:numPr>
        <w:rPr>
          <w:rFonts w:asciiTheme="majorHAnsi" w:hAnsiTheme="majorHAnsi" w:cstheme="majorHAnsi"/>
          <w:color w:val="000000" w:themeColor="text1"/>
        </w:rPr>
      </w:pPr>
      <w:r w:rsidRPr="00DA3C5C">
        <w:rPr>
          <w:rFonts w:asciiTheme="majorHAnsi" w:hAnsiTheme="majorHAnsi" w:cstheme="majorHAnsi"/>
          <w:color w:val="000000" w:themeColor="text1"/>
        </w:rPr>
        <w:t>Provide information to members of the project team to provide their duties</w:t>
      </w:r>
    </w:p>
    <w:p w14:paraId="18C29AD8" w14:textId="5FA74F92" w:rsidR="5D0D05B2" w:rsidRDefault="122395B5" w:rsidP="00AC7629">
      <w:pPr>
        <w:pStyle w:val="ListParagraph"/>
        <w:numPr>
          <w:ilvl w:val="0"/>
          <w:numId w:val="25"/>
        </w:numPr>
        <w:rPr>
          <w:rFonts w:asciiTheme="majorHAnsi" w:hAnsiTheme="majorHAnsi" w:cstheme="majorHAnsi"/>
          <w:color w:val="000000" w:themeColor="text1"/>
        </w:rPr>
      </w:pPr>
      <w:r w:rsidRPr="00DA3C5C">
        <w:rPr>
          <w:rFonts w:asciiTheme="majorHAnsi" w:hAnsiTheme="majorHAnsi" w:cstheme="majorHAnsi"/>
          <w:color w:val="000000" w:themeColor="text1"/>
        </w:rPr>
        <w:lastRenderedPageBreak/>
        <w:t xml:space="preserve">Provide evidence of the CDM compliance to the Principal </w:t>
      </w:r>
      <w:r w:rsidR="00CE7C14">
        <w:rPr>
          <w:rFonts w:asciiTheme="majorHAnsi" w:hAnsiTheme="majorHAnsi" w:cstheme="majorHAnsi"/>
          <w:color w:val="000000" w:themeColor="text1"/>
        </w:rPr>
        <w:t>CDM Designer</w:t>
      </w:r>
      <w:r w:rsidR="005723C1">
        <w:rPr>
          <w:rFonts w:asciiTheme="majorHAnsi" w:hAnsiTheme="majorHAnsi" w:cstheme="majorHAnsi"/>
          <w:color w:val="000000" w:themeColor="text1"/>
        </w:rPr>
        <w:t xml:space="preserve"> via the Principal </w:t>
      </w:r>
      <w:r w:rsidR="005B1236">
        <w:rPr>
          <w:rFonts w:asciiTheme="majorHAnsi" w:hAnsiTheme="majorHAnsi" w:cstheme="majorHAnsi"/>
          <w:color w:val="000000" w:themeColor="text1"/>
        </w:rPr>
        <w:t>CDM Contractor</w:t>
      </w:r>
    </w:p>
    <w:p w14:paraId="534724E2" w14:textId="6E8B1499" w:rsidR="005723C1" w:rsidRPr="00DA3C5C" w:rsidRDefault="005723C1" w:rsidP="00AC7629">
      <w:pPr>
        <w:pStyle w:val="ListParagraph"/>
        <w:numPr>
          <w:ilvl w:val="0"/>
          <w:numId w:val="25"/>
        </w:numPr>
        <w:rPr>
          <w:rFonts w:asciiTheme="majorHAnsi" w:hAnsiTheme="majorHAnsi" w:cstheme="majorHAnsi"/>
          <w:color w:val="000000" w:themeColor="text1"/>
        </w:rPr>
      </w:pPr>
      <w:r>
        <w:rPr>
          <w:rFonts w:asciiTheme="majorHAnsi" w:hAnsiTheme="majorHAnsi" w:cstheme="majorHAnsi"/>
          <w:color w:val="000000" w:themeColor="text1"/>
        </w:rPr>
        <w:t>Ensuring individuals do not work as a CDM ‘</w:t>
      </w:r>
      <w:r>
        <w:rPr>
          <w:rStyle w:val="BlockText1"/>
          <w:rFonts w:asciiTheme="majorHAnsi" w:hAnsiTheme="majorHAnsi" w:cstheme="majorHAnsi"/>
          <w:color w:val="000000" w:themeColor="text1"/>
        </w:rPr>
        <w:t>Designer and Contractor on each project.</w:t>
      </w:r>
    </w:p>
    <w:p w14:paraId="795631B3" w14:textId="5A7ACF6D" w:rsidR="5D0D05B2" w:rsidRPr="00DA3C5C" w:rsidRDefault="5D0D05B2" w:rsidP="00F37CFB">
      <w:pPr>
        <w:pStyle w:val="Heading2"/>
        <w:numPr>
          <w:ilvl w:val="0"/>
          <w:numId w:val="0"/>
        </w:numPr>
        <w:rPr>
          <w:rFonts w:cstheme="majorHAnsi"/>
          <w:sz w:val="22"/>
          <w:szCs w:val="22"/>
        </w:rPr>
      </w:pPr>
    </w:p>
    <w:p w14:paraId="0AD78C9C" w14:textId="01E76FB0" w:rsidR="5D0D05B2" w:rsidRPr="00DA3C5C" w:rsidRDefault="00F37CFB" w:rsidP="008015E7">
      <w:pPr>
        <w:pStyle w:val="Heading2"/>
        <w:rPr>
          <w:rFonts w:cstheme="majorHAnsi"/>
          <w:sz w:val="22"/>
          <w:szCs w:val="22"/>
        </w:rPr>
      </w:pPr>
      <w:r w:rsidRPr="00DA3C5C">
        <w:rPr>
          <w:rFonts w:cstheme="majorHAnsi"/>
          <w:sz w:val="22"/>
          <w:szCs w:val="22"/>
        </w:rPr>
        <w:t>As a CDM ‘</w:t>
      </w:r>
      <w:r w:rsidR="122395B5" w:rsidRPr="00DA3C5C">
        <w:rPr>
          <w:rFonts w:cstheme="majorHAnsi"/>
          <w:sz w:val="22"/>
          <w:szCs w:val="22"/>
        </w:rPr>
        <w:t>Contractor</w:t>
      </w:r>
      <w:r w:rsidRPr="00DA3C5C">
        <w:rPr>
          <w:rFonts w:cstheme="majorHAnsi"/>
          <w:sz w:val="22"/>
          <w:szCs w:val="22"/>
        </w:rPr>
        <w:t>’ you will be responsible for</w:t>
      </w:r>
      <w:r w:rsidR="122395B5" w:rsidRPr="00DA3C5C">
        <w:rPr>
          <w:rFonts w:cstheme="majorHAnsi"/>
          <w:sz w:val="22"/>
          <w:szCs w:val="22"/>
        </w:rPr>
        <w:t>:</w:t>
      </w:r>
    </w:p>
    <w:p w14:paraId="4F112B58" w14:textId="25A06724" w:rsidR="5D0D05B2" w:rsidRPr="00DA3C5C" w:rsidRDefault="5D0D05B2" w:rsidP="00F37CFB">
      <w:pPr>
        <w:pStyle w:val="Heading2"/>
        <w:numPr>
          <w:ilvl w:val="0"/>
          <w:numId w:val="0"/>
        </w:numPr>
        <w:ind w:left="1160"/>
        <w:rPr>
          <w:rFonts w:cstheme="majorHAnsi"/>
          <w:sz w:val="22"/>
          <w:szCs w:val="22"/>
        </w:rPr>
      </w:pPr>
    </w:p>
    <w:p w14:paraId="6DD34849" w14:textId="63FEECD4" w:rsidR="5D0D05B2" w:rsidRPr="00A35AE1" w:rsidRDefault="122395B5" w:rsidP="00A35AE1">
      <w:pPr>
        <w:pStyle w:val="ListParagraph"/>
        <w:numPr>
          <w:ilvl w:val="0"/>
          <w:numId w:val="26"/>
        </w:numPr>
        <w:rPr>
          <w:rStyle w:val="BlockText1"/>
          <w:rFonts w:asciiTheme="majorHAnsi" w:hAnsiTheme="majorHAnsi" w:cstheme="majorHAnsi"/>
          <w:color w:val="000000" w:themeColor="text1"/>
        </w:rPr>
      </w:pPr>
      <w:r w:rsidRPr="00DA3C5C">
        <w:rPr>
          <w:rStyle w:val="BlockText1"/>
          <w:rFonts w:asciiTheme="majorHAnsi" w:hAnsiTheme="majorHAnsi" w:cstheme="majorHAnsi"/>
          <w:color w:val="000000" w:themeColor="text1"/>
        </w:rPr>
        <w:t>Plan</w:t>
      </w:r>
      <w:r w:rsidR="00A35AE1">
        <w:rPr>
          <w:rStyle w:val="BlockText1"/>
          <w:rFonts w:asciiTheme="majorHAnsi" w:hAnsiTheme="majorHAnsi" w:cstheme="majorHAnsi"/>
          <w:color w:val="000000" w:themeColor="text1"/>
        </w:rPr>
        <w:t>ning</w:t>
      </w:r>
      <w:r w:rsidRPr="00DA3C5C">
        <w:rPr>
          <w:rStyle w:val="BlockText1"/>
          <w:rFonts w:asciiTheme="majorHAnsi" w:hAnsiTheme="majorHAnsi" w:cstheme="majorHAnsi"/>
          <w:color w:val="000000" w:themeColor="text1"/>
        </w:rPr>
        <w:t>, manag</w:t>
      </w:r>
      <w:r w:rsidR="00A35AE1">
        <w:rPr>
          <w:rStyle w:val="BlockText1"/>
          <w:rFonts w:asciiTheme="majorHAnsi" w:hAnsiTheme="majorHAnsi" w:cstheme="majorHAnsi"/>
          <w:color w:val="000000" w:themeColor="text1"/>
        </w:rPr>
        <w:t>ing</w:t>
      </w:r>
      <w:r w:rsidRPr="00A35AE1">
        <w:rPr>
          <w:rStyle w:val="BlockText1"/>
          <w:rFonts w:asciiTheme="majorHAnsi" w:hAnsiTheme="majorHAnsi" w:cstheme="majorHAnsi"/>
          <w:color w:val="000000" w:themeColor="text1"/>
        </w:rPr>
        <w:t xml:space="preserve"> and monitor construction work under </w:t>
      </w:r>
      <w:r w:rsidR="00A35AE1" w:rsidRPr="00A35AE1">
        <w:rPr>
          <w:rStyle w:val="BlockText1"/>
          <w:rFonts w:asciiTheme="majorHAnsi" w:hAnsiTheme="majorHAnsi" w:cstheme="majorHAnsi"/>
          <w:color w:val="000000" w:themeColor="text1"/>
        </w:rPr>
        <w:t>your</w:t>
      </w:r>
      <w:r w:rsidRPr="00A35AE1">
        <w:rPr>
          <w:rStyle w:val="BlockText1"/>
          <w:rFonts w:asciiTheme="majorHAnsi" w:hAnsiTheme="majorHAnsi" w:cstheme="majorHAnsi"/>
          <w:color w:val="000000" w:themeColor="text1"/>
        </w:rPr>
        <w:t xml:space="preserve"> </w:t>
      </w:r>
      <w:r w:rsidR="00AC7629" w:rsidRPr="00A35AE1">
        <w:rPr>
          <w:rStyle w:val="BlockText1"/>
          <w:rFonts w:asciiTheme="majorHAnsi" w:hAnsiTheme="majorHAnsi" w:cstheme="majorHAnsi"/>
          <w:color w:val="000000" w:themeColor="text1"/>
        </w:rPr>
        <w:t>control.</w:t>
      </w:r>
    </w:p>
    <w:p w14:paraId="178C8125" w14:textId="72A2B086" w:rsidR="5D0D05B2" w:rsidRPr="00DA3C5C" w:rsidRDefault="122395B5" w:rsidP="00AC7629">
      <w:pPr>
        <w:pStyle w:val="ListParagraph"/>
        <w:numPr>
          <w:ilvl w:val="0"/>
          <w:numId w:val="26"/>
        </w:numPr>
        <w:rPr>
          <w:rStyle w:val="BlockText1"/>
          <w:rFonts w:asciiTheme="majorHAnsi" w:hAnsiTheme="majorHAnsi" w:cstheme="majorHAnsi"/>
          <w:color w:val="000000" w:themeColor="text1"/>
        </w:rPr>
      </w:pPr>
      <w:r w:rsidRPr="00DA3C5C">
        <w:rPr>
          <w:rStyle w:val="BlockText1"/>
          <w:rFonts w:asciiTheme="majorHAnsi" w:hAnsiTheme="majorHAnsi" w:cstheme="majorHAnsi"/>
          <w:color w:val="000000" w:themeColor="text1"/>
        </w:rPr>
        <w:t>Co-operate, ensure welfare and provide information</w:t>
      </w:r>
    </w:p>
    <w:p w14:paraId="0BD266A8" w14:textId="4C032C3D" w:rsidR="5D0D05B2" w:rsidRPr="00DA3C5C" w:rsidRDefault="00F37CFB" w:rsidP="00AC7629">
      <w:pPr>
        <w:pStyle w:val="ListParagraph"/>
        <w:numPr>
          <w:ilvl w:val="0"/>
          <w:numId w:val="26"/>
        </w:numPr>
        <w:rPr>
          <w:rStyle w:val="BlockText1"/>
          <w:rFonts w:asciiTheme="majorHAnsi" w:hAnsiTheme="majorHAnsi" w:cstheme="majorHAnsi"/>
          <w:color w:val="000000" w:themeColor="text1"/>
        </w:rPr>
      </w:pPr>
      <w:r w:rsidRPr="00DA3C5C">
        <w:rPr>
          <w:rStyle w:val="BlockText1"/>
          <w:rFonts w:asciiTheme="majorHAnsi" w:hAnsiTheme="majorHAnsi" w:cstheme="majorHAnsi"/>
          <w:color w:val="000000" w:themeColor="text1"/>
        </w:rPr>
        <w:t>E</w:t>
      </w:r>
      <w:r w:rsidR="122395B5" w:rsidRPr="00DA3C5C">
        <w:rPr>
          <w:rStyle w:val="BlockText1"/>
          <w:rFonts w:asciiTheme="majorHAnsi" w:hAnsiTheme="majorHAnsi" w:cstheme="majorHAnsi"/>
          <w:color w:val="000000" w:themeColor="text1"/>
        </w:rPr>
        <w:t xml:space="preserve">nsuring reasonable steps are taken to prevent unauthorised </w:t>
      </w:r>
      <w:r w:rsidR="00AC7629" w:rsidRPr="00DA3C5C">
        <w:rPr>
          <w:rStyle w:val="BlockText1"/>
          <w:rFonts w:asciiTheme="majorHAnsi" w:hAnsiTheme="majorHAnsi" w:cstheme="majorHAnsi"/>
          <w:color w:val="000000" w:themeColor="text1"/>
        </w:rPr>
        <w:t>access.</w:t>
      </w:r>
    </w:p>
    <w:p w14:paraId="31A5794B" w14:textId="49341D3F" w:rsidR="5D0D05B2" w:rsidRPr="00DA3C5C" w:rsidRDefault="00F37CFB" w:rsidP="00AC7629">
      <w:pPr>
        <w:pStyle w:val="ListParagraph"/>
        <w:numPr>
          <w:ilvl w:val="0"/>
          <w:numId w:val="26"/>
        </w:numPr>
        <w:rPr>
          <w:rStyle w:val="BlockText1"/>
          <w:rFonts w:asciiTheme="majorHAnsi" w:hAnsiTheme="majorHAnsi" w:cstheme="majorHAnsi"/>
          <w:color w:val="000000" w:themeColor="text1"/>
        </w:rPr>
      </w:pPr>
      <w:r w:rsidRPr="00DA3C5C">
        <w:rPr>
          <w:rStyle w:val="BlockText1"/>
          <w:rFonts w:asciiTheme="majorHAnsi" w:hAnsiTheme="majorHAnsi" w:cstheme="majorHAnsi"/>
          <w:color w:val="000000" w:themeColor="text1"/>
        </w:rPr>
        <w:t>E</w:t>
      </w:r>
      <w:r w:rsidR="122395B5" w:rsidRPr="00DA3C5C">
        <w:rPr>
          <w:rStyle w:val="BlockText1"/>
          <w:rFonts w:asciiTheme="majorHAnsi" w:hAnsiTheme="majorHAnsi" w:cstheme="majorHAnsi"/>
          <w:color w:val="000000" w:themeColor="text1"/>
        </w:rPr>
        <w:t>nsuring workers are consulted and engaged in securing their health and safety;</w:t>
      </w:r>
    </w:p>
    <w:p w14:paraId="6D669749" w14:textId="45209C80" w:rsidR="5D0D05B2" w:rsidRDefault="00F37CFB" w:rsidP="00AC7629">
      <w:pPr>
        <w:pStyle w:val="ListParagraph"/>
        <w:numPr>
          <w:ilvl w:val="0"/>
          <w:numId w:val="26"/>
        </w:numPr>
        <w:rPr>
          <w:rStyle w:val="BlockText1"/>
          <w:rFonts w:asciiTheme="majorHAnsi" w:hAnsiTheme="majorHAnsi" w:cstheme="majorHAnsi"/>
          <w:color w:val="000000" w:themeColor="text1"/>
        </w:rPr>
      </w:pPr>
      <w:r w:rsidRPr="00DA3C5C">
        <w:rPr>
          <w:rStyle w:val="BlockText1"/>
          <w:rFonts w:asciiTheme="majorHAnsi" w:hAnsiTheme="majorHAnsi" w:cstheme="majorHAnsi"/>
          <w:color w:val="000000" w:themeColor="text1"/>
        </w:rPr>
        <w:t>E</w:t>
      </w:r>
      <w:r w:rsidR="122395B5" w:rsidRPr="00DA3C5C">
        <w:rPr>
          <w:rStyle w:val="BlockText1"/>
          <w:rFonts w:asciiTheme="majorHAnsi" w:hAnsiTheme="majorHAnsi" w:cstheme="majorHAnsi"/>
          <w:color w:val="000000" w:themeColor="text1"/>
        </w:rPr>
        <w:t>nsuring welfare facilities are provided.</w:t>
      </w:r>
    </w:p>
    <w:p w14:paraId="0F20C580" w14:textId="5D543B43" w:rsidR="005723C1" w:rsidRPr="00DA3C5C" w:rsidRDefault="005723C1" w:rsidP="00AC7629">
      <w:pPr>
        <w:pStyle w:val="ListParagraph"/>
        <w:numPr>
          <w:ilvl w:val="0"/>
          <w:numId w:val="26"/>
        </w:numPr>
        <w:rPr>
          <w:rStyle w:val="BlockText1"/>
          <w:rFonts w:asciiTheme="majorHAnsi" w:hAnsiTheme="majorHAnsi" w:cstheme="majorHAnsi"/>
          <w:color w:val="000000" w:themeColor="text1"/>
        </w:rPr>
      </w:pPr>
      <w:r>
        <w:rPr>
          <w:rStyle w:val="BlockText1"/>
          <w:rFonts w:asciiTheme="majorHAnsi" w:hAnsiTheme="majorHAnsi" w:cstheme="majorHAnsi"/>
          <w:color w:val="000000" w:themeColor="text1"/>
        </w:rPr>
        <w:t>Ensuring individuals do not work as a ‘CDM’ Designer and Contractor on each project.</w:t>
      </w:r>
    </w:p>
    <w:p w14:paraId="150AD51F" w14:textId="585CD90E" w:rsidR="5D0D05B2" w:rsidRPr="00DA3C5C" w:rsidRDefault="5D0D05B2" w:rsidP="00F37CFB">
      <w:pPr>
        <w:pStyle w:val="Heading2"/>
        <w:numPr>
          <w:ilvl w:val="0"/>
          <w:numId w:val="0"/>
        </w:numPr>
        <w:ind w:left="1160"/>
        <w:rPr>
          <w:rFonts w:cstheme="majorHAnsi"/>
          <w:sz w:val="22"/>
          <w:szCs w:val="22"/>
        </w:rPr>
      </w:pPr>
    </w:p>
    <w:p w14:paraId="027462CF" w14:textId="56DFC2E7" w:rsidR="5D0D05B2" w:rsidRPr="00DA3C5C" w:rsidRDefault="122395B5" w:rsidP="008015E7">
      <w:pPr>
        <w:pStyle w:val="Heading2"/>
        <w:rPr>
          <w:rFonts w:cstheme="majorHAnsi"/>
          <w:sz w:val="22"/>
          <w:szCs w:val="22"/>
        </w:rPr>
      </w:pPr>
      <w:r w:rsidRPr="00DA3C5C">
        <w:rPr>
          <w:rFonts w:cstheme="majorHAnsi"/>
          <w:sz w:val="22"/>
          <w:szCs w:val="22"/>
        </w:rPr>
        <w:t>The Environment Agency is to undertake the role of ‘Client’ as part of the CDM Regulations 2015. As such it will require information from ‘The Contractor’ to enable it to perform its’ role. This includes information in relation to the ‘</w:t>
      </w:r>
      <w:r w:rsidR="00F37CFB" w:rsidRPr="00DA3C5C">
        <w:rPr>
          <w:rFonts w:cstheme="majorHAnsi"/>
          <w:sz w:val="22"/>
          <w:szCs w:val="22"/>
        </w:rPr>
        <w:t>Cabin</w:t>
      </w:r>
      <w:r w:rsidRPr="00DA3C5C">
        <w:rPr>
          <w:rFonts w:cstheme="majorHAnsi"/>
          <w:sz w:val="22"/>
          <w:szCs w:val="22"/>
        </w:rPr>
        <w:t xml:space="preserve"> Installations’, such as providing the information and confirming:</w:t>
      </w:r>
    </w:p>
    <w:p w14:paraId="7A636FCF" w14:textId="2F965553" w:rsidR="5D0D05B2" w:rsidRPr="00DA3C5C" w:rsidRDefault="5D0D05B2" w:rsidP="008C4886">
      <w:pPr>
        <w:pStyle w:val="Heading2"/>
        <w:numPr>
          <w:ilvl w:val="0"/>
          <w:numId w:val="0"/>
        </w:numPr>
        <w:ind w:left="1160"/>
        <w:rPr>
          <w:rFonts w:cstheme="majorHAnsi"/>
          <w:sz w:val="22"/>
          <w:szCs w:val="22"/>
        </w:rPr>
      </w:pPr>
    </w:p>
    <w:p w14:paraId="3FD3B50D" w14:textId="09C7043A" w:rsidR="5D0D05B2" w:rsidRPr="00DA3C5C" w:rsidRDefault="122395B5" w:rsidP="00AC7629">
      <w:pPr>
        <w:pStyle w:val="ListParagraph"/>
        <w:numPr>
          <w:ilvl w:val="0"/>
          <w:numId w:val="27"/>
        </w:numPr>
        <w:rPr>
          <w:rFonts w:asciiTheme="majorHAnsi" w:hAnsiTheme="majorHAnsi" w:cstheme="majorHAnsi"/>
          <w:color w:val="000000" w:themeColor="text1"/>
        </w:rPr>
      </w:pPr>
      <w:r w:rsidRPr="00DA3C5C">
        <w:rPr>
          <w:rFonts w:asciiTheme="majorHAnsi" w:hAnsiTheme="majorHAnsi" w:cstheme="majorHAnsi"/>
          <w:color w:val="000000" w:themeColor="text1"/>
        </w:rPr>
        <w:t>suitable arrangements are in place, including making sure duty holders are appointed as appropriate and sufficient time and resources are allocated;</w:t>
      </w:r>
    </w:p>
    <w:p w14:paraId="6BA7CB0D" w14:textId="2F040351" w:rsidR="5D0D05B2" w:rsidRPr="00DA3C5C" w:rsidRDefault="122395B5" w:rsidP="00AC7629">
      <w:pPr>
        <w:pStyle w:val="ListParagraph"/>
        <w:numPr>
          <w:ilvl w:val="0"/>
          <w:numId w:val="27"/>
        </w:numPr>
        <w:rPr>
          <w:rFonts w:asciiTheme="majorHAnsi" w:hAnsiTheme="majorHAnsi" w:cstheme="majorHAnsi"/>
          <w:color w:val="000000" w:themeColor="text1"/>
        </w:rPr>
      </w:pPr>
      <w:r w:rsidRPr="00DA3C5C">
        <w:rPr>
          <w:rFonts w:asciiTheme="majorHAnsi" w:hAnsiTheme="majorHAnsi" w:cstheme="majorHAnsi"/>
          <w:color w:val="000000" w:themeColor="text1"/>
        </w:rPr>
        <w:t xml:space="preserve">relevant information is prepared and provided to other duty holders, the principal </w:t>
      </w:r>
      <w:r w:rsidR="00CE7C14">
        <w:rPr>
          <w:rFonts w:asciiTheme="majorHAnsi" w:hAnsiTheme="majorHAnsi" w:cstheme="majorHAnsi"/>
          <w:color w:val="000000" w:themeColor="text1"/>
        </w:rPr>
        <w:t>CDM Designer</w:t>
      </w:r>
      <w:r w:rsidRPr="00DA3C5C">
        <w:rPr>
          <w:rFonts w:asciiTheme="majorHAnsi" w:hAnsiTheme="majorHAnsi" w:cstheme="majorHAnsi"/>
          <w:color w:val="000000" w:themeColor="text1"/>
        </w:rPr>
        <w:t xml:space="preserve"> and principal </w:t>
      </w:r>
      <w:r w:rsidR="005B1236">
        <w:rPr>
          <w:rFonts w:asciiTheme="majorHAnsi" w:hAnsiTheme="majorHAnsi" w:cstheme="majorHAnsi"/>
          <w:color w:val="000000" w:themeColor="text1"/>
        </w:rPr>
        <w:t>CDM Contractor</w:t>
      </w:r>
      <w:r w:rsidRPr="00DA3C5C">
        <w:rPr>
          <w:rFonts w:asciiTheme="majorHAnsi" w:hAnsiTheme="majorHAnsi" w:cstheme="majorHAnsi"/>
          <w:color w:val="000000" w:themeColor="text1"/>
        </w:rPr>
        <w:t xml:space="preserve"> to carry out their duties;</w:t>
      </w:r>
    </w:p>
    <w:p w14:paraId="11296DDA" w14:textId="3F2822A2" w:rsidR="5D0D05B2" w:rsidRPr="00DA3C5C" w:rsidRDefault="122395B5" w:rsidP="00AC7629">
      <w:pPr>
        <w:pStyle w:val="ListParagraph"/>
        <w:numPr>
          <w:ilvl w:val="0"/>
          <w:numId w:val="27"/>
        </w:numPr>
        <w:rPr>
          <w:rFonts w:asciiTheme="majorHAnsi" w:hAnsiTheme="majorHAnsi" w:cstheme="majorHAnsi"/>
          <w:color w:val="000000" w:themeColor="text1"/>
        </w:rPr>
      </w:pPr>
      <w:r w:rsidRPr="00DA3C5C">
        <w:rPr>
          <w:rFonts w:asciiTheme="majorHAnsi" w:hAnsiTheme="majorHAnsi" w:cstheme="majorHAnsi"/>
          <w:color w:val="000000" w:themeColor="text1"/>
        </w:rPr>
        <w:t>welfare facilities are provided;</w:t>
      </w:r>
    </w:p>
    <w:p w14:paraId="76A971EB" w14:textId="4497F793" w:rsidR="5D0D05B2" w:rsidRDefault="122395B5" w:rsidP="00AC7629">
      <w:pPr>
        <w:pStyle w:val="ListParagraph"/>
        <w:numPr>
          <w:ilvl w:val="0"/>
          <w:numId w:val="27"/>
        </w:numPr>
        <w:rPr>
          <w:rFonts w:asciiTheme="majorHAnsi" w:hAnsiTheme="majorHAnsi" w:cstheme="majorHAnsi"/>
          <w:color w:val="000000" w:themeColor="text1"/>
        </w:rPr>
      </w:pPr>
      <w:r w:rsidRPr="00DA3C5C">
        <w:rPr>
          <w:rFonts w:asciiTheme="majorHAnsi" w:hAnsiTheme="majorHAnsi" w:cstheme="majorHAnsi"/>
          <w:color w:val="000000" w:themeColor="text1"/>
        </w:rPr>
        <w:t xml:space="preserve">engaging impacts with the Principal </w:t>
      </w:r>
      <w:r w:rsidR="00CE7C14">
        <w:rPr>
          <w:rFonts w:asciiTheme="majorHAnsi" w:hAnsiTheme="majorHAnsi" w:cstheme="majorHAnsi"/>
          <w:color w:val="000000" w:themeColor="text1"/>
        </w:rPr>
        <w:t>CDM Designer</w:t>
      </w:r>
      <w:r w:rsidRPr="00DA3C5C">
        <w:rPr>
          <w:rFonts w:asciiTheme="majorHAnsi" w:hAnsiTheme="majorHAnsi" w:cstheme="majorHAnsi"/>
          <w:color w:val="000000" w:themeColor="text1"/>
        </w:rPr>
        <w:t xml:space="preserve"> and Principal </w:t>
      </w:r>
      <w:r w:rsidR="005B1236">
        <w:rPr>
          <w:rFonts w:asciiTheme="majorHAnsi" w:hAnsiTheme="majorHAnsi" w:cstheme="majorHAnsi"/>
          <w:color w:val="000000" w:themeColor="text1"/>
        </w:rPr>
        <w:t>CDM Contractor</w:t>
      </w:r>
      <w:r w:rsidRPr="00DA3C5C">
        <w:rPr>
          <w:rFonts w:asciiTheme="majorHAnsi" w:hAnsiTheme="majorHAnsi" w:cstheme="majorHAnsi"/>
          <w:color w:val="000000" w:themeColor="text1"/>
        </w:rPr>
        <w:t xml:space="preserve"> where we as the Environment Agency have a role, for example any invasive species work for construction projects, or waste disposal, where we would expect the Contractor to follow our guidance.</w:t>
      </w:r>
    </w:p>
    <w:p w14:paraId="5B2F4289" w14:textId="77777777" w:rsidR="00006880" w:rsidRPr="00006880" w:rsidRDefault="00006880" w:rsidP="00006880">
      <w:pPr>
        <w:rPr>
          <w:rFonts w:asciiTheme="majorHAnsi" w:hAnsiTheme="majorHAnsi" w:cstheme="majorHAnsi"/>
          <w:color w:val="000000" w:themeColor="text1"/>
        </w:rPr>
      </w:pPr>
    </w:p>
    <w:p w14:paraId="3881E533" w14:textId="1501A6CF" w:rsidR="5D0D05B2" w:rsidRPr="00F716CB" w:rsidRDefault="00356C03" w:rsidP="00356C03">
      <w:pPr>
        <w:pStyle w:val="Heading2"/>
      </w:pPr>
      <w:r>
        <w:t xml:space="preserve"> The contractor is required to </w:t>
      </w:r>
      <w:r w:rsidR="122395B5" w:rsidRPr="06818770">
        <w:t xml:space="preserve">act </w:t>
      </w:r>
      <w:r>
        <w:t xml:space="preserve">in </w:t>
      </w:r>
      <w:r w:rsidR="122395B5" w:rsidRPr="06818770">
        <w:t xml:space="preserve">a CDM designer and </w:t>
      </w:r>
      <w:r w:rsidR="005B1236">
        <w:t>CDM Contractor</w:t>
      </w:r>
      <w:r w:rsidR="122395B5" w:rsidRPr="06818770">
        <w:t xml:space="preserve"> role for the Environment Agency</w:t>
      </w:r>
      <w:r>
        <w:t xml:space="preserve"> ensuring the project</w:t>
      </w:r>
      <w:r w:rsidR="122395B5" w:rsidRPr="06818770">
        <w:t xml:space="preserve"> is delivered to agreed timescales for new site projects using suitably qualified staff. </w:t>
      </w:r>
      <w:r w:rsidR="004D5C8C" w:rsidRPr="06818770">
        <w:t xml:space="preserve">Responses to </w:t>
      </w:r>
      <w:r w:rsidR="003C6207" w:rsidRPr="06818770">
        <w:t>provide necessary drawings and documents should be within 5 working days</w:t>
      </w:r>
      <w:r w:rsidR="00F77641">
        <w:t>, excepting delays caused by third parties</w:t>
      </w:r>
      <w:r w:rsidR="003C6207" w:rsidRPr="06818770">
        <w:t>.</w:t>
      </w:r>
    </w:p>
    <w:p w14:paraId="06FECCB9" w14:textId="397ECB86" w:rsidR="434B236A" w:rsidRDefault="434B236A">
      <w:r>
        <w:br w:type="page"/>
      </w:r>
    </w:p>
    <w:p w14:paraId="11C2FF24" w14:textId="0D22F8E4" w:rsidR="00AF0465" w:rsidRDefault="006212B7" w:rsidP="00077E54">
      <w:pPr>
        <w:pStyle w:val="Heading1"/>
      </w:pPr>
      <w:r>
        <w:lastRenderedPageBreak/>
        <w:t xml:space="preserve"> </w:t>
      </w:r>
      <w:bookmarkStart w:id="51" w:name="_Toc153342475"/>
      <w:r>
        <w:t>Project Management and Invoicing</w:t>
      </w:r>
      <w:bookmarkEnd w:id="51"/>
      <w:r>
        <w:t xml:space="preserve"> </w:t>
      </w:r>
    </w:p>
    <w:p w14:paraId="1B7D0A8B" w14:textId="4535CC81" w:rsidR="0011647B" w:rsidRPr="0011647B" w:rsidRDefault="0011647B" w:rsidP="0011647B">
      <w:pPr>
        <w:pStyle w:val="Heading2"/>
      </w:pPr>
      <w:r>
        <w:t>Project Manag</w:t>
      </w:r>
      <w:r w:rsidR="00D91E4F">
        <w:t>e</w:t>
      </w:r>
      <w:r>
        <w:t>ment</w:t>
      </w:r>
    </w:p>
    <w:p w14:paraId="535767E3" w14:textId="7B6915F5" w:rsidR="00EF0E78" w:rsidRDefault="00232C6C" w:rsidP="00B63874">
      <w:pPr>
        <w:pStyle w:val="Heading3"/>
      </w:pPr>
      <w:r>
        <w:t xml:space="preserve">Oversight of the </w:t>
      </w:r>
      <w:r w:rsidR="00D757C1">
        <w:t xml:space="preserve">contract will be carried out by the Authority, with the assistance of the </w:t>
      </w:r>
      <w:r w:rsidR="00395867">
        <w:t xml:space="preserve">CMCU. </w:t>
      </w:r>
      <w:r w:rsidR="006A4017">
        <w:t>Given the high number of orders that are likely to form the first two years of this contract, o</w:t>
      </w:r>
      <w:r w:rsidR="00DA47E8">
        <w:t xml:space="preserve">versight will include meetings </w:t>
      </w:r>
      <w:r w:rsidR="006A4017">
        <w:t xml:space="preserve">between the Authority, the CMCU and the </w:t>
      </w:r>
      <w:r w:rsidR="005B1236">
        <w:t>Contractor</w:t>
      </w:r>
      <w:r w:rsidR="006A4017">
        <w:t xml:space="preserve"> a</w:t>
      </w:r>
      <w:r w:rsidR="00DA47E8">
        <w:t>t a frequency determined by the authority</w:t>
      </w:r>
      <w:r w:rsidR="006F255A">
        <w:t>.</w:t>
      </w:r>
      <w:r w:rsidR="00B63874" w:rsidRPr="00B63874">
        <w:t xml:space="preserve"> </w:t>
      </w:r>
      <w:r w:rsidR="00B63874">
        <w:t xml:space="preserve">Given the rapid pace of housing procurement in 2023-25, it is envisaged that the initial meeting schedule will be fortnightly or similar. </w:t>
      </w:r>
    </w:p>
    <w:p w14:paraId="0E0B94B6" w14:textId="1776A258" w:rsidR="00CA6ABF" w:rsidRPr="00CA6ABF" w:rsidRDefault="00CA6ABF" w:rsidP="00CA6ABF">
      <w:pPr>
        <w:pStyle w:val="Heading3"/>
      </w:pPr>
      <w:r>
        <w:t xml:space="preserve">Quarterly oversight meetings will take place at a time agreed by the parties to review KPI performance, </w:t>
      </w:r>
      <w:r w:rsidR="00E27C37">
        <w:t>sustainability</w:t>
      </w:r>
      <w:r>
        <w:t xml:space="preserve"> progress and H+S data</w:t>
      </w:r>
    </w:p>
    <w:p w14:paraId="21B440E4" w14:textId="012FF1AB" w:rsidR="00EF0E78" w:rsidRDefault="00EF0E78" w:rsidP="0011647B">
      <w:pPr>
        <w:pStyle w:val="Heading3"/>
      </w:pPr>
      <w:r>
        <w:t xml:space="preserve">The </w:t>
      </w:r>
      <w:r w:rsidR="005B1236">
        <w:t>Contractor</w:t>
      </w:r>
      <w:r>
        <w:t xml:space="preserve"> will </w:t>
      </w:r>
      <w:r w:rsidR="00345E26">
        <w:t>maintain and provide the Authority access to</w:t>
      </w:r>
      <w:r w:rsidR="00345E26" w:rsidRPr="00345E26">
        <w:t xml:space="preserve"> an </w:t>
      </w:r>
      <w:r w:rsidR="005435DA" w:rsidRPr="00345E26">
        <w:t>up-to-date</w:t>
      </w:r>
      <w:r w:rsidR="00345E26" w:rsidRPr="00345E26">
        <w:t xml:space="preserve"> tracker/database of orders</w:t>
      </w:r>
      <w:r w:rsidR="00345E26">
        <w:t xml:space="preserve"> placed</w:t>
      </w:r>
      <w:r w:rsidR="00345E26" w:rsidRPr="00345E26">
        <w:t>, their progress, and any</w:t>
      </w:r>
      <w:r w:rsidR="00345E26">
        <w:t xml:space="preserve"> issues or</w:t>
      </w:r>
      <w:r w:rsidR="00345E26" w:rsidRPr="00345E26">
        <w:t xml:space="preserve"> reasons for delay.</w:t>
      </w:r>
      <w:r w:rsidR="00D91E4F">
        <w:t xml:space="preserve"> </w:t>
      </w:r>
    </w:p>
    <w:p w14:paraId="4E694C03" w14:textId="0167E58E" w:rsidR="000E6CB7" w:rsidRPr="007925A4" w:rsidRDefault="000E6CB7" w:rsidP="000E6CB7">
      <w:pPr>
        <w:pStyle w:val="Heading3"/>
      </w:pPr>
      <w:r>
        <w:t xml:space="preserve">the </w:t>
      </w:r>
      <w:r w:rsidR="005B1236">
        <w:t>Contractor</w:t>
      </w:r>
      <w:r>
        <w:t xml:space="preserve"> will maintain an issues/obligations risk log in an agreed format and will provide the Authority access to the same. </w:t>
      </w:r>
    </w:p>
    <w:p w14:paraId="28FA331B" w14:textId="09DE2E17" w:rsidR="00B47BFF" w:rsidRDefault="004F72AC" w:rsidP="00B47BFF">
      <w:pPr>
        <w:pStyle w:val="Heading3"/>
      </w:pPr>
      <w:r>
        <w:t xml:space="preserve">The </w:t>
      </w:r>
      <w:r w:rsidR="005B1236">
        <w:t>Contractor</w:t>
      </w:r>
      <w:r>
        <w:t xml:space="preserve"> will notify the Authority of any changes to key personnel that may affect delivery of the contract. Key </w:t>
      </w:r>
      <w:r w:rsidR="003E46A9">
        <w:t>Personnel</w:t>
      </w:r>
      <w:r>
        <w:t xml:space="preserve"> are to be defined </w:t>
      </w:r>
      <w:r w:rsidR="003E46A9">
        <w:t>prior to commencement of the contract</w:t>
      </w:r>
    </w:p>
    <w:p w14:paraId="63222776" w14:textId="3FCDF1FC" w:rsidR="0007007C" w:rsidRPr="0007007C" w:rsidRDefault="0007007C" w:rsidP="0007007C">
      <w:pPr>
        <w:pStyle w:val="Heading3"/>
      </w:pPr>
      <w:r w:rsidRPr="0007007C">
        <w:t xml:space="preserve">The Contractor will develop any required Business Continuity Plan (example provided </w:t>
      </w:r>
      <w:r w:rsidRPr="008D5C25">
        <w:t>in</w:t>
      </w:r>
      <w:r w:rsidR="0072015E" w:rsidRPr="008D5C25">
        <w:t xml:space="preserve"> </w:t>
      </w:r>
      <w:r w:rsidR="0072015E" w:rsidRPr="008D5C25">
        <w:fldChar w:fldCharType="begin"/>
      </w:r>
      <w:r w:rsidR="0072015E" w:rsidRPr="008D5C25">
        <w:instrText xml:space="preserve"> REF _Ref122015597 \h </w:instrText>
      </w:r>
      <w:r w:rsidR="008D5C25">
        <w:instrText xml:space="preserve"> \* MERGEFORMAT </w:instrText>
      </w:r>
      <w:r w:rsidR="0072015E" w:rsidRPr="008D5C25">
        <w:fldChar w:fldCharType="separate"/>
      </w:r>
      <w:r w:rsidR="003F221C" w:rsidRPr="00FE4AED">
        <w:t xml:space="preserve">Appendix </w:t>
      </w:r>
      <w:r w:rsidR="003F221C">
        <w:rPr>
          <w:i/>
          <w:iCs/>
          <w:noProof/>
        </w:rPr>
        <w:t>21</w:t>
      </w:r>
      <w:r w:rsidR="0072015E" w:rsidRPr="008D5C25">
        <w:fldChar w:fldCharType="end"/>
      </w:r>
      <w:r w:rsidRPr="0007007C">
        <w:t xml:space="preserve">.) to ensure that the core services delivered in this contract can continue to be delivered in the event of an emergency or major and /or prolonged interruption to function, once highlighted in the Project Management Risk Assessment.  </w:t>
      </w:r>
    </w:p>
    <w:p w14:paraId="231957C8" w14:textId="345D9A60" w:rsidR="0007007C" w:rsidRPr="0007007C" w:rsidRDefault="0007007C" w:rsidP="0007007C">
      <w:pPr>
        <w:pStyle w:val="Heading3"/>
      </w:pPr>
      <w:r w:rsidRPr="0007007C">
        <w:t xml:space="preserve"> The Contractor shall provide appropriate support to deliver a smooth and efficient hand-over (if required), should they wish to end the contract. This will entail suitable support and provision to enable any new Contractor to take over the installation of assets following purchase, should they wish to exit. The Contractor will maintain a Draft Exit Plan – annually and updated if needed. Exit Plan requirements are in the T&amp;C’s. As a minimum how assets would be accessible and how purchased equipment warranties and spare parts should be demonstrated. </w:t>
      </w:r>
    </w:p>
    <w:p w14:paraId="746B1A96" w14:textId="652AB193" w:rsidR="00495139" w:rsidRPr="00495139" w:rsidRDefault="00495139" w:rsidP="00495139"/>
    <w:p w14:paraId="3636AB4E" w14:textId="67592B01" w:rsidR="0011647B" w:rsidRDefault="0011647B" w:rsidP="0011647B">
      <w:pPr>
        <w:pStyle w:val="Heading2"/>
      </w:pPr>
      <w:r>
        <w:t>Invoicing</w:t>
      </w:r>
    </w:p>
    <w:p w14:paraId="6CB4925E" w14:textId="686AA5E4" w:rsidR="0011647B" w:rsidRDefault="0011647B" w:rsidP="0011647B">
      <w:pPr>
        <w:pStyle w:val="Heading3"/>
      </w:pPr>
      <w:r>
        <w:t xml:space="preserve">Invoices for work carried out will be supplied by the contractor </w:t>
      </w:r>
      <w:r w:rsidR="00335BA5">
        <w:t>in two stages per housing supplied.</w:t>
      </w:r>
      <w:r w:rsidR="006133EB">
        <w:t xml:space="preserve"> Each stage will require evidence of the work done </w:t>
      </w:r>
      <w:r w:rsidR="00FD22C1">
        <w:t>in the form of an acceptance/completion form</w:t>
      </w:r>
    </w:p>
    <w:p w14:paraId="5E6B04F3" w14:textId="2B3C954F" w:rsidR="00340C0C" w:rsidRPr="00340C0C" w:rsidRDefault="00340C0C" w:rsidP="00340C0C">
      <w:pPr>
        <w:pStyle w:val="Heading3"/>
      </w:pPr>
      <w:r>
        <w:t>Ancillary</w:t>
      </w:r>
      <w:r w:rsidR="00B23C1F">
        <w:t xml:space="preserve">, long term </w:t>
      </w:r>
      <w:r w:rsidR="00305503">
        <w:t>(for example</w:t>
      </w:r>
      <w:r w:rsidR="00122E88">
        <w:t>:</w:t>
      </w:r>
      <w:r>
        <w:t xml:space="preserve"> attending meetings throughout the </w:t>
      </w:r>
      <w:r w:rsidR="31F69E8F">
        <w:t>contract or</w:t>
      </w:r>
      <w:r w:rsidR="00305503">
        <w:t xml:space="preserve"> maintaining </w:t>
      </w:r>
      <w:r w:rsidR="00122E88">
        <w:t>records) are to be factored into bid costs, and are not paid separately.</w:t>
      </w:r>
    </w:p>
    <w:p w14:paraId="1153160D" w14:textId="3C15F67A" w:rsidR="006F769F" w:rsidRPr="00335BA5" w:rsidRDefault="006F769F" w:rsidP="00B47BFF">
      <w:pPr>
        <w:pStyle w:val="BulletText1"/>
        <w:numPr>
          <w:ilvl w:val="0"/>
          <w:numId w:val="0"/>
        </w:numPr>
        <w:ind w:left="757"/>
      </w:pPr>
    </w:p>
    <w:tbl>
      <w:tblPr>
        <w:tblStyle w:val="TableGrid"/>
        <w:tblW w:w="9742" w:type="dxa"/>
        <w:tblInd w:w="-5" w:type="dxa"/>
        <w:tblLook w:val="04A0" w:firstRow="1" w:lastRow="0" w:firstColumn="1" w:lastColumn="0" w:noHBand="0" w:noVBand="1"/>
      </w:tblPr>
      <w:tblGrid>
        <w:gridCol w:w="1957"/>
        <w:gridCol w:w="3802"/>
        <w:gridCol w:w="3983"/>
      </w:tblGrid>
      <w:tr w:rsidR="002C17EF" w14:paraId="17D8D42A" w14:textId="77777777" w:rsidTr="008D5C25">
        <w:trPr>
          <w:trHeight w:val="289"/>
        </w:trPr>
        <w:tc>
          <w:tcPr>
            <w:tcW w:w="1957" w:type="dxa"/>
          </w:tcPr>
          <w:p w14:paraId="3EC04821" w14:textId="5504990B" w:rsidR="002C17EF" w:rsidRDefault="002C17EF" w:rsidP="006F769F">
            <w:pPr>
              <w:pStyle w:val="BulletText1"/>
              <w:numPr>
                <w:ilvl w:val="0"/>
                <w:numId w:val="0"/>
              </w:numPr>
            </w:pPr>
          </w:p>
        </w:tc>
        <w:tc>
          <w:tcPr>
            <w:tcW w:w="3802" w:type="dxa"/>
          </w:tcPr>
          <w:p w14:paraId="719BE417" w14:textId="587A06DF" w:rsidR="002C17EF" w:rsidRDefault="002C17EF" w:rsidP="00125D31">
            <w:pPr>
              <w:pStyle w:val="BulletText1"/>
              <w:numPr>
                <w:ilvl w:val="0"/>
                <w:numId w:val="0"/>
              </w:numPr>
              <w:ind w:firstLine="720"/>
            </w:pPr>
            <w:r>
              <w:t>Invoice covers:</w:t>
            </w:r>
          </w:p>
        </w:tc>
        <w:tc>
          <w:tcPr>
            <w:tcW w:w="3983" w:type="dxa"/>
          </w:tcPr>
          <w:p w14:paraId="048A38DA" w14:textId="74423546" w:rsidR="002C17EF" w:rsidRDefault="002C17EF" w:rsidP="006F769F">
            <w:pPr>
              <w:pStyle w:val="BulletText1"/>
              <w:numPr>
                <w:ilvl w:val="0"/>
                <w:numId w:val="0"/>
              </w:numPr>
            </w:pPr>
            <w:r>
              <w:t>Additional information needed</w:t>
            </w:r>
          </w:p>
        </w:tc>
      </w:tr>
      <w:tr w:rsidR="002C17EF" w14:paraId="6B597B35" w14:textId="77777777" w:rsidTr="008D5C25">
        <w:tc>
          <w:tcPr>
            <w:tcW w:w="1957" w:type="dxa"/>
          </w:tcPr>
          <w:p w14:paraId="744E17AF" w14:textId="77777777" w:rsidR="002C17EF" w:rsidRPr="008358EB" w:rsidRDefault="002C17EF" w:rsidP="00125D31">
            <w:pPr>
              <w:pStyle w:val="BulletText1"/>
              <w:numPr>
                <w:ilvl w:val="0"/>
                <w:numId w:val="0"/>
              </w:numPr>
              <w:rPr>
                <w:b/>
                <w:bCs/>
              </w:rPr>
            </w:pPr>
            <w:r w:rsidRPr="008358EB">
              <w:rPr>
                <w:b/>
                <w:bCs/>
              </w:rPr>
              <w:t>Invoice 1</w:t>
            </w:r>
          </w:p>
          <w:p w14:paraId="744FFF49" w14:textId="04983428" w:rsidR="002C17EF" w:rsidRPr="008358EB" w:rsidRDefault="002C17EF" w:rsidP="00125D31">
            <w:pPr>
              <w:pStyle w:val="BulletText1"/>
              <w:numPr>
                <w:ilvl w:val="0"/>
                <w:numId w:val="0"/>
              </w:numPr>
            </w:pPr>
            <w:r w:rsidRPr="008358EB">
              <w:t>Production of cabin ready for storage/install</w:t>
            </w:r>
          </w:p>
        </w:tc>
        <w:tc>
          <w:tcPr>
            <w:tcW w:w="3802" w:type="dxa"/>
          </w:tcPr>
          <w:p w14:paraId="4C71A7B5" w14:textId="5F13ECA6" w:rsidR="002C17EF" w:rsidRDefault="002C17EF" w:rsidP="00077E54">
            <w:pPr>
              <w:pStyle w:val="BulletText1"/>
              <w:numPr>
                <w:ilvl w:val="0"/>
                <w:numId w:val="38"/>
              </w:numPr>
            </w:pPr>
            <w:r>
              <w:t xml:space="preserve">Design and manufacturing of </w:t>
            </w:r>
            <w:r w:rsidR="008D5B48">
              <w:t>housing</w:t>
            </w:r>
          </w:p>
          <w:p w14:paraId="7EB2440F" w14:textId="3FC0146E" w:rsidR="002C17EF" w:rsidRDefault="002C17EF" w:rsidP="00FD22C1">
            <w:pPr>
              <w:pStyle w:val="BulletText1"/>
              <w:numPr>
                <w:ilvl w:val="0"/>
                <w:numId w:val="38"/>
              </w:numPr>
            </w:pPr>
            <w:r>
              <w:t>Supply of fittings/accessories eg. AC units</w:t>
            </w:r>
          </w:p>
          <w:p w14:paraId="43A1EC1E" w14:textId="09D9985D" w:rsidR="002C17EF" w:rsidRDefault="002C17EF" w:rsidP="00FD22C1">
            <w:pPr>
              <w:pStyle w:val="BulletText1"/>
              <w:numPr>
                <w:ilvl w:val="0"/>
                <w:numId w:val="38"/>
              </w:numPr>
            </w:pPr>
            <w:r>
              <w:t>Dead test of electrics</w:t>
            </w:r>
          </w:p>
          <w:p w14:paraId="7BB6E90B" w14:textId="1F2D970C" w:rsidR="00641B50" w:rsidRDefault="00641B50" w:rsidP="00FD22C1">
            <w:pPr>
              <w:pStyle w:val="BulletText1"/>
              <w:numPr>
                <w:ilvl w:val="0"/>
                <w:numId w:val="38"/>
              </w:numPr>
            </w:pPr>
            <w:r>
              <w:t>Drawings</w:t>
            </w:r>
          </w:p>
          <w:p w14:paraId="3C017DEB" w14:textId="6EE6C439" w:rsidR="002C17EF" w:rsidRDefault="002C17EF" w:rsidP="00125D31">
            <w:pPr>
              <w:pStyle w:val="BulletText1"/>
              <w:numPr>
                <w:ilvl w:val="0"/>
                <w:numId w:val="0"/>
              </w:numPr>
            </w:pPr>
          </w:p>
        </w:tc>
        <w:tc>
          <w:tcPr>
            <w:tcW w:w="3983" w:type="dxa"/>
          </w:tcPr>
          <w:p w14:paraId="6D7624B2" w14:textId="00ABE36B" w:rsidR="00340C0C" w:rsidRDefault="102C385F" w:rsidP="00125D31">
            <w:pPr>
              <w:pStyle w:val="BulletText1"/>
              <w:numPr>
                <w:ilvl w:val="0"/>
                <w:numId w:val="0"/>
              </w:numPr>
            </w:pPr>
            <w:r>
              <w:t>Supply acceptance</w:t>
            </w:r>
            <w:r w:rsidR="43553213">
              <w:t xml:space="preserve"> form</w:t>
            </w:r>
            <w:r w:rsidR="00554184">
              <w:t xml:space="preserve"> - </w:t>
            </w:r>
            <w:r w:rsidR="00CA13ED">
              <w:fldChar w:fldCharType="begin"/>
            </w:r>
            <w:r w:rsidR="00CA13ED">
              <w:instrText xml:space="preserve"> REF _Ref122354161 \h </w:instrText>
            </w:r>
            <w:r w:rsidR="00CA13ED">
              <w:fldChar w:fldCharType="separate"/>
            </w:r>
            <w:r w:rsidR="003F221C" w:rsidRPr="00554184">
              <w:t xml:space="preserve">Appendix </w:t>
            </w:r>
            <w:r w:rsidR="003F221C">
              <w:rPr>
                <w:i/>
                <w:iCs/>
                <w:noProof/>
              </w:rPr>
              <w:t>24</w:t>
            </w:r>
            <w:r w:rsidR="00CA13ED">
              <w:fldChar w:fldCharType="end"/>
            </w:r>
            <w:r w:rsidR="504FCBCD">
              <w:t xml:space="preserve">, photos of </w:t>
            </w:r>
            <w:r w:rsidR="00554184">
              <w:t>cabin in storage</w:t>
            </w:r>
          </w:p>
          <w:p w14:paraId="20487784" w14:textId="69A1563C" w:rsidR="002C17EF" w:rsidRDefault="002C17EF" w:rsidP="00125D31">
            <w:pPr>
              <w:pStyle w:val="BulletText1"/>
              <w:numPr>
                <w:ilvl w:val="0"/>
                <w:numId w:val="0"/>
              </w:numPr>
            </w:pPr>
            <w:r>
              <w:t xml:space="preserve">  </w:t>
            </w:r>
          </w:p>
        </w:tc>
      </w:tr>
      <w:tr w:rsidR="002C17EF" w14:paraId="10648C9B" w14:textId="77777777" w:rsidTr="008D5C25">
        <w:tc>
          <w:tcPr>
            <w:tcW w:w="1957" w:type="dxa"/>
          </w:tcPr>
          <w:p w14:paraId="7B262A8A" w14:textId="77777777" w:rsidR="002C17EF" w:rsidRDefault="002C17EF" w:rsidP="00125D31">
            <w:pPr>
              <w:pStyle w:val="BulletText1"/>
              <w:numPr>
                <w:ilvl w:val="0"/>
                <w:numId w:val="0"/>
              </w:numPr>
              <w:rPr>
                <w:b/>
                <w:bCs/>
              </w:rPr>
            </w:pPr>
            <w:r w:rsidRPr="008358EB">
              <w:rPr>
                <w:b/>
                <w:bCs/>
              </w:rPr>
              <w:t>Invoice 2</w:t>
            </w:r>
          </w:p>
          <w:p w14:paraId="62D8875A" w14:textId="61D4A258" w:rsidR="002C17EF" w:rsidRPr="002C17EF" w:rsidRDefault="002C17EF" w:rsidP="00125D31">
            <w:pPr>
              <w:pStyle w:val="BulletText1"/>
              <w:numPr>
                <w:ilvl w:val="0"/>
                <w:numId w:val="0"/>
              </w:numPr>
            </w:pPr>
            <w:r>
              <w:t>Fitting of cabin on site, completion of works.</w:t>
            </w:r>
          </w:p>
        </w:tc>
        <w:tc>
          <w:tcPr>
            <w:tcW w:w="3802" w:type="dxa"/>
          </w:tcPr>
          <w:p w14:paraId="6BC140E3" w14:textId="2F14A439" w:rsidR="002C17EF" w:rsidRDefault="002C17EF" w:rsidP="002C17EF">
            <w:pPr>
              <w:pStyle w:val="BulletText1"/>
            </w:pPr>
            <w:r>
              <w:t xml:space="preserve">Transport of </w:t>
            </w:r>
            <w:r w:rsidR="008D5B48">
              <w:t>housing</w:t>
            </w:r>
            <w:r>
              <w:t xml:space="preserve"> to site</w:t>
            </w:r>
          </w:p>
          <w:p w14:paraId="541270D9" w14:textId="69042885" w:rsidR="002C17EF" w:rsidRDefault="002C17EF" w:rsidP="002C17EF">
            <w:pPr>
              <w:pStyle w:val="BulletText1"/>
            </w:pPr>
            <w:r>
              <w:t>Installation</w:t>
            </w:r>
          </w:p>
          <w:p w14:paraId="41EBD994" w14:textId="77777777" w:rsidR="002C17EF" w:rsidRDefault="002C17EF" w:rsidP="002C17EF">
            <w:pPr>
              <w:pStyle w:val="BulletText1"/>
            </w:pPr>
            <w:r>
              <w:t>Fitting out on site</w:t>
            </w:r>
          </w:p>
          <w:p w14:paraId="27CD8580" w14:textId="40AE0EC6" w:rsidR="002C17EF" w:rsidRDefault="002C17EF" w:rsidP="002C17EF">
            <w:pPr>
              <w:pStyle w:val="BulletText1"/>
            </w:pPr>
            <w:r>
              <w:t xml:space="preserve">Any agreed works </w:t>
            </w:r>
            <w:r w:rsidR="00CE7347">
              <w:t xml:space="preserve">on site </w:t>
            </w:r>
            <w:r>
              <w:t>such as fitting instrumentation</w:t>
            </w:r>
          </w:p>
        </w:tc>
        <w:tc>
          <w:tcPr>
            <w:tcW w:w="3983" w:type="dxa"/>
          </w:tcPr>
          <w:p w14:paraId="1287585E" w14:textId="06C06642" w:rsidR="002C17EF" w:rsidRDefault="0072015E" w:rsidP="00125D31">
            <w:pPr>
              <w:pStyle w:val="BulletText1"/>
              <w:numPr>
                <w:ilvl w:val="0"/>
                <w:numId w:val="0"/>
              </w:numPr>
            </w:pPr>
            <w:r>
              <w:t>Commissioning</w:t>
            </w:r>
            <w:r w:rsidR="002C17EF">
              <w:t xml:space="preserve"> form </w:t>
            </w:r>
            <w:r w:rsidR="00554184">
              <w:fldChar w:fldCharType="begin"/>
            </w:r>
            <w:r w:rsidR="00554184">
              <w:instrText xml:space="preserve"> REF _Ref122354180 \h </w:instrText>
            </w:r>
            <w:r w:rsidR="00554184">
              <w:fldChar w:fldCharType="separate"/>
            </w:r>
            <w:r w:rsidR="003F221C" w:rsidRPr="00554184">
              <w:t xml:space="preserve">Appendix </w:t>
            </w:r>
            <w:r w:rsidR="003F221C">
              <w:rPr>
                <w:i/>
                <w:iCs/>
                <w:noProof/>
              </w:rPr>
              <w:t>25</w:t>
            </w:r>
            <w:r w:rsidR="00554184">
              <w:fldChar w:fldCharType="end"/>
            </w:r>
            <w:r w:rsidR="00554184">
              <w:t xml:space="preserve"> </w:t>
            </w:r>
            <w:r w:rsidR="002C17EF">
              <w:t>and associated photos of completed site</w:t>
            </w:r>
          </w:p>
        </w:tc>
      </w:tr>
    </w:tbl>
    <w:p w14:paraId="362DEE1C" w14:textId="5C2F47C8" w:rsidR="00586A02" w:rsidRDefault="006E57DC" w:rsidP="006E57DC">
      <w:pPr>
        <w:pStyle w:val="Heading3"/>
      </w:pPr>
      <w:r>
        <w:t>Invoice format</w:t>
      </w:r>
    </w:p>
    <w:p w14:paraId="1CE19E52" w14:textId="16838164" w:rsidR="006E57DC" w:rsidRDefault="006E57DC" w:rsidP="006E57DC"/>
    <w:p w14:paraId="08111A84" w14:textId="1F26DE9F" w:rsidR="00286621" w:rsidRDefault="006E57DC" w:rsidP="006E57DC">
      <w:pPr>
        <w:rPr>
          <w:rFonts w:cstheme="minorHAnsi"/>
          <w:sz w:val="20"/>
          <w:szCs w:val="20"/>
          <w:shd w:val="clear" w:color="auto" w:fill="FAF9F8"/>
        </w:rPr>
      </w:pPr>
      <w:r w:rsidRPr="00EB1413">
        <w:rPr>
          <w:rFonts w:cstheme="minorHAnsi"/>
          <w:sz w:val="20"/>
          <w:szCs w:val="20"/>
          <w:shd w:val="clear" w:color="auto" w:fill="FAF9F8"/>
        </w:rPr>
        <w:t xml:space="preserve">Invoices by the Contractor will be provided within 10 working days </w:t>
      </w:r>
      <w:r w:rsidR="00EE3317">
        <w:rPr>
          <w:rFonts w:cstheme="minorHAnsi"/>
          <w:sz w:val="20"/>
          <w:szCs w:val="20"/>
          <w:shd w:val="clear" w:color="auto" w:fill="FAF9F8"/>
        </w:rPr>
        <w:t>an invoice milestone being</w:t>
      </w:r>
      <w:r w:rsidR="000D3F81">
        <w:rPr>
          <w:rFonts w:cstheme="minorHAnsi"/>
          <w:sz w:val="20"/>
          <w:szCs w:val="20"/>
          <w:shd w:val="clear" w:color="auto" w:fill="FAF9F8"/>
        </w:rPr>
        <w:t xml:space="preserve"> completed</w:t>
      </w:r>
      <w:r w:rsidRPr="00EB1413">
        <w:rPr>
          <w:rFonts w:cstheme="minorHAnsi"/>
          <w:sz w:val="20"/>
          <w:szCs w:val="20"/>
          <w:shd w:val="clear" w:color="auto" w:fill="FAF9F8"/>
        </w:rPr>
        <w:t xml:space="preserve">. Invoices will be paid within 30 days of receipt of </w:t>
      </w:r>
      <w:r w:rsidR="00C8682E" w:rsidRPr="00EB1413">
        <w:rPr>
          <w:rFonts w:cstheme="minorHAnsi"/>
          <w:sz w:val="20"/>
          <w:szCs w:val="20"/>
          <w:shd w:val="clear" w:color="auto" w:fill="FAF9F8"/>
        </w:rPr>
        <w:t>a correct</w:t>
      </w:r>
      <w:r w:rsidRPr="00EB1413">
        <w:rPr>
          <w:rFonts w:cstheme="minorHAnsi"/>
          <w:sz w:val="20"/>
          <w:szCs w:val="20"/>
          <w:shd w:val="clear" w:color="auto" w:fill="FAF9F8"/>
        </w:rPr>
        <w:t xml:space="preserve"> invoice. They should be sent to the EA contracts team for pre-approval and receipting, and then to the Agency accounts payable account currently: </w:t>
      </w:r>
    </w:p>
    <w:p w14:paraId="7E48D54D" w14:textId="588BD903" w:rsidR="00240683" w:rsidRPr="00EB1413" w:rsidRDefault="006E57DC" w:rsidP="006E57DC">
      <w:pPr>
        <w:rPr>
          <w:rFonts w:cstheme="minorHAnsi"/>
          <w:sz w:val="20"/>
          <w:szCs w:val="20"/>
          <w:shd w:val="clear" w:color="auto" w:fill="FAF9F8"/>
        </w:rPr>
      </w:pPr>
      <w:r w:rsidRPr="00EB1413">
        <w:rPr>
          <w:rFonts w:cstheme="minorHAnsi"/>
          <w:sz w:val="20"/>
          <w:szCs w:val="20"/>
          <w:shd w:val="clear" w:color="auto" w:fill="FAF9F8"/>
        </w:rPr>
        <w:t xml:space="preserve">By email </w:t>
      </w:r>
      <w:r w:rsidR="009B63F8" w:rsidRPr="009B63F8">
        <w:rPr>
          <w:rFonts w:cstheme="minorHAnsi"/>
          <w:sz w:val="20"/>
          <w:szCs w:val="20"/>
          <w:shd w:val="clear" w:color="auto" w:fill="FAF9F8"/>
        </w:rPr>
        <w:t>APinvoices-ENV-U@gov.sscl.com</w:t>
      </w:r>
    </w:p>
    <w:p w14:paraId="699C9479" w14:textId="031170EA" w:rsidR="00240683" w:rsidRPr="00EB1413" w:rsidRDefault="006E57DC" w:rsidP="006E57DC">
      <w:pPr>
        <w:rPr>
          <w:rFonts w:cstheme="minorHAnsi"/>
          <w:sz w:val="20"/>
          <w:szCs w:val="20"/>
          <w:shd w:val="clear" w:color="auto" w:fill="FAF9F8"/>
        </w:rPr>
      </w:pPr>
      <w:r w:rsidRPr="00EB1413">
        <w:rPr>
          <w:rFonts w:cstheme="minorHAnsi"/>
          <w:sz w:val="20"/>
          <w:szCs w:val="20"/>
          <w:shd w:val="clear" w:color="auto" w:fill="FAF9F8"/>
        </w:rPr>
        <w:t xml:space="preserve">The invoices shall </w:t>
      </w:r>
      <w:r w:rsidR="00EB1413" w:rsidRPr="00EB1413">
        <w:rPr>
          <w:rFonts w:cstheme="minorHAnsi"/>
          <w:sz w:val="20"/>
          <w:szCs w:val="20"/>
          <w:shd w:val="clear" w:color="auto" w:fill="FAF9F8"/>
        </w:rPr>
        <w:t xml:space="preserve"> be in PDF format and </w:t>
      </w:r>
      <w:r w:rsidRPr="00EB1413">
        <w:rPr>
          <w:rFonts w:cstheme="minorHAnsi"/>
          <w:sz w:val="20"/>
          <w:szCs w:val="20"/>
          <w:shd w:val="clear" w:color="auto" w:fill="FAF9F8"/>
        </w:rPr>
        <w:t xml:space="preserve">include: </w:t>
      </w:r>
    </w:p>
    <w:p w14:paraId="020D8DD3" w14:textId="77777777" w:rsidR="00240683" w:rsidRPr="00EB1413" w:rsidRDefault="006E57DC" w:rsidP="006E57DC">
      <w:pPr>
        <w:rPr>
          <w:rFonts w:cstheme="minorHAnsi"/>
          <w:sz w:val="20"/>
          <w:szCs w:val="20"/>
          <w:shd w:val="clear" w:color="auto" w:fill="FAF9F8"/>
        </w:rPr>
      </w:pPr>
      <w:r w:rsidRPr="00EB1413">
        <w:rPr>
          <w:rFonts w:cstheme="minorHAnsi"/>
          <w:sz w:val="20"/>
          <w:szCs w:val="20"/>
          <w:shd w:val="clear" w:color="auto" w:fill="FAF9F8"/>
        </w:rPr>
        <w:t>i) Unique invoice number;</w:t>
      </w:r>
    </w:p>
    <w:p w14:paraId="608CD1B8" w14:textId="77777777" w:rsidR="00240683" w:rsidRPr="00EB1413" w:rsidRDefault="006E57DC" w:rsidP="006E57DC">
      <w:pPr>
        <w:rPr>
          <w:rFonts w:cstheme="minorHAnsi"/>
          <w:sz w:val="20"/>
          <w:szCs w:val="20"/>
          <w:shd w:val="clear" w:color="auto" w:fill="FAF9F8"/>
        </w:rPr>
      </w:pPr>
      <w:r w:rsidRPr="00EB1413">
        <w:rPr>
          <w:rFonts w:cstheme="minorHAnsi"/>
          <w:sz w:val="20"/>
          <w:szCs w:val="20"/>
          <w:shd w:val="clear" w:color="auto" w:fill="FAF9F8"/>
        </w:rPr>
        <w:t>ii) Date of issue;</w:t>
      </w:r>
    </w:p>
    <w:p w14:paraId="2FB23E1B" w14:textId="51D8F225" w:rsidR="00240683" w:rsidRPr="00EB1413" w:rsidRDefault="006E57DC" w:rsidP="006E57DC">
      <w:pPr>
        <w:rPr>
          <w:rFonts w:cstheme="minorHAnsi"/>
          <w:sz w:val="20"/>
          <w:szCs w:val="20"/>
          <w:shd w:val="clear" w:color="auto" w:fill="FAF9F8"/>
        </w:rPr>
      </w:pPr>
      <w:r w:rsidRPr="00EB1413">
        <w:rPr>
          <w:rFonts w:cstheme="minorHAnsi"/>
          <w:sz w:val="20"/>
          <w:szCs w:val="20"/>
          <w:shd w:val="clear" w:color="auto" w:fill="FAF9F8"/>
        </w:rPr>
        <w:t>iii) Purchase order</w:t>
      </w:r>
      <w:r w:rsidR="00EB1413" w:rsidRPr="00EB1413">
        <w:rPr>
          <w:rFonts w:cstheme="minorHAnsi"/>
          <w:sz w:val="20"/>
          <w:szCs w:val="20"/>
          <w:shd w:val="clear" w:color="auto" w:fill="FAF9F8"/>
        </w:rPr>
        <w:t xml:space="preserve"> number</w:t>
      </w:r>
      <w:r w:rsidRPr="00EB1413">
        <w:rPr>
          <w:rFonts w:cstheme="minorHAnsi"/>
          <w:sz w:val="20"/>
          <w:szCs w:val="20"/>
          <w:shd w:val="clear" w:color="auto" w:fill="FAF9F8"/>
        </w:rPr>
        <w:t>;</w:t>
      </w:r>
    </w:p>
    <w:p w14:paraId="3CDD698D" w14:textId="77777777" w:rsidR="00240683" w:rsidRPr="00EB1413" w:rsidRDefault="006E57DC" w:rsidP="006E57DC">
      <w:pPr>
        <w:rPr>
          <w:rFonts w:cstheme="minorHAnsi"/>
          <w:sz w:val="20"/>
          <w:szCs w:val="20"/>
          <w:shd w:val="clear" w:color="auto" w:fill="FAF9F8"/>
        </w:rPr>
      </w:pPr>
      <w:r w:rsidRPr="00EB1413">
        <w:rPr>
          <w:rFonts w:cstheme="minorHAnsi"/>
          <w:sz w:val="20"/>
          <w:szCs w:val="20"/>
          <w:shd w:val="clear" w:color="auto" w:fill="FAF9F8"/>
        </w:rPr>
        <w:t>iv) Date of delivery of services;</w:t>
      </w:r>
    </w:p>
    <w:p w14:paraId="15907F52" w14:textId="77777777" w:rsidR="00240683" w:rsidRPr="00EB1413" w:rsidRDefault="006E57DC" w:rsidP="006E57DC">
      <w:pPr>
        <w:rPr>
          <w:rFonts w:cstheme="minorHAnsi"/>
          <w:sz w:val="20"/>
          <w:szCs w:val="20"/>
          <w:shd w:val="clear" w:color="auto" w:fill="FAF9F8"/>
        </w:rPr>
      </w:pPr>
      <w:r w:rsidRPr="00EB1413">
        <w:rPr>
          <w:rFonts w:cstheme="minorHAnsi"/>
          <w:sz w:val="20"/>
          <w:szCs w:val="20"/>
          <w:shd w:val="clear" w:color="auto" w:fill="FAF9F8"/>
        </w:rPr>
        <w:t>v) Agency contract number;</w:t>
      </w:r>
    </w:p>
    <w:p w14:paraId="6DF7E4A2" w14:textId="77777777" w:rsidR="00240683" w:rsidRPr="00EB1413" w:rsidRDefault="006E57DC" w:rsidP="006E57DC">
      <w:pPr>
        <w:rPr>
          <w:rFonts w:cstheme="minorHAnsi"/>
          <w:sz w:val="20"/>
          <w:szCs w:val="20"/>
          <w:shd w:val="clear" w:color="auto" w:fill="FAF9F8"/>
        </w:rPr>
      </w:pPr>
      <w:r w:rsidRPr="00EB1413">
        <w:rPr>
          <w:rFonts w:cstheme="minorHAnsi"/>
          <w:sz w:val="20"/>
          <w:szCs w:val="20"/>
          <w:shd w:val="clear" w:color="auto" w:fill="FAF9F8"/>
        </w:rPr>
        <w:t>vi) The Agency project officer;</w:t>
      </w:r>
    </w:p>
    <w:p w14:paraId="0023DBB7" w14:textId="77777777" w:rsidR="00240683" w:rsidRPr="00EB1413" w:rsidRDefault="006E57DC" w:rsidP="006E57DC">
      <w:pPr>
        <w:rPr>
          <w:rFonts w:cstheme="minorHAnsi"/>
          <w:sz w:val="20"/>
          <w:szCs w:val="20"/>
          <w:shd w:val="clear" w:color="auto" w:fill="FAF9F8"/>
        </w:rPr>
      </w:pPr>
      <w:r w:rsidRPr="00EB1413">
        <w:rPr>
          <w:rFonts w:cstheme="minorHAnsi"/>
          <w:sz w:val="20"/>
          <w:szCs w:val="20"/>
          <w:shd w:val="clear" w:color="auto" w:fill="FAF9F8"/>
        </w:rPr>
        <w:t>vii) Qualitative description of the work being done</w:t>
      </w:r>
    </w:p>
    <w:p w14:paraId="7D75A9C6" w14:textId="26E1B638" w:rsidR="00240683" w:rsidRPr="00EB1413" w:rsidRDefault="006E57DC" w:rsidP="006E57DC">
      <w:pPr>
        <w:rPr>
          <w:rFonts w:cstheme="minorHAnsi"/>
          <w:sz w:val="20"/>
          <w:szCs w:val="20"/>
          <w:shd w:val="clear" w:color="auto" w:fill="FAF9F8"/>
        </w:rPr>
      </w:pPr>
      <w:r w:rsidRPr="00EB1413">
        <w:rPr>
          <w:rFonts w:cstheme="minorHAnsi"/>
          <w:sz w:val="20"/>
          <w:szCs w:val="20"/>
          <w:shd w:val="clear" w:color="auto" w:fill="FAF9F8"/>
        </w:rPr>
        <w:t>viii) Excluding VAT unit price and total amount</w:t>
      </w:r>
      <w:r w:rsidR="007F53C5">
        <w:rPr>
          <w:rFonts w:cstheme="minorHAnsi"/>
          <w:sz w:val="20"/>
          <w:szCs w:val="20"/>
          <w:shd w:val="clear" w:color="auto" w:fill="FAF9F8"/>
        </w:rPr>
        <w:t>;</w:t>
      </w:r>
    </w:p>
    <w:p w14:paraId="73731809" w14:textId="3C184136" w:rsidR="00240683" w:rsidRPr="00EB1413" w:rsidRDefault="006E57DC" w:rsidP="006E57DC">
      <w:pPr>
        <w:rPr>
          <w:rFonts w:cstheme="minorHAnsi"/>
          <w:sz w:val="20"/>
          <w:szCs w:val="20"/>
          <w:shd w:val="clear" w:color="auto" w:fill="FAF9F8"/>
        </w:rPr>
      </w:pPr>
      <w:r w:rsidRPr="00EB1413">
        <w:rPr>
          <w:rFonts w:cstheme="minorHAnsi"/>
          <w:sz w:val="20"/>
          <w:szCs w:val="20"/>
          <w:shd w:val="clear" w:color="auto" w:fill="FAF9F8"/>
        </w:rPr>
        <w:t>ix) Contractor contact name and details;</w:t>
      </w:r>
    </w:p>
    <w:p w14:paraId="12F80ADE" w14:textId="77777777" w:rsidR="00240683" w:rsidRPr="00EB1413" w:rsidRDefault="006E57DC" w:rsidP="006E57DC">
      <w:pPr>
        <w:rPr>
          <w:rFonts w:cstheme="minorHAnsi"/>
          <w:sz w:val="20"/>
          <w:szCs w:val="20"/>
          <w:shd w:val="clear" w:color="auto" w:fill="FAF9F8"/>
        </w:rPr>
      </w:pPr>
      <w:r w:rsidRPr="00EB1413">
        <w:rPr>
          <w:rFonts w:cstheme="minorHAnsi"/>
          <w:sz w:val="20"/>
          <w:szCs w:val="20"/>
          <w:shd w:val="clear" w:color="auto" w:fill="FAF9F8"/>
        </w:rPr>
        <w:t>x) Payment information for Contractor;</w:t>
      </w:r>
    </w:p>
    <w:p w14:paraId="48CD62C1" w14:textId="77777777" w:rsidR="00240683" w:rsidRPr="00EB1413" w:rsidRDefault="006E57DC" w:rsidP="006E57DC">
      <w:pPr>
        <w:rPr>
          <w:rFonts w:cstheme="minorHAnsi"/>
          <w:sz w:val="20"/>
          <w:szCs w:val="20"/>
          <w:shd w:val="clear" w:color="auto" w:fill="FAF9F8"/>
        </w:rPr>
      </w:pPr>
      <w:r w:rsidRPr="00EB1413">
        <w:rPr>
          <w:rFonts w:cstheme="minorHAnsi"/>
          <w:sz w:val="20"/>
          <w:szCs w:val="20"/>
          <w:shd w:val="clear" w:color="auto" w:fill="FAF9F8"/>
        </w:rPr>
        <w:t>xi) Register company information;</w:t>
      </w:r>
    </w:p>
    <w:p w14:paraId="4E078563" w14:textId="0A524F66" w:rsidR="006E57DC" w:rsidRPr="00EB1413" w:rsidRDefault="006E57DC" w:rsidP="006E57DC">
      <w:pPr>
        <w:rPr>
          <w:rFonts w:cstheme="minorHAnsi"/>
          <w:sz w:val="20"/>
          <w:szCs w:val="20"/>
        </w:rPr>
      </w:pPr>
      <w:r w:rsidRPr="00EB1413">
        <w:rPr>
          <w:rFonts w:cstheme="minorHAnsi"/>
          <w:sz w:val="20"/>
          <w:szCs w:val="20"/>
          <w:shd w:val="clear" w:color="auto" w:fill="FAF9F8"/>
        </w:rPr>
        <w:t xml:space="preserve">xii) VAT </w:t>
      </w:r>
      <w:r w:rsidR="00240683" w:rsidRPr="00EB1413">
        <w:rPr>
          <w:rFonts w:cstheme="minorHAnsi"/>
          <w:sz w:val="20"/>
          <w:szCs w:val="20"/>
          <w:shd w:val="clear" w:color="auto" w:fill="FAF9F8"/>
        </w:rPr>
        <w:t>r</w:t>
      </w:r>
      <w:r w:rsidRPr="00EB1413">
        <w:rPr>
          <w:rFonts w:cstheme="minorHAnsi"/>
          <w:sz w:val="20"/>
          <w:szCs w:val="20"/>
          <w:shd w:val="clear" w:color="auto" w:fill="FAF9F8"/>
        </w:rPr>
        <w:t>egistration number;</w:t>
      </w:r>
    </w:p>
    <w:p w14:paraId="319E906B" w14:textId="50163F56" w:rsidR="00586A02" w:rsidRDefault="00586A02" w:rsidP="006E57DC">
      <w:pPr>
        <w:pStyle w:val="Heading3"/>
      </w:pPr>
      <w:r>
        <w:br w:type="page"/>
      </w:r>
    </w:p>
    <w:p w14:paraId="76974872" w14:textId="5F9A3013" w:rsidR="00B003F0" w:rsidRDefault="007B0A45" w:rsidP="00233668">
      <w:pPr>
        <w:pStyle w:val="Heading1"/>
      </w:pPr>
      <w:r>
        <w:lastRenderedPageBreak/>
        <w:t xml:space="preserve"> </w:t>
      </w:r>
      <w:bookmarkStart w:id="52" w:name="_Ref125987758"/>
      <w:bookmarkStart w:id="53" w:name="_Ref125987768"/>
      <w:bookmarkStart w:id="54" w:name="_Ref126150494"/>
      <w:bookmarkStart w:id="55" w:name="_Ref126152403"/>
      <w:bookmarkStart w:id="56" w:name="_Toc153342476"/>
      <w:r>
        <w:t xml:space="preserve">List </w:t>
      </w:r>
      <w:r w:rsidR="003A46D3">
        <w:t>of Appendices</w:t>
      </w:r>
      <w:bookmarkEnd w:id="52"/>
      <w:bookmarkEnd w:id="53"/>
      <w:bookmarkEnd w:id="54"/>
      <w:bookmarkEnd w:id="55"/>
      <w:bookmarkEnd w:id="56"/>
    </w:p>
    <w:p w14:paraId="38C81AF7" w14:textId="77777777" w:rsidR="007B0A45" w:rsidRPr="007B0A45" w:rsidRDefault="007B0A45" w:rsidP="007B0A45"/>
    <w:p w14:paraId="7E490540" w14:textId="77562F28" w:rsidR="00645A98" w:rsidRPr="00FE4AED" w:rsidRDefault="00645A98" w:rsidP="00645A98">
      <w:pPr>
        <w:pStyle w:val="Caption"/>
        <w:rPr>
          <w:rFonts w:ascii="Arial" w:hAnsi="Arial" w:cs="Arial"/>
          <w:i w:val="0"/>
          <w:iCs w:val="0"/>
          <w:szCs w:val="24"/>
        </w:rPr>
      </w:pPr>
      <w:bookmarkStart w:id="57" w:name="_Ref121133997"/>
      <w:bookmarkStart w:id="58" w:name="_Toc121934782"/>
      <w:r w:rsidRPr="00FE4AED">
        <w:rPr>
          <w:i w:val="0"/>
          <w:iCs w:val="0"/>
        </w:rPr>
        <w:t xml:space="preserve">Appendix </w:t>
      </w:r>
      <w:r w:rsidRPr="00FE4AED">
        <w:rPr>
          <w:i w:val="0"/>
          <w:iCs w:val="0"/>
        </w:rPr>
        <w:fldChar w:fldCharType="begin"/>
      </w:r>
      <w:r w:rsidRPr="00FE4AED">
        <w:rPr>
          <w:i w:val="0"/>
          <w:iCs w:val="0"/>
        </w:rPr>
        <w:instrText xml:space="preserve"> SEQ Appendix \* ARABIC </w:instrText>
      </w:r>
      <w:r w:rsidRPr="00FE4AED">
        <w:rPr>
          <w:i w:val="0"/>
          <w:iCs w:val="0"/>
        </w:rPr>
        <w:fldChar w:fldCharType="separate"/>
      </w:r>
      <w:r w:rsidR="003F221C">
        <w:rPr>
          <w:i w:val="0"/>
          <w:iCs w:val="0"/>
          <w:noProof/>
        </w:rPr>
        <w:t>1</w:t>
      </w:r>
      <w:r w:rsidRPr="00FE4AED">
        <w:rPr>
          <w:i w:val="0"/>
          <w:iCs w:val="0"/>
        </w:rPr>
        <w:fldChar w:fldCharType="end"/>
      </w:r>
      <w:bookmarkEnd w:id="57"/>
      <w:r w:rsidRPr="00FE4AED">
        <w:rPr>
          <w:i w:val="0"/>
          <w:iCs w:val="0"/>
        </w:rPr>
        <w:t xml:space="preserve"> </w:t>
      </w:r>
      <w:bookmarkStart w:id="59" w:name="_Toc121934661"/>
      <w:bookmarkStart w:id="60" w:name="_Toc121934769"/>
      <w:r w:rsidR="00FE4AED">
        <w:rPr>
          <w:i w:val="0"/>
          <w:iCs w:val="0"/>
        </w:rPr>
        <w:tab/>
      </w:r>
      <w:bookmarkStart w:id="61" w:name="_Toc125963407"/>
      <w:bookmarkStart w:id="62" w:name="_Toc126254131"/>
      <w:r w:rsidRPr="00FE4AED">
        <w:rPr>
          <w:i w:val="0"/>
          <w:iCs w:val="0"/>
        </w:rPr>
        <w:t>Meica Specification - General</w:t>
      </w:r>
      <w:bookmarkEnd w:id="58"/>
      <w:bookmarkEnd w:id="59"/>
      <w:bookmarkEnd w:id="60"/>
      <w:bookmarkEnd w:id="61"/>
      <w:bookmarkEnd w:id="62"/>
    </w:p>
    <w:p w14:paraId="50D8391A" w14:textId="3A465A2D" w:rsidR="003F1B2A" w:rsidRPr="00FE4AED" w:rsidRDefault="00645A98" w:rsidP="00645A98">
      <w:pPr>
        <w:pStyle w:val="Caption"/>
        <w:rPr>
          <w:rFonts w:ascii="Arial" w:hAnsi="Arial" w:cs="Arial"/>
          <w:i w:val="0"/>
          <w:iCs w:val="0"/>
          <w:szCs w:val="24"/>
        </w:rPr>
      </w:pPr>
      <w:bookmarkStart w:id="63" w:name="_Ref122008660"/>
      <w:bookmarkStart w:id="64" w:name="_Toc121934783"/>
      <w:r w:rsidRPr="00FE4AED">
        <w:rPr>
          <w:i w:val="0"/>
          <w:iCs w:val="0"/>
        </w:rPr>
        <w:t xml:space="preserve">Appendix </w:t>
      </w:r>
      <w:r w:rsidRPr="00FE4AED">
        <w:rPr>
          <w:i w:val="0"/>
          <w:iCs w:val="0"/>
        </w:rPr>
        <w:fldChar w:fldCharType="begin"/>
      </w:r>
      <w:r w:rsidRPr="00FE4AED">
        <w:rPr>
          <w:i w:val="0"/>
          <w:iCs w:val="0"/>
        </w:rPr>
        <w:instrText xml:space="preserve"> SEQ Appendix \* ARABIC </w:instrText>
      </w:r>
      <w:r w:rsidRPr="00FE4AED">
        <w:rPr>
          <w:i w:val="0"/>
          <w:iCs w:val="0"/>
        </w:rPr>
        <w:fldChar w:fldCharType="separate"/>
      </w:r>
      <w:r w:rsidR="003F221C">
        <w:rPr>
          <w:i w:val="0"/>
          <w:iCs w:val="0"/>
          <w:noProof/>
        </w:rPr>
        <w:t>2</w:t>
      </w:r>
      <w:r w:rsidRPr="00FE4AED">
        <w:rPr>
          <w:i w:val="0"/>
          <w:iCs w:val="0"/>
        </w:rPr>
        <w:fldChar w:fldCharType="end"/>
      </w:r>
      <w:bookmarkEnd w:id="63"/>
      <w:r w:rsidRPr="00FE4AED">
        <w:rPr>
          <w:i w:val="0"/>
          <w:iCs w:val="0"/>
        </w:rPr>
        <w:t xml:space="preserve"> </w:t>
      </w:r>
      <w:bookmarkStart w:id="65" w:name="_Toc121934662"/>
      <w:bookmarkStart w:id="66" w:name="_Toc121934770"/>
      <w:r w:rsidR="00586A02">
        <w:rPr>
          <w:i w:val="0"/>
          <w:iCs w:val="0"/>
        </w:rPr>
        <w:tab/>
      </w:r>
      <w:bookmarkStart w:id="67" w:name="_Toc125963408"/>
      <w:bookmarkStart w:id="68" w:name="_Toc126254132"/>
      <w:r w:rsidRPr="00FE4AED">
        <w:rPr>
          <w:i w:val="0"/>
          <w:iCs w:val="0"/>
        </w:rPr>
        <w:t>Meica Specification - Kiosks and Enclosures</w:t>
      </w:r>
      <w:bookmarkEnd w:id="64"/>
      <w:bookmarkEnd w:id="65"/>
      <w:bookmarkEnd w:id="66"/>
      <w:bookmarkEnd w:id="67"/>
      <w:bookmarkEnd w:id="68"/>
    </w:p>
    <w:p w14:paraId="36259A81" w14:textId="2E8A4ABC" w:rsidR="006A4686" w:rsidRPr="00FE4AED" w:rsidRDefault="00645A98" w:rsidP="00645A98">
      <w:pPr>
        <w:pStyle w:val="Caption"/>
        <w:rPr>
          <w:rFonts w:ascii="Arial" w:hAnsi="Arial" w:cs="Arial"/>
          <w:i w:val="0"/>
          <w:iCs w:val="0"/>
          <w:szCs w:val="24"/>
        </w:rPr>
      </w:pPr>
      <w:bookmarkStart w:id="69" w:name="_Toc121934784"/>
      <w:r w:rsidRPr="00FE4AED">
        <w:rPr>
          <w:i w:val="0"/>
          <w:iCs w:val="0"/>
        </w:rPr>
        <w:t xml:space="preserve">Appendix </w:t>
      </w:r>
      <w:r w:rsidRPr="00FE4AED">
        <w:rPr>
          <w:i w:val="0"/>
          <w:iCs w:val="0"/>
        </w:rPr>
        <w:fldChar w:fldCharType="begin"/>
      </w:r>
      <w:r w:rsidRPr="00FE4AED">
        <w:rPr>
          <w:i w:val="0"/>
          <w:iCs w:val="0"/>
        </w:rPr>
        <w:instrText xml:space="preserve"> SEQ Appendix \* ARABIC </w:instrText>
      </w:r>
      <w:r w:rsidRPr="00FE4AED">
        <w:rPr>
          <w:i w:val="0"/>
          <w:iCs w:val="0"/>
        </w:rPr>
        <w:fldChar w:fldCharType="separate"/>
      </w:r>
      <w:r w:rsidR="003F221C">
        <w:rPr>
          <w:i w:val="0"/>
          <w:iCs w:val="0"/>
          <w:noProof/>
        </w:rPr>
        <w:t>3</w:t>
      </w:r>
      <w:r w:rsidRPr="00FE4AED">
        <w:rPr>
          <w:i w:val="0"/>
          <w:iCs w:val="0"/>
        </w:rPr>
        <w:fldChar w:fldCharType="end"/>
      </w:r>
      <w:r w:rsidRPr="00FE4AED">
        <w:rPr>
          <w:i w:val="0"/>
          <w:iCs w:val="0"/>
        </w:rPr>
        <w:t xml:space="preserve"> </w:t>
      </w:r>
      <w:bookmarkStart w:id="70" w:name="_Toc121934663"/>
      <w:bookmarkStart w:id="71" w:name="_Toc121934771"/>
      <w:r w:rsidR="00586A02">
        <w:rPr>
          <w:i w:val="0"/>
          <w:iCs w:val="0"/>
        </w:rPr>
        <w:tab/>
      </w:r>
      <w:bookmarkStart w:id="72" w:name="_Toc125963409"/>
      <w:bookmarkStart w:id="73" w:name="_Toc126254133"/>
      <w:r w:rsidRPr="00FE4AED">
        <w:rPr>
          <w:i w:val="0"/>
          <w:iCs w:val="0"/>
        </w:rPr>
        <w:t>Meica Specification - Documentation</w:t>
      </w:r>
      <w:bookmarkEnd w:id="69"/>
      <w:bookmarkEnd w:id="70"/>
      <w:bookmarkEnd w:id="71"/>
      <w:bookmarkEnd w:id="72"/>
      <w:bookmarkEnd w:id="73"/>
    </w:p>
    <w:p w14:paraId="60C18749" w14:textId="4B37A04E" w:rsidR="001F4A10" w:rsidRPr="00FE4AED" w:rsidRDefault="00645A98" w:rsidP="00645A98">
      <w:pPr>
        <w:pStyle w:val="Caption"/>
        <w:rPr>
          <w:rFonts w:ascii="Arial" w:hAnsi="Arial" w:cs="Arial"/>
          <w:i w:val="0"/>
          <w:iCs w:val="0"/>
          <w:szCs w:val="24"/>
        </w:rPr>
      </w:pPr>
      <w:bookmarkStart w:id="74" w:name="_Ref122008695"/>
      <w:bookmarkStart w:id="75" w:name="_Toc121934785"/>
      <w:r w:rsidRPr="00FE4AED">
        <w:rPr>
          <w:i w:val="0"/>
          <w:iCs w:val="0"/>
        </w:rPr>
        <w:t xml:space="preserve">Appendix </w:t>
      </w:r>
      <w:r w:rsidRPr="00FE4AED">
        <w:rPr>
          <w:i w:val="0"/>
          <w:iCs w:val="0"/>
        </w:rPr>
        <w:fldChar w:fldCharType="begin"/>
      </w:r>
      <w:r w:rsidRPr="00FE4AED">
        <w:rPr>
          <w:i w:val="0"/>
          <w:iCs w:val="0"/>
        </w:rPr>
        <w:instrText xml:space="preserve"> SEQ Appendix \* ARABIC </w:instrText>
      </w:r>
      <w:r w:rsidRPr="00FE4AED">
        <w:rPr>
          <w:i w:val="0"/>
          <w:iCs w:val="0"/>
        </w:rPr>
        <w:fldChar w:fldCharType="separate"/>
      </w:r>
      <w:r w:rsidR="003F221C">
        <w:rPr>
          <w:i w:val="0"/>
          <w:iCs w:val="0"/>
          <w:noProof/>
        </w:rPr>
        <w:t>4</w:t>
      </w:r>
      <w:r w:rsidRPr="00FE4AED">
        <w:rPr>
          <w:i w:val="0"/>
          <w:iCs w:val="0"/>
        </w:rPr>
        <w:fldChar w:fldCharType="end"/>
      </w:r>
      <w:bookmarkEnd w:id="74"/>
      <w:r w:rsidR="00586A02">
        <w:rPr>
          <w:i w:val="0"/>
          <w:iCs w:val="0"/>
        </w:rPr>
        <w:tab/>
      </w:r>
      <w:r w:rsidRPr="00FE4AED">
        <w:rPr>
          <w:i w:val="0"/>
          <w:iCs w:val="0"/>
        </w:rPr>
        <w:t xml:space="preserve"> </w:t>
      </w:r>
      <w:bookmarkStart w:id="76" w:name="_Toc121934664"/>
      <w:bookmarkStart w:id="77" w:name="_Toc121934772"/>
      <w:bookmarkStart w:id="78" w:name="_Toc125963410"/>
      <w:bookmarkStart w:id="79" w:name="_Toc126254134"/>
      <w:r w:rsidRPr="00FE4AED">
        <w:rPr>
          <w:i w:val="0"/>
          <w:iCs w:val="0"/>
        </w:rPr>
        <w:t>Meica Specification - Paints and protection systems</w:t>
      </w:r>
      <w:bookmarkEnd w:id="75"/>
      <w:bookmarkEnd w:id="76"/>
      <w:bookmarkEnd w:id="77"/>
      <w:bookmarkEnd w:id="78"/>
      <w:bookmarkEnd w:id="79"/>
    </w:p>
    <w:p w14:paraId="3F475E15" w14:textId="6A79CA1C" w:rsidR="00D540CA" w:rsidRDefault="00D540CA" w:rsidP="00D540CA">
      <w:pPr>
        <w:pStyle w:val="Caption"/>
        <w:rPr>
          <w:i w:val="0"/>
        </w:rPr>
      </w:pPr>
      <w:bookmarkStart w:id="80" w:name="_Ref122008778"/>
      <w:bookmarkStart w:id="81" w:name="_Toc121934786"/>
      <w:r w:rsidRPr="00FE4AED">
        <w:rPr>
          <w:i w:val="0"/>
          <w:iCs w:val="0"/>
        </w:rPr>
        <w:t xml:space="preserve">Appendix </w:t>
      </w:r>
      <w:r w:rsidRPr="00FE4AED">
        <w:rPr>
          <w:i w:val="0"/>
          <w:iCs w:val="0"/>
        </w:rPr>
        <w:fldChar w:fldCharType="begin"/>
      </w:r>
      <w:r w:rsidRPr="00FE4AED">
        <w:rPr>
          <w:i w:val="0"/>
          <w:iCs w:val="0"/>
        </w:rPr>
        <w:instrText xml:space="preserve"> SEQ Appendix \* ARABIC </w:instrText>
      </w:r>
      <w:r w:rsidRPr="00FE4AED">
        <w:rPr>
          <w:i w:val="0"/>
          <w:iCs w:val="0"/>
        </w:rPr>
        <w:fldChar w:fldCharType="separate"/>
      </w:r>
      <w:r w:rsidR="003F221C">
        <w:rPr>
          <w:i w:val="0"/>
          <w:iCs w:val="0"/>
          <w:noProof/>
        </w:rPr>
        <w:t>5</w:t>
      </w:r>
      <w:r w:rsidRPr="00FE4AED">
        <w:rPr>
          <w:i w:val="0"/>
          <w:iCs w:val="0"/>
        </w:rPr>
        <w:fldChar w:fldCharType="end"/>
      </w:r>
      <w:bookmarkEnd w:id="80"/>
      <w:r w:rsidR="00586A02">
        <w:rPr>
          <w:i w:val="0"/>
          <w:iCs w:val="0"/>
        </w:rPr>
        <w:tab/>
      </w:r>
      <w:r w:rsidRPr="00FE4AED">
        <w:rPr>
          <w:i w:val="0"/>
          <w:iCs w:val="0"/>
        </w:rPr>
        <w:t xml:space="preserve"> </w:t>
      </w:r>
      <w:bookmarkStart w:id="82" w:name="_Toc121934665"/>
      <w:bookmarkStart w:id="83" w:name="_Toc121934773"/>
      <w:bookmarkStart w:id="84" w:name="_Toc125963411"/>
      <w:bookmarkStart w:id="85" w:name="_Toc126254135"/>
      <w:r w:rsidRPr="00FE4AED">
        <w:rPr>
          <w:i w:val="0"/>
          <w:iCs w:val="0"/>
        </w:rPr>
        <w:t>Meica Specification - Electrical Installations</w:t>
      </w:r>
      <w:bookmarkEnd w:id="81"/>
      <w:bookmarkEnd w:id="82"/>
      <w:bookmarkEnd w:id="83"/>
      <w:bookmarkEnd w:id="84"/>
      <w:bookmarkEnd w:id="85"/>
    </w:p>
    <w:p w14:paraId="2012FBFC" w14:textId="3123976B" w:rsidR="007A572C" w:rsidRPr="00FE4AED" w:rsidRDefault="00274B55" w:rsidP="007A572C">
      <w:pPr>
        <w:pStyle w:val="Caption"/>
        <w:rPr>
          <w:i w:val="0"/>
          <w:iCs w:val="0"/>
        </w:rPr>
      </w:pPr>
      <w:bookmarkStart w:id="86" w:name="_Toc121934787"/>
      <w:r w:rsidRPr="00125BD6">
        <w:rPr>
          <w:i w:val="0"/>
          <w:iCs w:val="0"/>
        </w:rPr>
        <w:t xml:space="preserve">Appendix </w:t>
      </w:r>
      <w:r w:rsidRPr="00125BD6">
        <w:rPr>
          <w:i w:val="0"/>
          <w:iCs w:val="0"/>
        </w:rPr>
        <w:fldChar w:fldCharType="begin"/>
      </w:r>
      <w:r w:rsidRPr="00125BD6">
        <w:rPr>
          <w:i w:val="0"/>
          <w:iCs w:val="0"/>
        </w:rPr>
        <w:instrText>SEQ Appendix \* ARABIC</w:instrText>
      </w:r>
      <w:r w:rsidRPr="00125BD6">
        <w:rPr>
          <w:i w:val="0"/>
          <w:iCs w:val="0"/>
        </w:rPr>
        <w:fldChar w:fldCharType="separate"/>
      </w:r>
      <w:r w:rsidR="003F221C">
        <w:rPr>
          <w:i w:val="0"/>
          <w:iCs w:val="0"/>
          <w:noProof/>
        </w:rPr>
        <w:t>6</w:t>
      </w:r>
      <w:r w:rsidRPr="00125BD6">
        <w:rPr>
          <w:i w:val="0"/>
          <w:iCs w:val="0"/>
        </w:rPr>
        <w:fldChar w:fldCharType="end"/>
      </w:r>
      <w:r w:rsidR="00586A02">
        <w:tab/>
      </w:r>
      <w:bookmarkStart w:id="87" w:name="_Toc126254136"/>
      <w:r w:rsidR="007A572C" w:rsidRPr="00FE4AED">
        <w:rPr>
          <w:i w:val="0"/>
          <w:iCs w:val="0"/>
        </w:rPr>
        <w:t xml:space="preserve">Code of Practice for electrical Safety - part </w:t>
      </w:r>
      <w:r w:rsidR="007A572C">
        <w:rPr>
          <w:i w:val="0"/>
          <w:iCs w:val="0"/>
        </w:rPr>
        <w:t>1</w:t>
      </w:r>
      <w:bookmarkEnd w:id="87"/>
    </w:p>
    <w:p w14:paraId="57332528" w14:textId="7D4A62D1" w:rsidR="00274B55" w:rsidRPr="00FE4AED" w:rsidRDefault="00274B55" w:rsidP="00274B55">
      <w:pPr>
        <w:pStyle w:val="Caption"/>
        <w:rPr>
          <w:i w:val="0"/>
          <w:iCs w:val="0"/>
        </w:rPr>
      </w:pPr>
      <w:bookmarkStart w:id="88" w:name="_Ref126253960"/>
      <w:bookmarkStart w:id="89" w:name="_Ref126253962"/>
      <w:r w:rsidRPr="00FE4AED">
        <w:rPr>
          <w:i w:val="0"/>
          <w:iCs w:val="0"/>
        </w:rPr>
        <w:t xml:space="preserve">Appendix </w:t>
      </w:r>
      <w:r w:rsidRPr="00FE4AED">
        <w:rPr>
          <w:i w:val="0"/>
          <w:iCs w:val="0"/>
        </w:rPr>
        <w:fldChar w:fldCharType="begin"/>
      </w:r>
      <w:r w:rsidRPr="00FE4AED">
        <w:rPr>
          <w:i w:val="0"/>
          <w:iCs w:val="0"/>
        </w:rPr>
        <w:instrText xml:space="preserve"> SEQ Appendix \* ARABIC </w:instrText>
      </w:r>
      <w:r w:rsidRPr="00FE4AED">
        <w:rPr>
          <w:i w:val="0"/>
          <w:iCs w:val="0"/>
        </w:rPr>
        <w:fldChar w:fldCharType="separate"/>
      </w:r>
      <w:r w:rsidR="003F221C">
        <w:rPr>
          <w:i w:val="0"/>
          <w:iCs w:val="0"/>
          <w:noProof/>
        </w:rPr>
        <w:t>7</w:t>
      </w:r>
      <w:r w:rsidRPr="00FE4AED">
        <w:rPr>
          <w:i w:val="0"/>
          <w:iCs w:val="0"/>
        </w:rPr>
        <w:fldChar w:fldCharType="end"/>
      </w:r>
      <w:r w:rsidR="00586A02">
        <w:rPr>
          <w:i w:val="0"/>
          <w:iCs w:val="0"/>
        </w:rPr>
        <w:tab/>
      </w:r>
      <w:r w:rsidRPr="00FE4AED">
        <w:rPr>
          <w:i w:val="0"/>
          <w:iCs w:val="0"/>
        </w:rPr>
        <w:t xml:space="preserve"> </w:t>
      </w:r>
      <w:bookmarkStart w:id="90" w:name="_Toc121934666"/>
      <w:bookmarkStart w:id="91" w:name="_Toc121934774"/>
      <w:bookmarkStart w:id="92" w:name="_Toc125963412"/>
      <w:bookmarkStart w:id="93" w:name="_Toc126254137"/>
      <w:r w:rsidRPr="00FE4AED">
        <w:rPr>
          <w:i w:val="0"/>
          <w:iCs w:val="0"/>
        </w:rPr>
        <w:t>Code of Practice for electrical Safety - part 2</w:t>
      </w:r>
      <w:bookmarkEnd w:id="86"/>
      <w:bookmarkEnd w:id="88"/>
      <w:bookmarkEnd w:id="89"/>
      <w:bookmarkEnd w:id="90"/>
      <w:bookmarkEnd w:id="91"/>
      <w:bookmarkEnd w:id="92"/>
      <w:bookmarkEnd w:id="93"/>
    </w:p>
    <w:p w14:paraId="71261051" w14:textId="3679BFEF" w:rsidR="00274B55" w:rsidRPr="00FE4AED" w:rsidRDefault="00274B55" w:rsidP="00274B55">
      <w:pPr>
        <w:pStyle w:val="Caption"/>
        <w:rPr>
          <w:i w:val="0"/>
          <w:iCs w:val="0"/>
        </w:rPr>
      </w:pPr>
      <w:bookmarkStart w:id="94" w:name="_Ref122011435"/>
      <w:bookmarkStart w:id="95" w:name="_Toc121934788"/>
      <w:r w:rsidRPr="00FE4AED">
        <w:rPr>
          <w:i w:val="0"/>
          <w:iCs w:val="0"/>
        </w:rPr>
        <w:t xml:space="preserve">Appendix </w:t>
      </w:r>
      <w:r w:rsidRPr="00FE4AED">
        <w:rPr>
          <w:i w:val="0"/>
          <w:iCs w:val="0"/>
        </w:rPr>
        <w:fldChar w:fldCharType="begin"/>
      </w:r>
      <w:r w:rsidRPr="00FE4AED">
        <w:rPr>
          <w:i w:val="0"/>
          <w:iCs w:val="0"/>
        </w:rPr>
        <w:instrText xml:space="preserve"> SEQ Appendix \* ARABIC </w:instrText>
      </w:r>
      <w:r w:rsidRPr="00FE4AED">
        <w:rPr>
          <w:i w:val="0"/>
          <w:iCs w:val="0"/>
        </w:rPr>
        <w:fldChar w:fldCharType="separate"/>
      </w:r>
      <w:r w:rsidR="003F221C">
        <w:rPr>
          <w:i w:val="0"/>
          <w:iCs w:val="0"/>
          <w:noProof/>
        </w:rPr>
        <w:t>8</w:t>
      </w:r>
      <w:r w:rsidRPr="00FE4AED">
        <w:rPr>
          <w:i w:val="0"/>
          <w:iCs w:val="0"/>
        </w:rPr>
        <w:fldChar w:fldCharType="end"/>
      </w:r>
      <w:bookmarkEnd w:id="94"/>
      <w:r w:rsidR="00586A02">
        <w:rPr>
          <w:i w:val="0"/>
          <w:iCs w:val="0"/>
        </w:rPr>
        <w:tab/>
      </w:r>
      <w:r w:rsidRPr="00FE4AED">
        <w:rPr>
          <w:i w:val="0"/>
          <w:iCs w:val="0"/>
        </w:rPr>
        <w:t xml:space="preserve"> </w:t>
      </w:r>
      <w:bookmarkStart w:id="96" w:name="_Toc121934667"/>
      <w:bookmarkStart w:id="97" w:name="_Toc121934775"/>
      <w:bookmarkStart w:id="98" w:name="_Toc125963413"/>
      <w:bookmarkStart w:id="99" w:name="_Toc126254138"/>
      <w:r w:rsidRPr="00FE4AED">
        <w:rPr>
          <w:i w:val="0"/>
          <w:iCs w:val="0"/>
        </w:rPr>
        <w:t>Safe use of Ladders and Stepladders</w:t>
      </w:r>
      <w:bookmarkEnd w:id="95"/>
      <w:bookmarkEnd w:id="96"/>
      <w:bookmarkEnd w:id="97"/>
      <w:bookmarkEnd w:id="98"/>
      <w:bookmarkEnd w:id="99"/>
    </w:p>
    <w:p w14:paraId="1D231E0B" w14:textId="3A600431" w:rsidR="00274B55" w:rsidRPr="00FE4AED" w:rsidRDefault="00274B55" w:rsidP="00274B55">
      <w:pPr>
        <w:pStyle w:val="Caption"/>
        <w:rPr>
          <w:i w:val="0"/>
          <w:iCs w:val="0"/>
        </w:rPr>
      </w:pPr>
      <w:bookmarkStart w:id="100" w:name="_Ref122011366"/>
      <w:bookmarkStart w:id="101" w:name="_Toc121934789"/>
      <w:r w:rsidRPr="00FE4AED">
        <w:rPr>
          <w:i w:val="0"/>
          <w:iCs w:val="0"/>
        </w:rPr>
        <w:t xml:space="preserve">Appendix </w:t>
      </w:r>
      <w:r w:rsidRPr="00FE4AED">
        <w:rPr>
          <w:i w:val="0"/>
          <w:iCs w:val="0"/>
        </w:rPr>
        <w:fldChar w:fldCharType="begin"/>
      </w:r>
      <w:r w:rsidRPr="00FE4AED">
        <w:rPr>
          <w:i w:val="0"/>
          <w:iCs w:val="0"/>
        </w:rPr>
        <w:instrText xml:space="preserve"> SEQ Appendix \* ARABIC </w:instrText>
      </w:r>
      <w:r w:rsidRPr="00FE4AED">
        <w:rPr>
          <w:i w:val="0"/>
          <w:iCs w:val="0"/>
        </w:rPr>
        <w:fldChar w:fldCharType="separate"/>
      </w:r>
      <w:r w:rsidR="003F221C">
        <w:rPr>
          <w:i w:val="0"/>
          <w:iCs w:val="0"/>
          <w:noProof/>
        </w:rPr>
        <w:t>9</w:t>
      </w:r>
      <w:r w:rsidRPr="00FE4AED">
        <w:rPr>
          <w:i w:val="0"/>
          <w:iCs w:val="0"/>
        </w:rPr>
        <w:fldChar w:fldCharType="end"/>
      </w:r>
      <w:bookmarkEnd w:id="100"/>
      <w:r w:rsidRPr="00FE4AED">
        <w:rPr>
          <w:i w:val="0"/>
          <w:iCs w:val="0"/>
        </w:rPr>
        <w:t xml:space="preserve"> </w:t>
      </w:r>
      <w:bookmarkStart w:id="102" w:name="_Toc121934669"/>
      <w:bookmarkStart w:id="103" w:name="_Toc121934776"/>
      <w:r w:rsidR="00586A02">
        <w:rPr>
          <w:i w:val="0"/>
          <w:iCs w:val="0"/>
        </w:rPr>
        <w:tab/>
      </w:r>
      <w:bookmarkStart w:id="104" w:name="_Toc125963414"/>
      <w:bookmarkStart w:id="105" w:name="_Toc126254139"/>
      <w:r w:rsidRPr="00FE4AED">
        <w:rPr>
          <w:i w:val="0"/>
          <w:iCs w:val="0"/>
        </w:rPr>
        <w:t>British Compressed Gas Association Code of Practice 44 – Storage of Gas Cylinders</w:t>
      </w:r>
      <w:bookmarkEnd w:id="101"/>
      <w:bookmarkEnd w:id="102"/>
      <w:bookmarkEnd w:id="103"/>
      <w:bookmarkEnd w:id="104"/>
      <w:bookmarkEnd w:id="105"/>
    </w:p>
    <w:p w14:paraId="333BA922" w14:textId="2C2B7E3B" w:rsidR="00274B55" w:rsidRPr="00FE4AED" w:rsidRDefault="00274B55" w:rsidP="00274B55">
      <w:pPr>
        <w:pStyle w:val="Caption"/>
        <w:rPr>
          <w:i w:val="0"/>
          <w:iCs w:val="0"/>
        </w:rPr>
      </w:pPr>
      <w:bookmarkStart w:id="106" w:name="_Ref122011563"/>
      <w:bookmarkStart w:id="107" w:name="_Toc121934790"/>
      <w:r w:rsidRPr="00FE4AED">
        <w:rPr>
          <w:i w:val="0"/>
          <w:iCs w:val="0"/>
        </w:rPr>
        <w:t xml:space="preserve">Appendix </w:t>
      </w:r>
      <w:r w:rsidRPr="00FE4AED">
        <w:rPr>
          <w:i w:val="0"/>
          <w:iCs w:val="0"/>
        </w:rPr>
        <w:fldChar w:fldCharType="begin"/>
      </w:r>
      <w:r w:rsidRPr="00FE4AED">
        <w:rPr>
          <w:i w:val="0"/>
          <w:iCs w:val="0"/>
        </w:rPr>
        <w:instrText xml:space="preserve"> SEQ Appendix \* ARABIC </w:instrText>
      </w:r>
      <w:r w:rsidRPr="00FE4AED">
        <w:rPr>
          <w:i w:val="0"/>
          <w:iCs w:val="0"/>
        </w:rPr>
        <w:fldChar w:fldCharType="separate"/>
      </w:r>
      <w:r w:rsidR="003F221C">
        <w:rPr>
          <w:i w:val="0"/>
          <w:iCs w:val="0"/>
          <w:noProof/>
        </w:rPr>
        <w:t>10</w:t>
      </w:r>
      <w:r w:rsidRPr="00FE4AED">
        <w:rPr>
          <w:i w:val="0"/>
          <w:iCs w:val="0"/>
        </w:rPr>
        <w:fldChar w:fldCharType="end"/>
      </w:r>
      <w:bookmarkEnd w:id="106"/>
      <w:r w:rsidR="00586A02">
        <w:rPr>
          <w:i w:val="0"/>
          <w:iCs w:val="0"/>
        </w:rPr>
        <w:tab/>
      </w:r>
      <w:r w:rsidRPr="00FE4AED">
        <w:rPr>
          <w:i w:val="0"/>
          <w:iCs w:val="0"/>
        </w:rPr>
        <w:t xml:space="preserve"> </w:t>
      </w:r>
      <w:bookmarkStart w:id="108" w:name="_Toc121934670"/>
      <w:bookmarkStart w:id="109" w:name="_Toc121934777"/>
      <w:bookmarkStart w:id="110" w:name="_Toc125963415"/>
      <w:bookmarkStart w:id="111" w:name="_Toc126254140"/>
      <w:r w:rsidRPr="00FE4AED">
        <w:rPr>
          <w:i w:val="0"/>
          <w:iCs w:val="0"/>
        </w:rPr>
        <w:t>AURN Passive Vent Assessment</w:t>
      </w:r>
      <w:bookmarkEnd w:id="107"/>
      <w:bookmarkEnd w:id="108"/>
      <w:bookmarkEnd w:id="109"/>
      <w:bookmarkEnd w:id="110"/>
      <w:bookmarkEnd w:id="111"/>
    </w:p>
    <w:p w14:paraId="52F44994" w14:textId="72C0DA1C" w:rsidR="00274B55" w:rsidRPr="00FE4AED" w:rsidRDefault="00274B55" w:rsidP="00274B55">
      <w:pPr>
        <w:pStyle w:val="Caption"/>
        <w:rPr>
          <w:i w:val="0"/>
          <w:iCs w:val="0"/>
        </w:rPr>
      </w:pPr>
      <w:bookmarkStart w:id="112" w:name="_Ref122011801"/>
      <w:bookmarkStart w:id="113" w:name="_Toc121934791"/>
      <w:r w:rsidRPr="00FE4AED">
        <w:rPr>
          <w:i w:val="0"/>
          <w:iCs w:val="0"/>
        </w:rPr>
        <w:t xml:space="preserve">Appendix </w:t>
      </w:r>
      <w:r w:rsidRPr="00FE4AED">
        <w:rPr>
          <w:i w:val="0"/>
          <w:iCs w:val="0"/>
        </w:rPr>
        <w:fldChar w:fldCharType="begin"/>
      </w:r>
      <w:r w:rsidRPr="00FE4AED">
        <w:rPr>
          <w:i w:val="0"/>
          <w:iCs w:val="0"/>
        </w:rPr>
        <w:instrText xml:space="preserve"> SEQ Appendix \* ARABIC </w:instrText>
      </w:r>
      <w:r w:rsidRPr="00FE4AED">
        <w:rPr>
          <w:i w:val="0"/>
          <w:iCs w:val="0"/>
        </w:rPr>
        <w:fldChar w:fldCharType="separate"/>
      </w:r>
      <w:r w:rsidR="003F221C">
        <w:rPr>
          <w:i w:val="0"/>
          <w:iCs w:val="0"/>
          <w:noProof/>
        </w:rPr>
        <w:t>11</w:t>
      </w:r>
      <w:r w:rsidRPr="00FE4AED">
        <w:rPr>
          <w:i w:val="0"/>
          <w:iCs w:val="0"/>
        </w:rPr>
        <w:fldChar w:fldCharType="end"/>
      </w:r>
      <w:bookmarkEnd w:id="112"/>
      <w:r w:rsidRPr="00FE4AED">
        <w:rPr>
          <w:i w:val="0"/>
          <w:iCs w:val="0"/>
        </w:rPr>
        <w:t xml:space="preserve"> </w:t>
      </w:r>
      <w:bookmarkStart w:id="114" w:name="_Toc121934671"/>
      <w:bookmarkStart w:id="115" w:name="_Toc121934778"/>
      <w:r w:rsidR="00586A02">
        <w:rPr>
          <w:i w:val="0"/>
          <w:iCs w:val="0"/>
        </w:rPr>
        <w:tab/>
      </w:r>
      <w:bookmarkStart w:id="116" w:name="_Toc125963416"/>
      <w:bookmarkStart w:id="117" w:name="_Toc126254141"/>
      <w:r w:rsidRPr="00FE4AED">
        <w:rPr>
          <w:i w:val="0"/>
          <w:iCs w:val="0"/>
        </w:rPr>
        <w:t>Example Layout Diagram</w:t>
      </w:r>
      <w:bookmarkEnd w:id="113"/>
      <w:bookmarkEnd w:id="114"/>
      <w:bookmarkEnd w:id="115"/>
      <w:bookmarkEnd w:id="116"/>
      <w:bookmarkEnd w:id="117"/>
    </w:p>
    <w:p w14:paraId="20EC777D" w14:textId="583807E5" w:rsidR="00274B55" w:rsidRPr="00FE4AED" w:rsidRDefault="00274B55" w:rsidP="00274B55">
      <w:pPr>
        <w:pStyle w:val="Caption"/>
        <w:rPr>
          <w:i w:val="0"/>
          <w:iCs w:val="0"/>
        </w:rPr>
      </w:pPr>
      <w:bookmarkStart w:id="118" w:name="_Ref122008681"/>
      <w:bookmarkStart w:id="119" w:name="_Toc121934792"/>
      <w:r w:rsidRPr="00FE4AED">
        <w:rPr>
          <w:i w:val="0"/>
          <w:iCs w:val="0"/>
        </w:rPr>
        <w:t xml:space="preserve">Appendix </w:t>
      </w:r>
      <w:r w:rsidRPr="00FE4AED">
        <w:rPr>
          <w:i w:val="0"/>
          <w:iCs w:val="0"/>
        </w:rPr>
        <w:fldChar w:fldCharType="begin"/>
      </w:r>
      <w:r w:rsidRPr="00FE4AED">
        <w:rPr>
          <w:i w:val="0"/>
          <w:iCs w:val="0"/>
        </w:rPr>
        <w:instrText xml:space="preserve"> SEQ Appendix \* ARABIC </w:instrText>
      </w:r>
      <w:r w:rsidRPr="00FE4AED">
        <w:rPr>
          <w:i w:val="0"/>
          <w:iCs w:val="0"/>
        </w:rPr>
        <w:fldChar w:fldCharType="separate"/>
      </w:r>
      <w:r w:rsidR="003F221C">
        <w:rPr>
          <w:i w:val="0"/>
          <w:iCs w:val="0"/>
          <w:noProof/>
        </w:rPr>
        <w:t>12</w:t>
      </w:r>
      <w:r w:rsidRPr="00FE4AED">
        <w:rPr>
          <w:i w:val="0"/>
          <w:iCs w:val="0"/>
        </w:rPr>
        <w:fldChar w:fldCharType="end"/>
      </w:r>
      <w:bookmarkEnd w:id="118"/>
      <w:r w:rsidR="00586A02">
        <w:rPr>
          <w:i w:val="0"/>
          <w:iCs w:val="0"/>
        </w:rPr>
        <w:tab/>
      </w:r>
      <w:r w:rsidRPr="00FE4AED">
        <w:rPr>
          <w:i w:val="0"/>
          <w:iCs w:val="0"/>
        </w:rPr>
        <w:t xml:space="preserve"> </w:t>
      </w:r>
      <w:bookmarkStart w:id="120" w:name="_Toc121934672"/>
      <w:bookmarkStart w:id="121" w:name="_Toc121934779"/>
      <w:bookmarkStart w:id="122" w:name="_Toc125963417"/>
      <w:bookmarkStart w:id="123" w:name="_Toc126254142"/>
      <w:r w:rsidRPr="00FE4AED">
        <w:rPr>
          <w:i w:val="0"/>
          <w:iCs w:val="0"/>
        </w:rPr>
        <w:t>Example anti-vandal sample inlet cage</w:t>
      </w:r>
      <w:bookmarkEnd w:id="119"/>
      <w:bookmarkEnd w:id="120"/>
      <w:bookmarkEnd w:id="121"/>
      <w:bookmarkEnd w:id="122"/>
      <w:bookmarkEnd w:id="123"/>
    </w:p>
    <w:p w14:paraId="4E830A03" w14:textId="45BA4935" w:rsidR="00274B55" w:rsidRPr="00FE4AED" w:rsidRDefault="00274B55" w:rsidP="00274B55">
      <w:pPr>
        <w:pStyle w:val="Caption"/>
        <w:rPr>
          <w:i w:val="0"/>
          <w:iCs w:val="0"/>
        </w:rPr>
      </w:pPr>
      <w:bookmarkStart w:id="124" w:name="_Ref122012947"/>
      <w:bookmarkStart w:id="125" w:name="_Toc121934793"/>
      <w:r w:rsidRPr="00FE4AED">
        <w:rPr>
          <w:i w:val="0"/>
          <w:iCs w:val="0"/>
        </w:rPr>
        <w:t xml:space="preserve">Appendix </w:t>
      </w:r>
      <w:r w:rsidRPr="00FE4AED">
        <w:rPr>
          <w:i w:val="0"/>
          <w:iCs w:val="0"/>
        </w:rPr>
        <w:fldChar w:fldCharType="begin"/>
      </w:r>
      <w:r w:rsidRPr="00FE4AED">
        <w:rPr>
          <w:i w:val="0"/>
          <w:iCs w:val="0"/>
        </w:rPr>
        <w:instrText xml:space="preserve"> SEQ Appendix \* ARABIC </w:instrText>
      </w:r>
      <w:r w:rsidRPr="00FE4AED">
        <w:rPr>
          <w:i w:val="0"/>
          <w:iCs w:val="0"/>
        </w:rPr>
        <w:fldChar w:fldCharType="separate"/>
      </w:r>
      <w:r w:rsidR="003F221C">
        <w:rPr>
          <w:i w:val="0"/>
          <w:iCs w:val="0"/>
          <w:noProof/>
        </w:rPr>
        <w:t>13</w:t>
      </w:r>
      <w:r w:rsidRPr="00FE4AED">
        <w:rPr>
          <w:i w:val="0"/>
          <w:iCs w:val="0"/>
        </w:rPr>
        <w:fldChar w:fldCharType="end"/>
      </w:r>
      <w:bookmarkEnd w:id="124"/>
      <w:r w:rsidRPr="00FE4AED">
        <w:rPr>
          <w:i w:val="0"/>
          <w:iCs w:val="0"/>
        </w:rPr>
        <w:t xml:space="preserve"> </w:t>
      </w:r>
      <w:bookmarkStart w:id="126" w:name="_Toc121934673"/>
      <w:bookmarkStart w:id="127" w:name="_Toc121934780"/>
      <w:r w:rsidR="00586A02">
        <w:rPr>
          <w:i w:val="0"/>
          <w:iCs w:val="0"/>
        </w:rPr>
        <w:tab/>
      </w:r>
      <w:bookmarkStart w:id="128" w:name="_Toc125963418"/>
      <w:bookmarkStart w:id="129" w:name="_Toc126254143"/>
      <w:r w:rsidRPr="00FE4AED">
        <w:rPr>
          <w:i w:val="0"/>
          <w:iCs w:val="0"/>
        </w:rPr>
        <w:t>EA Safety Health Environment and Wellbeing Code of Practice SHEWCOP</w:t>
      </w:r>
      <w:bookmarkEnd w:id="125"/>
      <w:bookmarkEnd w:id="126"/>
      <w:bookmarkEnd w:id="127"/>
      <w:bookmarkEnd w:id="128"/>
      <w:bookmarkEnd w:id="129"/>
    </w:p>
    <w:p w14:paraId="0CA57A69" w14:textId="1FE4E627" w:rsidR="008012F0" w:rsidRPr="00FE4AED" w:rsidRDefault="008012F0" w:rsidP="008012F0">
      <w:pPr>
        <w:pStyle w:val="Caption"/>
        <w:rPr>
          <w:i w:val="0"/>
          <w:iCs w:val="0"/>
        </w:rPr>
      </w:pPr>
      <w:bookmarkStart w:id="130" w:name="_Toc121934794"/>
      <w:bookmarkStart w:id="131" w:name="_Ref122012802"/>
      <w:r w:rsidRPr="00FE4AED">
        <w:rPr>
          <w:i w:val="0"/>
          <w:iCs w:val="0"/>
        </w:rPr>
        <w:t xml:space="preserve">Appendix </w:t>
      </w:r>
      <w:r w:rsidRPr="00FE4AED">
        <w:rPr>
          <w:i w:val="0"/>
          <w:iCs w:val="0"/>
        </w:rPr>
        <w:fldChar w:fldCharType="begin"/>
      </w:r>
      <w:r w:rsidRPr="00FE4AED">
        <w:rPr>
          <w:i w:val="0"/>
          <w:iCs w:val="0"/>
        </w:rPr>
        <w:instrText xml:space="preserve"> SEQ Appendix \* ARABIC </w:instrText>
      </w:r>
      <w:r w:rsidRPr="00FE4AED">
        <w:rPr>
          <w:i w:val="0"/>
          <w:iCs w:val="0"/>
        </w:rPr>
        <w:fldChar w:fldCharType="separate"/>
      </w:r>
      <w:r w:rsidR="003F221C">
        <w:rPr>
          <w:i w:val="0"/>
          <w:iCs w:val="0"/>
          <w:noProof/>
        </w:rPr>
        <w:t>14</w:t>
      </w:r>
      <w:r w:rsidRPr="00FE4AED">
        <w:rPr>
          <w:i w:val="0"/>
          <w:iCs w:val="0"/>
        </w:rPr>
        <w:fldChar w:fldCharType="end"/>
      </w:r>
      <w:r w:rsidRPr="00FE4AED">
        <w:rPr>
          <w:i w:val="0"/>
          <w:iCs w:val="0"/>
        </w:rPr>
        <w:t xml:space="preserve"> </w:t>
      </w:r>
      <w:bookmarkStart w:id="132" w:name="_Toc121934668"/>
      <w:bookmarkStart w:id="133" w:name="_Toc121934781"/>
      <w:r w:rsidR="00586A02">
        <w:rPr>
          <w:i w:val="0"/>
          <w:iCs w:val="0"/>
        </w:rPr>
        <w:tab/>
      </w:r>
      <w:bookmarkStart w:id="134" w:name="_Toc125963419"/>
      <w:bookmarkStart w:id="135" w:name="_Toc126254144"/>
      <w:r w:rsidRPr="00FE4AED">
        <w:rPr>
          <w:i w:val="0"/>
          <w:iCs w:val="0"/>
        </w:rPr>
        <w:t>Draft CDM Processes EA AQ Contractors</w:t>
      </w:r>
      <w:bookmarkEnd w:id="130"/>
      <w:bookmarkEnd w:id="131"/>
      <w:bookmarkEnd w:id="132"/>
      <w:bookmarkEnd w:id="133"/>
      <w:bookmarkEnd w:id="134"/>
      <w:bookmarkEnd w:id="135"/>
    </w:p>
    <w:p w14:paraId="6D00397F" w14:textId="0CF0EA62" w:rsidR="0035587C" w:rsidRPr="00FE4AED" w:rsidRDefault="0035587C" w:rsidP="0035587C">
      <w:pPr>
        <w:pStyle w:val="Caption"/>
        <w:rPr>
          <w:i w:val="0"/>
          <w:iCs w:val="0"/>
        </w:rPr>
      </w:pPr>
      <w:bookmarkStart w:id="136" w:name="_Ref122015740"/>
      <w:r w:rsidRPr="00FE4AED">
        <w:rPr>
          <w:i w:val="0"/>
          <w:iCs w:val="0"/>
        </w:rPr>
        <w:t xml:space="preserve">Appendix </w:t>
      </w:r>
      <w:r w:rsidRPr="00FE4AED">
        <w:rPr>
          <w:i w:val="0"/>
          <w:iCs w:val="0"/>
        </w:rPr>
        <w:fldChar w:fldCharType="begin"/>
      </w:r>
      <w:r w:rsidRPr="00FE4AED">
        <w:rPr>
          <w:i w:val="0"/>
          <w:iCs w:val="0"/>
        </w:rPr>
        <w:instrText xml:space="preserve"> SEQ Appendix \* ARABIC </w:instrText>
      </w:r>
      <w:r w:rsidRPr="00FE4AED">
        <w:rPr>
          <w:i w:val="0"/>
          <w:iCs w:val="0"/>
        </w:rPr>
        <w:fldChar w:fldCharType="separate"/>
      </w:r>
      <w:r w:rsidR="003F221C">
        <w:rPr>
          <w:i w:val="0"/>
          <w:iCs w:val="0"/>
          <w:noProof/>
        </w:rPr>
        <w:t>15</w:t>
      </w:r>
      <w:r w:rsidRPr="00FE4AED">
        <w:rPr>
          <w:i w:val="0"/>
          <w:iCs w:val="0"/>
        </w:rPr>
        <w:fldChar w:fldCharType="end"/>
      </w:r>
      <w:bookmarkEnd w:id="136"/>
      <w:r w:rsidRPr="00FE4AED">
        <w:rPr>
          <w:i w:val="0"/>
          <w:iCs w:val="0"/>
        </w:rPr>
        <w:t xml:space="preserve"> </w:t>
      </w:r>
      <w:r w:rsidR="00586A02">
        <w:rPr>
          <w:i w:val="0"/>
          <w:iCs w:val="0"/>
        </w:rPr>
        <w:tab/>
      </w:r>
      <w:bookmarkStart w:id="137" w:name="_Toc125963420"/>
      <w:bookmarkStart w:id="138" w:name="_Toc126254145"/>
      <w:r w:rsidRPr="00FE4AED">
        <w:rPr>
          <w:i w:val="0"/>
          <w:iCs w:val="0"/>
        </w:rPr>
        <w:t>Environment Agency Net Zero 2030</w:t>
      </w:r>
      <w:bookmarkEnd w:id="137"/>
      <w:bookmarkEnd w:id="138"/>
    </w:p>
    <w:p w14:paraId="475266B3" w14:textId="3D67F01E" w:rsidR="00C865CD" w:rsidRPr="00FE4AED" w:rsidRDefault="00343044" w:rsidP="00343044">
      <w:pPr>
        <w:pStyle w:val="Caption"/>
        <w:rPr>
          <w:i w:val="0"/>
          <w:iCs w:val="0"/>
        </w:rPr>
      </w:pPr>
      <w:bookmarkStart w:id="139" w:name="_Ref122015699"/>
      <w:bookmarkStart w:id="140" w:name="_Ref126253859"/>
      <w:r w:rsidRPr="00FE4AED">
        <w:rPr>
          <w:i w:val="0"/>
          <w:iCs w:val="0"/>
        </w:rPr>
        <w:t xml:space="preserve">Appendix </w:t>
      </w:r>
      <w:r w:rsidRPr="007C7771">
        <w:rPr>
          <w:i w:val="0"/>
        </w:rPr>
        <w:fldChar w:fldCharType="begin"/>
      </w:r>
      <w:r w:rsidRPr="00FE4AED">
        <w:rPr>
          <w:i w:val="0"/>
          <w:iCs w:val="0"/>
        </w:rPr>
        <w:instrText xml:space="preserve"> SEQ Appendix \* ARABIC </w:instrText>
      </w:r>
      <w:r w:rsidRPr="007C7771">
        <w:rPr>
          <w:i w:val="0"/>
        </w:rPr>
        <w:fldChar w:fldCharType="separate"/>
      </w:r>
      <w:r w:rsidR="003F221C">
        <w:rPr>
          <w:i w:val="0"/>
          <w:iCs w:val="0"/>
          <w:noProof/>
        </w:rPr>
        <w:t>16</w:t>
      </w:r>
      <w:r w:rsidRPr="007C7771">
        <w:rPr>
          <w:i w:val="0"/>
        </w:rPr>
        <w:fldChar w:fldCharType="end"/>
      </w:r>
      <w:bookmarkEnd w:id="139"/>
      <w:r w:rsidRPr="00FE4AED">
        <w:rPr>
          <w:i w:val="0"/>
          <w:iCs w:val="0"/>
        </w:rPr>
        <w:t xml:space="preserve"> </w:t>
      </w:r>
      <w:r w:rsidR="00586A02">
        <w:rPr>
          <w:i w:val="0"/>
          <w:iCs w:val="0"/>
        </w:rPr>
        <w:tab/>
      </w:r>
      <w:bookmarkStart w:id="141" w:name="_Toc125963421"/>
      <w:bookmarkStart w:id="142" w:name="_Toc126254146"/>
      <w:r w:rsidRPr="00FE4AED">
        <w:rPr>
          <w:i w:val="0"/>
          <w:iCs w:val="0"/>
        </w:rPr>
        <w:t>EA Standard Contract questionnaire</w:t>
      </w:r>
      <w:bookmarkEnd w:id="140"/>
      <w:bookmarkEnd w:id="141"/>
      <w:bookmarkEnd w:id="142"/>
    </w:p>
    <w:p w14:paraId="44D7F62C" w14:textId="74ED7C4B" w:rsidR="00470756" w:rsidRDefault="00343044">
      <w:pPr>
        <w:pStyle w:val="Caption"/>
        <w:rPr>
          <w:i w:val="0"/>
          <w:iCs w:val="0"/>
        </w:rPr>
      </w:pPr>
      <w:bookmarkStart w:id="143" w:name="_Ref122015706"/>
      <w:r w:rsidRPr="002D5767">
        <w:rPr>
          <w:i w:val="0"/>
        </w:rPr>
        <w:t xml:space="preserve">Appendix </w:t>
      </w:r>
      <w:r w:rsidRPr="007C7771">
        <w:rPr>
          <w:i w:val="0"/>
        </w:rPr>
        <w:fldChar w:fldCharType="begin"/>
      </w:r>
      <w:r w:rsidRPr="00FE4AED">
        <w:rPr>
          <w:i w:val="0"/>
          <w:iCs w:val="0"/>
        </w:rPr>
        <w:instrText xml:space="preserve"> SEQ Appendix \* ARABIC </w:instrText>
      </w:r>
      <w:r w:rsidRPr="007C7771">
        <w:rPr>
          <w:i w:val="0"/>
        </w:rPr>
        <w:fldChar w:fldCharType="separate"/>
      </w:r>
      <w:r w:rsidR="003F221C">
        <w:rPr>
          <w:i w:val="0"/>
          <w:iCs w:val="0"/>
          <w:noProof/>
        </w:rPr>
        <w:t>17</w:t>
      </w:r>
      <w:r w:rsidRPr="007C7771">
        <w:rPr>
          <w:i w:val="0"/>
        </w:rPr>
        <w:fldChar w:fldCharType="end"/>
      </w:r>
      <w:bookmarkEnd w:id="143"/>
      <w:r w:rsidR="00470756" w:rsidRPr="0082027A">
        <w:rPr>
          <w:i w:val="0"/>
          <w:iCs w:val="0"/>
        </w:rPr>
        <w:tab/>
      </w:r>
      <w:bookmarkStart w:id="144" w:name="_Toc126254147"/>
      <w:r w:rsidR="00470756" w:rsidRPr="0082027A">
        <w:rPr>
          <w:i w:val="0"/>
          <w:iCs w:val="0"/>
        </w:rPr>
        <w:t xml:space="preserve">Electrical Safety Agreement </w:t>
      </w:r>
      <w:bookmarkEnd w:id="144"/>
    </w:p>
    <w:p w14:paraId="332A5537" w14:textId="0873A251" w:rsidR="008238FA" w:rsidRPr="00CA1674" w:rsidRDefault="00D325D1" w:rsidP="00D325D1">
      <w:pPr>
        <w:pStyle w:val="Caption"/>
        <w:rPr>
          <w:i w:val="0"/>
          <w:iCs w:val="0"/>
        </w:rPr>
      </w:pPr>
      <w:bookmarkStart w:id="145" w:name="_Ref126318458"/>
      <w:r w:rsidRPr="00CA1674">
        <w:rPr>
          <w:i w:val="0"/>
          <w:iCs w:val="0"/>
        </w:rPr>
        <w:t xml:space="preserve">Appendix </w:t>
      </w:r>
      <w:r w:rsidRPr="00CA1674">
        <w:rPr>
          <w:i w:val="0"/>
          <w:iCs w:val="0"/>
        </w:rPr>
        <w:fldChar w:fldCharType="begin"/>
      </w:r>
      <w:r w:rsidRPr="00CA1674">
        <w:rPr>
          <w:i w:val="0"/>
          <w:iCs w:val="0"/>
        </w:rPr>
        <w:instrText xml:space="preserve"> SEQ Appendix \* ARABIC </w:instrText>
      </w:r>
      <w:r w:rsidRPr="00CA1674">
        <w:rPr>
          <w:i w:val="0"/>
          <w:iCs w:val="0"/>
        </w:rPr>
        <w:fldChar w:fldCharType="separate"/>
      </w:r>
      <w:r w:rsidR="003F221C">
        <w:rPr>
          <w:i w:val="0"/>
          <w:iCs w:val="0"/>
          <w:noProof/>
        </w:rPr>
        <w:t>18</w:t>
      </w:r>
      <w:r w:rsidRPr="00CA1674">
        <w:rPr>
          <w:i w:val="0"/>
          <w:iCs w:val="0"/>
        </w:rPr>
        <w:fldChar w:fldCharType="end"/>
      </w:r>
      <w:r w:rsidRPr="00CA1674">
        <w:rPr>
          <w:i w:val="0"/>
          <w:iCs w:val="0"/>
        </w:rPr>
        <w:t xml:space="preserve"> </w:t>
      </w:r>
      <w:r w:rsidRPr="00CA1674">
        <w:rPr>
          <w:i w:val="0"/>
          <w:iCs w:val="0"/>
        </w:rPr>
        <w:tab/>
      </w:r>
      <w:r w:rsidRPr="00D325D1">
        <w:rPr>
          <w:i w:val="0"/>
          <w:iCs w:val="0"/>
        </w:rPr>
        <w:t>Electrical</w:t>
      </w:r>
      <w:r w:rsidRPr="00CA1674">
        <w:rPr>
          <w:i w:val="0"/>
          <w:iCs w:val="0"/>
        </w:rPr>
        <w:t xml:space="preserve"> Safety Agreement Questionnaire</w:t>
      </w:r>
      <w:bookmarkEnd w:id="145"/>
    </w:p>
    <w:p w14:paraId="07EDE74D" w14:textId="0DA2CF20" w:rsidR="00343044" w:rsidRPr="00FE4AED" w:rsidRDefault="00343044" w:rsidP="00343044">
      <w:pPr>
        <w:pStyle w:val="Caption"/>
        <w:rPr>
          <w:i w:val="0"/>
          <w:iCs w:val="0"/>
        </w:rPr>
      </w:pPr>
      <w:r w:rsidRPr="00FE4AED">
        <w:rPr>
          <w:i w:val="0"/>
          <w:iCs w:val="0"/>
        </w:rPr>
        <w:t xml:space="preserve">Appendix </w:t>
      </w:r>
      <w:r w:rsidRPr="00FE4AED">
        <w:rPr>
          <w:i w:val="0"/>
          <w:iCs w:val="0"/>
        </w:rPr>
        <w:fldChar w:fldCharType="begin"/>
      </w:r>
      <w:r w:rsidRPr="00FE4AED">
        <w:rPr>
          <w:i w:val="0"/>
          <w:iCs w:val="0"/>
        </w:rPr>
        <w:instrText xml:space="preserve"> SEQ Appendix \* ARABIC </w:instrText>
      </w:r>
      <w:r w:rsidRPr="00FE4AED">
        <w:rPr>
          <w:i w:val="0"/>
          <w:iCs w:val="0"/>
        </w:rPr>
        <w:fldChar w:fldCharType="separate"/>
      </w:r>
      <w:r w:rsidR="003F221C">
        <w:rPr>
          <w:i w:val="0"/>
          <w:iCs w:val="0"/>
          <w:noProof/>
        </w:rPr>
        <w:t>19</w:t>
      </w:r>
      <w:r w:rsidRPr="00FE4AED">
        <w:rPr>
          <w:i w:val="0"/>
          <w:iCs w:val="0"/>
        </w:rPr>
        <w:fldChar w:fldCharType="end"/>
      </w:r>
      <w:r w:rsidRPr="00FE4AED">
        <w:rPr>
          <w:i w:val="0"/>
          <w:iCs w:val="0"/>
        </w:rPr>
        <w:t xml:space="preserve"> </w:t>
      </w:r>
      <w:r w:rsidR="00586A02">
        <w:rPr>
          <w:i w:val="0"/>
          <w:iCs w:val="0"/>
        </w:rPr>
        <w:tab/>
      </w:r>
      <w:bookmarkStart w:id="146" w:name="_Toc125963422"/>
      <w:bookmarkStart w:id="147" w:name="_Toc126254148"/>
      <w:r w:rsidRPr="00FE4AED">
        <w:rPr>
          <w:i w:val="0"/>
          <w:iCs w:val="0"/>
        </w:rPr>
        <w:t>Example project risk assessment</w:t>
      </w:r>
      <w:bookmarkEnd w:id="146"/>
      <w:bookmarkEnd w:id="147"/>
    </w:p>
    <w:p w14:paraId="4D877175" w14:textId="32BF9AB2" w:rsidR="00FE4AED" w:rsidRPr="00FE4AED" w:rsidRDefault="00FE4AED" w:rsidP="00FE4AED">
      <w:pPr>
        <w:pStyle w:val="Caption"/>
        <w:rPr>
          <w:i w:val="0"/>
          <w:iCs w:val="0"/>
        </w:rPr>
      </w:pPr>
      <w:bookmarkStart w:id="148" w:name="_Ref122015648"/>
      <w:bookmarkStart w:id="149" w:name="_Ref122015653"/>
      <w:r w:rsidRPr="00FE4AED">
        <w:rPr>
          <w:i w:val="0"/>
          <w:iCs w:val="0"/>
        </w:rPr>
        <w:t xml:space="preserve">Appendix </w:t>
      </w:r>
      <w:r w:rsidRPr="00FE4AED">
        <w:rPr>
          <w:i w:val="0"/>
          <w:iCs w:val="0"/>
        </w:rPr>
        <w:fldChar w:fldCharType="begin"/>
      </w:r>
      <w:r w:rsidRPr="00FE4AED">
        <w:rPr>
          <w:i w:val="0"/>
          <w:iCs w:val="0"/>
        </w:rPr>
        <w:instrText xml:space="preserve"> SEQ Appendix \* ARABIC </w:instrText>
      </w:r>
      <w:r w:rsidRPr="00FE4AED">
        <w:rPr>
          <w:i w:val="0"/>
          <w:iCs w:val="0"/>
        </w:rPr>
        <w:fldChar w:fldCharType="separate"/>
      </w:r>
      <w:r w:rsidR="003F221C">
        <w:rPr>
          <w:i w:val="0"/>
          <w:iCs w:val="0"/>
          <w:noProof/>
        </w:rPr>
        <w:t>20</w:t>
      </w:r>
      <w:r w:rsidRPr="00FE4AED">
        <w:rPr>
          <w:i w:val="0"/>
          <w:iCs w:val="0"/>
        </w:rPr>
        <w:fldChar w:fldCharType="end"/>
      </w:r>
      <w:bookmarkEnd w:id="148"/>
      <w:r w:rsidRPr="00FE4AED">
        <w:rPr>
          <w:i w:val="0"/>
          <w:iCs w:val="0"/>
        </w:rPr>
        <w:t xml:space="preserve"> </w:t>
      </w:r>
      <w:r w:rsidR="00586A02">
        <w:rPr>
          <w:i w:val="0"/>
          <w:iCs w:val="0"/>
        </w:rPr>
        <w:tab/>
      </w:r>
      <w:bookmarkStart w:id="150" w:name="_Toc125963423"/>
      <w:bookmarkStart w:id="151" w:name="_Toc126254149"/>
      <w:r w:rsidRPr="00FE4AED">
        <w:rPr>
          <w:i w:val="0"/>
          <w:iCs w:val="0"/>
        </w:rPr>
        <w:t>Sustainability Reporting Requirements</w:t>
      </w:r>
      <w:bookmarkEnd w:id="149"/>
      <w:bookmarkEnd w:id="150"/>
      <w:bookmarkEnd w:id="151"/>
    </w:p>
    <w:p w14:paraId="62232565" w14:textId="6CF556E0" w:rsidR="00343044" w:rsidRPr="00FE4AED" w:rsidRDefault="00FE4AED" w:rsidP="00FE4AED">
      <w:pPr>
        <w:pStyle w:val="Caption"/>
        <w:rPr>
          <w:i w:val="0"/>
          <w:iCs w:val="0"/>
        </w:rPr>
      </w:pPr>
      <w:bookmarkStart w:id="152" w:name="_Ref122015597"/>
      <w:r w:rsidRPr="00FE4AED">
        <w:rPr>
          <w:i w:val="0"/>
          <w:iCs w:val="0"/>
        </w:rPr>
        <w:t xml:space="preserve">Appendix </w:t>
      </w:r>
      <w:r w:rsidRPr="00FE4AED">
        <w:rPr>
          <w:i w:val="0"/>
          <w:iCs w:val="0"/>
        </w:rPr>
        <w:fldChar w:fldCharType="begin"/>
      </w:r>
      <w:r w:rsidRPr="00FE4AED">
        <w:rPr>
          <w:i w:val="0"/>
          <w:iCs w:val="0"/>
        </w:rPr>
        <w:instrText xml:space="preserve"> SEQ Appendix \* ARABIC </w:instrText>
      </w:r>
      <w:r w:rsidRPr="00FE4AED">
        <w:rPr>
          <w:i w:val="0"/>
          <w:iCs w:val="0"/>
        </w:rPr>
        <w:fldChar w:fldCharType="separate"/>
      </w:r>
      <w:r w:rsidR="003F221C">
        <w:rPr>
          <w:i w:val="0"/>
          <w:iCs w:val="0"/>
          <w:noProof/>
        </w:rPr>
        <w:t>21</w:t>
      </w:r>
      <w:r w:rsidRPr="00FE4AED">
        <w:rPr>
          <w:i w:val="0"/>
          <w:iCs w:val="0"/>
        </w:rPr>
        <w:fldChar w:fldCharType="end"/>
      </w:r>
      <w:bookmarkEnd w:id="152"/>
      <w:r w:rsidRPr="00FE4AED">
        <w:rPr>
          <w:i w:val="0"/>
          <w:iCs w:val="0"/>
        </w:rPr>
        <w:t xml:space="preserve"> </w:t>
      </w:r>
      <w:r w:rsidR="00586A02">
        <w:rPr>
          <w:i w:val="0"/>
          <w:iCs w:val="0"/>
        </w:rPr>
        <w:tab/>
      </w:r>
      <w:bookmarkStart w:id="153" w:name="_Toc125963424"/>
      <w:bookmarkStart w:id="154" w:name="_Toc126254150"/>
      <w:r w:rsidRPr="00FE4AED">
        <w:rPr>
          <w:i w:val="0"/>
          <w:iCs w:val="0"/>
        </w:rPr>
        <w:t>Business Continuity Template</w:t>
      </w:r>
      <w:bookmarkEnd w:id="153"/>
      <w:bookmarkEnd w:id="154"/>
    </w:p>
    <w:p w14:paraId="259C6752" w14:textId="4AEA29CB" w:rsidR="00FE4AED" w:rsidRPr="00FE4AED" w:rsidRDefault="00FE4AED" w:rsidP="00FE4AED">
      <w:pPr>
        <w:pStyle w:val="Caption"/>
        <w:rPr>
          <w:i w:val="0"/>
          <w:iCs w:val="0"/>
        </w:rPr>
      </w:pPr>
      <w:r w:rsidRPr="00FE4AED">
        <w:rPr>
          <w:i w:val="0"/>
          <w:iCs w:val="0"/>
        </w:rPr>
        <w:t xml:space="preserve">Appendix </w:t>
      </w:r>
      <w:r w:rsidRPr="00FE4AED">
        <w:rPr>
          <w:i w:val="0"/>
          <w:iCs w:val="0"/>
        </w:rPr>
        <w:fldChar w:fldCharType="begin"/>
      </w:r>
      <w:r w:rsidRPr="00FE4AED">
        <w:rPr>
          <w:i w:val="0"/>
          <w:iCs w:val="0"/>
        </w:rPr>
        <w:instrText xml:space="preserve"> SEQ Appendix \* ARABIC </w:instrText>
      </w:r>
      <w:r w:rsidRPr="00FE4AED">
        <w:rPr>
          <w:i w:val="0"/>
          <w:iCs w:val="0"/>
        </w:rPr>
        <w:fldChar w:fldCharType="separate"/>
      </w:r>
      <w:r w:rsidR="003F221C">
        <w:rPr>
          <w:i w:val="0"/>
          <w:iCs w:val="0"/>
          <w:noProof/>
        </w:rPr>
        <w:t>22</w:t>
      </w:r>
      <w:r w:rsidRPr="00FE4AED">
        <w:rPr>
          <w:i w:val="0"/>
          <w:iCs w:val="0"/>
        </w:rPr>
        <w:fldChar w:fldCharType="end"/>
      </w:r>
      <w:r w:rsidRPr="00FE4AED">
        <w:rPr>
          <w:i w:val="0"/>
          <w:iCs w:val="0"/>
        </w:rPr>
        <w:t xml:space="preserve"> </w:t>
      </w:r>
      <w:r w:rsidR="00586A02">
        <w:rPr>
          <w:i w:val="0"/>
          <w:iCs w:val="0"/>
        </w:rPr>
        <w:tab/>
      </w:r>
      <w:bookmarkStart w:id="155" w:name="_Toc125963425"/>
      <w:bookmarkStart w:id="156" w:name="_Toc126254151"/>
      <w:r w:rsidRPr="00FE4AED">
        <w:rPr>
          <w:i w:val="0"/>
          <w:iCs w:val="0"/>
        </w:rPr>
        <w:t>Exit Plan Guidance</w:t>
      </w:r>
      <w:bookmarkEnd w:id="155"/>
      <w:bookmarkEnd w:id="156"/>
    </w:p>
    <w:p w14:paraId="5FDBD293" w14:textId="336BB202" w:rsidR="00FE4AED" w:rsidRDefault="00FE4AED" w:rsidP="00FE4AED">
      <w:pPr>
        <w:pStyle w:val="Caption"/>
        <w:rPr>
          <w:i w:val="0"/>
          <w:iCs w:val="0"/>
        </w:rPr>
      </w:pPr>
      <w:r w:rsidRPr="00FE4AED">
        <w:rPr>
          <w:i w:val="0"/>
          <w:iCs w:val="0"/>
        </w:rPr>
        <w:t xml:space="preserve">Appendix </w:t>
      </w:r>
      <w:r w:rsidRPr="00FE4AED">
        <w:rPr>
          <w:i w:val="0"/>
          <w:iCs w:val="0"/>
        </w:rPr>
        <w:fldChar w:fldCharType="begin"/>
      </w:r>
      <w:r w:rsidRPr="00FE4AED">
        <w:rPr>
          <w:i w:val="0"/>
          <w:iCs w:val="0"/>
        </w:rPr>
        <w:instrText xml:space="preserve"> SEQ Appendix \* ARABIC </w:instrText>
      </w:r>
      <w:r w:rsidRPr="00FE4AED">
        <w:rPr>
          <w:i w:val="0"/>
          <w:iCs w:val="0"/>
        </w:rPr>
        <w:fldChar w:fldCharType="separate"/>
      </w:r>
      <w:r w:rsidR="003F221C">
        <w:rPr>
          <w:i w:val="0"/>
          <w:iCs w:val="0"/>
          <w:noProof/>
        </w:rPr>
        <w:t>23</w:t>
      </w:r>
      <w:r w:rsidRPr="00FE4AED">
        <w:rPr>
          <w:i w:val="0"/>
          <w:iCs w:val="0"/>
        </w:rPr>
        <w:fldChar w:fldCharType="end"/>
      </w:r>
      <w:r w:rsidRPr="00FE4AED">
        <w:rPr>
          <w:i w:val="0"/>
          <w:iCs w:val="0"/>
        </w:rPr>
        <w:t xml:space="preserve"> </w:t>
      </w:r>
      <w:r w:rsidR="00586A02">
        <w:rPr>
          <w:i w:val="0"/>
          <w:iCs w:val="0"/>
        </w:rPr>
        <w:tab/>
      </w:r>
      <w:bookmarkStart w:id="157" w:name="_Toc125963426"/>
      <w:bookmarkStart w:id="158" w:name="_Toc126254152"/>
      <w:r w:rsidRPr="00FE4AED">
        <w:rPr>
          <w:i w:val="0"/>
          <w:iCs w:val="0"/>
        </w:rPr>
        <w:t>Exit Plan and Template</w:t>
      </w:r>
      <w:bookmarkEnd w:id="157"/>
      <w:bookmarkEnd w:id="158"/>
    </w:p>
    <w:p w14:paraId="68927356" w14:textId="05AF9BE1" w:rsidR="00554184" w:rsidRPr="00554184" w:rsidRDefault="00554184" w:rsidP="00554184">
      <w:pPr>
        <w:pStyle w:val="Caption"/>
        <w:rPr>
          <w:i w:val="0"/>
          <w:iCs w:val="0"/>
        </w:rPr>
      </w:pPr>
      <w:bookmarkStart w:id="159" w:name="_Ref122354161"/>
      <w:bookmarkStart w:id="160" w:name="_Ref122354157"/>
      <w:r w:rsidRPr="00554184">
        <w:rPr>
          <w:i w:val="0"/>
          <w:iCs w:val="0"/>
        </w:rPr>
        <w:t xml:space="preserve">Appendix </w:t>
      </w:r>
      <w:r w:rsidRPr="00554184">
        <w:rPr>
          <w:i w:val="0"/>
          <w:iCs w:val="0"/>
        </w:rPr>
        <w:fldChar w:fldCharType="begin"/>
      </w:r>
      <w:r w:rsidRPr="00554184">
        <w:rPr>
          <w:i w:val="0"/>
          <w:iCs w:val="0"/>
        </w:rPr>
        <w:instrText xml:space="preserve"> SEQ Appendix \* ARABIC </w:instrText>
      </w:r>
      <w:r w:rsidRPr="00554184">
        <w:rPr>
          <w:i w:val="0"/>
          <w:iCs w:val="0"/>
        </w:rPr>
        <w:fldChar w:fldCharType="separate"/>
      </w:r>
      <w:r w:rsidR="003F221C">
        <w:rPr>
          <w:i w:val="0"/>
          <w:iCs w:val="0"/>
          <w:noProof/>
        </w:rPr>
        <w:t>24</w:t>
      </w:r>
      <w:r w:rsidRPr="00554184">
        <w:rPr>
          <w:i w:val="0"/>
          <w:iCs w:val="0"/>
        </w:rPr>
        <w:fldChar w:fldCharType="end"/>
      </w:r>
      <w:bookmarkEnd w:id="159"/>
      <w:r w:rsidRPr="00554184">
        <w:rPr>
          <w:i w:val="0"/>
          <w:iCs w:val="0"/>
        </w:rPr>
        <w:t xml:space="preserve"> </w:t>
      </w:r>
      <w:r w:rsidRPr="00554184">
        <w:rPr>
          <w:i w:val="0"/>
          <w:iCs w:val="0"/>
        </w:rPr>
        <w:tab/>
      </w:r>
      <w:bookmarkStart w:id="161" w:name="_Toc125963427"/>
      <w:bookmarkStart w:id="162" w:name="_Toc126254153"/>
      <w:r w:rsidRPr="00554184">
        <w:rPr>
          <w:i w:val="0"/>
          <w:iCs w:val="0"/>
        </w:rPr>
        <w:t>Supply acceptance form (sample)</w:t>
      </w:r>
      <w:bookmarkEnd w:id="160"/>
      <w:bookmarkEnd w:id="161"/>
      <w:bookmarkEnd w:id="162"/>
    </w:p>
    <w:p w14:paraId="35BF70A0" w14:textId="11A06646" w:rsidR="00554184" w:rsidRDefault="00554184" w:rsidP="00554184">
      <w:pPr>
        <w:pStyle w:val="Caption"/>
        <w:rPr>
          <w:i w:val="0"/>
          <w:iCs w:val="0"/>
        </w:rPr>
      </w:pPr>
      <w:bookmarkStart w:id="163" w:name="_Ref122354180"/>
      <w:bookmarkStart w:id="164" w:name="_Ref124430669"/>
      <w:r w:rsidRPr="00554184">
        <w:rPr>
          <w:i w:val="0"/>
          <w:iCs w:val="0"/>
        </w:rPr>
        <w:t xml:space="preserve">Appendix </w:t>
      </w:r>
      <w:r w:rsidRPr="00554184">
        <w:rPr>
          <w:i w:val="0"/>
          <w:iCs w:val="0"/>
        </w:rPr>
        <w:fldChar w:fldCharType="begin"/>
      </w:r>
      <w:r w:rsidRPr="00554184">
        <w:rPr>
          <w:i w:val="0"/>
          <w:iCs w:val="0"/>
        </w:rPr>
        <w:instrText xml:space="preserve"> SEQ Appendix \* ARABIC </w:instrText>
      </w:r>
      <w:r w:rsidRPr="00554184">
        <w:rPr>
          <w:i w:val="0"/>
          <w:iCs w:val="0"/>
        </w:rPr>
        <w:fldChar w:fldCharType="separate"/>
      </w:r>
      <w:r w:rsidR="003F221C">
        <w:rPr>
          <w:i w:val="0"/>
          <w:iCs w:val="0"/>
          <w:noProof/>
        </w:rPr>
        <w:t>25</w:t>
      </w:r>
      <w:r w:rsidRPr="00554184">
        <w:rPr>
          <w:i w:val="0"/>
          <w:iCs w:val="0"/>
        </w:rPr>
        <w:fldChar w:fldCharType="end"/>
      </w:r>
      <w:bookmarkEnd w:id="163"/>
      <w:r w:rsidRPr="00554184">
        <w:rPr>
          <w:i w:val="0"/>
          <w:iCs w:val="0"/>
        </w:rPr>
        <w:t xml:space="preserve"> </w:t>
      </w:r>
      <w:r w:rsidRPr="00554184">
        <w:rPr>
          <w:i w:val="0"/>
          <w:iCs w:val="0"/>
        </w:rPr>
        <w:tab/>
      </w:r>
      <w:bookmarkStart w:id="165" w:name="_Toc125963428"/>
      <w:bookmarkStart w:id="166" w:name="_Toc126254154"/>
      <w:r w:rsidRPr="00554184">
        <w:rPr>
          <w:i w:val="0"/>
          <w:iCs w:val="0"/>
        </w:rPr>
        <w:t>Installation Acceptance Form (sample)</w:t>
      </w:r>
      <w:r w:rsidR="00EF7F58">
        <w:rPr>
          <w:i w:val="0"/>
          <w:iCs w:val="0"/>
        </w:rPr>
        <w:t>+</w:t>
      </w:r>
      <w:bookmarkEnd w:id="164"/>
      <w:bookmarkEnd w:id="165"/>
      <w:bookmarkEnd w:id="166"/>
    </w:p>
    <w:p w14:paraId="639705B2" w14:textId="6F7E4644" w:rsidR="00EF7F58" w:rsidRPr="00286621" w:rsidRDefault="00EF7F58" w:rsidP="00EF7F58">
      <w:pPr>
        <w:pStyle w:val="Caption"/>
        <w:rPr>
          <w:i w:val="0"/>
          <w:iCs w:val="0"/>
        </w:rPr>
      </w:pPr>
      <w:bookmarkStart w:id="167" w:name="_Ref123304517"/>
      <w:r w:rsidRPr="00286621">
        <w:rPr>
          <w:i w:val="0"/>
          <w:iCs w:val="0"/>
        </w:rPr>
        <w:t xml:space="preserve">Appendix </w:t>
      </w:r>
      <w:r w:rsidRPr="00286621">
        <w:rPr>
          <w:i w:val="0"/>
          <w:iCs w:val="0"/>
        </w:rPr>
        <w:fldChar w:fldCharType="begin"/>
      </w:r>
      <w:r w:rsidRPr="00286621">
        <w:rPr>
          <w:i w:val="0"/>
          <w:iCs w:val="0"/>
        </w:rPr>
        <w:instrText xml:space="preserve"> SEQ Appendix \* ARABIC </w:instrText>
      </w:r>
      <w:r w:rsidRPr="00286621">
        <w:rPr>
          <w:i w:val="0"/>
          <w:iCs w:val="0"/>
        </w:rPr>
        <w:fldChar w:fldCharType="separate"/>
      </w:r>
      <w:r w:rsidR="003F221C">
        <w:rPr>
          <w:i w:val="0"/>
          <w:iCs w:val="0"/>
          <w:noProof/>
        </w:rPr>
        <w:t>26</w:t>
      </w:r>
      <w:r w:rsidRPr="00286621">
        <w:rPr>
          <w:i w:val="0"/>
          <w:iCs w:val="0"/>
        </w:rPr>
        <w:fldChar w:fldCharType="end"/>
      </w:r>
      <w:bookmarkEnd w:id="167"/>
      <w:r w:rsidRPr="00286621">
        <w:rPr>
          <w:i w:val="0"/>
          <w:iCs w:val="0"/>
        </w:rPr>
        <w:t xml:space="preserve"> </w:t>
      </w:r>
      <w:r w:rsidRPr="00286621">
        <w:rPr>
          <w:i w:val="0"/>
          <w:iCs w:val="0"/>
        </w:rPr>
        <w:tab/>
      </w:r>
      <w:bookmarkStart w:id="168" w:name="_Toc125963429"/>
      <w:bookmarkStart w:id="169" w:name="_Toc126254155"/>
      <w:r w:rsidRPr="00286621">
        <w:rPr>
          <w:i w:val="0"/>
          <w:iCs w:val="0"/>
        </w:rPr>
        <w:t>Complying with the F-Gas Regulations</w:t>
      </w:r>
      <w:bookmarkEnd w:id="168"/>
      <w:bookmarkEnd w:id="169"/>
    </w:p>
    <w:p w14:paraId="22ABF391" w14:textId="0C1B9C9D" w:rsidR="00286621" w:rsidRPr="00286621" w:rsidRDefault="00286621" w:rsidP="00286621">
      <w:pPr>
        <w:pStyle w:val="Caption"/>
        <w:rPr>
          <w:i w:val="0"/>
          <w:iCs w:val="0"/>
        </w:rPr>
      </w:pPr>
      <w:bookmarkStart w:id="170" w:name="_Ref123312350"/>
      <w:r w:rsidRPr="00286621">
        <w:rPr>
          <w:i w:val="0"/>
          <w:iCs w:val="0"/>
        </w:rPr>
        <w:lastRenderedPageBreak/>
        <w:t xml:space="preserve">Appendix </w:t>
      </w:r>
      <w:r w:rsidRPr="00286621">
        <w:rPr>
          <w:i w:val="0"/>
          <w:iCs w:val="0"/>
        </w:rPr>
        <w:fldChar w:fldCharType="begin"/>
      </w:r>
      <w:r w:rsidRPr="00286621">
        <w:rPr>
          <w:i w:val="0"/>
          <w:iCs w:val="0"/>
        </w:rPr>
        <w:instrText xml:space="preserve"> SEQ Appendix \* ARABIC </w:instrText>
      </w:r>
      <w:r w:rsidRPr="00286621">
        <w:rPr>
          <w:i w:val="0"/>
          <w:iCs w:val="0"/>
        </w:rPr>
        <w:fldChar w:fldCharType="separate"/>
      </w:r>
      <w:r w:rsidR="003F221C">
        <w:rPr>
          <w:i w:val="0"/>
          <w:iCs w:val="0"/>
          <w:noProof/>
        </w:rPr>
        <w:t>27</w:t>
      </w:r>
      <w:r w:rsidRPr="00286621">
        <w:rPr>
          <w:i w:val="0"/>
          <w:iCs w:val="0"/>
        </w:rPr>
        <w:fldChar w:fldCharType="end"/>
      </w:r>
      <w:bookmarkEnd w:id="170"/>
      <w:r w:rsidRPr="00286621">
        <w:rPr>
          <w:i w:val="0"/>
          <w:iCs w:val="0"/>
        </w:rPr>
        <w:tab/>
        <w:t xml:space="preserve"> </w:t>
      </w:r>
      <w:bookmarkStart w:id="171" w:name="_Toc125963430"/>
      <w:bookmarkStart w:id="172" w:name="_Toc126254156"/>
      <w:r w:rsidRPr="00286621">
        <w:rPr>
          <w:i w:val="0"/>
          <w:iCs w:val="0"/>
        </w:rPr>
        <w:t>Designers’ safety, health and environmental Red Amber Green (RAG) list</w:t>
      </w:r>
      <w:bookmarkEnd w:id="171"/>
      <w:bookmarkEnd w:id="172"/>
    </w:p>
    <w:p w14:paraId="37F6A85B" w14:textId="77777777" w:rsidR="008012F0" w:rsidRPr="00C031F2" w:rsidRDefault="008012F0" w:rsidP="00C031F2"/>
    <w:p w14:paraId="732F5A85" w14:textId="15DE5C9E" w:rsidR="008D230B" w:rsidRDefault="008D230B">
      <w:r>
        <w:br w:type="page"/>
      </w:r>
    </w:p>
    <w:p w14:paraId="194ED600" w14:textId="4A2726E6" w:rsidR="000977A1" w:rsidRDefault="000977A1" w:rsidP="00274B55">
      <w:pPr>
        <w:pStyle w:val="Caption"/>
      </w:pPr>
    </w:p>
    <w:p w14:paraId="34C7EAF0" w14:textId="381B4B04" w:rsidR="004572C7" w:rsidRPr="004572C7" w:rsidRDefault="004572C7" w:rsidP="004572C7"/>
    <w:sectPr w:rsidR="004572C7" w:rsidRPr="004572C7" w:rsidSect="00D9721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2717C" w14:textId="77777777" w:rsidR="00682926" w:rsidRDefault="00682926" w:rsidP="001F4A10">
      <w:pPr>
        <w:spacing w:after="0" w:line="240" w:lineRule="auto"/>
      </w:pPr>
      <w:r>
        <w:separator/>
      </w:r>
    </w:p>
  </w:endnote>
  <w:endnote w:type="continuationSeparator" w:id="0">
    <w:p w14:paraId="0BCC1848" w14:textId="77777777" w:rsidR="00682926" w:rsidRDefault="00682926" w:rsidP="001F4A10">
      <w:pPr>
        <w:spacing w:after="0" w:line="240" w:lineRule="auto"/>
      </w:pPr>
      <w:r>
        <w:continuationSeparator/>
      </w:r>
    </w:p>
  </w:endnote>
  <w:endnote w:type="continuationNotice" w:id="1">
    <w:p w14:paraId="478BA106" w14:textId="77777777" w:rsidR="00682926" w:rsidRDefault="006829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097B0" w14:textId="77777777" w:rsidR="00682926" w:rsidRDefault="00682926" w:rsidP="001F4A10">
      <w:pPr>
        <w:spacing w:after="0" w:line="240" w:lineRule="auto"/>
      </w:pPr>
      <w:r>
        <w:separator/>
      </w:r>
    </w:p>
  </w:footnote>
  <w:footnote w:type="continuationSeparator" w:id="0">
    <w:p w14:paraId="37F3FED7" w14:textId="77777777" w:rsidR="00682926" w:rsidRDefault="00682926" w:rsidP="001F4A10">
      <w:pPr>
        <w:spacing w:after="0" w:line="240" w:lineRule="auto"/>
      </w:pPr>
      <w:r>
        <w:continuationSeparator/>
      </w:r>
    </w:p>
  </w:footnote>
  <w:footnote w:type="continuationNotice" w:id="1">
    <w:p w14:paraId="3D31BBF8" w14:textId="77777777" w:rsidR="00682926" w:rsidRDefault="00682926">
      <w:pPr>
        <w:spacing w:after="0" w:line="240" w:lineRule="auto"/>
      </w:pPr>
    </w:p>
  </w:footnote>
  <w:footnote w:id="2">
    <w:p w14:paraId="7A7C403B" w14:textId="34C43BA1" w:rsidR="00EB7432" w:rsidRDefault="00EB7432">
      <w:pPr>
        <w:pStyle w:val="FootnoteText"/>
      </w:pPr>
      <w:r>
        <w:rPr>
          <w:rStyle w:val="FootnoteReference"/>
        </w:rPr>
        <w:footnoteRef/>
      </w:r>
      <w:r>
        <w:t xml:space="preserve"> For completeness, some monitoring sites are housed within third party structures (</w:t>
      </w:r>
      <w:r w:rsidR="005435DA">
        <w:t>e.g.</w:t>
      </w:r>
      <w:r>
        <w:t xml:space="preserve"> a school outbuilding), however this </w:t>
      </w:r>
      <w:r w:rsidR="000C7E4F">
        <w:t>is not relevant to</w:t>
      </w:r>
      <w:r>
        <w:t xml:space="preserve"> this requirement.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98381352"/>
      <w:docPartObj>
        <w:docPartGallery w:val="Page Numbers (Top of Page)"/>
        <w:docPartUnique/>
      </w:docPartObj>
    </w:sdtPr>
    <w:sdtContent>
      <w:p w14:paraId="426FCDB2" w14:textId="4B70DF74" w:rsidR="001F4A10" w:rsidRPr="009F4796" w:rsidRDefault="001F4A10">
        <w:pPr>
          <w:pStyle w:val="Header"/>
          <w:rPr>
            <w:sz w:val="24"/>
            <w:szCs w:val="24"/>
          </w:rPr>
        </w:pPr>
        <w:r w:rsidRPr="009F4796">
          <w:rPr>
            <w:sz w:val="24"/>
            <w:szCs w:val="24"/>
          </w:rPr>
          <w:t xml:space="preserve">Page </w:t>
        </w:r>
        <w:r w:rsidRPr="009F4796">
          <w:rPr>
            <w:b/>
            <w:bCs/>
            <w:sz w:val="24"/>
            <w:szCs w:val="24"/>
          </w:rPr>
          <w:fldChar w:fldCharType="begin"/>
        </w:r>
        <w:r w:rsidRPr="009F4796">
          <w:rPr>
            <w:b/>
            <w:bCs/>
            <w:sz w:val="24"/>
            <w:szCs w:val="24"/>
          </w:rPr>
          <w:instrText xml:space="preserve"> PAGE </w:instrText>
        </w:r>
        <w:r w:rsidRPr="009F4796">
          <w:rPr>
            <w:b/>
            <w:bCs/>
            <w:sz w:val="24"/>
            <w:szCs w:val="24"/>
          </w:rPr>
          <w:fldChar w:fldCharType="separate"/>
        </w:r>
        <w:r w:rsidRPr="009F4796">
          <w:rPr>
            <w:b/>
            <w:bCs/>
            <w:noProof/>
            <w:sz w:val="24"/>
            <w:szCs w:val="24"/>
          </w:rPr>
          <w:t>2</w:t>
        </w:r>
        <w:r w:rsidRPr="009F4796">
          <w:rPr>
            <w:b/>
            <w:bCs/>
            <w:sz w:val="24"/>
            <w:szCs w:val="24"/>
          </w:rPr>
          <w:fldChar w:fldCharType="end"/>
        </w:r>
        <w:r w:rsidRPr="009F4796">
          <w:rPr>
            <w:sz w:val="24"/>
            <w:szCs w:val="24"/>
          </w:rPr>
          <w:t xml:space="preserve"> of </w:t>
        </w:r>
        <w:r w:rsidRPr="009F4796">
          <w:rPr>
            <w:b/>
            <w:bCs/>
            <w:sz w:val="24"/>
            <w:szCs w:val="24"/>
          </w:rPr>
          <w:fldChar w:fldCharType="begin"/>
        </w:r>
        <w:r w:rsidRPr="009F4796">
          <w:rPr>
            <w:b/>
            <w:bCs/>
            <w:sz w:val="24"/>
            <w:szCs w:val="24"/>
          </w:rPr>
          <w:instrText xml:space="preserve"> NUMPAGES  </w:instrText>
        </w:r>
        <w:r w:rsidRPr="009F4796">
          <w:rPr>
            <w:b/>
            <w:bCs/>
            <w:sz w:val="24"/>
            <w:szCs w:val="24"/>
          </w:rPr>
          <w:fldChar w:fldCharType="separate"/>
        </w:r>
        <w:r w:rsidRPr="009F4796">
          <w:rPr>
            <w:b/>
            <w:bCs/>
            <w:noProof/>
            <w:sz w:val="24"/>
            <w:szCs w:val="24"/>
          </w:rPr>
          <w:t>2</w:t>
        </w:r>
        <w:r w:rsidRPr="009F4796">
          <w:rPr>
            <w:b/>
            <w:bCs/>
            <w:sz w:val="24"/>
            <w:szCs w:val="24"/>
          </w:rPr>
          <w:fldChar w:fldCharType="end"/>
        </w:r>
        <w:r w:rsidR="009F4796" w:rsidRPr="009F4796">
          <w:rPr>
            <w:b/>
            <w:bCs/>
            <w:sz w:val="24"/>
            <w:szCs w:val="24"/>
          </w:rPr>
          <w:t xml:space="preserve"> – </w:t>
        </w:r>
        <w:r w:rsidR="00BA224C">
          <w:rPr>
            <w:b/>
            <w:bCs/>
            <w:sz w:val="24"/>
            <w:szCs w:val="24"/>
          </w:rPr>
          <w:t xml:space="preserve">Schedule 1 Specification </w:t>
        </w:r>
        <w:r w:rsidR="006F5F2B">
          <w:rPr>
            <w:b/>
            <w:bCs/>
            <w:sz w:val="24"/>
            <w:szCs w:val="24"/>
          </w:rPr>
          <w:t>Large Walk in AQ Housing</w:t>
        </w:r>
      </w:p>
    </w:sdtContent>
  </w:sdt>
  <w:p w14:paraId="1D22DE86" w14:textId="77777777" w:rsidR="001F4A10" w:rsidRDefault="001F4A10">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124B2"/>
    <w:multiLevelType w:val="hybridMultilevel"/>
    <w:tmpl w:val="C1543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61513"/>
    <w:multiLevelType w:val="hybridMultilevel"/>
    <w:tmpl w:val="2E140306"/>
    <w:lvl w:ilvl="0" w:tplc="4FF2858E">
      <w:start w:val="1"/>
      <w:numFmt w:val="bullet"/>
      <w:pStyle w:val="TENDERBULLET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DB1189"/>
    <w:multiLevelType w:val="multilevel"/>
    <w:tmpl w:val="D1265434"/>
    <w:lvl w:ilvl="0">
      <w:start w:val="1"/>
      <w:numFmt w:val="decimal"/>
      <w:lvlText w:val="%1."/>
      <w:lvlJc w:val="left"/>
      <w:pPr>
        <w:ind w:left="720" w:hanging="360"/>
      </w:pPr>
    </w:lvl>
    <w:lvl w:ilvl="1">
      <w:start w:val="1"/>
      <w:numFmt w:val="bullet"/>
      <w:lvlText w:val=""/>
      <w:lvlJc w:val="left"/>
      <w:pPr>
        <w:ind w:left="1160" w:hanging="440"/>
      </w:pPr>
      <w:rPr>
        <w:rFonts w:ascii="Symbol" w:hAnsi="Symbol" w:hint="default"/>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abstractNum w:abstractNumId="3" w15:restartNumberingAfterBreak="0">
    <w:nsid w:val="04014175"/>
    <w:multiLevelType w:val="hybridMultilevel"/>
    <w:tmpl w:val="CBDEB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805F74"/>
    <w:multiLevelType w:val="multilevel"/>
    <w:tmpl w:val="9E42B6F0"/>
    <w:lvl w:ilvl="0">
      <w:start w:val="5"/>
      <w:numFmt w:val="decimal"/>
      <w:lvlText w:val="%1."/>
      <w:lvlJc w:val="left"/>
      <w:pPr>
        <w:ind w:left="720" w:hanging="360"/>
      </w:pPr>
      <w:rPr>
        <w:rFonts w:hint="default"/>
      </w:rPr>
    </w:lvl>
    <w:lvl w:ilvl="1">
      <w:start w:val="1"/>
      <w:numFmt w:val="decimal"/>
      <w:isLgl/>
      <w:lvlText w:val="%1.%2"/>
      <w:lvlJc w:val="left"/>
      <w:pPr>
        <w:ind w:left="1160" w:hanging="4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957045E"/>
    <w:multiLevelType w:val="multilevel"/>
    <w:tmpl w:val="D06C6362"/>
    <w:lvl w:ilvl="0">
      <w:start w:val="1"/>
      <w:numFmt w:val="decimal"/>
      <w:lvlText w:val="%1."/>
      <w:lvlJc w:val="left"/>
      <w:pPr>
        <w:ind w:left="360" w:hanging="360"/>
      </w:pPr>
      <w:rPr>
        <w:rFonts w:hint="default"/>
        <w:sz w:val="24"/>
        <w:szCs w:val="24"/>
      </w:rPr>
    </w:lvl>
    <w:lvl w:ilvl="1">
      <w:start w:val="1"/>
      <w:numFmt w:val="decimal"/>
      <w:lvlText w:val="%1.%2."/>
      <w:lvlJc w:val="left"/>
      <w:pPr>
        <w:ind w:left="715"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C9C7AC8"/>
    <w:multiLevelType w:val="hybridMultilevel"/>
    <w:tmpl w:val="369C5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1E6D38"/>
    <w:multiLevelType w:val="hybridMultilevel"/>
    <w:tmpl w:val="86DE6A90"/>
    <w:lvl w:ilvl="0" w:tplc="E7789CB6">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FA6222"/>
    <w:multiLevelType w:val="hybridMultilevel"/>
    <w:tmpl w:val="EAE28066"/>
    <w:lvl w:ilvl="0" w:tplc="E7789CB6">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C41359"/>
    <w:multiLevelType w:val="hybridMultilevel"/>
    <w:tmpl w:val="D67CF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0D38DD"/>
    <w:multiLevelType w:val="hybridMultilevel"/>
    <w:tmpl w:val="8B8862D0"/>
    <w:lvl w:ilvl="0" w:tplc="5F827C8C">
      <w:numFmt w:val="bullet"/>
      <w:lvlText w:val="·"/>
      <w:lvlJc w:val="left"/>
      <w:pPr>
        <w:ind w:left="2160" w:hanging="360"/>
      </w:pPr>
      <w:rPr>
        <w:rFonts w:ascii="Calibri Light" w:eastAsiaTheme="majorEastAsia" w:hAnsi="Calibri Light" w:cs="Calibri Light"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15B02CB3"/>
    <w:multiLevelType w:val="hybridMultilevel"/>
    <w:tmpl w:val="22C8BB7A"/>
    <w:lvl w:ilvl="0" w:tplc="4F7EE32C">
      <w:start w:val="1"/>
      <w:numFmt w:val="lowerRoman"/>
      <w:lvlText w:val="(%1)"/>
      <w:lvlJc w:val="left"/>
      <w:pPr>
        <w:ind w:left="1287" w:hanging="360"/>
      </w:pPr>
      <w:rPr>
        <w:rFonts w:hint="default"/>
      </w:rPr>
    </w:lvl>
    <w:lvl w:ilvl="1" w:tplc="4F7EE32C">
      <w:start w:val="1"/>
      <w:numFmt w:val="lowerRoman"/>
      <w:lvlText w:val="(%2)"/>
      <w:lvlJc w:val="left"/>
      <w:pPr>
        <w:ind w:left="2007" w:hanging="360"/>
      </w:pPr>
      <w:rPr>
        <w:rFonts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2" w15:restartNumberingAfterBreak="0">
    <w:nsid w:val="16FD29CC"/>
    <w:multiLevelType w:val="hybridMultilevel"/>
    <w:tmpl w:val="4DF8B5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FA4969"/>
    <w:multiLevelType w:val="hybridMultilevel"/>
    <w:tmpl w:val="1C3EB586"/>
    <w:lvl w:ilvl="0" w:tplc="E7789CB6">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090A4E"/>
    <w:multiLevelType w:val="hybridMultilevel"/>
    <w:tmpl w:val="EB9C71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ACE0EA1"/>
    <w:multiLevelType w:val="hybridMultilevel"/>
    <w:tmpl w:val="B38EED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B500589"/>
    <w:multiLevelType w:val="hybridMultilevel"/>
    <w:tmpl w:val="0DC81928"/>
    <w:lvl w:ilvl="0" w:tplc="E7789CB6">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CA13CE"/>
    <w:multiLevelType w:val="hybridMultilevel"/>
    <w:tmpl w:val="D00022D6"/>
    <w:lvl w:ilvl="0" w:tplc="DB3E966C">
      <w:start w:val="1"/>
      <w:numFmt w:val="bullet"/>
      <w:pStyle w:val="BulletText1"/>
      <w:lvlText w:val=""/>
      <w:lvlJc w:val="left"/>
      <w:pPr>
        <w:ind w:left="757" w:hanging="360"/>
      </w:pPr>
      <w:rPr>
        <w:rFonts w:ascii="Symbol" w:hAnsi="Symbol" w:hint="default"/>
        <w:b w:val="0"/>
        <w:bCs w:val="0"/>
        <w:i w:val="0"/>
        <w:iCs w:val="0"/>
        <w: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F66E68"/>
    <w:multiLevelType w:val="hybridMultilevel"/>
    <w:tmpl w:val="D0782E2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257B0E60"/>
    <w:multiLevelType w:val="hybridMultilevel"/>
    <w:tmpl w:val="49A6B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B46EF1"/>
    <w:multiLevelType w:val="multilevel"/>
    <w:tmpl w:val="D1265434"/>
    <w:lvl w:ilvl="0">
      <w:start w:val="1"/>
      <w:numFmt w:val="decimal"/>
      <w:lvlText w:val="%1."/>
      <w:lvlJc w:val="left"/>
      <w:pPr>
        <w:ind w:left="720" w:hanging="360"/>
      </w:pPr>
    </w:lvl>
    <w:lvl w:ilvl="1">
      <w:start w:val="1"/>
      <w:numFmt w:val="bullet"/>
      <w:lvlText w:val=""/>
      <w:lvlJc w:val="left"/>
      <w:pPr>
        <w:ind w:left="1160" w:hanging="440"/>
      </w:pPr>
      <w:rPr>
        <w:rFonts w:ascii="Symbol" w:hAnsi="Symbol" w:hint="default"/>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abstractNum w:abstractNumId="21" w15:restartNumberingAfterBreak="0">
    <w:nsid w:val="26F121FB"/>
    <w:multiLevelType w:val="hybridMultilevel"/>
    <w:tmpl w:val="B86EC2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2C3061BA"/>
    <w:multiLevelType w:val="hybridMultilevel"/>
    <w:tmpl w:val="F3BAA79A"/>
    <w:lvl w:ilvl="0" w:tplc="08090001">
      <w:start w:val="1"/>
      <w:numFmt w:val="bullet"/>
      <w:lvlText w:val=""/>
      <w:lvlJc w:val="left"/>
      <w:pPr>
        <w:ind w:left="1880" w:hanging="360"/>
      </w:pPr>
      <w:rPr>
        <w:rFonts w:ascii="Symbol" w:hAnsi="Symbol" w:hint="default"/>
      </w:rPr>
    </w:lvl>
    <w:lvl w:ilvl="1" w:tplc="08090003" w:tentative="1">
      <w:start w:val="1"/>
      <w:numFmt w:val="bullet"/>
      <w:lvlText w:val="o"/>
      <w:lvlJc w:val="left"/>
      <w:pPr>
        <w:ind w:left="2600" w:hanging="360"/>
      </w:pPr>
      <w:rPr>
        <w:rFonts w:ascii="Courier New" w:hAnsi="Courier New" w:cs="Courier New" w:hint="default"/>
      </w:rPr>
    </w:lvl>
    <w:lvl w:ilvl="2" w:tplc="08090005" w:tentative="1">
      <w:start w:val="1"/>
      <w:numFmt w:val="bullet"/>
      <w:lvlText w:val=""/>
      <w:lvlJc w:val="left"/>
      <w:pPr>
        <w:ind w:left="3320" w:hanging="360"/>
      </w:pPr>
      <w:rPr>
        <w:rFonts w:ascii="Wingdings" w:hAnsi="Wingdings" w:hint="default"/>
      </w:rPr>
    </w:lvl>
    <w:lvl w:ilvl="3" w:tplc="08090001" w:tentative="1">
      <w:start w:val="1"/>
      <w:numFmt w:val="bullet"/>
      <w:lvlText w:val=""/>
      <w:lvlJc w:val="left"/>
      <w:pPr>
        <w:ind w:left="4040" w:hanging="360"/>
      </w:pPr>
      <w:rPr>
        <w:rFonts w:ascii="Symbol" w:hAnsi="Symbol" w:hint="default"/>
      </w:rPr>
    </w:lvl>
    <w:lvl w:ilvl="4" w:tplc="08090003" w:tentative="1">
      <w:start w:val="1"/>
      <w:numFmt w:val="bullet"/>
      <w:lvlText w:val="o"/>
      <w:lvlJc w:val="left"/>
      <w:pPr>
        <w:ind w:left="4760" w:hanging="360"/>
      </w:pPr>
      <w:rPr>
        <w:rFonts w:ascii="Courier New" w:hAnsi="Courier New" w:cs="Courier New" w:hint="default"/>
      </w:rPr>
    </w:lvl>
    <w:lvl w:ilvl="5" w:tplc="08090005" w:tentative="1">
      <w:start w:val="1"/>
      <w:numFmt w:val="bullet"/>
      <w:lvlText w:val=""/>
      <w:lvlJc w:val="left"/>
      <w:pPr>
        <w:ind w:left="5480" w:hanging="360"/>
      </w:pPr>
      <w:rPr>
        <w:rFonts w:ascii="Wingdings" w:hAnsi="Wingdings" w:hint="default"/>
      </w:rPr>
    </w:lvl>
    <w:lvl w:ilvl="6" w:tplc="08090001" w:tentative="1">
      <w:start w:val="1"/>
      <w:numFmt w:val="bullet"/>
      <w:lvlText w:val=""/>
      <w:lvlJc w:val="left"/>
      <w:pPr>
        <w:ind w:left="6200" w:hanging="360"/>
      </w:pPr>
      <w:rPr>
        <w:rFonts w:ascii="Symbol" w:hAnsi="Symbol" w:hint="default"/>
      </w:rPr>
    </w:lvl>
    <w:lvl w:ilvl="7" w:tplc="08090003" w:tentative="1">
      <w:start w:val="1"/>
      <w:numFmt w:val="bullet"/>
      <w:lvlText w:val="o"/>
      <w:lvlJc w:val="left"/>
      <w:pPr>
        <w:ind w:left="6920" w:hanging="360"/>
      </w:pPr>
      <w:rPr>
        <w:rFonts w:ascii="Courier New" w:hAnsi="Courier New" w:cs="Courier New" w:hint="default"/>
      </w:rPr>
    </w:lvl>
    <w:lvl w:ilvl="8" w:tplc="08090005" w:tentative="1">
      <w:start w:val="1"/>
      <w:numFmt w:val="bullet"/>
      <w:lvlText w:val=""/>
      <w:lvlJc w:val="left"/>
      <w:pPr>
        <w:ind w:left="7640" w:hanging="360"/>
      </w:pPr>
      <w:rPr>
        <w:rFonts w:ascii="Wingdings" w:hAnsi="Wingdings" w:hint="default"/>
      </w:rPr>
    </w:lvl>
  </w:abstractNum>
  <w:abstractNum w:abstractNumId="23" w15:restartNumberingAfterBreak="0">
    <w:nsid w:val="2E01146D"/>
    <w:multiLevelType w:val="hybridMultilevel"/>
    <w:tmpl w:val="A8B49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E82B24"/>
    <w:multiLevelType w:val="hybridMultilevel"/>
    <w:tmpl w:val="1F402FC6"/>
    <w:lvl w:ilvl="0" w:tplc="08090001">
      <w:start w:val="1"/>
      <w:numFmt w:val="bullet"/>
      <w:lvlText w:val=""/>
      <w:lvlJc w:val="left"/>
      <w:pPr>
        <w:ind w:left="1880" w:hanging="360"/>
      </w:pPr>
      <w:rPr>
        <w:rFonts w:ascii="Symbol" w:hAnsi="Symbol" w:hint="default"/>
      </w:rPr>
    </w:lvl>
    <w:lvl w:ilvl="1" w:tplc="08090003" w:tentative="1">
      <w:start w:val="1"/>
      <w:numFmt w:val="bullet"/>
      <w:lvlText w:val="o"/>
      <w:lvlJc w:val="left"/>
      <w:pPr>
        <w:ind w:left="2600" w:hanging="360"/>
      </w:pPr>
      <w:rPr>
        <w:rFonts w:ascii="Courier New" w:hAnsi="Courier New" w:cs="Courier New" w:hint="default"/>
      </w:rPr>
    </w:lvl>
    <w:lvl w:ilvl="2" w:tplc="08090005" w:tentative="1">
      <w:start w:val="1"/>
      <w:numFmt w:val="bullet"/>
      <w:lvlText w:val=""/>
      <w:lvlJc w:val="left"/>
      <w:pPr>
        <w:ind w:left="3320" w:hanging="360"/>
      </w:pPr>
      <w:rPr>
        <w:rFonts w:ascii="Wingdings" w:hAnsi="Wingdings" w:hint="default"/>
      </w:rPr>
    </w:lvl>
    <w:lvl w:ilvl="3" w:tplc="08090001" w:tentative="1">
      <w:start w:val="1"/>
      <w:numFmt w:val="bullet"/>
      <w:lvlText w:val=""/>
      <w:lvlJc w:val="left"/>
      <w:pPr>
        <w:ind w:left="4040" w:hanging="360"/>
      </w:pPr>
      <w:rPr>
        <w:rFonts w:ascii="Symbol" w:hAnsi="Symbol" w:hint="default"/>
      </w:rPr>
    </w:lvl>
    <w:lvl w:ilvl="4" w:tplc="08090003" w:tentative="1">
      <w:start w:val="1"/>
      <w:numFmt w:val="bullet"/>
      <w:lvlText w:val="o"/>
      <w:lvlJc w:val="left"/>
      <w:pPr>
        <w:ind w:left="4760" w:hanging="360"/>
      </w:pPr>
      <w:rPr>
        <w:rFonts w:ascii="Courier New" w:hAnsi="Courier New" w:cs="Courier New" w:hint="default"/>
      </w:rPr>
    </w:lvl>
    <w:lvl w:ilvl="5" w:tplc="08090005" w:tentative="1">
      <w:start w:val="1"/>
      <w:numFmt w:val="bullet"/>
      <w:lvlText w:val=""/>
      <w:lvlJc w:val="left"/>
      <w:pPr>
        <w:ind w:left="5480" w:hanging="360"/>
      </w:pPr>
      <w:rPr>
        <w:rFonts w:ascii="Wingdings" w:hAnsi="Wingdings" w:hint="default"/>
      </w:rPr>
    </w:lvl>
    <w:lvl w:ilvl="6" w:tplc="08090001" w:tentative="1">
      <w:start w:val="1"/>
      <w:numFmt w:val="bullet"/>
      <w:lvlText w:val=""/>
      <w:lvlJc w:val="left"/>
      <w:pPr>
        <w:ind w:left="6200" w:hanging="360"/>
      </w:pPr>
      <w:rPr>
        <w:rFonts w:ascii="Symbol" w:hAnsi="Symbol" w:hint="default"/>
      </w:rPr>
    </w:lvl>
    <w:lvl w:ilvl="7" w:tplc="08090003" w:tentative="1">
      <w:start w:val="1"/>
      <w:numFmt w:val="bullet"/>
      <w:lvlText w:val="o"/>
      <w:lvlJc w:val="left"/>
      <w:pPr>
        <w:ind w:left="6920" w:hanging="360"/>
      </w:pPr>
      <w:rPr>
        <w:rFonts w:ascii="Courier New" w:hAnsi="Courier New" w:cs="Courier New" w:hint="default"/>
      </w:rPr>
    </w:lvl>
    <w:lvl w:ilvl="8" w:tplc="08090005" w:tentative="1">
      <w:start w:val="1"/>
      <w:numFmt w:val="bullet"/>
      <w:lvlText w:val=""/>
      <w:lvlJc w:val="left"/>
      <w:pPr>
        <w:ind w:left="7640" w:hanging="360"/>
      </w:pPr>
      <w:rPr>
        <w:rFonts w:ascii="Wingdings" w:hAnsi="Wingdings" w:hint="default"/>
      </w:rPr>
    </w:lvl>
  </w:abstractNum>
  <w:abstractNum w:abstractNumId="25" w15:restartNumberingAfterBreak="0">
    <w:nsid w:val="30C412DC"/>
    <w:multiLevelType w:val="hybridMultilevel"/>
    <w:tmpl w:val="6024A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0FB5CA3"/>
    <w:multiLevelType w:val="hybridMultilevel"/>
    <w:tmpl w:val="60B6C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49D2572"/>
    <w:multiLevelType w:val="hybridMultilevel"/>
    <w:tmpl w:val="5ACCB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59D01FB"/>
    <w:multiLevelType w:val="hybridMultilevel"/>
    <w:tmpl w:val="73A4BC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3E6B5029"/>
    <w:multiLevelType w:val="hybridMultilevel"/>
    <w:tmpl w:val="55A645EC"/>
    <w:lvl w:ilvl="0" w:tplc="AC142B8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F17FD7"/>
    <w:multiLevelType w:val="hybridMultilevel"/>
    <w:tmpl w:val="7CE86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64052B0"/>
    <w:multiLevelType w:val="hybridMultilevel"/>
    <w:tmpl w:val="F5FA2FE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48B209C2"/>
    <w:multiLevelType w:val="hybridMultilevel"/>
    <w:tmpl w:val="2C4A5FF8"/>
    <w:lvl w:ilvl="0" w:tplc="10E0E0E4">
      <w:start w:val="1"/>
      <w:numFmt w:val="bullet"/>
      <w:lvlText w:val="•"/>
      <w:lvlJc w:val="left"/>
      <w:pPr>
        <w:tabs>
          <w:tab w:val="num" w:pos="720"/>
        </w:tabs>
        <w:ind w:left="720" w:hanging="360"/>
      </w:pPr>
      <w:rPr>
        <w:rFonts w:ascii="Arial" w:hAnsi="Arial" w:hint="default"/>
      </w:rPr>
    </w:lvl>
    <w:lvl w:ilvl="1" w:tplc="092C5134" w:tentative="1">
      <w:start w:val="1"/>
      <w:numFmt w:val="bullet"/>
      <w:lvlText w:val="•"/>
      <w:lvlJc w:val="left"/>
      <w:pPr>
        <w:tabs>
          <w:tab w:val="num" w:pos="1440"/>
        </w:tabs>
        <w:ind w:left="1440" w:hanging="360"/>
      </w:pPr>
      <w:rPr>
        <w:rFonts w:ascii="Arial" w:hAnsi="Arial" w:hint="default"/>
      </w:rPr>
    </w:lvl>
    <w:lvl w:ilvl="2" w:tplc="99221D44" w:tentative="1">
      <w:start w:val="1"/>
      <w:numFmt w:val="bullet"/>
      <w:lvlText w:val="•"/>
      <w:lvlJc w:val="left"/>
      <w:pPr>
        <w:tabs>
          <w:tab w:val="num" w:pos="2160"/>
        </w:tabs>
        <w:ind w:left="2160" w:hanging="360"/>
      </w:pPr>
      <w:rPr>
        <w:rFonts w:ascii="Arial" w:hAnsi="Arial" w:hint="default"/>
      </w:rPr>
    </w:lvl>
    <w:lvl w:ilvl="3" w:tplc="157C9E00" w:tentative="1">
      <w:start w:val="1"/>
      <w:numFmt w:val="bullet"/>
      <w:lvlText w:val="•"/>
      <w:lvlJc w:val="left"/>
      <w:pPr>
        <w:tabs>
          <w:tab w:val="num" w:pos="2880"/>
        </w:tabs>
        <w:ind w:left="2880" w:hanging="360"/>
      </w:pPr>
      <w:rPr>
        <w:rFonts w:ascii="Arial" w:hAnsi="Arial" w:hint="default"/>
      </w:rPr>
    </w:lvl>
    <w:lvl w:ilvl="4" w:tplc="E0721E88" w:tentative="1">
      <w:start w:val="1"/>
      <w:numFmt w:val="bullet"/>
      <w:lvlText w:val="•"/>
      <w:lvlJc w:val="left"/>
      <w:pPr>
        <w:tabs>
          <w:tab w:val="num" w:pos="3600"/>
        </w:tabs>
        <w:ind w:left="3600" w:hanging="360"/>
      </w:pPr>
      <w:rPr>
        <w:rFonts w:ascii="Arial" w:hAnsi="Arial" w:hint="default"/>
      </w:rPr>
    </w:lvl>
    <w:lvl w:ilvl="5" w:tplc="AEDE08F4" w:tentative="1">
      <w:start w:val="1"/>
      <w:numFmt w:val="bullet"/>
      <w:lvlText w:val="•"/>
      <w:lvlJc w:val="left"/>
      <w:pPr>
        <w:tabs>
          <w:tab w:val="num" w:pos="4320"/>
        </w:tabs>
        <w:ind w:left="4320" w:hanging="360"/>
      </w:pPr>
      <w:rPr>
        <w:rFonts w:ascii="Arial" w:hAnsi="Arial" w:hint="default"/>
      </w:rPr>
    </w:lvl>
    <w:lvl w:ilvl="6" w:tplc="B1D48F8E" w:tentative="1">
      <w:start w:val="1"/>
      <w:numFmt w:val="bullet"/>
      <w:lvlText w:val="•"/>
      <w:lvlJc w:val="left"/>
      <w:pPr>
        <w:tabs>
          <w:tab w:val="num" w:pos="5040"/>
        </w:tabs>
        <w:ind w:left="5040" w:hanging="360"/>
      </w:pPr>
      <w:rPr>
        <w:rFonts w:ascii="Arial" w:hAnsi="Arial" w:hint="default"/>
      </w:rPr>
    </w:lvl>
    <w:lvl w:ilvl="7" w:tplc="CFA0DE0A" w:tentative="1">
      <w:start w:val="1"/>
      <w:numFmt w:val="bullet"/>
      <w:lvlText w:val="•"/>
      <w:lvlJc w:val="left"/>
      <w:pPr>
        <w:tabs>
          <w:tab w:val="num" w:pos="5760"/>
        </w:tabs>
        <w:ind w:left="5760" w:hanging="360"/>
      </w:pPr>
      <w:rPr>
        <w:rFonts w:ascii="Arial" w:hAnsi="Arial" w:hint="default"/>
      </w:rPr>
    </w:lvl>
    <w:lvl w:ilvl="8" w:tplc="BFD84B2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4962064C"/>
    <w:multiLevelType w:val="hybridMultilevel"/>
    <w:tmpl w:val="A5FE6C46"/>
    <w:lvl w:ilvl="0" w:tplc="E7789CB6">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E309A1"/>
    <w:multiLevelType w:val="hybridMultilevel"/>
    <w:tmpl w:val="52225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DB02712"/>
    <w:multiLevelType w:val="hybridMultilevel"/>
    <w:tmpl w:val="243EB14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6" w15:restartNumberingAfterBreak="0">
    <w:nsid w:val="4E9B585A"/>
    <w:multiLevelType w:val="hybridMultilevel"/>
    <w:tmpl w:val="815AC1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EFE3716"/>
    <w:multiLevelType w:val="hybridMultilevel"/>
    <w:tmpl w:val="639E303E"/>
    <w:lvl w:ilvl="0" w:tplc="E7789CB6">
      <w:start w:val="1"/>
      <w:numFmt w:val="bullet"/>
      <w:lvlText w:val="-"/>
      <w:lvlJc w:val="left"/>
      <w:pPr>
        <w:ind w:left="1211" w:hanging="360"/>
      </w:pPr>
      <w:rPr>
        <w:rFonts w:ascii="Arial" w:eastAsia="Calibri" w:hAnsi="Aria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8" w15:restartNumberingAfterBreak="0">
    <w:nsid w:val="551371CF"/>
    <w:multiLevelType w:val="hybridMultilevel"/>
    <w:tmpl w:val="BE2293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8B02476"/>
    <w:multiLevelType w:val="hybridMultilevel"/>
    <w:tmpl w:val="0512D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3D121C1"/>
    <w:multiLevelType w:val="hybridMultilevel"/>
    <w:tmpl w:val="63DC6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627D33"/>
    <w:multiLevelType w:val="multilevel"/>
    <w:tmpl w:val="FDE04588"/>
    <w:lvl w:ilvl="0">
      <w:start w:val="1"/>
      <w:numFmt w:val="decimal"/>
      <w:pStyle w:val="Heading1"/>
      <w:lvlText w:val="%1."/>
      <w:lvlJc w:val="left"/>
      <w:pPr>
        <w:ind w:left="720" w:hanging="360"/>
      </w:pPr>
    </w:lvl>
    <w:lvl w:ilvl="1">
      <w:start w:val="1"/>
      <w:numFmt w:val="decimal"/>
      <w:pStyle w:val="Heading2"/>
      <w:lvlText w:val="%1.%2"/>
      <w:lvlJc w:val="left"/>
      <w:pPr>
        <w:ind w:left="1160" w:hanging="440"/>
      </w:pPr>
    </w:lvl>
    <w:lvl w:ilvl="2">
      <w:start w:val="1"/>
      <w:numFmt w:val="decimal"/>
      <w:pStyle w:val="Heading3"/>
      <w:lvlText w:val="%1.%2.%3"/>
      <w:lvlJc w:val="left"/>
      <w:pPr>
        <w:ind w:left="1800" w:hanging="720"/>
      </w:pPr>
    </w:lvl>
    <w:lvl w:ilvl="3">
      <w:start w:val="1"/>
      <w:numFmt w:val="decimal"/>
      <w:pStyle w:val="Heading4"/>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abstractNum w:abstractNumId="42" w15:restartNumberingAfterBreak="0">
    <w:nsid w:val="691C29A2"/>
    <w:multiLevelType w:val="hybridMultilevel"/>
    <w:tmpl w:val="AF4C78B8"/>
    <w:lvl w:ilvl="0" w:tplc="E7789CB6">
      <w:start w:val="1"/>
      <w:numFmt w:val="bullet"/>
      <w:lvlText w:val="-"/>
      <w:lvlJc w:val="left"/>
      <w:pPr>
        <w:ind w:left="770" w:hanging="360"/>
      </w:pPr>
      <w:rPr>
        <w:rFonts w:ascii="Arial" w:eastAsia="Calibri" w:hAnsi="Arial" w:cs="Aria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3" w15:restartNumberingAfterBreak="0">
    <w:nsid w:val="69911B59"/>
    <w:multiLevelType w:val="hybridMultilevel"/>
    <w:tmpl w:val="3E3C08EE"/>
    <w:lvl w:ilvl="0" w:tplc="FFFFFFFF">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44" w15:restartNumberingAfterBreak="0">
    <w:nsid w:val="6CA82FE3"/>
    <w:multiLevelType w:val="multilevel"/>
    <w:tmpl w:val="F8EABD4E"/>
    <w:lvl w:ilvl="0">
      <w:start w:val="1"/>
      <w:numFmt w:val="decimal"/>
      <w:pStyle w:val="TENDERLEVEL1Heading"/>
      <w:lvlText w:val="%1."/>
      <w:lvlJc w:val="left"/>
      <w:pPr>
        <w:ind w:left="644" w:hanging="360"/>
      </w:pPr>
      <w:rPr>
        <w:rFonts w:hint="default"/>
        <w:b/>
      </w:rPr>
    </w:lvl>
    <w:lvl w:ilvl="1">
      <w:start w:val="1"/>
      <w:numFmt w:val="decimal"/>
      <w:pStyle w:val="TENDERLEVEL2"/>
      <w:lvlText w:val="%1.%2."/>
      <w:lvlJc w:val="left"/>
      <w:pPr>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sz w:val="22"/>
        <w:szCs w:val="22"/>
        <w:u w:val="none"/>
        <w:effect w:val="none"/>
        <w:vertAlign w:val="baseline"/>
        <w:em w:val="none"/>
        <w:specVanish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CE8605D"/>
    <w:multiLevelType w:val="hybridMultilevel"/>
    <w:tmpl w:val="AB22AB84"/>
    <w:lvl w:ilvl="0" w:tplc="0809000F">
      <w:start w:val="1"/>
      <w:numFmt w:val="decimal"/>
      <w:lvlText w:val="%1."/>
      <w:lvlJc w:val="left"/>
      <w:pPr>
        <w:ind w:left="720" w:hanging="360"/>
      </w:pPr>
      <w:rPr>
        <w:rFonts w:hint="default"/>
      </w:rPr>
    </w:lvl>
    <w:lvl w:ilvl="1" w:tplc="60864A7C">
      <w:start w:val="1"/>
      <w:numFmt w:val="lowerLetter"/>
      <w:lvlText w:val="%2."/>
      <w:lvlJc w:val="left"/>
      <w:pPr>
        <w:ind w:left="1440" w:hanging="360"/>
      </w:pPr>
      <w:rPr>
        <w:rFonts w:ascii="Arial" w:eastAsia="Calibri" w:hAnsi="Arial" w:cs="Arial"/>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E0D3318"/>
    <w:multiLevelType w:val="hybridMultilevel"/>
    <w:tmpl w:val="B47098E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71F87EBE"/>
    <w:multiLevelType w:val="hybridMultilevel"/>
    <w:tmpl w:val="24F428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6737167">
    <w:abstractNumId w:val="17"/>
  </w:num>
  <w:num w:numId="2" w16cid:durableId="177618947">
    <w:abstractNumId w:val="31"/>
  </w:num>
  <w:num w:numId="3" w16cid:durableId="1335769225">
    <w:abstractNumId w:val="18"/>
  </w:num>
  <w:num w:numId="4" w16cid:durableId="1806239844">
    <w:abstractNumId w:val="36"/>
  </w:num>
  <w:num w:numId="5" w16cid:durableId="1111629298">
    <w:abstractNumId w:val="41"/>
  </w:num>
  <w:num w:numId="6" w16cid:durableId="948899431">
    <w:abstractNumId w:val="4"/>
  </w:num>
  <w:num w:numId="7" w16cid:durableId="852381335">
    <w:abstractNumId w:val="26"/>
  </w:num>
  <w:num w:numId="8" w16cid:durableId="1253316361">
    <w:abstractNumId w:val="40"/>
  </w:num>
  <w:num w:numId="9" w16cid:durableId="2109694751">
    <w:abstractNumId w:val="45"/>
  </w:num>
  <w:num w:numId="10" w16cid:durableId="1400832148">
    <w:abstractNumId w:val="27"/>
  </w:num>
  <w:num w:numId="11" w16cid:durableId="1208950022">
    <w:abstractNumId w:val="16"/>
  </w:num>
  <w:num w:numId="12" w16cid:durableId="1812556701">
    <w:abstractNumId w:val="33"/>
  </w:num>
  <w:num w:numId="13" w16cid:durableId="426577437">
    <w:abstractNumId w:val="42"/>
  </w:num>
  <w:num w:numId="14" w16cid:durableId="1564947365">
    <w:abstractNumId w:val="8"/>
  </w:num>
  <w:num w:numId="15" w16cid:durableId="1650941919">
    <w:abstractNumId w:val="7"/>
  </w:num>
  <w:num w:numId="16" w16cid:durableId="629557496">
    <w:abstractNumId w:val="13"/>
  </w:num>
  <w:num w:numId="17" w16cid:durableId="634721358">
    <w:abstractNumId w:val="24"/>
  </w:num>
  <w:num w:numId="18" w16cid:durableId="807549645">
    <w:abstractNumId w:val="32"/>
  </w:num>
  <w:num w:numId="19" w16cid:durableId="1404255256">
    <w:abstractNumId w:val="47"/>
  </w:num>
  <w:num w:numId="20" w16cid:durableId="772818656">
    <w:abstractNumId w:val="30"/>
  </w:num>
  <w:num w:numId="21" w16cid:durableId="1474830794">
    <w:abstractNumId w:val="22"/>
  </w:num>
  <w:num w:numId="22" w16cid:durableId="81613813">
    <w:abstractNumId w:val="20"/>
  </w:num>
  <w:num w:numId="23" w16cid:durableId="2123068991">
    <w:abstractNumId w:val="2"/>
  </w:num>
  <w:num w:numId="24" w16cid:durableId="47796544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32281110">
    <w:abstractNumId w:val="25"/>
  </w:num>
  <w:num w:numId="26" w16cid:durableId="1189103340">
    <w:abstractNumId w:val="34"/>
  </w:num>
  <w:num w:numId="27" w16cid:durableId="1024135984">
    <w:abstractNumId w:val="3"/>
  </w:num>
  <w:num w:numId="28" w16cid:durableId="1682664560">
    <w:abstractNumId w:val="46"/>
  </w:num>
  <w:num w:numId="29" w16cid:durableId="387654825">
    <w:abstractNumId w:val="37"/>
  </w:num>
  <w:num w:numId="30" w16cid:durableId="1176387911">
    <w:abstractNumId w:val="6"/>
  </w:num>
  <w:num w:numId="31" w16cid:durableId="523714623">
    <w:abstractNumId w:val="29"/>
  </w:num>
  <w:num w:numId="32" w16cid:durableId="1609191871">
    <w:abstractNumId w:val="5"/>
  </w:num>
  <w:num w:numId="33" w16cid:durableId="1441686526">
    <w:abstractNumId w:val="1"/>
  </w:num>
  <w:num w:numId="34" w16cid:durableId="1609315039">
    <w:abstractNumId w:val="38"/>
  </w:num>
  <w:num w:numId="35" w16cid:durableId="78142391">
    <w:abstractNumId w:val="14"/>
  </w:num>
  <w:num w:numId="36" w16cid:durableId="20225868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89702225">
    <w:abstractNumId w:val="23"/>
  </w:num>
  <w:num w:numId="38" w16cid:durableId="1681855394">
    <w:abstractNumId w:val="19"/>
  </w:num>
  <w:num w:numId="39" w16cid:durableId="2184440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69889536">
    <w:abstractNumId w:val="43"/>
  </w:num>
  <w:num w:numId="41" w16cid:durableId="1801462283">
    <w:abstractNumId w:val="0"/>
  </w:num>
  <w:num w:numId="42" w16cid:durableId="504243613">
    <w:abstractNumId w:val="39"/>
  </w:num>
  <w:num w:numId="43" w16cid:durableId="756681898">
    <w:abstractNumId w:val="9"/>
  </w:num>
  <w:num w:numId="44" w16cid:durableId="1984460886">
    <w:abstractNumId w:val="44"/>
  </w:num>
  <w:num w:numId="45" w16cid:durableId="2016882095">
    <w:abstractNumId w:val="11"/>
  </w:num>
  <w:num w:numId="46" w16cid:durableId="535512252">
    <w:abstractNumId w:val="12"/>
  </w:num>
  <w:num w:numId="47" w16cid:durableId="391080449">
    <w:abstractNumId w:val="21"/>
  </w:num>
  <w:num w:numId="48" w16cid:durableId="2107459507">
    <w:abstractNumId w:val="15"/>
  </w:num>
  <w:num w:numId="49" w16cid:durableId="1288123789">
    <w:abstractNumId w:val="28"/>
  </w:num>
  <w:num w:numId="50" w16cid:durableId="111091947">
    <w:abstractNumId w:val="35"/>
  </w:num>
  <w:num w:numId="51" w16cid:durableId="977416456">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10"/>
    <w:rsid w:val="000026AE"/>
    <w:rsid w:val="0000270F"/>
    <w:rsid w:val="00002890"/>
    <w:rsid w:val="00003337"/>
    <w:rsid w:val="00005EF1"/>
    <w:rsid w:val="00006880"/>
    <w:rsid w:val="00006EB5"/>
    <w:rsid w:val="000106FF"/>
    <w:rsid w:val="00012484"/>
    <w:rsid w:val="000136C7"/>
    <w:rsid w:val="00017C3A"/>
    <w:rsid w:val="0002165E"/>
    <w:rsid w:val="00021EC5"/>
    <w:rsid w:val="0002287F"/>
    <w:rsid w:val="00023363"/>
    <w:rsid w:val="00023ADC"/>
    <w:rsid w:val="000249BD"/>
    <w:rsid w:val="00026F07"/>
    <w:rsid w:val="000301EE"/>
    <w:rsid w:val="00031CF9"/>
    <w:rsid w:val="0003312D"/>
    <w:rsid w:val="00033745"/>
    <w:rsid w:val="00033F6F"/>
    <w:rsid w:val="00034824"/>
    <w:rsid w:val="0003511E"/>
    <w:rsid w:val="0003583C"/>
    <w:rsid w:val="00035A7C"/>
    <w:rsid w:val="000374D6"/>
    <w:rsid w:val="00041A4B"/>
    <w:rsid w:val="000453AF"/>
    <w:rsid w:val="00050176"/>
    <w:rsid w:val="00050BF7"/>
    <w:rsid w:val="00052190"/>
    <w:rsid w:val="00052C0A"/>
    <w:rsid w:val="0005357A"/>
    <w:rsid w:val="000549D3"/>
    <w:rsid w:val="00056F10"/>
    <w:rsid w:val="000572F1"/>
    <w:rsid w:val="00061C57"/>
    <w:rsid w:val="0006695B"/>
    <w:rsid w:val="00066E18"/>
    <w:rsid w:val="000673AD"/>
    <w:rsid w:val="00067956"/>
    <w:rsid w:val="0007007C"/>
    <w:rsid w:val="00075FEA"/>
    <w:rsid w:val="000762CD"/>
    <w:rsid w:val="00076E3D"/>
    <w:rsid w:val="00077493"/>
    <w:rsid w:val="00077E38"/>
    <w:rsid w:val="00077E54"/>
    <w:rsid w:val="00084693"/>
    <w:rsid w:val="00084A14"/>
    <w:rsid w:val="00084C3C"/>
    <w:rsid w:val="00084E2E"/>
    <w:rsid w:val="000854DC"/>
    <w:rsid w:val="00090E9F"/>
    <w:rsid w:val="000922D6"/>
    <w:rsid w:val="0009296D"/>
    <w:rsid w:val="000938C9"/>
    <w:rsid w:val="00094663"/>
    <w:rsid w:val="0009559F"/>
    <w:rsid w:val="000977A1"/>
    <w:rsid w:val="000A02F6"/>
    <w:rsid w:val="000A0F6F"/>
    <w:rsid w:val="000A2870"/>
    <w:rsid w:val="000A56D2"/>
    <w:rsid w:val="000A5C68"/>
    <w:rsid w:val="000A64CC"/>
    <w:rsid w:val="000A6767"/>
    <w:rsid w:val="000A7AB7"/>
    <w:rsid w:val="000A7E8C"/>
    <w:rsid w:val="000B01E2"/>
    <w:rsid w:val="000B0AB9"/>
    <w:rsid w:val="000B356E"/>
    <w:rsid w:val="000B3FFC"/>
    <w:rsid w:val="000B460F"/>
    <w:rsid w:val="000B4AE5"/>
    <w:rsid w:val="000B5FD4"/>
    <w:rsid w:val="000B624F"/>
    <w:rsid w:val="000B7C08"/>
    <w:rsid w:val="000B7DBB"/>
    <w:rsid w:val="000C0F42"/>
    <w:rsid w:val="000C5940"/>
    <w:rsid w:val="000C5FFF"/>
    <w:rsid w:val="000C7E4F"/>
    <w:rsid w:val="000D1378"/>
    <w:rsid w:val="000D288E"/>
    <w:rsid w:val="000D2B82"/>
    <w:rsid w:val="000D2F11"/>
    <w:rsid w:val="000D307E"/>
    <w:rsid w:val="000D3457"/>
    <w:rsid w:val="000D3F81"/>
    <w:rsid w:val="000D4A3D"/>
    <w:rsid w:val="000D66D9"/>
    <w:rsid w:val="000E2179"/>
    <w:rsid w:val="000E4848"/>
    <w:rsid w:val="000E6CB7"/>
    <w:rsid w:val="000E7A63"/>
    <w:rsid w:val="000F5CD3"/>
    <w:rsid w:val="000F5FA4"/>
    <w:rsid w:val="000F709D"/>
    <w:rsid w:val="00101BAC"/>
    <w:rsid w:val="00101C20"/>
    <w:rsid w:val="0010307A"/>
    <w:rsid w:val="00104139"/>
    <w:rsid w:val="00105A61"/>
    <w:rsid w:val="00113B6E"/>
    <w:rsid w:val="001146AA"/>
    <w:rsid w:val="00115643"/>
    <w:rsid w:val="00115D9D"/>
    <w:rsid w:val="0011647B"/>
    <w:rsid w:val="00117993"/>
    <w:rsid w:val="00117A79"/>
    <w:rsid w:val="00117E9A"/>
    <w:rsid w:val="00122E88"/>
    <w:rsid w:val="00123A97"/>
    <w:rsid w:val="00123EC8"/>
    <w:rsid w:val="00125BD6"/>
    <w:rsid w:val="00125D31"/>
    <w:rsid w:val="0012708A"/>
    <w:rsid w:val="00127DC5"/>
    <w:rsid w:val="001322C5"/>
    <w:rsid w:val="00132336"/>
    <w:rsid w:val="00133CEF"/>
    <w:rsid w:val="00140648"/>
    <w:rsid w:val="00140B15"/>
    <w:rsid w:val="001411D3"/>
    <w:rsid w:val="0014556F"/>
    <w:rsid w:val="00145889"/>
    <w:rsid w:val="00147CD3"/>
    <w:rsid w:val="001534B5"/>
    <w:rsid w:val="00156591"/>
    <w:rsid w:val="00157092"/>
    <w:rsid w:val="0016147F"/>
    <w:rsid w:val="001702FA"/>
    <w:rsid w:val="0017174B"/>
    <w:rsid w:val="00172BF2"/>
    <w:rsid w:val="00173749"/>
    <w:rsid w:val="00175492"/>
    <w:rsid w:val="00175A33"/>
    <w:rsid w:val="0017742B"/>
    <w:rsid w:val="00180A71"/>
    <w:rsid w:val="00180CFD"/>
    <w:rsid w:val="001816E7"/>
    <w:rsid w:val="00183F48"/>
    <w:rsid w:val="001875F5"/>
    <w:rsid w:val="0019091C"/>
    <w:rsid w:val="00190CDE"/>
    <w:rsid w:val="00191147"/>
    <w:rsid w:val="00191DE5"/>
    <w:rsid w:val="00197E84"/>
    <w:rsid w:val="001A0CDA"/>
    <w:rsid w:val="001A22A9"/>
    <w:rsid w:val="001A347F"/>
    <w:rsid w:val="001A3E30"/>
    <w:rsid w:val="001A4C8C"/>
    <w:rsid w:val="001A7148"/>
    <w:rsid w:val="001A7817"/>
    <w:rsid w:val="001A7969"/>
    <w:rsid w:val="001AA26C"/>
    <w:rsid w:val="001B05ED"/>
    <w:rsid w:val="001B1663"/>
    <w:rsid w:val="001B3FD0"/>
    <w:rsid w:val="001B52BE"/>
    <w:rsid w:val="001B5BD5"/>
    <w:rsid w:val="001B77D5"/>
    <w:rsid w:val="001C1743"/>
    <w:rsid w:val="001C2893"/>
    <w:rsid w:val="001C2A86"/>
    <w:rsid w:val="001C40DC"/>
    <w:rsid w:val="001C4582"/>
    <w:rsid w:val="001C5BF3"/>
    <w:rsid w:val="001C6761"/>
    <w:rsid w:val="001C7A54"/>
    <w:rsid w:val="001D07CC"/>
    <w:rsid w:val="001D2D55"/>
    <w:rsid w:val="001D4129"/>
    <w:rsid w:val="001D75C6"/>
    <w:rsid w:val="001E1385"/>
    <w:rsid w:val="001E3935"/>
    <w:rsid w:val="001E65F5"/>
    <w:rsid w:val="001F3A12"/>
    <w:rsid w:val="001F4A10"/>
    <w:rsid w:val="001F579B"/>
    <w:rsid w:val="001F75E5"/>
    <w:rsid w:val="001F7911"/>
    <w:rsid w:val="001F7A94"/>
    <w:rsid w:val="00200180"/>
    <w:rsid w:val="00202BA3"/>
    <w:rsid w:val="00203689"/>
    <w:rsid w:val="00203742"/>
    <w:rsid w:val="00204046"/>
    <w:rsid w:val="00205CD9"/>
    <w:rsid w:val="00206B81"/>
    <w:rsid w:val="00210508"/>
    <w:rsid w:val="00210782"/>
    <w:rsid w:val="00210AD8"/>
    <w:rsid w:val="00211B9C"/>
    <w:rsid w:val="00212962"/>
    <w:rsid w:val="002152A2"/>
    <w:rsid w:val="002169E9"/>
    <w:rsid w:val="00217498"/>
    <w:rsid w:val="00222869"/>
    <w:rsid w:val="0022326A"/>
    <w:rsid w:val="0022399F"/>
    <w:rsid w:val="00224864"/>
    <w:rsid w:val="002248E6"/>
    <w:rsid w:val="002249E1"/>
    <w:rsid w:val="00224D2C"/>
    <w:rsid w:val="002256B4"/>
    <w:rsid w:val="0022595A"/>
    <w:rsid w:val="00225BAC"/>
    <w:rsid w:val="00227065"/>
    <w:rsid w:val="0023018A"/>
    <w:rsid w:val="00232C6C"/>
    <w:rsid w:val="00233668"/>
    <w:rsid w:val="002339FD"/>
    <w:rsid w:val="0023511E"/>
    <w:rsid w:val="00236521"/>
    <w:rsid w:val="00240683"/>
    <w:rsid w:val="00241AAE"/>
    <w:rsid w:val="00241C38"/>
    <w:rsid w:val="00242FD2"/>
    <w:rsid w:val="002439AA"/>
    <w:rsid w:val="00244580"/>
    <w:rsid w:val="0024550B"/>
    <w:rsid w:val="00245730"/>
    <w:rsid w:val="00245840"/>
    <w:rsid w:val="002458E8"/>
    <w:rsid w:val="00251212"/>
    <w:rsid w:val="00252727"/>
    <w:rsid w:val="00253B70"/>
    <w:rsid w:val="0025655A"/>
    <w:rsid w:val="0025718C"/>
    <w:rsid w:val="00257EF7"/>
    <w:rsid w:val="00261D19"/>
    <w:rsid w:val="00261F70"/>
    <w:rsid w:val="00263973"/>
    <w:rsid w:val="0026429A"/>
    <w:rsid w:val="00264670"/>
    <w:rsid w:val="00264961"/>
    <w:rsid w:val="002665E2"/>
    <w:rsid w:val="002668C4"/>
    <w:rsid w:val="00270455"/>
    <w:rsid w:val="00272324"/>
    <w:rsid w:val="00273111"/>
    <w:rsid w:val="00274B55"/>
    <w:rsid w:val="00274E83"/>
    <w:rsid w:val="00276098"/>
    <w:rsid w:val="00277B4E"/>
    <w:rsid w:val="00281884"/>
    <w:rsid w:val="002820C1"/>
    <w:rsid w:val="00283C00"/>
    <w:rsid w:val="00284191"/>
    <w:rsid w:val="00286621"/>
    <w:rsid w:val="00287238"/>
    <w:rsid w:val="00287A60"/>
    <w:rsid w:val="00290DAA"/>
    <w:rsid w:val="002932F1"/>
    <w:rsid w:val="0029432F"/>
    <w:rsid w:val="002948FC"/>
    <w:rsid w:val="0029493A"/>
    <w:rsid w:val="00294E47"/>
    <w:rsid w:val="0029524D"/>
    <w:rsid w:val="002958B1"/>
    <w:rsid w:val="002A11FB"/>
    <w:rsid w:val="002A26BD"/>
    <w:rsid w:val="002A27FD"/>
    <w:rsid w:val="002A50F2"/>
    <w:rsid w:val="002A5199"/>
    <w:rsid w:val="002B267F"/>
    <w:rsid w:val="002B2B0E"/>
    <w:rsid w:val="002B51D9"/>
    <w:rsid w:val="002B549B"/>
    <w:rsid w:val="002B6674"/>
    <w:rsid w:val="002C17EF"/>
    <w:rsid w:val="002C196F"/>
    <w:rsid w:val="002C214F"/>
    <w:rsid w:val="002C2382"/>
    <w:rsid w:val="002C2AD9"/>
    <w:rsid w:val="002C7272"/>
    <w:rsid w:val="002D24D1"/>
    <w:rsid w:val="002D2636"/>
    <w:rsid w:val="002D3638"/>
    <w:rsid w:val="002D51DF"/>
    <w:rsid w:val="002D5767"/>
    <w:rsid w:val="002D57B2"/>
    <w:rsid w:val="002D798D"/>
    <w:rsid w:val="002E0770"/>
    <w:rsid w:val="002E59E5"/>
    <w:rsid w:val="002E7E05"/>
    <w:rsid w:val="002F3648"/>
    <w:rsid w:val="002F3953"/>
    <w:rsid w:val="00300902"/>
    <w:rsid w:val="00301999"/>
    <w:rsid w:val="00304215"/>
    <w:rsid w:val="00305186"/>
    <w:rsid w:val="00305503"/>
    <w:rsid w:val="00306480"/>
    <w:rsid w:val="00306ED8"/>
    <w:rsid w:val="00311314"/>
    <w:rsid w:val="003117CE"/>
    <w:rsid w:val="00312473"/>
    <w:rsid w:val="00312AD8"/>
    <w:rsid w:val="00312FDE"/>
    <w:rsid w:val="003147E5"/>
    <w:rsid w:val="00315C69"/>
    <w:rsid w:val="003202AA"/>
    <w:rsid w:val="003215A1"/>
    <w:rsid w:val="003219AE"/>
    <w:rsid w:val="003228F9"/>
    <w:rsid w:val="00325754"/>
    <w:rsid w:val="00326322"/>
    <w:rsid w:val="00330658"/>
    <w:rsid w:val="00331750"/>
    <w:rsid w:val="00332848"/>
    <w:rsid w:val="00335BA5"/>
    <w:rsid w:val="0033600C"/>
    <w:rsid w:val="003362E5"/>
    <w:rsid w:val="003408AA"/>
    <w:rsid w:val="00340C0C"/>
    <w:rsid w:val="00341368"/>
    <w:rsid w:val="00343044"/>
    <w:rsid w:val="00345311"/>
    <w:rsid w:val="00345404"/>
    <w:rsid w:val="00345E26"/>
    <w:rsid w:val="00352871"/>
    <w:rsid w:val="0035383D"/>
    <w:rsid w:val="003545FD"/>
    <w:rsid w:val="003556A3"/>
    <w:rsid w:val="0035587C"/>
    <w:rsid w:val="0035610D"/>
    <w:rsid w:val="003561B7"/>
    <w:rsid w:val="003561FD"/>
    <w:rsid w:val="00356C03"/>
    <w:rsid w:val="00357E3D"/>
    <w:rsid w:val="00361F5C"/>
    <w:rsid w:val="00366F33"/>
    <w:rsid w:val="00367993"/>
    <w:rsid w:val="00371223"/>
    <w:rsid w:val="00371AEB"/>
    <w:rsid w:val="00371FFD"/>
    <w:rsid w:val="00372474"/>
    <w:rsid w:val="00372EF8"/>
    <w:rsid w:val="00374DCC"/>
    <w:rsid w:val="00376FD3"/>
    <w:rsid w:val="00377C9A"/>
    <w:rsid w:val="00381774"/>
    <w:rsid w:val="00384ABB"/>
    <w:rsid w:val="003856C5"/>
    <w:rsid w:val="0038582A"/>
    <w:rsid w:val="00392AB6"/>
    <w:rsid w:val="00393591"/>
    <w:rsid w:val="00394B43"/>
    <w:rsid w:val="00395867"/>
    <w:rsid w:val="003A30F7"/>
    <w:rsid w:val="003A34D3"/>
    <w:rsid w:val="003A46D3"/>
    <w:rsid w:val="003A7B7C"/>
    <w:rsid w:val="003B2EB3"/>
    <w:rsid w:val="003B38F6"/>
    <w:rsid w:val="003B766C"/>
    <w:rsid w:val="003C3912"/>
    <w:rsid w:val="003C3A5A"/>
    <w:rsid w:val="003C3D05"/>
    <w:rsid w:val="003C40B6"/>
    <w:rsid w:val="003C43DA"/>
    <w:rsid w:val="003C5EB0"/>
    <w:rsid w:val="003C6207"/>
    <w:rsid w:val="003C6508"/>
    <w:rsid w:val="003C68EF"/>
    <w:rsid w:val="003D047C"/>
    <w:rsid w:val="003D1727"/>
    <w:rsid w:val="003D4CD5"/>
    <w:rsid w:val="003D5C84"/>
    <w:rsid w:val="003E04E2"/>
    <w:rsid w:val="003E069A"/>
    <w:rsid w:val="003E1B0A"/>
    <w:rsid w:val="003E3299"/>
    <w:rsid w:val="003E372A"/>
    <w:rsid w:val="003E46A9"/>
    <w:rsid w:val="003F10FF"/>
    <w:rsid w:val="003F1B2A"/>
    <w:rsid w:val="003F1E86"/>
    <w:rsid w:val="003F221C"/>
    <w:rsid w:val="003F3027"/>
    <w:rsid w:val="003F3723"/>
    <w:rsid w:val="003F3BFF"/>
    <w:rsid w:val="003F5159"/>
    <w:rsid w:val="00400396"/>
    <w:rsid w:val="0040152A"/>
    <w:rsid w:val="00402628"/>
    <w:rsid w:val="0040437B"/>
    <w:rsid w:val="00404693"/>
    <w:rsid w:val="0040634C"/>
    <w:rsid w:val="004067F9"/>
    <w:rsid w:val="004072A8"/>
    <w:rsid w:val="0041185B"/>
    <w:rsid w:val="00413D0D"/>
    <w:rsid w:val="004142DF"/>
    <w:rsid w:val="004144C8"/>
    <w:rsid w:val="00415741"/>
    <w:rsid w:val="00415A96"/>
    <w:rsid w:val="00415F0B"/>
    <w:rsid w:val="004170D4"/>
    <w:rsid w:val="004215C3"/>
    <w:rsid w:val="00421958"/>
    <w:rsid w:val="004235DE"/>
    <w:rsid w:val="00423CF8"/>
    <w:rsid w:val="00424B8A"/>
    <w:rsid w:val="00427F93"/>
    <w:rsid w:val="004310B5"/>
    <w:rsid w:val="004315A3"/>
    <w:rsid w:val="00432A18"/>
    <w:rsid w:val="00433818"/>
    <w:rsid w:val="00433D9A"/>
    <w:rsid w:val="004343E4"/>
    <w:rsid w:val="004349F1"/>
    <w:rsid w:val="00436ABC"/>
    <w:rsid w:val="004413F6"/>
    <w:rsid w:val="0044176B"/>
    <w:rsid w:val="00441A80"/>
    <w:rsid w:val="00444A6E"/>
    <w:rsid w:val="00445C92"/>
    <w:rsid w:val="004460E8"/>
    <w:rsid w:val="004468E2"/>
    <w:rsid w:val="004472B7"/>
    <w:rsid w:val="00447387"/>
    <w:rsid w:val="00447734"/>
    <w:rsid w:val="00447887"/>
    <w:rsid w:val="00447FB6"/>
    <w:rsid w:val="00455B47"/>
    <w:rsid w:val="004572C7"/>
    <w:rsid w:val="004631CD"/>
    <w:rsid w:val="004668A8"/>
    <w:rsid w:val="004701DF"/>
    <w:rsid w:val="00470756"/>
    <w:rsid w:val="004746F1"/>
    <w:rsid w:val="00477F8B"/>
    <w:rsid w:val="004801BF"/>
    <w:rsid w:val="0048096E"/>
    <w:rsid w:val="004816EA"/>
    <w:rsid w:val="0048213A"/>
    <w:rsid w:val="004830EB"/>
    <w:rsid w:val="00483642"/>
    <w:rsid w:val="00485B09"/>
    <w:rsid w:val="00486E87"/>
    <w:rsid w:val="00487847"/>
    <w:rsid w:val="00487B17"/>
    <w:rsid w:val="004922C0"/>
    <w:rsid w:val="004928EA"/>
    <w:rsid w:val="0049405B"/>
    <w:rsid w:val="0049460A"/>
    <w:rsid w:val="00495139"/>
    <w:rsid w:val="004A1036"/>
    <w:rsid w:val="004A2C22"/>
    <w:rsid w:val="004A2C3A"/>
    <w:rsid w:val="004A3556"/>
    <w:rsid w:val="004A4CCD"/>
    <w:rsid w:val="004A5C4D"/>
    <w:rsid w:val="004A7FBC"/>
    <w:rsid w:val="004B3422"/>
    <w:rsid w:val="004B3A47"/>
    <w:rsid w:val="004B4638"/>
    <w:rsid w:val="004B4B9E"/>
    <w:rsid w:val="004B5203"/>
    <w:rsid w:val="004B7124"/>
    <w:rsid w:val="004B762D"/>
    <w:rsid w:val="004C0D1A"/>
    <w:rsid w:val="004C1B1E"/>
    <w:rsid w:val="004C1FCB"/>
    <w:rsid w:val="004C2A11"/>
    <w:rsid w:val="004C5B73"/>
    <w:rsid w:val="004C722F"/>
    <w:rsid w:val="004D01F4"/>
    <w:rsid w:val="004D2253"/>
    <w:rsid w:val="004D3829"/>
    <w:rsid w:val="004D426B"/>
    <w:rsid w:val="004D44B0"/>
    <w:rsid w:val="004D5C8C"/>
    <w:rsid w:val="004D7B61"/>
    <w:rsid w:val="004E0083"/>
    <w:rsid w:val="004E0897"/>
    <w:rsid w:val="004E36DC"/>
    <w:rsid w:val="004E3C86"/>
    <w:rsid w:val="004F246E"/>
    <w:rsid w:val="004F674C"/>
    <w:rsid w:val="004F6FAA"/>
    <w:rsid w:val="004F72AC"/>
    <w:rsid w:val="005018E1"/>
    <w:rsid w:val="0050767D"/>
    <w:rsid w:val="00511FFC"/>
    <w:rsid w:val="005214E7"/>
    <w:rsid w:val="0052151A"/>
    <w:rsid w:val="00524E7F"/>
    <w:rsid w:val="00525C38"/>
    <w:rsid w:val="00526C7E"/>
    <w:rsid w:val="00527A83"/>
    <w:rsid w:val="00533E1B"/>
    <w:rsid w:val="00537285"/>
    <w:rsid w:val="00537D63"/>
    <w:rsid w:val="0054282D"/>
    <w:rsid w:val="005435DA"/>
    <w:rsid w:val="0054622C"/>
    <w:rsid w:val="00546A21"/>
    <w:rsid w:val="00546AA4"/>
    <w:rsid w:val="00547BB1"/>
    <w:rsid w:val="005502AA"/>
    <w:rsid w:val="0055128C"/>
    <w:rsid w:val="005513B5"/>
    <w:rsid w:val="00553A79"/>
    <w:rsid w:val="00554140"/>
    <w:rsid w:val="00554184"/>
    <w:rsid w:val="00555C59"/>
    <w:rsid w:val="00562173"/>
    <w:rsid w:val="005635F6"/>
    <w:rsid w:val="0056385B"/>
    <w:rsid w:val="00565490"/>
    <w:rsid w:val="00566E72"/>
    <w:rsid w:val="005723C1"/>
    <w:rsid w:val="00574321"/>
    <w:rsid w:val="00575520"/>
    <w:rsid w:val="005769EA"/>
    <w:rsid w:val="00582096"/>
    <w:rsid w:val="00582248"/>
    <w:rsid w:val="00582387"/>
    <w:rsid w:val="005829E8"/>
    <w:rsid w:val="005838A2"/>
    <w:rsid w:val="00583B81"/>
    <w:rsid w:val="00583EC6"/>
    <w:rsid w:val="005842F5"/>
    <w:rsid w:val="00585666"/>
    <w:rsid w:val="005867C7"/>
    <w:rsid w:val="00586A02"/>
    <w:rsid w:val="00586CFA"/>
    <w:rsid w:val="00587585"/>
    <w:rsid w:val="0059275C"/>
    <w:rsid w:val="00593642"/>
    <w:rsid w:val="00593A2A"/>
    <w:rsid w:val="00596BA7"/>
    <w:rsid w:val="00597E88"/>
    <w:rsid w:val="005A6A0C"/>
    <w:rsid w:val="005B1236"/>
    <w:rsid w:val="005B1356"/>
    <w:rsid w:val="005B1DFA"/>
    <w:rsid w:val="005B28DA"/>
    <w:rsid w:val="005B2C04"/>
    <w:rsid w:val="005B320C"/>
    <w:rsid w:val="005B4760"/>
    <w:rsid w:val="005B5288"/>
    <w:rsid w:val="005B7543"/>
    <w:rsid w:val="005B7700"/>
    <w:rsid w:val="005C02AD"/>
    <w:rsid w:val="005C0B50"/>
    <w:rsid w:val="005C17DB"/>
    <w:rsid w:val="005C1D61"/>
    <w:rsid w:val="005C3AF7"/>
    <w:rsid w:val="005C5A1A"/>
    <w:rsid w:val="005C6C88"/>
    <w:rsid w:val="005D167E"/>
    <w:rsid w:val="005D18D6"/>
    <w:rsid w:val="005D1AD6"/>
    <w:rsid w:val="005D1BD2"/>
    <w:rsid w:val="005D21FF"/>
    <w:rsid w:val="005D4386"/>
    <w:rsid w:val="005D455B"/>
    <w:rsid w:val="005D4605"/>
    <w:rsid w:val="005D544C"/>
    <w:rsid w:val="005D6CAF"/>
    <w:rsid w:val="005E0649"/>
    <w:rsid w:val="005E3E33"/>
    <w:rsid w:val="005E3F93"/>
    <w:rsid w:val="005E43D7"/>
    <w:rsid w:val="005E4F70"/>
    <w:rsid w:val="005F103F"/>
    <w:rsid w:val="005F648F"/>
    <w:rsid w:val="005F72D3"/>
    <w:rsid w:val="005F7D76"/>
    <w:rsid w:val="00610745"/>
    <w:rsid w:val="00611869"/>
    <w:rsid w:val="006118B8"/>
    <w:rsid w:val="00611DCB"/>
    <w:rsid w:val="00611F44"/>
    <w:rsid w:val="00611FB6"/>
    <w:rsid w:val="0061290B"/>
    <w:rsid w:val="006133EB"/>
    <w:rsid w:val="00614027"/>
    <w:rsid w:val="00614E49"/>
    <w:rsid w:val="006212B7"/>
    <w:rsid w:val="00621F44"/>
    <w:rsid w:val="006221AF"/>
    <w:rsid w:val="006248B3"/>
    <w:rsid w:val="00625255"/>
    <w:rsid w:val="006308E3"/>
    <w:rsid w:val="006366C0"/>
    <w:rsid w:val="00637DF1"/>
    <w:rsid w:val="00640AFC"/>
    <w:rsid w:val="0064180C"/>
    <w:rsid w:val="00641B50"/>
    <w:rsid w:val="00641C56"/>
    <w:rsid w:val="00645A98"/>
    <w:rsid w:val="00646B9C"/>
    <w:rsid w:val="00647962"/>
    <w:rsid w:val="00647DB7"/>
    <w:rsid w:val="006517DB"/>
    <w:rsid w:val="00651A47"/>
    <w:rsid w:val="006546B8"/>
    <w:rsid w:val="006553C8"/>
    <w:rsid w:val="00660847"/>
    <w:rsid w:val="006614DD"/>
    <w:rsid w:val="0066469D"/>
    <w:rsid w:val="00675D30"/>
    <w:rsid w:val="006776D3"/>
    <w:rsid w:val="006805EA"/>
    <w:rsid w:val="00682926"/>
    <w:rsid w:val="006830CC"/>
    <w:rsid w:val="00683F50"/>
    <w:rsid w:val="00685C62"/>
    <w:rsid w:val="00687F99"/>
    <w:rsid w:val="006913E5"/>
    <w:rsid w:val="00691B00"/>
    <w:rsid w:val="00691D72"/>
    <w:rsid w:val="006927D2"/>
    <w:rsid w:val="00693A90"/>
    <w:rsid w:val="00693EAA"/>
    <w:rsid w:val="006950F4"/>
    <w:rsid w:val="006A2FF3"/>
    <w:rsid w:val="006A3F92"/>
    <w:rsid w:val="006A4017"/>
    <w:rsid w:val="006A4686"/>
    <w:rsid w:val="006A4BBA"/>
    <w:rsid w:val="006A545C"/>
    <w:rsid w:val="006A5D96"/>
    <w:rsid w:val="006A64C0"/>
    <w:rsid w:val="006A6569"/>
    <w:rsid w:val="006A71CC"/>
    <w:rsid w:val="006A7DF0"/>
    <w:rsid w:val="006B0AB7"/>
    <w:rsid w:val="006B1085"/>
    <w:rsid w:val="006B258E"/>
    <w:rsid w:val="006B30D4"/>
    <w:rsid w:val="006B365A"/>
    <w:rsid w:val="006B3CFB"/>
    <w:rsid w:val="006B3DF6"/>
    <w:rsid w:val="006B4931"/>
    <w:rsid w:val="006B52EF"/>
    <w:rsid w:val="006B7931"/>
    <w:rsid w:val="006B7BE3"/>
    <w:rsid w:val="006C1639"/>
    <w:rsid w:val="006C5444"/>
    <w:rsid w:val="006C65F2"/>
    <w:rsid w:val="006C6788"/>
    <w:rsid w:val="006C6802"/>
    <w:rsid w:val="006C76E9"/>
    <w:rsid w:val="006D3085"/>
    <w:rsid w:val="006D31DE"/>
    <w:rsid w:val="006D6DB5"/>
    <w:rsid w:val="006D7CB5"/>
    <w:rsid w:val="006E1486"/>
    <w:rsid w:val="006E43A6"/>
    <w:rsid w:val="006E4B1D"/>
    <w:rsid w:val="006E57DC"/>
    <w:rsid w:val="006E5D67"/>
    <w:rsid w:val="006E638E"/>
    <w:rsid w:val="006E6588"/>
    <w:rsid w:val="006E7403"/>
    <w:rsid w:val="006E75AE"/>
    <w:rsid w:val="006E7C72"/>
    <w:rsid w:val="006F255A"/>
    <w:rsid w:val="006F3482"/>
    <w:rsid w:val="006F5F2B"/>
    <w:rsid w:val="006F769F"/>
    <w:rsid w:val="006F78DB"/>
    <w:rsid w:val="006F7955"/>
    <w:rsid w:val="00700477"/>
    <w:rsid w:val="00700B78"/>
    <w:rsid w:val="00702DAD"/>
    <w:rsid w:val="00711A7D"/>
    <w:rsid w:val="00717A91"/>
    <w:rsid w:val="00717B1D"/>
    <w:rsid w:val="0072015E"/>
    <w:rsid w:val="0072131B"/>
    <w:rsid w:val="0072204B"/>
    <w:rsid w:val="0072232C"/>
    <w:rsid w:val="00722579"/>
    <w:rsid w:val="00724269"/>
    <w:rsid w:val="007242C3"/>
    <w:rsid w:val="00725090"/>
    <w:rsid w:val="00725A32"/>
    <w:rsid w:val="007272D0"/>
    <w:rsid w:val="00730AF6"/>
    <w:rsid w:val="00731486"/>
    <w:rsid w:val="007315B9"/>
    <w:rsid w:val="0073217F"/>
    <w:rsid w:val="007349BF"/>
    <w:rsid w:val="00737026"/>
    <w:rsid w:val="00737948"/>
    <w:rsid w:val="007401DC"/>
    <w:rsid w:val="00742EBA"/>
    <w:rsid w:val="007441AA"/>
    <w:rsid w:val="007464AF"/>
    <w:rsid w:val="00747597"/>
    <w:rsid w:val="00747D0A"/>
    <w:rsid w:val="00750E56"/>
    <w:rsid w:val="00751A3E"/>
    <w:rsid w:val="0075209A"/>
    <w:rsid w:val="0075218A"/>
    <w:rsid w:val="00753475"/>
    <w:rsid w:val="00757931"/>
    <w:rsid w:val="00757CA1"/>
    <w:rsid w:val="00761464"/>
    <w:rsid w:val="0076147C"/>
    <w:rsid w:val="00762083"/>
    <w:rsid w:val="0076239E"/>
    <w:rsid w:val="00763314"/>
    <w:rsid w:val="007635FD"/>
    <w:rsid w:val="0076603D"/>
    <w:rsid w:val="0077015B"/>
    <w:rsid w:val="00772CA7"/>
    <w:rsid w:val="00775F76"/>
    <w:rsid w:val="00776CED"/>
    <w:rsid w:val="00776F8B"/>
    <w:rsid w:val="007816D6"/>
    <w:rsid w:val="0078521C"/>
    <w:rsid w:val="0078675D"/>
    <w:rsid w:val="00790C66"/>
    <w:rsid w:val="007915B7"/>
    <w:rsid w:val="007925A4"/>
    <w:rsid w:val="007941D8"/>
    <w:rsid w:val="007946E9"/>
    <w:rsid w:val="00796B3A"/>
    <w:rsid w:val="007A0291"/>
    <w:rsid w:val="007A189C"/>
    <w:rsid w:val="007A2E61"/>
    <w:rsid w:val="007A49F6"/>
    <w:rsid w:val="007A572C"/>
    <w:rsid w:val="007A6955"/>
    <w:rsid w:val="007A71A1"/>
    <w:rsid w:val="007B03B4"/>
    <w:rsid w:val="007B0A45"/>
    <w:rsid w:val="007B0D32"/>
    <w:rsid w:val="007B1813"/>
    <w:rsid w:val="007B3274"/>
    <w:rsid w:val="007B4703"/>
    <w:rsid w:val="007B4DB4"/>
    <w:rsid w:val="007B61A9"/>
    <w:rsid w:val="007B7DB2"/>
    <w:rsid w:val="007C0620"/>
    <w:rsid w:val="007C1C60"/>
    <w:rsid w:val="007C2D6A"/>
    <w:rsid w:val="007C6228"/>
    <w:rsid w:val="007C7771"/>
    <w:rsid w:val="007D27ED"/>
    <w:rsid w:val="007D4151"/>
    <w:rsid w:val="007D5B50"/>
    <w:rsid w:val="007D6AC6"/>
    <w:rsid w:val="007D7657"/>
    <w:rsid w:val="007D79E8"/>
    <w:rsid w:val="007E0427"/>
    <w:rsid w:val="007E0E7C"/>
    <w:rsid w:val="007E2E55"/>
    <w:rsid w:val="007E2FD0"/>
    <w:rsid w:val="007E3B16"/>
    <w:rsid w:val="007E46C1"/>
    <w:rsid w:val="007E4AB2"/>
    <w:rsid w:val="007E4DBD"/>
    <w:rsid w:val="007E6D50"/>
    <w:rsid w:val="007E7531"/>
    <w:rsid w:val="007F02CC"/>
    <w:rsid w:val="007F24C0"/>
    <w:rsid w:val="007F45FC"/>
    <w:rsid w:val="007F4EE5"/>
    <w:rsid w:val="007F4F2A"/>
    <w:rsid w:val="007F53C5"/>
    <w:rsid w:val="007F614B"/>
    <w:rsid w:val="00800313"/>
    <w:rsid w:val="008006B4"/>
    <w:rsid w:val="00800C68"/>
    <w:rsid w:val="008012F0"/>
    <w:rsid w:val="008015E7"/>
    <w:rsid w:val="00802052"/>
    <w:rsid w:val="008024E3"/>
    <w:rsid w:val="008028D5"/>
    <w:rsid w:val="00802F3F"/>
    <w:rsid w:val="00803E34"/>
    <w:rsid w:val="00803F18"/>
    <w:rsid w:val="00804283"/>
    <w:rsid w:val="00804331"/>
    <w:rsid w:val="008044E3"/>
    <w:rsid w:val="008049D6"/>
    <w:rsid w:val="00807F26"/>
    <w:rsid w:val="0081309E"/>
    <w:rsid w:val="00814C15"/>
    <w:rsid w:val="00815071"/>
    <w:rsid w:val="00815F3C"/>
    <w:rsid w:val="0081678E"/>
    <w:rsid w:val="00817479"/>
    <w:rsid w:val="0082027A"/>
    <w:rsid w:val="008205E9"/>
    <w:rsid w:val="008206BF"/>
    <w:rsid w:val="00820CDC"/>
    <w:rsid w:val="0082256D"/>
    <w:rsid w:val="008235FB"/>
    <w:rsid w:val="00823718"/>
    <w:rsid w:val="008238FA"/>
    <w:rsid w:val="008243B6"/>
    <w:rsid w:val="00824403"/>
    <w:rsid w:val="0082446C"/>
    <w:rsid w:val="00825C28"/>
    <w:rsid w:val="008277F9"/>
    <w:rsid w:val="00831CA3"/>
    <w:rsid w:val="00834806"/>
    <w:rsid w:val="008352B4"/>
    <w:rsid w:val="008358EB"/>
    <w:rsid w:val="00836B01"/>
    <w:rsid w:val="0083704F"/>
    <w:rsid w:val="00840C90"/>
    <w:rsid w:val="00841B2B"/>
    <w:rsid w:val="0084226C"/>
    <w:rsid w:val="008465DE"/>
    <w:rsid w:val="00847C7A"/>
    <w:rsid w:val="00850AE6"/>
    <w:rsid w:val="008510F1"/>
    <w:rsid w:val="00851887"/>
    <w:rsid w:val="00853308"/>
    <w:rsid w:val="008538A3"/>
    <w:rsid w:val="00853FF2"/>
    <w:rsid w:val="0085409F"/>
    <w:rsid w:val="00854AAB"/>
    <w:rsid w:val="00854E8D"/>
    <w:rsid w:val="008605DB"/>
    <w:rsid w:val="00860BD2"/>
    <w:rsid w:val="00863E99"/>
    <w:rsid w:val="0086663D"/>
    <w:rsid w:val="00866C31"/>
    <w:rsid w:val="00866F68"/>
    <w:rsid w:val="00870ACD"/>
    <w:rsid w:val="00871C4A"/>
    <w:rsid w:val="00873A1C"/>
    <w:rsid w:val="008742C3"/>
    <w:rsid w:val="00877702"/>
    <w:rsid w:val="00877BA3"/>
    <w:rsid w:val="0089120F"/>
    <w:rsid w:val="00891ED2"/>
    <w:rsid w:val="00894457"/>
    <w:rsid w:val="008947F3"/>
    <w:rsid w:val="008956D7"/>
    <w:rsid w:val="00895C77"/>
    <w:rsid w:val="0089665E"/>
    <w:rsid w:val="008A32A5"/>
    <w:rsid w:val="008A6FD4"/>
    <w:rsid w:val="008B0BA9"/>
    <w:rsid w:val="008B48D3"/>
    <w:rsid w:val="008B779F"/>
    <w:rsid w:val="008C0655"/>
    <w:rsid w:val="008C3B8F"/>
    <w:rsid w:val="008C4886"/>
    <w:rsid w:val="008C4B49"/>
    <w:rsid w:val="008C5E26"/>
    <w:rsid w:val="008C7D38"/>
    <w:rsid w:val="008D075C"/>
    <w:rsid w:val="008D089D"/>
    <w:rsid w:val="008D1DB6"/>
    <w:rsid w:val="008D230B"/>
    <w:rsid w:val="008D2DB7"/>
    <w:rsid w:val="008D398E"/>
    <w:rsid w:val="008D5B48"/>
    <w:rsid w:val="008D5BB6"/>
    <w:rsid w:val="008D5C25"/>
    <w:rsid w:val="008D617D"/>
    <w:rsid w:val="008E0D17"/>
    <w:rsid w:val="008E4C64"/>
    <w:rsid w:val="008E7D6F"/>
    <w:rsid w:val="008F329F"/>
    <w:rsid w:val="009001A6"/>
    <w:rsid w:val="0090070D"/>
    <w:rsid w:val="00901E3E"/>
    <w:rsid w:val="00903075"/>
    <w:rsid w:val="0090783B"/>
    <w:rsid w:val="00914210"/>
    <w:rsid w:val="00916FFF"/>
    <w:rsid w:val="00927505"/>
    <w:rsid w:val="00927D7B"/>
    <w:rsid w:val="00931D26"/>
    <w:rsid w:val="00932AE1"/>
    <w:rsid w:val="009332C8"/>
    <w:rsid w:val="00933375"/>
    <w:rsid w:val="0093591E"/>
    <w:rsid w:val="009404F9"/>
    <w:rsid w:val="00941963"/>
    <w:rsid w:val="00942053"/>
    <w:rsid w:val="00942AD9"/>
    <w:rsid w:val="00944EE1"/>
    <w:rsid w:val="00947E77"/>
    <w:rsid w:val="00950AB0"/>
    <w:rsid w:val="0095304B"/>
    <w:rsid w:val="00955C1F"/>
    <w:rsid w:val="009569E9"/>
    <w:rsid w:val="00962F36"/>
    <w:rsid w:val="0096481C"/>
    <w:rsid w:val="009668C9"/>
    <w:rsid w:val="00967D72"/>
    <w:rsid w:val="009709D3"/>
    <w:rsid w:val="00971290"/>
    <w:rsid w:val="00973FD5"/>
    <w:rsid w:val="00974253"/>
    <w:rsid w:val="0097549E"/>
    <w:rsid w:val="009759A2"/>
    <w:rsid w:val="00980BBB"/>
    <w:rsid w:val="00980CF2"/>
    <w:rsid w:val="00981E2D"/>
    <w:rsid w:val="00984A70"/>
    <w:rsid w:val="0098528B"/>
    <w:rsid w:val="00985864"/>
    <w:rsid w:val="00991DA4"/>
    <w:rsid w:val="0099589E"/>
    <w:rsid w:val="00995D38"/>
    <w:rsid w:val="009A20E2"/>
    <w:rsid w:val="009A330B"/>
    <w:rsid w:val="009A4F27"/>
    <w:rsid w:val="009A55ED"/>
    <w:rsid w:val="009A66E7"/>
    <w:rsid w:val="009A6A66"/>
    <w:rsid w:val="009B10A9"/>
    <w:rsid w:val="009B3330"/>
    <w:rsid w:val="009B5544"/>
    <w:rsid w:val="009B61F1"/>
    <w:rsid w:val="009B63F8"/>
    <w:rsid w:val="009C131C"/>
    <w:rsid w:val="009C32D4"/>
    <w:rsid w:val="009C3B80"/>
    <w:rsid w:val="009C4FD8"/>
    <w:rsid w:val="009C770D"/>
    <w:rsid w:val="009D0D46"/>
    <w:rsid w:val="009D1600"/>
    <w:rsid w:val="009D2636"/>
    <w:rsid w:val="009D27E5"/>
    <w:rsid w:val="009D50AA"/>
    <w:rsid w:val="009E008C"/>
    <w:rsid w:val="009E6821"/>
    <w:rsid w:val="009E72B1"/>
    <w:rsid w:val="009F38A3"/>
    <w:rsid w:val="009F3DF1"/>
    <w:rsid w:val="009F4006"/>
    <w:rsid w:val="009F4796"/>
    <w:rsid w:val="009F68C7"/>
    <w:rsid w:val="00A033F8"/>
    <w:rsid w:val="00A039D2"/>
    <w:rsid w:val="00A04A77"/>
    <w:rsid w:val="00A06850"/>
    <w:rsid w:val="00A0719F"/>
    <w:rsid w:val="00A077DD"/>
    <w:rsid w:val="00A11EA2"/>
    <w:rsid w:val="00A14180"/>
    <w:rsid w:val="00A143AE"/>
    <w:rsid w:val="00A1456F"/>
    <w:rsid w:val="00A148A6"/>
    <w:rsid w:val="00A15159"/>
    <w:rsid w:val="00A25A2C"/>
    <w:rsid w:val="00A26DEC"/>
    <w:rsid w:val="00A27844"/>
    <w:rsid w:val="00A30E68"/>
    <w:rsid w:val="00A316AB"/>
    <w:rsid w:val="00A332A3"/>
    <w:rsid w:val="00A336AE"/>
    <w:rsid w:val="00A35361"/>
    <w:rsid w:val="00A35A89"/>
    <w:rsid w:val="00A35AE1"/>
    <w:rsid w:val="00A437E7"/>
    <w:rsid w:val="00A45882"/>
    <w:rsid w:val="00A500D9"/>
    <w:rsid w:val="00A51E20"/>
    <w:rsid w:val="00A53202"/>
    <w:rsid w:val="00A54D68"/>
    <w:rsid w:val="00A56B19"/>
    <w:rsid w:val="00A5747C"/>
    <w:rsid w:val="00A6146A"/>
    <w:rsid w:val="00A62429"/>
    <w:rsid w:val="00A62ABC"/>
    <w:rsid w:val="00A637D4"/>
    <w:rsid w:val="00A65F3F"/>
    <w:rsid w:val="00A66543"/>
    <w:rsid w:val="00A6678C"/>
    <w:rsid w:val="00A67E6C"/>
    <w:rsid w:val="00A702F5"/>
    <w:rsid w:val="00A7119E"/>
    <w:rsid w:val="00A73A09"/>
    <w:rsid w:val="00A73C7E"/>
    <w:rsid w:val="00A73F5D"/>
    <w:rsid w:val="00A74582"/>
    <w:rsid w:val="00A760BB"/>
    <w:rsid w:val="00A777CA"/>
    <w:rsid w:val="00A80D5D"/>
    <w:rsid w:val="00A81CC4"/>
    <w:rsid w:val="00A834EB"/>
    <w:rsid w:val="00A835EE"/>
    <w:rsid w:val="00A87EAA"/>
    <w:rsid w:val="00A906CD"/>
    <w:rsid w:val="00A9244D"/>
    <w:rsid w:val="00A93F24"/>
    <w:rsid w:val="00A940E8"/>
    <w:rsid w:val="00A94798"/>
    <w:rsid w:val="00A9484A"/>
    <w:rsid w:val="00A9557C"/>
    <w:rsid w:val="00A9704E"/>
    <w:rsid w:val="00A97488"/>
    <w:rsid w:val="00A97DB9"/>
    <w:rsid w:val="00AA044C"/>
    <w:rsid w:val="00AA1491"/>
    <w:rsid w:val="00AA1AEE"/>
    <w:rsid w:val="00AA6AD6"/>
    <w:rsid w:val="00AA6BD8"/>
    <w:rsid w:val="00AA6FE4"/>
    <w:rsid w:val="00AA7BDF"/>
    <w:rsid w:val="00AB24AC"/>
    <w:rsid w:val="00AB4DDF"/>
    <w:rsid w:val="00AB58B9"/>
    <w:rsid w:val="00AB7302"/>
    <w:rsid w:val="00AC01BF"/>
    <w:rsid w:val="00AC13DC"/>
    <w:rsid w:val="00AC1A41"/>
    <w:rsid w:val="00AC1AD1"/>
    <w:rsid w:val="00AC1E89"/>
    <w:rsid w:val="00AC5460"/>
    <w:rsid w:val="00AC6DBE"/>
    <w:rsid w:val="00AC7629"/>
    <w:rsid w:val="00AC7A5A"/>
    <w:rsid w:val="00AD0F3B"/>
    <w:rsid w:val="00AD1982"/>
    <w:rsid w:val="00AD2316"/>
    <w:rsid w:val="00AD3E22"/>
    <w:rsid w:val="00AD5305"/>
    <w:rsid w:val="00AD5AC1"/>
    <w:rsid w:val="00AD5EDC"/>
    <w:rsid w:val="00AD74C6"/>
    <w:rsid w:val="00AE0D76"/>
    <w:rsid w:val="00AE1451"/>
    <w:rsid w:val="00AE2DE1"/>
    <w:rsid w:val="00AE3FA5"/>
    <w:rsid w:val="00AE4455"/>
    <w:rsid w:val="00AE5360"/>
    <w:rsid w:val="00AE5B29"/>
    <w:rsid w:val="00AE6B51"/>
    <w:rsid w:val="00AF0202"/>
    <w:rsid w:val="00AF0465"/>
    <w:rsid w:val="00AF0AF9"/>
    <w:rsid w:val="00AF580C"/>
    <w:rsid w:val="00AF5A44"/>
    <w:rsid w:val="00AF71AF"/>
    <w:rsid w:val="00AF7F20"/>
    <w:rsid w:val="00B003F0"/>
    <w:rsid w:val="00B00DD3"/>
    <w:rsid w:val="00B01533"/>
    <w:rsid w:val="00B019C6"/>
    <w:rsid w:val="00B02582"/>
    <w:rsid w:val="00B02BBC"/>
    <w:rsid w:val="00B02D0A"/>
    <w:rsid w:val="00B047F9"/>
    <w:rsid w:val="00B0645B"/>
    <w:rsid w:val="00B102B6"/>
    <w:rsid w:val="00B10CFA"/>
    <w:rsid w:val="00B11601"/>
    <w:rsid w:val="00B13DF9"/>
    <w:rsid w:val="00B14F3D"/>
    <w:rsid w:val="00B160E2"/>
    <w:rsid w:val="00B17EAE"/>
    <w:rsid w:val="00B223E4"/>
    <w:rsid w:val="00B2362B"/>
    <w:rsid w:val="00B23C1F"/>
    <w:rsid w:val="00B25317"/>
    <w:rsid w:val="00B254AE"/>
    <w:rsid w:val="00B2567C"/>
    <w:rsid w:val="00B25AB8"/>
    <w:rsid w:val="00B25F47"/>
    <w:rsid w:val="00B26104"/>
    <w:rsid w:val="00B264E6"/>
    <w:rsid w:val="00B2697A"/>
    <w:rsid w:val="00B26DAC"/>
    <w:rsid w:val="00B308FF"/>
    <w:rsid w:val="00B309D3"/>
    <w:rsid w:val="00B310A0"/>
    <w:rsid w:val="00B313B0"/>
    <w:rsid w:val="00B33A2C"/>
    <w:rsid w:val="00B340C4"/>
    <w:rsid w:val="00B34C86"/>
    <w:rsid w:val="00B358D9"/>
    <w:rsid w:val="00B379A4"/>
    <w:rsid w:val="00B401D6"/>
    <w:rsid w:val="00B43D63"/>
    <w:rsid w:val="00B440AF"/>
    <w:rsid w:val="00B4499F"/>
    <w:rsid w:val="00B45569"/>
    <w:rsid w:val="00B459DD"/>
    <w:rsid w:val="00B47BFF"/>
    <w:rsid w:val="00B50021"/>
    <w:rsid w:val="00B51632"/>
    <w:rsid w:val="00B55654"/>
    <w:rsid w:val="00B55D80"/>
    <w:rsid w:val="00B56692"/>
    <w:rsid w:val="00B573D2"/>
    <w:rsid w:val="00B57A54"/>
    <w:rsid w:val="00B603B2"/>
    <w:rsid w:val="00B60F8E"/>
    <w:rsid w:val="00B6179C"/>
    <w:rsid w:val="00B63874"/>
    <w:rsid w:val="00B6505E"/>
    <w:rsid w:val="00B661BD"/>
    <w:rsid w:val="00B664BF"/>
    <w:rsid w:val="00B6653E"/>
    <w:rsid w:val="00B709C0"/>
    <w:rsid w:val="00B7395F"/>
    <w:rsid w:val="00B776F3"/>
    <w:rsid w:val="00B77ECD"/>
    <w:rsid w:val="00B80C68"/>
    <w:rsid w:val="00B8108B"/>
    <w:rsid w:val="00B83E45"/>
    <w:rsid w:val="00B8541A"/>
    <w:rsid w:val="00B9251B"/>
    <w:rsid w:val="00B92640"/>
    <w:rsid w:val="00B97843"/>
    <w:rsid w:val="00BA0910"/>
    <w:rsid w:val="00BA123D"/>
    <w:rsid w:val="00BA20C5"/>
    <w:rsid w:val="00BA224C"/>
    <w:rsid w:val="00BA2BB4"/>
    <w:rsid w:val="00BA619D"/>
    <w:rsid w:val="00BA6D43"/>
    <w:rsid w:val="00BA7E55"/>
    <w:rsid w:val="00BB0265"/>
    <w:rsid w:val="00BB0300"/>
    <w:rsid w:val="00BB0EF7"/>
    <w:rsid w:val="00BB316B"/>
    <w:rsid w:val="00BB4FA3"/>
    <w:rsid w:val="00BC0E31"/>
    <w:rsid w:val="00BC24A7"/>
    <w:rsid w:val="00BC333A"/>
    <w:rsid w:val="00BC33EB"/>
    <w:rsid w:val="00BC44CC"/>
    <w:rsid w:val="00BC5EFD"/>
    <w:rsid w:val="00BD0DC5"/>
    <w:rsid w:val="00BD52DE"/>
    <w:rsid w:val="00BD57A8"/>
    <w:rsid w:val="00BD7112"/>
    <w:rsid w:val="00BE04B8"/>
    <w:rsid w:val="00BE1396"/>
    <w:rsid w:val="00BE4035"/>
    <w:rsid w:val="00BE50C6"/>
    <w:rsid w:val="00BE5801"/>
    <w:rsid w:val="00BE5B9E"/>
    <w:rsid w:val="00BE6FF7"/>
    <w:rsid w:val="00BE717D"/>
    <w:rsid w:val="00BF0F49"/>
    <w:rsid w:val="00BF119A"/>
    <w:rsid w:val="00BF1856"/>
    <w:rsid w:val="00BF1F10"/>
    <w:rsid w:val="00BF4100"/>
    <w:rsid w:val="00BF7019"/>
    <w:rsid w:val="00BF71B5"/>
    <w:rsid w:val="00BF7943"/>
    <w:rsid w:val="00C0054C"/>
    <w:rsid w:val="00C00C6C"/>
    <w:rsid w:val="00C01293"/>
    <w:rsid w:val="00C0163A"/>
    <w:rsid w:val="00C031F2"/>
    <w:rsid w:val="00C127F5"/>
    <w:rsid w:val="00C13AD6"/>
    <w:rsid w:val="00C144AB"/>
    <w:rsid w:val="00C14E75"/>
    <w:rsid w:val="00C21E8E"/>
    <w:rsid w:val="00C2599F"/>
    <w:rsid w:val="00C26E41"/>
    <w:rsid w:val="00C2769A"/>
    <w:rsid w:val="00C31EA6"/>
    <w:rsid w:val="00C3405D"/>
    <w:rsid w:val="00C34EB6"/>
    <w:rsid w:val="00C42639"/>
    <w:rsid w:val="00C44B8B"/>
    <w:rsid w:val="00C4743D"/>
    <w:rsid w:val="00C50250"/>
    <w:rsid w:val="00C50CDA"/>
    <w:rsid w:val="00C522E1"/>
    <w:rsid w:val="00C52B5E"/>
    <w:rsid w:val="00C52EDB"/>
    <w:rsid w:val="00C54101"/>
    <w:rsid w:val="00C54D25"/>
    <w:rsid w:val="00C55075"/>
    <w:rsid w:val="00C568AC"/>
    <w:rsid w:val="00C56AD0"/>
    <w:rsid w:val="00C57852"/>
    <w:rsid w:val="00C60966"/>
    <w:rsid w:val="00C60C13"/>
    <w:rsid w:val="00C615BE"/>
    <w:rsid w:val="00C61AF2"/>
    <w:rsid w:val="00C62497"/>
    <w:rsid w:val="00C62BA9"/>
    <w:rsid w:val="00C65198"/>
    <w:rsid w:val="00C65417"/>
    <w:rsid w:val="00C6599B"/>
    <w:rsid w:val="00C65A2F"/>
    <w:rsid w:val="00C66698"/>
    <w:rsid w:val="00C6704F"/>
    <w:rsid w:val="00C67190"/>
    <w:rsid w:val="00C7100B"/>
    <w:rsid w:val="00C713F6"/>
    <w:rsid w:val="00C76651"/>
    <w:rsid w:val="00C76E64"/>
    <w:rsid w:val="00C80E17"/>
    <w:rsid w:val="00C843EF"/>
    <w:rsid w:val="00C84435"/>
    <w:rsid w:val="00C860E0"/>
    <w:rsid w:val="00C865CD"/>
    <w:rsid w:val="00C8682E"/>
    <w:rsid w:val="00C90D2A"/>
    <w:rsid w:val="00C92281"/>
    <w:rsid w:val="00C93B0E"/>
    <w:rsid w:val="00C9494A"/>
    <w:rsid w:val="00C94BCA"/>
    <w:rsid w:val="00C96ABA"/>
    <w:rsid w:val="00CA0000"/>
    <w:rsid w:val="00CA1111"/>
    <w:rsid w:val="00CA13ED"/>
    <w:rsid w:val="00CA1674"/>
    <w:rsid w:val="00CA1EEA"/>
    <w:rsid w:val="00CA26BB"/>
    <w:rsid w:val="00CA6ABF"/>
    <w:rsid w:val="00CA6B16"/>
    <w:rsid w:val="00CB4A4E"/>
    <w:rsid w:val="00CB5AB7"/>
    <w:rsid w:val="00CB6EAD"/>
    <w:rsid w:val="00CB779C"/>
    <w:rsid w:val="00CB7D24"/>
    <w:rsid w:val="00CC18B4"/>
    <w:rsid w:val="00CC2DFA"/>
    <w:rsid w:val="00CC43B2"/>
    <w:rsid w:val="00CC4442"/>
    <w:rsid w:val="00CD2397"/>
    <w:rsid w:val="00CD2C4E"/>
    <w:rsid w:val="00CD62DD"/>
    <w:rsid w:val="00CD7AD5"/>
    <w:rsid w:val="00CE044E"/>
    <w:rsid w:val="00CE074D"/>
    <w:rsid w:val="00CE6B57"/>
    <w:rsid w:val="00CE7347"/>
    <w:rsid w:val="00CE7C14"/>
    <w:rsid w:val="00CF0733"/>
    <w:rsid w:val="00CF38AF"/>
    <w:rsid w:val="00CF4266"/>
    <w:rsid w:val="00CF4CD2"/>
    <w:rsid w:val="00CF7274"/>
    <w:rsid w:val="00D022F7"/>
    <w:rsid w:val="00D1114D"/>
    <w:rsid w:val="00D1307F"/>
    <w:rsid w:val="00D159F9"/>
    <w:rsid w:val="00D22802"/>
    <w:rsid w:val="00D302ED"/>
    <w:rsid w:val="00D30E3D"/>
    <w:rsid w:val="00D325D1"/>
    <w:rsid w:val="00D3274C"/>
    <w:rsid w:val="00D32904"/>
    <w:rsid w:val="00D33A36"/>
    <w:rsid w:val="00D36AC6"/>
    <w:rsid w:val="00D36F4C"/>
    <w:rsid w:val="00D43D44"/>
    <w:rsid w:val="00D4645C"/>
    <w:rsid w:val="00D4754B"/>
    <w:rsid w:val="00D51244"/>
    <w:rsid w:val="00D540CA"/>
    <w:rsid w:val="00D55025"/>
    <w:rsid w:val="00D55244"/>
    <w:rsid w:val="00D55838"/>
    <w:rsid w:val="00D56018"/>
    <w:rsid w:val="00D578A2"/>
    <w:rsid w:val="00D64090"/>
    <w:rsid w:val="00D729C8"/>
    <w:rsid w:val="00D7459A"/>
    <w:rsid w:val="00D757C1"/>
    <w:rsid w:val="00D75DB3"/>
    <w:rsid w:val="00D7610B"/>
    <w:rsid w:val="00D765D5"/>
    <w:rsid w:val="00D770C1"/>
    <w:rsid w:val="00D77131"/>
    <w:rsid w:val="00D8055F"/>
    <w:rsid w:val="00D82E4A"/>
    <w:rsid w:val="00D85292"/>
    <w:rsid w:val="00D86C19"/>
    <w:rsid w:val="00D86EF7"/>
    <w:rsid w:val="00D8772E"/>
    <w:rsid w:val="00D87E0E"/>
    <w:rsid w:val="00D91E20"/>
    <w:rsid w:val="00D91E4F"/>
    <w:rsid w:val="00D931F1"/>
    <w:rsid w:val="00D947A4"/>
    <w:rsid w:val="00D949FB"/>
    <w:rsid w:val="00D956D6"/>
    <w:rsid w:val="00D95B29"/>
    <w:rsid w:val="00D9721F"/>
    <w:rsid w:val="00DA2A0C"/>
    <w:rsid w:val="00DA30FD"/>
    <w:rsid w:val="00DA338F"/>
    <w:rsid w:val="00DA3C5C"/>
    <w:rsid w:val="00DA47E8"/>
    <w:rsid w:val="00DA6018"/>
    <w:rsid w:val="00DA789A"/>
    <w:rsid w:val="00DB0E56"/>
    <w:rsid w:val="00DB0EED"/>
    <w:rsid w:val="00DB3F21"/>
    <w:rsid w:val="00DB44A9"/>
    <w:rsid w:val="00DC107F"/>
    <w:rsid w:val="00DC43F6"/>
    <w:rsid w:val="00DC4EF1"/>
    <w:rsid w:val="00DC6307"/>
    <w:rsid w:val="00DC6340"/>
    <w:rsid w:val="00DC71E5"/>
    <w:rsid w:val="00DD0E6E"/>
    <w:rsid w:val="00DD31D6"/>
    <w:rsid w:val="00DD3687"/>
    <w:rsid w:val="00DD5EDB"/>
    <w:rsid w:val="00DE05EC"/>
    <w:rsid w:val="00DE1941"/>
    <w:rsid w:val="00DE3C8F"/>
    <w:rsid w:val="00DE465C"/>
    <w:rsid w:val="00DE47B9"/>
    <w:rsid w:val="00DE4AE9"/>
    <w:rsid w:val="00DE4B03"/>
    <w:rsid w:val="00DE6364"/>
    <w:rsid w:val="00DF404D"/>
    <w:rsid w:val="00DF7227"/>
    <w:rsid w:val="00E05894"/>
    <w:rsid w:val="00E05BD2"/>
    <w:rsid w:val="00E1250B"/>
    <w:rsid w:val="00E143A9"/>
    <w:rsid w:val="00E1523E"/>
    <w:rsid w:val="00E15ABB"/>
    <w:rsid w:val="00E17506"/>
    <w:rsid w:val="00E178B5"/>
    <w:rsid w:val="00E203D5"/>
    <w:rsid w:val="00E20F22"/>
    <w:rsid w:val="00E213C1"/>
    <w:rsid w:val="00E21804"/>
    <w:rsid w:val="00E21E24"/>
    <w:rsid w:val="00E22C0E"/>
    <w:rsid w:val="00E26FD2"/>
    <w:rsid w:val="00E27433"/>
    <w:rsid w:val="00E27C37"/>
    <w:rsid w:val="00E318D3"/>
    <w:rsid w:val="00E37575"/>
    <w:rsid w:val="00E404CA"/>
    <w:rsid w:val="00E46087"/>
    <w:rsid w:val="00E46983"/>
    <w:rsid w:val="00E47585"/>
    <w:rsid w:val="00E51F67"/>
    <w:rsid w:val="00E543C8"/>
    <w:rsid w:val="00E55983"/>
    <w:rsid w:val="00E55C4D"/>
    <w:rsid w:val="00E55D41"/>
    <w:rsid w:val="00E5608C"/>
    <w:rsid w:val="00E56949"/>
    <w:rsid w:val="00E60F9C"/>
    <w:rsid w:val="00E61FBA"/>
    <w:rsid w:val="00E62659"/>
    <w:rsid w:val="00E633F2"/>
    <w:rsid w:val="00E6420C"/>
    <w:rsid w:val="00E65427"/>
    <w:rsid w:val="00E65F3D"/>
    <w:rsid w:val="00E672B2"/>
    <w:rsid w:val="00E67B4D"/>
    <w:rsid w:val="00E70368"/>
    <w:rsid w:val="00E7068E"/>
    <w:rsid w:val="00E70874"/>
    <w:rsid w:val="00E72551"/>
    <w:rsid w:val="00E730A0"/>
    <w:rsid w:val="00E73EB7"/>
    <w:rsid w:val="00E74028"/>
    <w:rsid w:val="00E7682D"/>
    <w:rsid w:val="00E76F82"/>
    <w:rsid w:val="00E770BE"/>
    <w:rsid w:val="00E805C8"/>
    <w:rsid w:val="00E826FC"/>
    <w:rsid w:val="00E83010"/>
    <w:rsid w:val="00E83C57"/>
    <w:rsid w:val="00E84E90"/>
    <w:rsid w:val="00E86D0D"/>
    <w:rsid w:val="00E901ED"/>
    <w:rsid w:val="00E913E5"/>
    <w:rsid w:val="00E94553"/>
    <w:rsid w:val="00E95A98"/>
    <w:rsid w:val="00E95DAF"/>
    <w:rsid w:val="00EA1DF0"/>
    <w:rsid w:val="00EA4E1A"/>
    <w:rsid w:val="00EB0199"/>
    <w:rsid w:val="00EB0853"/>
    <w:rsid w:val="00EB1413"/>
    <w:rsid w:val="00EB1922"/>
    <w:rsid w:val="00EB5770"/>
    <w:rsid w:val="00EB7432"/>
    <w:rsid w:val="00EB7633"/>
    <w:rsid w:val="00EB7A45"/>
    <w:rsid w:val="00EC10DD"/>
    <w:rsid w:val="00EC1900"/>
    <w:rsid w:val="00EC1C89"/>
    <w:rsid w:val="00EC29BD"/>
    <w:rsid w:val="00EC2DDA"/>
    <w:rsid w:val="00EC3270"/>
    <w:rsid w:val="00EC4076"/>
    <w:rsid w:val="00EC4891"/>
    <w:rsid w:val="00EC4F21"/>
    <w:rsid w:val="00EC5B54"/>
    <w:rsid w:val="00EC7D1E"/>
    <w:rsid w:val="00ED03E5"/>
    <w:rsid w:val="00ED07A0"/>
    <w:rsid w:val="00ED0CFC"/>
    <w:rsid w:val="00ED1429"/>
    <w:rsid w:val="00ED1965"/>
    <w:rsid w:val="00ED4530"/>
    <w:rsid w:val="00ED4E08"/>
    <w:rsid w:val="00ED7FAA"/>
    <w:rsid w:val="00EE1F08"/>
    <w:rsid w:val="00EE3317"/>
    <w:rsid w:val="00EE3B34"/>
    <w:rsid w:val="00EE5C54"/>
    <w:rsid w:val="00EE5E31"/>
    <w:rsid w:val="00EE639C"/>
    <w:rsid w:val="00EF03C1"/>
    <w:rsid w:val="00EF0E78"/>
    <w:rsid w:val="00EF481B"/>
    <w:rsid w:val="00EF4C83"/>
    <w:rsid w:val="00EF599B"/>
    <w:rsid w:val="00EF758C"/>
    <w:rsid w:val="00EF7F58"/>
    <w:rsid w:val="00F00063"/>
    <w:rsid w:val="00F00BD3"/>
    <w:rsid w:val="00F0570E"/>
    <w:rsid w:val="00F075A6"/>
    <w:rsid w:val="00F10642"/>
    <w:rsid w:val="00F115E8"/>
    <w:rsid w:val="00F12890"/>
    <w:rsid w:val="00F13028"/>
    <w:rsid w:val="00F13311"/>
    <w:rsid w:val="00F13D5B"/>
    <w:rsid w:val="00F1469F"/>
    <w:rsid w:val="00F17E31"/>
    <w:rsid w:val="00F22466"/>
    <w:rsid w:val="00F22D9B"/>
    <w:rsid w:val="00F235AA"/>
    <w:rsid w:val="00F23FEC"/>
    <w:rsid w:val="00F25444"/>
    <w:rsid w:val="00F25695"/>
    <w:rsid w:val="00F27CB4"/>
    <w:rsid w:val="00F31BE3"/>
    <w:rsid w:val="00F3296B"/>
    <w:rsid w:val="00F36FD5"/>
    <w:rsid w:val="00F3716C"/>
    <w:rsid w:val="00F371A0"/>
    <w:rsid w:val="00F37CFB"/>
    <w:rsid w:val="00F41710"/>
    <w:rsid w:val="00F42B16"/>
    <w:rsid w:val="00F42F13"/>
    <w:rsid w:val="00F43CF8"/>
    <w:rsid w:val="00F57094"/>
    <w:rsid w:val="00F605B1"/>
    <w:rsid w:val="00F64D6F"/>
    <w:rsid w:val="00F6694B"/>
    <w:rsid w:val="00F67447"/>
    <w:rsid w:val="00F70BAF"/>
    <w:rsid w:val="00F716CB"/>
    <w:rsid w:val="00F71978"/>
    <w:rsid w:val="00F72F8F"/>
    <w:rsid w:val="00F74F0D"/>
    <w:rsid w:val="00F77641"/>
    <w:rsid w:val="00F82B53"/>
    <w:rsid w:val="00F85BC8"/>
    <w:rsid w:val="00F85F7B"/>
    <w:rsid w:val="00F86B81"/>
    <w:rsid w:val="00F86BF3"/>
    <w:rsid w:val="00F90CD6"/>
    <w:rsid w:val="00F91624"/>
    <w:rsid w:val="00F9330E"/>
    <w:rsid w:val="00F9640C"/>
    <w:rsid w:val="00F96510"/>
    <w:rsid w:val="00F97CCD"/>
    <w:rsid w:val="00FA0962"/>
    <w:rsid w:val="00FA0AAF"/>
    <w:rsid w:val="00FA4752"/>
    <w:rsid w:val="00FA4AC8"/>
    <w:rsid w:val="00FA7AE2"/>
    <w:rsid w:val="00FB254E"/>
    <w:rsid w:val="00FB2CA5"/>
    <w:rsid w:val="00FB36F0"/>
    <w:rsid w:val="00FB7E3F"/>
    <w:rsid w:val="00FC0F6D"/>
    <w:rsid w:val="00FC105E"/>
    <w:rsid w:val="00FC562E"/>
    <w:rsid w:val="00FC5B74"/>
    <w:rsid w:val="00FC71D2"/>
    <w:rsid w:val="00FD208D"/>
    <w:rsid w:val="00FD22C1"/>
    <w:rsid w:val="00FD2B7E"/>
    <w:rsid w:val="00FD3F59"/>
    <w:rsid w:val="00FD5F73"/>
    <w:rsid w:val="00FD672B"/>
    <w:rsid w:val="00FD6D81"/>
    <w:rsid w:val="00FD6FA4"/>
    <w:rsid w:val="00FE0232"/>
    <w:rsid w:val="00FE18C2"/>
    <w:rsid w:val="00FE3ABC"/>
    <w:rsid w:val="00FE3C9E"/>
    <w:rsid w:val="00FE3DFE"/>
    <w:rsid w:val="00FE4AED"/>
    <w:rsid w:val="00FE5AFB"/>
    <w:rsid w:val="00FE5B3D"/>
    <w:rsid w:val="00FE6B21"/>
    <w:rsid w:val="00FE78DD"/>
    <w:rsid w:val="00FF0712"/>
    <w:rsid w:val="00FF1F9F"/>
    <w:rsid w:val="00FF27CF"/>
    <w:rsid w:val="00FF2A68"/>
    <w:rsid w:val="00FF4DB1"/>
    <w:rsid w:val="00FF50F4"/>
    <w:rsid w:val="00FF5C84"/>
    <w:rsid w:val="00FF756A"/>
    <w:rsid w:val="01D0FC5C"/>
    <w:rsid w:val="0238F29E"/>
    <w:rsid w:val="037D59B1"/>
    <w:rsid w:val="037EE828"/>
    <w:rsid w:val="038488DA"/>
    <w:rsid w:val="03A79EAF"/>
    <w:rsid w:val="03DB1F8A"/>
    <w:rsid w:val="04B26428"/>
    <w:rsid w:val="04BAAA34"/>
    <w:rsid w:val="054C6CC3"/>
    <w:rsid w:val="05E5AE68"/>
    <w:rsid w:val="062716C3"/>
    <w:rsid w:val="06553B57"/>
    <w:rsid w:val="06818770"/>
    <w:rsid w:val="06F4B367"/>
    <w:rsid w:val="0718D092"/>
    <w:rsid w:val="07C6A78E"/>
    <w:rsid w:val="07C83F65"/>
    <w:rsid w:val="08B9C41E"/>
    <w:rsid w:val="08D0822F"/>
    <w:rsid w:val="08F539CA"/>
    <w:rsid w:val="09A23015"/>
    <w:rsid w:val="09EFB0E3"/>
    <w:rsid w:val="0A1B3DD5"/>
    <w:rsid w:val="0A2C956A"/>
    <w:rsid w:val="0A7909BD"/>
    <w:rsid w:val="0A8A067F"/>
    <w:rsid w:val="0B8EB86F"/>
    <w:rsid w:val="0BCDF13F"/>
    <w:rsid w:val="0C95BE44"/>
    <w:rsid w:val="0D58C40F"/>
    <w:rsid w:val="0D7DA752"/>
    <w:rsid w:val="0D95C4E0"/>
    <w:rsid w:val="0DAC08A4"/>
    <w:rsid w:val="0E1BD9E9"/>
    <w:rsid w:val="0E4BC5A4"/>
    <w:rsid w:val="0F269171"/>
    <w:rsid w:val="0F708B1D"/>
    <w:rsid w:val="0FA48CA4"/>
    <w:rsid w:val="10092885"/>
    <w:rsid w:val="101732B7"/>
    <w:rsid w:val="102C385F"/>
    <w:rsid w:val="1083C3D7"/>
    <w:rsid w:val="10FA06C9"/>
    <w:rsid w:val="111D2C2F"/>
    <w:rsid w:val="118BEB61"/>
    <w:rsid w:val="11EEF899"/>
    <w:rsid w:val="11F1CEF5"/>
    <w:rsid w:val="122395B5"/>
    <w:rsid w:val="123F8324"/>
    <w:rsid w:val="1255EA8D"/>
    <w:rsid w:val="12732ABB"/>
    <w:rsid w:val="128BB0F1"/>
    <w:rsid w:val="1295D72A"/>
    <w:rsid w:val="12CFC8FE"/>
    <w:rsid w:val="139D00F5"/>
    <w:rsid w:val="1459CA4E"/>
    <w:rsid w:val="157464D6"/>
    <w:rsid w:val="15A63E47"/>
    <w:rsid w:val="17645AA0"/>
    <w:rsid w:val="1791EB7D"/>
    <w:rsid w:val="17A9CFD9"/>
    <w:rsid w:val="17D08EF8"/>
    <w:rsid w:val="18B89F88"/>
    <w:rsid w:val="19FE516F"/>
    <w:rsid w:val="1A25F0D7"/>
    <w:rsid w:val="1B3F371F"/>
    <w:rsid w:val="1C5D82E7"/>
    <w:rsid w:val="1CBB59FF"/>
    <w:rsid w:val="1D42B4A5"/>
    <w:rsid w:val="1DA1370E"/>
    <w:rsid w:val="1DE07757"/>
    <w:rsid w:val="1DEBFCB4"/>
    <w:rsid w:val="1E50F776"/>
    <w:rsid w:val="1E527B6A"/>
    <w:rsid w:val="1EB9ACC1"/>
    <w:rsid w:val="1ED4F49A"/>
    <w:rsid w:val="1F008870"/>
    <w:rsid w:val="1F72CB62"/>
    <w:rsid w:val="1F7456AD"/>
    <w:rsid w:val="1F8FE9C4"/>
    <w:rsid w:val="1FB165A8"/>
    <w:rsid w:val="1FD78A80"/>
    <w:rsid w:val="200037FD"/>
    <w:rsid w:val="20235E70"/>
    <w:rsid w:val="207A5567"/>
    <w:rsid w:val="21722CD0"/>
    <w:rsid w:val="22CBF5C5"/>
    <w:rsid w:val="232D3C07"/>
    <w:rsid w:val="239EA422"/>
    <w:rsid w:val="23BA1B5A"/>
    <w:rsid w:val="23C9F3E5"/>
    <w:rsid w:val="23DC5DAC"/>
    <w:rsid w:val="2419EAEA"/>
    <w:rsid w:val="24AFAFC9"/>
    <w:rsid w:val="255C57BF"/>
    <w:rsid w:val="25F60B18"/>
    <w:rsid w:val="26394A3E"/>
    <w:rsid w:val="264A77BE"/>
    <w:rsid w:val="26B43579"/>
    <w:rsid w:val="26B5597C"/>
    <w:rsid w:val="26F82820"/>
    <w:rsid w:val="2761C55A"/>
    <w:rsid w:val="280C1875"/>
    <w:rsid w:val="2839D546"/>
    <w:rsid w:val="2881A1EB"/>
    <w:rsid w:val="29A7E8D6"/>
    <w:rsid w:val="2ACF839D"/>
    <w:rsid w:val="2BB35243"/>
    <w:rsid w:val="2C25716C"/>
    <w:rsid w:val="2C633672"/>
    <w:rsid w:val="2C8BF12A"/>
    <w:rsid w:val="2DBE5A78"/>
    <w:rsid w:val="2EA1ECA9"/>
    <w:rsid w:val="2F54D59D"/>
    <w:rsid w:val="2F6E5C45"/>
    <w:rsid w:val="2F7EDC76"/>
    <w:rsid w:val="2FC28581"/>
    <w:rsid w:val="2FE2C5B7"/>
    <w:rsid w:val="3084BB42"/>
    <w:rsid w:val="31AC35BB"/>
    <w:rsid w:val="31F3B30E"/>
    <w:rsid w:val="31F69E8F"/>
    <w:rsid w:val="324DE72A"/>
    <w:rsid w:val="32FB0006"/>
    <w:rsid w:val="3320B822"/>
    <w:rsid w:val="33263EA9"/>
    <w:rsid w:val="335D3A85"/>
    <w:rsid w:val="34C0EAF3"/>
    <w:rsid w:val="34E3D67D"/>
    <w:rsid w:val="3650691D"/>
    <w:rsid w:val="3707F457"/>
    <w:rsid w:val="37835E54"/>
    <w:rsid w:val="383F7D73"/>
    <w:rsid w:val="3890F3EE"/>
    <w:rsid w:val="38EAB3EA"/>
    <w:rsid w:val="39185029"/>
    <w:rsid w:val="394DF586"/>
    <w:rsid w:val="398E9545"/>
    <w:rsid w:val="39DE1125"/>
    <w:rsid w:val="3B1B9FAB"/>
    <w:rsid w:val="3B7D5BC7"/>
    <w:rsid w:val="3C8E5D42"/>
    <w:rsid w:val="3D06CA6B"/>
    <w:rsid w:val="3D9EE356"/>
    <w:rsid w:val="3DBE53B0"/>
    <w:rsid w:val="3F0D3E47"/>
    <w:rsid w:val="3F2234F0"/>
    <w:rsid w:val="3F79AAB5"/>
    <w:rsid w:val="3F845738"/>
    <w:rsid w:val="3FF52BA9"/>
    <w:rsid w:val="3FFBD21E"/>
    <w:rsid w:val="406D3CA2"/>
    <w:rsid w:val="41CF5BDF"/>
    <w:rsid w:val="4240E157"/>
    <w:rsid w:val="426B6A18"/>
    <w:rsid w:val="430B7638"/>
    <w:rsid w:val="434B236A"/>
    <w:rsid w:val="43553213"/>
    <w:rsid w:val="44491B28"/>
    <w:rsid w:val="452B5342"/>
    <w:rsid w:val="4601D53C"/>
    <w:rsid w:val="46FDF58E"/>
    <w:rsid w:val="47167A46"/>
    <w:rsid w:val="47A16FA4"/>
    <w:rsid w:val="47F87784"/>
    <w:rsid w:val="4807E8A2"/>
    <w:rsid w:val="48AEDA96"/>
    <w:rsid w:val="4992AD8E"/>
    <w:rsid w:val="49D03C34"/>
    <w:rsid w:val="4B088243"/>
    <w:rsid w:val="4B1F19CC"/>
    <w:rsid w:val="4C9AD6D0"/>
    <w:rsid w:val="4CB59CEE"/>
    <w:rsid w:val="4D16E641"/>
    <w:rsid w:val="4D654340"/>
    <w:rsid w:val="4D950224"/>
    <w:rsid w:val="4DE8CE4B"/>
    <w:rsid w:val="4E4713BB"/>
    <w:rsid w:val="4E4804D5"/>
    <w:rsid w:val="4E53FCAA"/>
    <w:rsid w:val="4E5DC844"/>
    <w:rsid w:val="4EBD0B3A"/>
    <w:rsid w:val="4EC24B84"/>
    <w:rsid w:val="4F30C4C3"/>
    <w:rsid w:val="4FD11045"/>
    <w:rsid w:val="504FCBCD"/>
    <w:rsid w:val="507B7550"/>
    <w:rsid w:val="508C3BBD"/>
    <w:rsid w:val="5096A659"/>
    <w:rsid w:val="50B09BFF"/>
    <w:rsid w:val="5313B02E"/>
    <w:rsid w:val="538B1806"/>
    <w:rsid w:val="53C3EBBD"/>
    <w:rsid w:val="543CDD20"/>
    <w:rsid w:val="54719C58"/>
    <w:rsid w:val="5535DE58"/>
    <w:rsid w:val="55743541"/>
    <w:rsid w:val="55C4F802"/>
    <w:rsid w:val="55D56E34"/>
    <w:rsid w:val="56814B39"/>
    <w:rsid w:val="56BCF0FF"/>
    <w:rsid w:val="571005A2"/>
    <w:rsid w:val="57BB2F78"/>
    <w:rsid w:val="57C24F4C"/>
    <w:rsid w:val="581240E5"/>
    <w:rsid w:val="581DD14D"/>
    <w:rsid w:val="5852A6CD"/>
    <w:rsid w:val="58C3A5AA"/>
    <w:rsid w:val="58C9CE96"/>
    <w:rsid w:val="591423F6"/>
    <w:rsid w:val="5933A807"/>
    <w:rsid w:val="593F6459"/>
    <w:rsid w:val="59EADFBC"/>
    <w:rsid w:val="5AB28BC8"/>
    <w:rsid w:val="5BCAC07F"/>
    <w:rsid w:val="5C4D1A04"/>
    <w:rsid w:val="5D0D05B2"/>
    <w:rsid w:val="5DE12AA9"/>
    <w:rsid w:val="5EDCF4D5"/>
    <w:rsid w:val="5F0E6B3C"/>
    <w:rsid w:val="5F9A1C63"/>
    <w:rsid w:val="5F9CAF48"/>
    <w:rsid w:val="5FA151A6"/>
    <w:rsid w:val="608647CA"/>
    <w:rsid w:val="609195F1"/>
    <w:rsid w:val="60E98BEB"/>
    <w:rsid w:val="6178DC02"/>
    <w:rsid w:val="619A5AD0"/>
    <w:rsid w:val="6229D274"/>
    <w:rsid w:val="624D0DDA"/>
    <w:rsid w:val="63021C8E"/>
    <w:rsid w:val="6313159C"/>
    <w:rsid w:val="63BB4941"/>
    <w:rsid w:val="6428D087"/>
    <w:rsid w:val="647F7258"/>
    <w:rsid w:val="6488CC4D"/>
    <w:rsid w:val="64D557A9"/>
    <w:rsid w:val="665CFFB6"/>
    <w:rsid w:val="66B9C81E"/>
    <w:rsid w:val="672B83BC"/>
    <w:rsid w:val="67FE4590"/>
    <w:rsid w:val="68013B16"/>
    <w:rsid w:val="6802A5DF"/>
    <w:rsid w:val="6854954C"/>
    <w:rsid w:val="694D96F6"/>
    <w:rsid w:val="697A2B2A"/>
    <w:rsid w:val="699D0B77"/>
    <w:rsid w:val="69A08B9C"/>
    <w:rsid w:val="6A60F1FF"/>
    <w:rsid w:val="6AAE211D"/>
    <w:rsid w:val="6B3768A5"/>
    <w:rsid w:val="6B38DBD8"/>
    <w:rsid w:val="6B3B7980"/>
    <w:rsid w:val="6C203652"/>
    <w:rsid w:val="6CBFACC4"/>
    <w:rsid w:val="6CD33906"/>
    <w:rsid w:val="6E226F99"/>
    <w:rsid w:val="6F0F4502"/>
    <w:rsid w:val="6F40E022"/>
    <w:rsid w:val="6F61340A"/>
    <w:rsid w:val="6FFDB6B3"/>
    <w:rsid w:val="70BDCAC2"/>
    <w:rsid w:val="70DC07B3"/>
    <w:rsid w:val="712902B7"/>
    <w:rsid w:val="7134C2A3"/>
    <w:rsid w:val="71A7A256"/>
    <w:rsid w:val="71B7A07C"/>
    <w:rsid w:val="72999DD0"/>
    <w:rsid w:val="73127F21"/>
    <w:rsid w:val="73399E93"/>
    <w:rsid w:val="7345111A"/>
    <w:rsid w:val="73816EE3"/>
    <w:rsid w:val="73959DA6"/>
    <w:rsid w:val="73B5C745"/>
    <w:rsid w:val="74E45840"/>
    <w:rsid w:val="74F78A8A"/>
    <w:rsid w:val="756267E4"/>
    <w:rsid w:val="759E8112"/>
    <w:rsid w:val="75D334A5"/>
    <w:rsid w:val="772A1640"/>
    <w:rsid w:val="774184AA"/>
    <w:rsid w:val="77BA6B3B"/>
    <w:rsid w:val="781C13CF"/>
    <w:rsid w:val="7827C2F5"/>
    <w:rsid w:val="7841FE82"/>
    <w:rsid w:val="78630F25"/>
    <w:rsid w:val="786B5245"/>
    <w:rsid w:val="7890FC87"/>
    <w:rsid w:val="792765F2"/>
    <w:rsid w:val="7978636F"/>
    <w:rsid w:val="7A2C5818"/>
    <w:rsid w:val="7A66B007"/>
    <w:rsid w:val="7A6DD5CF"/>
    <w:rsid w:val="7A99872C"/>
    <w:rsid w:val="7B48AFF4"/>
    <w:rsid w:val="7B4D81AA"/>
    <w:rsid w:val="7B556317"/>
    <w:rsid w:val="7D017640"/>
    <w:rsid w:val="7DB973D2"/>
    <w:rsid w:val="7E429422"/>
    <w:rsid w:val="7EECC278"/>
    <w:rsid w:val="7F4FE989"/>
    <w:rsid w:val="7F66D813"/>
    <w:rsid w:val="7F9D598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8DB07"/>
  <w15:chartTrackingRefBased/>
  <w15:docId w15:val="{99D2C22B-E9E0-4EAE-9BBD-D093D41C0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387"/>
  </w:style>
  <w:style w:type="paragraph" w:styleId="Heading1">
    <w:name w:val="heading 1"/>
    <w:basedOn w:val="Normal"/>
    <w:next w:val="Normal"/>
    <w:link w:val="Heading1Char"/>
    <w:uiPriority w:val="9"/>
    <w:qFormat/>
    <w:rsid w:val="00F90CD6"/>
    <w:pPr>
      <w:keepNext/>
      <w:keepLines/>
      <w:numPr>
        <w:numId w:val="5"/>
      </w:numPr>
      <w:spacing w:before="240" w:after="0"/>
      <w:outlineLvl w:val="0"/>
    </w:pPr>
    <w:rPr>
      <w:rFonts w:asciiTheme="majorHAnsi" w:eastAsiaTheme="majorEastAsia" w:hAnsiTheme="majorHAnsi" w:cstheme="majorBidi"/>
      <w:color w:val="000000" w:themeColor="text1"/>
      <w:sz w:val="28"/>
      <w:szCs w:val="28"/>
    </w:rPr>
  </w:style>
  <w:style w:type="paragraph" w:styleId="Heading2">
    <w:name w:val="heading 2"/>
    <w:basedOn w:val="Normal"/>
    <w:next w:val="Normal"/>
    <w:link w:val="Heading2Char"/>
    <w:uiPriority w:val="9"/>
    <w:unhideWhenUsed/>
    <w:qFormat/>
    <w:rsid w:val="00470756"/>
    <w:pPr>
      <w:keepNext/>
      <w:keepLines/>
      <w:numPr>
        <w:ilvl w:val="1"/>
        <w:numId w:val="5"/>
      </w:numPr>
      <w:spacing w:before="40" w:after="0"/>
      <w:ind w:left="1854" w:hanging="1134"/>
      <w:outlineLvl w:val="1"/>
    </w:pPr>
    <w:rPr>
      <w:rFonts w:asciiTheme="majorHAnsi" w:eastAsiaTheme="majorEastAsia" w:hAnsiTheme="majorHAnsi" w:cstheme="majorBidi"/>
      <w:color w:val="000000" w:themeColor="text1"/>
      <w:sz w:val="24"/>
      <w:szCs w:val="26"/>
    </w:rPr>
  </w:style>
  <w:style w:type="paragraph" w:styleId="Heading3">
    <w:name w:val="heading 3"/>
    <w:basedOn w:val="Normal"/>
    <w:next w:val="Normal"/>
    <w:link w:val="Heading3Char"/>
    <w:uiPriority w:val="9"/>
    <w:unhideWhenUsed/>
    <w:qFormat/>
    <w:rsid w:val="00E47585"/>
    <w:pPr>
      <w:keepNext/>
      <w:keepLines/>
      <w:numPr>
        <w:ilvl w:val="2"/>
        <w:numId w:val="5"/>
      </w:numPr>
      <w:spacing w:before="40" w:after="0"/>
      <w:outlineLvl w:val="2"/>
    </w:pPr>
    <w:rPr>
      <w:rFonts w:asciiTheme="majorHAnsi" w:eastAsiaTheme="majorEastAsia" w:hAnsiTheme="majorHAnsi" w:cstheme="majorBidi"/>
      <w:color w:val="000000" w:themeColor="text1"/>
      <w:sz w:val="24"/>
      <w:szCs w:val="24"/>
    </w:rPr>
  </w:style>
  <w:style w:type="paragraph" w:styleId="Heading4">
    <w:name w:val="heading 4"/>
    <w:basedOn w:val="Normal"/>
    <w:next w:val="Normal"/>
    <w:link w:val="Heading4Char"/>
    <w:uiPriority w:val="9"/>
    <w:unhideWhenUsed/>
    <w:qFormat/>
    <w:rsid w:val="00B003F0"/>
    <w:pPr>
      <w:keepNext/>
      <w:keepLines/>
      <w:numPr>
        <w:ilvl w:val="3"/>
        <w:numId w:val="5"/>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101BAC"/>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0C5940"/>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CD6"/>
    <w:rPr>
      <w:rFonts w:asciiTheme="majorHAnsi" w:eastAsiaTheme="majorEastAsia" w:hAnsiTheme="majorHAnsi" w:cstheme="majorBidi"/>
      <w:color w:val="000000" w:themeColor="text1"/>
      <w:sz w:val="28"/>
      <w:szCs w:val="28"/>
    </w:rPr>
  </w:style>
  <w:style w:type="paragraph" w:styleId="Header">
    <w:name w:val="header"/>
    <w:basedOn w:val="Normal"/>
    <w:link w:val="HeaderChar"/>
    <w:uiPriority w:val="99"/>
    <w:unhideWhenUsed/>
    <w:rsid w:val="001F4A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4A10"/>
  </w:style>
  <w:style w:type="paragraph" w:styleId="Footer">
    <w:name w:val="footer"/>
    <w:basedOn w:val="Normal"/>
    <w:link w:val="FooterChar"/>
    <w:uiPriority w:val="99"/>
    <w:unhideWhenUsed/>
    <w:rsid w:val="001F4A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4A10"/>
  </w:style>
  <w:style w:type="paragraph" w:styleId="TOCHeading">
    <w:name w:val="TOC Heading"/>
    <w:basedOn w:val="Heading1"/>
    <w:next w:val="Normal"/>
    <w:uiPriority w:val="39"/>
    <w:unhideWhenUsed/>
    <w:qFormat/>
    <w:rsid w:val="001F4A10"/>
    <w:pPr>
      <w:outlineLvl w:val="9"/>
    </w:pPr>
    <w:rPr>
      <w:lang w:val="en-US"/>
    </w:rPr>
  </w:style>
  <w:style w:type="paragraph" w:styleId="TOC1">
    <w:name w:val="toc 1"/>
    <w:basedOn w:val="Normal"/>
    <w:next w:val="Normal"/>
    <w:autoRedefine/>
    <w:uiPriority w:val="39"/>
    <w:unhideWhenUsed/>
    <w:rsid w:val="00FB254E"/>
    <w:pPr>
      <w:tabs>
        <w:tab w:val="left" w:pos="440"/>
        <w:tab w:val="right" w:leader="dot" w:pos="9016"/>
      </w:tabs>
      <w:spacing w:after="100"/>
    </w:pPr>
  </w:style>
  <w:style w:type="character" w:styleId="Hyperlink">
    <w:name w:val="Hyperlink"/>
    <w:basedOn w:val="DefaultParagraphFont"/>
    <w:uiPriority w:val="99"/>
    <w:unhideWhenUsed/>
    <w:rsid w:val="001F4A10"/>
    <w:rPr>
      <w:color w:val="0563C1" w:themeColor="hyperlink"/>
      <w:u w:val="single"/>
    </w:rPr>
  </w:style>
  <w:style w:type="character" w:customStyle="1" w:styleId="Heading2Char">
    <w:name w:val="Heading 2 Char"/>
    <w:basedOn w:val="DefaultParagraphFont"/>
    <w:link w:val="Heading2"/>
    <w:uiPriority w:val="9"/>
    <w:rsid w:val="002D51DF"/>
    <w:rPr>
      <w:rFonts w:asciiTheme="majorHAnsi" w:eastAsiaTheme="majorEastAsia" w:hAnsiTheme="majorHAnsi" w:cstheme="majorBidi"/>
      <w:color w:val="000000" w:themeColor="text1"/>
      <w:sz w:val="24"/>
      <w:szCs w:val="26"/>
    </w:rPr>
  </w:style>
  <w:style w:type="paragraph" w:styleId="TOC2">
    <w:name w:val="toc 2"/>
    <w:basedOn w:val="Normal"/>
    <w:next w:val="Normal"/>
    <w:autoRedefine/>
    <w:uiPriority w:val="39"/>
    <w:unhideWhenUsed/>
    <w:rsid w:val="001F4A10"/>
    <w:pPr>
      <w:spacing w:after="100"/>
      <w:ind w:left="220"/>
    </w:pPr>
  </w:style>
  <w:style w:type="paragraph" w:styleId="TOC3">
    <w:name w:val="toc 3"/>
    <w:basedOn w:val="Normal"/>
    <w:next w:val="Normal"/>
    <w:autoRedefine/>
    <w:uiPriority w:val="39"/>
    <w:unhideWhenUsed/>
    <w:rsid w:val="001F4A10"/>
    <w:pPr>
      <w:spacing w:after="100"/>
      <w:ind w:left="440"/>
    </w:pPr>
    <w:rPr>
      <w:rFonts w:eastAsiaTheme="minorEastAsia" w:cs="Times New Roman"/>
      <w:lang w:val="en-US"/>
    </w:rPr>
  </w:style>
  <w:style w:type="character" w:customStyle="1" w:styleId="BlockheadingChar">
    <w:name w:val="Block heading Char"/>
    <w:link w:val="Blockheading"/>
    <w:locked/>
    <w:rsid w:val="006776D3"/>
    <w:rPr>
      <w:rFonts w:eastAsiaTheme="majorEastAsia" w:cs="Arial"/>
      <w:b/>
      <w:iCs/>
      <w:color w:val="008631"/>
      <w:sz w:val="26"/>
      <w:szCs w:val="26"/>
    </w:rPr>
  </w:style>
  <w:style w:type="paragraph" w:customStyle="1" w:styleId="Blockheading">
    <w:name w:val="Block heading"/>
    <w:basedOn w:val="Heading4"/>
    <w:link w:val="BlockheadingChar"/>
    <w:qFormat/>
    <w:rsid w:val="006776D3"/>
    <w:pPr>
      <w:spacing w:before="0" w:after="240" w:line="276" w:lineRule="auto"/>
      <w:outlineLvl w:val="2"/>
    </w:pPr>
    <w:rPr>
      <w:rFonts w:asciiTheme="minorHAnsi" w:hAnsiTheme="minorHAnsi" w:cs="Arial"/>
      <w:b/>
      <w:i w:val="0"/>
      <w:color w:val="008631"/>
      <w:sz w:val="26"/>
      <w:szCs w:val="26"/>
    </w:rPr>
  </w:style>
  <w:style w:type="character" w:customStyle="1" w:styleId="BulletText1Char">
    <w:name w:val="Bullet Text 1 Char"/>
    <w:link w:val="BulletText1"/>
    <w:locked/>
    <w:rsid w:val="006776D3"/>
  </w:style>
  <w:style w:type="paragraph" w:customStyle="1" w:styleId="BulletText1">
    <w:name w:val="Bullet Text 1"/>
    <w:basedOn w:val="Normal"/>
    <w:link w:val="BulletText1Char"/>
    <w:qFormat/>
    <w:rsid w:val="0022399F"/>
    <w:pPr>
      <w:numPr>
        <w:numId w:val="1"/>
      </w:numPr>
      <w:spacing w:before="60" w:after="240"/>
      <w:contextualSpacing/>
    </w:pPr>
  </w:style>
  <w:style w:type="character" w:customStyle="1" w:styleId="Boldtext">
    <w:name w:val="Bold text"/>
    <w:uiPriority w:val="1"/>
    <w:qFormat/>
    <w:rsid w:val="006776D3"/>
    <w:rPr>
      <w:rFonts w:ascii="Arial" w:hAnsi="Arial" w:cs="Arial" w:hint="default"/>
      <w:b/>
      <w:bCs w:val="0"/>
      <w:sz w:val="24"/>
    </w:rPr>
  </w:style>
  <w:style w:type="character" w:customStyle="1" w:styleId="BlockText1">
    <w:name w:val="Block Text1"/>
    <w:uiPriority w:val="1"/>
    <w:qFormat/>
    <w:rsid w:val="006776D3"/>
    <w:rPr>
      <w:rFonts w:ascii="Arial" w:hAnsi="Arial"/>
      <w:b w:val="0"/>
      <w:sz w:val="22"/>
    </w:rPr>
  </w:style>
  <w:style w:type="character" w:customStyle="1" w:styleId="Heading4Char">
    <w:name w:val="Heading 4 Char"/>
    <w:basedOn w:val="DefaultParagraphFont"/>
    <w:link w:val="Heading4"/>
    <w:uiPriority w:val="9"/>
    <w:rsid w:val="00B003F0"/>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211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47585"/>
    <w:rPr>
      <w:rFonts w:asciiTheme="majorHAnsi" w:eastAsiaTheme="majorEastAsia" w:hAnsiTheme="majorHAnsi" w:cstheme="majorBidi"/>
      <w:color w:val="000000" w:themeColor="text1"/>
      <w:sz w:val="24"/>
      <w:szCs w:val="24"/>
    </w:rPr>
  </w:style>
  <w:style w:type="paragraph" w:styleId="ListParagraph">
    <w:name w:val="List Paragraph"/>
    <w:aliases w:val="Dot pt,Bullet Style,Bullet list,No Spacing1,List Paragraph Char Char Char,Indicator Text,List Paragraph1,Numbered Para 1,Bullet 1,Bullet Points,List Paragraph12"/>
    <w:basedOn w:val="Normal"/>
    <w:link w:val="ListParagraphChar"/>
    <w:uiPriority w:val="34"/>
    <w:qFormat/>
    <w:rsid w:val="004C1FCB"/>
    <w:pPr>
      <w:ind w:left="720"/>
      <w:contextualSpacing/>
    </w:pPr>
  </w:style>
  <w:style w:type="paragraph" w:styleId="Caption">
    <w:name w:val="caption"/>
    <w:basedOn w:val="Normal"/>
    <w:next w:val="Normal"/>
    <w:uiPriority w:val="35"/>
    <w:unhideWhenUsed/>
    <w:qFormat/>
    <w:rsid w:val="00125BD6"/>
    <w:pPr>
      <w:spacing w:after="200" w:line="240" w:lineRule="auto"/>
    </w:pPr>
    <w:rPr>
      <w:i/>
      <w:iCs/>
      <w:sz w:val="24"/>
      <w:szCs w:val="18"/>
    </w:rPr>
  </w:style>
  <w:style w:type="character" w:customStyle="1" w:styleId="Heading5Char">
    <w:name w:val="Heading 5 Char"/>
    <w:basedOn w:val="DefaultParagraphFont"/>
    <w:link w:val="Heading5"/>
    <w:uiPriority w:val="9"/>
    <w:rsid w:val="00101BAC"/>
    <w:rPr>
      <w:rFonts w:asciiTheme="majorHAnsi" w:eastAsiaTheme="majorEastAsia" w:hAnsiTheme="majorHAnsi" w:cstheme="majorBidi"/>
      <w:color w:val="2F5496" w:themeColor="accent1" w:themeShade="BF"/>
    </w:rPr>
  </w:style>
  <w:style w:type="character" w:styleId="CommentReference">
    <w:name w:val="annotation reference"/>
    <w:basedOn w:val="DefaultParagraphFont"/>
    <w:uiPriority w:val="99"/>
    <w:unhideWhenUsed/>
    <w:rsid w:val="00EE3B34"/>
    <w:rPr>
      <w:sz w:val="16"/>
      <w:szCs w:val="16"/>
    </w:rPr>
  </w:style>
  <w:style w:type="paragraph" w:styleId="CommentText">
    <w:name w:val="annotation text"/>
    <w:basedOn w:val="Normal"/>
    <w:link w:val="CommentTextChar"/>
    <w:uiPriority w:val="99"/>
    <w:unhideWhenUsed/>
    <w:rsid w:val="00EE3B34"/>
    <w:pPr>
      <w:spacing w:line="240" w:lineRule="auto"/>
    </w:pPr>
    <w:rPr>
      <w:sz w:val="20"/>
      <w:szCs w:val="20"/>
    </w:rPr>
  </w:style>
  <w:style w:type="character" w:customStyle="1" w:styleId="CommentTextChar">
    <w:name w:val="Comment Text Char"/>
    <w:basedOn w:val="DefaultParagraphFont"/>
    <w:link w:val="CommentText"/>
    <w:uiPriority w:val="99"/>
    <w:rsid w:val="00EE3B34"/>
    <w:rPr>
      <w:sz w:val="20"/>
      <w:szCs w:val="20"/>
    </w:rPr>
  </w:style>
  <w:style w:type="paragraph" w:styleId="CommentSubject">
    <w:name w:val="annotation subject"/>
    <w:basedOn w:val="CommentText"/>
    <w:next w:val="CommentText"/>
    <w:link w:val="CommentSubjectChar"/>
    <w:uiPriority w:val="99"/>
    <w:semiHidden/>
    <w:unhideWhenUsed/>
    <w:rsid w:val="00EE3B34"/>
    <w:rPr>
      <w:b/>
      <w:bCs/>
    </w:rPr>
  </w:style>
  <w:style w:type="character" w:customStyle="1" w:styleId="CommentSubjectChar">
    <w:name w:val="Comment Subject Char"/>
    <w:basedOn w:val="CommentTextChar"/>
    <w:link w:val="CommentSubject"/>
    <w:uiPriority w:val="99"/>
    <w:semiHidden/>
    <w:rsid w:val="00EE3B34"/>
    <w:rPr>
      <w:b/>
      <w:bCs/>
      <w:sz w:val="20"/>
      <w:szCs w:val="20"/>
    </w:rPr>
  </w:style>
  <w:style w:type="paragraph" w:styleId="FootnoteText">
    <w:name w:val="footnote text"/>
    <w:basedOn w:val="Normal"/>
    <w:link w:val="FootnoteTextChar"/>
    <w:uiPriority w:val="99"/>
    <w:semiHidden/>
    <w:unhideWhenUsed/>
    <w:rsid w:val="00EB74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7432"/>
    <w:rPr>
      <w:sz w:val="20"/>
      <w:szCs w:val="20"/>
    </w:rPr>
  </w:style>
  <w:style w:type="character" w:styleId="FootnoteReference">
    <w:name w:val="footnote reference"/>
    <w:basedOn w:val="DefaultParagraphFont"/>
    <w:uiPriority w:val="99"/>
    <w:semiHidden/>
    <w:unhideWhenUsed/>
    <w:rsid w:val="00EB7432"/>
    <w:rPr>
      <w:vertAlign w:val="superscript"/>
    </w:rPr>
  </w:style>
  <w:style w:type="paragraph" w:styleId="EndnoteText">
    <w:name w:val="endnote text"/>
    <w:basedOn w:val="Normal"/>
    <w:link w:val="EndnoteTextChar"/>
    <w:uiPriority w:val="99"/>
    <w:semiHidden/>
    <w:unhideWhenUsed/>
    <w:rsid w:val="00D7713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77131"/>
    <w:rPr>
      <w:sz w:val="20"/>
      <w:szCs w:val="20"/>
    </w:rPr>
  </w:style>
  <w:style w:type="character" w:styleId="EndnoteReference">
    <w:name w:val="endnote reference"/>
    <w:basedOn w:val="DefaultParagraphFont"/>
    <w:uiPriority w:val="99"/>
    <w:semiHidden/>
    <w:unhideWhenUsed/>
    <w:rsid w:val="00D77131"/>
    <w:rPr>
      <w:vertAlign w:val="superscript"/>
    </w:rPr>
  </w:style>
  <w:style w:type="character" w:styleId="UnresolvedMention">
    <w:name w:val="Unresolved Mention"/>
    <w:basedOn w:val="DefaultParagraphFont"/>
    <w:uiPriority w:val="99"/>
    <w:unhideWhenUsed/>
    <w:rsid w:val="00AE1451"/>
    <w:rPr>
      <w:color w:val="605E5C"/>
      <w:shd w:val="clear" w:color="auto" w:fill="E1DFDD"/>
    </w:rPr>
  </w:style>
  <w:style w:type="character" w:styleId="FollowedHyperlink">
    <w:name w:val="FollowedHyperlink"/>
    <w:basedOn w:val="DefaultParagraphFont"/>
    <w:uiPriority w:val="99"/>
    <w:semiHidden/>
    <w:unhideWhenUsed/>
    <w:rsid w:val="007C1C60"/>
    <w:rPr>
      <w:color w:val="954F72" w:themeColor="followedHyperlink"/>
      <w:u w:val="single"/>
    </w:rPr>
  </w:style>
  <w:style w:type="paragraph" w:styleId="Revision">
    <w:name w:val="Revision"/>
    <w:hidden/>
    <w:uiPriority w:val="99"/>
    <w:semiHidden/>
    <w:rsid w:val="00D770C1"/>
    <w:pPr>
      <w:spacing w:after="0" w:line="240" w:lineRule="auto"/>
    </w:pPr>
  </w:style>
  <w:style w:type="character" w:styleId="Emphasis">
    <w:name w:val="Emphasis"/>
    <w:basedOn w:val="DefaultParagraphFont"/>
    <w:uiPriority w:val="20"/>
    <w:qFormat/>
    <w:rsid w:val="00FA0962"/>
    <w:rPr>
      <w:i/>
      <w:iCs/>
    </w:rPr>
  </w:style>
  <w:style w:type="paragraph" w:customStyle="1" w:styleId="BodyText1">
    <w:name w:val="Body Text1"/>
    <w:basedOn w:val="Normal"/>
    <w:uiPriority w:val="99"/>
    <w:rsid w:val="0066469D"/>
    <w:pPr>
      <w:overflowPunct w:val="0"/>
      <w:autoSpaceDE w:val="0"/>
      <w:autoSpaceDN w:val="0"/>
      <w:adjustRightInd w:val="0"/>
      <w:spacing w:before="240" w:after="120" w:line="240" w:lineRule="auto"/>
      <w:textAlignment w:val="baseline"/>
    </w:pPr>
    <w:rPr>
      <w:rFonts w:ascii="Arial" w:eastAsia="Times New Roman" w:hAnsi="Arial" w:cs="Times New Roman"/>
      <w:noProof/>
      <w:sz w:val="20"/>
      <w:szCs w:val="20"/>
      <w:lang w:val="en-US"/>
    </w:rPr>
  </w:style>
  <w:style w:type="paragraph" w:customStyle="1" w:styleId="TENDERBULLETS">
    <w:name w:val="TENDER BULLETS"/>
    <w:basedOn w:val="ListParagraph"/>
    <w:link w:val="TENDERBULLETSChar"/>
    <w:uiPriority w:val="99"/>
    <w:qFormat/>
    <w:rsid w:val="00582096"/>
    <w:pPr>
      <w:numPr>
        <w:numId w:val="33"/>
      </w:numPr>
      <w:spacing w:after="80" w:line="240" w:lineRule="auto"/>
      <w:ind w:left="1854" w:hanging="720"/>
      <w:contextualSpacing w:val="0"/>
    </w:pPr>
    <w:rPr>
      <w:rFonts w:ascii="Arial" w:eastAsia="Calibri" w:hAnsi="Arial" w:cs="Arial"/>
    </w:rPr>
  </w:style>
  <w:style w:type="character" w:customStyle="1" w:styleId="TENDERBULLETSChar">
    <w:name w:val="TENDER BULLETS Char"/>
    <w:link w:val="TENDERBULLETS"/>
    <w:uiPriority w:val="99"/>
    <w:rsid w:val="00582096"/>
    <w:rPr>
      <w:rFonts w:ascii="Arial" w:eastAsia="Calibri" w:hAnsi="Arial" w:cs="Arial"/>
    </w:rPr>
  </w:style>
  <w:style w:type="paragraph" w:styleId="NormalWeb">
    <w:name w:val="Normal (Web)"/>
    <w:basedOn w:val="Normal"/>
    <w:uiPriority w:val="99"/>
    <w:unhideWhenUsed/>
    <w:rsid w:val="007F61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ableofFigures">
    <w:name w:val="table of figures"/>
    <w:basedOn w:val="Normal"/>
    <w:next w:val="Normal"/>
    <w:uiPriority w:val="99"/>
    <w:unhideWhenUsed/>
    <w:rsid w:val="00A66543"/>
    <w:pPr>
      <w:spacing w:after="0"/>
      <w:ind w:left="440" w:hanging="440"/>
    </w:pPr>
    <w:rPr>
      <w:rFonts w:cstheme="minorHAnsi"/>
      <w:caps/>
      <w:sz w:val="20"/>
      <w:szCs w:val="20"/>
    </w:rPr>
  </w:style>
  <w:style w:type="character" w:customStyle="1" w:styleId="Heading6Char">
    <w:name w:val="Heading 6 Char"/>
    <w:basedOn w:val="DefaultParagraphFont"/>
    <w:link w:val="Heading6"/>
    <w:uiPriority w:val="9"/>
    <w:rsid w:val="000C5940"/>
    <w:rPr>
      <w:rFonts w:asciiTheme="majorHAnsi" w:eastAsiaTheme="majorEastAsia" w:hAnsiTheme="majorHAnsi" w:cstheme="majorBidi"/>
      <w:color w:val="1F3763" w:themeColor="accent1" w:themeShade="7F"/>
    </w:rPr>
  </w:style>
  <w:style w:type="character" w:customStyle="1" w:styleId="normaltextrun">
    <w:name w:val="normaltextrun"/>
    <w:basedOn w:val="DefaultParagraphFont"/>
    <w:rsid w:val="00E805C8"/>
  </w:style>
  <w:style w:type="character" w:customStyle="1" w:styleId="findhit">
    <w:name w:val="findhit"/>
    <w:basedOn w:val="DefaultParagraphFont"/>
    <w:rsid w:val="00E805C8"/>
  </w:style>
  <w:style w:type="character" w:customStyle="1" w:styleId="eop">
    <w:name w:val="eop"/>
    <w:basedOn w:val="DefaultParagraphFont"/>
    <w:rsid w:val="00E805C8"/>
  </w:style>
  <w:style w:type="character" w:styleId="Mention">
    <w:name w:val="Mention"/>
    <w:basedOn w:val="DefaultParagraphFont"/>
    <w:uiPriority w:val="99"/>
    <w:unhideWhenUsed/>
    <w:rsid w:val="009F4796"/>
    <w:rPr>
      <w:color w:val="2B579A"/>
      <w:shd w:val="clear" w:color="auto" w:fill="E1DFDD"/>
    </w:rPr>
  </w:style>
  <w:style w:type="character" w:customStyle="1" w:styleId="ListParagraphChar">
    <w:name w:val="List Paragraph Char"/>
    <w:aliases w:val="Dot pt Char,Bullet Style Char,Bullet list Char,No Spacing1 Char,List Paragraph Char Char Char Char,Indicator Text Char,List Paragraph1 Char,Numbered Para 1 Char,Bullet 1 Char,Bullet Points Char,List Paragraph12 Char"/>
    <w:link w:val="ListParagraph"/>
    <w:uiPriority w:val="34"/>
    <w:rsid w:val="000374D6"/>
  </w:style>
  <w:style w:type="paragraph" w:customStyle="1" w:styleId="TENDERLEVEL2">
    <w:name w:val="TENDER LEVEL 2"/>
    <w:basedOn w:val="ListParagraph"/>
    <w:link w:val="TENDERLEVEL2Char"/>
    <w:uiPriority w:val="99"/>
    <w:rsid w:val="000374D6"/>
    <w:pPr>
      <w:numPr>
        <w:ilvl w:val="1"/>
        <w:numId w:val="44"/>
      </w:numPr>
      <w:spacing w:after="0" w:line="240" w:lineRule="auto"/>
    </w:pPr>
    <w:rPr>
      <w:rFonts w:eastAsiaTheme="minorEastAsia"/>
    </w:rPr>
  </w:style>
  <w:style w:type="paragraph" w:customStyle="1" w:styleId="TENDERLEVEL1Heading">
    <w:name w:val="TENDER LEVEL 1 Heading"/>
    <w:basedOn w:val="ListParagraph"/>
    <w:uiPriority w:val="99"/>
    <w:rsid w:val="000374D6"/>
    <w:pPr>
      <w:numPr>
        <w:numId w:val="44"/>
      </w:numPr>
      <w:tabs>
        <w:tab w:val="num" w:pos="360"/>
      </w:tabs>
    </w:pPr>
    <w:rPr>
      <w:rFonts w:eastAsiaTheme="minorEastAsia"/>
      <w:b/>
    </w:rPr>
  </w:style>
  <w:style w:type="character" w:customStyle="1" w:styleId="TENDERLEVEL2Char">
    <w:name w:val="TENDER LEVEL 2 Char"/>
    <w:basedOn w:val="ListParagraphChar"/>
    <w:link w:val="TENDERLEVEL2"/>
    <w:uiPriority w:val="99"/>
    <w:rsid w:val="000374D6"/>
    <w:rPr>
      <w:rFonts w:eastAsiaTheme="minorEastAsia"/>
    </w:rPr>
  </w:style>
  <w:style w:type="paragraph" w:customStyle="1" w:styleId="appendix">
    <w:name w:val="appendix"/>
    <w:basedOn w:val="TENDERLEVEL2"/>
    <w:link w:val="appendixChar"/>
    <w:uiPriority w:val="99"/>
    <w:rsid w:val="000374D6"/>
  </w:style>
  <w:style w:type="character" w:customStyle="1" w:styleId="appendixChar">
    <w:name w:val="appendix Char"/>
    <w:basedOn w:val="TENDERLEVEL2Char"/>
    <w:link w:val="appendix"/>
    <w:uiPriority w:val="99"/>
    <w:rsid w:val="000374D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25237">
      <w:bodyDiv w:val="1"/>
      <w:marLeft w:val="0"/>
      <w:marRight w:val="0"/>
      <w:marTop w:val="0"/>
      <w:marBottom w:val="0"/>
      <w:divBdr>
        <w:top w:val="none" w:sz="0" w:space="0" w:color="auto"/>
        <w:left w:val="none" w:sz="0" w:space="0" w:color="auto"/>
        <w:bottom w:val="none" w:sz="0" w:space="0" w:color="auto"/>
        <w:right w:val="none" w:sz="0" w:space="0" w:color="auto"/>
      </w:divBdr>
    </w:div>
    <w:div w:id="377165615">
      <w:bodyDiv w:val="1"/>
      <w:marLeft w:val="0"/>
      <w:marRight w:val="0"/>
      <w:marTop w:val="0"/>
      <w:marBottom w:val="0"/>
      <w:divBdr>
        <w:top w:val="none" w:sz="0" w:space="0" w:color="auto"/>
        <w:left w:val="none" w:sz="0" w:space="0" w:color="auto"/>
        <w:bottom w:val="none" w:sz="0" w:space="0" w:color="auto"/>
        <w:right w:val="none" w:sz="0" w:space="0" w:color="auto"/>
      </w:divBdr>
    </w:div>
    <w:div w:id="622463860">
      <w:bodyDiv w:val="1"/>
      <w:marLeft w:val="0"/>
      <w:marRight w:val="0"/>
      <w:marTop w:val="0"/>
      <w:marBottom w:val="0"/>
      <w:divBdr>
        <w:top w:val="none" w:sz="0" w:space="0" w:color="auto"/>
        <w:left w:val="none" w:sz="0" w:space="0" w:color="auto"/>
        <w:bottom w:val="none" w:sz="0" w:space="0" w:color="auto"/>
        <w:right w:val="none" w:sz="0" w:space="0" w:color="auto"/>
      </w:divBdr>
    </w:div>
    <w:div w:id="742072685">
      <w:bodyDiv w:val="1"/>
      <w:marLeft w:val="0"/>
      <w:marRight w:val="0"/>
      <w:marTop w:val="0"/>
      <w:marBottom w:val="0"/>
      <w:divBdr>
        <w:top w:val="none" w:sz="0" w:space="0" w:color="auto"/>
        <w:left w:val="none" w:sz="0" w:space="0" w:color="auto"/>
        <w:bottom w:val="none" w:sz="0" w:space="0" w:color="auto"/>
        <w:right w:val="none" w:sz="0" w:space="0" w:color="auto"/>
      </w:divBdr>
      <w:divsChild>
        <w:div w:id="526256550">
          <w:marLeft w:val="0"/>
          <w:marRight w:val="0"/>
          <w:marTop w:val="0"/>
          <w:marBottom w:val="0"/>
          <w:divBdr>
            <w:top w:val="none" w:sz="0" w:space="0" w:color="auto"/>
            <w:left w:val="none" w:sz="0" w:space="0" w:color="auto"/>
            <w:bottom w:val="none" w:sz="0" w:space="0" w:color="auto"/>
            <w:right w:val="none" w:sz="0" w:space="0" w:color="auto"/>
          </w:divBdr>
        </w:div>
        <w:div w:id="732124043">
          <w:marLeft w:val="0"/>
          <w:marRight w:val="0"/>
          <w:marTop w:val="0"/>
          <w:marBottom w:val="0"/>
          <w:divBdr>
            <w:top w:val="none" w:sz="0" w:space="0" w:color="auto"/>
            <w:left w:val="none" w:sz="0" w:space="0" w:color="auto"/>
            <w:bottom w:val="none" w:sz="0" w:space="0" w:color="auto"/>
            <w:right w:val="none" w:sz="0" w:space="0" w:color="auto"/>
          </w:divBdr>
        </w:div>
        <w:div w:id="1621952760">
          <w:marLeft w:val="0"/>
          <w:marRight w:val="0"/>
          <w:marTop w:val="0"/>
          <w:marBottom w:val="0"/>
          <w:divBdr>
            <w:top w:val="none" w:sz="0" w:space="0" w:color="auto"/>
            <w:left w:val="none" w:sz="0" w:space="0" w:color="auto"/>
            <w:bottom w:val="none" w:sz="0" w:space="0" w:color="auto"/>
            <w:right w:val="none" w:sz="0" w:space="0" w:color="auto"/>
          </w:divBdr>
        </w:div>
      </w:divsChild>
    </w:div>
    <w:div w:id="1129471496">
      <w:bodyDiv w:val="1"/>
      <w:marLeft w:val="0"/>
      <w:marRight w:val="0"/>
      <w:marTop w:val="0"/>
      <w:marBottom w:val="0"/>
      <w:divBdr>
        <w:top w:val="none" w:sz="0" w:space="0" w:color="auto"/>
        <w:left w:val="none" w:sz="0" w:space="0" w:color="auto"/>
        <w:bottom w:val="none" w:sz="0" w:space="0" w:color="auto"/>
        <w:right w:val="none" w:sz="0" w:space="0" w:color="auto"/>
      </w:divBdr>
    </w:div>
    <w:div w:id="1536455690">
      <w:bodyDiv w:val="1"/>
      <w:marLeft w:val="0"/>
      <w:marRight w:val="0"/>
      <w:marTop w:val="0"/>
      <w:marBottom w:val="0"/>
      <w:divBdr>
        <w:top w:val="none" w:sz="0" w:space="0" w:color="auto"/>
        <w:left w:val="none" w:sz="0" w:space="0" w:color="auto"/>
        <w:bottom w:val="none" w:sz="0" w:space="0" w:color="auto"/>
        <w:right w:val="none" w:sz="0" w:space="0" w:color="auto"/>
      </w:divBdr>
      <w:divsChild>
        <w:div w:id="234635579">
          <w:marLeft w:val="0"/>
          <w:marRight w:val="0"/>
          <w:marTop w:val="0"/>
          <w:marBottom w:val="0"/>
          <w:divBdr>
            <w:top w:val="none" w:sz="0" w:space="0" w:color="auto"/>
            <w:left w:val="none" w:sz="0" w:space="0" w:color="auto"/>
            <w:bottom w:val="none" w:sz="0" w:space="0" w:color="auto"/>
            <w:right w:val="none" w:sz="0" w:space="0" w:color="auto"/>
          </w:divBdr>
          <w:divsChild>
            <w:div w:id="769548312">
              <w:marLeft w:val="0"/>
              <w:marRight w:val="0"/>
              <w:marTop w:val="0"/>
              <w:marBottom w:val="0"/>
              <w:divBdr>
                <w:top w:val="none" w:sz="0" w:space="0" w:color="auto"/>
                <w:left w:val="none" w:sz="0" w:space="0" w:color="auto"/>
                <w:bottom w:val="none" w:sz="0" w:space="0" w:color="auto"/>
                <w:right w:val="none" w:sz="0" w:space="0" w:color="auto"/>
              </w:divBdr>
            </w:div>
          </w:divsChild>
        </w:div>
        <w:div w:id="544223400">
          <w:marLeft w:val="0"/>
          <w:marRight w:val="0"/>
          <w:marTop w:val="0"/>
          <w:marBottom w:val="0"/>
          <w:divBdr>
            <w:top w:val="none" w:sz="0" w:space="0" w:color="auto"/>
            <w:left w:val="none" w:sz="0" w:space="0" w:color="auto"/>
            <w:bottom w:val="none" w:sz="0" w:space="0" w:color="auto"/>
            <w:right w:val="none" w:sz="0" w:space="0" w:color="auto"/>
          </w:divBdr>
          <w:divsChild>
            <w:div w:id="220409103">
              <w:marLeft w:val="0"/>
              <w:marRight w:val="0"/>
              <w:marTop w:val="0"/>
              <w:marBottom w:val="0"/>
              <w:divBdr>
                <w:top w:val="none" w:sz="0" w:space="0" w:color="auto"/>
                <w:left w:val="none" w:sz="0" w:space="0" w:color="auto"/>
                <w:bottom w:val="none" w:sz="0" w:space="0" w:color="auto"/>
                <w:right w:val="none" w:sz="0" w:space="0" w:color="auto"/>
              </w:divBdr>
            </w:div>
          </w:divsChild>
        </w:div>
        <w:div w:id="708532725">
          <w:marLeft w:val="0"/>
          <w:marRight w:val="0"/>
          <w:marTop w:val="0"/>
          <w:marBottom w:val="0"/>
          <w:divBdr>
            <w:top w:val="none" w:sz="0" w:space="0" w:color="auto"/>
            <w:left w:val="none" w:sz="0" w:space="0" w:color="auto"/>
            <w:bottom w:val="none" w:sz="0" w:space="0" w:color="auto"/>
            <w:right w:val="none" w:sz="0" w:space="0" w:color="auto"/>
          </w:divBdr>
          <w:divsChild>
            <w:div w:id="1088036437">
              <w:marLeft w:val="0"/>
              <w:marRight w:val="0"/>
              <w:marTop w:val="0"/>
              <w:marBottom w:val="0"/>
              <w:divBdr>
                <w:top w:val="none" w:sz="0" w:space="0" w:color="auto"/>
                <w:left w:val="none" w:sz="0" w:space="0" w:color="auto"/>
                <w:bottom w:val="none" w:sz="0" w:space="0" w:color="auto"/>
                <w:right w:val="none" w:sz="0" w:space="0" w:color="auto"/>
              </w:divBdr>
            </w:div>
          </w:divsChild>
        </w:div>
        <w:div w:id="1004819331">
          <w:marLeft w:val="0"/>
          <w:marRight w:val="0"/>
          <w:marTop w:val="0"/>
          <w:marBottom w:val="0"/>
          <w:divBdr>
            <w:top w:val="none" w:sz="0" w:space="0" w:color="auto"/>
            <w:left w:val="none" w:sz="0" w:space="0" w:color="auto"/>
            <w:bottom w:val="none" w:sz="0" w:space="0" w:color="auto"/>
            <w:right w:val="none" w:sz="0" w:space="0" w:color="auto"/>
          </w:divBdr>
          <w:divsChild>
            <w:div w:id="491987141">
              <w:marLeft w:val="0"/>
              <w:marRight w:val="0"/>
              <w:marTop w:val="0"/>
              <w:marBottom w:val="0"/>
              <w:divBdr>
                <w:top w:val="none" w:sz="0" w:space="0" w:color="auto"/>
                <w:left w:val="none" w:sz="0" w:space="0" w:color="auto"/>
                <w:bottom w:val="none" w:sz="0" w:space="0" w:color="auto"/>
                <w:right w:val="none" w:sz="0" w:space="0" w:color="auto"/>
              </w:divBdr>
            </w:div>
          </w:divsChild>
        </w:div>
        <w:div w:id="1350714426">
          <w:marLeft w:val="0"/>
          <w:marRight w:val="0"/>
          <w:marTop w:val="0"/>
          <w:marBottom w:val="0"/>
          <w:divBdr>
            <w:top w:val="none" w:sz="0" w:space="0" w:color="auto"/>
            <w:left w:val="none" w:sz="0" w:space="0" w:color="auto"/>
            <w:bottom w:val="none" w:sz="0" w:space="0" w:color="auto"/>
            <w:right w:val="none" w:sz="0" w:space="0" w:color="auto"/>
          </w:divBdr>
          <w:divsChild>
            <w:div w:id="1551990665">
              <w:marLeft w:val="0"/>
              <w:marRight w:val="0"/>
              <w:marTop w:val="0"/>
              <w:marBottom w:val="0"/>
              <w:divBdr>
                <w:top w:val="none" w:sz="0" w:space="0" w:color="auto"/>
                <w:left w:val="none" w:sz="0" w:space="0" w:color="auto"/>
                <w:bottom w:val="none" w:sz="0" w:space="0" w:color="auto"/>
                <w:right w:val="none" w:sz="0" w:space="0" w:color="auto"/>
              </w:divBdr>
            </w:div>
          </w:divsChild>
        </w:div>
        <w:div w:id="1690567171">
          <w:marLeft w:val="0"/>
          <w:marRight w:val="0"/>
          <w:marTop w:val="0"/>
          <w:marBottom w:val="0"/>
          <w:divBdr>
            <w:top w:val="none" w:sz="0" w:space="0" w:color="auto"/>
            <w:left w:val="none" w:sz="0" w:space="0" w:color="auto"/>
            <w:bottom w:val="none" w:sz="0" w:space="0" w:color="auto"/>
            <w:right w:val="none" w:sz="0" w:space="0" w:color="auto"/>
          </w:divBdr>
          <w:divsChild>
            <w:div w:id="2108185285">
              <w:marLeft w:val="0"/>
              <w:marRight w:val="0"/>
              <w:marTop w:val="0"/>
              <w:marBottom w:val="0"/>
              <w:divBdr>
                <w:top w:val="none" w:sz="0" w:space="0" w:color="auto"/>
                <w:left w:val="none" w:sz="0" w:space="0" w:color="auto"/>
                <w:bottom w:val="none" w:sz="0" w:space="0" w:color="auto"/>
                <w:right w:val="none" w:sz="0" w:space="0" w:color="auto"/>
              </w:divBdr>
            </w:div>
          </w:divsChild>
        </w:div>
        <w:div w:id="1695035725">
          <w:marLeft w:val="0"/>
          <w:marRight w:val="0"/>
          <w:marTop w:val="0"/>
          <w:marBottom w:val="0"/>
          <w:divBdr>
            <w:top w:val="none" w:sz="0" w:space="0" w:color="auto"/>
            <w:left w:val="none" w:sz="0" w:space="0" w:color="auto"/>
            <w:bottom w:val="none" w:sz="0" w:space="0" w:color="auto"/>
            <w:right w:val="none" w:sz="0" w:space="0" w:color="auto"/>
          </w:divBdr>
          <w:divsChild>
            <w:div w:id="90814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504801">
      <w:bodyDiv w:val="1"/>
      <w:marLeft w:val="0"/>
      <w:marRight w:val="0"/>
      <w:marTop w:val="0"/>
      <w:marBottom w:val="0"/>
      <w:divBdr>
        <w:top w:val="none" w:sz="0" w:space="0" w:color="auto"/>
        <w:left w:val="none" w:sz="0" w:space="0" w:color="auto"/>
        <w:bottom w:val="none" w:sz="0" w:space="0" w:color="auto"/>
        <w:right w:val="none" w:sz="0" w:space="0" w:color="auto"/>
      </w:divBdr>
      <w:divsChild>
        <w:div w:id="1198928546">
          <w:marLeft w:val="56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gov.uk/government/publications/environment-agency-ea2025-creating-a-better-place/environment-agency-ea2025-creating-a-better-place"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s://www.legislation.gov.uk/uksi/2023/96/contents/made"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cibse.org/knowledge-research/knowledge-portal/applications-manual-10-natural-ventilation-in-non-domestic-buildings-2005" TargetMode="External"/><Relationship Id="rId20" Type="http://schemas.openxmlformats.org/officeDocument/2006/relationships/hyperlink" Target="https://www.gov.uk/government/publications/defra-group-equality-diversity-and-inclusion-strategy-2020-to-2024/defra-group-equality-diversity-and-inclusion-strategy-2020-to-202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k-air.defra.gov.uk/air-pollution/daqi"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redbooklive.com/download/pdf/LPS1175.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guidance/electrical-and-electronic-equipment-eee-producer-responsibil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2745e8-e224-48e8-a2e3-254862b8c2f5" xsi:nil="true"/>
    <lcf76f155ced4ddcb4097134ff3c332f xmlns="401f0bce-ef7e-49ad-be9a-601ca8ca2cd0">
      <Terms xmlns="http://schemas.microsoft.com/office/infopath/2007/PartnerControls"/>
    </lcf76f155ced4ddcb4097134ff3c332f>
    <DateReceived xmlns="401f0bce-ef7e-49ad-be9a-601ca8ca2cd0">2023-12-05T11:23:25+00:00</DateReceived>
    <PolicyTeam xmlns="401f0bce-ef7e-49ad-be9a-601ca8ca2cd0" xsi:nil="true"/>
    <BriefDescription xmlns="401f0bce-ef7e-49ad-be9a-601ca8ca2cd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E8861D4DE96FA44870A20BEE8B99BDC" ma:contentTypeVersion="22" ma:contentTypeDescription="Create a new document." ma:contentTypeScope="" ma:versionID="f3603b38b6083b3163a198035b65717c">
  <xsd:schema xmlns:xsd="http://www.w3.org/2001/XMLSchema" xmlns:xs="http://www.w3.org/2001/XMLSchema" xmlns:p="http://schemas.microsoft.com/office/2006/metadata/properties" xmlns:ns2="401f0bce-ef7e-49ad-be9a-601ca8ca2cd0" xmlns:ns3="c0d7303c-2457-4ecd-acfa-fa4d14236646" xmlns:ns4="662745e8-e224-48e8-a2e3-254862b8c2f5" targetNamespace="http://schemas.microsoft.com/office/2006/metadata/properties" ma:root="true" ma:fieldsID="02ac80d0b9f845f029c6650585cd82ab" ns2:_="" ns3:_="" ns4:_="">
    <xsd:import namespace="401f0bce-ef7e-49ad-be9a-601ca8ca2cd0"/>
    <xsd:import namespace="c0d7303c-2457-4ecd-acfa-fa4d14236646"/>
    <xsd:import namespace="662745e8-e224-48e8-a2e3-254862b8c2f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BriefDescription" minOccurs="0"/>
                <xsd:element ref="ns2:DateReceived" minOccurs="0"/>
                <xsd:element ref="ns2:PolicyTeam"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f0bce-ef7e-49ad-be9a-601ca8ca2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BriefDescription" ma:index="20" nillable="true" ma:displayName="Brief Description" ma:description="Contents" ma:format="Dropdown" ma:internalName="BriefDescription">
      <xsd:simpleType>
        <xsd:restriction base="dms:Text">
          <xsd:maxLength value="255"/>
        </xsd:restriction>
      </xsd:simpleType>
    </xsd:element>
    <xsd:element name="DateReceived" ma:index="21" nillable="true" ma:displayName="Date Received" ma:default="[today]" ma:format="DateOnly" ma:internalName="DateReceived">
      <xsd:simpleType>
        <xsd:restriction base="dms:DateTime"/>
      </xsd:simpleType>
    </xsd:element>
    <xsd:element name="PolicyTeam" ma:index="22" nillable="true" ma:displayName="Policy Team" ma:description="Enter here the Policy area " ma:format="Dropdown" ma:internalName="PolicyTeam">
      <xsd:simpleType>
        <xsd:restriction base="dms:Text">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7303c-2457-4ecd-acfa-fa4d142366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834d6d53-9f6c-4330-8618-24cb1478a9fa}" ma:internalName="TaxCatchAll" ma:showField="CatchAllData" ma:web="6e9034c5-c4d3-430a-9d00-615157b1ee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98BC46-2139-42E4-8C4B-585ED1F570EB}">
  <ds:schemaRefs>
    <ds:schemaRef ds:uri="http://schemas.microsoft.com/office/2006/metadata/properties"/>
    <ds:schemaRef ds:uri="http://schemas.microsoft.com/office/infopath/2007/PartnerControls"/>
    <ds:schemaRef ds:uri="662745e8-e224-48e8-a2e3-254862b8c2f5"/>
    <ds:schemaRef ds:uri="401f0bce-ef7e-49ad-be9a-601ca8ca2cd0"/>
  </ds:schemaRefs>
</ds:datastoreItem>
</file>

<file path=customXml/itemProps2.xml><?xml version="1.0" encoding="utf-8"?>
<ds:datastoreItem xmlns:ds="http://schemas.openxmlformats.org/officeDocument/2006/customXml" ds:itemID="{F48F1697-3527-454A-A63E-563464E3FC65}">
  <ds:schemaRefs>
    <ds:schemaRef ds:uri="http://schemas.microsoft.com/sharepoint/v3/contenttype/forms"/>
  </ds:schemaRefs>
</ds:datastoreItem>
</file>

<file path=customXml/itemProps3.xml><?xml version="1.0" encoding="utf-8"?>
<ds:datastoreItem xmlns:ds="http://schemas.openxmlformats.org/officeDocument/2006/customXml" ds:itemID="{B70FB46C-9DBB-45E4-94A2-C47C506F85C5}">
  <ds:schemaRefs>
    <ds:schemaRef ds:uri="http://schemas.openxmlformats.org/officeDocument/2006/bibliography"/>
  </ds:schemaRefs>
</ds:datastoreItem>
</file>

<file path=customXml/itemProps4.xml><?xml version="1.0" encoding="utf-8"?>
<ds:datastoreItem xmlns:ds="http://schemas.openxmlformats.org/officeDocument/2006/customXml" ds:itemID="{1C41CC82-613C-4714-8EA0-4F0DC9C31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f0bce-ef7e-49ad-be9a-601ca8ca2cd0"/>
    <ds:schemaRef ds:uri="c0d7303c-2457-4ecd-acfa-fa4d14236646"/>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10150</Words>
  <Characters>57858</Characters>
  <Application>Microsoft Office Word</Application>
  <DocSecurity>0</DocSecurity>
  <Lines>482</Lines>
  <Paragraphs>135</Paragraphs>
  <ScaleCrop>false</ScaleCrop>
  <Company/>
  <LinksUpToDate>false</LinksUpToDate>
  <CharactersWithSpaces>67873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Bloxsom, Pete</dc:creator>
  <cp:keywords/>
  <dc:description/>
  <cp:lastModifiedBy>McCarty, Robin</cp:lastModifiedBy>
  <cp:revision>5</cp:revision>
  <cp:lastPrinted>2023-12-13T06:47:00Z</cp:lastPrinted>
  <dcterms:created xsi:type="dcterms:W3CDTF">2023-12-01T11:27:00Z</dcterms:created>
  <dcterms:modified xsi:type="dcterms:W3CDTF">2023-12-13T06:48:00Z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Type">
    <vt:lpwstr/>
  </property>
  <property fmtid="{D5CDD505-2E9C-101B-9397-08002B2CF9AE}" pid="3" name="Distribution">
    <vt:lpwstr>9;#Internal Defra Group|0867f7b3-e76e-40ca-bb1f-5ba341a49230</vt:lpwstr>
  </property>
  <property fmtid="{D5CDD505-2E9C-101B-9397-08002B2CF9AE}" pid="4" name="MediaServiceImageTags">
    <vt:lpwstr/>
  </property>
  <property fmtid="{D5CDD505-2E9C-101B-9397-08002B2CF9AE}" pid="5" name="ContentTypeId">
    <vt:lpwstr>0x0101008E8861D4DE96FA44870A20BEE8B99BDC</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10;#Team|ff0485df-0575-416f-802f-e999165821b7</vt:lpwstr>
  </property>
  <property fmtid="{D5CDD505-2E9C-101B-9397-08002B2CF9AE}" pid="9" name="OrganisationalUnit">
    <vt:lpwstr>8;#EA|d5f78ddb-b1b6-4328-9877-d7e3ed06fdac</vt:lpwstr>
  </property>
</Properties>
</file>