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22F4F07E" w:rsidR="003A05B7" w:rsidRPr="007D76BE" w:rsidRDefault="003A05B7" w:rsidP="00CD0D43">
      <w:pPr>
        <w:pStyle w:val="Heading1"/>
      </w:pPr>
      <w:r w:rsidRPr="007D76BE">
        <w:t xml:space="preserve">Specification for </w:t>
      </w:r>
      <w:r w:rsidR="006C39E8">
        <w:t>“</w:t>
      </w:r>
      <w:r w:rsidR="00FE7E28">
        <w:t>Developing trajectories for forward indicators of the UK’s heat pump supply chains</w:t>
      </w:r>
      <w:r w:rsidR="006C39E8">
        <w:t>”</w:t>
      </w:r>
    </w:p>
    <w:p w14:paraId="621E9AD3" w14:textId="77777777" w:rsidR="003A05B7" w:rsidRPr="003A05B7" w:rsidRDefault="003A05B7" w:rsidP="00157906">
      <w:pPr>
        <w:pStyle w:val="Norma"/>
      </w:pPr>
    </w:p>
    <w:p w14:paraId="4B2676A1" w14:textId="77777777" w:rsidR="003A05B7" w:rsidRPr="003A05B7" w:rsidRDefault="003A05B7" w:rsidP="00157906">
      <w:pPr>
        <w:pStyle w:val="Norma"/>
      </w:pPr>
    </w:p>
    <w:p w14:paraId="1DA1E07F" w14:textId="77777777" w:rsidR="003A05B7" w:rsidRPr="003A05B7" w:rsidRDefault="003A05B7" w:rsidP="00157906">
      <w:pPr>
        <w:pStyle w:val="Norma"/>
      </w:pPr>
    </w:p>
    <w:p w14:paraId="662E3217" w14:textId="56F68B01" w:rsidR="003A05B7" w:rsidRPr="003A05B7" w:rsidRDefault="003A05B7" w:rsidP="00157906">
      <w:pPr>
        <w:pStyle w:val="Norma"/>
        <w:rPr>
          <w:color w:val="FF0000"/>
        </w:rPr>
      </w:pPr>
      <w:r w:rsidRPr="003A05B7">
        <w:t xml:space="preserve">Tender Reference </w:t>
      </w:r>
      <w:r w:rsidRPr="00DA61C5">
        <w:t xml:space="preserve">Number: </w:t>
      </w:r>
      <w:r w:rsidR="00BF195E" w:rsidRPr="00BF195E">
        <w:t>MS/0222</w:t>
      </w:r>
    </w:p>
    <w:p w14:paraId="154480EA" w14:textId="77777777" w:rsidR="004E6806" w:rsidRDefault="004E6806" w:rsidP="004E6806">
      <w:pPr>
        <w:pStyle w:val="BodyText"/>
      </w:pPr>
    </w:p>
    <w:p w14:paraId="00123B59" w14:textId="77777777" w:rsidR="004E6806" w:rsidRDefault="004E6806" w:rsidP="004E6806">
      <w:pPr>
        <w:pStyle w:val="BodyText"/>
      </w:pPr>
    </w:p>
    <w:p w14:paraId="567B6A7F" w14:textId="77777777" w:rsidR="003C0907" w:rsidRDefault="003C0907" w:rsidP="004E6806">
      <w:pPr>
        <w:pStyle w:val="BodyText"/>
      </w:pPr>
    </w:p>
    <w:p w14:paraId="57B16793" w14:textId="77777777" w:rsidR="003A05B7" w:rsidRDefault="003A05B7" w:rsidP="004E6806">
      <w:pPr>
        <w:pStyle w:val="BodyText"/>
      </w:pPr>
    </w:p>
    <w:p w14:paraId="4BDF46EC" w14:textId="77777777" w:rsidR="003A05B7" w:rsidRDefault="003A05B7" w:rsidP="004E6806">
      <w:pPr>
        <w:pStyle w:val="BodyText"/>
      </w:pPr>
    </w:p>
    <w:p w14:paraId="4FB0A160" w14:textId="77777777" w:rsidR="003A05B7" w:rsidRDefault="003A05B7" w:rsidP="004E6806">
      <w:pPr>
        <w:pStyle w:val="BodyText"/>
      </w:pPr>
    </w:p>
    <w:p w14:paraId="462BD151" w14:textId="77777777" w:rsidR="003A05B7" w:rsidRDefault="003A05B7" w:rsidP="004E6806">
      <w:pPr>
        <w:pStyle w:val="BodyText"/>
      </w:pPr>
    </w:p>
    <w:p w14:paraId="1A09EA6B" w14:textId="77777777" w:rsidR="003A05B7" w:rsidRDefault="003A05B7" w:rsidP="004E6806">
      <w:pPr>
        <w:pStyle w:val="BodyText"/>
      </w:pPr>
    </w:p>
    <w:p w14:paraId="0972C41F" w14:textId="77777777" w:rsidR="003A05B7" w:rsidRDefault="003A05B7" w:rsidP="004E6806">
      <w:pPr>
        <w:pStyle w:val="BodyText"/>
      </w:pPr>
    </w:p>
    <w:p w14:paraId="12DA840D" w14:textId="77777777" w:rsidR="003A05B7" w:rsidRDefault="003A05B7" w:rsidP="004E6806">
      <w:pPr>
        <w:pStyle w:val="BodyText"/>
      </w:pPr>
    </w:p>
    <w:p w14:paraId="64088F55" w14:textId="77777777" w:rsidR="003A05B7" w:rsidRDefault="003A05B7" w:rsidP="004E6806">
      <w:pPr>
        <w:pStyle w:val="BodyText"/>
      </w:pPr>
    </w:p>
    <w:p w14:paraId="376F9AF4" w14:textId="77777777" w:rsidR="003A05B7" w:rsidRDefault="003A05B7" w:rsidP="004E6806">
      <w:pPr>
        <w:pStyle w:val="BodyText"/>
      </w:pPr>
    </w:p>
    <w:p w14:paraId="4F984BC5" w14:textId="77777777" w:rsidR="003A05B7" w:rsidRDefault="003A05B7" w:rsidP="004E6806">
      <w:pPr>
        <w:pStyle w:val="BodyText"/>
      </w:pPr>
    </w:p>
    <w:p w14:paraId="209FA933" w14:textId="77777777" w:rsidR="003A05B7" w:rsidRDefault="003A05B7" w:rsidP="004E6806">
      <w:pPr>
        <w:pStyle w:val="BodyText"/>
      </w:pPr>
    </w:p>
    <w:p w14:paraId="282ABAD5" w14:textId="77777777" w:rsidR="003A05B7" w:rsidRDefault="003A05B7" w:rsidP="004E6806">
      <w:pPr>
        <w:pStyle w:val="BodyText"/>
      </w:pPr>
    </w:p>
    <w:p w14:paraId="0A4E44CA" w14:textId="77777777" w:rsidR="003A05B7" w:rsidRDefault="003A05B7" w:rsidP="004E6806">
      <w:pPr>
        <w:pStyle w:val="BodyText"/>
      </w:pPr>
    </w:p>
    <w:p w14:paraId="77B1B0D4" w14:textId="77777777" w:rsidR="003A05B7" w:rsidRDefault="003A05B7" w:rsidP="004E6806">
      <w:pPr>
        <w:pStyle w:val="BodyText"/>
      </w:pPr>
    </w:p>
    <w:p w14:paraId="76D99EBD" w14:textId="77777777" w:rsidR="003A05B7" w:rsidRDefault="003A05B7" w:rsidP="004E6806">
      <w:pPr>
        <w:pStyle w:val="BodyText"/>
      </w:pPr>
    </w:p>
    <w:p w14:paraId="15AB9DE4" w14:textId="77777777" w:rsidR="003A05B7" w:rsidRDefault="003A05B7" w:rsidP="004E6806">
      <w:pPr>
        <w:pStyle w:val="BodyText"/>
      </w:pPr>
    </w:p>
    <w:p w14:paraId="73D4F696" w14:textId="77777777" w:rsidR="003A05B7" w:rsidRDefault="003A05B7" w:rsidP="004E6806">
      <w:pPr>
        <w:pStyle w:val="BodyText"/>
      </w:pPr>
    </w:p>
    <w:p w14:paraId="4C04D2A0" w14:textId="77777777" w:rsidR="003A05B7" w:rsidRDefault="003A05B7" w:rsidP="004E6806">
      <w:pPr>
        <w:pStyle w:val="BodyText"/>
      </w:pPr>
    </w:p>
    <w:p w14:paraId="701120F5" w14:textId="77777777" w:rsidR="003A05B7" w:rsidRDefault="003A05B7" w:rsidP="004E6806">
      <w:pPr>
        <w:pStyle w:val="BodyText"/>
      </w:pPr>
    </w:p>
    <w:p w14:paraId="5C2A593A" w14:textId="77777777" w:rsidR="003A05B7" w:rsidRDefault="003A05B7" w:rsidP="004E6806">
      <w:pPr>
        <w:pStyle w:val="BodyText"/>
      </w:pPr>
    </w:p>
    <w:p w14:paraId="5FADFA95" w14:textId="77777777" w:rsidR="003A05B7" w:rsidRDefault="003A05B7" w:rsidP="004E6806">
      <w:pPr>
        <w:pStyle w:val="BodyText"/>
      </w:pPr>
    </w:p>
    <w:p w14:paraId="30731147" w14:textId="77777777" w:rsidR="003A05B7" w:rsidRDefault="003A05B7" w:rsidP="004E6806">
      <w:pPr>
        <w:pStyle w:val="BodyText"/>
      </w:pPr>
    </w:p>
    <w:p w14:paraId="496AA0E4" w14:textId="77777777" w:rsidR="003A05B7" w:rsidRDefault="003A05B7" w:rsidP="004E6806">
      <w:pPr>
        <w:pStyle w:val="BodyText"/>
      </w:pPr>
    </w:p>
    <w:p w14:paraId="1AAB2B57" w14:textId="77777777" w:rsidR="003A05B7" w:rsidRDefault="003A05B7" w:rsidP="004E6806">
      <w:pPr>
        <w:pStyle w:val="BodyText"/>
      </w:pPr>
    </w:p>
    <w:p w14:paraId="33AA5A49" w14:textId="77777777" w:rsidR="003A05B7" w:rsidRDefault="003A05B7" w:rsidP="004E6806">
      <w:pPr>
        <w:pStyle w:val="BodyText"/>
      </w:pPr>
    </w:p>
    <w:p w14:paraId="29566668" w14:textId="77777777" w:rsidR="003A05B7" w:rsidRDefault="003A05B7" w:rsidP="004E6806">
      <w:pPr>
        <w:pStyle w:val="BodyText"/>
      </w:pPr>
    </w:p>
    <w:p w14:paraId="72A36CFC" w14:textId="77777777" w:rsidR="003A05B7" w:rsidRDefault="003A05B7" w:rsidP="004E6806">
      <w:pPr>
        <w:pStyle w:val="BodyText"/>
      </w:pPr>
    </w:p>
    <w:p w14:paraId="0298EB26" w14:textId="77777777" w:rsidR="003A05B7" w:rsidRDefault="003A05B7" w:rsidP="004E6806">
      <w:pPr>
        <w:pStyle w:val="BodyText"/>
      </w:pPr>
    </w:p>
    <w:p w14:paraId="3F81BDFD" w14:textId="77777777" w:rsidR="003A05B7" w:rsidRDefault="003A05B7" w:rsidP="004E6806">
      <w:pPr>
        <w:pStyle w:val="BodyText"/>
      </w:pPr>
    </w:p>
    <w:p w14:paraId="6F625AB1" w14:textId="77777777" w:rsidR="003A05B7" w:rsidRDefault="003A05B7" w:rsidP="004E6806">
      <w:pPr>
        <w:pStyle w:val="BodyText"/>
      </w:pPr>
    </w:p>
    <w:p w14:paraId="2B3E2998" w14:textId="77777777" w:rsidR="003A05B7" w:rsidRDefault="003A05B7" w:rsidP="004E6806">
      <w:pPr>
        <w:pStyle w:val="BodyText"/>
      </w:pPr>
    </w:p>
    <w:p w14:paraId="0ACE7846" w14:textId="77777777" w:rsidR="003A05B7" w:rsidRDefault="003A05B7" w:rsidP="004E6806">
      <w:pPr>
        <w:pStyle w:val="BodyText"/>
      </w:pPr>
    </w:p>
    <w:p w14:paraId="2DE8D6EB" w14:textId="77777777" w:rsidR="003A05B7" w:rsidRDefault="003A05B7" w:rsidP="004E6806">
      <w:pPr>
        <w:pStyle w:val="BodyText"/>
      </w:pPr>
    </w:p>
    <w:p w14:paraId="5889C5C5" w14:textId="77777777" w:rsidR="003A05B7" w:rsidRDefault="003A05B7" w:rsidP="004E6806">
      <w:pPr>
        <w:pStyle w:val="BodyText"/>
      </w:pPr>
    </w:p>
    <w:p w14:paraId="3874EC96" w14:textId="77777777" w:rsidR="003A05B7" w:rsidRDefault="003A05B7" w:rsidP="004E6806">
      <w:pPr>
        <w:pStyle w:val="BodyText"/>
      </w:pPr>
    </w:p>
    <w:p w14:paraId="78A4FE0C" w14:textId="77777777" w:rsidR="003A05B7" w:rsidRDefault="003A05B7" w:rsidP="004E6806">
      <w:pPr>
        <w:pStyle w:val="BodyText"/>
      </w:pPr>
    </w:p>
    <w:p w14:paraId="6CB2FE1B" w14:textId="77777777" w:rsidR="003A05B7" w:rsidRDefault="003A05B7" w:rsidP="004E6806">
      <w:pPr>
        <w:pStyle w:val="BodyText"/>
      </w:pPr>
    </w:p>
    <w:p w14:paraId="29CB3371" w14:textId="77777777" w:rsidR="003A05B7" w:rsidRDefault="003A05B7" w:rsidP="004E6806">
      <w:pPr>
        <w:pStyle w:val="BodyText"/>
      </w:pPr>
    </w:p>
    <w:p w14:paraId="73814399" w14:textId="77777777" w:rsidR="003A05B7" w:rsidRDefault="003A05B7" w:rsidP="004E6806">
      <w:pPr>
        <w:pStyle w:val="BodyText"/>
      </w:pPr>
    </w:p>
    <w:p w14:paraId="410B44B6" w14:textId="77777777" w:rsidR="003A05B7" w:rsidRDefault="003A05B7" w:rsidP="004E6806">
      <w:pPr>
        <w:pStyle w:val="BodyText"/>
      </w:pPr>
    </w:p>
    <w:p w14:paraId="6857C4F8" w14:textId="77777777" w:rsidR="003A05B7" w:rsidRDefault="003A05B7" w:rsidP="004E6806">
      <w:pPr>
        <w:pStyle w:val="BodyText"/>
      </w:pPr>
    </w:p>
    <w:p w14:paraId="0A2C498B" w14:textId="77777777" w:rsidR="003A05B7" w:rsidRPr="003A05B7" w:rsidRDefault="003A05B7" w:rsidP="00CD0D43">
      <w:pPr>
        <w:pStyle w:val="Heading1"/>
      </w:pPr>
      <w:r w:rsidRPr="003A05B7">
        <w:t>Specification of Requirements</w:t>
      </w:r>
    </w:p>
    <w:p w14:paraId="18CC1ED6" w14:textId="77777777" w:rsidR="003A05B7" w:rsidRPr="003A05B7" w:rsidRDefault="003A05B7" w:rsidP="00157906">
      <w:pPr>
        <w:pStyle w:val="Norma"/>
      </w:pPr>
    </w:p>
    <w:p w14:paraId="65C01DAE" w14:textId="4AEB26AA" w:rsidR="007D76BE" w:rsidRDefault="003A05B7" w:rsidP="00157906">
      <w:pPr>
        <w:pStyle w:val="Norma"/>
      </w:pPr>
      <w:r w:rsidRPr="003A05B7">
        <w:t xml:space="preserve">Invitation to Tender </w:t>
      </w:r>
      <w:r w:rsidRPr="007D76BE">
        <w:t xml:space="preserve">for </w:t>
      </w:r>
      <w:r w:rsidR="00702D8F" w:rsidRPr="00702D8F">
        <w:t>“</w:t>
      </w:r>
      <w:r w:rsidR="00FE7E28" w:rsidRPr="00FE7E28">
        <w:t>Developing trajectories for forward indicators of the UK’s heat pump supply chains</w:t>
      </w:r>
      <w:r w:rsidR="003A391E">
        <w:t>”</w:t>
      </w:r>
    </w:p>
    <w:p w14:paraId="587F8ACE" w14:textId="77777777" w:rsidR="00CD0D43" w:rsidRDefault="00CD0D43" w:rsidP="00157906">
      <w:pPr>
        <w:pStyle w:val="Norma"/>
        <w:rPr>
          <w:color w:val="FF0000"/>
        </w:rPr>
      </w:pPr>
    </w:p>
    <w:p w14:paraId="2BF4D589" w14:textId="773EAEA8" w:rsidR="003A05B7" w:rsidRPr="003A05B7" w:rsidRDefault="003A05B7" w:rsidP="00157906">
      <w:pPr>
        <w:pStyle w:val="Norma"/>
      </w:pPr>
      <w:r w:rsidRPr="003A05B7">
        <w:t xml:space="preserve">Tender Reference Number: </w:t>
      </w:r>
      <w:r w:rsidR="00BF195E">
        <w:t>MS/0222</w:t>
      </w:r>
    </w:p>
    <w:p w14:paraId="6AB0AC47" w14:textId="189F0A10" w:rsidR="003A05B7" w:rsidRPr="003A05B7" w:rsidRDefault="003A05B7" w:rsidP="00157906">
      <w:pPr>
        <w:pStyle w:val="Norma"/>
      </w:pPr>
      <w:r w:rsidRPr="003A05B7">
        <w:t>Deadline for Tender Responses:</w:t>
      </w:r>
      <w:r w:rsidR="00554E79">
        <w:t xml:space="preserve"> </w:t>
      </w:r>
      <w:r w:rsidR="00DA61C5">
        <w:t xml:space="preserve">23:59 on </w:t>
      </w:r>
      <w:r w:rsidR="00461097" w:rsidRPr="00461097">
        <w:t>24 February 2022.</w:t>
      </w:r>
    </w:p>
    <w:p w14:paraId="16CE12E3" w14:textId="77777777" w:rsidR="003A05B7" w:rsidRDefault="003A05B7" w:rsidP="003A05B7">
      <w:pPr>
        <w:pStyle w:val="BodyText"/>
        <w:jc w:val="both"/>
      </w:pPr>
    </w:p>
    <w:p w14:paraId="63698C39" w14:textId="77777777" w:rsidR="003A05B7" w:rsidRDefault="003A05B7" w:rsidP="004E6806">
      <w:pPr>
        <w:pStyle w:val="BodyText"/>
      </w:pPr>
    </w:p>
    <w:p w14:paraId="6335403F" w14:textId="77777777" w:rsidR="003A05B7" w:rsidRPr="003A05B7" w:rsidRDefault="003A05B7" w:rsidP="00CD0D43">
      <w:pPr>
        <w:pStyle w:val="Heading1"/>
      </w:pPr>
      <w:r w:rsidRPr="003A05B7">
        <w:t>Contents</w:t>
      </w:r>
    </w:p>
    <w:sdt>
      <w:sdtPr>
        <w:rPr>
          <w:rFonts w:asciiTheme="majorHAnsi" w:hAnsiTheme="majorHAnsi"/>
          <w:color w:val="auto"/>
          <w:sz w:val="22"/>
          <w:szCs w:val="20"/>
        </w:rPr>
        <w:id w:val="1434937102"/>
        <w:docPartObj>
          <w:docPartGallery w:val="Table of Contents"/>
          <w:docPartUnique/>
        </w:docPartObj>
      </w:sdtPr>
      <w:sdtEndPr>
        <w:rPr>
          <w:b/>
          <w:bCs/>
          <w:noProof/>
        </w:rPr>
      </w:sdtEndPr>
      <w:sdtContent>
        <w:p w14:paraId="0A67786A" w14:textId="1369764F" w:rsidR="007D76BE" w:rsidRPr="00CD0D43" w:rsidRDefault="007D76BE" w:rsidP="00CD0D43">
          <w:pPr>
            <w:pStyle w:val="BodyText"/>
            <w:rPr>
              <w:rFonts w:asciiTheme="majorHAnsi" w:hAnsiTheme="majorHAnsi"/>
              <w:szCs w:val="20"/>
            </w:rPr>
          </w:pPr>
        </w:p>
        <w:p w14:paraId="5A0C5887" w14:textId="4F1B7964" w:rsidR="007D76BE" w:rsidRPr="00CD0D43" w:rsidRDefault="007D76BE" w:rsidP="00CD0D43">
          <w:pPr>
            <w:pStyle w:val="TOC1"/>
            <w:rPr>
              <w:rFonts w:asciiTheme="majorHAnsi" w:eastAsiaTheme="minorEastAsia" w:hAnsiTheme="majorHAnsi" w:cstheme="minorBidi"/>
              <w:noProof/>
              <w:sz w:val="20"/>
              <w:szCs w:val="20"/>
              <w:lang w:eastAsia="en-GB"/>
            </w:rPr>
          </w:pPr>
          <w:r w:rsidRPr="00CD0D43">
            <w:rPr>
              <w:rFonts w:asciiTheme="majorHAnsi" w:hAnsiTheme="majorHAnsi"/>
              <w:sz w:val="20"/>
              <w:szCs w:val="20"/>
            </w:rPr>
            <w:fldChar w:fldCharType="begin"/>
          </w:r>
          <w:r w:rsidRPr="00CD0D43">
            <w:rPr>
              <w:rFonts w:asciiTheme="majorHAnsi" w:hAnsiTheme="majorHAnsi"/>
              <w:sz w:val="20"/>
              <w:szCs w:val="20"/>
            </w:rPr>
            <w:instrText xml:space="preserve"> TOC \o "1-3" \h \z \u </w:instrText>
          </w:r>
          <w:r w:rsidRPr="00CD0D43">
            <w:rPr>
              <w:rFonts w:asciiTheme="majorHAnsi" w:hAnsiTheme="majorHAnsi"/>
              <w:sz w:val="20"/>
              <w:szCs w:val="20"/>
            </w:rPr>
            <w:fldChar w:fldCharType="separate"/>
          </w:r>
          <w:hyperlink w:anchor="_Toc83376638" w:history="1">
            <w:r w:rsidRPr="00CD0D43">
              <w:rPr>
                <w:rStyle w:val="Hyperlink"/>
                <w:rFonts w:asciiTheme="majorHAnsi" w:hAnsiTheme="majorHAnsi" w:cs="Arial"/>
                <w:noProof/>
                <w:sz w:val="20"/>
                <w:szCs w:val="20"/>
              </w:rPr>
              <w:t>1</w:t>
            </w:r>
            <w:r w:rsidRPr="00CD0D43">
              <w:rPr>
                <w:rFonts w:asciiTheme="majorHAnsi" w:eastAsiaTheme="minorEastAsia" w:hAnsiTheme="majorHAnsi" w:cstheme="minorBidi"/>
                <w:noProof/>
                <w:sz w:val="20"/>
                <w:szCs w:val="20"/>
                <w:lang w:eastAsia="en-GB"/>
              </w:rPr>
              <w:tab/>
            </w:r>
            <w:r w:rsidRPr="00CD0D43">
              <w:rPr>
                <w:rStyle w:val="Hyperlink"/>
                <w:rFonts w:asciiTheme="majorHAnsi" w:hAnsiTheme="majorHAnsi" w:cs="Arial"/>
                <w:noProof/>
                <w:sz w:val="20"/>
                <w:szCs w:val="20"/>
              </w:rPr>
              <w:t>Preamble</w:t>
            </w:r>
            <w:r w:rsidRPr="00CD0D43">
              <w:rPr>
                <w:rFonts w:asciiTheme="majorHAnsi" w:hAnsiTheme="majorHAnsi"/>
                <w:noProof/>
                <w:webHidden/>
                <w:sz w:val="20"/>
                <w:szCs w:val="20"/>
              </w:rPr>
              <w:tab/>
            </w:r>
            <w:r w:rsidRPr="00CD0D43">
              <w:rPr>
                <w:rFonts w:asciiTheme="majorHAnsi" w:hAnsiTheme="majorHAnsi"/>
                <w:noProof/>
                <w:webHidden/>
                <w:sz w:val="20"/>
                <w:szCs w:val="20"/>
              </w:rPr>
              <w:fldChar w:fldCharType="begin"/>
            </w:r>
            <w:r w:rsidRPr="00CD0D43">
              <w:rPr>
                <w:rFonts w:asciiTheme="majorHAnsi" w:hAnsiTheme="majorHAnsi"/>
                <w:noProof/>
                <w:webHidden/>
                <w:sz w:val="20"/>
                <w:szCs w:val="20"/>
              </w:rPr>
              <w:instrText xml:space="preserve"> PAGEREF _Toc83376638 \h </w:instrText>
            </w:r>
            <w:r w:rsidRPr="00CD0D43">
              <w:rPr>
                <w:rFonts w:asciiTheme="majorHAnsi" w:hAnsiTheme="majorHAnsi"/>
                <w:noProof/>
                <w:webHidden/>
                <w:sz w:val="20"/>
                <w:szCs w:val="20"/>
              </w:rPr>
            </w:r>
            <w:r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3</w:t>
            </w:r>
            <w:r w:rsidRPr="00CD0D43">
              <w:rPr>
                <w:rFonts w:asciiTheme="majorHAnsi" w:hAnsiTheme="majorHAnsi"/>
                <w:noProof/>
                <w:webHidden/>
                <w:sz w:val="20"/>
                <w:szCs w:val="20"/>
              </w:rPr>
              <w:fldChar w:fldCharType="end"/>
            </w:r>
          </w:hyperlink>
        </w:p>
        <w:p w14:paraId="26AD0A09" w14:textId="378502C9"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39" w:history="1">
            <w:r w:rsidR="007D76BE" w:rsidRPr="00CD0D43">
              <w:rPr>
                <w:rStyle w:val="Hyperlink"/>
                <w:rFonts w:asciiTheme="majorHAnsi" w:hAnsiTheme="majorHAnsi" w:cs="Arial"/>
                <w:noProof/>
                <w:sz w:val="20"/>
                <w:szCs w:val="20"/>
              </w:rPr>
              <w:t>2</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Background</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_Toc83376639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3</w:t>
            </w:r>
            <w:r w:rsidR="007D76BE" w:rsidRPr="00CD0D43">
              <w:rPr>
                <w:rFonts w:asciiTheme="majorHAnsi" w:hAnsiTheme="majorHAnsi"/>
                <w:noProof/>
                <w:webHidden/>
                <w:sz w:val="20"/>
                <w:szCs w:val="20"/>
              </w:rPr>
              <w:fldChar w:fldCharType="end"/>
            </w:r>
          </w:hyperlink>
        </w:p>
        <w:p w14:paraId="5766D0B0" w14:textId="3D3584C5"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0" w:history="1">
            <w:r w:rsidR="007D76BE" w:rsidRPr="00CD0D43">
              <w:rPr>
                <w:rStyle w:val="Hyperlink"/>
                <w:rFonts w:asciiTheme="majorHAnsi" w:hAnsiTheme="majorHAnsi" w:cs="Arial"/>
                <w:noProof/>
                <w:sz w:val="20"/>
                <w:szCs w:val="20"/>
              </w:rPr>
              <w:t>3</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Aims and Objectives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_Toc83376640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6</w:t>
            </w:r>
            <w:r w:rsidR="007D76BE" w:rsidRPr="00CD0D43">
              <w:rPr>
                <w:rFonts w:asciiTheme="majorHAnsi" w:hAnsiTheme="majorHAnsi"/>
                <w:noProof/>
                <w:webHidden/>
                <w:sz w:val="20"/>
                <w:szCs w:val="20"/>
              </w:rPr>
              <w:fldChar w:fldCharType="end"/>
            </w:r>
          </w:hyperlink>
        </w:p>
        <w:p w14:paraId="1E60CC7A" w14:textId="02329E58"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1" w:history="1">
            <w:r w:rsidR="007D76BE" w:rsidRPr="00CD0D43">
              <w:rPr>
                <w:rStyle w:val="Hyperlink"/>
                <w:rFonts w:asciiTheme="majorHAnsi" w:hAnsiTheme="majorHAnsi"/>
                <w:noProof/>
                <w:sz w:val="20"/>
                <w:szCs w:val="20"/>
              </w:rPr>
              <w:t>4</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Methodology</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_Toc83376641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6</w:t>
            </w:r>
            <w:r w:rsidR="007D76BE" w:rsidRPr="00CD0D43">
              <w:rPr>
                <w:rFonts w:asciiTheme="majorHAnsi" w:hAnsiTheme="majorHAnsi"/>
                <w:noProof/>
                <w:webHidden/>
                <w:sz w:val="20"/>
                <w:szCs w:val="20"/>
              </w:rPr>
              <w:fldChar w:fldCharType="end"/>
            </w:r>
          </w:hyperlink>
        </w:p>
        <w:p w14:paraId="02912450" w14:textId="7A3D2367"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2" w:history="1">
            <w:r w:rsidR="007D76BE" w:rsidRPr="00CD0D43">
              <w:rPr>
                <w:rStyle w:val="Hyperlink"/>
                <w:rFonts w:asciiTheme="majorHAnsi" w:hAnsiTheme="majorHAnsi"/>
                <w:noProof/>
                <w:sz w:val="20"/>
                <w:szCs w:val="20"/>
              </w:rPr>
              <w:t>5</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Outputs Required</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_Toc83376642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152AC930" w14:textId="2166A7FA"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3" w:history="1">
            <w:r w:rsidR="007D76BE" w:rsidRPr="00CD0D43">
              <w:rPr>
                <w:rStyle w:val="Hyperlink"/>
                <w:rFonts w:asciiTheme="majorHAnsi" w:hAnsiTheme="majorHAnsi"/>
                <w:noProof/>
                <w:sz w:val="20"/>
                <w:szCs w:val="20"/>
              </w:rPr>
              <w:t>6</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Ownership and Publication</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_Toc83376643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2574EBCA" w14:textId="3FFD8ED7"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4" w:history="1">
            <w:r w:rsidR="007D76BE" w:rsidRPr="00CD0D43">
              <w:rPr>
                <w:rStyle w:val="Hyperlink"/>
                <w:rFonts w:asciiTheme="majorHAnsi" w:hAnsiTheme="majorHAnsi"/>
                <w:noProof/>
                <w:sz w:val="20"/>
                <w:szCs w:val="20"/>
              </w:rPr>
              <w:t>7</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Quality Assurance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_Toc83376644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11</w:t>
            </w:r>
            <w:r w:rsidR="007D76BE" w:rsidRPr="00CD0D43">
              <w:rPr>
                <w:rFonts w:asciiTheme="majorHAnsi" w:hAnsiTheme="majorHAnsi"/>
                <w:noProof/>
                <w:webHidden/>
                <w:sz w:val="20"/>
                <w:szCs w:val="20"/>
              </w:rPr>
              <w:fldChar w:fldCharType="end"/>
            </w:r>
          </w:hyperlink>
        </w:p>
        <w:p w14:paraId="11867B74" w14:textId="78A3C151"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5" w:history="1">
            <w:r w:rsidR="007D76BE" w:rsidRPr="00CD0D43">
              <w:rPr>
                <w:rStyle w:val="Hyperlink"/>
                <w:rFonts w:asciiTheme="majorHAnsi" w:hAnsiTheme="majorHAnsi"/>
                <w:noProof/>
                <w:sz w:val="20"/>
                <w:szCs w:val="20"/>
              </w:rPr>
              <w:t>8</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Timetable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_Toc83376645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12</w:t>
            </w:r>
            <w:r w:rsidR="007D76BE" w:rsidRPr="00CD0D43">
              <w:rPr>
                <w:rFonts w:asciiTheme="majorHAnsi" w:hAnsiTheme="majorHAnsi"/>
                <w:noProof/>
                <w:webHidden/>
                <w:sz w:val="20"/>
                <w:szCs w:val="20"/>
              </w:rPr>
              <w:fldChar w:fldCharType="end"/>
            </w:r>
          </w:hyperlink>
        </w:p>
        <w:p w14:paraId="6F3AC729" w14:textId="27BD1DDB"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6" w:history="1">
            <w:r w:rsidR="007D76BE" w:rsidRPr="00CD0D43">
              <w:rPr>
                <w:rStyle w:val="Hyperlink"/>
                <w:rFonts w:asciiTheme="majorHAnsi" w:hAnsiTheme="majorHAnsi"/>
                <w:noProof/>
                <w:sz w:val="20"/>
                <w:szCs w:val="20"/>
              </w:rPr>
              <w:t>9</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Challenges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_Toc83376646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12</w:t>
            </w:r>
            <w:r w:rsidR="007D76BE" w:rsidRPr="00CD0D43">
              <w:rPr>
                <w:rFonts w:asciiTheme="majorHAnsi" w:hAnsiTheme="majorHAnsi"/>
                <w:noProof/>
                <w:webHidden/>
                <w:sz w:val="20"/>
                <w:szCs w:val="20"/>
              </w:rPr>
              <w:fldChar w:fldCharType="end"/>
            </w:r>
          </w:hyperlink>
        </w:p>
        <w:p w14:paraId="7B5DA335" w14:textId="7C873DCD"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8"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0</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Working Arrangements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_Toc83376648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12</w:t>
            </w:r>
            <w:r w:rsidR="007D76BE" w:rsidRPr="00CD0D43">
              <w:rPr>
                <w:rFonts w:asciiTheme="majorHAnsi" w:hAnsiTheme="majorHAnsi"/>
                <w:noProof/>
                <w:webHidden/>
                <w:sz w:val="20"/>
                <w:szCs w:val="20"/>
              </w:rPr>
              <w:fldChar w:fldCharType="end"/>
            </w:r>
          </w:hyperlink>
        </w:p>
        <w:p w14:paraId="524B2994" w14:textId="358153AF"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49"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1</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 xml:space="preserve">Skills and </w:t>
            </w:r>
            <w:r w:rsidR="00040453">
              <w:rPr>
                <w:rStyle w:val="Hyperlink"/>
                <w:rFonts w:asciiTheme="majorHAnsi" w:hAnsiTheme="majorHAnsi" w:cs="Arial"/>
                <w:noProof/>
                <w:sz w:val="20"/>
                <w:szCs w:val="20"/>
              </w:rPr>
              <w:t>E</w:t>
            </w:r>
            <w:r w:rsidR="007D76BE" w:rsidRPr="00CD0D43">
              <w:rPr>
                <w:rStyle w:val="Hyperlink"/>
                <w:rFonts w:asciiTheme="majorHAnsi" w:hAnsiTheme="majorHAnsi" w:cs="Arial"/>
                <w:noProof/>
                <w:sz w:val="20"/>
                <w:szCs w:val="20"/>
              </w:rPr>
              <w:t>xperience</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_Toc83376649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13</w:t>
            </w:r>
            <w:r w:rsidR="007D76BE" w:rsidRPr="00CD0D43">
              <w:rPr>
                <w:rFonts w:asciiTheme="majorHAnsi" w:hAnsiTheme="majorHAnsi"/>
                <w:noProof/>
                <w:webHidden/>
                <w:sz w:val="20"/>
                <w:szCs w:val="20"/>
              </w:rPr>
              <w:fldChar w:fldCharType="end"/>
            </w:r>
          </w:hyperlink>
        </w:p>
        <w:p w14:paraId="28870063" w14:textId="458570C5"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50"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2</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Consortium Bids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_Toc83376650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13</w:t>
            </w:r>
            <w:r w:rsidR="007D76BE" w:rsidRPr="00CD0D43">
              <w:rPr>
                <w:rFonts w:asciiTheme="majorHAnsi" w:hAnsiTheme="majorHAnsi"/>
                <w:noProof/>
                <w:webHidden/>
                <w:sz w:val="20"/>
                <w:szCs w:val="20"/>
              </w:rPr>
              <w:fldChar w:fldCharType="end"/>
            </w:r>
          </w:hyperlink>
        </w:p>
        <w:p w14:paraId="5E26A5D6" w14:textId="7A89EFD7"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51"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3</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Budget</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_Toc83376651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13</w:t>
            </w:r>
            <w:r w:rsidR="007D76BE" w:rsidRPr="00CD0D43">
              <w:rPr>
                <w:rFonts w:asciiTheme="majorHAnsi" w:hAnsiTheme="majorHAnsi"/>
                <w:noProof/>
                <w:webHidden/>
                <w:sz w:val="20"/>
                <w:szCs w:val="20"/>
              </w:rPr>
              <w:fldChar w:fldCharType="end"/>
            </w:r>
          </w:hyperlink>
        </w:p>
        <w:p w14:paraId="0BB4F4B6" w14:textId="6A6D792E" w:rsidR="007D76BE" w:rsidRPr="00CD0D43" w:rsidRDefault="00BF195E" w:rsidP="00CD0D43">
          <w:pPr>
            <w:pStyle w:val="TOC1"/>
            <w:rPr>
              <w:rFonts w:asciiTheme="majorHAnsi" w:eastAsiaTheme="minorEastAsia" w:hAnsiTheme="majorHAnsi" w:cstheme="minorBidi"/>
              <w:noProof/>
              <w:sz w:val="20"/>
              <w:szCs w:val="20"/>
              <w:lang w:eastAsia="en-GB"/>
            </w:rPr>
          </w:pPr>
          <w:hyperlink w:anchor="_Toc83376652" w:history="1">
            <w:r w:rsidR="007D76BE" w:rsidRPr="00CD0D43">
              <w:rPr>
                <w:rStyle w:val="Hyperlink"/>
                <w:rFonts w:asciiTheme="majorHAnsi" w:hAnsiTheme="majorHAnsi" w:cs="Arial"/>
                <w:noProof/>
                <w:sz w:val="20"/>
                <w:szCs w:val="20"/>
              </w:rPr>
              <w:t>1</w:t>
            </w:r>
            <w:r w:rsidR="00385FE3">
              <w:rPr>
                <w:rStyle w:val="Hyperlink"/>
                <w:rFonts w:asciiTheme="majorHAnsi" w:hAnsiTheme="majorHAnsi" w:cs="Arial"/>
                <w:noProof/>
                <w:sz w:val="20"/>
                <w:szCs w:val="20"/>
              </w:rPr>
              <w:t>4</w:t>
            </w:r>
            <w:r w:rsidR="007D76BE" w:rsidRPr="00CD0D43">
              <w:rPr>
                <w:rFonts w:asciiTheme="majorHAnsi" w:eastAsiaTheme="minorEastAsia" w:hAnsiTheme="majorHAnsi" w:cstheme="minorBidi"/>
                <w:noProof/>
                <w:sz w:val="20"/>
                <w:szCs w:val="20"/>
                <w:lang w:eastAsia="en-GB"/>
              </w:rPr>
              <w:tab/>
            </w:r>
            <w:r w:rsidR="007D76BE" w:rsidRPr="00CD0D43">
              <w:rPr>
                <w:rStyle w:val="Hyperlink"/>
                <w:rFonts w:asciiTheme="majorHAnsi" w:hAnsiTheme="majorHAnsi" w:cs="Arial"/>
                <w:noProof/>
                <w:sz w:val="20"/>
                <w:szCs w:val="20"/>
              </w:rPr>
              <w:t>Evaluation of Tenders</w:t>
            </w:r>
            <w:r w:rsidR="007D76BE" w:rsidRPr="00CD0D43">
              <w:rPr>
                <w:rFonts w:asciiTheme="majorHAnsi" w:hAnsiTheme="majorHAnsi"/>
                <w:noProof/>
                <w:webHidden/>
                <w:sz w:val="20"/>
                <w:szCs w:val="20"/>
              </w:rPr>
              <w:tab/>
            </w:r>
            <w:r w:rsidR="007D76BE" w:rsidRPr="00CD0D43">
              <w:rPr>
                <w:rFonts w:asciiTheme="majorHAnsi" w:hAnsiTheme="majorHAnsi"/>
                <w:noProof/>
                <w:webHidden/>
                <w:sz w:val="20"/>
                <w:szCs w:val="20"/>
              </w:rPr>
              <w:fldChar w:fldCharType="begin"/>
            </w:r>
            <w:r w:rsidR="007D76BE" w:rsidRPr="00CD0D43">
              <w:rPr>
                <w:rFonts w:asciiTheme="majorHAnsi" w:hAnsiTheme="majorHAnsi"/>
                <w:noProof/>
                <w:webHidden/>
                <w:sz w:val="20"/>
                <w:szCs w:val="20"/>
              </w:rPr>
              <w:instrText xml:space="preserve"> PAGEREF _Toc83376652 \h </w:instrText>
            </w:r>
            <w:r w:rsidR="007D76BE" w:rsidRPr="00CD0D43">
              <w:rPr>
                <w:rFonts w:asciiTheme="majorHAnsi" w:hAnsiTheme="majorHAnsi"/>
                <w:noProof/>
                <w:webHidden/>
                <w:sz w:val="20"/>
                <w:szCs w:val="20"/>
              </w:rPr>
            </w:r>
            <w:r w:rsidR="007D76BE" w:rsidRPr="00CD0D43">
              <w:rPr>
                <w:rFonts w:asciiTheme="majorHAnsi" w:hAnsiTheme="majorHAnsi"/>
                <w:noProof/>
                <w:webHidden/>
                <w:sz w:val="20"/>
                <w:szCs w:val="20"/>
              </w:rPr>
              <w:fldChar w:fldCharType="separate"/>
            </w:r>
            <w:r w:rsidR="00D8191F">
              <w:rPr>
                <w:rFonts w:asciiTheme="majorHAnsi" w:hAnsiTheme="majorHAnsi"/>
                <w:noProof/>
                <w:webHidden/>
                <w:sz w:val="20"/>
                <w:szCs w:val="20"/>
              </w:rPr>
              <w:t>14</w:t>
            </w:r>
            <w:r w:rsidR="007D76BE" w:rsidRPr="00CD0D43">
              <w:rPr>
                <w:rFonts w:asciiTheme="majorHAnsi" w:hAnsiTheme="majorHAnsi"/>
                <w:noProof/>
                <w:webHidden/>
                <w:sz w:val="20"/>
                <w:szCs w:val="20"/>
              </w:rPr>
              <w:fldChar w:fldCharType="end"/>
            </w:r>
          </w:hyperlink>
        </w:p>
        <w:p w14:paraId="5137A7E3" w14:textId="381CA829" w:rsidR="003A05B7" w:rsidRPr="007D76BE" w:rsidRDefault="007D76BE" w:rsidP="00CD0D43">
          <w:r w:rsidRPr="00CD0D43">
            <w:rPr>
              <w:rFonts w:asciiTheme="majorHAnsi" w:hAnsiTheme="majorHAnsi"/>
              <w:b/>
              <w:bCs/>
              <w:noProof/>
              <w:sz w:val="20"/>
              <w:szCs w:val="20"/>
            </w:rPr>
            <w:fldChar w:fldCharType="end"/>
          </w:r>
        </w:p>
      </w:sdtContent>
    </w:sdt>
    <w:p w14:paraId="5F3089AD" w14:textId="77777777" w:rsidR="003A05B7" w:rsidRDefault="003A05B7" w:rsidP="003A05B7">
      <w:pPr>
        <w:pStyle w:val="BodyText"/>
        <w:rPr>
          <w:rFonts w:cs="Arial"/>
          <w:color w:val="000000"/>
          <w:szCs w:val="20"/>
        </w:rPr>
      </w:pPr>
    </w:p>
    <w:p w14:paraId="641EA65C" w14:textId="77777777" w:rsidR="003A05B7" w:rsidRDefault="003A05B7" w:rsidP="003A05B7">
      <w:pPr>
        <w:pStyle w:val="BodyText"/>
        <w:rPr>
          <w:rFonts w:cs="Arial"/>
          <w:color w:val="000000"/>
          <w:szCs w:val="20"/>
        </w:rPr>
      </w:pPr>
    </w:p>
    <w:p w14:paraId="06E10293" w14:textId="77777777" w:rsidR="003A05B7" w:rsidRDefault="003A05B7" w:rsidP="003A05B7">
      <w:pPr>
        <w:pStyle w:val="BodyText"/>
        <w:rPr>
          <w:rFonts w:cs="Arial"/>
          <w:color w:val="000000"/>
          <w:szCs w:val="20"/>
        </w:rPr>
      </w:pPr>
    </w:p>
    <w:p w14:paraId="012C6B24" w14:textId="77777777" w:rsidR="003A05B7" w:rsidRDefault="003A05B7" w:rsidP="003A05B7">
      <w:pPr>
        <w:pStyle w:val="BodyText"/>
        <w:rPr>
          <w:rFonts w:cs="Arial"/>
          <w:color w:val="000000"/>
          <w:szCs w:val="20"/>
        </w:rPr>
      </w:pPr>
    </w:p>
    <w:p w14:paraId="2016FE3A" w14:textId="77777777" w:rsidR="003A05B7" w:rsidRDefault="003A05B7" w:rsidP="003A05B7">
      <w:pPr>
        <w:pStyle w:val="BodyText"/>
        <w:rPr>
          <w:rFonts w:cs="Arial"/>
          <w:color w:val="000000"/>
          <w:szCs w:val="20"/>
        </w:rPr>
      </w:pPr>
    </w:p>
    <w:p w14:paraId="2D23A8C0" w14:textId="77777777" w:rsidR="003A05B7" w:rsidRDefault="003A05B7" w:rsidP="003A05B7">
      <w:pPr>
        <w:pStyle w:val="BodyText"/>
        <w:rPr>
          <w:rFonts w:cs="Arial"/>
          <w:color w:val="000000"/>
          <w:szCs w:val="20"/>
        </w:rPr>
      </w:pPr>
    </w:p>
    <w:p w14:paraId="4C0D9D23" w14:textId="77777777" w:rsidR="003A05B7" w:rsidRDefault="003A05B7" w:rsidP="003A05B7">
      <w:pPr>
        <w:pStyle w:val="BodyText"/>
        <w:rPr>
          <w:rFonts w:cs="Arial"/>
          <w:color w:val="000000"/>
          <w:szCs w:val="20"/>
        </w:rPr>
      </w:pPr>
    </w:p>
    <w:p w14:paraId="41521F92" w14:textId="77777777" w:rsidR="003A05B7" w:rsidRDefault="003A05B7" w:rsidP="003A05B7">
      <w:pPr>
        <w:pStyle w:val="BodyText"/>
        <w:rPr>
          <w:rFonts w:cs="Arial"/>
          <w:color w:val="000000"/>
          <w:szCs w:val="20"/>
        </w:rPr>
      </w:pPr>
    </w:p>
    <w:p w14:paraId="0691E9BA" w14:textId="77777777" w:rsidR="003A05B7" w:rsidRDefault="003A05B7" w:rsidP="003A05B7">
      <w:pPr>
        <w:pStyle w:val="BodyText"/>
        <w:rPr>
          <w:rFonts w:cs="Arial"/>
          <w:color w:val="000000"/>
          <w:szCs w:val="20"/>
        </w:rPr>
      </w:pPr>
    </w:p>
    <w:p w14:paraId="26C03533" w14:textId="77777777" w:rsidR="003A05B7" w:rsidRDefault="003A05B7" w:rsidP="003A05B7">
      <w:pPr>
        <w:pStyle w:val="BodyText"/>
        <w:rPr>
          <w:rFonts w:cs="Arial"/>
          <w:color w:val="000000"/>
          <w:szCs w:val="20"/>
        </w:rPr>
      </w:pPr>
    </w:p>
    <w:p w14:paraId="36C5BAF2" w14:textId="77777777" w:rsidR="003A05B7" w:rsidRDefault="003A05B7" w:rsidP="003A05B7">
      <w:pPr>
        <w:pStyle w:val="BodyText"/>
        <w:rPr>
          <w:rFonts w:cs="Arial"/>
          <w:color w:val="000000"/>
          <w:szCs w:val="20"/>
        </w:rPr>
      </w:pPr>
    </w:p>
    <w:p w14:paraId="5AA1B273" w14:textId="77777777" w:rsidR="003A05B7" w:rsidRDefault="003A05B7" w:rsidP="003A05B7">
      <w:pPr>
        <w:pStyle w:val="BodyText"/>
        <w:rPr>
          <w:rFonts w:cs="Arial"/>
          <w:color w:val="000000"/>
          <w:szCs w:val="20"/>
        </w:rPr>
      </w:pPr>
    </w:p>
    <w:p w14:paraId="0847CC22" w14:textId="77777777" w:rsidR="003A05B7" w:rsidRDefault="003A05B7" w:rsidP="003A05B7">
      <w:pPr>
        <w:pStyle w:val="BodyText"/>
        <w:rPr>
          <w:rFonts w:cs="Arial"/>
          <w:color w:val="000000"/>
          <w:szCs w:val="20"/>
        </w:rPr>
      </w:pPr>
    </w:p>
    <w:p w14:paraId="456EEC79" w14:textId="77777777" w:rsidR="003A05B7" w:rsidRDefault="003A05B7" w:rsidP="003A05B7">
      <w:pPr>
        <w:pStyle w:val="BodyText"/>
        <w:rPr>
          <w:rFonts w:cs="Arial"/>
          <w:color w:val="000000"/>
          <w:szCs w:val="20"/>
        </w:rPr>
      </w:pPr>
    </w:p>
    <w:p w14:paraId="4B72B9AB" w14:textId="77777777" w:rsidR="003A05B7" w:rsidRDefault="003A05B7" w:rsidP="003A05B7">
      <w:pPr>
        <w:pStyle w:val="BodyText"/>
        <w:rPr>
          <w:rFonts w:cs="Arial"/>
          <w:color w:val="000000"/>
          <w:szCs w:val="20"/>
        </w:rPr>
      </w:pPr>
    </w:p>
    <w:p w14:paraId="0B49BB8D" w14:textId="77777777" w:rsidR="003A05B7" w:rsidRDefault="003A05B7" w:rsidP="003A05B7">
      <w:pPr>
        <w:pStyle w:val="BodyText"/>
        <w:rPr>
          <w:rFonts w:cs="Arial"/>
          <w:color w:val="000000"/>
          <w:szCs w:val="20"/>
        </w:rPr>
      </w:pPr>
    </w:p>
    <w:p w14:paraId="26ACCF50" w14:textId="77777777" w:rsidR="003A05B7" w:rsidRDefault="003A05B7" w:rsidP="003A05B7">
      <w:pPr>
        <w:pStyle w:val="BodyText"/>
        <w:rPr>
          <w:rFonts w:cs="Arial"/>
          <w:color w:val="000000"/>
          <w:szCs w:val="20"/>
        </w:rPr>
      </w:pPr>
    </w:p>
    <w:p w14:paraId="4E9A07A7" w14:textId="77777777" w:rsidR="003A05B7" w:rsidRDefault="003A05B7" w:rsidP="00157906">
      <w:pPr>
        <w:pStyle w:val="BodyText"/>
        <w:ind w:left="720"/>
        <w:rPr>
          <w:rFonts w:cs="Arial"/>
          <w:color w:val="000000"/>
          <w:szCs w:val="20"/>
        </w:rPr>
      </w:pPr>
    </w:p>
    <w:p w14:paraId="06247879" w14:textId="77777777" w:rsidR="003A05B7" w:rsidRDefault="003A05B7" w:rsidP="003A05B7">
      <w:pPr>
        <w:pStyle w:val="BodyText"/>
        <w:rPr>
          <w:rFonts w:cs="Arial"/>
          <w:color w:val="000000"/>
          <w:szCs w:val="20"/>
        </w:rPr>
      </w:pPr>
    </w:p>
    <w:p w14:paraId="402E7586" w14:textId="77777777" w:rsidR="003A05B7" w:rsidRDefault="003A05B7" w:rsidP="003A05B7">
      <w:pPr>
        <w:pStyle w:val="BodyText"/>
        <w:rPr>
          <w:rFonts w:cs="Arial"/>
          <w:color w:val="000000"/>
          <w:szCs w:val="20"/>
        </w:rPr>
      </w:pPr>
    </w:p>
    <w:p w14:paraId="515F7F07" w14:textId="77777777" w:rsidR="003A05B7" w:rsidRDefault="003A05B7" w:rsidP="003A05B7">
      <w:pPr>
        <w:pStyle w:val="BodyText"/>
        <w:rPr>
          <w:rFonts w:cs="Arial"/>
          <w:color w:val="000000"/>
          <w:szCs w:val="20"/>
        </w:rPr>
      </w:pPr>
    </w:p>
    <w:p w14:paraId="57991837" w14:textId="77777777" w:rsidR="003A05B7" w:rsidRDefault="003A05B7" w:rsidP="003A05B7">
      <w:pPr>
        <w:pStyle w:val="BodyText"/>
        <w:rPr>
          <w:rFonts w:cs="Arial"/>
          <w:color w:val="000000"/>
          <w:szCs w:val="20"/>
        </w:rPr>
      </w:pPr>
    </w:p>
    <w:p w14:paraId="2742ECAB" w14:textId="20473C53" w:rsidR="003A05B7" w:rsidRDefault="003A05B7" w:rsidP="003A05B7">
      <w:pPr>
        <w:pStyle w:val="BodyText"/>
        <w:rPr>
          <w:rFonts w:cs="Arial"/>
          <w:color w:val="000000"/>
          <w:szCs w:val="20"/>
        </w:rPr>
      </w:pPr>
    </w:p>
    <w:p w14:paraId="67E20B0D" w14:textId="77777777" w:rsidR="0011573E" w:rsidRDefault="0011573E" w:rsidP="003A05B7">
      <w:pPr>
        <w:pStyle w:val="BodyText"/>
        <w:rPr>
          <w:rFonts w:cs="Arial"/>
          <w:color w:val="000000"/>
          <w:szCs w:val="20"/>
        </w:rPr>
      </w:pPr>
    </w:p>
    <w:p w14:paraId="4D7E2B2C" w14:textId="77777777" w:rsidR="003A05B7" w:rsidRDefault="003A05B7" w:rsidP="003A05B7">
      <w:pPr>
        <w:pStyle w:val="BodyText"/>
        <w:rPr>
          <w:rFonts w:cs="Arial"/>
          <w:color w:val="000000"/>
          <w:szCs w:val="20"/>
        </w:rPr>
      </w:pPr>
    </w:p>
    <w:p w14:paraId="7C4B02A9" w14:textId="77777777" w:rsidR="003A05B7" w:rsidRDefault="003A05B7" w:rsidP="003A05B7">
      <w:pPr>
        <w:pStyle w:val="BodyText"/>
        <w:rPr>
          <w:rFonts w:cs="Arial"/>
          <w:color w:val="000000"/>
          <w:szCs w:val="20"/>
        </w:rPr>
      </w:pPr>
    </w:p>
    <w:p w14:paraId="22C9591D" w14:textId="6D79E4E8" w:rsidR="003A05B7" w:rsidRPr="00157906" w:rsidRDefault="003A05B7" w:rsidP="00385FE3">
      <w:pPr>
        <w:pStyle w:val="Heading1"/>
        <w:numPr>
          <w:ilvl w:val="0"/>
          <w:numId w:val="1"/>
        </w:numPr>
      </w:pPr>
      <w:bookmarkStart w:id="0" w:name="_Toc83376638"/>
      <w:r w:rsidRPr="00157906">
        <w:lastRenderedPageBreak/>
        <w:t>Preamble</w:t>
      </w:r>
      <w:bookmarkEnd w:id="0"/>
    </w:p>
    <w:p w14:paraId="56C11707" w14:textId="734E9543" w:rsidR="003A05B7" w:rsidRPr="00157906" w:rsidRDefault="00157906" w:rsidP="00157906">
      <w:pPr>
        <w:pStyle w:val="Norma"/>
      </w:pPr>
      <w:r w:rsidRPr="00157906">
        <w:t>The Climate Change Committee (CCC) is an independent, statutory body established under the Climate Change Act 2008. Our purpose is to advise the UK and devolved governments on emissions targets and to report to Parliament on progress made in reducing greenhouse gas emissions and preparing for and adapting to the impacts of climate change.</w:t>
      </w:r>
    </w:p>
    <w:p w14:paraId="489D4427" w14:textId="05B10660" w:rsidR="003A05B7" w:rsidRDefault="003A05B7" w:rsidP="00385FE3">
      <w:pPr>
        <w:pStyle w:val="Heading1"/>
        <w:numPr>
          <w:ilvl w:val="0"/>
          <w:numId w:val="1"/>
        </w:numPr>
      </w:pPr>
      <w:bookmarkStart w:id="1" w:name="_Ref357535668"/>
      <w:bookmarkStart w:id="2" w:name="_Toc381969507"/>
      <w:bookmarkStart w:id="3" w:name="_Toc405888456"/>
      <w:bookmarkStart w:id="4" w:name="_Toc83376639"/>
      <w:r w:rsidRPr="00157906">
        <w:t>Background</w:t>
      </w:r>
      <w:bookmarkEnd w:id="1"/>
      <w:bookmarkEnd w:id="2"/>
      <w:bookmarkEnd w:id="3"/>
      <w:bookmarkEnd w:id="4"/>
    </w:p>
    <w:p w14:paraId="14524B73" w14:textId="6C44075F" w:rsidR="006156B5" w:rsidRDefault="006156B5" w:rsidP="00D5309C">
      <w:pPr>
        <w:pStyle w:val="Norma"/>
      </w:pPr>
      <w:r>
        <w:t>The transition to Net Zero requires changes that go beyond the deployment-related metrics we have tended to track in our progress monitoring to date.</w:t>
      </w:r>
      <w:r>
        <w:rPr>
          <w:rStyle w:val="FootnoteReference"/>
        </w:rPr>
        <w:footnoteReference w:id="1"/>
      </w:r>
      <w:r>
        <w:t xml:space="preserve"> We are seeking to broaden our assessment of real-world progress, including underlying enablers of policy delivery such as supply chain and skills developments, public attitudes, corporate commitments, funding and finance and governance.</w:t>
      </w:r>
    </w:p>
    <w:p w14:paraId="7434D04D" w14:textId="77777777" w:rsidR="00B65C7E" w:rsidRDefault="00B65C7E" w:rsidP="00B65C7E">
      <w:pPr>
        <w:pStyle w:val="Norma"/>
      </w:pPr>
    </w:p>
    <w:p w14:paraId="2C1F7B1C" w14:textId="08F151E9" w:rsidR="00B65C7E" w:rsidRDefault="00B65C7E" w:rsidP="00B65C7E">
      <w:pPr>
        <w:pStyle w:val="Norma"/>
        <w:spacing w:after="120"/>
      </w:pPr>
      <w:r>
        <w:t>The Government’s Heat and Buildings Strategy</w:t>
      </w:r>
      <w:r w:rsidR="00900191">
        <w:rPr>
          <w:rStyle w:val="FootnoteReference"/>
        </w:rPr>
        <w:footnoteReference w:id="2"/>
      </w:r>
      <w:r>
        <w:t xml:space="preserve"> and the Net Zero Strategy</w:t>
      </w:r>
      <w:r w:rsidR="00900191">
        <w:rPr>
          <w:rStyle w:val="FootnoteReference"/>
        </w:rPr>
        <w:footnoteReference w:id="3"/>
      </w:r>
      <w:r>
        <w:t xml:space="preserve"> outline a policy framework that aims to substantially reduce emissions from buildings over the next 15 years</w:t>
      </w:r>
      <w:r w:rsidR="00F23B18">
        <w:t xml:space="preserve">: </w:t>
      </w:r>
    </w:p>
    <w:p w14:paraId="551B89A4" w14:textId="77540280" w:rsidR="00B65C7E" w:rsidRDefault="00B65C7E" w:rsidP="00B65C7E">
      <w:pPr>
        <w:pStyle w:val="Norma"/>
        <w:numPr>
          <w:ilvl w:val="0"/>
          <w:numId w:val="30"/>
        </w:numPr>
        <w:spacing w:after="120"/>
      </w:pPr>
      <w:r>
        <w:t xml:space="preserve">The </w:t>
      </w:r>
      <w:r w:rsidR="00F23B18">
        <w:t>G</w:t>
      </w:r>
      <w:r>
        <w:t>overnment has adopted a clear direction for heat decarbonisation which confronts the key challenge of this decade: to grow demand for low carbon heat (both heat pumps and district heating) and scale up supply chains while developing hydrogen as an option. This will be done alongside nationwide programmes to improve the energy efficiency of buildings.</w:t>
      </w:r>
    </w:p>
    <w:p w14:paraId="01DAEE4B" w14:textId="54FB6CA5" w:rsidR="00B65C7E" w:rsidRDefault="00B65C7E" w:rsidP="00B65C7E">
      <w:pPr>
        <w:pStyle w:val="Norma"/>
        <w:numPr>
          <w:ilvl w:val="0"/>
          <w:numId w:val="30"/>
        </w:numPr>
        <w:spacing w:after="120"/>
      </w:pPr>
      <w:r>
        <w:t xml:space="preserve">The </w:t>
      </w:r>
      <w:r w:rsidR="00F23B18">
        <w:t>G</w:t>
      </w:r>
      <w:r>
        <w:t>overnment’s intention is to use a market-based approach to drive the adoption of low carbon heat. This requires obligations on suppliers, manufacturers and property owners, backed up with funding in key areas. These ambitions are supported by a suite of new policies that aim to enable the transition, providing detail on skills, finance, innovation, and standards.</w:t>
      </w:r>
    </w:p>
    <w:p w14:paraId="71E1905D" w14:textId="568E81D4" w:rsidR="00A02638" w:rsidRDefault="008925A4" w:rsidP="00B65C7E">
      <w:pPr>
        <w:pStyle w:val="Norma"/>
        <w:spacing w:after="120"/>
        <w:rPr>
          <w:rFonts w:ascii="Century Gothic" w:hAnsi="Century Gothic"/>
        </w:rPr>
      </w:pPr>
      <w:r>
        <w:t>Under t</w:t>
      </w:r>
      <w:r w:rsidR="00B65C7E">
        <w:t>he Government’s market-based approach</w:t>
      </w:r>
      <w:r>
        <w:t>,</w:t>
      </w:r>
      <w:r w:rsidR="00B65C7E">
        <w:t xml:space="preserve"> h</w:t>
      </w:r>
      <w:r w:rsidR="00B65C7E">
        <w:rPr>
          <w:rFonts w:ascii="Century Gothic" w:hAnsi="Century Gothic"/>
        </w:rPr>
        <w:t>eat pump installations should scale up by 2028, but wouldn’t be expected to take off before the new mechanism comes in</w:t>
      </w:r>
      <w:r w:rsidR="00F80FFE">
        <w:rPr>
          <w:rFonts w:ascii="Century Gothic" w:hAnsi="Century Gothic"/>
        </w:rPr>
        <w:t>,</w:t>
      </w:r>
      <w:r w:rsidR="00B65C7E">
        <w:rPr>
          <w:rFonts w:ascii="Century Gothic" w:hAnsi="Century Gothic"/>
        </w:rPr>
        <w:t xml:space="preserve"> in 2024. Continuing to focus our progress monitoring on tracking heat pump deployment wouldn’t tell us how the market is developing ahead of scale up. </w:t>
      </w:r>
      <w:r w:rsidR="00F80FFE">
        <w:rPr>
          <w:rFonts w:ascii="Century Gothic" w:hAnsi="Century Gothic"/>
        </w:rPr>
        <w:t>‘F</w:t>
      </w:r>
      <w:r w:rsidR="00B65C7E">
        <w:rPr>
          <w:rFonts w:ascii="Century Gothic" w:hAnsi="Century Gothic"/>
        </w:rPr>
        <w:t xml:space="preserve">orward’ indicators of preparedness, or enablers of delivery, need to be tracked to provide a more complete picture of underlying progress. </w:t>
      </w:r>
    </w:p>
    <w:p w14:paraId="59AC7D8E" w14:textId="2C3B9ADE" w:rsidR="0011573E" w:rsidRPr="00CC0FAA" w:rsidRDefault="003A05B7" w:rsidP="0011573E">
      <w:pPr>
        <w:pStyle w:val="Heading1"/>
        <w:numPr>
          <w:ilvl w:val="0"/>
          <w:numId w:val="1"/>
        </w:numPr>
      </w:pPr>
      <w:bookmarkStart w:id="5" w:name="_Ref357535689"/>
      <w:bookmarkStart w:id="6" w:name="_Toc381969508"/>
      <w:bookmarkStart w:id="7" w:name="_Toc405888457"/>
      <w:bookmarkStart w:id="8" w:name="_Toc83376640"/>
      <w:r w:rsidRPr="00CC0FAA">
        <w:t>Aims and Objectives</w:t>
      </w:r>
      <w:bookmarkStart w:id="9" w:name="_Toc381969509"/>
      <w:bookmarkStart w:id="10" w:name="_Toc405888458"/>
      <w:bookmarkStart w:id="11" w:name="_Toc83376641"/>
      <w:bookmarkEnd w:id="5"/>
      <w:bookmarkEnd w:id="6"/>
      <w:bookmarkEnd w:id="7"/>
      <w:bookmarkEnd w:id="8"/>
    </w:p>
    <w:p w14:paraId="1DFA7861" w14:textId="0F8E9280" w:rsidR="00BE4943" w:rsidRDefault="00BE4943" w:rsidP="00FE7E28">
      <w:pPr>
        <w:pStyle w:val="Norma"/>
        <w:spacing w:after="120"/>
        <w:rPr>
          <w:rFonts w:ascii="Century Gothic" w:hAnsi="Century Gothic"/>
        </w:rPr>
      </w:pPr>
      <w:r w:rsidRPr="0011573E">
        <w:t xml:space="preserve">The aim of this project </w:t>
      </w:r>
      <w:r w:rsidR="009A7BD6">
        <w:t>is</w:t>
      </w:r>
      <w:r>
        <w:t xml:space="preserve"> </w:t>
      </w:r>
      <w:r w:rsidRPr="0011573E">
        <w:t xml:space="preserve">to </w:t>
      </w:r>
      <w:r w:rsidR="00FE7E28">
        <w:t>d</w:t>
      </w:r>
      <w:r w:rsidR="00FE7E28" w:rsidRPr="00FE7E28">
        <w:t>evelop forward indicators of the UK’s heat pump supply chain</w:t>
      </w:r>
      <w:r w:rsidR="00FE7E28">
        <w:t>s</w:t>
      </w:r>
      <w:r w:rsidR="008925A4">
        <w:t>,</w:t>
      </w:r>
      <w:r w:rsidR="009E7DC2">
        <w:t xml:space="preserve"> and trajectories for those indicators</w:t>
      </w:r>
      <w:r w:rsidR="00FE7E28">
        <w:rPr>
          <w:rFonts w:ascii="Century Gothic" w:hAnsi="Century Gothic"/>
        </w:rPr>
        <w:t>,</w:t>
      </w:r>
      <w:r>
        <w:rPr>
          <w:rFonts w:ascii="Century Gothic" w:hAnsi="Century Gothic"/>
        </w:rPr>
        <w:t xml:space="preserve"> to track progress in building up the</w:t>
      </w:r>
      <w:r w:rsidR="00231187">
        <w:rPr>
          <w:rFonts w:ascii="Century Gothic" w:hAnsi="Century Gothic"/>
        </w:rPr>
        <w:t xml:space="preserve"> UK</w:t>
      </w:r>
      <w:r>
        <w:rPr>
          <w:rFonts w:ascii="Century Gothic" w:hAnsi="Century Gothic"/>
        </w:rPr>
        <w:t xml:space="preserve"> heat pump market</w:t>
      </w:r>
      <w:r w:rsidR="00231187">
        <w:rPr>
          <w:rFonts w:ascii="Century Gothic" w:hAnsi="Century Gothic"/>
        </w:rPr>
        <w:t>. W</w:t>
      </w:r>
      <w:r w:rsidR="009E7DC2">
        <w:rPr>
          <w:rFonts w:ascii="Century Gothic" w:hAnsi="Century Gothic"/>
        </w:rPr>
        <w:t>here:</w:t>
      </w:r>
    </w:p>
    <w:p w14:paraId="51E69877" w14:textId="56449543" w:rsidR="009E7DC2" w:rsidRPr="009A7BD6" w:rsidRDefault="009E7DC2" w:rsidP="009A7BD6">
      <w:pPr>
        <w:pStyle w:val="Norma"/>
        <w:numPr>
          <w:ilvl w:val="0"/>
          <w:numId w:val="30"/>
        </w:numPr>
        <w:spacing w:after="120"/>
      </w:pPr>
      <w:r w:rsidRPr="009A7BD6">
        <w:t xml:space="preserve">‘Indicators’ are </w:t>
      </w:r>
      <w:r>
        <w:t xml:space="preserve">the </w:t>
      </w:r>
      <w:r w:rsidRPr="009A7BD6">
        <w:t xml:space="preserve">metrics </w:t>
      </w:r>
      <w:r>
        <w:t xml:space="preserve">to track – </w:t>
      </w:r>
      <w:proofErr w:type="gramStart"/>
      <w:r>
        <w:t>e.g.</w:t>
      </w:r>
      <w:proofErr w:type="gramEnd"/>
      <w:r>
        <w:t xml:space="preserve"> </w:t>
      </w:r>
      <w:r w:rsidRPr="009A7BD6">
        <w:t>number of heat pumps being installed</w:t>
      </w:r>
    </w:p>
    <w:p w14:paraId="388B17AA" w14:textId="20B206EF" w:rsidR="009E7DC2" w:rsidRDefault="009E7DC2" w:rsidP="009A7BD6">
      <w:pPr>
        <w:pStyle w:val="Norma"/>
        <w:numPr>
          <w:ilvl w:val="0"/>
          <w:numId w:val="30"/>
        </w:numPr>
        <w:spacing w:after="120"/>
      </w:pPr>
      <w:r w:rsidRPr="009A7BD6">
        <w:t>‘</w:t>
      </w:r>
      <w:r>
        <w:t>T</w:t>
      </w:r>
      <w:r w:rsidRPr="009A7BD6">
        <w:t>rajector</w:t>
      </w:r>
      <w:r>
        <w:t>ies</w:t>
      </w:r>
      <w:r w:rsidRPr="009A7BD6">
        <w:t xml:space="preserve">’ </w:t>
      </w:r>
      <w:r>
        <w:t>are</w:t>
      </w:r>
      <w:r w:rsidRPr="009A7BD6">
        <w:t xml:space="preserve"> </w:t>
      </w:r>
      <w:r w:rsidR="00F23B18">
        <w:t xml:space="preserve">forward targets </w:t>
      </w:r>
      <w:r w:rsidRPr="009A7BD6">
        <w:t xml:space="preserve">for </w:t>
      </w:r>
      <w:r>
        <w:t xml:space="preserve">indicators – </w:t>
      </w:r>
      <w:proofErr w:type="gramStart"/>
      <w:r>
        <w:t>e.g.</w:t>
      </w:r>
      <w:proofErr w:type="gramEnd"/>
      <w:r>
        <w:t xml:space="preserve"> the pathway for the number of heat pumps</w:t>
      </w:r>
      <w:r w:rsidR="00F23B18">
        <w:t xml:space="preserve"> that need to be</w:t>
      </w:r>
      <w:r>
        <w:t xml:space="preserve"> installed each year</w:t>
      </w:r>
      <w:r w:rsidR="00F23B18">
        <w:t xml:space="preserve"> in order to achieve decarbonisation targets</w:t>
      </w:r>
    </w:p>
    <w:p w14:paraId="2E91C301" w14:textId="77777777" w:rsidR="00F80FFE" w:rsidRDefault="009E7DC2" w:rsidP="00F80FFE">
      <w:pPr>
        <w:pStyle w:val="Norma"/>
        <w:spacing w:after="120"/>
      </w:pPr>
      <w:r>
        <w:rPr>
          <w:rFonts w:ascii="Century Gothic" w:hAnsi="Century Gothic"/>
        </w:rPr>
        <w:t xml:space="preserve">The starting point for informing the set of indicators and their trajectories </w:t>
      </w:r>
      <w:r w:rsidR="00F80FFE">
        <w:rPr>
          <w:rFonts w:ascii="Century Gothic" w:hAnsi="Century Gothic"/>
        </w:rPr>
        <w:t>will b</w:t>
      </w:r>
      <w:r>
        <w:rPr>
          <w:rFonts w:ascii="Century Gothic" w:hAnsi="Century Gothic"/>
        </w:rPr>
        <w:t>e the CCC’s pathways for the Sixth Carbon Budget</w:t>
      </w:r>
      <w:r w:rsidR="00F80FFE">
        <w:rPr>
          <w:rFonts w:ascii="Century Gothic" w:hAnsi="Century Gothic"/>
        </w:rPr>
        <w:t xml:space="preserve"> and </w:t>
      </w:r>
      <w:r>
        <w:rPr>
          <w:rFonts w:ascii="Century Gothic" w:hAnsi="Century Gothic"/>
        </w:rPr>
        <w:t>the Government’s Net Zero Strategy</w:t>
      </w:r>
      <w:r w:rsidR="00F80FFE">
        <w:rPr>
          <w:rFonts w:ascii="Century Gothic" w:hAnsi="Century Gothic"/>
        </w:rPr>
        <w:t>, which have underlying assumptions on the number of required h</w:t>
      </w:r>
      <w:r w:rsidRPr="009A7BD6">
        <w:t>eat pump installations across different parts of the housing stock</w:t>
      </w:r>
      <w:r w:rsidR="00F80FFE">
        <w:t xml:space="preserve">. </w:t>
      </w:r>
    </w:p>
    <w:p w14:paraId="4895CAE6" w14:textId="46ACC14E" w:rsidR="00B65C7E" w:rsidRDefault="00F80FFE" w:rsidP="00BE4943">
      <w:pPr>
        <w:pStyle w:val="Norma"/>
        <w:spacing w:after="120"/>
        <w:rPr>
          <w:rFonts w:ascii="Century Gothic" w:hAnsi="Century Gothic"/>
        </w:rPr>
      </w:pPr>
      <w:r>
        <w:t>While these pathways tell us how many heat pumps need to be installed</w:t>
      </w:r>
      <w:r w:rsidR="009A7BD6">
        <w:t xml:space="preserve"> at each point in time</w:t>
      </w:r>
      <w:r>
        <w:t xml:space="preserve">, they </w:t>
      </w:r>
      <w:r w:rsidR="000A7FD5">
        <w:t xml:space="preserve">are not sufficient </w:t>
      </w:r>
      <w:r>
        <w:t>t</w:t>
      </w:r>
      <w:r w:rsidR="00231187">
        <w:t>o track</w:t>
      </w:r>
      <w:r>
        <w:t xml:space="preserve"> progress</w:t>
      </w:r>
      <w:r w:rsidR="00231187">
        <w:t xml:space="preserve"> in developing the market</w:t>
      </w:r>
      <w:r>
        <w:t xml:space="preserve">. </w:t>
      </w:r>
      <w:r w:rsidR="000A7FD5">
        <w:rPr>
          <w:rFonts w:ascii="Century Gothic" w:hAnsi="Century Gothic"/>
        </w:rPr>
        <w:t>T</w:t>
      </w:r>
      <w:r>
        <w:rPr>
          <w:rFonts w:ascii="Century Gothic" w:hAnsi="Century Gothic"/>
        </w:rPr>
        <w:t>he</w:t>
      </w:r>
      <w:r w:rsidR="00231187">
        <w:rPr>
          <w:rFonts w:ascii="Century Gothic" w:hAnsi="Century Gothic"/>
        </w:rPr>
        <w:t xml:space="preserve"> implications of these</w:t>
      </w:r>
      <w:r>
        <w:rPr>
          <w:rFonts w:ascii="Century Gothic" w:hAnsi="Century Gothic"/>
        </w:rPr>
        <w:t xml:space="preserve"> </w:t>
      </w:r>
      <w:r w:rsidR="00231187">
        <w:rPr>
          <w:rFonts w:ascii="Century Gothic" w:hAnsi="Century Gothic"/>
        </w:rPr>
        <w:t xml:space="preserve">heat pump deployment </w:t>
      </w:r>
      <w:r w:rsidR="008925A4">
        <w:rPr>
          <w:rFonts w:ascii="Century Gothic" w:hAnsi="Century Gothic"/>
        </w:rPr>
        <w:t xml:space="preserve">pathways </w:t>
      </w:r>
      <w:r w:rsidR="00231187">
        <w:rPr>
          <w:rFonts w:ascii="Century Gothic" w:hAnsi="Century Gothic"/>
        </w:rPr>
        <w:t xml:space="preserve">should be </w:t>
      </w:r>
      <w:r>
        <w:rPr>
          <w:rFonts w:ascii="Century Gothic" w:hAnsi="Century Gothic"/>
        </w:rPr>
        <w:t>extend</w:t>
      </w:r>
      <w:r w:rsidR="00231187">
        <w:rPr>
          <w:rFonts w:ascii="Century Gothic" w:hAnsi="Century Gothic"/>
        </w:rPr>
        <w:t xml:space="preserve">ed </w:t>
      </w:r>
      <w:r>
        <w:rPr>
          <w:rFonts w:ascii="Century Gothic" w:hAnsi="Century Gothic"/>
        </w:rPr>
        <w:t xml:space="preserve">to </w:t>
      </w:r>
      <w:r w:rsidR="00231187">
        <w:rPr>
          <w:rFonts w:ascii="Century Gothic" w:hAnsi="Century Gothic"/>
        </w:rPr>
        <w:t>‘</w:t>
      </w:r>
      <w:r>
        <w:rPr>
          <w:rFonts w:ascii="Century Gothic" w:hAnsi="Century Gothic"/>
        </w:rPr>
        <w:t>forward</w:t>
      </w:r>
      <w:r w:rsidR="00231187">
        <w:rPr>
          <w:rFonts w:ascii="Century Gothic" w:hAnsi="Century Gothic"/>
        </w:rPr>
        <w:t xml:space="preserve">’ </w:t>
      </w:r>
      <w:r>
        <w:rPr>
          <w:rFonts w:ascii="Century Gothic" w:hAnsi="Century Gothic"/>
        </w:rPr>
        <w:t>indicators</w:t>
      </w:r>
      <w:r w:rsidR="00231187">
        <w:rPr>
          <w:rFonts w:ascii="Century Gothic" w:hAnsi="Century Gothic"/>
        </w:rPr>
        <w:t xml:space="preserve"> of progress.</w:t>
      </w:r>
      <w:r w:rsidR="00F23B18">
        <w:rPr>
          <w:rFonts w:ascii="Century Gothic" w:hAnsi="Century Gothic"/>
        </w:rPr>
        <w:t xml:space="preserve"> </w:t>
      </w:r>
      <w:r w:rsidR="00BE4943">
        <w:rPr>
          <w:rFonts w:ascii="Century Gothic" w:hAnsi="Century Gothic"/>
        </w:rPr>
        <w:t xml:space="preserve">We </w:t>
      </w:r>
      <w:r w:rsidR="00BE4943">
        <w:rPr>
          <w:rFonts w:ascii="Century Gothic" w:hAnsi="Century Gothic"/>
        </w:rPr>
        <w:lastRenderedPageBreak/>
        <w:t xml:space="preserve">would like the following </w:t>
      </w:r>
      <w:r w:rsidR="0018618B">
        <w:rPr>
          <w:rFonts w:ascii="Century Gothic" w:hAnsi="Century Gothic"/>
        </w:rPr>
        <w:t>elements</w:t>
      </w:r>
      <w:r w:rsidR="00BE4943">
        <w:rPr>
          <w:rFonts w:ascii="Century Gothic" w:hAnsi="Century Gothic"/>
        </w:rPr>
        <w:t xml:space="preserve"> of the </w:t>
      </w:r>
      <w:r w:rsidR="00FE7E28">
        <w:rPr>
          <w:rFonts w:ascii="Century Gothic" w:hAnsi="Century Gothic"/>
        </w:rPr>
        <w:t xml:space="preserve">heat pump </w:t>
      </w:r>
      <w:r w:rsidR="00BE4943">
        <w:rPr>
          <w:rFonts w:ascii="Century Gothic" w:hAnsi="Century Gothic"/>
        </w:rPr>
        <w:t>supply chain</w:t>
      </w:r>
      <w:r w:rsidR="008925A4">
        <w:rPr>
          <w:rFonts w:ascii="Century Gothic" w:hAnsi="Century Gothic"/>
        </w:rPr>
        <w:t>s</w:t>
      </w:r>
      <w:r w:rsidR="00BE4943">
        <w:rPr>
          <w:rFonts w:ascii="Century Gothic" w:hAnsi="Century Gothic"/>
        </w:rPr>
        <w:t xml:space="preserve"> to be incorporated into the analysis:</w:t>
      </w:r>
      <w:r w:rsidR="00FE7E28">
        <w:rPr>
          <w:rFonts w:ascii="Century Gothic" w:hAnsi="Century Gothic"/>
        </w:rPr>
        <w:t xml:space="preserve"> </w:t>
      </w:r>
    </w:p>
    <w:p w14:paraId="1D805D4F" w14:textId="2D924830" w:rsidR="00231187" w:rsidRPr="009A7BD6" w:rsidRDefault="00BE4943" w:rsidP="009A7BD6">
      <w:pPr>
        <w:pStyle w:val="Norma"/>
        <w:numPr>
          <w:ilvl w:val="0"/>
          <w:numId w:val="35"/>
        </w:numPr>
        <w:spacing w:after="120"/>
        <w:ind w:hanging="357"/>
        <w:rPr>
          <w:rFonts w:ascii="Century Gothic" w:hAnsi="Century Gothic"/>
        </w:rPr>
      </w:pPr>
      <w:r w:rsidRPr="00231187">
        <w:rPr>
          <w:rFonts w:ascii="Century Gothic" w:hAnsi="Century Gothic"/>
          <w:b/>
          <w:bCs w:val="0"/>
        </w:rPr>
        <w:t>Manufacturers</w:t>
      </w:r>
      <w:r w:rsidR="009A7BD6">
        <w:rPr>
          <w:rFonts w:ascii="Century Gothic" w:hAnsi="Century Gothic"/>
          <w:b/>
          <w:bCs w:val="0"/>
        </w:rPr>
        <w:t xml:space="preserve">. </w:t>
      </w:r>
      <w:r w:rsidR="00900191">
        <w:rPr>
          <w:rFonts w:ascii="Century Gothic" w:hAnsi="Century Gothic"/>
        </w:rPr>
        <w:t>Issues</w:t>
      </w:r>
      <w:r w:rsidR="009A7BD6" w:rsidRPr="009A7BD6">
        <w:rPr>
          <w:rFonts w:ascii="Century Gothic" w:hAnsi="Century Gothic"/>
        </w:rPr>
        <w:t xml:space="preserve"> to consider should include</w:t>
      </w:r>
      <w:r w:rsidR="009A7BD6">
        <w:rPr>
          <w:rFonts w:ascii="Century Gothic" w:hAnsi="Century Gothic"/>
        </w:rPr>
        <w:t>, but not be limited to</w:t>
      </w:r>
      <w:r w:rsidR="00231187" w:rsidRPr="009A7BD6">
        <w:rPr>
          <w:rFonts w:ascii="Century Gothic" w:hAnsi="Century Gothic"/>
        </w:rPr>
        <w:t>:</w:t>
      </w:r>
    </w:p>
    <w:p w14:paraId="07979CBE" w14:textId="77777777" w:rsidR="00231187" w:rsidRDefault="00F80FFE" w:rsidP="009A7BD6">
      <w:pPr>
        <w:pStyle w:val="Norma"/>
        <w:numPr>
          <w:ilvl w:val="1"/>
          <w:numId w:val="35"/>
        </w:numPr>
        <w:spacing w:after="120"/>
        <w:ind w:hanging="357"/>
        <w:rPr>
          <w:rFonts w:ascii="Century Gothic" w:hAnsi="Century Gothic"/>
        </w:rPr>
      </w:pPr>
      <w:r w:rsidRPr="00231187">
        <w:rPr>
          <w:rFonts w:ascii="Century Gothic" w:hAnsi="Century Gothic"/>
        </w:rPr>
        <w:t>New manufacturing facilities being planned, constructed and starting to produce heat pumps and related products</w:t>
      </w:r>
    </w:p>
    <w:p w14:paraId="6E652248" w14:textId="245A355E" w:rsidR="00231187" w:rsidRDefault="00231187" w:rsidP="009A7BD6">
      <w:pPr>
        <w:pStyle w:val="Norma"/>
        <w:numPr>
          <w:ilvl w:val="1"/>
          <w:numId w:val="35"/>
        </w:numPr>
        <w:spacing w:after="120"/>
        <w:ind w:hanging="357"/>
        <w:rPr>
          <w:rFonts w:ascii="Century Gothic" w:hAnsi="Century Gothic"/>
        </w:rPr>
      </w:pPr>
      <w:r>
        <w:rPr>
          <w:rFonts w:ascii="Century Gothic" w:hAnsi="Century Gothic"/>
        </w:rPr>
        <w:t>N</w:t>
      </w:r>
      <w:r w:rsidR="00F80FFE" w:rsidRPr="00231187">
        <w:rPr>
          <w:rFonts w:ascii="Century Gothic" w:hAnsi="Century Gothic"/>
        </w:rPr>
        <w:t xml:space="preserve">ew routes being established to purchase </w:t>
      </w:r>
      <w:r w:rsidR="009A7BD6">
        <w:rPr>
          <w:rFonts w:ascii="Century Gothic" w:hAnsi="Century Gothic"/>
        </w:rPr>
        <w:t>heat pumps</w:t>
      </w:r>
      <w:r w:rsidR="009A7BD6" w:rsidRPr="00231187">
        <w:rPr>
          <w:rFonts w:ascii="Century Gothic" w:hAnsi="Century Gothic"/>
        </w:rPr>
        <w:t xml:space="preserve"> </w:t>
      </w:r>
      <w:r w:rsidR="00F80FFE" w:rsidRPr="00231187">
        <w:rPr>
          <w:rFonts w:ascii="Century Gothic" w:hAnsi="Century Gothic"/>
        </w:rPr>
        <w:t>from outside the UK</w:t>
      </w:r>
    </w:p>
    <w:p w14:paraId="3A5C0A5C" w14:textId="0E2A7431" w:rsidR="00231187" w:rsidRDefault="00231187" w:rsidP="009A7BD6">
      <w:pPr>
        <w:pStyle w:val="Norma"/>
        <w:numPr>
          <w:ilvl w:val="1"/>
          <w:numId w:val="35"/>
        </w:numPr>
        <w:spacing w:after="120"/>
        <w:ind w:hanging="357"/>
        <w:rPr>
          <w:rFonts w:ascii="Century Gothic" w:hAnsi="Century Gothic"/>
        </w:rPr>
      </w:pPr>
      <w:r>
        <w:rPr>
          <w:rFonts w:ascii="Century Gothic" w:hAnsi="Century Gothic"/>
        </w:rPr>
        <w:t>A</w:t>
      </w:r>
      <w:r w:rsidR="00F80FFE" w:rsidRPr="00231187">
        <w:rPr>
          <w:rFonts w:ascii="Century Gothic" w:hAnsi="Century Gothic"/>
        </w:rPr>
        <w:t>ny important bottlenecks within the heat pump supply chain that need to be resolved (</w:t>
      </w:r>
      <w:proofErr w:type="gramStart"/>
      <w:r w:rsidR="009A7BD6">
        <w:rPr>
          <w:rFonts w:ascii="Century Gothic" w:hAnsi="Century Gothic"/>
        </w:rPr>
        <w:t>e.g.</w:t>
      </w:r>
      <w:proofErr w:type="gramEnd"/>
      <w:r w:rsidR="00F80FFE" w:rsidRPr="00231187">
        <w:rPr>
          <w:rFonts w:ascii="Century Gothic" w:hAnsi="Century Gothic"/>
        </w:rPr>
        <w:t xml:space="preserve"> anything equivalent to computer chips for EVs) </w:t>
      </w:r>
    </w:p>
    <w:p w14:paraId="7B5F755F" w14:textId="767B826D" w:rsidR="00F80FFE" w:rsidRPr="00231187" w:rsidRDefault="009A7BD6" w:rsidP="009A7BD6">
      <w:pPr>
        <w:pStyle w:val="Norma"/>
        <w:numPr>
          <w:ilvl w:val="1"/>
          <w:numId w:val="35"/>
        </w:numPr>
        <w:spacing w:after="120"/>
        <w:ind w:hanging="357"/>
        <w:rPr>
          <w:rFonts w:ascii="Century Gothic" w:hAnsi="Century Gothic"/>
        </w:rPr>
      </w:pPr>
      <w:r>
        <w:rPr>
          <w:rFonts w:ascii="Century Gothic" w:hAnsi="Century Gothic"/>
        </w:rPr>
        <w:t>I</w:t>
      </w:r>
      <w:r w:rsidR="00231187">
        <w:rPr>
          <w:rFonts w:ascii="Century Gothic" w:hAnsi="Century Gothic"/>
        </w:rPr>
        <w:t xml:space="preserve">mplications for indicator trajectories if </w:t>
      </w:r>
      <w:r w:rsidR="00F80FFE" w:rsidRPr="00231187">
        <w:rPr>
          <w:rFonts w:ascii="Century Gothic" w:hAnsi="Century Gothic"/>
        </w:rPr>
        <w:t>the UK ha</w:t>
      </w:r>
      <w:r>
        <w:rPr>
          <w:rFonts w:ascii="Century Gothic" w:hAnsi="Century Gothic"/>
        </w:rPr>
        <w:t>d</w:t>
      </w:r>
      <w:r w:rsidR="00F80FFE" w:rsidRPr="00231187">
        <w:rPr>
          <w:rFonts w:ascii="Century Gothic" w:hAnsi="Century Gothic"/>
        </w:rPr>
        <w:t xml:space="preserve"> zero net imports/exports of heat pumps</w:t>
      </w:r>
    </w:p>
    <w:p w14:paraId="21D9CC8D" w14:textId="0F0BE03F" w:rsidR="00FE7E28" w:rsidRPr="009A7BD6" w:rsidRDefault="00FE7E28" w:rsidP="009A7BD6">
      <w:pPr>
        <w:pStyle w:val="Norma"/>
        <w:numPr>
          <w:ilvl w:val="0"/>
          <w:numId w:val="35"/>
        </w:numPr>
        <w:spacing w:after="120"/>
        <w:ind w:hanging="357"/>
        <w:rPr>
          <w:rFonts w:ascii="Century Gothic" w:hAnsi="Century Gothic"/>
        </w:rPr>
      </w:pPr>
      <w:r w:rsidRPr="00231187">
        <w:rPr>
          <w:rFonts w:ascii="Century Gothic" w:hAnsi="Century Gothic"/>
          <w:b/>
          <w:bCs w:val="0"/>
        </w:rPr>
        <w:t xml:space="preserve">Suppliers </w:t>
      </w:r>
      <w:r w:rsidR="00231187" w:rsidRPr="00231187">
        <w:rPr>
          <w:rFonts w:ascii="Century Gothic" w:hAnsi="Century Gothic"/>
          <w:b/>
          <w:bCs w:val="0"/>
        </w:rPr>
        <w:t xml:space="preserve">/ </w:t>
      </w:r>
      <w:r w:rsidRPr="00231187">
        <w:rPr>
          <w:rFonts w:ascii="Century Gothic" w:hAnsi="Century Gothic"/>
          <w:b/>
          <w:bCs w:val="0"/>
        </w:rPr>
        <w:t>sellers</w:t>
      </w:r>
      <w:r w:rsidR="009A7BD6">
        <w:rPr>
          <w:rFonts w:ascii="Century Gothic" w:hAnsi="Century Gothic"/>
          <w:b/>
          <w:bCs w:val="0"/>
        </w:rPr>
        <w:t xml:space="preserve">. </w:t>
      </w:r>
      <w:r w:rsidR="00900191">
        <w:rPr>
          <w:rFonts w:ascii="Century Gothic" w:hAnsi="Century Gothic"/>
        </w:rPr>
        <w:t>Issues</w:t>
      </w:r>
      <w:r w:rsidR="009A7BD6" w:rsidRPr="00BA7FED">
        <w:rPr>
          <w:rFonts w:ascii="Century Gothic" w:hAnsi="Century Gothic"/>
        </w:rPr>
        <w:t xml:space="preserve"> to consider should include</w:t>
      </w:r>
      <w:r w:rsidR="009A7BD6">
        <w:rPr>
          <w:rFonts w:ascii="Century Gothic" w:hAnsi="Century Gothic"/>
        </w:rPr>
        <w:t>, but not be limited to</w:t>
      </w:r>
      <w:r w:rsidR="009A7BD6" w:rsidRPr="00BA7FED">
        <w:rPr>
          <w:rFonts w:ascii="Century Gothic" w:hAnsi="Century Gothic"/>
        </w:rPr>
        <w:t>:</w:t>
      </w:r>
    </w:p>
    <w:p w14:paraId="30F16795" w14:textId="37BB72DB" w:rsidR="00231187" w:rsidRPr="009A7BD6" w:rsidRDefault="00F80FFE" w:rsidP="009A7BD6">
      <w:pPr>
        <w:pStyle w:val="Norma"/>
        <w:numPr>
          <w:ilvl w:val="1"/>
          <w:numId w:val="35"/>
        </w:numPr>
        <w:spacing w:after="120"/>
        <w:ind w:hanging="357"/>
        <w:rPr>
          <w:rStyle w:val="CommentReference"/>
          <w:rFonts w:eastAsiaTheme="minorHAnsi" w:cstheme="minorBidi"/>
          <w:bCs w:val="0"/>
          <w:sz w:val="20"/>
          <w:szCs w:val="20"/>
        </w:rPr>
      </w:pPr>
      <w:r w:rsidRPr="009A7BD6">
        <w:rPr>
          <w:rStyle w:val="CommentReference"/>
          <w:rFonts w:eastAsiaTheme="minorHAnsi" w:cstheme="minorBidi"/>
          <w:bCs w:val="0"/>
          <w:sz w:val="20"/>
          <w:szCs w:val="20"/>
        </w:rPr>
        <w:t>Greater engagement and outreach from potential sellers of heat pumps in the residential market – energy companies, boiler/</w:t>
      </w:r>
      <w:r w:rsidR="009A7BD6" w:rsidRPr="009A7BD6">
        <w:rPr>
          <w:rStyle w:val="CommentReference"/>
          <w:rFonts w:eastAsiaTheme="minorHAnsi" w:cstheme="minorBidi"/>
          <w:bCs w:val="0"/>
          <w:sz w:val="20"/>
          <w:szCs w:val="20"/>
        </w:rPr>
        <w:t>heat pump</w:t>
      </w:r>
      <w:r w:rsidRPr="009A7BD6">
        <w:rPr>
          <w:rStyle w:val="CommentReference"/>
          <w:rFonts w:eastAsiaTheme="minorHAnsi" w:cstheme="minorBidi"/>
          <w:bCs w:val="0"/>
          <w:sz w:val="20"/>
          <w:szCs w:val="20"/>
        </w:rPr>
        <w:t xml:space="preserve"> manufacturers, installers and gas engineers, developers/construction firms</w:t>
      </w:r>
    </w:p>
    <w:p w14:paraId="0CEFEDE5" w14:textId="47877E7A" w:rsidR="00F80FFE" w:rsidRPr="009A7BD6" w:rsidRDefault="009A7BD6" w:rsidP="009A7BD6">
      <w:pPr>
        <w:pStyle w:val="Norma"/>
        <w:numPr>
          <w:ilvl w:val="1"/>
          <w:numId w:val="35"/>
        </w:numPr>
        <w:spacing w:after="120"/>
        <w:ind w:hanging="357"/>
        <w:rPr>
          <w:rStyle w:val="CommentReference"/>
          <w:rFonts w:eastAsiaTheme="minorHAnsi" w:cstheme="minorBidi"/>
          <w:bCs w:val="0"/>
          <w:sz w:val="20"/>
          <w:szCs w:val="20"/>
        </w:rPr>
      </w:pPr>
      <w:r w:rsidRPr="009A7BD6">
        <w:rPr>
          <w:rStyle w:val="CommentReference"/>
          <w:rFonts w:eastAsiaTheme="minorHAnsi" w:cstheme="minorBidi"/>
          <w:bCs w:val="0"/>
          <w:sz w:val="20"/>
          <w:szCs w:val="20"/>
        </w:rPr>
        <w:t xml:space="preserve">We expect this element of the supply chain to be </w:t>
      </w:r>
      <w:r>
        <w:rPr>
          <w:rStyle w:val="CommentReference"/>
          <w:rFonts w:eastAsiaTheme="minorHAnsi" w:cstheme="minorBidi"/>
          <w:bCs w:val="0"/>
          <w:sz w:val="20"/>
          <w:szCs w:val="20"/>
        </w:rPr>
        <w:t xml:space="preserve">more difficult </w:t>
      </w:r>
      <w:r w:rsidR="00F80FFE" w:rsidRPr="009A7BD6">
        <w:rPr>
          <w:rStyle w:val="CommentReference"/>
          <w:rFonts w:eastAsiaTheme="minorHAnsi" w:cstheme="minorBidi"/>
          <w:bCs w:val="0"/>
          <w:sz w:val="20"/>
          <w:szCs w:val="20"/>
        </w:rPr>
        <w:t xml:space="preserve">to quantify in meaningful ways, </w:t>
      </w:r>
      <w:r>
        <w:rPr>
          <w:rStyle w:val="CommentReference"/>
          <w:rFonts w:eastAsiaTheme="minorHAnsi" w:cstheme="minorBidi"/>
          <w:bCs w:val="0"/>
          <w:sz w:val="20"/>
          <w:szCs w:val="20"/>
        </w:rPr>
        <w:t xml:space="preserve">and </w:t>
      </w:r>
      <w:r w:rsidR="00F80FFE" w:rsidRPr="009A7BD6">
        <w:rPr>
          <w:rStyle w:val="CommentReference"/>
          <w:rFonts w:eastAsiaTheme="minorHAnsi" w:cstheme="minorBidi"/>
          <w:bCs w:val="0"/>
          <w:sz w:val="20"/>
          <w:szCs w:val="20"/>
        </w:rPr>
        <w:t>encourage creative solutions</w:t>
      </w:r>
      <w:r w:rsidR="00900191">
        <w:rPr>
          <w:rStyle w:val="CommentReference"/>
          <w:rFonts w:eastAsiaTheme="minorHAnsi" w:cstheme="minorBidi"/>
          <w:bCs w:val="0"/>
          <w:sz w:val="20"/>
          <w:szCs w:val="20"/>
        </w:rPr>
        <w:t xml:space="preserve"> to doing so</w:t>
      </w:r>
    </w:p>
    <w:p w14:paraId="655CB2FF" w14:textId="006AED48" w:rsidR="00F80FFE" w:rsidRPr="009A7BD6" w:rsidRDefault="00B266D8" w:rsidP="009A7BD6">
      <w:pPr>
        <w:pStyle w:val="Norma"/>
        <w:numPr>
          <w:ilvl w:val="0"/>
          <w:numId w:val="35"/>
        </w:numPr>
        <w:spacing w:after="120"/>
        <w:ind w:hanging="357"/>
        <w:rPr>
          <w:rStyle w:val="CommentReference"/>
          <w:rFonts w:ascii="Century Gothic" w:hAnsi="Century Gothic"/>
          <w:sz w:val="20"/>
          <w:szCs w:val="20"/>
        </w:rPr>
      </w:pPr>
      <w:r w:rsidRPr="00231187">
        <w:rPr>
          <w:rFonts w:ascii="Century Gothic" w:hAnsi="Century Gothic"/>
          <w:b/>
          <w:bCs w:val="0"/>
        </w:rPr>
        <w:t>Installers</w:t>
      </w:r>
      <w:r w:rsidR="009A7BD6">
        <w:rPr>
          <w:rFonts w:ascii="Century Gothic" w:hAnsi="Century Gothic"/>
          <w:b/>
          <w:bCs w:val="0"/>
        </w:rPr>
        <w:t xml:space="preserve">. </w:t>
      </w:r>
      <w:r w:rsidR="00900191">
        <w:rPr>
          <w:rFonts w:ascii="Century Gothic" w:hAnsi="Century Gothic"/>
        </w:rPr>
        <w:t xml:space="preserve">Issues </w:t>
      </w:r>
      <w:r w:rsidR="009A7BD6" w:rsidRPr="00BA7FED">
        <w:rPr>
          <w:rFonts w:ascii="Century Gothic" w:hAnsi="Century Gothic"/>
        </w:rPr>
        <w:t>to consider should include</w:t>
      </w:r>
      <w:r w:rsidR="009A7BD6">
        <w:rPr>
          <w:rFonts w:ascii="Century Gothic" w:hAnsi="Century Gothic"/>
        </w:rPr>
        <w:t>, but not be limited to</w:t>
      </w:r>
      <w:r w:rsidR="009A7BD6" w:rsidRPr="00BA7FED">
        <w:rPr>
          <w:rFonts w:ascii="Century Gothic" w:hAnsi="Century Gothic"/>
        </w:rPr>
        <w:t>:</w:t>
      </w:r>
    </w:p>
    <w:p w14:paraId="2402DEBF" w14:textId="36448B64" w:rsidR="00231187" w:rsidRPr="00900191" w:rsidRDefault="00F80FFE" w:rsidP="00090CD0">
      <w:pPr>
        <w:pStyle w:val="Norma"/>
        <w:numPr>
          <w:ilvl w:val="1"/>
          <w:numId w:val="35"/>
        </w:numPr>
        <w:spacing w:after="120"/>
        <w:ind w:hanging="357"/>
        <w:rPr>
          <w:rFonts w:ascii="Century Gothic" w:hAnsi="Century Gothic"/>
        </w:rPr>
      </w:pPr>
      <w:r w:rsidRPr="00900191">
        <w:rPr>
          <w:rStyle w:val="CommentReference"/>
          <w:rFonts w:eastAsiaTheme="minorHAnsi" w:cstheme="minorBidi"/>
          <w:bCs w:val="0"/>
          <w:sz w:val="20"/>
          <w:szCs w:val="20"/>
        </w:rPr>
        <w:t>P</w:t>
      </w:r>
      <w:r w:rsidRPr="00900191">
        <w:rPr>
          <w:rFonts w:ascii="Century Gothic" w:hAnsi="Century Gothic"/>
        </w:rPr>
        <w:t xml:space="preserve">ipelines and pathways for training installers, and other skilled trades </w:t>
      </w:r>
      <w:r w:rsidR="009A7BD6" w:rsidRPr="00900191">
        <w:rPr>
          <w:rFonts w:ascii="Century Gothic" w:hAnsi="Century Gothic"/>
        </w:rPr>
        <w:t>(</w:t>
      </w:r>
      <w:proofErr w:type="gramStart"/>
      <w:r w:rsidR="009A7BD6" w:rsidRPr="00900191">
        <w:rPr>
          <w:rFonts w:ascii="Century Gothic" w:hAnsi="Century Gothic"/>
        </w:rPr>
        <w:t>e.g.</w:t>
      </w:r>
      <w:proofErr w:type="gramEnd"/>
      <w:r w:rsidR="009A7BD6" w:rsidRPr="00900191">
        <w:rPr>
          <w:rFonts w:ascii="Century Gothic" w:hAnsi="Century Gothic"/>
        </w:rPr>
        <w:t xml:space="preserve"> retrofit coordinators)</w:t>
      </w:r>
      <w:r w:rsidR="00900191">
        <w:rPr>
          <w:rFonts w:ascii="Century Gothic" w:hAnsi="Century Gothic"/>
        </w:rPr>
        <w:t xml:space="preserve"> </w:t>
      </w:r>
      <w:r w:rsidRPr="00900191">
        <w:rPr>
          <w:rFonts w:ascii="Century Gothic" w:hAnsi="Century Gothic"/>
        </w:rPr>
        <w:t xml:space="preserve">covered by the </w:t>
      </w:r>
      <w:r w:rsidR="009A7BD6" w:rsidRPr="00900191">
        <w:rPr>
          <w:rFonts w:ascii="Century Gothic" w:hAnsi="Century Gothic"/>
        </w:rPr>
        <w:t>Heat and Buildings Strategy and</w:t>
      </w:r>
      <w:r w:rsidR="00747C14">
        <w:rPr>
          <w:rFonts w:ascii="Century Gothic" w:hAnsi="Century Gothic"/>
        </w:rPr>
        <w:t xml:space="preserve"> analysis undertaken by the</w:t>
      </w:r>
      <w:r w:rsidR="009A7BD6" w:rsidRPr="00900191">
        <w:rPr>
          <w:rFonts w:ascii="Century Gothic" w:hAnsi="Century Gothic"/>
        </w:rPr>
        <w:t xml:space="preserve"> C</w:t>
      </w:r>
      <w:r w:rsidR="00747C14">
        <w:rPr>
          <w:rFonts w:ascii="Century Gothic" w:hAnsi="Century Gothic"/>
        </w:rPr>
        <w:t>onstruction Industry Training Board</w:t>
      </w:r>
      <w:r w:rsidR="00747C14">
        <w:rPr>
          <w:rStyle w:val="FootnoteReference"/>
          <w:rFonts w:ascii="Century Gothic" w:hAnsi="Century Gothic"/>
        </w:rPr>
        <w:footnoteReference w:id="4"/>
      </w:r>
    </w:p>
    <w:p w14:paraId="5C1CFE3C" w14:textId="26B92270" w:rsidR="00F80FFE" w:rsidRDefault="00F80FFE" w:rsidP="009A7BD6">
      <w:pPr>
        <w:pStyle w:val="Norma"/>
        <w:numPr>
          <w:ilvl w:val="1"/>
          <w:numId w:val="35"/>
        </w:numPr>
        <w:spacing w:after="120"/>
        <w:ind w:hanging="357"/>
        <w:rPr>
          <w:rFonts w:ascii="Century Gothic" w:hAnsi="Century Gothic"/>
        </w:rPr>
      </w:pPr>
      <w:r>
        <w:rPr>
          <w:rFonts w:ascii="Century Gothic" w:hAnsi="Century Gothic"/>
        </w:rPr>
        <w:t>How many</w:t>
      </w:r>
      <w:r w:rsidR="009A7BD6">
        <w:rPr>
          <w:rFonts w:ascii="Century Gothic" w:hAnsi="Century Gothic"/>
        </w:rPr>
        <w:t xml:space="preserve"> people</w:t>
      </w:r>
      <w:r>
        <w:rPr>
          <w:rFonts w:ascii="Century Gothic" w:hAnsi="Century Gothic"/>
        </w:rPr>
        <w:t xml:space="preserve"> need to be trained each year</w:t>
      </w:r>
      <w:r w:rsidR="009A7BD6">
        <w:rPr>
          <w:rFonts w:ascii="Century Gothic" w:hAnsi="Century Gothic"/>
        </w:rPr>
        <w:t xml:space="preserve"> in each skilled trade</w:t>
      </w:r>
    </w:p>
    <w:p w14:paraId="6237D087" w14:textId="3B65DCE2" w:rsidR="003A05B7" w:rsidRPr="00D720D9" w:rsidRDefault="003A05B7" w:rsidP="00157906">
      <w:pPr>
        <w:pStyle w:val="Heading1"/>
        <w:numPr>
          <w:ilvl w:val="0"/>
          <w:numId w:val="1"/>
        </w:numPr>
      </w:pPr>
      <w:r w:rsidRPr="00D720D9">
        <w:t>Methodology</w:t>
      </w:r>
      <w:bookmarkEnd w:id="9"/>
      <w:bookmarkEnd w:id="10"/>
      <w:bookmarkEnd w:id="11"/>
    </w:p>
    <w:p w14:paraId="1C0F4154" w14:textId="77777777" w:rsidR="00F23B18" w:rsidRDefault="00A43C0E" w:rsidP="00766FDA">
      <w:pPr>
        <w:pStyle w:val="Norma"/>
      </w:pPr>
      <w:r>
        <w:t>The main output of this</w:t>
      </w:r>
      <w:r w:rsidR="00766FDA">
        <w:t xml:space="preserve"> project is a set of forward indicators (including their trajectories) </w:t>
      </w:r>
      <w:r w:rsidR="00766FDA" w:rsidRPr="00B71634">
        <w:t xml:space="preserve">for tracking progress </w:t>
      </w:r>
      <w:r w:rsidR="00766FDA">
        <w:t>in</w:t>
      </w:r>
      <w:r w:rsidR="00766FDA" w:rsidRPr="00B71634">
        <w:t xml:space="preserve"> </w:t>
      </w:r>
      <w:r w:rsidR="00766FDA">
        <w:t xml:space="preserve">heat pump supply chain development, </w:t>
      </w:r>
      <w:r w:rsidR="00766FDA" w:rsidRPr="00B71634">
        <w:t xml:space="preserve">which </w:t>
      </w:r>
      <w:r w:rsidR="00766FDA">
        <w:t xml:space="preserve">the </w:t>
      </w:r>
      <w:r w:rsidR="00766FDA" w:rsidRPr="00B71634">
        <w:t xml:space="preserve">CCC can report </w:t>
      </w:r>
      <w:r w:rsidR="00766FDA" w:rsidRPr="008925A4">
        <w:t>against on an annual basis</w:t>
      </w:r>
      <w:r w:rsidR="00766FDA" w:rsidRPr="009A7BD6">
        <w:t>.</w:t>
      </w:r>
    </w:p>
    <w:p w14:paraId="7D91570E" w14:textId="77777777" w:rsidR="00F23B18" w:rsidRDefault="00F23B18" w:rsidP="00F23B18">
      <w:pPr>
        <w:pStyle w:val="Norma"/>
      </w:pPr>
    </w:p>
    <w:p w14:paraId="222EABC4" w14:textId="3E620E09" w:rsidR="00766FDA" w:rsidRDefault="00766FDA" w:rsidP="00F23B18">
      <w:pPr>
        <w:pStyle w:val="Norma"/>
      </w:pPr>
      <w:r w:rsidRPr="009A7BD6">
        <w:t>Indicators should be developed for each of the three supply chain elements set out above</w:t>
      </w:r>
      <w:r>
        <w:t xml:space="preserve">: </w:t>
      </w:r>
      <w:proofErr w:type="spellStart"/>
      <w:r>
        <w:t>i</w:t>
      </w:r>
      <w:proofErr w:type="spellEnd"/>
      <w:r>
        <w:t>) manufacturers, ii) suppliers</w:t>
      </w:r>
      <w:r w:rsidR="00F23B18">
        <w:t xml:space="preserve"> </w:t>
      </w:r>
      <w:r>
        <w:t>/</w:t>
      </w:r>
      <w:r w:rsidR="00F23B18">
        <w:t xml:space="preserve"> </w:t>
      </w:r>
      <w:r>
        <w:t>sellers, iii) installers.</w:t>
      </w:r>
      <w:r w:rsidR="00F23B18">
        <w:t xml:space="preserve"> For each of these elements, t</w:t>
      </w:r>
      <w:r w:rsidRPr="006E2468">
        <w:t xml:space="preserve">he key tasks of this project </w:t>
      </w:r>
      <w:r>
        <w:t>are to</w:t>
      </w:r>
      <w:r w:rsidRPr="006E2468">
        <w:t>:</w:t>
      </w:r>
    </w:p>
    <w:p w14:paraId="73803F17" w14:textId="5A35C273" w:rsidR="00766FDA" w:rsidRPr="00900191" w:rsidRDefault="00766FDA" w:rsidP="00F23B18">
      <w:pPr>
        <w:pStyle w:val="Norma"/>
        <w:numPr>
          <w:ilvl w:val="0"/>
          <w:numId w:val="37"/>
        </w:numPr>
        <w:spacing w:before="120" w:after="120"/>
        <w:ind w:left="1434" w:hanging="357"/>
        <w:rPr>
          <w:rFonts w:ascii="Century Gothic" w:hAnsi="Century Gothic"/>
        </w:rPr>
      </w:pPr>
      <w:r>
        <w:rPr>
          <w:rFonts w:ascii="Century Gothic" w:hAnsi="Century Gothic"/>
        </w:rPr>
        <w:t>Produce a detailed description of each indicator, rationale for choosing it and approach to estimating it. This should include a short description of how this approach could eventually be extended to apply to other pathways (</w:t>
      </w:r>
      <w:proofErr w:type="gramStart"/>
      <w:r>
        <w:rPr>
          <w:rFonts w:ascii="Century Gothic" w:hAnsi="Century Gothic"/>
        </w:rPr>
        <w:t>e.g.</w:t>
      </w:r>
      <w:proofErr w:type="gramEnd"/>
      <w:r>
        <w:rPr>
          <w:rFonts w:ascii="Century Gothic" w:hAnsi="Century Gothic"/>
        </w:rPr>
        <w:t xml:space="preserve"> other CCC scenarios from the Sixth Carbon Budget, other Government pathways).</w:t>
      </w:r>
    </w:p>
    <w:p w14:paraId="3C370EFF" w14:textId="2FD8C3FA" w:rsidR="00766FDA" w:rsidRDefault="00766FDA" w:rsidP="00766FDA">
      <w:pPr>
        <w:pStyle w:val="Norma"/>
        <w:numPr>
          <w:ilvl w:val="0"/>
          <w:numId w:val="37"/>
        </w:numPr>
        <w:spacing w:after="120"/>
      </w:pPr>
      <w:r>
        <w:t>Produce a simple spreadsheet which sets out the proposed set of indicators and a clear process for calculating trajectories, including all sources with release dates, making clear any assumptions/uncertainties.</w:t>
      </w:r>
    </w:p>
    <w:p w14:paraId="29E30C03" w14:textId="2D4CDE52" w:rsidR="00766FDA" w:rsidRPr="00766FDA" w:rsidRDefault="00766FDA" w:rsidP="00766FDA">
      <w:pPr>
        <w:pStyle w:val="Norma"/>
        <w:numPr>
          <w:ilvl w:val="0"/>
          <w:numId w:val="37"/>
        </w:numPr>
        <w:spacing w:after="120"/>
        <w:rPr>
          <w:rFonts w:ascii="Century Gothic" w:hAnsi="Century Gothic"/>
        </w:rPr>
      </w:pPr>
      <w:r>
        <w:rPr>
          <w:rFonts w:ascii="Century Gothic" w:hAnsi="Century Gothic"/>
        </w:rPr>
        <w:t>Develop trajectories that start from where the market was in 2021, as far as that can be determined, r</w:t>
      </w:r>
      <w:r w:rsidRPr="00E92594">
        <w:rPr>
          <w:rFonts w:ascii="Century Gothic" w:hAnsi="Century Gothic"/>
        </w:rPr>
        <w:t>unning out to 2035 at least (the point at which gas boilers will have been phased out)</w:t>
      </w:r>
      <w:r>
        <w:rPr>
          <w:rFonts w:ascii="Century Gothic" w:hAnsi="Century Gothic"/>
        </w:rPr>
        <w:t>.</w:t>
      </w:r>
    </w:p>
    <w:p w14:paraId="0496D38D" w14:textId="7A3752D0" w:rsidR="00766FDA" w:rsidRDefault="00766FDA" w:rsidP="00766FDA">
      <w:pPr>
        <w:pStyle w:val="Norma"/>
        <w:numPr>
          <w:ilvl w:val="0"/>
          <w:numId w:val="37"/>
        </w:numPr>
        <w:spacing w:after="120"/>
        <w:rPr>
          <w:rFonts w:ascii="Century Gothic" w:hAnsi="Century Gothic"/>
        </w:rPr>
      </w:pPr>
      <w:r w:rsidRPr="00766FDA">
        <w:rPr>
          <w:rFonts w:ascii="Century Gothic" w:hAnsi="Century Gothic"/>
        </w:rPr>
        <w:t>Identify potential data sources that can be used to track progress against the trajectories developed (or other proxies that could be used),</w:t>
      </w:r>
      <w:r>
        <w:rPr>
          <w:rFonts w:ascii="Century Gothic" w:hAnsi="Century Gothic"/>
        </w:rPr>
        <w:t xml:space="preserve"> b</w:t>
      </w:r>
      <w:r w:rsidRPr="00766FDA">
        <w:rPr>
          <w:rFonts w:ascii="Century Gothic" w:hAnsi="Century Gothic"/>
        </w:rPr>
        <w:t xml:space="preserve">eing mindful of, but not constrained by, available data. If the necessary data isn’t available, an outcome of this work may </w:t>
      </w:r>
      <w:r w:rsidRPr="00766FDA">
        <w:rPr>
          <w:rFonts w:ascii="Century Gothic" w:hAnsi="Century Gothic"/>
        </w:rPr>
        <w:lastRenderedPageBreak/>
        <w:t>be to recommend t</w:t>
      </w:r>
      <w:r>
        <w:rPr>
          <w:rFonts w:ascii="Century Gothic" w:hAnsi="Century Gothic"/>
        </w:rPr>
        <w:t>hat</w:t>
      </w:r>
      <w:r w:rsidRPr="00766FDA">
        <w:rPr>
          <w:rFonts w:ascii="Century Gothic" w:hAnsi="Century Gothic"/>
        </w:rPr>
        <w:t xml:space="preserve"> Government start t</w:t>
      </w:r>
      <w:r>
        <w:rPr>
          <w:rFonts w:ascii="Century Gothic" w:hAnsi="Century Gothic"/>
        </w:rPr>
        <w:t xml:space="preserve">o </w:t>
      </w:r>
      <w:r w:rsidRPr="00766FDA">
        <w:rPr>
          <w:rFonts w:ascii="Century Gothic" w:hAnsi="Century Gothic"/>
        </w:rPr>
        <w:t>collect</w:t>
      </w:r>
      <w:r>
        <w:rPr>
          <w:rFonts w:ascii="Century Gothic" w:hAnsi="Century Gothic"/>
        </w:rPr>
        <w:t xml:space="preserve"> the relevant data</w:t>
      </w:r>
      <w:r w:rsidRPr="00766FDA">
        <w:rPr>
          <w:rFonts w:ascii="Century Gothic" w:hAnsi="Century Gothic"/>
        </w:rPr>
        <w:t>. Any decisions on this will be taken alongside the CCC.</w:t>
      </w:r>
    </w:p>
    <w:p w14:paraId="3770FEE8" w14:textId="1D2A4017" w:rsidR="00F23B18" w:rsidRPr="00F23B18" w:rsidRDefault="00F23B18" w:rsidP="00F23B18">
      <w:pPr>
        <w:pStyle w:val="Norma"/>
        <w:numPr>
          <w:ilvl w:val="0"/>
          <w:numId w:val="37"/>
        </w:numPr>
        <w:spacing w:after="120"/>
        <w:rPr>
          <w:rFonts w:ascii="Century Gothic" w:hAnsi="Century Gothic"/>
        </w:rPr>
      </w:pPr>
      <w:r>
        <w:rPr>
          <w:rFonts w:ascii="Century Gothic" w:hAnsi="Century Gothic"/>
        </w:rPr>
        <w:t>Optional task – extending indicators to include heat networks, hydrogen-ready boilers or energy efficiency retrofit installation</w:t>
      </w:r>
    </w:p>
    <w:p w14:paraId="738D7F2E" w14:textId="7D0C98B1" w:rsidR="00CC0FAA" w:rsidRDefault="009C5369" w:rsidP="009C5369">
      <w:pPr>
        <w:pStyle w:val="Norma"/>
      </w:pPr>
      <w:r>
        <w:t xml:space="preserve">This should be developed </w:t>
      </w:r>
      <w:r w:rsidR="00157906" w:rsidRPr="00D720D9">
        <w:t>through a combination of reviewing existing literature and research</w:t>
      </w:r>
      <w:r w:rsidR="00C775B8" w:rsidRPr="00D720D9">
        <w:t>,</w:t>
      </w:r>
      <w:r w:rsidR="00157906" w:rsidRPr="00D720D9">
        <w:t xml:space="preserve"> sourcing and analysing </w:t>
      </w:r>
      <w:r w:rsidR="00A43C0E">
        <w:t xml:space="preserve">other </w:t>
      </w:r>
      <w:r w:rsidR="00157906" w:rsidRPr="00D720D9">
        <w:t>data relevant to addressing the questions outlined</w:t>
      </w:r>
      <w:r w:rsidR="00766FDA">
        <w:t>, and</w:t>
      </w:r>
      <w:r w:rsidR="00C775B8" w:rsidRPr="00D720D9">
        <w:t xml:space="preserve"> engaging with a range of external stakeholders (with interest/expertise on the issues at hand and/or who are undertaking related analysis)</w:t>
      </w:r>
      <w:r w:rsidR="00D271DE">
        <w:t xml:space="preserve">. </w:t>
      </w:r>
    </w:p>
    <w:p w14:paraId="5B33FF1E" w14:textId="5AA800E6" w:rsidR="003A05B7" w:rsidRPr="00D720D9" w:rsidRDefault="003A05B7" w:rsidP="00157906">
      <w:pPr>
        <w:pStyle w:val="Heading1"/>
        <w:numPr>
          <w:ilvl w:val="0"/>
          <w:numId w:val="1"/>
        </w:numPr>
      </w:pPr>
      <w:bookmarkStart w:id="12" w:name="_Ref357541705"/>
      <w:bookmarkStart w:id="13" w:name="_Toc381969510"/>
      <w:bookmarkStart w:id="14" w:name="_Toc405888459"/>
      <w:bookmarkStart w:id="15" w:name="_Toc83376642"/>
      <w:r w:rsidRPr="00D720D9">
        <w:t>Outputs Required</w:t>
      </w:r>
      <w:bookmarkEnd w:id="12"/>
      <w:bookmarkEnd w:id="13"/>
      <w:bookmarkEnd w:id="14"/>
      <w:bookmarkEnd w:id="15"/>
    </w:p>
    <w:p w14:paraId="1AD0D188" w14:textId="77777777" w:rsidR="009C5369" w:rsidRDefault="00157906" w:rsidP="009C5369">
      <w:pPr>
        <w:pStyle w:val="Norma"/>
        <w:spacing w:after="120"/>
      </w:pPr>
      <w:r>
        <w:t>The outputs required from the project include:</w:t>
      </w:r>
    </w:p>
    <w:p w14:paraId="67B8BBC8" w14:textId="7725B7E4" w:rsidR="00766FDA" w:rsidRDefault="00766FDA" w:rsidP="00766FDA">
      <w:pPr>
        <w:pStyle w:val="CommentText"/>
        <w:numPr>
          <w:ilvl w:val="0"/>
          <w:numId w:val="19"/>
        </w:numPr>
        <w:spacing w:after="120"/>
      </w:pPr>
      <w:r>
        <w:rPr>
          <w:rFonts w:ascii="Century Gothic" w:hAnsi="Century Gothic"/>
        </w:rPr>
        <w:t>Report explaining methodology and assumptions for developing forward indicators and their trajectories, including how the approach may be extended to apply to different decarbonisation pathways</w:t>
      </w:r>
    </w:p>
    <w:p w14:paraId="7EAB12BA" w14:textId="06EE0A78" w:rsidR="00766FDA" w:rsidRDefault="001D1D99" w:rsidP="00766FDA">
      <w:pPr>
        <w:pStyle w:val="Norma"/>
        <w:numPr>
          <w:ilvl w:val="0"/>
          <w:numId w:val="19"/>
        </w:numPr>
        <w:spacing w:after="120"/>
        <w:ind w:left="1434" w:hanging="357"/>
      </w:pPr>
      <w:r>
        <w:t>Spreadsheets with</w:t>
      </w:r>
      <w:r w:rsidR="009C5369">
        <w:t xml:space="preserve"> </w:t>
      </w:r>
      <w:r w:rsidR="00766FDA">
        <w:t>forward indicator trajectories</w:t>
      </w:r>
    </w:p>
    <w:p w14:paraId="1B92753B" w14:textId="4EF53F3C" w:rsidR="00766FDA" w:rsidRPr="00157906" w:rsidRDefault="00766FDA" w:rsidP="00766FDA">
      <w:pPr>
        <w:pStyle w:val="CommentText"/>
        <w:numPr>
          <w:ilvl w:val="0"/>
          <w:numId w:val="19"/>
        </w:numPr>
        <w:spacing w:after="120"/>
      </w:pPr>
      <w:r>
        <w:t>L</w:t>
      </w:r>
      <w:r w:rsidRPr="00766FDA">
        <w:rPr>
          <w:rFonts w:ascii="Century Gothic" w:hAnsi="Century Gothic"/>
        </w:rPr>
        <w:t>ist of proposed data sources for tracking progress against the trajectories (or methods for calculating this, if more than a single source is required)</w:t>
      </w:r>
    </w:p>
    <w:p w14:paraId="1E232E35" w14:textId="77777777" w:rsidR="003A05B7" w:rsidRPr="00157906" w:rsidRDefault="003A05B7" w:rsidP="00157906">
      <w:pPr>
        <w:pStyle w:val="Heading1"/>
        <w:numPr>
          <w:ilvl w:val="0"/>
          <w:numId w:val="1"/>
        </w:numPr>
      </w:pPr>
      <w:bookmarkStart w:id="16" w:name="_Toc381969511"/>
      <w:bookmarkStart w:id="17" w:name="_Toc405888460"/>
      <w:bookmarkStart w:id="18" w:name="_Toc83376643"/>
      <w:bookmarkStart w:id="19" w:name="_Ref373505205"/>
      <w:bookmarkStart w:id="20" w:name="_Ref357541720"/>
      <w:r w:rsidRPr="00157906">
        <w:t>Ownership and Publication</w:t>
      </w:r>
      <w:bookmarkEnd w:id="16"/>
      <w:bookmarkEnd w:id="17"/>
      <w:bookmarkEnd w:id="18"/>
    </w:p>
    <w:p w14:paraId="7886D33B" w14:textId="71182FA5" w:rsidR="003A05B7" w:rsidRPr="00157906" w:rsidRDefault="00157906" w:rsidP="00157906">
      <w:pPr>
        <w:pStyle w:val="Norma"/>
      </w:pPr>
      <w:r>
        <w:t xml:space="preserve">The </w:t>
      </w:r>
      <w:r w:rsidR="00B73C8E" w:rsidRPr="00B73C8E">
        <w:t xml:space="preserve">key deliverables will be handed over to the CCC, who may choose to publish these as supporting evidence on their website. </w:t>
      </w:r>
      <w:r w:rsidR="00CC0FAA">
        <w:t>All</w:t>
      </w:r>
      <w:r w:rsidR="00B73C8E" w:rsidRPr="00B73C8E">
        <w:t xml:space="preserve"> spreadsheets should be open access and unrestricted, to enable full QA of results and assumptions.</w:t>
      </w:r>
    </w:p>
    <w:p w14:paraId="676267C8" w14:textId="77777777" w:rsidR="003A05B7" w:rsidRPr="00157906" w:rsidRDefault="003A05B7" w:rsidP="00157906">
      <w:pPr>
        <w:pStyle w:val="Heading1"/>
        <w:numPr>
          <w:ilvl w:val="0"/>
          <w:numId w:val="1"/>
        </w:numPr>
      </w:pPr>
      <w:bookmarkStart w:id="21" w:name="_Toc83376644"/>
      <w:r w:rsidRPr="00157906">
        <w:t>Quality Assurance</w:t>
      </w:r>
      <w:bookmarkEnd w:id="21"/>
      <w:r w:rsidRPr="00157906">
        <w:t xml:space="preserve"> </w:t>
      </w:r>
      <w:bookmarkEnd w:id="19"/>
    </w:p>
    <w:p w14:paraId="437C44D5" w14:textId="77777777" w:rsidR="00651C77" w:rsidRDefault="00651C77" w:rsidP="00651C77">
      <w:pPr>
        <w:pStyle w:val="Norma"/>
      </w:pPr>
      <w:r>
        <w:t>All research tasks and modelling must be quality assured and documented. Contractors should:</w:t>
      </w:r>
    </w:p>
    <w:p w14:paraId="11696F55" w14:textId="623F261F" w:rsidR="00651C77" w:rsidRPr="00651C77" w:rsidRDefault="00651C77" w:rsidP="00651C77">
      <w:pPr>
        <w:pStyle w:val="Bullet"/>
      </w:pPr>
      <w:r w:rsidRPr="00651C77">
        <w:t>Include a quality assurance (QA) plan that they will apply to the modelling</w:t>
      </w:r>
      <w:r w:rsidR="00172CCD">
        <w:t>.</w:t>
      </w:r>
    </w:p>
    <w:p w14:paraId="14E0BC17" w14:textId="77777777" w:rsidR="00651C77" w:rsidRPr="00651C77" w:rsidRDefault="00651C77" w:rsidP="00651C77">
      <w:pPr>
        <w:pStyle w:val="Bullet"/>
      </w:pPr>
      <w:r w:rsidRPr="00651C77">
        <w:t>Specify who will take lead responsibility for ensuring quality assurance. This responsibility should rest with an individual not directly involved in the research or analysis.</w:t>
      </w:r>
    </w:p>
    <w:p w14:paraId="0C9C7847" w14:textId="024708AF" w:rsidR="00651C77" w:rsidRPr="00651C77" w:rsidRDefault="00651C77" w:rsidP="00651C77">
      <w:pPr>
        <w:pStyle w:val="Bullet"/>
      </w:pPr>
      <w:r w:rsidRPr="00651C77">
        <w:t>Provide a QA log to demonstrate the QA undertaken, which must identify who undertook the QA and the scope, type</w:t>
      </w:r>
      <w:r w:rsidR="00172CCD">
        <w:t>,</w:t>
      </w:r>
      <w:r w:rsidRPr="00651C77">
        <w:t xml:space="preserve"> and level of QA that has been undertaken. </w:t>
      </w:r>
    </w:p>
    <w:p w14:paraId="69BEFEED" w14:textId="77777777" w:rsidR="00651C77" w:rsidRDefault="00651C77" w:rsidP="00651C77">
      <w:pPr>
        <w:pStyle w:val="BodyText"/>
      </w:pPr>
    </w:p>
    <w:p w14:paraId="5F46C0B5" w14:textId="77777777" w:rsidR="00651C77" w:rsidRDefault="00651C77" w:rsidP="00651C77">
      <w:pPr>
        <w:pStyle w:val="Norma"/>
      </w:pPr>
      <w:r>
        <w:t xml:space="preserve">Sign-off for the quality assurance must be done by someone of sufficient seniority within the contractor organisation to be able to take responsibility for the work done. Acceptance of the work by the CCC will take this into consideration. The CCC reserves the right to refuse to sign off outputs which do not meet the required standard specified in this invitation to tender. </w:t>
      </w:r>
    </w:p>
    <w:p w14:paraId="385BCE33" w14:textId="77777777" w:rsidR="00651C77" w:rsidRDefault="00651C77" w:rsidP="00651C77">
      <w:pPr>
        <w:pStyle w:val="Norma"/>
      </w:pPr>
    </w:p>
    <w:p w14:paraId="35024A54" w14:textId="77777777" w:rsidR="00651C77" w:rsidRDefault="00651C77" w:rsidP="00651C77">
      <w:pPr>
        <w:pStyle w:val="Norma"/>
      </w:pPr>
      <w:r>
        <w:t xml:space="preserve">The successful tenderer will be responsible for any work supplied by sub-contractors and should therefore provide assurance that all work in the contact is undertaken in accordance with the quality assurance expectation agreed at the beginning of the project. </w:t>
      </w:r>
    </w:p>
    <w:p w14:paraId="33EA3D27" w14:textId="77777777" w:rsidR="00651C77" w:rsidRDefault="00651C77" w:rsidP="00651C77">
      <w:pPr>
        <w:pStyle w:val="Norma"/>
      </w:pPr>
    </w:p>
    <w:p w14:paraId="3C38C355" w14:textId="77777777" w:rsidR="00651C77" w:rsidRDefault="00651C77" w:rsidP="00651C77">
      <w:pPr>
        <w:pStyle w:val="Norma"/>
      </w:pPr>
      <w:r>
        <w:t>The CCC expects that:</w:t>
      </w:r>
    </w:p>
    <w:p w14:paraId="68AA5643" w14:textId="4F574E0D" w:rsidR="00651C77" w:rsidRDefault="00643B70" w:rsidP="00651C77">
      <w:pPr>
        <w:pStyle w:val="Bullet"/>
      </w:pPr>
      <w:r>
        <w:t>A</w:t>
      </w:r>
      <w:r w:rsidR="00651C77">
        <w:t>nalysis must be delivered in a simple, transparent Excel spreadsheet</w:t>
      </w:r>
      <w:r w:rsidR="00D62139">
        <w:t xml:space="preserve"> or set of spreadsheets</w:t>
      </w:r>
      <w:r w:rsidR="00651C77">
        <w:t>, where key assumptions (agreed with the CCC) are clearly stated. All assumptions and figures should be adequately referenced, and include any supporting workings. Any such spreadsheets will be the property of the CCC.</w:t>
      </w:r>
    </w:p>
    <w:p w14:paraId="0266E8F3" w14:textId="19399353" w:rsidR="003A05B7" w:rsidRDefault="00651C77" w:rsidP="00651C77">
      <w:pPr>
        <w:pStyle w:val="Bullet"/>
      </w:pPr>
      <w:r>
        <w:lastRenderedPageBreak/>
        <w:t>Existing analysis and published research should be reviewed and considered in developing the scenarios and approaches to be analysed within this assignment.</w:t>
      </w:r>
    </w:p>
    <w:p w14:paraId="410352B9" w14:textId="77CC9EC8" w:rsidR="003A05B7" w:rsidRPr="00D720D9" w:rsidRDefault="003A05B7" w:rsidP="00157906">
      <w:pPr>
        <w:pStyle w:val="Heading1"/>
        <w:numPr>
          <w:ilvl w:val="0"/>
          <w:numId w:val="1"/>
        </w:numPr>
      </w:pPr>
      <w:bookmarkStart w:id="22" w:name="_Ref373505215"/>
      <w:bookmarkStart w:id="23" w:name="_Toc381969513"/>
      <w:bookmarkStart w:id="24" w:name="_Toc405888462"/>
      <w:bookmarkStart w:id="25" w:name="_Toc83376645"/>
      <w:r w:rsidRPr="00D720D9">
        <w:t>Timetable</w:t>
      </w:r>
      <w:bookmarkEnd w:id="20"/>
      <w:bookmarkEnd w:id="22"/>
      <w:bookmarkEnd w:id="23"/>
      <w:bookmarkEnd w:id="24"/>
      <w:bookmarkEnd w:id="25"/>
    </w:p>
    <w:p w14:paraId="716BCC55" w14:textId="16A1796B" w:rsidR="00A01274" w:rsidRDefault="00157906" w:rsidP="00A01274">
      <w:pPr>
        <w:pStyle w:val="Norma"/>
      </w:pPr>
      <w:r>
        <w:t>The proposed timetable for the project is set out in the following table:</w:t>
      </w:r>
    </w:p>
    <w:p w14:paraId="62D9C565" w14:textId="77777777" w:rsidR="00157906" w:rsidRDefault="00157906" w:rsidP="00157906">
      <w:pPr>
        <w:pStyle w:val="Norma"/>
      </w:pPr>
    </w:p>
    <w:tbl>
      <w:tblPr>
        <w:tblStyle w:val="CCCTable"/>
        <w:tblW w:w="7497" w:type="dxa"/>
        <w:tblInd w:w="720" w:type="dxa"/>
        <w:tblLook w:val="04A0" w:firstRow="1" w:lastRow="0" w:firstColumn="1" w:lastColumn="0" w:noHBand="0" w:noVBand="1"/>
      </w:tblPr>
      <w:tblGrid>
        <w:gridCol w:w="1827"/>
        <w:gridCol w:w="5670"/>
      </w:tblGrid>
      <w:tr w:rsidR="00157906" w14:paraId="53EB15B7" w14:textId="77777777" w:rsidTr="00631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776AC53" w14:textId="77777777" w:rsidR="00157906" w:rsidRPr="00860066" w:rsidRDefault="00157906" w:rsidP="004A3015">
            <w:pPr>
              <w:pStyle w:val="BodyText"/>
              <w:rPr>
                <w:color w:val="FFFFFF" w:themeColor="background1"/>
              </w:rPr>
            </w:pPr>
            <w:r w:rsidRPr="00860066">
              <w:rPr>
                <w:color w:val="FFFFFF" w:themeColor="background1"/>
              </w:rPr>
              <w:t>Date</w:t>
            </w:r>
          </w:p>
        </w:tc>
        <w:tc>
          <w:tcPr>
            <w:tcW w:w="5670" w:type="dxa"/>
          </w:tcPr>
          <w:p w14:paraId="7EBDD6EC" w14:textId="77777777" w:rsidR="00157906" w:rsidRPr="004E670C" w:rsidRDefault="00157906" w:rsidP="004A3015">
            <w:pPr>
              <w:pStyle w:val="BodyText"/>
              <w:cnfStyle w:val="100000000000" w:firstRow="1" w:lastRow="0" w:firstColumn="0" w:lastColumn="0" w:oddVBand="0" w:evenVBand="0" w:oddHBand="0" w:evenHBand="0" w:firstRowFirstColumn="0" w:firstRowLastColumn="0" w:lastRowFirstColumn="0" w:lastRowLastColumn="0"/>
              <w:rPr>
                <w:b/>
                <w:color w:val="280049" w:themeColor="text1"/>
              </w:rPr>
            </w:pPr>
            <w:r w:rsidRPr="004E670C">
              <w:rPr>
                <w:b/>
                <w:color w:val="280049" w:themeColor="text1"/>
              </w:rPr>
              <w:t>Action/deliverable</w:t>
            </w:r>
          </w:p>
        </w:tc>
      </w:tr>
      <w:tr w:rsidR="009C5369" w14:paraId="41DB2B44" w14:textId="77777777" w:rsidTr="00631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7C788879" w14:textId="0ED52302" w:rsidR="009C5369" w:rsidRPr="00860066" w:rsidRDefault="009C5369" w:rsidP="004A3015">
            <w:pPr>
              <w:pStyle w:val="BodyText"/>
              <w:rPr>
                <w:color w:val="FFFFFF" w:themeColor="background1"/>
              </w:rPr>
            </w:pPr>
            <w:r>
              <w:rPr>
                <w:color w:val="FFFFFF" w:themeColor="background1"/>
              </w:rPr>
              <w:t>w/c 23 Feb</w:t>
            </w:r>
          </w:p>
        </w:tc>
        <w:tc>
          <w:tcPr>
            <w:tcW w:w="5670" w:type="dxa"/>
          </w:tcPr>
          <w:p w14:paraId="37187F5F" w14:textId="3BCE0554" w:rsidR="009C5369" w:rsidRPr="009C5369" w:rsidRDefault="009C5369" w:rsidP="004A3015">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sidRPr="009C5369">
              <w:rPr>
                <w:bCs/>
                <w:color w:val="280049" w:themeColor="text1"/>
              </w:rPr>
              <w:t>Deadline for submitting bids</w:t>
            </w:r>
          </w:p>
        </w:tc>
      </w:tr>
      <w:tr w:rsidR="009C5369" w14:paraId="4A20AC67" w14:textId="77777777" w:rsidTr="00631A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95C84DE" w14:textId="004013EA" w:rsidR="009C5369" w:rsidRDefault="009C5369" w:rsidP="004A3015">
            <w:pPr>
              <w:pStyle w:val="BodyText"/>
              <w:rPr>
                <w:color w:val="FFFFFF" w:themeColor="background1"/>
              </w:rPr>
            </w:pPr>
            <w:r>
              <w:rPr>
                <w:color w:val="FFFFFF" w:themeColor="background1"/>
              </w:rPr>
              <w:t>w/c 28 Feb</w:t>
            </w:r>
          </w:p>
        </w:tc>
        <w:tc>
          <w:tcPr>
            <w:tcW w:w="5670" w:type="dxa"/>
          </w:tcPr>
          <w:p w14:paraId="4D622B37" w14:textId="0B512A07" w:rsidR="009C5369" w:rsidRPr="009C5369" w:rsidRDefault="009C5369" w:rsidP="004A3015">
            <w:pPr>
              <w:pStyle w:val="BodyText"/>
              <w:cnfStyle w:val="000000010000" w:firstRow="0" w:lastRow="0" w:firstColumn="0" w:lastColumn="0" w:oddVBand="0" w:evenVBand="0" w:oddHBand="0" w:evenHBand="1" w:firstRowFirstColumn="0" w:firstRowLastColumn="0" w:lastRowFirstColumn="0" w:lastRowLastColumn="0"/>
              <w:rPr>
                <w:bCs/>
                <w:color w:val="280049" w:themeColor="text1"/>
              </w:rPr>
            </w:pPr>
            <w:r w:rsidRPr="009C5369">
              <w:rPr>
                <w:bCs/>
                <w:color w:val="280049" w:themeColor="text1"/>
              </w:rPr>
              <w:t>Interviews (if needed)</w:t>
            </w:r>
          </w:p>
        </w:tc>
      </w:tr>
      <w:tr w:rsidR="00461097" w14:paraId="5A92A4C7" w14:textId="77777777" w:rsidTr="00631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E9EE6C6" w14:textId="516A30AD" w:rsidR="00461097" w:rsidRDefault="00461097" w:rsidP="004A3015">
            <w:pPr>
              <w:pStyle w:val="BodyText"/>
              <w:rPr>
                <w:color w:val="FFFFFF" w:themeColor="background1"/>
              </w:rPr>
            </w:pPr>
            <w:r>
              <w:rPr>
                <w:color w:val="FFFFFF" w:themeColor="background1"/>
              </w:rPr>
              <w:t>w/c 7 Mar</w:t>
            </w:r>
          </w:p>
        </w:tc>
        <w:tc>
          <w:tcPr>
            <w:tcW w:w="5670" w:type="dxa"/>
          </w:tcPr>
          <w:p w14:paraId="7107FD70" w14:textId="2222E1B7" w:rsidR="00461097" w:rsidRPr="009C5369" w:rsidRDefault="00461097" w:rsidP="004A3015">
            <w:pPr>
              <w:pStyle w:val="BodyText"/>
              <w:cnfStyle w:val="000000100000" w:firstRow="0" w:lastRow="0" w:firstColumn="0" w:lastColumn="0" w:oddVBand="0" w:evenVBand="0" w:oddHBand="1" w:evenHBand="0" w:firstRowFirstColumn="0" w:firstRowLastColumn="0" w:lastRowFirstColumn="0" w:lastRowLastColumn="0"/>
              <w:rPr>
                <w:bCs/>
                <w:color w:val="280049" w:themeColor="text1"/>
              </w:rPr>
            </w:pPr>
            <w:r>
              <w:rPr>
                <w:bCs/>
                <w:color w:val="280049" w:themeColor="text1"/>
              </w:rPr>
              <w:t>Kick off meeting</w:t>
            </w:r>
          </w:p>
        </w:tc>
      </w:tr>
      <w:tr w:rsidR="00B73C8E" w14:paraId="2DB7ADB7" w14:textId="77777777" w:rsidTr="00631A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69052636" w14:textId="15CBA43E" w:rsidR="00B73C8E" w:rsidRPr="00860066" w:rsidRDefault="00F23B18" w:rsidP="00B73C8E">
            <w:pPr>
              <w:pStyle w:val="BodyText"/>
              <w:rPr>
                <w:color w:val="FFFFFF" w:themeColor="background1"/>
              </w:rPr>
            </w:pPr>
            <w:r>
              <w:rPr>
                <w:color w:val="FFFFFF" w:themeColor="background1"/>
              </w:rPr>
              <w:t>w/c 25 March</w:t>
            </w:r>
          </w:p>
        </w:tc>
        <w:tc>
          <w:tcPr>
            <w:tcW w:w="5670" w:type="dxa"/>
          </w:tcPr>
          <w:p w14:paraId="0597DAF5" w14:textId="2475FDB6" w:rsidR="00B73C8E" w:rsidRPr="004E670C" w:rsidRDefault="00F23B18" w:rsidP="00B73C8E">
            <w:pPr>
              <w:pStyle w:val="BodyText"/>
              <w:cnfStyle w:val="000000010000" w:firstRow="0" w:lastRow="0" w:firstColumn="0" w:lastColumn="0" w:oddVBand="0" w:evenVBand="0" w:oddHBand="0" w:evenHBand="1" w:firstRowFirstColumn="0" w:firstRowLastColumn="0" w:lastRowFirstColumn="0" w:lastRowLastColumn="0"/>
              <w:rPr>
                <w:color w:val="280049" w:themeColor="text1"/>
              </w:rPr>
            </w:pPr>
            <w:r>
              <w:rPr>
                <w:color w:val="280049" w:themeColor="text1"/>
              </w:rPr>
              <w:t>Delivery of draft indicators and trajectories</w:t>
            </w:r>
          </w:p>
        </w:tc>
      </w:tr>
      <w:tr w:rsidR="00D62139" w14:paraId="5562EE78" w14:textId="77777777" w:rsidTr="00631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51A4D70C" w14:textId="23050D00" w:rsidR="00D62139" w:rsidRDefault="00F23B18" w:rsidP="00B73C8E">
            <w:pPr>
              <w:pStyle w:val="BodyText"/>
              <w:rPr>
                <w:color w:val="FFFFFF" w:themeColor="background1"/>
              </w:rPr>
            </w:pPr>
            <w:r>
              <w:rPr>
                <w:color w:val="FFFFFF" w:themeColor="background1"/>
              </w:rPr>
              <w:t>w/c 11 April</w:t>
            </w:r>
          </w:p>
        </w:tc>
        <w:tc>
          <w:tcPr>
            <w:tcW w:w="5670" w:type="dxa"/>
          </w:tcPr>
          <w:p w14:paraId="3BDAD67B" w14:textId="16881F9D" w:rsidR="00631A1E" w:rsidRPr="004E670C" w:rsidRDefault="00F23B18" w:rsidP="00B73C8E">
            <w:pPr>
              <w:pStyle w:val="BodyText"/>
              <w:cnfStyle w:val="000000100000" w:firstRow="0" w:lastRow="0" w:firstColumn="0" w:lastColumn="0" w:oddVBand="0" w:evenVBand="0" w:oddHBand="1" w:evenHBand="0" w:firstRowFirstColumn="0" w:firstRowLastColumn="0" w:lastRowFirstColumn="0" w:lastRowLastColumn="0"/>
              <w:rPr>
                <w:rFonts w:ascii="Century Gothic" w:hAnsi="Century Gothic"/>
                <w:color w:val="280049" w:themeColor="text1"/>
                <w:szCs w:val="20"/>
              </w:rPr>
            </w:pPr>
            <w:r>
              <w:rPr>
                <w:rFonts w:ascii="Century Gothic" w:hAnsi="Century Gothic"/>
                <w:color w:val="280049" w:themeColor="text1"/>
                <w:szCs w:val="20"/>
              </w:rPr>
              <w:t>Delivery of draft report</w:t>
            </w:r>
          </w:p>
        </w:tc>
      </w:tr>
      <w:tr w:rsidR="00D62139" w14:paraId="188B86EE" w14:textId="77777777" w:rsidTr="00631A1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7" w:type="dxa"/>
          </w:tcPr>
          <w:p w14:paraId="3FB4DE9F" w14:textId="6FE036E8" w:rsidR="00D62139" w:rsidRPr="00860066" w:rsidRDefault="00D62139" w:rsidP="00D62139">
            <w:pPr>
              <w:pStyle w:val="BodyText"/>
              <w:rPr>
                <w:color w:val="FFFFFF" w:themeColor="background1"/>
              </w:rPr>
            </w:pPr>
            <w:r>
              <w:rPr>
                <w:color w:val="FFFFFF" w:themeColor="background1"/>
              </w:rPr>
              <w:t xml:space="preserve">w/c </w:t>
            </w:r>
            <w:r w:rsidR="009C5369">
              <w:rPr>
                <w:color w:val="FFFFFF" w:themeColor="background1"/>
              </w:rPr>
              <w:t>25 April</w:t>
            </w:r>
          </w:p>
        </w:tc>
        <w:tc>
          <w:tcPr>
            <w:tcW w:w="5670" w:type="dxa"/>
          </w:tcPr>
          <w:p w14:paraId="18CD56E6" w14:textId="6A1D45A3" w:rsidR="00D62139" w:rsidRPr="004E670C" w:rsidRDefault="00D62139" w:rsidP="00D62139">
            <w:pPr>
              <w:pStyle w:val="BodyText"/>
              <w:cnfStyle w:val="000000010000" w:firstRow="0" w:lastRow="0" w:firstColumn="0" w:lastColumn="0" w:oddVBand="0" w:evenVBand="0" w:oddHBand="0" w:evenHBand="1" w:firstRowFirstColumn="0" w:firstRowLastColumn="0" w:lastRowFirstColumn="0" w:lastRowLastColumn="0"/>
              <w:rPr>
                <w:color w:val="280049" w:themeColor="text1"/>
              </w:rPr>
            </w:pPr>
            <w:r w:rsidRPr="004E670C">
              <w:rPr>
                <w:rFonts w:ascii="Century Gothic" w:hAnsi="Century Gothic"/>
                <w:color w:val="280049" w:themeColor="text1"/>
                <w:szCs w:val="20"/>
              </w:rPr>
              <w:t>Delivery of final report</w:t>
            </w:r>
            <w:r w:rsidR="00F23B18">
              <w:rPr>
                <w:rFonts w:ascii="Century Gothic" w:hAnsi="Century Gothic"/>
                <w:color w:val="280049" w:themeColor="text1"/>
                <w:szCs w:val="20"/>
              </w:rPr>
              <w:t>, indicators and trajectories</w:t>
            </w:r>
          </w:p>
        </w:tc>
      </w:tr>
    </w:tbl>
    <w:p w14:paraId="7B16F288" w14:textId="77777777" w:rsidR="00157906" w:rsidRDefault="00157906" w:rsidP="00157906">
      <w:pPr>
        <w:pStyle w:val="Norma"/>
      </w:pPr>
    </w:p>
    <w:p w14:paraId="556BB681" w14:textId="77777777" w:rsidR="00B73C8E" w:rsidRDefault="00157906" w:rsidP="00B73C8E">
      <w:pPr>
        <w:pStyle w:val="Norma"/>
        <w:spacing w:after="120"/>
      </w:pPr>
      <w:r>
        <w:t>The CCC is willing to be flexible with timelines and will consider alternative timetable proposals.</w:t>
      </w:r>
      <w:r w:rsidR="00B73C8E">
        <w:t xml:space="preserve"> </w:t>
      </w:r>
    </w:p>
    <w:p w14:paraId="29C0F52F" w14:textId="1268B16F" w:rsidR="003A05B7" w:rsidRPr="00157906" w:rsidRDefault="00B73C8E" w:rsidP="00B73C8E">
      <w:pPr>
        <w:pStyle w:val="Norma"/>
        <w:spacing w:after="120"/>
      </w:pPr>
      <w:r w:rsidRPr="00B73C8E">
        <w:t>In addition to the formal reporting points, the CCC would expect to have regular scheduled discussions (weekly meetings or calls) to ensure the work is progressing as expected.</w:t>
      </w:r>
    </w:p>
    <w:p w14:paraId="6A8AE529" w14:textId="3CA1D2C2" w:rsidR="003A05B7" w:rsidRPr="00157906" w:rsidRDefault="003A05B7" w:rsidP="00157906">
      <w:pPr>
        <w:pStyle w:val="Heading1"/>
        <w:numPr>
          <w:ilvl w:val="0"/>
          <w:numId w:val="1"/>
        </w:numPr>
      </w:pPr>
      <w:bookmarkStart w:id="26" w:name="_Ref357541731"/>
      <w:bookmarkStart w:id="27" w:name="_Toc381969514"/>
      <w:bookmarkStart w:id="28" w:name="_Toc405888463"/>
      <w:bookmarkStart w:id="29" w:name="_Toc83376646"/>
      <w:r w:rsidRPr="00157906">
        <w:t>Challenges</w:t>
      </w:r>
      <w:bookmarkEnd w:id="26"/>
      <w:bookmarkEnd w:id="27"/>
      <w:bookmarkEnd w:id="28"/>
      <w:bookmarkEnd w:id="29"/>
    </w:p>
    <w:p w14:paraId="5576B0B1" w14:textId="7A24D68C" w:rsidR="0038388A" w:rsidRPr="00157906" w:rsidRDefault="00651C77" w:rsidP="00651C77">
      <w:pPr>
        <w:pStyle w:val="Norma"/>
      </w:pPr>
      <w:r w:rsidRPr="00AC0FB8">
        <w:t>Tenderers should highlight any challenges or risks that they envisage in delivering all the outputs of the project, whether in terms of scope of the work, resources</w:t>
      </w:r>
      <w:r w:rsidR="00172CCD">
        <w:t>,</w:t>
      </w:r>
      <w:r w:rsidRPr="00AC0FB8">
        <w:t xml:space="preserve"> or timelines. Alternative suggestions will be considered if the risks are such that the project is unlikely to be able to be delivered in its current form.</w:t>
      </w:r>
    </w:p>
    <w:p w14:paraId="01C079ED" w14:textId="38326389" w:rsidR="0038388A" w:rsidRPr="00D720D9" w:rsidRDefault="0038388A" w:rsidP="00385FE3">
      <w:pPr>
        <w:pStyle w:val="Heading1"/>
        <w:numPr>
          <w:ilvl w:val="0"/>
          <w:numId w:val="1"/>
        </w:numPr>
      </w:pPr>
      <w:bookmarkStart w:id="30" w:name="_Ref338852517"/>
      <w:bookmarkStart w:id="31" w:name="_Toc381969516"/>
      <w:bookmarkStart w:id="32" w:name="_Toc405888465"/>
      <w:bookmarkStart w:id="33" w:name="_Toc83376648"/>
      <w:r w:rsidRPr="00D720D9">
        <w:t>Working Arrangements</w:t>
      </w:r>
      <w:bookmarkEnd w:id="30"/>
      <w:bookmarkEnd w:id="31"/>
      <w:bookmarkEnd w:id="32"/>
      <w:bookmarkEnd w:id="33"/>
    </w:p>
    <w:p w14:paraId="7E5660C9" w14:textId="77777777" w:rsidR="00B73C8E" w:rsidRDefault="0038388A" w:rsidP="00386BE2">
      <w:pPr>
        <w:pStyle w:val="Norma"/>
        <w:spacing w:after="240"/>
      </w:pPr>
      <w:r w:rsidRPr="00651C77">
        <w:t xml:space="preserve">The successful contractor will be expected to identify one named point of contract through whom all enquiries can be filtered. A CCC project manager will be assigned to the project and will be the central point of contact. </w:t>
      </w:r>
    </w:p>
    <w:p w14:paraId="4A8773AC" w14:textId="650070B1" w:rsidR="0038388A" w:rsidRPr="0038388A" w:rsidRDefault="0038388A" w:rsidP="00385FE3">
      <w:pPr>
        <w:pStyle w:val="Heading1"/>
        <w:numPr>
          <w:ilvl w:val="0"/>
          <w:numId w:val="1"/>
        </w:numPr>
      </w:pPr>
      <w:bookmarkStart w:id="34" w:name="_Toc83376649"/>
      <w:r w:rsidRPr="0038388A">
        <w:t xml:space="preserve">Skills and </w:t>
      </w:r>
      <w:r w:rsidR="00040453">
        <w:t>E</w:t>
      </w:r>
      <w:r w:rsidRPr="0038388A">
        <w:t>xperience</w:t>
      </w:r>
      <w:bookmarkEnd w:id="34"/>
    </w:p>
    <w:p w14:paraId="045E359F" w14:textId="5717837C" w:rsidR="0038388A" w:rsidRPr="0038388A" w:rsidRDefault="00172CCD" w:rsidP="00651C77">
      <w:pPr>
        <w:pStyle w:val="Norma"/>
        <w:rPr>
          <w:highlight w:val="yellow"/>
        </w:rPr>
      </w:pPr>
      <w:r>
        <w:t xml:space="preserve">The </w:t>
      </w:r>
      <w:r w:rsidR="0038388A" w:rsidRPr="0038388A">
        <w:t>CCC would like you to demonstrate that you have the experience and capabilities to undertake the project. Your tender response should include a summary of each proposed team member</w:t>
      </w:r>
      <w:r>
        <w:t>’</w:t>
      </w:r>
      <w:r w:rsidR="0038388A" w:rsidRPr="0038388A">
        <w:t>s experience and capabilities.</w:t>
      </w:r>
      <w:r w:rsidR="0038388A" w:rsidRPr="0038388A">
        <w:rPr>
          <w:highlight w:val="yellow"/>
        </w:rPr>
        <w:t xml:space="preserve"> </w:t>
      </w:r>
    </w:p>
    <w:p w14:paraId="2D3BD37A" w14:textId="77777777" w:rsidR="0038388A" w:rsidRPr="0038388A" w:rsidRDefault="0038388A" w:rsidP="00651C77">
      <w:pPr>
        <w:pStyle w:val="Norma"/>
      </w:pPr>
    </w:p>
    <w:p w14:paraId="6B2CCA6E" w14:textId="78B90DCC" w:rsidR="0038388A" w:rsidRPr="0038388A" w:rsidRDefault="0038388A" w:rsidP="00651C77">
      <w:pPr>
        <w:pStyle w:val="Norma"/>
      </w:pPr>
      <w:r w:rsidRPr="0038388A">
        <w:t>Contractors should propose named members of the project team, and include the tasks and responsibilities of each team member. This should be clearly linked to the work programme, indicating the grade/seniority of staff and number of days allocated to specific tasks.</w:t>
      </w:r>
    </w:p>
    <w:p w14:paraId="305ED95E" w14:textId="77777777" w:rsidR="0038388A" w:rsidRPr="0038388A" w:rsidRDefault="0038388A" w:rsidP="00651C77">
      <w:pPr>
        <w:pStyle w:val="Norma"/>
      </w:pPr>
    </w:p>
    <w:p w14:paraId="5C1464B8" w14:textId="1B9CAB24" w:rsidR="0038388A" w:rsidRPr="0038388A" w:rsidRDefault="0038388A" w:rsidP="00651C77">
      <w:pPr>
        <w:pStyle w:val="Norma"/>
      </w:pPr>
      <w:r w:rsidRPr="0038388A">
        <w:t>Contractors should identify the individual(s) who will be responsible for managing the project.</w:t>
      </w:r>
      <w:bookmarkStart w:id="35" w:name="_Ref338852499"/>
    </w:p>
    <w:p w14:paraId="1568BF56" w14:textId="77777777" w:rsidR="0038388A" w:rsidRPr="0038388A" w:rsidRDefault="0038388A" w:rsidP="00385FE3">
      <w:pPr>
        <w:pStyle w:val="Heading1"/>
        <w:numPr>
          <w:ilvl w:val="0"/>
          <w:numId w:val="1"/>
        </w:numPr>
      </w:pPr>
      <w:bookmarkStart w:id="36" w:name="_Ref373505239"/>
      <w:bookmarkStart w:id="37" w:name="_Toc381969518"/>
      <w:bookmarkStart w:id="38" w:name="_Toc405888467"/>
      <w:bookmarkStart w:id="39" w:name="_Toc83376650"/>
      <w:r w:rsidRPr="0038388A">
        <w:t>Consortium Bids</w:t>
      </w:r>
      <w:bookmarkEnd w:id="36"/>
      <w:bookmarkEnd w:id="37"/>
      <w:bookmarkEnd w:id="38"/>
      <w:bookmarkEnd w:id="39"/>
    </w:p>
    <w:p w14:paraId="67F2973E" w14:textId="69780436" w:rsidR="0038388A" w:rsidRPr="0038388A" w:rsidRDefault="0038388A" w:rsidP="00386BE2">
      <w:pPr>
        <w:pStyle w:val="Norma"/>
        <w:spacing w:after="240"/>
        <w:rPr>
          <w:rFonts w:cs="Arial"/>
        </w:rPr>
      </w:pPr>
      <w:r w:rsidRPr="0038388A">
        <w:rPr>
          <w:rFonts w:cs="Arial"/>
        </w:rPr>
        <w:t xml:space="preserve">In the case of a consortium tender, only one submission covering </w:t>
      </w:r>
      <w:proofErr w:type="gramStart"/>
      <w:r w:rsidRPr="0038388A">
        <w:rPr>
          <w:rFonts w:cs="Arial"/>
        </w:rPr>
        <w:t>all of</w:t>
      </w:r>
      <w:proofErr w:type="gramEnd"/>
      <w:r w:rsidRPr="0038388A">
        <w:rPr>
          <w:rFonts w:cs="Arial"/>
        </w:rPr>
        <w:t xml:space="preserve"> the partners is required</w:t>
      </w:r>
      <w:r w:rsidR="00172CCD">
        <w:rPr>
          <w:rFonts w:cs="Arial"/>
        </w:rPr>
        <w:t>,</w:t>
      </w:r>
      <w:r w:rsidRPr="0038388A">
        <w:rPr>
          <w:rFonts w:cs="Arial"/>
        </w:rPr>
        <w:t xml:space="preserve"> but consortia are advised to make clear the proposed role that each partner will play in performing the contract as per the requirements of the technical specification</w:t>
      </w:r>
      <w:r w:rsidR="007A5261">
        <w:rPr>
          <w:rFonts w:cs="Arial"/>
        </w:rPr>
        <w:t xml:space="preserve">. </w:t>
      </w:r>
      <w:r w:rsidRPr="0038388A">
        <w:rPr>
          <w:rFonts w:cs="Arial"/>
        </w:rPr>
        <w:t>We expect the bidder to indicate who in the consortium will be the lead contact for this project, and the organisation and governance associated with the consorti</w:t>
      </w:r>
      <w:r w:rsidR="00172CCD">
        <w:rPr>
          <w:rFonts w:cs="Arial"/>
        </w:rPr>
        <w:t>um</w:t>
      </w:r>
      <w:r w:rsidRPr="0038388A">
        <w:rPr>
          <w:rFonts w:cs="Arial"/>
        </w:rPr>
        <w:t>.</w:t>
      </w:r>
    </w:p>
    <w:p w14:paraId="1E73C1CD" w14:textId="77777777" w:rsidR="0038388A" w:rsidRPr="0038388A" w:rsidRDefault="0038388A" w:rsidP="00651C77">
      <w:pPr>
        <w:pStyle w:val="Norma"/>
        <w:rPr>
          <w:rFonts w:cs="Arial"/>
        </w:rPr>
      </w:pPr>
      <w:r w:rsidRPr="0038388A">
        <w:rPr>
          <w:rFonts w:cs="Arial"/>
        </w:rPr>
        <w:t>Contractors must provide details as to how they will manage any sub-contractors and what percentage of the tendered activity (in terms of monetary value) will be sub-contracted.</w:t>
      </w:r>
    </w:p>
    <w:p w14:paraId="59DE9097" w14:textId="77777777" w:rsidR="0038388A" w:rsidRPr="0038388A" w:rsidRDefault="0038388A" w:rsidP="00651C77">
      <w:pPr>
        <w:pStyle w:val="Norma"/>
        <w:rPr>
          <w:rFonts w:cs="Arial"/>
          <w:lang w:eastAsia="en-GB"/>
        </w:rPr>
      </w:pPr>
    </w:p>
    <w:p w14:paraId="4A5DD6C2" w14:textId="34586475" w:rsidR="0038388A" w:rsidRPr="0038388A" w:rsidRDefault="0038388A" w:rsidP="00651C77">
      <w:pPr>
        <w:pStyle w:val="Norma"/>
        <w:rPr>
          <w:rFonts w:cs="Arial"/>
        </w:rPr>
      </w:pPr>
      <w:r w:rsidRPr="0038388A">
        <w:rPr>
          <w:rFonts w:cs="Arial"/>
        </w:rPr>
        <w:lastRenderedPageBreak/>
        <w:t xml:space="preserve">If a consortium is not proposing to form a corporate entity, full details of alternative proposed arrangements should be provided. However, please note </w:t>
      </w:r>
      <w:r w:rsidR="00172CCD">
        <w:rPr>
          <w:rFonts w:cs="Arial"/>
        </w:rPr>
        <w:t xml:space="preserve">that the </w:t>
      </w:r>
      <w:r w:rsidRPr="0038388A">
        <w:rPr>
          <w:rFonts w:cs="Arial"/>
        </w:rPr>
        <w:t xml:space="preserve">CCC reserves the right to require a successful consortium to form a single legal entity in accordance with Regulation 28 of the Public Contracts Regulations 2006. </w:t>
      </w:r>
    </w:p>
    <w:p w14:paraId="0D04AB85" w14:textId="77777777" w:rsidR="0038388A" w:rsidRPr="0038388A" w:rsidRDefault="0038388A" w:rsidP="00651C77">
      <w:pPr>
        <w:pStyle w:val="Norma"/>
        <w:rPr>
          <w:rFonts w:cs="Arial"/>
        </w:rPr>
      </w:pPr>
    </w:p>
    <w:p w14:paraId="0C11B1BA" w14:textId="45C637C5" w:rsidR="0038388A" w:rsidRDefault="00172CCD" w:rsidP="00651C77">
      <w:pPr>
        <w:pStyle w:val="Norma"/>
        <w:rPr>
          <w:rFonts w:cs="Arial"/>
        </w:rPr>
      </w:pPr>
      <w:r>
        <w:rPr>
          <w:rFonts w:cs="Arial"/>
        </w:rPr>
        <w:t xml:space="preserve">The </w:t>
      </w:r>
      <w:r w:rsidR="0038388A" w:rsidRPr="0038388A">
        <w:rPr>
          <w:rFonts w:cs="Arial"/>
        </w:rPr>
        <w:t xml:space="preserve">CCC recognises that arrangements in relation to consortia may (within limits) be subject to future change. Potential </w:t>
      </w:r>
      <w:r w:rsidR="006C39E8">
        <w:rPr>
          <w:rFonts w:cs="Arial"/>
        </w:rPr>
        <w:t>p</w:t>
      </w:r>
      <w:r w:rsidR="0038388A" w:rsidRPr="0038388A">
        <w:rPr>
          <w:rFonts w:cs="Arial"/>
        </w:rPr>
        <w:t xml:space="preserve">roviders should therefore respond in the light of the arrangements as currently envisaged. Potential </w:t>
      </w:r>
      <w:r w:rsidR="006C39E8">
        <w:rPr>
          <w:rFonts w:cs="Arial"/>
        </w:rPr>
        <w:t>p</w:t>
      </w:r>
      <w:r w:rsidR="0038388A" w:rsidRPr="0038388A">
        <w:rPr>
          <w:rFonts w:cs="Arial"/>
        </w:rPr>
        <w:t xml:space="preserve">roviders are reminded that any future proposed change in relation to consortia must be notified to </w:t>
      </w:r>
      <w:r>
        <w:rPr>
          <w:rFonts w:cs="Arial"/>
        </w:rPr>
        <w:t xml:space="preserve">the </w:t>
      </w:r>
      <w:r w:rsidR="0038388A" w:rsidRPr="0038388A">
        <w:rPr>
          <w:rFonts w:cs="Arial"/>
        </w:rPr>
        <w:t xml:space="preserve">CCC so that it can make a further assessment by applying the selection criteria to the new information provided. </w:t>
      </w:r>
    </w:p>
    <w:p w14:paraId="1DDBDA6E" w14:textId="77777777" w:rsidR="0038388A" w:rsidRPr="00D720D9" w:rsidRDefault="0038388A" w:rsidP="00385FE3">
      <w:pPr>
        <w:pStyle w:val="Heading1"/>
        <w:numPr>
          <w:ilvl w:val="0"/>
          <w:numId w:val="1"/>
        </w:numPr>
      </w:pPr>
      <w:bookmarkStart w:id="40" w:name="_Ref357541811"/>
      <w:bookmarkStart w:id="41" w:name="_Toc381969519"/>
      <w:bookmarkStart w:id="42" w:name="_Toc405888468"/>
      <w:bookmarkStart w:id="43" w:name="_Toc83376651"/>
      <w:bookmarkStart w:id="44" w:name="_Toc246831559"/>
      <w:bookmarkStart w:id="45" w:name="_Toc271272917"/>
      <w:bookmarkStart w:id="46" w:name="_Ref338852577"/>
      <w:bookmarkEnd w:id="35"/>
      <w:r w:rsidRPr="00D720D9">
        <w:t>Budget</w:t>
      </w:r>
      <w:bookmarkEnd w:id="40"/>
      <w:bookmarkEnd w:id="41"/>
      <w:bookmarkEnd w:id="42"/>
      <w:bookmarkEnd w:id="43"/>
      <w:r w:rsidRPr="00D720D9">
        <w:t xml:space="preserve"> </w:t>
      </w:r>
    </w:p>
    <w:p w14:paraId="32334C7F" w14:textId="5C8A95E5" w:rsidR="0038388A" w:rsidRPr="00651C77" w:rsidRDefault="0038388A" w:rsidP="00651C77">
      <w:pPr>
        <w:pStyle w:val="Norma"/>
        <w:rPr>
          <w:b/>
          <w:bCs w:val="0"/>
          <w:color w:val="FF0000"/>
        </w:rPr>
      </w:pPr>
      <w:r w:rsidRPr="00D720D9">
        <w:rPr>
          <w:b/>
          <w:bCs w:val="0"/>
        </w:rPr>
        <w:t xml:space="preserve">The budget for this </w:t>
      </w:r>
      <w:r w:rsidRPr="00461097">
        <w:rPr>
          <w:b/>
          <w:bCs w:val="0"/>
        </w:rPr>
        <w:t xml:space="preserve">project is </w:t>
      </w:r>
      <w:r w:rsidR="000F19EB" w:rsidRPr="00461097">
        <w:rPr>
          <w:b/>
          <w:bCs w:val="0"/>
        </w:rPr>
        <w:t>£33,000-£42,000 excluding VAT</w:t>
      </w:r>
      <w:r w:rsidRPr="00461097">
        <w:rPr>
          <w:b/>
          <w:bCs w:val="0"/>
        </w:rPr>
        <w:t>.</w:t>
      </w:r>
      <w:r w:rsidRPr="00651C77">
        <w:rPr>
          <w:b/>
          <w:bCs w:val="0"/>
        </w:rPr>
        <w:t xml:space="preserve"> </w:t>
      </w:r>
    </w:p>
    <w:p w14:paraId="750A7CA0" w14:textId="77777777" w:rsidR="0038388A" w:rsidRPr="0038388A" w:rsidRDefault="0038388A" w:rsidP="00651C77">
      <w:pPr>
        <w:pStyle w:val="Norma"/>
        <w:rPr>
          <w:rFonts w:cs="Arial"/>
        </w:rPr>
      </w:pPr>
    </w:p>
    <w:p w14:paraId="2E5BF3D2" w14:textId="744EE71B" w:rsidR="0038388A" w:rsidRPr="0038388A" w:rsidRDefault="0038388A" w:rsidP="00651C77">
      <w:pPr>
        <w:pStyle w:val="Norma"/>
        <w:rPr>
          <w:rFonts w:cs="Arial"/>
        </w:rPr>
      </w:pPr>
      <w:r w:rsidRPr="0038388A">
        <w:rPr>
          <w:rFonts w:cs="Arial"/>
        </w:rPr>
        <w:t xml:space="preserve">Contractors should provide a full and detailed breakdown of costs (including options where appropriate). This should include staff (and day rate) allocated to specific tasks. </w:t>
      </w:r>
      <w:bookmarkEnd w:id="44"/>
      <w:bookmarkEnd w:id="45"/>
      <w:bookmarkEnd w:id="46"/>
    </w:p>
    <w:p w14:paraId="18A59622" w14:textId="77777777" w:rsidR="0038388A" w:rsidRPr="0038388A" w:rsidRDefault="0038388A" w:rsidP="00651C77">
      <w:pPr>
        <w:pStyle w:val="Norma"/>
        <w:rPr>
          <w:rFonts w:cs="Arial"/>
        </w:rPr>
      </w:pPr>
    </w:p>
    <w:p w14:paraId="237D5DD6" w14:textId="77777777" w:rsidR="0038388A" w:rsidRPr="0038388A" w:rsidRDefault="0038388A" w:rsidP="00651C77">
      <w:pPr>
        <w:pStyle w:val="Norma"/>
        <w:rPr>
          <w:rFonts w:cs="Arial"/>
          <w:b/>
          <w:color w:val="FF0000"/>
        </w:rPr>
      </w:pPr>
      <w:r w:rsidRPr="0038388A">
        <w:rPr>
          <w:rFonts w:cs="Arial"/>
        </w:rPr>
        <w:t xml:space="preserve">Cost will be a criterion against which bids which will be assessed. </w:t>
      </w:r>
    </w:p>
    <w:p w14:paraId="1B859929" w14:textId="77777777" w:rsidR="0038388A" w:rsidRPr="0038388A" w:rsidRDefault="0038388A" w:rsidP="00651C77">
      <w:pPr>
        <w:pStyle w:val="Norma"/>
        <w:rPr>
          <w:rFonts w:cs="Arial"/>
        </w:rPr>
      </w:pPr>
    </w:p>
    <w:p w14:paraId="6F517922" w14:textId="008DCF77" w:rsidR="0038388A" w:rsidRPr="0038388A" w:rsidRDefault="0038388A" w:rsidP="00651C77">
      <w:pPr>
        <w:pStyle w:val="Norma"/>
        <w:rPr>
          <w:rFonts w:cs="Arial"/>
        </w:rPr>
      </w:pPr>
      <w:r w:rsidRPr="00447329">
        <w:rPr>
          <w:rFonts w:cs="Arial"/>
        </w:rPr>
        <w:t>Payments will be linked to delivery of key milestones</w:t>
      </w:r>
      <w:r w:rsidR="00B22DAC" w:rsidRPr="00447329">
        <w:rPr>
          <w:rFonts w:cs="Arial"/>
        </w:rPr>
        <w:t>, with 50% expected to be delivered this financial year (2021/22) and 50% the next financial year (2022/23)</w:t>
      </w:r>
      <w:r w:rsidRPr="00447329">
        <w:rPr>
          <w:rFonts w:cs="Arial"/>
        </w:rPr>
        <w:t xml:space="preserve">. The indicative milestones and phasing of payments can be adjusted and agreed with the contractor and </w:t>
      </w:r>
      <w:r w:rsidR="006C39E8" w:rsidRPr="00447329">
        <w:rPr>
          <w:rFonts w:cs="Arial"/>
        </w:rPr>
        <w:t>p</w:t>
      </w:r>
      <w:r w:rsidRPr="00447329">
        <w:rPr>
          <w:rFonts w:cs="Arial"/>
        </w:rPr>
        <w:t xml:space="preserve">roject </w:t>
      </w:r>
      <w:r w:rsidR="006C39E8" w:rsidRPr="00447329">
        <w:rPr>
          <w:rFonts w:cs="Arial"/>
        </w:rPr>
        <w:t>m</w:t>
      </w:r>
      <w:r w:rsidRPr="00447329">
        <w:rPr>
          <w:rFonts w:cs="Arial"/>
        </w:rPr>
        <w:t>anager. Please advise in your tender response how this breakdown reflects your usual payment processes</w:t>
      </w:r>
      <w:r w:rsidR="006C39E8" w:rsidRPr="00447329">
        <w:rPr>
          <w:rFonts w:cs="Arial"/>
        </w:rPr>
        <w:t>.</w:t>
      </w:r>
    </w:p>
    <w:p w14:paraId="23A0F2E2" w14:textId="77777777" w:rsidR="0038388A" w:rsidRPr="0038388A" w:rsidRDefault="0038388A" w:rsidP="00651C77">
      <w:pPr>
        <w:pStyle w:val="Norma"/>
        <w:rPr>
          <w:rFonts w:cs="Arial"/>
        </w:rPr>
      </w:pPr>
    </w:p>
    <w:p w14:paraId="7092805F" w14:textId="77777777" w:rsidR="0038388A" w:rsidRPr="0038388A" w:rsidRDefault="0038388A" w:rsidP="00651C77">
      <w:pPr>
        <w:pStyle w:val="Norma"/>
        <w:rPr>
          <w:rFonts w:eastAsia="MS Mincho"/>
        </w:rPr>
      </w:pPr>
      <w:r w:rsidRPr="0038388A">
        <w:rPr>
          <w:rFonts w:eastAsia="MS Mincho"/>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00651C77">
      <w:pPr>
        <w:pStyle w:val="Norma"/>
        <w:rPr>
          <w:rFonts w:eastAsia="MS Mincho"/>
        </w:rPr>
      </w:pPr>
    </w:p>
    <w:p w14:paraId="071A513C" w14:textId="507D80D6" w:rsidR="0038388A" w:rsidRDefault="0038388A" w:rsidP="00651C77">
      <w:pPr>
        <w:pStyle w:val="Norma"/>
        <w:rPr>
          <w:rFonts w:eastAsia="MS Mincho"/>
        </w:rPr>
      </w:pPr>
      <w:r w:rsidRPr="0038388A">
        <w:rPr>
          <w:rFonts w:eastAsia="MS Mincho"/>
        </w:rPr>
        <w:t xml:space="preserve">The </w:t>
      </w:r>
      <w:r w:rsidR="006C39E8">
        <w:rPr>
          <w:rFonts w:eastAsia="MS Mincho"/>
        </w:rPr>
        <w:t>CCC</w:t>
      </w:r>
      <w:r w:rsidRPr="0038388A">
        <w:rPr>
          <w:rFonts w:eastAsia="MS Mincho"/>
        </w:rPr>
        <w:t xml:space="preserve"> aims to pay all correctly submitted invoices as soon as possible</w:t>
      </w:r>
      <w:r w:rsidR="006C39E8">
        <w:rPr>
          <w:rFonts w:eastAsia="MS Mincho"/>
        </w:rPr>
        <w:t>,</w:t>
      </w:r>
      <w:r w:rsidRPr="0038388A">
        <w:rPr>
          <w:rFonts w:eastAsia="MS Mincho"/>
        </w:rPr>
        <w:t xml:space="preserve"> with a target of 10 days from the date of receipt and within 30 days at the latest in line with standard terms and conditions of contract.</w:t>
      </w:r>
    </w:p>
    <w:p w14:paraId="5A7A6770" w14:textId="77777777" w:rsidR="0038388A" w:rsidRPr="0038388A" w:rsidRDefault="0038388A" w:rsidP="00385FE3">
      <w:pPr>
        <w:pStyle w:val="Heading1"/>
        <w:numPr>
          <w:ilvl w:val="0"/>
          <w:numId w:val="1"/>
        </w:numPr>
      </w:pPr>
      <w:bookmarkStart w:id="47" w:name="_Ref357541836"/>
      <w:bookmarkStart w:id="48" w:name="_Toc381969520"/>
      <w:bookmarkStart w:id="49" w:name="_Toc405888469"/>
      <w:bookmarkStart w:id="50" w:name="_Toc83376652"/>
      <w:r w:rsidRPr="0038388A">
        <w:t>Evaluation of Tenders</w:t>
      </w:r>
      <w:bookmarkEnd w:id="47"/>
      <w:bookmarkEnd w:id="48"/>
      <w:bookmarkEnd w:id="49"/>
      <w:bookmarkEnd w:id="50"/>
    </w:p>
    <w:p w14:paraId="1CCEBD71" w14:textId="304265D5" w:rsidR="0038388A" w:rsidRPr="0038388A" w:rsidRDefault="0038388A" w:rsidP="00651C77">
      <w:pPr>
        <w:pStyle w:val="Norma"/>
      </w:pPr>
      <w:r w:rsidRPr="0038388A">
        <w:t xml:space="preserve">Contractors are invited to submit full tenders of no more </w:t>
      </w:r>
      <w:r w:rsidRPr="008059A3">
        <w:t>than 35 pages</w:t>
      </w:r>
      <w:r w:rsidRPr="0038388A">
        <w:t xml:space="preserve">, excluding declarations and CVs. Tenders will be evaluated by at least </w:t>
      </w:r>
      <w:r w:rsidR="006C39E8">
        <w:t>two</w:t>
      </w:r>
      <w:r w:rsidRPr="0038388A">
        <w:t xml:space="preserve"> CCC staff.</w:t>
      </w:r>
    </w:p>
    <w:p w14:paraId="42464FDF" w14:textId="77777777" w:rsidR="0038388A" w:rsidRPr="0038388A" w:rsidRDefault="0038388A" w:rsidP="00651C77">
      <w:pPr>
        <w:pStyle w:val="Norma"/>
      </w:pPr>
    </w:p>
    <w:p w14:paraId="33AD3B23" w14:textId="75698997" w:rsidR="00A01274" w:rsidRDefault="006C39E8" w:rsidP="00A01274">
      <w:pPr>
        <w:pStyle w:val="Norma"/>
        <w:rPr>
          <w:rFonts w:cs="Arial"/>
        </w:rPr>
      </w:pPr>
      <w:r>
        <w:rPr>
          <w:rFonts w:cs="Arial"/>
        </w:rPr>
        <w:t xml:space="preserve">The </w:t>
      </w:r>
      <w:r w:rsidR="0038388A" w:rsidRPr="0038388A">
        <w:rPr>
          <w:rFonts w:cs="Arial"/>
        </w:rPr>
        <w:t>CCC will select the bidder that scores highest against the criteria and weighting listed below</w:t>
      </w:r>
      <w:r>
        <w:rPr>
          <w:rFonts w:cs="Arial"/>
        </w:rPr>
        <w:t xml:space="preserve"> –</w:t>
      </w:r>
      <w:r w:rsidR="0038388A" w:rsidRPr="0038388A">
        <w:rPr>
          <w:rFonts w:cs="Arial"/>
        </w:rPr>
        <w:t xml:space="preserve"> see the ITT for further information.</w:t>
      </w:r>
    </w:p>
    <w:p w14:paraId="60EC1450" w14:textId="406264F7" w:rsidR="0038388A" w:rsidRPr="008059A3" w:rsidRDefault="008059A3" w:rsidP="008059A3">
      <w:pPr>
        <w:pStyle w:val="Heading4"/>
      </w:pPr>
      <w:r>
        <w:t>Evaluation criteria and scoring methodology</w:t>
      </w:r>
    </w:p>
    <w:tbl>
      <w:tblPr>
        <w:tblStyle w:val="CCCTable"/>
        <w:tblW w:w="7213" w:type="dxa"/>
        <w:tblInd w:w="720" w:type="dxa"/>
        <w:tblLook w:val="04A0" w:firstRow="1" w:lastRow="0" w:firstColumn="1" w:lastColumn="0" w:noHBand="0" w:noVBand="1"/>
      </w:tblPr>
      <w:tblGrid>
        <w:gridCol w:w="1552"/>
        <w:gridCol w:w="4523"/>
        <w:gridCol w:w="1138"/>
      </w:tblGrid>
      <w:tr w:rsidR="008059A3" w14:paraId="17FE41A3" w14:textId="4EA6DC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660BC878" w14:textId="5744AF5E" w:rsidR="008059A3" w:rsidRPr="00644C65" w:rsidRDefault="008059A3" w:rsidP="008059A3">
            <w:pPr>
              <w:pStyle w:val="BodyText"/>
              <w:rPr>
                <w:color w:val="FFFFFF" w:themeColor="background1"/>
              </w:rPr>
            </w:pPr>
            <w:r w:rsidRPr="00644C65">
              <w:rPr>
                <w:rFonts w:cs="Arial"/>
                <w:color w:val="FFFFFF" w:themeColor="background1"/>
                <w:szCs w:val="20"/>
              </w:rPr>
              <w:t>Criterion</w:t>
            </w:r>
          </w:p>
        </w:tc>
        <w:tc>
          <w:tcPr>
            <w:tcW w:w="4526" w:type="dxa"/>
          </w:tcPr>
          <w:p w14:paraId="6D169FD3" w14:textId="40116483"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Description</w:t>
            </w:r>
          </w:p>
        </w:tc>
        <w:tc>
          <w:tcPr>
            <w:tcW w:w="1134" w:type="dxa"/>
          </w:tcPr>
          <w:p w14:paraId="72649765" w14:textId="71A8CA38"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cs="Arial"/>
                <w:b/>
                <w:color w:val="FFFFFF" w:themeColor="background1"/>
                <w:szCs w:val="20"/>
              </w:rPr>
              <w:t>Weighting</w:t>
            </w:r>
          </w:p>
        </w:tc>
      </w:tr>
      <w:tr w:rsidR="008059A3" w14:paraId="5A30EF94" w14:textId="1810F98D"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1028D7EB" w14:textId="67C1E33E" w:rsidR="008059A3" w:rsidRPr="008059A3" w:rsidRDefault="008059A3" w:rsidP="008059A3">
            <w:pPr>
              <w:pStyle w:val="BodyText"/>
              <w:rPr>
                <w:color w:val="FFFFFF" w:themeColor="background1"/>
              </w:rPr>
            </w:pPr>
            <w:r w:rsidRPr="008059A3">
              <w:rPr>
                <w:rFonts w:cs="Arial"/>
                <w:color w:val="FFFFFF" w:themeColor="background1"/>
                <w:szCs w:val="20"/>
              </w:rPr>
              <w:t>1</w:t>
            </w:r>
          </w:p>
        </w:tc>
        <w:tc>
          <w:tcPr>
            <w:tcW w:w="4526" w:type="dxa"/>
          </w:tcPr>
          <w:p w14:paraId="09F013B6" w14:textId="371BD041"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RELEVANT EXPERIENCE / DEMONSTRATION OF CABABILITY</w:t>
            </w:r>
          </w:p>
        </w:tc>
        <w:tc>
          <w:tcPr>
            <w:tcW w:w="1134" w:type="dxa"/>
          </w:tcPr>
          <w:p w14:paraId="5E425370" w14:textId="411130AB"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8059A3" w14:paraId="197F0720" w14:textId="3187D8E3"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2263DF07" w14:textId="45CE0B81" w:rsidR="008059A3" w:rsidRPr="008059A3" w:rsidRDefault="008059A3" w:rsidP="008059A3">
            <w:pPr>
              <w:pStyle w:val="BodyText"/>
              <w:rPr>
                <w:color w:val="FFFFFF" w:themeColor="background1"/>
              </w:rPr>
            </w:pPr>
            <w:r w:rsidRPr="008059A3">
              <w:rPr>
                <w:rFonts w:cs="Arial"/>
                <w:color w:val="FFFFFF" w:themeColor="background1"/>
                <w:szCs w:val="20"/>
              </w:rPr>
              <w:t>2</w:t>
            </w:r>
          </w:p>
        </w:tc>
        <w:tc>
          <w:tcPr>
            <w:tcW w:w="4526" w:type="dxa"/>
          </w:tcPr>
          <w:p w14:paraId="6C6FD659" w14:textId="5DFCAAC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MANAGING YOUR RELATIONSHIP WITH THE CCC</w:t>
            </w:r>
          </w:p>
        </w:tc>
        <w:tc>
          <w:tcPr>
            <w:tcW w:w="1134" w:type="dxa"/>
          </w:tcPr>
          <w:p w14:paraId="43985734" w14:textId="4130D0E3"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284295FC" w14:textId="46563E75"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39411497" w14:textId="5A0D4B76" w:rsidR="008059A3" w:rsidRPr="008059A3" w:rsidRDefault="008059A3" w:rsidP="008059A3">
            <w:pPr>
              <w:pStyle w:val="BodyText"/>
              <w:rPr>
                <w:color w:val="FFFFFF" w:themeColor="background1"/>
              </w:rPr>
            </w:pPr>
            <w:r w:rsidRPr="008059A3">
              <w:rPr>
                <w:rFonts w:cs="Arial"/>
                <w:color w:val="FFFFFF" w:themeColor="background1"/>
                <w:szCs w:val="20"/>
              </w:rPr>
              <w:t>3</w:t>
            </w:r>
          </w:p>
        </w:tc>
        <w:tc>
          <w:tcPr>
            <w:tcW w:w="4526" w:type="dxa"/>
          </w:tcPr>
          <w:p w14:paraId="10BFC704" w14:textId="7A82B6CA"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QUALITY ASSURING THE SERVICES YOU PROVIDE</w:t>
            </w:r>
          </w:p>
        </w:tc>
        <w:tc>
          <w:tcPr>
            <w:tcW w:w="1134" w:type="dxa"/>
          </w:tcPr>
          <w:p w14:paraId="75A6DCCD" w14:textId="03AB592D"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8059A3" w14:paraId="3195FDFA" w14:textId="1D719D8F"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1D809A7F" w14:textId="1A99FCD9" w:rsidR="008059A3" w:rsidRPr="008059A3" w:rsidRDefault="008059A3" w:rsidP="008059A3">
            <w:pPr>
              <w:pStyle w:val="BodyText"/>
              <w:rPr>
                <w:color w:val="FFFFFF" w:themeColor="background1"/>
              </w:rPr>
            </w:pPr>
            <w:r w:rsidRPr="008059A3">
              <w:rPr>
                <w:rFonts w:cs="Arial"/>
                <w:color w:val="FFFFFF" w:themeColor="background1"/>
                <w:szCs w:val="20"/>
              </w:rPr>
              <w:t>4</w:t>
            </w:r>
          </w:p>
        </w:tc>
        <w:tc>
          <w:tcPr>
            <w:tcW w:w="4526" w:type="dxa"/>
          </w:tcPr>
          <w:p w14:paraId="69B3CB95" w14:textId="48BD05DE"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MANAGEMENT STRUCTURE</w:t>
            </w:r>
          </w:p>
        </w:tc>
        <w:tc>
          <w:tcPr>
            <w:tcW w:w="1134" w:type="dxa"/>
          </w:tcPr>
          <w:p w14:paraId="2AB63ECF" w14:textId="1696FAE1"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4C4FBA79" w14:textId="2C944618"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623D3A68" w14:textId="1A37BE67" w:rsidR="008059A3" w:rsidRPr="008059A3" w:rsidRDefault="008059A3" w:rsidP="008059A3">
            <w:pPr>
              <w:pStyle w:val="BodyText"/>
              <w:rPr>
                <w:color w:val="FFFFFF" w:themeColor="background1"/>
              </w:rPr>
            </w:pPr>
            <w:r w:rsidRPr="008059A3">
              <w:rPr>
                <w:rFonts w:cs="Arial"/>
                <w:color w:val="FFFFFF" w:themeColor="background1"/>
                <w:szCs w:val="20"/>
              </w:rPr>
              <w:t>5</w:t>
            </w:r>
          </w:p>
        </w:tc>
        <w:tc>
          <w:tcPr>
            <w:tcW w:w="4526" w:type="dxa"/>
          </w:tcPr>
          <w:p w14:paraId="61F698C5" w14:textId="2188FED7"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PROJECT TEAM – SKILLS AND KNOWLEDGE</w:t>
            </w:r>
          </w:p>
        </w:tc>
        <w:tc>
          <w:tcPr>
            <w:tcW w:w="1134" w:type="dxa"/>
          </w:tcPr>
          <w:p w14:paraId="4F51D7B7" w14:textId="1FA53182"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20%</w:t>
            </w:r>
          </w:p>
        </w:tc>
      </w:tr>
      <w:tr w:rsidR="008059A3" w14:paraId="343F0F87" w14:textId="11CD6EE2"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29B185EE" w14:textId="1D0811F9" w:rsidR="008059A3" w:rsidRPr="008059A3" w:rsidRDefault="008059A3" w:rsidP="008059A3">
            <w:pPr>
              <w:pStyle w:val="BodyText"/>
              <w:rPr>
                <w:color w:val="FFFFFF" w:themeColor="background1"/>
              </w:rPr>
            </w:pPr>
            <w:r w:rsidRPr="008059A3">
              <w:rPr>
                <w:rFonts w:cs="Arial"/>
                <w:color w:val="FFFFFF" w:themeColor="background1"/>
                <w:szCs w:val="20"/>
              </w:rPr>
              <w:t>6</w:t>
            </w:r>
          </w:p>
        </w:tc>
        <w:tc>
          <w:tcPr>
            <w:tcW w:w="4526" w:type="dxa"/>
          </w:tcPr>
          <w:p w14:paraId="1A6BCA5D" w14:textId="15F9F9F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szCs w:val="20"/>
              </w:rPr>
              <w:t>METHOD, ABILITY AND TECHNICAL CAPACITY</w:t>
            </w:r>
          </w:p>
        </w:tc>
        <w:tc>
          <w:tcPr>
            <w:tcW w:w="1134" w:type="dxa"/>
          </w:tcPr>
          <w:p w14:paraId="1123A10E" w14:textId="3994050A"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r w:rsidR="008059A3" w14:paraId="559499D6" w14:textId="1EE65E78"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72437B4B" w14:textId="493A8CB5" w:rsidR="008059A3" w:rsidRPr="008059A3" w:rsidRDefault="008059A3" w:rsidP="008059A3">
            <w:pPr>
              <w:pStyle w:val="BodyText"/>
              <w:rPr>
                <w:color w:val="FFFFFF" w:themeColor="background1"/>
              </w:rPr>
            </w:pPr>
            <w:r w:rsidRPr="008059A3">
              <w:rPr>
                <w:rFonts w:cs="Arial"/>
                <w:color w:val="FFFFFF" w:themeColor="background1"/>
                <w:szCs w:val="20"/>
              </w:rPr>
              <w:t>7</w:t>
            </w:r>
          </w:p>
        </w:tc>
        <w:tc>
          <w:tcPr>
            <w:tcW w:w="4526" w:type="dxa"/>
          </w:tcPr>
          <w:p w14:paraId="21DDD081" w14:textId="118615D4"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color w:val="auto"/>
                <w:szCs w:val="20"/>
              </w:rPr>
              <w:t>UNDERSTANDING OF REQUIREMENTS</w:t>
            </w:r>
          </w:p>
        </w:tc>
        <w:tc>
          <w:tcPr>
            <w:tcW w:w="1134" w:type="dxa"/>
          </w:tcPr>
          <w:p w14:paraId="06C2E6E8" w14:textId="600020D5"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cs="Arial"/>
                <w:color w:val="auto"/>
                <w:szCs w:val="20"/>
              </w:rPr>
              <w:t>10%</w:t>
            </w:r>
          </w:p>
        </w:tc>
      </w:tr>
      <w:tr w:rsidR="008059A3" w14:paraId="7EC3715A" w14:textId="7E21066E"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3" w:type="dxa"/>
          </w:tcPr>
          <w:p w14:paraId="40DE90B1" w14:textId="7AB12016" w:rsidR="008059A3" w:rsidRPr="008059A3" w:rsidRDefault="008059A3" w:rsidP="008059A3">
            <w:pPr>
              <w:pStyle w:val="BodyText"/>
              <w:rPr>
                <w:color w:val="FFFFFF" w:themeColor="background1"/>
              </w:rPr>
            </w:pPr>
            <w:r w:rsidRPr="008059A3">
              <w:rPr>
                <w:color w:val="FFFFFF" w:themeColor="background1"/>
                <w:szCs w:val="20"/>
              </w:rPr>
              <w:t>8</w:t>
            </w:r>
          </w:p>
        </w:tc>
        <w:tc>
          <w:tcPr>
            <w:tcW w:w="4526" w:type="dxa"/>
          </w:tcPr>
          <w:p w14:paraId="3561A9FF" w14:textId="530022AC"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color w:val="auto"/>
              </w:rPr>
              <w:t>RISK AND CHALLENGES</w:t>
            </w:r>
          </w:p>
        </w:tc>
        <w:tc>
          <w:tcPr>
            <w:tcW w:w="1134" w:type="dxa"/>
          </w:tcPr>
          <w:p w14:paraId="540093FC" w14:textId="473EFD52"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cs="Arial"/>
                <w:color w:val="auto"/>
                <w:szCs w:val="20"/>
              </w:rPr>
              <w:t>10%</w:t>
            </w:r>
          </w:p>
        </w:tc>
      </w:tr>
    </w:tbl>
    <w:p w14:paraId="11B27F82" w14:textId="716C9C86" w:rsidR="0038388A" w:rsidRPr="0038388A" w:rsidRDefault="0038388A" w:rsidP="008059A3">
      <w:pPr>
        <w:pStyle w:val="Heading4"/>
      </w:pPr>
      <w:r w:rsidRPr="0038388A">
        <w:lastRenderedPageBreak/>
        <w:t xml:space="preserve">Scoring </w:t>
      </w:r>
      <w:r w:rsidR="00DF64DE">
        <w:t>m</w:t>
      </w:r>
      <w:r w:rsidRPr="0038388A">
        <w:t>ethod</w:t>
      </w:r>
    </w:p>
    <w:p w14:paraId="2E2A2ECF" w14:textId="77777777" w:rsidR="0038388A" w:rsidRPr="008059A3" w:rsidRDefault="0038388A" w:rsidP="008059A3">
      <w:pPr>
        <w:pStyle w:val="Norma"/>
      </w:pPr>
      <w:r w:rsidRPr="008059A3">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8059A3" w:rsidRDefault="0038388A" w:rsidP="008059A3">
      <w:pPr>
        <w:pStyle w:val="Norma"/>
      </w:pPr>
    </w:p>
    <w:p w14:paraId="309164CD" w14:textId="462EB6C3" w:rsidR="0038388A" w:rsidRDefault="0038388A" w:rsidP="008059A3">
      <w:pPr>
        <w:pStyle w:val="Norma"/>
      </w:pPr>
      <w:r w:rsidRPr="008059A3">
        <w:t>The total score will be calculated by applying the weighting set against each criterion, outlined above</w:t>
      </w:r>
      <w:r w:rsidR="006C39E8">
        <w:t>:</w:t>
      </w:r>
      <w:r w:rsidRPr="008059A3">
        <w:t xml:space="preserve"> the maximum number of marks possible will be 100</w:t>
      </w:r>
      <w:r w:rsidR="007A5261">
        <w:t xml:space="preserve">. </w:t>
      </w:r>
      <w:r w:rsidRPr="008059A3">
        <w:t>Should any contractor score 1 in any of the criteria, they will be excluded from the tender competition.</w:t>
      </w:r>
    </w:p>
    <w:p w14:paraId="092620DF" w14:textId="16C7D02C" w:rsidR="00B22DAC" w:rsidRDefault="00B22DAC" w:rsidP="008059A3">
      <w:pPr>
        <w:pStyle w:val="Norma"/>
      </w:pPr>
    </w:p>
    <w:tbl>
      <w:tblPr>
        <w:tblStyle w:val="CCCTable"/>
        <w:tblW w:w="7213" w:type="dxa"/>
        <w:tblInd w:w="720" w:type="dxa"/>
        <w:tblLook w:val="04A0" w:firstRow="1" w:lastRow="0" w:firstColumn="1" w:lastColumn="0" w:noHBand="0" w:noVBand="1"/>
      </w:tblPr>
      <w:tblGrid>
        <w:gridCol w:w="976"/>
        <w:gridCol w:w="6237"/>
      </w:tblGrid>
      <w:tr w:rsidR="008059A3" w14:paraId="417EB6C2" w14:textId="777777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1F533DD9" w14:textId="1875D12E"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Score</w:t>
            </w:r>
          </w:p>
        </w:tc>
        <w:tc>
          <w:tcPr>
            <w:tcW w:w="6237" w:type="dxa"/>
          </w:tcPr>
          <w:p w14:paraId="577869C6" w14:textId="7B08B7A8" w:rsidR="008059A3" w:rsidRPr="008059A3" w:rsidRDefault="008059A3" w:rsidP="008059A3">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8059A3">
              <w:rPr>
                <w:rFonts w:ascii="Century Gothic" w:hAnsi="Century Gothic" w:cs="Arial"/>
                <w:b/>
                <w:color w:val="FFFFFF" w:themeColor="background1"/>
              </w:rPr>
              <w:t>Description</w:t>
            </w:r>
          </w:p>
        </w:tc>
      </w:tr>
      <w:tr w:rsidR="008059A3" w14:paraId="1F2199E5"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3536048C" w14:textId="30E601F7"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1</w:t>
            </w:r>
          </w:p>
        </w:tc>
        <w:tc>
          <w:tcPr>
            <w:tcW w:w="6237" w:type="dxa"/>
            <w:tcMar>
              <w:right w:w="113" w:type="dxa"/>
            </w:tcMar>
          </w:tcPr>
          <w:p w14:paraId="7459410E" w14:textId="51F50C28"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Not Satisfactory: Proposal contains significant shortcomings and does not meet the required standard</w:t>
            </w:r>
          </w:p>
        </w:tc>
      </w:tr>
      <w:tr w:rsidR="008059A3" w14:paraId="1D42DE33"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67199791" w14:textId="72D8F99C"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2</w:t>
            </w:r>
          </w:p>
        </w:tc>
        <w:tc>
          <w:tcPr>
            <w:tcW w:w="6237" w:type="dxa"/>
            <w:tcMar>
              <w:right w:w="113" w:type="dxa"/>
            </w:tcMar>
          </w:tcPr>
          <w:p w14:paraId="5BD88A6A" w14:textId="7D5AAC36"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 xml:space="preserve">Partially Satisfactory: Proposal partially meets the required standard, with one or more moderate weaknesses or gaps </w:t>
            </w:r>
          </w:p>
        </w:tc>
      </w:tr>
      <w:tr w:rsidR="008059A3" w14:paraId="0EF37AF0"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29530E44" w14:textId="4161B402"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3</w:t>
            </w:r>
          </w:p>
        </w:tc>
        <w:tc>
          <w:tcPr>
            <w:tcW w:w="6237" w:type="dxa"/>
            <w:tcMar>
              <w:right w:w="113" w:type="dxa"/>
            </w:tcMar>
          </w:tcPr>
          <w:p w14:paraId="725701F8" w14:textId="7D791C77"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Satisfactory: Proposal mostly meets the required standard, with one or more minor weaknesses or gaps</w:t>
            </w:r>
          </w:p>
        </w:tc>
      </w:tr>
      <w:tr w:rsidR="008059A3" w14:paraId="32A36269"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2DBFF5C5" w14:textId="117732C7"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4</w:t>
            </w:r>
          </w:p>
        </w:tc>
        <w:tc>
          <w:tcPr>
            <w:tcW w:w="6237" w:type="dxa"/>
            <w:tcMar>
              <w:right w:w="113" w:type="dxa"/>
            </w:tcMar>
          </w:tcPr>
          <w:p w14:paraId="38446354" w14:textId="4D930D79" w:rsidR="008059A3" w:rsidRPr="008059A3" w:rsidRDefault="008059A3" w:rsidP="008059A3">
            <w:pPr>
              <w:pStyle w:val="BodyText"/>
              <w:cnfStyle w:val="000000010000" w:firstRow="0" w:lastRow="0" w:firstColumn="0" w:lastColumn="0" w:oddVBand="0" w:evenVBand="0" w:oddHBand="0" w:evenHBand="1" w:firstRowFirstColumn="0" w:firstRowLastColumn="0" w:lastRowFirstColumn="0" w:lastRowLastColumn="0"/>
              <w:rPr>
                <w:color w:val="auto"/>
              </w:rPr>
            </w:pPr>
            <w:r w:rsidRPr="008059A3">
              <w:rPr>
                <w:rFonts w:ascii="Century Gothic" w:hAnsi="Century Gothic" w:cs="Arial"/>
                <w:color w:val="auto"/>
                <w:szCs w:val="24"/>
              </w:rPr>
              <w:t>Good: Proposal meets the required standard, with moderate levels of assurance</w:t>
            </w:r>
          </w:p>
        </w:tc>
      </w:tr>
      <w:tr w:rsidR="008059A3" w14:paraId="1671AAFF"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 w:type="dxa"/>
          </w:tcPr>
          <w:p w14:paraId="41032844" w14:textId="38DCBD61" w:rsidR="008059A3" w:rsidRPr="008059A3" w:rsidRDefault="008059A3" w:rsidP="008059A3">
            <w:pPr>
              <w:pStyle w:val="BodyText"/>
              <w:rPr>
                <w:color w:val="FFFFFF" w:themeColor="background1"/>
              </w:rPr>
            </w:pPr>
            <w:r w:rsidRPr="008059A3">
              <w:rPr>
                <w:rFonts w:ascii="Century Gothic" w:hAnsi="Century Gothic" w:cs="Arial"/>
                <w:color w:val="FFFFFF" w:themeColor="background1"/>
              </w:rPr>
              <w:t>5</w:t>
            </w:r>
          </w:p>
        </w:tc>
        <w:tc>
          <w:tcPr>
            <w:tcW w:w="6237" w:type="dxa"/>
            <w:tcMar>
              <w:right w:w="113" w:type="dxa"/>
            </w:tcMar>
          </w:tcPr>
          <w:p w14:paraId="312C958A" w14:textId="2423D1B9" w:rsidR="008059A3" w:rsidRPr="008059A3" w:rsidRDefault="008059A3" w:rsidP="008059A3">
            <w:pPr>
              <w:pStyle w:val="BodyText"/>
              <w:cnfStyle w:val="000000100000" w:firstRow="0" w:lastRow="0" w:firstColumn="0" w:lastColumn="0" w:oddVBand="0" w:evenVBand="0" w:oddHBand="1" w:evenHBand="0" w:firstRowFirstColumn="0" w:firstRowLastColumn="0" w:lastRowFirstColumn="0" w:lastRowLastColumn="0"/>
              <w:rPr>
                <w:color w:val="auto"/>
              </w:rPr>
            </w:pPr>
            <w:r w:rsidRPr="008059A3">
              <w:rPr>
                <w:rFonts w:ascii="Century Gothic" w:hAnsi="Century Gothic" w:cs="Arial"/>
                <w:color w:val="auto"/>
                <w:szCs w:val="24"/>
              </w:rPr>
              <w:t>Excellent: Proposal fully meets the required standard with high levels of assurance</w:t>
            </w:r>
          </w:p>
        </w:tc>
      </w:tr>
    </w:tbl>
    <w:p w14:paraId="57EED380" w14:textId="2A1788D2" w:rsidR="004711FD" w:rsidRPr="004711FD" w:rsidRDefault="004711FD" w:rsidP="008059A3">
      <w:pPr>
        <w:pStyle w:val="Heading4"/>
      </w:pPr>
      <w:r w:rsidRPr="004711FD">
        <w:t xml:space="preserve">Scoring for </w:t>
      </w:r>
      <w:r w:rsidR="00DF64DE">
        <w:t>p</w:t>
      </w:r>
      <w:r w:rsidRPr="004711FD">
        <w:t xml:space="preserve">ricing </w:t>
      </w:r>
      <w:r w:rsidR="00DF64DE">
        <w:t>e</w:t>
      </w:r>
      <w:r w:rsidRPr="004711FD">
        <w:t>valuation</w:t>
      </w:r>
    </w:p>
    <w:p w14:paraId="0034CB71" w14:textId="759AD82D" w:rsidR="004711FD" w:rsidRPr="004711FD" w:rsidRDefault="004711FD" w:rsidP="008059A3">
      <w:pPr>
        <w:pStyle w:val="Norma"/>
      </w:pPr>
      <w:r w:rsidRPr="004711FD">
        <w:t>Price will be marked using proportionate pricing</w:t>
      </w:r>
      <w:r w:rsidR="007A5261">
        <w:t xml:space="preserve">. </w:t>
      </w:r>
      <w:r w:rsidRPr="004711FD">
        <w:t>Please see the example below.</w:t>
      </w:r>
    </w:p>
    <w:p w14:paraId="380D2329" w14:textId="6EEF1B8D" w:rsidR="00644C65" w:rsidRDefault="00644C65" w:rsidP="00644C65">
      <w:pPr>
        <w:pStyle w:val="Heading5a"/>
      </w:pPr>
      <w:r w:rsidRPr="004711FD">
        <w:t xml:space="preserve">Proportionate </w:t>
      </w:r>
      <w:r w:rsidR="00DF64DE">
        <w:t>p</w:t>
      </w:r>
      <w:r w:rsidRPr="004711FD">
        <w:t>ricing scoring example</w:t>
      </w:r>
    </w:p>
    <w:p w14:paraId="27E6D7D5" w14:textId="121A1CAA" w:rsidR="004711FD" w:rsidRDefault="004711FD" w:rsidP="00644C65">
      <w:pPr>
        <w:pStyle w:val="Norma"/>
      </w:pPr>
      <w:r w:rsidRPr="004711FD">
        <w:t>There will be a maximum of 20 marks</w:t>
      </w:r>
      <w:r w:rsidR="008059A3">
        <w:t xml:space="preserve">. </w:t>
      </w:r>
      <w:r w:rsidRPr="004711FD">
        <w:t>The lowest priced bid will receive the full 20 marks, all other bids will then be marked as set out below.</w:t>
      </w:r>
    </w:p>
    <w:p w14:paraId="0ECA5A49" w14:textId="77777777" w:rsidR="00682EF1" w:rsidRDefault="00682EF1" w:rsidP="00644C65">
      <w:pPr>
        <w:pStyle w:val="Norma"/>
      </w:pPr>
    </w:p>
    <w:p w14:paraId="7A394175" w14:textId="77777777" w:rsidR="00644C65" w:rsidRDefault="00644C65" w:rsidP="00644C65">
      <w:pPr>
        <w:pStyle w:val="Norma"/>
      </w:pPr>
    </w:p>
    <w:tbl>
      <w:tblPr>
        <w:tblStyle w:val="CCCTable"/>
        <w:tblW w:w="7213" w:type="dxa"/>
        <w:tblInd w:w="720" w:type="dxa"/>
        <w:tblLook w:val="04A0" w:firstRow="1" w:lastRow="0" w:firstColumn="1" w:lastColumn="0" w:noHBand="0" w:noVBand="1"/>
      </w:tblPr>
      <w:tblGrid>
        <w:gridCol w:w="1685"/>
        <w:gridCol w:w="2764"/>
        <w:gridCol w:w="2764"/>
      </w:tblGrid>
      <w:tr w:rsidR="00644C65" w14:paraId="792BF449" w14:textId="77777777" w:rsidTr="00172C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092AC704" w14:textId="22E20621" w:rsidR="00644C65" w:rsidRPr="00644C65" w:rsidRDefault="00644C65" w:rsidP="00644C65">
            <w:pPr>
              <w:pStyle w:val="BodyText"/>
              <w:rPr>
                <w:color w:val="FFFFFF" w:themeColor="background1"/>
              </w:rPr>
            </w:pPr>
            <w:r w:rsidRPr="00644C65">
              <w:rPr>
                <w:rFonts w:eastAsia="Calibri" w:cs="Arial"/>
                <w:color w:val="FFFFFF" w:themeColor="background1"/>
                <w:szCs w:val="24"/>
              </w:rPr>
              <w:t>Supplier</w:t>
            </w:r>
          </w:p>
        </w:tc>
        <w:tc>
          <w:tcPr>
            <w:tcW w:w="2764" w:type="dxa"/>
          </w:tcPr>
          <w:p w14:paraId="49219C59" w14:textId="4BCA83D1" w:rsidR="00644C65" w:rsidRPr="00644C65" w:rsidRDefault="00644C65" w:rsidP="00644C65">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Price</w:t>
            </w:r>
          </w:p>
        </w:tc>
        <w:tc>
          <w:tcPr>
            <w:tcW w:w="2764" w:type="dxa"/>
          </w:tcPr>
          <w:p w14:paraId="2977EF81" w14:textId="4810C4BD" w:rsidR="00644C65" w:rsidRPr="00644C65" w:rsidRDefault="00644C65" w:rsidP="00644C65">
            <w:pPr>
              <w:pStyle w:val="BodyText"/>
              <w:cnfStyle w:val="100000000000" w:firstRow="1" w:lastRow="0" w:firstColumn="0" w:lastColumn="0" w:oddVBand="0" w:evenVBand="0" w:oddHBand="0" w:evenHBand="0" w:firstRowFirstColumn="0" w:firstRowLastColumn="0" w:lastRowFirstColumn="0" w:lastRowLastColumn="0"/>
              <w:rPr>
                <w:b/>
                <w:color w:val="FFFFFF" w:themeColor="background1"/>
              </w:rPr>
            </w:pPr>
            <w:r w:rsidRPr="00644C65">
              <w:rPr>
                <w:rFonts w:eastAsia="Calibri" w:cs="Arial"/>
                <w:b/>
                <w:color w:val="FFFFFF" w:themeColor="background1"/>
                <w:szCs w:val="24"/>
              </w:rPr>
              <w:t>Marks</w:t>
            </w:r>
          </w:p>
        </w:tc>
      </w:tr>
      <w:tr w:rsidR="00644C65" w14:paraId="7E40F17D"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26479F37" w14:textId="4A3280E0" w:rsidR="00644C65" w:rsidRPr="00644C65" w:rsidRDefault="00644C65" w:rsidP="00644C65">
            <w:pPr>
              <w:pStyle w:val="BodyText"/>
              <w:rPr>
                <w:color w:val="FFFFFF" w:themeColor="background1"/>
              </w:rPr>
            </w:pPr>
            <w:r w:rsidRPr="00644C65">
              <w:rPr>
                <w:rFonts w:eastAsia="Calibri" w:cs="Arial"/>
                <w:color w:val="FFFFFF" w:themeColor="background1"/>
                <w:szCs w:val="24"/>
              </w:rPr>
              <w:t>1 (lowest bid)</w:t>
            </w:r>
          </w:p>
        </w:tc>
        <w:tc>
          <w:tcPr>
            <w:tcW w:w="2764" w:type="dxa"/>
          </w:tcPr>
          <w:p w14:paraId="24B3BCDA" w14:textId="0DFF3B79"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p>
        </w:tc>
        <w:tc>
          <w:tcPr>
            <w:tcW w:w="2764" w:type="dxa"/>
          </w:tcPr>
          <w:p w14:paraId="1E60AFB2" w14:textId="72869809"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p>
        </w:tc>
      </w:tr>
      <w:tr w:rsidR="00644C65" w14:paraId="19DBC8F9" w14:textId="77777777" w:rsidTr="00172CC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C7D4099" w14:textId="19C90F60" w:rsidR="00644C65" w:rsidRPr="00644C65" w:rsidRDefault="00644C65" w:rsidP="00644C65">
            <w:pPr>
              <w:pStyle w:val="BodyText"/>
              <w:rPr>
                <w:color w:val="FFFFFF" w:themeColor="background1"/>
              </w:rPr>
            </w:pPr>
            <w:r w:rsidRPr="00644C65">
              <w:rPr>
                <w:rFonts w:eastAsia="Calibri" w:cs="Arial"/>
                <w:color w:val="FFFFFF" w:themeColor="background1"/>
                <w:szCs w:val="24"/>
              </w:rPr>
              <w:t>2</w:t>
            </w:r>
          </w:p>
        </w:tc>
        <w:tc>
          <w:tcPr>
            <w:tcW w:w="2764" w:type="dxa"/>
          </w:tcPr>
          <w:p w14:paraId="0C23EE8C" w14:textId="13995C6A" w:rsidR="00644C65" w:rsidRPr="00644C65" w:rsidRDefault="00644C65" w:rsidP="00644C65">
            <w:pPr>
              <w:pStyle w:val="BodyText"/>
              <w:cnfStyle w:val="000000010000" w:firstRow="0" w:lastRow="0" w:firstColumn="0" w:lastColumn="0" w:oddVBand="0" w:evenVBand="0" w:oddHBand="0" w:evenHBand="1" w:firstRowFirstColumn="0" w:firstRowLastColumn="0" w:lastRowFirstColumn="0" w:lastRowLastColumn="0"/>
              <w:rPr>
                <w:color w:val="auto"/>
              </w:rPr>
            </w:pPr>
          </w:p>
        </w:tc>
        <w:tc>
          <w:tcPr>
            <w:tcW w:w="2764" w:type="dxa"/>
          </w:tcPr>
          <w:p w14:paraId="598336D7" w14:textId="30838ABB" w:rsidR="00644C65" w:rsidRPr="00644C65" w:rsidRDefault="00644C65" w:rsidP="00644C65">
            <w:pPr>
              <w:pStyle w:val="BodyText"/>
              <w:cnfStyle w:val="000000010000" w:firstRow="0" w:lastRow="0" w:firstColumn="0" w:lastColumn="0" w:oddVBand="0" w:evenVBand="0" w:oddHBand="0" w:evenHBand="1" w:firstRowFirstColumn="0" w:firstRowLastColumn="0" w:lastRowFirstColumn="0" w:lastRowLastColumn="0"/>
              <w:rPr>
                <w:color w:val="auto"/>
              </w:rPr>
            </w:pPr>
          </w:p>
        </w:tc>
      </w:tr>
      <w:tr w:rsidR="00644C65" w14:paraId="6D924E83" w14:textId="77777777" w:rsidTr="00172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5" w:type="dxa"/>
          </w:tcPr>
          <w:p w14:paraId="1FB9BD65" w14:textId="2B9BD20F" w:rsidR="00644C65" w:rsidRPr="00644C65" w:rsidRDefault="00644C65" w:rsidP="00644C65">
            <w:pPr>
              <w:pStyle w:val="BodyText"/>
              <w:rPr>
                <w:color w:val="FFFFFF" w:themeColor="background1"/>
              </w:rPr>
            </w:pPr>
            <w:r w:rsidRPr="00644C65">
              <w:rPr>
                <w:rFonts w:eastAsia="Calibri" w:cs="Arial"/>
                <w:color w:val="FFFFFF" w:themeColor="background1"/>
                <w:szCs w:val="24"/>
              </w:rPr>
              <w:t>3</w:t>
            </w:r>
          </w:p>
        </w:tc>
        <w:tc>
          <w:tcPr>
            <w:tcW w:w="2764" w:type="dxa"/>
          </w:tcPr>
          <w:p w14:paraId="33A3835D" w14:textId="7D7AFE9C"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p>
        </w:tc>
        <w:tc>
          <w:tcPr>
            <w:tcW w:w="2764" w:type="dxa"/>
          </w:tcPr>
          <w:p w14:paraId="22F35F0E" w14:textId="416DEC58" w:rsidR="00644C65" w:rsidRPr="00644C65" w:rsidRDefault="00644C65" w:rsidP="00644C65">
            <w:pPr>
              <w:pStyle w:val="BodyText"/>
              <w:cnfStyle w:val="000000100000" w:firstRow="0" w:lastRow="0" w:firstColumn="0" w:lastColumn="0" w:oddVBand="0" w:evenVBand="0" w:oddHBand="1" w:evenHBand="0" w:firstRowFirstColumn="0" w:firstRowLastColumn="0" w:lastRowFirstColumn="0" w:lastRowLastColumn="0"/>
              <w:rPr>
                <w:color w:val="auto"/>
              </w:rPr>
            </w:pPr>
          </w:p>
        </w:tc>
      </w:tr>
    </w:tbl>
    <w:p w14:paraId="61F77B03" w14:textId="49FDDAD5" w:rsidR="004711FD" w:rsidRPr="004711FD" w:rsidRDefault="004711FD" w:rsidP="00644C65">
      <w:pPr>
        <w:pStyle w:val="Heading4"/>
      </w:pPr>
      <w:r w:rsidRPr="004711FD">
        <w:t xml:space="preserve">Structure of </w:t>
      </w:r>
      <w:r w:rsidR="00DF64DE">
        <w:t>t</w:t>
      </w:r>
      <w:r w:rsidRPr="004711FD">
        <w:t>enders</w:t>
      </w:r>
    </w:p>
    <w:p w14:paraId="62929FFC" w14:textId="3B8C310D" w:rsidR="004711FD" w:rsidRPr="00644C65" w:rsidRDefault="004711FD" w:rsidP="00644C65">
      <w:pPr>
        <w:pStyle w:val="Norma"/>
        <w:rPr>
          <w:rFonts w:eastAsia="Calibri"/>
        </w:rPr>
      </w:pPr>
      <w:r w:rsidRPr="00644C65">
        <w:t xml:space="preserve">Contractors are strongly advised to structure their tender submissions to cover each of the criteria above and supply a price </w:t>
      </w:r>
      <w:r w:rsidRPr="00644C65">
        <w:rPr>
          <w:rFonts w:eastAsia="Calibri"/>
        </w:rPr>
        <w:t xml:space="preserve">schedule specifying the daily rates (ex-VAT) you will charge for each level of your staff. </w:t>
      </w:r>
    </w:p>
    <w:p w14:paraId="2E106EA0" w14:textId="4E06B6A5" w:rsidR="004711FD" w:rsidRPr="004711FD" w:rsidRDefault="004711FD" w:rsidP="00644C65">
      <w:pPr>
        <w:pStyle w:val="Heading4"/>
      </w:pPr>
      <w:r w:rsidRPr="004711FD">
        <w:t xml:space="preserve">Evaluation for </w:t>
      </w:r>
      <w:r w:rsidR="00DF64DE">
        <w:t>i</w:t>
      </w:r>
      <w:r w:rsidRPr="004711FD">
        <w:t xml:space="preserve">nterviews, if held </w:t>
      </w:r>
    </w:p>
    <w:p w14:paraId="48F8E8D4" w14:textId="28EAFDB6" w:rsidR="004711FD" w:rsidRPr="00644C65" w:rsidRDefault="006C39E8" w:rsidP="00644C65">
      <w:pPr>
        <w:pStyle w:val="Norma"/>
      </w:pPr>
      <w:r>
        <w:t xml:space="preserve">The </w:t>
      </w:r>
      <w:r w:rsidR="004711FD" w:rsidRPr="00644C65">
        <w:t>CCC reserves the right to award the contract based on applicants’ written evaluation only if one candidate emerges from the evaluation stage as significantly stronger than the others</w:t>
      </w:r>
      <w:r w:rsidR="007A5261">
        <w:t xml:space="preserve">. </w:t>
      </w:r>
    </w:p>
    <w:p w14:paraId="1008FC10" w14:textId="77777777" w:rsidR="004711FD" w:rsidRPr="00644C65" w:rsidRDefault="004711FD" w:rsidP="00644C65">
      <w:pPr>
        <w:pStyle w:val="Norma"/>
      </w:pPr>
    </w:p>
    <w:p w14:paraId="43BAACA2" w14:textId="1DA65A7B" w:rsidR="004711FD" w:rsidRPr="00644C65" w:rsidRDefault="004711FD" w:rsidP="00644C65">
      <w:pPr>
        <w:pStyle w:val="Norma"/>
      </w:pPr>
      <w:r w:rsidRPr="00644C65">
        <w:t>Should interviews go ahead,</w:t>
      </w:r>
      <w:r w:rsidR="006C39E8">
        <w:t xml:space="preserve"> the</w:t>
      </w:r>
      <w:r w:rsidRPr="00644C65">
        <w:t xml:space="preserve"> CCC will shortlist the top three suppliers with the highest marks from the written proposals. Interviews are provisionally expected to be held</w:t>
      </w:r>
      <w:r w:rsidR="00644C65">
        <w:t xml:space="preserve"> in the week beginning the </w:t>
      </w:r>
      <w:r w:rsidR="00386BE2">
        <w:t>[]</w:t>
      </w:r>
      <w:r w:rsidRPr="00644C65">
        <w:t xml:space="preserve">. If this date changes, </w:t>
      </w:r>
      <w:r w:rsidR="006C39E8">
        <w:t xml:space="preserve">the </w:t>
      </w:r>
      <w:r w:rsidRPr="00644C65">
        <w:t xml:space="preserve">CCC will notify applicants. </w:t>
      </w:r>
    </w:p>
    <w:p w14:paraId="6B7D8CE1" w14:textId="77777777" w:rsidR="004711FD" w:rsidRPr="00644C65" w:rsidRDefault="004711FD" w:rsidP="00644C65">
      <w:pPr>
        <w:pStyle w:val="Norma"/>
      </w:pPr>
    </w:p>
    <w:p w14:paraId="4A927F43" w14:textId="7A84C5E9" w:rsidR="004711FD" w:rsidRPr="00644C65" w:rsidRDefault="004711FD" w:rsidP="00644C65">
      <w:pPr>
        <w:pStyle w:val="Norma"/>
      </w:pPr>
      <w:r w:rsidRPr="00644C65">
        <w:t>The areas to be covered in the interview, and markings allocated to each topic area</w:t>
      </w:r>
      <w:r w:rsidR="006C39E8">
        <w:t>,</w:t>
      </w:r>
      <w:r w:rsidRPr="00644C65">
        <w:t xml:space="preserve"> will be sent to the shortlisted supplier</w:t>
      </w:r>
      <w:r w:rsidR="006C39E8">
        <w:t>s</w:t>
      </w:r>
      <w:r w:rsidRPr="00644C65">
        <w:t xml:space="preserve"> prior to interview.</w:t>
      </w:r>
    </w:p>
    <w:p w14:paraId="7128F9FD" w14:textId="77777777" w:rsidR="004711FD" w:rsidRPr="00644C65" w:rsidRDefault="004711FD" w:rsidP="00644C65">
      <w:pPr>
        <w:pStyle w:val="Norma"/>
      </w:pPr>
    </w:p>
    <w:p w14:paraId="6A415962" w14:textId="2F09C056" w:rsidR="004711FD" w:rsidRPr="004711FD" w:rsidRDefault="004711FD" w:rsidP="004A3015">
      <w:pPr>
        <w:pStyle w:val="Norma"/>
      </w:pPr>
      <w:r w:rsidRPr="00644C65">
        <w:t xml:space="preserve">Further details of interviews will be sent to successful applicants on selection. </w:t>
      </w:r>
    </w:p>
    <w:p w14:paraId="1F6F7018" w14:textId="41D8A39E" w:rsidR="004711FD" w:rsidRPr="004711FD" w:rsidRDefault="004711FD" w:rsidP="004A3015">
      <w:pPr>
        <w:pStyle w:val="Heading4"/>
      </w:pPr>
      <w:r w:rsidRPr="004711FD">
        <w:t>Feedback</w:t>
      </w:r>
    </w:p>
    <w:p w14:paraId="608DAF4A" w14:textId="59E71A78" w:rsidR="004711FD" w:rsidRPr="004711FD" w:rsidRDefault="004711FD" w:rsidP="004A3015">
      <w:pPr>
        <w:pStyle w:val="Norma"/>
      </w:pPr>
      <w:r w:rsidRPr="004711FD">
        <w:t>Feedback will be given in the unsuccessful letters</w:t>
      </w:r>
      <w:r w:rsidRPr="004711FD" w:rsidDel="00AA6AF5">
        <w:t xml:space="preserve"> </w:t>
      </w:r>
      <w:r w:rsidRPr="004711FD">
        <w:t>or emails.</w:t>
      </w:r>
    </w:p>
    <w:sectPr w:rsidR="004711FD" w:rsidRPr="004711FD" w:rsidSect="002F41A0">
      <w:headerReference w:type="default" r:id="rId8"/>
      <w:headerReference w:type="first" r:id="rId9"/>
      <w:footerReference w:type="first" r:id="rId10"/>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0E612A" w:rsidRDefault="000E612A" w:rsidP="004E6806">
      <w:r>
        <w:separator/>
      </w:r>
    </w:p>
  </w:endnote>
  <w:endnote w:type="continuationSeparator" w:id="0">
    <w:p w14:paraId="4E13A242" w14:textId="77777777" w:rsidR="000E612A" w:rsidRDefault="000E612A"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0E612A" w:rsidRDefault="000E612A"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0E612A" w:rsidRDefault="000E612A" w:rsidP="004E6806">
      <w:r>
        <w:separator/>
      </w:r>
    </w:p>
  </w:footnote>
  <w:footnote w:type="continuationSeparator" w:id="0">
    <w:p w14:paraId="29E6EC50" w14:textId="77777777" w:rsidR="000E612A" w:rsidRDefault="000E612A" w:rsidP="004E6806">
      <w:r>
        <w:continuationSeparator/>
      </w:r>
    </w:p>
  </w:footnote>
  <w:footnote w:id="1">
    <w:p w14:paraId="6603A0DA" w14:textId="6D1F921C" w:rsidR="006156B5" w:rsidRPr="00900191" w:rsidRDefault="006156B5" w:rsidP="00900191">
      <w:pPr>
        <w:pStyle w:val="FootnoteText"/>
        <w:contextualSpacing/>
        <w:rPr>
          <w:rFonts w:asciiTheme="majorHAnsi" w:hAnsiTheme="majorHAnsi"/>
          <w:sz w:val="16"/>
          <w:szCs w:val="16"/>
        </w:rPr>
      </w:pPr>
      <w:r w:rsidRPr="00900191">
        <w:rPr>
          <w:rStyle w:val="FootnoteReference"/>
          <w:rFonts w:asciiTheme="majorHAnsi" w:hAnsiTheme="majorHAnsi"/>
          <w:sz w:val="16"/>
          <w:szCs w:val="16"/>
        </w:rPr>
        <w:footnoteRef/>
      </w:r>
      <w:r w:rsidRPr="00900191">
        <w:rPr>
          <w:rFonts w:asciiTheme="majorHAnsi" w:hAnsiTheme="majorHAnsi"/>
          <w:sz w:val="16"/>
          <w:szCs w:val="16"/>
        </w:rPr>
        <w:t xml:space="preserve"> https://www.theccc.org.uk/publication/2021-progress-report-to-parliament/</w:t>
      </w:r>
    </w:p>
  </w:footnote>
  <w:footnote w:id="2">
    <w:p w14:paraId="06E20010" w14:textId="41693D31" w:rsidR="00900191" w:rsidRPr="00900191" w:rsidRDefault="00900191" w:rsidP="00900191">
      <w:pPr>
        <w:pStyle w:val="FootnoteText"/>
        <w:contextualSpacing/>
        <w:rPr>
          <w:rFonts w:asciiTheme="majorHAnsi" w:hAnsiTheme="majorHAnsi"/>
          <w:sz w:val="16"/>
          <w:szCs w:val="16"/>
        </w:rPr>
      </w:pPr>
      <w:r w:rsidRPr="00900191">
        <w:rPr>
          <w:rStyle w:val="FootnoteReference"/>
          <w:rFonts w:asciiTheme="majorHAnsi" w:hAnsiTheme="majorHAnsi"/>
          <w:sz w:val="16"/>
          <w:szCs w:val="16"/>
        </w:rPr>
        <w:footnoteRef/>
      </w:r>
      <w:r w:rsidRPr="00900191">
        <w:rPr>
          <w:rFonts w:asciiTheme="majorHAnsi" w:hAnsiTheme="majorHAnsi"/>
          <w:sz w:val="16"/>
          <w:szCs w:val="16"/>
        </w:rPr>
        <w:t xml:space="preserve"> </w:t>
      </w:r>
      <w:r w:rsidR="00F23B18" w:rsidRPr="00F23B18">
        <w:rPr>
          <w:rFonts w:asciiTheme="majorHAnsi" w:hAnsiTheme="majorHAnsi"/>
          <w:sz w:val="16"/>
          <w:szCs w:val="16"/>
        </w:rPr>
        <w:t>https://www.gov.uk/government/publications/heat-and-buildings-strategy</w:t>
      </w:r>
    </w:p>
  </w:footnote>
  <w:footnote w:id="3">
    <w:p w14:paraId="35F2CD6C" w14:textId="109CD14E" w:rsidR="00900191" w:rsidRPr="00F23B18" w:rsidRDefault="00900191" w:rsidP="00900191">
      <w:pPr>
        <w:pStyle w:val="FootnoteText"/>
        <w:contextualSpacing/>
        <w:rPr>
          <w:rFonts w:asciiTheme="majorHAnsi" w:hAnsiTheme="majorHAnsi"/>
          <w:sz w:val="16"/>
          <w:szCs w:val="16"/>
        </w:rPr>
      </w:pPr>
      <w:r w:rsidRPr="00F23B18">
        <w:rPr>
          <w:rStyle w:val="FootnoteReference"/>
          <w:rFonts w:asciiTheme="majorHAnsi" w:hAnsiTheme="majorHAnsi"/>
          <w:sz w:val="16"/>
          <w:szCs w:val="16"/>
        </w:rPr>
        <w:footnoteRef/>
      </w:r>
      <w:r w:rsidRPr="00F23B18">
        <w:rPr>
          <w:rFonts w:asciiTheme="majorHAnsi" w:hAnsiTheme="majorHAnsi"/>
          <w:sz w:val="16"/>
          <w:szCs w:val="16"/>
        </w:rPr>
        <w:t xml:space="preserve"> </w:t>
      </w:r>
      <w:r w:rsidR="00F23B18" w:rsidRPr="00F23B18">
        <w:rPr>
          <w:rFonts w:asciiTheme="majorHAnsi" w:hAnsiTheme="majorHAnsi"/>
          <w:sz w:val="16"/>
          <w:szCs w:val="16"/>
        </w:rPr>
        <w:t>https://www.gov.uk/government/publications/net-zero-strategy</w:t>
      </w:r>
    </w:p>
  </w:footnote>
  <w:footnote w:id="4">
    <w:p w14:paraId="7EA44069" w14:textId="27E2645B" w:rsidR="00747C14" w:rsidRPr="00747C14" w:rsidRDefault="00747C14">
      <w:pPr>
        <w:pStyle w:val="FootnoteText"/>
        <w:rPr>
          <w:rFonts w:asciiTheme="majorHAnsi" w:hAnsiTheme="majorHAnsi"/>
          <w:sz w:val="16"/>
          <w:szCs w:val="16"/>
        </w:rPr>
      </w:pPr>
      <w:r w:rsidRPr="00747C14">
        <w:rPr>
          <w:rStyle w:val="FootnoteReference"/>
          <w:rFonts w:asciiTheme="majorHAnsi" w:hAnsiTheme="majorHAnsi"/>
          <w:sz w:val="16"/>
          <w:szCs w:val="16"/>
        </w:rPr>
        <w:footnoteRef/>
      </w:r>
      <w:r w:rsidRPr="00747C14">
        <w:rPr>
          <w:rFonts w:asciiTheme="majorHAnsi" w:hAnsiTheme="majorHAnsi"/>
          <w:sz w:val="16"/>
          <w:szCs w:val="16"/>
        </w:rPr>
        <w:t xml:space="preserve"> https://www.citb.co.uk/media/kkpkwc42/building_skills_net_zero_full_report.pdf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0E612A" w:rsidRPr="00DA2FBB" w:rsidRDefault="000E612A"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0E612A" w:rsidRPr="00DA2FBB" w:rsidRDefault="000E612A"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9A1C1B"/>
    <w:multiLevelType w:val="hybridMultilevel"/>
    <w:tmpl w:val="C8944A7E"/>
    <w:lvl w:ilvl="0" w:tplc="2EA60D66">
      <w:start w:val="1"/>
      <w:numFmt w:val="bullet"/>
      <w:lvlText w:val="•"/>
      <w:lvlJc w:val="left"/>
      <w:pPr>
        <w:tabs>
          <w:tab w:val="num" w:pos="720"/>
        </w:tabs>
        <w:ind w:left="720" w:hanging="360"/>
      </w:pPr>
      <w:rPr>
        <w:rFonts w:ascii="Century Gothic" w:hAnsi="Century Gothic" w:hint="default"/>
      </w:rPr>
    </w:lvl>
    <w:lvl w:ilvl="1" w:tplc="6C206EBA">
      <w:start w:val="1"/>
      <w:numFmt w:val="bullet"/>
      <w:lvlText w:val="•"/>
      <w:lvlJc w:val="left"/>
      <w:pPr>
        <w:tabs>
          <w:tab w:val="num" w:pos="1440"/>
        </w:tabs>
        <w:ind w:left="1440" w:hanging="360"/>
      </w:pPr>
      <w:rPr>
        <w:rFonts w:ascii="Century Gothic" w:hAnsi="Century Gothic" w:hint="default"/>
      </w:rPr>
    </w:lvl>
    <w:lvl w:ilvl="2" w:tplc="36FE19BE" w:tentative="1">
      <w:start w:val="1"/>
      <w:numFmt w:val="bullet"/>
      <w:lvlText w:val="•"/>
      <w:lvlJc w:val="left"/>
      <w:pPr>
        <w:tabs>
          <w:tab w:val="num" w:pos="2160"/>
        </w:tabs>
        <w:ind w:left="2160" w:hanging="360"/>
      </w:pPr>
      <w:rPr>
        <w:rFonts w:ascii="Century Gothic" w:hAnsi="Century Gothic" w:hint="default"/>
      </w:rPr>
    </w:lvl>
    <w:lvl w:ilvl="3" w:tplc="08A84EC0" w:tentative="1">
      <w:start w:val="1"/>
      <w:numFmt w:val="bullet"/>
      <w:lvlText w:val="•"/>
      <w:lvlJc w:val="left"/>
      <w:pPr>
        <w:tabs>
          <w:tab w:val="num" w:pos="2880"/>
        </w:tabs>
        <w:ind w:left="2880" w:hanging="360"/>
      </w:pPr>
      <w:rPr>
        <w:rFonts w:ascii="Century Gothic" w:hAnsi="Century Gothic" w:hint="default"/>
      </w:rPr>
    </w:lvl>
    <w:lvl w:ilvl="4" w:tplc="9CB07EEA" w:tentative="1">
      <w:start w:val="1"/>
      <w:numFmt w:val="bullet"/>
      <w:lvlText w:val="•"/>
      <w:lvlJc w:val="left"/>
      <w:pPr>
        <w:tabs>
          <w:tab w:val="num" w:pos="3600"/>
        </w:tabs>
        <w:ind w:left="3600" w:hanging="360"/>
      </w:pPr>
      <w:rPr>
        <w:rFonts w:ascii="Century Gothic" w:hAnsi="Century Gothic" w:hint="default"/>
      </w:rPr>
    </w:lvl>
    <w:lvl w:ilvl="5" w:tplc="38044978" w:tentative="1">
      <w:start w:val="1"/>
      <w:numFmt w:val="bullet"/>
      <w:lvlText w:val="•"/>
      <w:lvlJc w:val="left"/>
      <w:pPr>
        <w:tabs>
          <w:tab w:val="num" w:pos="4320"/>
        </w:tabs>
        <w:ind w:left="4320" w:hanging="360"/>
      </w:pPr>
      <w:rPr>
        <w:rFonts w:ascii="Century Gothic" w:hAnsi="Century Gothic" w:hint="default"/>
      </w:rPr>
    </w:lvl>
    <w:lvl w:ilvl="6" w:tplc="07E8BE2A" w:tentative="1">
      <w:start w:val="1"/>
      <w:numFmt w:val="bullet"/>
      <w:lvlText w:val="•"/>
      <w:lvlJc w:val="left"/>
      <w:pPr>
        <w:tabs>
          <w:tab w:val="num" w:pos="5040"/>
        </w:tabs>
        <w:ind w:left="5040" w:hanging="360"/>
      </w:pPr>
      <w:rPr>
        <w:rFonts w:ascii="Century Gothic" w:hAnsi="Century Gothic" w:hint="default"/>
      </w:rPr>
    </w:lvl>
    <w:lvl w:ilvl="7" w:tplc="0CC8A3E0" w:tentative="1">
      <w:start w:val="1"/>
      <w:numFmt w:val="bullet"/>
      <w:lvlText w:val="•"/>
      <w:lvlJc w:val="left"/>
      <w:pPr>
        <w:tabs>
          <w:tab w:val="num" w:pos="5760"/>
        </w:tabs>
        <w:ind w:left="5760" w:hanging="360"/>
      </w:pPr>
      <w:rPr>
        <w:rFonts w:ascii="Century Gothic" w:hAnsi="Century Gothic" w:hint="default"/>
      </w:rPr>
    </w:lvl>
    <w:lvl w:ilvl="8" w:tplc="67F0F1B2" w:tentative="1">
      <w:start w:val="1"/>
      <w:numFmt w:val="bullet"/>
      <w:lvlText w:val="•"/>
      <w:lvlJc w:val="left"/>
      <w:pPr>
        <w:tabs>
          <w:tab w:val="num" w:pos="6480"/>
        </w:tabs>
        <w:ind w:left="6480" w:hanging="360"/>
      </w:pPr>
      <w:rPr>
        <w:rFonts w:ascii="Century Gothic" w:hAnsi="Century Gothic" w:hint="default"/>
      </w:rPr>
    </w:lvl>
  </w:abstractNum>
  <w:abstractNum w:abstractNumId="2" w15:restartNumberingAfterBreak="0">
    <w:nsid w:val="059C4EC7"/>
    <w:multiLevelType w:val="hybridMultilevel"/>
    <w:tmpl w:val="C5BC4F26"/>
    <w:lvl w:ilvl="0" w:tplc="08090017">
      <w:start w:val="1"/>
      <w:numFmt w:val="lowerLetter"/>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A352D9"/>
    <w:multiLevelType w:val="hybridMultilevel"/>
    <w:tmpl w:val="875C6CF4"/>
    <w:lvl w:ilvl="0" w:tplc="002853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84915"/>
    <w:multiLevelType w:val="hybridMultilevel"/>
    <w:tmpl w:val="DC6481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AC5E5F"/>
    <w:multiLevelType w:val="multilevel"/>
    <w:tmpl w:val="35766D4A"/>
    <w:lvl w:ilvl="0">
      <w:start w:val="1"/>
      <w:numFmt w:val="bullet"/>
      <w:pStyle w:val="Bullet"/>
      <w:lvlText w:val="•"/>
      <w:lvlJc w:val="left"/>
      <w:pPr>
        <w:ind w:left="1071" w:hanging="357"/>
      </w:pPr>
      <w:rPr>
        <w:rFonts w:ascii="Century Gothic" w:hAnsi="Century Gothic" w:hint="default"/>
        <w:sz w:val="20"/>
      </w:rPr>
    </w:lvl>
    <w:lvl w:ilvl="1">
      <w:start w:val="1"/>
      <w:numFmt w:val="bullet"/>
      <w:lvlText w:val="•"/>
      <w:lvlJc w:val="left"/>
      <w:pPr>
        <w:tabs>
          <w:tab w:val="num" w:pos="1349"/>
        </w:tabs>
        <w:ind w:left="1548" w:hanging="199"/>
      </w:pPr>
      <w:rPr>
        <w:rFonts w:ascii="Arial Nova Light" w:hAnsi="Arial Nova Light" w:hint="default"/>
        <w:sz w:val="20"/>
      </w:rPr>
    </w:lvl>
    <w:lvl w:ilvl="2">
      <w:start w:val="1"/>
      <w:numFmt w:val="bullet"/>
      <w:lvlText w:val="–"/>
      <w:lvlJc w:val="left"/>
      <w:pPr>
        <w:tabs>
          <w:tab w:val="num" w:pos="1349"/>
        </w:tabs>
        <w:ind w:left="1548" w:hanging="199"/>
      </w:pPr>
      <w:rPr>
        <w:rFonts w:ascii="Century Gothic" w:hAnsi="Century Gothic" w:hint="default"/>
        <w:sz w:val="20"/>
      </w:rPr>
    </w:lvl>
    <w:lvl w:ilvl="3">
      <w:start w:val="1"/>
      <w:numFmt w:val="bullet"/>
      <w:pStyle w:val="BulletLevel3"/>
      <w:lvlText w:val="•"/>
      <w:lvlJc w:val="left"/>
      <w:pPr>
        <w:ind w:left="1899" w:hanging="198"/>
      </w:pPr>
      <w:rPr>
        <w:rFonts w:ascii="Arial Nova Light" w:hAnsi="Arial Nova Light" w:hint="default"/>
        <w:sz w:val="20"/>
      </w:rPr>
    </w:lvl>
    <w:lvl w:ilvl="4">
      <w:start w:val="1"/>
      <w:numFmt w:val="bullet"/>
      <w:pStyle w:val="DashLevel3"/>
      <w:lvlText w:val="–"/>
      <w:lvlJc w:val="left"/>
      <w:pPr>
        <w:ind w:left="907" w:hanging="198"/>
      </w:pPr>
      <w:rPr>
        <w:rFonts w:ascii="Century Gothic" w:hAnsi="Century Gothic" w:hint="default"/>
        <w:sz w:val="20"/>
      </w:rPr>
    </w:lvl>
    <w:lvl w:ilvl="5">
      <w:start w:val="1"/>
      <w:numFmt w:val="none"/>
      <w:lvlText w:val=""/>
      <w:lvlJc w:val="left"/>
      <w:pPr>
        <w:ind w:left="4677" w:hanging="360"/>
      </w:pPr>
      <w:rPr>
        <w:rFonts w:hint="default"/>
      </w:rPr>
    </w:lvl>
    <w:lvl w:ilvl="6">
      <w:start w:val="1"/>
      <w:numFmt w:val="none"/>
      <w:lvlText w:val=""/>
      <w:lvlJc w:val="left"/>
      <w:pPr>
        <w:ind w:left="5397" w:hanging="360"/>
      </w:pPr>
      <w:rPr>
        <w:rFonts w:hint="default"/>
      </w:rPr>
    </w:lvl>
    <w:lvl w:ilvl="7">
      <w:start w:val="1"/>
      <w:numFmt w:val="none"/>
      <w:lvlText w:val=""/>
      <w:lvlJc w:val="left"/>
      <w:pPr>
        <w:ind w:left="6118" w:hanging="361"/>
      </w:pPr>
      <w:rPr>
        <w:rFonts w:hint="default"/>
      </w:rPr>
    </w:lvl>
    <w:lvl w:ilvl="8">
      <w:start w:val="1"/>
      <w:numFmt w:val="none"/>
      <w:lvlText w:val=""/>
      <w:lvlJc w:val="left"/>
      <w:pPr>
        <w:ind w:left="6837" w:hanging="360"/>
      </w:pPr>
      <w:rPr>
        <w:rFonts w:hint="default"/>
      </w:rPr>
    </w:lvl>
  </w:abstractNum>
  <w:abstractNum w:abstractNumId="6" w15:restartNumberingAfterBreak="0">
    <w:nsid w:val="0BDC3AFD"/>
    <w:multiLevelType w:val="hybridMultilevel"/>
    <w:tmpl w:val="6CE2A6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3B6E64"/>
    <w:multiLevelType w:val="hybridMultilevel"/>
    <w:tmpl w:val="8B42FB10"/>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D0A78E8"/>
    <w:multiLevelType w:val="multilevel"/>
    <w:tmpl w:val="35766D4A"/>
    <w:styleLink w:val="CCCBullets"/>
    <w:lvl w:ilvl="0">
      <w:start w:val="1"/>
      <w:numFmt w:val="bullet"/>
      <w:lvlText w:val="•"/>
      <w:lvlJc w:val="left"/>
      <w:pPr>
        <w:ind w:left="714" w:hanging="357"/>
      </w:pPr>
      <w:rPr>
        <w:rFonts w:ascii="Century Gothic" w:hAnsi="Century Gothic" w:hint="default"/>
        <w:sz w:val="20"/>
      </w:rPr>
    </w:lvl>
    <w:lvl w:ilvl="1">
      <w:start w:val="1"/>
      <w:numFmt w:val="bullet"/>
      <w:lvlText w:val="•"/>
      <w:lvlJc w:val="left"/>
      <w:pPr>
        <w:tabs>
          <w:tab w:val="num" w:pos="992"/>
        </w:tabs>
        <w:ind w:left="1191" w:hanging="199"/>
      </w:pPr>
      <w:rPr>
        <w:rFonts w:ascii="Arial Nova Light" w:hAnsi="Arial Nova Light" w:hint="default"/>
        <w:sz w:val="20"/>
      </w:rPr>
    </w:lvl>
    <w:lvl w:ilvl="2">
      <w:start w:val="1"/>
      <w:numFmt w:val="bullet"/>
      <w:lvlText w:val="–"/>
      <w:lvlJc w:val="left"/>
      <w:pPr>
        <w:tabs>
          <w:tab w:val="num" w:pos="992"/>
        </w:tabs>
        <w:ind w:left="1191" w:hanging="199"/>
      </w:pPr>
      <w:rPr>
        <w:rFonts w:ascii="Century Gothic" w:hAnsi="Century Gothic" w:hint="default"/>
        <w:sz w:val="20"/>
      </w:rPr>
    </w:lvl>
    <w:lvl w:ilvl="3">
      <w:start w:val="1"/>
      <w:numFmt w:val="bullet"/>
      <w:lvlText w:val="•"/>
      <w:lvlJc w:val="left"/>
      <w:pPr>
        <w:ind w:left="1542" w:hanging="198"/>
      </w:pPr>
      <w:rPr>
        <w:rFonts w:ascii="Arial Nova Light" w:hAnsi="Arial Nova Light" w:hint="default"/>
        <w:sz w:val="20"/>
      </w:rPr>
    </w:lvl>
    <w:lvl w:ilvl="4">
      <w:start w:val="1"/>
      <w:numFmt w:val="bullet"/>
      <w:lvlText w:val="–"/>
      <w:lvlJc w:val="left"/>
      <w:pPr>
        <w:ind w:left="1542" w:hanging="198"/>
      </w:pPr>
      <w:rPr>
        <w:rFonts w:ascii="Century Gothic" w:hAnsi="Century Gothic" w:hint="default"/>
        <w:sz w:val="20"/>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1" w:hanging="361"/>
      </w:pPr>
      <w:rPr>
        <w:rFonts w:hint="default"/>
      </w:rPr>
    </w:lvl>
    <w:lvl w:ilvl="8">
      <w:start w:val="1"/>
      <w:numFmt w:val="none"/>
      <w:lvlText w:val=""/>
      <w:lvlJc w:val="left"/>
      <w:pPr>
        <w:ind w:left="6480" w:hanging="360"/>
      </w:pPr>
      <w:rPr>
        <w:rFonts w:hint="default"/>
      </w:rPr>
    </w:lvl>
  </w:abstractNum>
  <w:abstractNum w:abstractNumId="9" w15:restartNumberingAfterBreak="0">
    <w:nsid w:val="116E5D8D"/>
    <w:multiLevelType w:val="multilevel"/>
    <w:tmpl w:val="5C0E1AE0"/>
    <w:lvl w:ilvl="0">
      <w:start w:val="1"/>
      <w:numFmt w:val="bullet"/>
      <w:lvlText w:val=""/>
      <w:lvlJc w:val="left"/>
      <w:pPr>
        <w:ind w:left="720" w:hanging="360"/>
      </w:pPr>
      <w:rPr>
        <w:rFonts w:ascii="Symbol" w:hAnsi="Symbol" w:hint="default"/>
      </w:rPr>
    </w:lvl>
    <w:lvl w:ilvl="1">
      <w:start w:val="1"/>
      <w:numFmt w:val="bullet"/>
      <w:pStyle w:val="DashLevel2"/>
      <w:lvlText w:val="–"/>
      <w:lvlJc w:val="left"/>
      <w:pPr>
        <w:ind w:left="1843" w:hanging="199"/>
      </w:pPr>
      <w:rPr>
        <w:rFonts w:ascii="Arial Nova Light" w:hAnsi="Arial Nova Light" w:hint="default"/>
        <w:color w:val="280049" w:themeColor="text1"/>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9B7801"/>
    <w:multiLevelType w:val="hybridMultilevel"/>
    <w:tmpl w:val="2A4AA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CC4ABD"/>
    <w:multiLevelType w:val="hybridMultilevel"/>
    <w:tmpl w:val="4724A25A"/>
    <w:lvl w:ilvl="0" w:tplc="EDB4CA48">
      <w:start w:val="1"/>
      <w:numFmt w:val="decimal"/>
      <w:lvlText w:val="%1."/>
      <w:lvlJc w:val="left"/>
      <w:pPr>
        <w:ind w:left="1440" w:hanging="360"/>
      </w:pPr>
      <w:rPr>
        <w:rFonts w:hint="default"/>
        <w:b/>
        <w:bCs w:val="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A834941"/>
    <w:multiLevelType w:val="hybridMultilevel"/>
    <w:tmpl w:val="1A0E0FE2"/>
    <w:lvl w:ilvl="0" w:tplc="AF6C58C8">
      <w:start w:val="1"/>
      <w:numFmt w:val="bullet"/>
      <w:lvlText w:val="•"/>
      <w:lvlJc w:val="left"/>
      <w:pPr>
        <w:tabs>
          <w:tab w:val="num" w:pos="720"/>
        </w:tabs>
        <w:ind w:left="720" w:hanging="360"/>
      </w:pPr>
      <w:rPr>
        <w:rFonts w:ascii="Arial" w:hAnsi="Arial" w:hint="default"/>
      </w:rPr>
    </w:lvl>
    <w:lvl w:ilvl="1" w:tplc="7E8A1B76">
      <w:start w:val="1"/>
      <w:numFmt w:val="bullet"/>
      <w:lvlText w:val="•"/>
      <w:lvlJc w:val="left"/>
      <w:pPr>
        <w:tabs>
          <w:tab w:val="num" w:pos="1440"/>
        </w:tabs>
        <w:ind w:left="1440" w:hanging="360"/>
      </w:pPr>
      <w:rPr>
        <w:rFonts w:ascii="Arial" w:hAnsi="Arial" w:hint="default"/>
      </w:rPr>
    </w:lvl>
    <w:lvl w:ilvl="2" w:tplc="E6643D5A" w:tentative="1">
      <w:start w:val="1"/>
      <w:numFmt w:val="bullet"/>
      <w:lvlText w:val="•"/>
      <w:lvlJc w:val="left"/>
      <w:pPr>
        <w:tabs>
          <w:tab w:val="num" w:pos="2160"/>
        </w:tabs>
        <w:ind w:left="2160" w:hanging="360"/>
      </w:pPr>
      <w:rPr>
        <w:rFonts w:ascii="Arial" w:hAnsi="Arial" w:hint="default"/>
      </w:rPr>
    </w:lvl>
    <w:lvl w:ilvl="3" w:tplc="1D4E80A6" w:tentative="1">
      <w:start w:val="1"/>
      <w:numFmt w:val="bullet"/>
      <w:lvlText w:val="•"/>
      <w:lvlJc w:val="left"/>
      <w:pPr>
        <w:tabs>
          <w:tab w:val="num" w:pos="2880"/>
        </w:tabs>
        <w:ind w:left="2880" w:hanging="360"/>
      </w:pPr>
      <w:rPr>
        <w:rFonts w:ascii="Arial" w:hAnsi="Arial" w:hint="default"/>
      </w:rPr>
    </w:lvl>
    <w:lvl w:ilvl="4" w:tplc="E37EF932" w:tentative="1">
      <w:start w:val="1"/>
      <w:numFmt w:val="bullet"/>
      <w:lvlText w:val="•"/>
      <w:lvlJc w:val="left"/>
      <w:pPr>
        <w:tabs>
          <w:tab w:val="num" w:pos="3600"/>
        </w:tabs>
        <w:ind w:left="3600" w:hanging="360"/>
      </w:pPr>
      <w:rPr>
        <w:rFonts w:ascii="Arial" w:hAnsi="Arial" w:hint="default"/>
      </w:rPr>
    </w:lvl>
    <w:lvl w:ilvl="5" w:tplc="B54A5C18" w:tentative="1">
      <w:start w:val="1"/>
      <w:numFmt w:val="bullet"/>
      <w:lvlText w:val="•"/>
      <w:lvlJc w:val="left"/>
      <w:pPr>
        <w:tabs>
          <w:tab w:val="num" w:pos="4320"/>
        </w:tabs>
        <w:ind w:left="4320" w:hanging="360"/>
      </w:pPr>
      <w:rPr>
        <w:rFonts w:ascii="Arial" w:hAnsi="Arial" w:hint="default"/>
      </w:rPr>
    </w:lvl>
    <w:lvl w:ilvl="6" w:tplc="A1C44F5C" w:tentative="1">
      <w:start w:val="1"/>
      <w:numFmt w:val="bullet"/>
      <w:lvlText w:val="•"/>
      <w:lvlJc w:val="left"/>
      <w:pPr>
        <w:tabs>
          <w:tab w:val="num" w:pos="5040"/>
        </w:tabs>
        <w:ind w:left="5040" w:hanging="360"/>
      </w:pPr>
      <w:rPr>
        <w:rFonts w:ascii="Arial" w:hAnsi="Arial" w:hint="default"/>
      </w:rPr>
    </w:lvl>
    <w:lvl w:ilvl="7" w:tplc="D30E4130" w:tentative="1">
      <w:start w:val="1"/>
      <w:numFmt w:val="bullet"/>
      <w:lvlText w:val="•"/>
      <w:lvlJc w:val="left"/>
      <w:pPr>
        <w:tabs>
          <w:tab w:val="num" w:pos="5760"/>
        </w:tabs>
        <w:ind w:left="5760" w:hanging="360"/>
      </w:pPr>
      <w:rPr>
        <w:rFonts w:ascii="Arial" w:hAnsi="Arial" w:hint="default"/>
      </w:rPr>
    </w:lvl>
    <w:lvl w:ilvl="8" w:tplc="183275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F00952"/>
    <w:multiLevelType w:val="hybridMultilevel"/>
    <w:tmpl w:val="8C066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0A25A9"/>
    <w:multiLevelType w:val="hybridMultilevel"/>
    <w:tmpl w:val="D9704A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15A0D2A"/>
    <w:multiLevelType w:val="hybridMultilevel"/>
    <w:tmpl w:val="87184BA8"/>
    <w:lvl w:ilvl="0" w:tplc="C7FCB0B4">
      <w:start w:val="1"/>
      <w:numFmt w:val="bullet"/>
      <w:lvlText w:val="•"/>
      <w:lvlJc w:val="left"/>
      <w:pPr>
        <w:tabs>
          <w:tab w:val="num" w:pos="720"/>
        </w:tabs>
        <w:ind w:left="720" w:hanging="360"/>
      </w:pPr>
      <w:rPr>
        <w:rFonts w:ascii="Arial" w:hAnsi="Arial" w:hint="default"/>
      </w:rPr>
    </w:lvl>
    <w:lvl w:ilvl="1" w:tplc="6B0ABEB4">
      <w:start w:val="1"/>
      <w:numFmt w:val="bullet"/>
      <w:lvlText w:val="•"/>
      <w:lvlJc w:val="left"/>
      <w:pPr>
        <w:tabs>
          <w:tab w:val="num" w:pos="1440"/>
        </w:tabs>
        <w:ind w:left="1440" w:hanging="360"/>
      </w:pPr>
      <w:rPr>
        <w:rFonts w:ascii="Arial" w:hAnsi="Arial" w:hint="default"/>
      </w:rPr>
    </w:lvl>
    <w:lvl w:ilvl="2" w:tplc="98C2CA10" w:tentative="1">
      <w:start w:val="1"/>
      <w:numFmt w:val="bullet"/>
      <w:lvlText w:val="•"/>
      <w:lvlJc w:val="left"/>
      <w:pPr>
        <w:tabs>
          <w:tab w:val="num" w:pos="2160"/>
        </w:tabs>
        <w:ind w:left="2160" w:hanging="360"/>
      </w:pPr>
      <w:rPr>
        <w:rFonts w:ascii="Arial" w:hAnsi="Arial" w:hint="default"/>
      </w:rPr>
    </w:lvl>
    <w:lvl w:ilvl="3" w:tplc="5AFC0658" w:tentative="1">
      <w:start w:val="1"/>
      <w:numFmt w:val="bullet"/>
      <w:lvlText w:val="•"/>
      <w:lvlJc w:val="left"/>
      <w:pPr>
        <w:tabs>
          <w:tab w:val="num" w:pos="2880"/>
        </w:tabs>
        <w:ind w:left="2880" w:hanging="360"/>
      </w:pPr>
      <w:rPr>
        <w:rFonts w:ascii="Arial" w:hAnsi="Arial" w:hint="default"/>
      </w:rPr>
    </w:lvl>
    <w:lvl w:ilvl="4" w:tplc="AA5880D6" w:tentative="1">
      <w:start w:val="1"/>
      <w:numFmt w:val="bullet"/>
      <w:lvlText w:val="•"/>
      <w:lvlJc w:val="left"/>
      <w:pPr>
        <w:tabs>
          <w:tab w:val="num" w:pos="3600"/>
        </w:tabs>
        <w:ind w:left="3600" w:hanging="360"/>
      </w:pPr>
      <w:rPr>
        <w:rFonts w:ascii="Arial" w:hAnsi="Arial" w:hint="default"/>
      </w:rPr>
    </w:lvl>
    <w:lvl w:ilvl="5" w:tplc="18A61B36" w:tentative="1">
      <w:start w:val="1"/>
      <w:numFmt w:val="bullet"/>
      <w:lvlText w:val="•"/>
      <w:lvlJc w:val="left"/>
      <w:pPr>
        <w:tabs>
          <w:tab w:val="num" w:pos="4320"/>
        </w:tabs>
        <w:ind w:left="4320" w:hanging="360"/>
      </w:pPr>
      <w:rPr>
        <w:rFonts w:ascii="Arial" w:hAnsi="Arial" w:hint="default"/>
      </w:rPr>
    </w:lvl>
    <w:lvl w:ilvl="6" w:tplc="462EE294" w:tentative="1">
      <w:start w:val="1"/>
      <w:numFmt w:val="bullet"/>
      <w:lvlText w:val="•"/>
      <w:lvlJc w:val="left"/>
      <w:pPr>
        <w:tabs>
          <w:tab w:val="num" w:pos="5040"/>
        </w:tabs>
        <w:ind w:left="5040" w:hanging="360"/>
      </w:pPr>
      <w:rPr>
        <w:rFonts w:ascii="Arial" w:hAnsi="Arial" w:hint="default"/>
      </w:rPr>
    </w:lvl>
    <w:lvl w:ilvl="7" w:tplc="D31ECFC0" w:tentative="1">
      <w:start w:val="1"/>
      <w:numFmt w:val="bullet"/>
      <w:lvlText w:val="•"/>
      <w:lvlJc w:val="left"/>
      <w:pPr>
        <w:tabs>
          <w:tab w:val="num" w:pos="5760"/>
        </w:tabs>
        <w:ind w:left="5760" w:hanging="360"/>
      </w:pPr>
      <w:rPr>
        <w:rFonts w:ascii="Arial" w:hAnsi="Arial" w:hint="default"/>
      </w:rPr>
    </w:lvl>
    <w:lvl w:ilvl="8" w:tplc="8136972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F452F5"/>
    <w:multiLevelType w:val="hybridMultilevel"/>
    <w:tmpl w:val="01429782"/>
    <w:lvl w:ilvl="0" w:tplc="0809000F">
      <w:start w:val="1"/>
      <w:numFmt w:val="decimal"/>
      <w:lvlText w:val="%1."/>
      <w:lvlJc w:val="left"/>
      <w:pPr>
        <w:ind w:left="1440" w:hanging="360"/>
      </w:pPr>
    </w:lvl>
    <w:lvl w:ilvl="1" w:tplc="0809001B">
      <w:start w:val="1"/>
      <w:numFmt w:val="lowerRoman"/>
      <w:lvlText w:val="%2."/>
      <w:lvlJc w:val="right"/>
      <w:pPr>
        <w:ind w:left="2160" w:hanging="360"/>
      </w:pPr>
      <w:rPr>
        <w:rFonts w:cs="Times New Roman"/>
      </w:rPr>
    </w:lvl>
    <w:lvl w:ilvl="2" w:tplc="08090001">
      <w:start w:val="1"/>
      <w:numFmt w:val="bullet"/>
      <w:lvlText w:val=""/>
      <w:lvlJc w:val="left"/>
      <w:pPr>
        <w:ind w:left="2590" w:hanging="180"/>
      </w:pPr>
      <w:rPr>
        <w:rFonts w:ascii="Symbol" w:hAnsi="Symbol"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214E13"/>
    <w:multiLevelType w:val="hybridMultilevel"/>
    <w:tmpl w:val="F4DE9042"/>
    <w:lvl w:ilvl="0" w:tplc="ABC8B916">
      <w:start w:val="1"/>
      <w:numFmt w:val="bullet"/>
      <w:lvlText w:val="•"/>
      <w:lvlJc w:val="left"/>
      <w:pPr>
        <w:tabs>
          <w:tab w:val="num" w:pos="720"/>
        </w:tabs>
        <w:ind w:left="720" w:hanging="360"/>
      </w:pPr>
      <w:rPr>
        <w:rFonts w:ascii="Arial" w:hAnsi="Arial" w:hint="default"/>
      </w:rPr>
    </w:lvl>
    <w:lvl w:ilvl="1" w:tplc="1CF43D5E">
      <w:start w:val="1"/>
      <w:numFmt w:val="bullet"/>
      <w:lvlText w:val="•"/>
      <w:lvlJc w:val="left"/>
      <w:pPr>
        <w:tabs>
          <w:tab w:val="num" w:pos="1440"/>
        </w:tabs>
        <w:ind w:left="1440" w:hanging="360"/>
      </w:pPr>
      <w:rPr>
        <w:rFonts w:ascii="Arial" w:hAnsi="Arial" w:hint="default"/>
      </w:rPr>
    </w:lvl>
    <w:lvl w:ilvl="2" w:tplc="BAD64A3E" w:tentative="1">
      <w:start w:val="1"/>
      <w:numFmt w:val="bullet"/>
      <w:lvlText w:val="•"/>
      <w:lvlJc w:val="left"/>
      <w:pPr>
        <w:tabs>
          <w:tab w:val="num" w:pos="2160"/>
        </w:tabs>
        <w:ind w:left="2160" w:hanging="360"/>
      </w:pPr>
      <w:rPr>
        <w:rFonts w:ascii="Arial" w:hAnsi="Arial" w:hint="default"/>
      </w:rPr>
    </w:lvl>
    <w:lvl w:ilvl="3" w:tplc="A736494C" w:tentative="1">
      <w:start w:val="1"/>
      <w:numFmt w:val="bullet"/>
      <w:lvlText w:val="•"/>
      <w:lvlJc w:val="left"/>
      <w:pPr>
        <w:tabs>
          <w:tab w:val="num" w:pos="2880"/>
        </w:tabs>
        <w:ind w:left="2880" w:hanging="360"/>
      </w:pPr>
      <w:rPr>
        <w:rFonts w:ascii="Arial" w:hAnsi="Arial" w:hint="default"/>
      </w:rPr>
    </w:lvl>
    <w:lvl w:ilvl="4" w:tplc="34C01F3E" w:tentative="1">
      <w:start w:val="1"/>
      <w:numFmt w:val="bullet"/>
      <w:lvlText w:val="•"/>
      <w:lvlJc w:val="left"/>
      <w:pPr>
        <w:tabs>
          <w:tab w:val="num" w:pos="3600"/>
        </w:tabs>
        <w:ind w:left="3600" w:hanging="360"/>
      </w:pPr>
      <w:rPr>
        <w:rFonts w:ascii="Arial" w:hAnsi="Arial" w:hint="default"/>
      </w:rPr>
    </w:lvl>
    <w:lvl w:ilvl="5" w:tplc="08FACAC0" w:tentative="1">
      <w:start w:val="1"/>
      <w:numFmt w:val="bullet"/>
      <w:lvlText w:val="•"/>
      <w:lvlJc w:val="left"/>
      <w:pPr>
        <w:tabs>
          <w:tab w:val="num" w:pos="4320"/>
        </w:tabs>
        <w:ind w:left="4320" w:hanging="360"/>
      </w:pPr>
      <w:rPr>
        <w:rFonts w:ascii="Arial" w:hAnsi="Arial" w:hint="default"/>
      </w:rPr>
    </w:lvl>
    <w:lvl w:ilvl="6" w:tplc="BD169D38" w:tentative="1">
      <w:start w:val="1"/>
      <w:numFmt w:val="bullet"/>
      <w:lvlText w:val="•"/>
      <w:lvlJc w:val="left"/>
      <w:pPr>
        <w:tabs>
          <w:tab w:val="num" w:pos="5040"/>
        </w:tabs>
        <w:ind w:left="5040" w:hanging="360"/>
      </w:pPr>
      <w:rPr>
        <w:rFonts w:ascii="Arial" w:hAnsi="Arial" w:hint="default"/>
      </w:rPr>
    </w:lvl>
    <w:lvl w:ilvl="7" w:tplc="0FD00B2C" w:tentative="1">
      <w:start w:val="1"/>
      <w:numFmt w:val="bullet"/>
      <w:lvlText w:val="•"/>
      <w:lvlJc w:val="left"/>
      <w:pPr>
        <w:tabs>
          <w:tab w:val="num" w:pos="5760"/>
        </w:tabs>
        <w:ind w:left="5760" w:hanging="360"/>
      </w:pPr>
      <w:rPr>
        <w:rFonts w:ascii="Arial" w:hAnsi="Arial" w:hint="default"/>
      </w:rPr>
    </w:lvl>
    <w:lvl w:ilvl="8" w:tplc="D52E04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DB92791"/>
    <w:multiLevelType w:val="hybridMultilevel"/>
    <w:tmpl w:val="3D08E74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15:restartNumberingAfterBreak="0">
    <w:nsid w:val="44163974"/>
    <w:multiLevelType w:val="hybridMultilevel"/>
    <w:tmpl w:val="535A1A76"/>
    <w:lvl w:ilvl="0" w:tplc="877049CA">
      <w:start w:val="1"/>
      <w:numFmt w:val="lowerRoman"/>
      <w:lvlText w:val="%1."/>
      <w:lvlJc w:val="right"/>
      <w:pPr>
        <w:ind w:left="1440" w:hanging="360"/>
      </w:pPr>
      <w:rPr>
        <w:b/>
        <w:bCs w:val="0"/>
      </w:rPr>
    </w:lvl>
    <w:lvl w:ilvl="1" w:tplc="08090001">
      <w:start w:val="1"/>
      <w:numFmt w:val="bullet"/>
      <w:lvlText w:val=""/>
      <w:lvlJc w:val="left"/>
      <w:pPr>
        <w:ind w:left="2160" w:hanging="360"/>
      </w:pPr>
      <w:rPr>
        <w:rFonts w:ascii="Symbol" w:hAnsi="Symbol" w:hint="default"/>
      </w:r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CEF214D"/>
    <w:multiLevelType w:val="hybridMultilevel"/>
    <w:tmpl w:val="6B0C2CCA"/>
    <w:lvl w:ilvl="0" w:tplc="CDC217E6">
      <w:start w:val="1"/>
      <w:numFmt w:val="bullet"/>
      <w:lvlText w:val="•"/>
      <w:lvlJc w:val="left"/>
      <w:pPr>
        <w:tabs>
          <w:tab w:val="num" w:pos="720"/>
        </w:tabs>
        <w:ind w:left="720" w:hanging="360"/>
      </w:pPr>
      <w:rPr>
        <w:rFonts w:ascii="Arial" w:hAnsi="Arial" w:hint="default"/>
      </w:rPr>
    </w:lvl>
    <w:lvl w:ilvl="1" w:tplc="38F8CBA8">
      <w:start w:val="1"/>
      <w:numFmt w:val="bullet"/>
      <w:lvlText w:val="•"/>
      <w:lvlJc w:val="left"/>
      <w:pPr>
        <w:tabs>
          <w:tab w:val="num" w:pos="1440"/>
        </w:tabs>
        <w:ind w:left="1440" w:hanging="360"/>
      </w:pPr>
      <w:rPr>
        <w:rFonts w:ascii="Arial" w:hAnsi="Arial" w:hint="default"/>
      </w:rPr>
    </w:lvl>
    <w:lvl w:ilvl="2" w:tplc="94D09EC6" w:tentative="1">
      <w:start w:val="1"/>
      <w:numFmt w:val="bullet"/>
      <w:lvlText w:val="•"/>
      <w:lvlJc w:val="left"/>
      <w:pPr>
        <w:tabs>
          <w:tab w:val="num" w:pos="2160"/>
        </w:tabs>
        <w:ind w:left="2160" w:hanging="360"/>
      </w:pPr>
      <w:rPr>
        <w:rFonts w:ascii="Arial" w:hAnsi="Arial" w:hint="default"/>
      </w:rPr>
    </w:lvl>
    <w:lvl w:ilvl="3" w:tplc="78387772" w:tentative="1">
      <w:start w:val="1"/>
      <w:numFmt w:val="bullet"/>
      <w:lvlText w:val="•"/>
      <w:lvlJc w:val="left"/>
      <w:pPr>
        <w:tabs>
          <w:tab w:val="num" w:pos="2880"/>
        </w:tabs>
        <w:ind w:left="2880" w:hanging="360"/>
      </w:pPr>
      <w:rPr>
        <w:rFonts w:ascii="Arial" w:hAnsi="Arial" w:hint="default"/>
      </w:rPr>
    </w:lvl>
    <w:lvl w:ilvl="4" w:tplc="AC9A2720" w:tentative="1">
      <w:start w:val="1"/>
      <w:numFmt w:val="bullet"/>
      <w:lvlText w:val="•"/>
      <w:lvlJc w:val="left"/>
      <w:pPr>
        <w:tabs>
          <w:tab w:val="num" w:pos="3600"/>
        </w:tabs>
        <w:ind w:left="3600" w:hanging="360"/>
      </w:pPr>
      <w:rPr>
        <w:rFonts w:ascii="Arial" w:hAnsi="Arial" w:hint="default"/>
      </w:rPr>
    </w:lvl>
    <w:lvl w:ilvl="5" w:tplc="45CC2C24" w:tentative="1">
      <w:start w:val="1"/>
      <w:numFmt w:val="bullet"/>
      <w:lvlText w:val="•"/>
      <w:lvlJc w:val="left"/>
      <w:pPr>
        <w:tabs>
          <w:tab w:val="num" w:pos="4320"/>
        </w:tabs>
        <w:ind w:left="4320" w:hanging="360"/>
      </w:pPr>
      <w:rPr>
        <w:rFonts w:ascii="Arial" w:hAnsi="Arial" w:hint="default"/>
      </w:rPr>
    </w:lvl>
    <w:lvl w:ilvl="6" w:tplc="DC789980" w:tentative="1">
      <w:start w:val="1"/>
      <w:numFmt w:val="bullet"/>
      <w:lvlText w:val="•"/>
      <w:lvlJc w:val="left"/>
      <w:pPr>
        <w:tabs>
          <w:tab w:val="num" w:pos="5040"/>
        </w:tabs>
        <w:ind w:left="5040" w:hanging="360"/>
      </w:pPr>
      <w:rPr>
        <w:rFonts w:ascii="Arial" w:hAnsi="Arial" w:hint="default"/>
      </w:rPr>
    </w:lvl>
    <w:lvl w:ilvl="7" w:tplc="27A8B2E6" w:tentative="1">
      <w:start w:val="1"/>
      <w:numFmt w:val="bullet"/>
      <w:lvlText w:val="•"/>
      <w:lvlJc w:val="left"/>
      <w:pPr>
        <w:tabs>
          <w:tab w:val="num" w:pos="5760"/>
        </w:tabs>
        <w:ind w:left="5760" w:hanging="360"/>
      </w:pPr>
      <w:rPr>
        <w:rFonts w:ascii="Arial" w:hAnsi="Arial" w:hint="default"/>
      </w:rPr>
    </w:lvl>
    <w:lvl w:ilvl="8" w:tplc="BADE90D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E6E23F1"/>
    <w:multiLevelType w:val="hybridMultilevel"/>
    <w:tmpl w:val="97C045DA"/>
    <w:lvl w:ilvl="0" w:tplc="4F92062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FC45E4"/>
    <w:multiLevelType w:val="hybridMultilevel"/>
    <w:tmpl w:val="45FA0464"/>
    <w:lvl w:ilvl="0" w:tplc="FC062950">
      <w:start w:val="5"/>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5782B4A"/>
    <w:multiLevelType w:val="hybridMultilevel"/>
    <w:tmpl w:val="91E0B732"/>
    <w:lvl w:ilvl="0" w:tplc="95125BE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56BA4"/>
    <w:multiLevelType w:val="multilevel"/>
    <w:tmpl w:val="8B34C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0208D3"/>
    <w:multiLevelType w:val="hybridMultilevel"/>
    <w:tmpl w:val="521E9D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AD726C6"/>
    <w:multiLevelType w:val="hybridMultilevel"/>
    <w:tmpl w:val="42144E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41B319A"/>
    <w:multiLevelType w:val="hybridMultilevel"/>
    <w:tmpl w:val="19C0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BD1B06"/>
    <w:multiLevelType w:val="hybridMultilevel"/>
    <w:tmpl w:val="E548B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BC52CB9"/>
    <w:multiLevelType w:val="hybridMultilevel"/>
    <w:tmpl w:val="F1B2EA0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D8F5510"/>
    <w:multiLevelType w:val="hybridMultilevel"/>
    <w:tmpl w:val="2DC2F936"/>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6044678"/>
    <w:multiLevelType w:val="hybridMultilevel"/>
    <w:tmpl w:val="722A1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F855B14"/>
    <w:multiLevelType w:val="hybridMultilevel"/>
    <w:tmpl w:val="659CACA6"/>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2"/>
  </w:num>
  <w:num w:numId="2">
    <w:abstractNumId w:val="19"/>
  </w:num>
  <w:num w:numId="3">
    <w:abstractNumId w:val="0"/>
  </w:num>
  <w:num w:numId="4">
    <w:abstractNumId w:val="8"/>
  </w:num>
  <w:num w:numId="5">
    <w:abstractNumId w:val="5"/>
  </w:num>
  <w:num w:numId="6">
    <w:abstractNumId w:val="9"/>
  </w:num>
  <w:num w:numId="7">
    <w:abstractNumId w:val="18"/>
  </w:num>
  <w:num w:numId="8">
    <w:abstractNumId w:val="2"/>
  </w:num>
  <w:num w:numId="9">
    <w:abstractNumId w:val="24"/>
  </w:num>
  <w:num w:numId="10">
    <w:abstractNumId w:val="4"/>
  </w:num>
  <w:num w:numId="11">
    <w:abstractNumId w:val="30"/>
  </w:num>
  <w:num w:numId="12">
    <w:abstractNumId w:val="11"/>
  </w:num>
  <w:num w:numId="13">
    <w:abstractNumId w:val="5"/>
  </w:num>
  <w:num w:numId="14">
    <w:abstractNumId w:val="9"/>
  </w:num>
  <w:num w:numId="15">
    <w:abstractNumId w:val="5"/>
  </w:num>
  <w:num w:numId="16">
    <w:abstractNumId w:val="9"/>
  </w:num>
  <w:num w:numId="17">
    <w:abstractNumId w:val="5"/>
  </w:num>
  <w:num w:numId="18">
    <w:abstractNumId w:val="5"/>
  </w:num>
  <w:num w:numId="19">
    <w:abstractNumId w:val="29"/>
  </w:num>
  <w:num w:numId="20">
    <w:abstractNumId w:val="5"/>
  </w:num>
  <w:num w:numId="21">
    <w:abstractNumId w:val="1"/>
  </w:num>
  <w:num w:numId="22">
    <w:abstractNumId w:val="28"/>
  </w:num>
  <w:num w:numId="23">
    <w:abstractNumId w:val="10"/>
  </w:num>
  <w:num w:numId="24">
    <w:abstractNumId w:val="5"/>
  </w:num>
  <w:num w:numId="25">
    <w:abstractNumId w:val="32"/>
  </w:num>
  <w:num w:numId="26">
    <w:abstractNumId w:val="9"/>
  </w:num>
  <w:num w:numId="27">
    <w:abstractNumId w:val="25"/>
    <w:lvlOverride w:ilvl="0">
      <w:startOverride w:val="1"/>
    </w:lvlOverride>
  </w:num>
  <w:num w:numId="28">
    <w:abstractNumId w:val="9"/>
  </w:num>
  <w:num w:numId="29">
    <w:abstractNumId w:val="3"/>
  </w:num>
  <w:num w:numId="30">
    <w:abstractNumId w:val="27"/>
  </w:num>
  <w:num w:numId="31">
    <w:abstractNumId w:val="15"/>
  </w:num>
  <w:num w:numId="32">
    <w:abstractNumId w:val="12"/>
  </w:num>
  <w:num w:numId="33">
    <w:abstractNumId w:val="17"/>
  </w:num>
  <w:num w:numId="34">
    <w:abstractNumId w:val="21"/>
  </w:num>
  <w:num w:numId="35">
    <w:abstractNumId w:val="20"/>
  </w:num>
  <w:num w:numId="36">
    <w:abstractNumId w:val="16"/>
  </w:num>
  <w:num w:numId="37">
    <w:abstractNumId w:val="31"/>
  </w:num>
  <w:num w:numId="38">
    <w:abstractNumId w:val="7"/>
  </w:num>
  <w:num w:numId="39">
    <w:abstractNumId w:val="6"/>
  </w:num>
  <w:num w:numId="40">
    <w:abstractNumId w:val="26"/>
  </w:num>
  <w:num w:numId="41">
    <w:abstractNumId w:val="23"/>
  </w:num>
  <w:num w:numId="42">
    <w:abstractNumId w:val="13"/>
  </w:num>
  <w:num w:numId="43">
    <w:abstractNumId w:val="14"/>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02F5B"/>
    <w:rsid w:val="00023E4B"/>
    <w:rsid w:val="00040453"/>
    <w:rsid w:val="00041CE6"/>
    <w:rsid w:val="00053F17"/>
    <w:rsid w:val="00081F39"/>
    <w:rsid w:val="00090B50"/>
    <w:rsid w:val="00095EB6"/>
    <w:rsid w:val="000A0118"/>
    <w:rsid w:val="000A0315"/>
    <w:rsid w:val="000A035B"/>
    <w:rsid w:val="000A0490"/>
    <w:rsid w:val="000A7FD5"/>
    <w:rsid w:val="000B1CBB"/>
    <w:rsid w:val="000E612A"/>
    <w:rsid w:val="000F19EB"/>
    <w:rsid w:val="0011573E"/>
    <w:rsid w:val="0011596B"/>
    <w:rsid w:val="0012559B"/>
    <w:rsid w:val="001373E2"/>
    <w:rsid w:val="00157906"/>
    <w:rsid w:val="00172CCD"/>
    <w:rsid w:val="0018618B"/>
    <w:rsid w:val="001A6295"/>
    <w:rsid w:val="001B6D63"/>
    <w:rsid w:val="001D1D99"/>
    <w:rsid w:val="001F4A11"/>
    <w:rsid w:val="00210DC9"/>
    <w:rsid w:val="00212A76"/>
    <w:rsid w:val="002274FF"/>
    <w:rsid w:val="00231187"/>
    <w:rsid w:val="00236B37"/>
    <w:rsid w:val="00243C4A"/>
    <w:rsid w:val="00281CBA"/>
    <w:rsid w:val="00284993"/>
    <w:rsid w:val="002D2A6E"/>
    <w:rsid w:val="002D6CE7"/>
    <w:rsid w:val="002D7DFB"/>
    <w:rsid w:val="002F41A0"/>
    <w:rsid w:val="00324117"/>
    <w:rsid w:val="00347379"/>
    <w:rsid w:val="00347565"/>
    <w:rsid w:val="00370B62"/>
    <w:rsid w:val="0038388A"/>
    <w:rsid w:val="00385FE3"/>
    <w:rsid w:val="00386BE2"/>
    <w:rsid w:val="003A05B7"/>
    <w:rsid w:val="003A391E"/>
    <w:rsid w:val="003A6A9D"/>
    <w:rsid w:val="003A7720"/>
    <w:rsid w:val="003B2E1E"/>
    <w:rsid w:val="003C0907"/>
    <w:rsid w:val="003D6DBE"/>
    <w:rsid w:val="003F38EA"/>
    <w:rsid w:val="00413DE7"/>
    <w:rsid w:val="00433DD9"/>
    <w:rsid w:val="00447329"/>
    <w:rsid w:val="004577AB"/>
    <w:rsid w:val="00461097"/>
    <w:rsid w:val="004711FD"/>
    <w:rsid w:val="004861B1"/>
    <w:rsid w:val="004A3015"/>
    <w:rsid w:val="004C7CD3"/>
    <w:rsid w:val="004D5310"/>
    <w:rsid w:val="004D59C8"/>
    <w:rsid w:val="004E670C"/>
    <w:rsid w:val="004E6806"/>
    <w:rsid w:val="005032A2"/>
    <w:rsid w:val="00520FAC"/>
    <w:rsid w:val="00521506"/>
    <w:rsid w:val="005246E4"/>
    <w:rsid w:val="00537A57"/>
    <w:rsid w:val="005412D4"/>
    <w:rsid w:val="0054389B"/>
    <w:rsid w:val="005450A7"/>
    <w:rsid w:val="005451B7"/>
    <w:rsid w:val="00550DB6"/>
    <w:rsid w:val="00552BE8"/>
    <w:rsid w:val="00554E79"/>
    <w:rsid w:val="005619E6"/>
    <w:rsid w:val="00567DB3"/>
    <w:rsid w:val="005904D3"/>
    <w:rsid w:val="005C519D"/>
    <w:rsid w:val="0060109C"/>
    <w:rsid w:val="00612059"/>
    <w:rsid w:val="006124C8"/>
    <w:rsid w:val="006156B5"/>
    <w:rsid w:val="00617C91"/>
    <w:rsid w:val="00631A1E"/>
    <w:rsid w:val="00643B70"/>
    <w:rsid w:val="00644C65"/>
    <w:rsid w:val="00651C77"/>
    <w:rsid w:val="00682EF1"/>
    <w:rsid w:val="006A1EA9"/>
    <w:rsid w:val="006C39E8"/>
    <w:rsid w:val="006D53EE"/>
    <w:rsid w:val="006D763E"/>
    <w:rsid w:val="006F0AEC"/>
    <w:rsid w:val="00702D8F"/>
    <w:rsid w:val="00711D00"/>
    <w:rsid w:val="00747C14"/>
    <w:rsid w:val="00753951"/>
    <w:rsid w:val="00766FDA"/>
    <w:rsid w:val="007A1A80"/>
    <w:rsid w:val="007A5261"/>
    <w:rsid w:val="007B321D"/>
    <w:rsid w:val="007B7F61"/>
    <w:rsid w:val="007C55D7"/>
    <w:rsid w:val="007C6DA6"/>
    <w:rsid w:val="007D26FA"/>
    <w:rsid w:val="007D76BE"/>
    <w:rsid w:val="008059A3"/>
    <w:rsid w:val="00817334"/>
    <w:rsid w:val="00822490"/>
    <w:rsid w:val="00823518"/>
    <w:rsid w:val="0083151A"/>
    <w:rsid w:val="00835A8C"/>
    <w:rsid w:val="00841B40"/>
    <w:rsid w:val="00890079"/>
    <w:rsid w:val="008925A4"/>
    <w:rsid w:val="008960A9"/>
    <w:rsid w:val="00896149"/>
    <w:rsid w:val="008A2514"/>
    <w:rsid w:val="008B292C"/>
    <w:rsid w:val="008B67F0"/>
    <w:rsid w:val="008F7DE1"/>
    <w:rsid w:val="008F7EFD"/>
    <w:rsid w:val="00900191"/>
    <w:rsid w:val="009139F8"/>
    <w:rsid w:val="00926630"/>
    <w:rsid w:val="009634FC"/>
    <w:rsid w:val="00975CE7"/>
    <w:rsid w:val="00986D64"/>
    <w:rsid w:val="00987C55"/>
    <w:rsid w:val="00990EA8"/>
    <w:rsid w:val="00994C96"/>
    <w:rsid w:val="0099611F"/>
    <w:rsid w:val="009A7BD6"/>
    <w:rsid w:val="009B56FD"/>
    <w:rsid w:val="009C5369"/>
    <w:rsid w:val="009C6EF2"/>
    <w:rsid w:val="009E310D"/>
    <w:rsid w:val="009E7DC2"/>
    <w:rsid w:val="00A01274"/>
    <w:rsid w:val="00A02638"/>
    <w:rsid w:val="00A04670"/>
    <w:rsid w:val="00A04D23"/>
    <w:rsid w:val="00A0652B"/>
    <w:rsid w:val="00A356BD"/>
    <w:rsid w:val="00A35F5D"/>
    <w:rsid w:val="00A43C0E"/>
    <w:rsid w:val="00A67B13"/>
    <w:rsid w:val="00A73BDB"/>
    <w:rsid w:val="00A9730B"/>
    <w:rsid w:val="00AA05C0"/>
    <w:rsid w:val="00AE6734"/>
    <w:rsid w:val="00AF3796"/>
    <w:rsid w:val="00B14483"/>
    <w:rsid w:val="00B22DAC"/>
    <w:rsid w:val="00B266D8"/>
    <w:rsid w:val="00B42A44"/>
    <w:rsid w:val="00B65C7E"/>
    <w:rsid w:val="00B71634"/>
    <w:rsid w:val="00B73C8E"/>
    <w:rsid w:val="00B73E49"/>
    <w:rsid w:val="00BD690A"/>
    <w:rsid w:val="00BE3054"/>
    <w:rsid w:val="00BE4943"/>
    <w:rsid w:val="00BF195E"/>
    <w:rsid w:val="00C048C0"/>
    <w:rsid w:val="00C267F7"/>
    <w:rsid w:val="00C27D8B"/>
    <w:rsid w:val="00C67C4A"/>
    <w:rsid w:val="00C775B8"/>
    <w:rsid w:val="00C94DD8"/>
    <w:rsid w:val="00C9628A"/>
    <w:rsid w:val="00CA714A"/>
    <w:rsid w:val="00CB081B"/>
    <w:rsid w:val="00CC0FAA"/>
    <w:rsid w:val="00CD0D43"/>
    <w:rsid w:val="00CD5593"/>
    <w:rsid w:val="00CE6769"/>
    <w:rsid w:val="00D2323E"/>
    <w:rsid w:val="00D259BB"/>
    <w:rsid w:val="00D271DE"/>
    <w:rsid w:val="00D42C7F"/>
    <w:rsid w:val="00D50F08"/>
    <w:rsid w:val="00D5309C"/>
    <w:rsid w:val="00D55F7F"/>
    <w:rsid w:val="00D62139"/>
    <w:rsid w:val="00D6345A"/>
    <w:rsid w:val="00D720D9"/>
    <w:rsid w:val="00D73FAA"/>
    <w:rsid w:val="00D8191F"/>
    <w:rsid w:val="00DA2FBB"/>
    <w:rsid w:val="00DA61C5"/>
    <w:rsid w:val="00DB5892"/>
    <w:rsid w:val="00DF0207"/>
    <w:rsid w:val="00DF64DE"/>
    <w:rsid w:val="00E14E10"/>
    <w:rsid w:val="00E92594"/>
    <w:rsid w:val="00EA4456"/>
    <w:rsid w:val="00EA750C"/>
    <w:rsid w:val="00ED49DD"/>
    <w:rsid w:val="00EE43F6"/>
    <w:rsid w:val="00F23B18"/>
    <w:rsid w:val="00F250A6"/>
    <w:rsid w:val="00F5741C"/>
    <w:rsid w:val="00F70157"/>
    <w:rsid w:val="00F80FFE"/>
    <w:rsid w:val="00FA3C42"/>
    <w:rsid w:val="00FA7103"/>
    <w:rsid w:val="00FB5F44"/>
    <w:rsid w:val="00FC2AF7"/>
    <w:rsid w:val="00FE7E28"/>
    <w:rsid w:val="00FF3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157906"/>
    <w:pPr>
      <w:keepNext/>
      <w:widowControl w:val="0"/>
      <w:overflowPunct w:val="0"/>
      <w:autoSpaceDE w:val="0"/>
      <w:autoSpaceDN w:val="0"/>
      <w:adjustRightInd w:val="0"/>
      <w:spacing w:before="240" w:after="60"/>
      <w:ind w:left="1080"/>
      <w:textAlignment w:val="baseline"/>
      <w:outlineLvl w:val="0"/>
    </w:pPr>
    <w:rPr>
      <w:rFonts w:eastAsia="Times New Roman" w:cs="Arial"/>
      <w:b/>
      <w:bCs/>
      <w:kern w:val="32"/>
      <w:sz w:val="20"/>
      <w:szCs w:val="20"/>
    </w:rPr>
  </w:style>
  <w:style w:type="paragraph" w:styleId="Heading2">
    <w:name w:val="heading 2"/>
    <w:basedOn w:val="Normal"/>
    <w:next w:val="Normal"/>
    <w:link w:val="Heading2Char"/>
    <w:uiPriority w:val="2"/>
    <w:semiHidden/>
    <w:qFormat/>
    <w:rsid w:val="00157906"/>
    <w:pPr>
      <w:keepNext/>
      <w:keepLines/>
      <w:spacing w:before="40"/>
      <w:outlineLvl w:val="1"/>
    </w:pPr>
    <w:rPr>
      <w:rFonts w:asciiTheme="majorHAnsi" w:eastAsiaTheme="majorEastAsia" w:hAnsiTheme="majorHAnsi" w:cstheme="majorBidi"/>
      <w:color w:val="1D0036" w:themeColor="accent1" w:themeShade="BF"/>
      <w:sz w:val="26"/>
      <w:szCs w:val="26"/>
    </w:rPr>
  </w:style>
  <w:style w:type="paragraph" w:styleId="Heading3">
    <w:name w:val="heading 3"/>
    <w:basedOn w:val="Normal"/>
    <w:next w:val="Normal"/>
    <w:link w:val="Heading3Char"/>
    <w:uiPriority w:val="3"/>
    <w:semiHidden/>
    <w:qFormat/>
    <w:rsid w:val="00157906"/>
    <w:pPr>
      <w:keepNext/>
      <w:keepLines/>
      <w:spacing w:before="40"/>
      <w:outlineLvl w:val="2"/>
    </w:pPr>
    <w:rPr>
      <w:rFonts w:asciiTheme="majorHAnsi" w:eastAsiaTheme="majorEastAsia" w:hAnsiTheme="majorHAnsi" w:cstheme="majorBidi"/>
      <w:color w:val="130024" w:themeColor="accent1" w:themeShade="7F"/>
      <w:sz w:val="24"/>
      <w:szCs w:val="24"/>
    </w:rPr>
  </w:style>
  <w:style w:type="paragraph" w:styleId="Heading4">
    <w:name w:val="heading 4"/>
    <w:basedOn w:val="Heading1"/>
    <w:next w:val="Normal"/>
    <w:link w:val="Heading4Char"/>
    <w:uiPriority w:val="1"/>
    <w:qFormat/>
    <w:rsid w:val="00157906"/>
    <w:pPr>
      <w:ind w:left="720"/>
      <w:outlineLvl w:val="3"/>
    </w:pPr>
    <w:rPr>
      <w:color w:val="7142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157906"/>
    <w:pPr>
      <w:spacing w:after="0" w:line="240" w:lineRule="auto"/>
      <w:ind w:left="720"/>
    </w:pPr>
    <w:rPr>
      <w:rFonts w:eastAsia="Times New Roman" w:cs="Times New Roman"/>
      <w:bCs/>
      <w:sz w:val="20"/>
      <w:szCs w:val="20"/>
    </w:rPr>
  </w:style>
  <w:style w:type="paragraph" w:styleId="TOC1">
    <w:name w:val="toc 1"/>
    <w:basedOn w:val="Normal"/>
    <w:next w:val="Normal"/>
    <w:autoRedefine/>
    <w:uiPriority w:val="39"/>
    <w:unhideWhenUsed/>
    <w:rsid w:val="00CD0D43"/>
    <w:pPr>
      <w:tabs>
        <w:tab w:val="left" w:pos="660"/>
        <w:tab w:val="right" w:leader="dot" w:pos="7854"/>
      </w:tabs>
      <w:spacing w:after="120"/>
      <w:ind w:left="34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157906"/>
    <w:rPr>
      <w:rFonts w:eastAsia="Times New Roman" w:cs="Arial"/>
      <w:b/>
      <w:bCs/>
      <w:kern w:val="32"/>
      <w:sz w:val="20"/>
      <w:szCs w:val="20"/>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157906"/>
    <w:rPr>
      <w:rFonts w:eastAsia="Times New Roman" w:cs="Arial"/>
      <w:b/>
      <w:bCs/>
      <w:color w:val="7142FF" w:themeColor="text2"/>
      <w:kern w:val="32"/>
      <w:sz w:val="20"/>
      <w:szCs w:val="20"/>
    </w:rPr>
  </w:style>
  <w:style w:type="paragraph" w:styleId="TOCHeading">
    <w:name w:val="TOC Heading"/>
    <w:basedOn w:val="Heading1"/>
    <w:next w:val="Normal"/>
    <w:uiPriority w:val="39"/>
    <w:unhideWhenUsed/>
    <w:qFormat/>
    <w:rsid w:val="007D76BE"/>
    <w:pPr>
      <w:keepLines/>
      <w:spacing w:after="0" w:line="259" w:lineRule="auto"/>
      <w:outlineLvl w:val="9"/>
    </w:pPr>
    <w:rPr>
      <w:rFonts w:asciiTheme="majorHAnsi" w:eastAsiaTheme="majorEastAsia" w:hAnsiTheme="majorHAnsi" w:cstheme="majorBidi"/>
      <w:b w:val="0"/>
      <w:bCs w:val="0"/>
      <w:color w:val="1D0036" w:themeColor="accent1" w:themeShade="BF"/>
      <w:kern w:val="0"/>
      <w:sz w:val="32"/>
      <w:lang w:val="en-US"/>
    </w:rPr>
  </w:style>
  <w:style w:type="character" w:styleId="Hyperlink">
    <w:name w:val="Hyperlink"/>
    <w:basedOn w:val="DefaultParagraphFont"/>
    <w:uiPriority w:val="99"/>
    <w:unhideWhenUsed/>
    <w:rsid w:val="007D76BE"/>
    <w:rPr>
      <w:color w:val="000000" w:themeColor="hyperlink"/>
      <w:u w:val="single"/>
    </w:rPr>
  </w:style>
  <w:style w:type="character" w:customStyle="1" w:styleId="Heading2Char">
    <w:name w:val="Heading 2 Char"/>
    <w:basedOn w:val="DefaultParagraphFont"/>
    <w:link w:val="Heading2"/>
    <w:uiPriority w:val="2"/>
    <w:semiHidden/>
    <w:rsid w:val="00157906"/>
    <w:rPr>
      <w:rFonts w:asciiTheme="majorHAnsi" w:eastAsiaTheme="majorEastAsia" w:hAnsiTheme="majorHAnsi" w:cstheme="majorBidi"/>
      <w:color w:val="1D0036" w:themeColor="accent1" w:themeShade="BF"/>
      <w:sz w:val="26"/>
      <w:szCs w:val="26"/>
    </w:rPr>
  </w:style>
  <w:style w:type="paragraph" w:customStyle="1" w:styleId="Bullet">
    <w:name w:val="Bullet"/>
    <w:basedOn w:val="BodyText"/>
    <w:uiPriority w:val="8"/>
    <w:qFormat/>
    <w:rsid w:val="00157906"/>
    <w:pPr>
      <w:numPr>
        <w:numId w:val="5"/>
      </w:numPr>
      <w:spacing w:before="170" w:line="260" w:lineRule="exact"/>
    </w:pPr>
    <w:rPr>
      <w:color w:val="auto"/>
    </w:rPr>
  </w:style>
  <w:style w:type="character" w:styleId="FootnoteReference">
    <w:name w:val="footnote reference"/>
    <w:basedOn w:val="DefaultParagraphFont"/>
    <w:uiPriority w:val="99"/>
    <w:rsid w:val="00157906"/>
    <w:rPr>
      <w:vertAlign w:val="superscript"/>
    </w:rPr>
  </w:style>
  <w:style w:type="paragraph" w:customStyle="1" w:styleId="BulletLevel3">
    <w:name w:val="Bullet Level 3"/>
    <w:basedOn w:val="Bullet"/>
    <w:uiPriority w:val="11"/>
    <w:qFormat/>
    <w:rsid w:val="00157906"/>
    <w:pPr>
      <w:numPr>
        <w:ilvl w:val="3"/>
      </w:numPr>
    </w:pPr>
  </w:style>
  <w:style w:type="paragraph" w:customStyle="1" w:styleId="DashLevel3">
    <w:name w:val="Dash Level 3"/>
    <w:basedOn w:val="Bullet"/>
    <w:uiPriority w:val="12"/>
    <w:qFormat/>
    <w:rsid w:val="00157906"/>
    <w:pPr>
      <w:numPr>
        <w:ilvl w:val="4"/>
      </w:numPr>
      <w:spacing w:before="50"/>
      <w:ind w:left="1899"/>
    </w:pPr>
  </w:style>
  <w:style w:type="numbering" w:customStyle="1" w:styleId="CCCBullets">
    <w:name w:val="CCC Bullets"/>
    <w:uiPriority w:val="99"/>
    <w:rsid w:val="00157906"/>
    <w:pPr>
      <w:numPr>
        <w:numId w:val="4"/>
      </w:numPr>
    </w:pPr>
  </w:style>
  <w:style w:type="character" w:styleId="CommentReference">
    <w:name w:val="annotation reference"/>
    <w:basedOn w:val="DefaultParagraphFont"/>
    <w:uiPriority w:val="99"/>
    <w:semiHidden/>
    <w:unhideWhenUsed/>
    <w:rsid w:val="00157906"/>
    <w:rPr>
      <w:sz w:val="16"/>
      <w:szCs w:val="16"/>
    </w:rPr>
  </w:style>
  <w:style w:type="paragraph" w:styleId="CommentText">
    <w:name w:val="annotation text"/>
    <w:basedOn w:val="Normal"/>
    <w:link w:val="CommentTextChar"/>
    <w:uiPriority w:val="99"/>
    <w:unhideWhenUsed/>
    <w:rsid w:val="00157906"/>
    <w:rPr>
      <w:sz w:val="20"/>
      <w:szCs w:val="20"/>
    </w:rPr>
  </w:style>
  <w:style w:type="character" w:customStyle="1" w:styleId="CommentTextChar">
    <w:name w:val="Comment Text Char"/>
    <w:basedOn w:val="DefaultParagraphFont"/>
    <w:link w:val="CommentText"/>
    <w:uiPriority w:val="99"/>
    <w:rsid w:val="00157906"/>
    <w:rPr>
      <w:sz w:val="20"/>
      <w:szCs w:val="20"/>
    </w:rPr>
  </w:style>
  <w:style w:type="character" w:customStyle="1" w:styleId="Heading3Char">
    <w:name w:val="Heading 3 Char"/>
    <w:basedOn w:val="DefaultParagraphFont"/>
    <w:link w:val="Heading3"/>
    <w:uiPriority w:val="3"/>
    <w:semiHidden/>
    <w:rsid w:val="00157906"/>
    <w:rPr>
      <w:rFonts w:asciiTheme="majorHAnsi" w:eastAsiaTheme="majorEastAsia" w:hAnsiTheme="majorHAnsi" w:cstheme="majorBidi"/>
      <w:color w:val="130024" w:themeColor="accent1" w:themeShade="7F"/>
      <w:sz w:val="24"/>
      <w:szCs w:val="24"/>
    </w:rPr>
  </w:style>
  <w:style w:type="paragraph" w:customStyle="1" w:styleId="DashLevel2">
    <w:name w:val="Dash Level 2"/>
    <w:basedOn w:val="Normal"/>
    <w:uiPriority w:val="10"/>
    <w:qFormat/>
    <w:rsid w:val="00157906"/>
    <w:pPr>
      <w:numPr>
        <w:ilvl w:val="1"/>
        <w:numId w:val="6"/>
      </w:numPr>
      <w:spacing w:before="170" w:line="260" w:lineRule="exact"/>
    </w:pPr>
    <w:rPr>
      <w:color w:val="280049" w:themeColor="text1"/>
      <w:sz w:val="20"/>
    </w:rPr>
  </w:style>
  <w:style w:type="paragraph" w:customStyle="1" w:styleId="Heading5a">
    <w:name w:val="Heading 5a"/>
    <w:basedOn w:val="Heading4"/>
    <w:link w:val="Heading5aChar"/>
    <w:uiPriority w:val="8"/>
    <w:qFormat/>
    <w:rsid w:val="00157906"/>
    <w:rPr>
      <w:b w:val="0"/>
      <w:bCs w:val="0"/>
    </w:rPr>
  </w:style>
  <w:style w:type="table" w:customStyle="1" w:styleId="CCCTable">
    <w:name w:val="CCC Table"/>
    <w:basedOn w:val="TableNormal"/>
    <w:uiPriority w:val="99"/>
    <w:rsid w:val="00157906"/>
    <w:pPr>
      <w:spacing w:after="0" w:line="240" w:lineRule="auto"/>
    </w:pPr>
    <w:rPr>
      <w:sz w:val="18"/>
    </w:rPr>
    <w:tblPr>
      <w:tblStyleRowBandSize w:val="1"/>
      <w:tblInd w:w="-2608" w:type="dxa"/>
      <w:tblBorders>
        <w:top w:val="single" w:sz="4" w:space="0" w:color="280049"/>
        <w:left w:val="single" w:sz="4" w:space="0" w:color="280049"/>
        <w:bottom w:val="single" w:sz="4" w:space="0" w:color="280049"/>
        <w:right w:val="single" w:sz="4" w:space="0" w:color="280049"/>
        <w:insideH w:val="single" w:sz="4" w:space="0" w:color="280049"/>
        <w:insideV w:val="single" w:sz="4" w:space="0" w:color="280049"/>
      </w:tblBorders>
    </w:tblPr>
    <w:tcPr>
      <w:tcMar>
        <w:top w:w="0" w:type="dxa"/>
        <w:left w:w="85" w:type="dxa"/>
        <w:bottom w:w="0" w:type="dxa"/>
        <w:right w:w="85" w:type="dxa"/>
      </w:tcMar>
    </w:tcPr>
    <w:tblStylePr w:type="firstRow">
      <w:pPr>
        <w:jc w:val="left"/>
      </w:pPr>
      <w:rPr>
        <w:rFonts w:asciiTheme="minorHAnsi" w:hAnsiTheme="minorHAnsi"/>
        <w:color w:val="FFFFFF" w:themeColor="background1"/>
        <w:sz w:val="18"/>
      </w:rPr>
      <w:tblPr/>
      <w:tcPr>
        <w:shd w:val="clear" w:color="auto" w:fill="280049"/>
        <w:vAlign w:val="center"/>
      </w:tcPr>
    </w:tblStylePr>
    <w:tblStylePr w:type="firstCol">
      <w:rPr>
        <w:rFonts w:asciiTheme="minorHAnsi" w:hAnsiTheme="minorHAnsi"/>
        <w:b/>
        <w:color w:val="FFFFFF" w:themeColor="background1"/>
        <w:sz w:val="18"/>
      </w:rPr>
      <w:tblPr/>
      <w:tcPr>
        <w:shd w:val="clear" w:color="auto" w:fill="7142FF"/>
      </w:tcPr>
    </w:tblStylePr>
    <w:tblStylePr w:type="band1Horz">
      <w:pPr>
        <w:jc w:val="left"/>
      </w:pPr>
      <w:rPr>
        <w:rFonts w:asciiTheme="minorHAnsi" w:hAnsiTheme="minorHAnsi"/>
        <w:color w:val="280049" w:themeColor="text1"/>
        <w:sz w:val="18"/>
      </w:rPr>
      <w:tblPr/>
      <w:tcPr>
        <w:shd w:val="clear" w:color="auto" w:fill="FFFFFF" w:themeFill="background1"/>
      </w:tcPr>
    </w:tblStylePr>
    <w:tblStylePr w:type="band2Horz">
      <w:pPr>
        <w:jc w:val="left"/>
      </w:pPr>
      <w:rPr>
        <w:rFonts w:asciiTheme="minorHAnsi" w:hAnsiTheme="minorHAnsi"/>
        <w:sz w:val="18"/>
      </w:rPr>
      <w:tblPr/>
      <w:tcPr>
        <w:shd w:val="clear" w:color="auto" w:fill="FFFFFF" w:themeFill="background1"/>
      </w:tcPr>
    </w:tblStylePr>
  </w:style>
  <w:style w:type="character" w:customStyle="1" w:styleId="Heading5aChar">
    <w:name w:val="Heading 5a Char"/>
    <w:basedOn w:val="Heading4Char"/>
    <w:link w:val="Heading5a"/>
    <w:uiPriority w:val="8"/>
    <w:rsid w:val="00157906"/>
    <w:rPr>
      <w:rFonts w:eastAsia="Times New Roman" w:cs="Arial"/>
      <w:b w:val="0"/>
      <w:bCs w:val="0"/>
      <w:color w:val="7142FF" w:themeColor="text2"/>
      <w:kern w:val="32"/>
      <w:sz w:val="20"/>
      <w:szCs w:val="20"/>
    </w:rPr>
  </w:style>
  <w:style w:type="paragraph" w:styleId="CommentSubject">
    <w:name w:val="annotation subject"/>
    <w:basedOn w:val="CommentText"/>
    <w:next w:val="CommentText"/>
    <w:link w:val="CommentSubjectChar"/>
    <w:uiPriority w:val="99"/>
    <w:semiHidden/>
    <w:unhideWhenUsed/>
    <w:rsid w:val="004A3015"/>
    <w:rPr>
      <w:b/>
      <w:bCs/>
    </w:rPr>
  </w:style>
  <w:style w:type="character" w:customStyle="1" w:styleId="CommentSubjectChar">
    <w:name w:val="Comment Subject Char"/>
    <w:basedOn w:val="CommentTextChar"/>
    <w:link w:val="CommentSubject"/>
    <w:uiPriority w:val="99"/>
    <w:semiHidden/>
    <w:rsid w:val="004A3015"/>
    <w:rPr>
      <w:b/>
      <w:bCs/>
      <w:sz w:val="20"/>
      <w:szCs w:val="20"/>
    </w:rPr>
  </w:style>
  <w:style w:type="character" w:styleId="UnresolvedMention">
    <w:name w:val="Unresolved Mention"/>
    <w:basedOn w:val="DefaultParagraphFont"/>
    <w:uiPriority w:val="99"/>
    <w:semiHidden/>
    <w:unhideWhenUsed/>
    <w:rsid w:val="00040453"/>
    <w:rPr>
      <w:color w:val="605E5C"/>
      <w:shd w:val="clear" w:color="auto" w:fill="E1DFDD"/>
    </w:rPr>
  </w:style>
  <w:style w:type="paragraph" w:styleId="EndnoteText">
    <w:name w:val="endnote text"/>
    <w:basedOn w:val="Normal"/>
    <w:link w:val="EndnoteTextChar"/>
    <w:uiPriority w:val="99"/>
    <w:semiHidden/>
    <w:unhideWhenUsed/>
    <w:rsid w:val="00617C91"/>
    <w:rPr>
      <w:sz w:val="20"/>
      <w:szCs w:val="20"/>
    </w:rPr>
  </w:style>
  <w:style w:type="character" w:customStyle="1" w:styleId="EndnoteTextChar">
    <w:name w:val="Endnote Text Char"/>
    <w:basedOn w:val="DefaultParagraphFont"/>
    <w:link w:val="EndnoteText"/>
    <w:uiPriority w:val="99"/>
    <w:semiHidden/>
    <w:rsid w:val="00617C91"/>
    <w:rPr>
      <w:sz w:val="20"/>
      <w:szCs w:val="20"/>
    </w:rPr>
  </w:style>
  <w:style w:type="character" w:styleId="EndnoteReference">
    <w:name w:val="endnote reference"/>
    <w:basedOn w:val="DefaultParagraphFont"/>
    <w:uiPriority w:val="99"/>
    <w:semiHidden/>
    <w:unhideWhenUsed/>
    <w:rsid w:val="00617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773">
      <w:bodyDiv w:val="1"/>
      <w:marLeft w:val="0"/>
      <w:marRight w:val="0"/>
      <w:marTop w:val="0"/>
      <w:marBottom w:val="0"/>
      <w:divBdr>
        <w:top w:val="none" w:sz="0" w:space="0" w:color="auto"/>
        <w:left w:val="none" w:sz="0" w:space="0" w:color="auto"/>
        <w:bottom w:val="none" w:sz="0" w:space="0" w:color="auto"/>
        <w:right w:val="none" w:sz="0" w:space="0" w:color="auto"/>
      </w:divBdr>
    </w:div>
    <w:div w:id="27922008">
      <w:bodyDiv w:val="1"/>
      <w:marLeft w:val="0"/>
      <w:marRight w:val="0"/>
      <w:marTop w:val="0"/>
      <w:marBottom w:val="0"/>
      <w:divBdr>
        <w:top w:val="none" w:sz="0" w:space="0" w:color="auto"/>
        <w:left w:val="none" w:sz="0" w:space="0" w:color="auto"/>
        <w:bottom w:val="none" w:sz="0" w:space="0" w:color="auto"/>
        <w:right w:val="none" w:sz="0" w:space="0" w:color="auto"/>
      </w:divBdr>
      <w:divsChild>
        <w:div w:id="445003300">
          <w:marLeft w:val="403"/>
          <w:marRight w:val="0"/>
          <w:marTop w:val="300"/>
          <w:marBottom w:val="0"/>
          <w:divBdr>
            <w:top w:val="none" w:sz="0" w:space="0" w:color="auto"/>
            <w:left w:val="none" w:sz="0" w:space="0" w:color="auto"/>
            <w:bottom w:val="none" w:sz="0" w:space="0" w:color="auto"/>
            <w:right w:val="none" w:sz="0" w:space="0" w:color="auto"/>
          </w:divBdr>
        </w:div>
        <w:div w:id="1364553186">
          <w:marLeft w:val="403"/>
          <w:marRight w:val="0"/>
          <w:marTop w:val="300"/>
          <w:marBottom w:val="0"/>
          <w:divBdr>
            <w:top w:val="none" w:sz="0" w:space="0" w:color="auto"/>
            <w:left w:val="none" w:sz="0" w:space="0" w:color="auto"/>
            <w:bottom w:val="none" w:sz="0" w:space="0" w:color="auto"/>
            <w:right w:val="none" w:sz="0" w:space="0" w:color="auto"/>
          </w:divBdr>
        </w:div>
        <w:div w:id="1144199481">
          <w:marLeft w:val="403"/>
          <w:marRight w:val="0"/>
          <w:marTop w:val="300"/>
          <w:marBottom w:val="0"/>
          <w:divBdr>
            <w:top w:val="none" w:sz="0" w:space="0" w:color="auto"/>
            <w:left w:val="none" w:sz="0" w:space="0" w:color="auto"/>
            <w:bottom w:val="none" w:sz="0" w:space="0" w:color="auto"/>
            <w:right w:val="none" w:sz="0" w:space="0" w:color="auto"/>
          </w:divBdr>
        </w:div>
        <w:div w:id="136804983">
          <w:marLeft w:val="403"/>
          <w:marRight w:val="0"/>
          <w:marTop w:val="300"/>
          <w:marBottom w:val="0"/>
          <w:divBdr>
            <w:top w:val="none" w:sz="0" w:space="0" w:color="auto"/>
            <w:left w:val="none" w:sz="0" w:space="0" w:color="auto"/>
            <w:bottom w:val="none" w:sz="0" w:space="0" w:color="auto"/>
            <w:right w:val="none" w:sz="0" w:space="0" w:color="auto"/>
          </w:divBdr>
        </w:div>
        <w:div w:id="1611205039">
          <w:marLeft w:val="403"/>
          <w:marRight w:val="0"/>
          <w:marTop w:val="300"/>
          <w:marBottom w:val="0"/>
          <w:divBdr>
            <w:top w:val="none" w:sz="0" w:space="0" w:color="auto"/>
            <w:left w:val="none" w:sz="0" w:space="0" w:color="auto"/>
            <w:bottom w:val="none" w:sz="0" w:space="0" w:color="auto"/>
            <w:right w:val="none" w:sz="0" w:space="0" w:color="auto"/>
          </w:divBdr>
        </w:div>
      </w:divsChild>
    </w:div>
    <w:div w:id="40328451">
      <w:bodyDiv w:val="1"/>
      <w:marLeft w:val="0"/>
      <w:marRight w:val="0"/>
      <w:marTop w:val="0"/>
      <w:marBottom w:val="0"/>
      <w:divBdr>
        <w:top w:val="none" w:sz="0" w:space="0" w:color="auto"/>
        <w:left w:val="none" w:sz="0" w:space="0" w:color="auto"/>
        <w:bottom w:val="none" w:sz="0" w:space="0" w:color="auto"/>
        <w:right w:val="none" w:sz="0" w:space="0" w:color="auto"/>
      </w:divBdr>
    </w:div>
    <w:div w:id="120392190">
      <w:bodyDiv w:val="1"/>
      <w:marLeft w:val="0"/>
      <w:marRight w:val="0"/>
      <w:marTop w:val="0"/>
      <w:marBottom w:val="0"/>
      <w:divBdr>
        <w:top w:val="none" w:sz="0" w:space="0" w:color="auto"/>
        <w:left w:val="none" w:sz="0" w:space="0" w:color="auto"/>
        <w:bottom w:val="none" w:sz="0" w:space="0" w:color="auto"/>
        <w:right w:val="none" w:sz="0" w:space="0" w:color="auto"/>
      </w:divBdr>
    </w:div>
    <w:div w:id="247005742">
      <w:bodyDiv w:val="1"/>
      <w:marLeft w:val="0"/>
      <w:marRight w:val="0"/>
      <w:marTop w:val="0"/>
      <w:marBottom w:val="0"/>
      <w:divBdr>
        <w:top w:val="none" w:sz="0" w:space="0" w:color="auto"/>
        <w:left w:val="none" w:sz="0" w:space="0" w:color="auto"/>
        <w:bottom w:val="none" w:sz="0" w:space="0" w:color="auto"/>
        <w:right w:val="none" w:sz="0" w:space="0" w:color="auto"/>
      </w:divBdr>
    </w:div>
    <w:div w:id="248933494">
      <w:bodyDiv w:val="1"/>
      <w:marLeft w:val="0"/>
      <w:marRight w:val="0"/>
      <w:marTop w:val="0"/>
      <w:marBottom w:val="0"/>
      <w:divBdr>
        <w:top w:val="none" w:sz="0" w:space="0" w:color="auto"/>
        <w:left w:val="none" w:sz="0" w:space="0" w:color="auto"/>
        <w:bottom w:val="none" w:sz="0" w:space="0" w:color="auto"/>
        <w:right w:val="none" w:sz="0" w:space="0" w:color="auto"/>
      </w:divBdr>
    </w:div>
    <w:div w:id="538055274">
      <w:bodyDiv w:val="1"/>
      <w:marLeft w:val="0"/>
      <w:marRight w:val="0"/>
      <w:marTop w:val="0"/>
      <w:marBottom w:val="0"/>
      <w:divBdr>
        <w:top w:val="none" w:sz="0" w:space="0" w:color="auto"/>
        <w:left w:val="none" w:sz="0" w:space="0" w:color="auto"/>
        <w:bottom w:val="none" w:sz="0" w:space="0" w:color="auto"/>
        <w:right w:val="none" w:sz="0" w:space="0" w:color="auto"/>
      </w:divBdr>
    </w:div>
    <w:div w:id="791361895">
      <w:bodyDiv w:val="1"/>
      <w:marLeft w:val="0"/>
      <w:marRight w:val="0"/>
      <w:marTop w:val="0"/>
      <w:marBottom w:val="0"/>
      <w:divBdr>
        <w:top w:val="none" w:sz="0" w:space="0" w:color="auto"/>
        <w:left w:val="none" w:sz="0" w:space="0" w:color="auto"/>
        <w:bottom w:val="none" w:sz="0" w:space="0" w:color="auto"/>
        <w:right w:val="none" w:sz="0" w:space="0" w:color="auto"/>
      </w:divBdr>
    </w:div>
    <w:div w:id="1042174060">
      <w:bodyDiv w:val="1"/>
      <w:marLeft w:val="0"/>
      <w:marRight w:val="0"/>
      <w:marTop w:val="0"/>
      <w:marBottom w:val="0"/>
      <w:divBdr>
        <w:top w:val="none" w:sz="0" w:space="0" w:color="auto"/>
        <w:left w:val="none" w:sz="0" w:space="0" w:color="auto"/>
        <w:bottom w:val="none" w:sz="0" w:space="0" w:color="auto"/>
        <w:right w:val="none" w:sz="0" w:space="0" w:color="auto"/>
      </w:divBdr>
    </w:div>
    <w:div w:id="1088306344">
      <w:bodyDiv w:val="1"/>
      <w:marLeft w:val="0"/>
      <w:marRight w:val="0"/>
      <w:marTop w:val="0"/>
      <w:marBottom w:val="0"/>
      <w:divBdr>
        <w:top w:val="none" w:sz="0" w:space="0" w:color="auto"/>
        <w:left w:val="none" w:sz="0" w:space="0" w:color="auto"/>
        <w:bottom w:val="none" w:sz="0" w:space="0" w:color="auto"/>
        <w:right w:val="none" w:sz="0" w:space="0" w:color="auto"/>
      </w:divBdr>
    </w:div>
    <w:div w:id="1153721782">
      <w:bodyDiv w:val="1"/>
      <w:marLeft w:val="0"/>
      <w:marRight w:val="0"/>
      <w:marTop w:val="0"/>
      <w:marBottom w:val="0"/>
      <w:divBdr>
        <w:top w:val="none" w:sz="0" w:space="0" w:color="auto"/>
        <w:left w:val="none" w:sz="0" w:space="0" w:color="auto"/>
        <w:bottom w:val="none" w:sz="0" w:space="0" w:color="auto"/>
        <w:right w:val="none" w:sz="0" w:space="0" w:color="auto"/>
      </w:divBdr>
    </w:div>
    <w:div w:id="1181352138">
      <w:bodyDiv w:val="1"/>
      <w:marLeft w:val="0"/>
      <w:marRight w:val="0"/>
      <w:marTop w:val="0"/>
      <w:marBottom w:val="0"/>
      <w:divBdr>
        <w:top w:val="none" w:sz="0" w:space="0" w:color="auto"/>
        <w:left w:val="none" w:sz="0" w:space="0" w:color="auto"/>
        <w:bottom w:val="none" w:sz="0" w:space="0" w:color="auto"/>
        <w:right w:val="none" w:sz="0" w:space="0" w:color="auto"/>
      </w:divBdr>
    </w:div>
    <w:div w:id="1377505006">
      <w:bodyDiv w:val="1"/>
      <w:marLeft w:val="0"/>
      <w:marRight w:val="0"/>
      <w:marTop w:val="0"/>
      <w:marBottom w:val="0"/>
      <w:divBdr>
        <w:top w:val="none" w:sz="0" w:space="0" w:color="auto"/>
        <w:left w:val="none" w:sz="0" w:space="0" w:color="auto"/>
        <w:bottom w:val="none" w:sz="0" w:space="0" w:color="auto"/>
        <w:right w:val="none" w:sz="0" w:space="0" w:color="auto"/>
      </w:divBdr>
    </w:div>
    <w:div w:id="1430468434">
      <w:bodyDiv w:val="1"/>
      <w:marLeft w:val="0"/>
      <w:marRight w:val="0"/>
      <w:marTop w:val="0"/>
      <w:marBottom w:val="0"/>
      <w:divBdr>
        <w:top w:val="none" w:sz="0" w:space="0" w:color="auto"/>
        <w:left w:val="none" w:sz="0" w:space="0" w:color="auto"/>
        <w:bottom w:val="none" w:sz="0" w:space="0" w:color="auto"/>
        <w:right w:val="none" w:sz="0" w:space="0" w:color="auto"/>
      </w:divBdr>
      <w:divsChild>
        <w:div w:id="1847357778">
          <w:marLeft w:val="662"/>
          <w:marRight w:val="0"/>
          <w:marTop w:val="0"/>
          <w:marBottom w:val="120"/>
          <w:divBdr>
            <w:top w:val="none" w:sz="0" w:space="0" w:color="auto"/>
            <w:left w:val="none" w:sz="0" w:space="0" w:color="auto"/>
            <w:bottom w:val="none" w:sz="0" w:space="0" w:color="auto"/>
            <w:right w:val="none" w:sz="0" w:space="0" w:color="auto"/>
          </w:divBdr>
        </w:div>
        <w:div w:id="397171325">
          <w:marLeft w:val="662"/>
          <w:marRight w:val="0"/>
          <w:marTop w:val="0"/>
          <w:marBottom w:val="120"/>
          <w:divBdr>
            <w:top w:val="none" w:sz="0" w:space="0" w:color="auto"/>
            <w:left w:val="none" w:sz="0" w:space="0" w:color="auto"/>
            <w:bottom w:val="none" w:sz="0" w:space="0" w:color="auto"/>
            <w:right w:val="none" w:sz="0" w:space="0" w:color="auto"/>
          </w:divBdr>
        </w:div>
        <w:div w:id="1661038048">
          <w:marLeft w:val="662"/>
          <w:marRight w:val="0"/>
          <w:marTop w:val="0"/>
          <w:marBottom w:val="120"/>
          <w:divBdr>
            <w:top w:val="none" w:sz="0" w:space="0" w:color="auto"/>
            <w:left w:val="none" w:sz="0" w:space="0" w:color="auto"/>
            <w:bottom w:val="none" w:sz="0" w:space="0" w:color="auto"/>
            <w:right w:val="none" w:sz="0" w:space="0" w:color="auto"/>
          </w:divBdr>
        </w:div>
        <w:div w:id="691345881">
          <w:marLeft w:val="662"/>
          <w:marRight w:val="0"/>
          <w:marTop w:val="0"/>
          <w:marBottom w:val="120"/>
          <w:divBdr>
            <w:top w:val="none" w:sz="0" w:space="0" w:color="auto"/>
            <w:left w:val="none" w:sz="0" w:space="0" w:color="auto"/>
            <w:bottom w:val="none" w:sz="0" w:space="0" w:color="auto"/>
            <w:right w:val="none" w:sz="0" w:space="0" w:color="auto"/>
          </w:divBdr>
        </w:div>
        <w:div w:id="579297384">
          <w:marLeft w:val="662"/>
          <w:marRight w:val="0"/>
          <w:marTop w:val="0"/>
          <w:marBottom w:val="120"/>
          <w:divBdr>
            <w:top w:val="none" w:sz="0" w:space="0" w:color="auto"/>
            <w:left w:val="none" w:sz="0" w:space="0" w:color="auto"/>
            <w:bottom w:val="none" w:sz="0" w:space="0" w:color="auto"/>
            <w:right w:val="none" w:sz="0" w:space="0" w:color="auto"/>
          </w:divBdr>
        </w:div>
        <w:div w:id="217323654">
          <w:marLeft w:val="662"/>
          <w:marRight w:val="0"/>
          <w:marTop w:val="0"/>
          <w:marBottom w:val="120"/>
          <w:divBdr>
            <w:top w:val="none" w:sz="0" w:space="0" w:color="auto"/>
            <w:left w:val="none" w:sz="0" w:space="0" w:color="auto"/>
            <w:bottom w:val="none" w:sz="0" w:space="0" w:color="auto"/>
            <w:right w:val="none" w:sz="0" w:space="0" w:color="auto"/>
          </w:divBdr>
        </w:div>
        <w:div w:id="559292907">
          <w:marLeft w:val="662"/>
          <w:marRight w:val="0"/>
          <w:marTop w:val="0"/>
          <w:marBottom w:val="120"/>
          <w:divBdr>
            <w:top w:val="none" w:sz="0" w:space="0" w:color="auto"/>
            <w:left w:val="none" w:sz="0" w:space="0" w:color="auto"/>
            <w:bottom w:val="none" w:sz="0" w:space="0" w:color="auto"/>
            <w:right w:val="none" w:sz="0" w:space="0" w:color="auto"/>
          </w:divBdr>
        </w:div>
        <w:div w:id="1997109084">
          <w:marLeft w:val="662"/>
          <w:marRight w:val="0"/>
          <w:marTop w:val="0"/>
          <w:marBottom w:val="120"/>
          <w:divBdr>
            <w:top w:val="none" w:sz="0" w:space="0" w:color="auto"/>
            <w:left w:val="none" w:sz="0" w:space="0" w:color="auto"/>
            <w:bottom w:val="none" w:sz="0" w:space="0" w:color="auto"/>
            <w:right w:val="none" w:sz="0" w:space="0" w:color="auto"/>
          </w:divBdr>
        </w:div>
        <w:div w:id="1910385362">
          <w:marLeft w:val="662"/>
          <w:marRight w:val="0"/>
          <w:marTop w:val="0"/>
          <w:marBottom w:val="120"/>
          <w:divBdr>
            <w:top w:val="none" w:sz="0" w:space="0" w:color="auto"/>
            <w:left w:val="none" w:sz="0" w:space="0" w:color="auto"/>
            <w:bottom w:val="none" w:sz="0" w:space="0" w:color="auto"/>
            <w:right w:val="none" w:sz="0" w:space="0" w:color="auto"/>
          </w:divBdr>
        </w:div>
        <w:div w:id="1194923135">
          <w:marLeft w:val="662"/>
          <w:marRight w:val="0"/>
          <w:marTop w:val="0"/>
          <w:marBottom w:val="120"/>
          <w:divBdr>
            <w:top w:val="none" w:sz="0" w:space="0" w:color="auto"/>
            <w:left w:val="none" w:sz="0" w:space="0" w:color="auto"/>
            <w:bottom w:val="none" w:sz="0" w:space="0" w:color="auto"/>
            <w:right w:val="none" w:sz="0" w:space="0" w:color="auto"/>
          </w:divBdr>
        </w:div>
        <w:div w:id="1845439073">
          <w:marLeft w:val="662"/>
          <w:marRight w:val="0"/>
          <w:marTop w:val="0"/>
          <w:marBottom w:val="120"/>
          <w:divBdr>
            <w:top w:val="none" w:sz="0" w:space="0" w:color="auto"/>
            <w:left w:val="none" w:sz="0" w:space="0" w:color="auto"/>
            <w:bottom w:val="none" w:sz="0" w:space="0" w:color="auto"/>
            <w:right w:val="none" w:sz="0" w:space="0" w:color="auto"/>
          </w:divBdr>
        </w:div>
      </w:divsChild>
    </w:div>
    <w:div w:id="1450007153">
      <w:bodyDiv w:val="1"/>
      <w:marLeft w:val="0"/>
      <w:marRight w:val="0"/>
      <w:marTop w:val="0"/>
      <w:marBottom w:val="0"/>
      <w:divBdr>
        <w:top w:val="none" w:sz="0" w:space="0" w:color="auto"/>
        <w:left w:val="none" w:sz="0" w:space="0" w:color="auto"/>
        <w:bottom w:val="none" w:sz="0" w:space="0" w:color="auto"/>
        <w:right w:val="none" w:sz="0" w:space="0" w:color="auto"/>
      </w:divBdr>
    </w:div>
    <w:div w:id="1523472757">
      <w:bodyDiv w:val="1"/>
      <w:marLeft w:val="0"/>
      <w:marRight w:val="0"/>
      <w:marTop w:val="0"/>
      <w:marBottom w:val="0"/>
      <w:divBdr>
        <w:top w:val="none" w:sz="0" w:space="0" w:color="auto"/>
        <w:left w:val="none" w:sz="0" w:space="0" w:color="auto"/>
        <w:bottom w:val="none" w:sz="0" w:space="0" w:color="auto"/>
        <w:right w:val="none" w:sz="0" w:space="0" w:color="auto"/>
      </w:divBdr>
    </w:div>
    <w:div w:id="1882204917">
      <w:bodyDiv w:val="1"/>
      <w:marLeft w:val="0"/>
      <w:marRight w:val="0"/>
      <w:marTop w:val="0"/>
      <w:marBottom w:val="0"/>
      <w:divBdr>
        <w:top w:val="none" w:sz="0" w:space="0" w:color="auto"/>
        <w:left w:val="none" w:sz="0" w:space="0" w:color="auto"/>
        <w:bottom w:val="none" w:sz="0" w:space="0" w:color="auto"/>
        <w:right w:val="none" w:sz="0" w:space="0" w:color="auto"/>
      </w:divBdr>
      <w:divsChild>
        <w:div w:id="1943995726">
          <w:marLeft w:val="662"/>
          <w:marRight w:val="0"/>
          <w:marTop w:val="0"/>
          <w:marBottom w:val="120"/>
          <w:divBdr>
            <w:top w:val="none" w:sz="0" w:space="0" w:color="auto"/>
            <w:left w:val="none" w:sz="0" w:space="0" w:color="auto"/>
            <w:bottom w:val="none" w:sz="0" w:space="0" w:color="auto"/>
            <w:right w:val="none" w:sz="0" w:space="0" w:color="auto"/>
          </w:divBdr>
        </w:div>
        <w:div w:id="234826664">
          <w:marLeft w:val="662"/>
          <w:marRight w:val="0"/>
          <w:marTop w:val="0"/>
          <w:marBottom w:val="120"/>
          <w:divBdr>
            <w:top w:val="none" w:sz="0" w:space="0" w:color="auto"/>
            <w:left w:val="none" w:sz="0" w:space="0" w:color="auto"/>
            <w:bottom w:val="none" w:sz="0" w:space="0" w:color="auto"/>
            <w:right w:val="none" w:sz="0" w:space="0" w:color="auto"/>
          </w:divBdr>
        </w:div>
        <w:div w:id="1156527681">
          <w:marLeft w:val="662"/>
          <w:marRight w:val="0"/>
          <w:marTop w:val="0"/>
          <w:marBottom w:val="120"/>
          <w:divBdr>
            <w:top w:val="none" w:sz="0" w:space="0" w:color="auto"/>
            <w:left w:val="none" w:sz="0" w:space="0" w:color="auto"/>
            <w:bottom w:val="none" w:sz="0" w:space="0" w:color="auto"/>
            <w:right w:val="none" w:sz="0" w:space="0" w:color="auto"/>
          </w:divBdr>
        </w:div>
        <w:div w:id="212474398">
          <w:marLeft w:val="662"/>
          <w:marRight w:val="0"/>
          <w:marTop w:val="0"/>
          <w:marBottom w:val="120"/>
          <w:divBdr>
            <w:top w:val="none" w:sz="0" w:space="0" w:color="auto"/>
            <w:left w:val="none" w:sz="0" w:space="0" w:color="auto"/>
            <w:bottom w:val="none" w:sz="0" w:space="0" w:color="auto"/>
            <w:right w:val="none" w:sz="0" w:space="0" w:color="auto"/>
          </w:divBdr>
        </w:div>
      </w:divsChild>
    </w:div>
    <w:div w:id="1923290489">
      <w:bodyDiv w:val="1"/>
      <w:marLeft w:val="0"/>
      <w:marRight w:val="0"/>
      <w:marTop w:val="0"/>
      <w:marBottom w:val="0"/>
      <w:divBdr>
        <w:top w:val="none" w:sz="0" w:space="0" w:color="auto"/>
        <w:left w:val="none" w:sz="0" w:space="0" w:color="auto"/>
        <w:bottom w:val="none" w:sz="0" w:space="0" w:color="auto"/>
        <w:right w:val="none" w:sz="0" w:space="0" w:color="auto"/>
      </w:divBdr>
      <w:divsChild>
        <w:div w:id="348526831">
          <w:marLeft w:val="662"/>
          <w:marRight w:val="0"/>
          <w:marTop w:val="0"/>
          <w:marBottom w:val="120"/>
          <w:divBdr>
            <w:top w:val="none" w:sz="0" w:space="0" w:color="auto"/>
            <w:left w:val="none" w:sz="0" w:space="0" w:color="auto"/>
            <w:bottom w:val="none" w:sz="0" w:space="0" w:color="auto"/>
            <w:right w:val="none" w:sz="0" w:space="0" w:color="auto"/>
          </w:divBdr>
        </w:div>
        <w:div w:id="301615636">
          <w:marLeft w:val="662"/>
          <w:marRight w:val="0"/>
          <w:marTop w:val="0"/>
          <w:marBottom w:val="120"/>
          <w:divBdr>
            <w:top w:val="none" w:sz="0" w:space="0" w:color="auto"/>
            <w:left w:val="none" w:sz="0" w:space="0" w:color="auto"/>
            <w:bottom w:val="none" w:sz="0" w:space="0" w:color="auto"/>
            <w:right w:val="none" w:sz="0" w:space="0" w:color="auto"/>
          </w:divBdr>
        </w:div>
      </w:divsChild>
    </w:div>
    <w:div w:id="1950821227">
      <w:bodyDiv w:val="1"/>
      <w:marLeft w:val="0"/>
      <w:marRight w:val="0"/>
      <w:marTop w:val="0"/>
      <w:marBottom w:val="0"/>
      <w:divBdr>
        <w:top w:val="none" w:sz="0" w:space="0" w:color="auto"/>
        <w:left w:val="none" w:sz="0" w:space="0" w:color="auto"/>
        <w:bottom w:val="none" w:sz="0" w:space="0" w:color="auto"/>
        <w:right w:val="none" w:sz="0" w:space="0" w:color="auto"/>
      </w:divBdr>
    </w:div>
    <w:div w:id="1985116842">
      <w:bodyDiv w:val="1"/>
      <w:marLeft w:val="0"/>
      <w:marRight w:val="0"/>
      <w:marTop w:val="0"/>
      <w:marBottom w:val="0"/>
      <w:divBdr>
        <w:top w:val="none" w:sz="0" w:space="0" w:color="auto"/>
        <w:left w:val="none" w:sz="0" w:space="0" w:color="auto"/>
        <w:bottom w:val="none" w:sz="0" w:space="0" w:color="auto"/>
        <w:right w:val="none" w:sz="0" w:space="0" w:color="auto"/>
      </w:divBdr>
    </w:div>
    <w:div w:id="1987003003">
      <w:bodyDiv w:val="1"/>
      <w:marLeft w:val="0"/>
      <w:marRight w:val="0"/>
      <w:marTop w:val="0"/>
      <w:marBottom w:val="0"/>
      <w:divBdr>
        <w:top w:val="none" w:sz="0" w:space="0" w:color="auto"/>
        <w:left w:val="none" w:sz="0" w:space="0" w:color="auto"/>
        <w:bottom w:val="none" w:sz="0" w:space="0" w:color="auto"/>
        <w:right w:val="none" w:sz="0" w:space="0" w:color="auto"/>
      </w:divBdr>
    </w:div>
    <w:div w:id="2011179714">
      <w:bodyDiv w:val="1"/>
      <w:marLeft w:val="0"/>
      <w:marRight w:val="0"/>
      <w:marTop w:val="0"/>
      <w:marBottom w:val="0"/>
      <w:divBdr>
        <w:top w:val="none" w:sz="0" w:space="0" w:color="auto"/>
        <w:left w:val="none" w:sz="0" w:space="0" w:color="auto"/>
        <w:bottom w:val="none" w:sz="0" w:space="0" w:color="auto"/>
        <w:right w:val="none" w:sz="0" w:space="0" w:color="auto"/>
      </w:divBdr>
    </w:div>
    <w:div w:id="2097751497">
      <w:bodyDiv w:val="1"/>
      <w:marLeft w:val="0"/>
      <w:marRight w:val="0"/>
      <w:marTop w:val="0"/>
      <w:marBottom w:val="0"/>
      <w:divBdr>
        <w:top w:val="none" w:sz="0" w:space="0" w:color="auto"/>
        <w:left w:val="none" w:sz="0" w:space="0" w:color="auto"/>
        <w:bottom w:val="none" w:sz="0" w:space="0" w:color="auto"/>
        <w:right w:val="none" w:sz="0" w:space="0" w:color="auto"/>
      </w:divBdr>
    </w:div>
    <w:div w:id="21160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0CCFD04E08C694DAFDD521529755151" ma:contentTypeVersion="16" ma:contentTypeDescription="Create a new document." ma:contentTypeScope="" ma:versionID="8fe44f1b9750f8fa8cbeedb4827652ff">
  <xsd:schema xmlns:xsd="http://www.w3.org/2001/XMLSchema" xmlns:xs="http://www.w3.org/2001/XMLSchema" xmlns:p="http://schemas.microsoft.com/office/2006/metadata/properties" xmlns:ns2="662745e8-e224-48e8-a2e3-254862b8c2f5" xmlns:ns3="338d94ab-ff74-4226-88aa-c640d957cc97" xmlns:ns4="3964904f-5f85-4184-bdfc-bbe062de5a69" targetNamespace="http://schemas.microsoft.com/office/2006/metadata/properties" ma:root="true" ma:fieldsID="69ebbef32d677ce7964edd51ef62606b" ns2:_="" ns3:_="" ns4:_="">
    <xsd:import namespace="662745e8-e224-48e8-a2e3-254862b8c2f5"/>
    <xsd:import namespace="338d94ab-ff74-4226-88aa-c640d957cc97"/>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Corporate"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38d94ab-ff74-4226-88aa-c640d957cc9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10</Value>
      <Value>9</Value>
      <Value>8</Value>
      <Value>7</Value>
      <Value>6</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6EF2064E-0D3B-46DA-889D-B0D5DC2477C5}">
  <ds:schemaRefs>
    <ds:schemaRef ds:uri="http://schemas.openxmlformats.org/officeDocument/2006/bibliography"/>
  </ds:schemaRefs>
</ds:datastoreItem>
</file>

<file path=customXml/itemProps2.xml><?xml version="1.0" encoding="utf-8"?>
<ds:datastoreItem xmlns:ds="http://schemas.openxmlformats.org/officeDocument/2006/customXml" ds:itemID="{BF6FE587-9615-4BA0-AC7E-DAF556B67D8E}"/>
</file>

<file path=customXml/itemProps3.xml><?xml version="1.0" encoding="utf-8"?>
<ds:datastoreItem xmlns:ds="http://schemas.openxmlformats.org/officeDocument/2006/customXml" ds:itemID="{5858D064-358A-4CE0-A2E3-56BC6815F26A}"/>
</file>

<file path=customXml/itemProps4.xml><?xml version="1.0" encoding="utf-8"?>
<ds:datastoreItem xmlns:ds="http://schemas.openxmlformats.org/officeDocument/2006/customXml" ds:itemID="{CA3806B6-4576-4D6A-B8F0-1E097ED7DD38}"/>
</file>

<file path=customXml/itemProps5.xml><?xml version="1.0" encoding="utf-8"?>
<ds:datastoreItem xmlns:ds="http://schemas.openxmlformats.org/officeDocument/2006/customXml" ds:itemID="{3ACC3F3B-A106-40A0-A68D-689F48E4C64A}"/>
</file>

<file path=docProps/app.xml><?xml version="1.0" encoding="utf-8"?>
<Properties xmlns="http://schemas.openxmlformats.org/officeDocument/2006/extended-properties" xmlns:vt="http://schemas.openxmlformats.org/officeDocument/2006/docPropsVTypes">
  <Template>Normal</Template>
  <TotalTime>1</TotalTime>
  <Pages>8</Pages>
  <Words>2691</Words>
  <Characters>15341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2022-02-03T16:33:00Z</dcterms:created>
  <dcterms:modified xsi:type="dcterms:W3CDTF">2022-02-03T16:33:00Z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0x010100A5BF1C78D9F64B679A5EBDE1C6598EBC0100F0CCFD04E08C694DAFDD521529755151</vt:lpwstr>
  </property>
</Properties>
</file>