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Content>
        <w:p w14:paraId="59F28E0A" w14:textId="25A3BD7E" w:rsidR="00FC6860" w:rsidRPr="00EE278D" w:rsidRDefault="00D25F7E" w:rsidP="003A16E9">
          <w:pPr>
            <w:pStyle w:val="Heading1"/>
            <w:rPr>
              <w:rFonts w:hint="eastAsia"/>
            </w:rPr>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Content>
        <w:p w14:paraId="49400A4C" w14:textId="71283FB2" w:rsidR="00FC6860" w:rsidRPr="00574B16" w:rsidRDefault="005A4A96" w:rsidP="003A16E9">
          <w:pPr>
            <w:pStyle w:val="Heading1"/>
            <w:rPr>
              <w:rStyle w:val="chrSubTitle"/>
              <w:color w:val="B1173B"/>
            </w:rPr>
          </w:pPr>
          <w:r>
            <w:rPr>
              <w:rStyle w:val="chrSubTitle"/>
              <w:color w:val="B1173B"/>
            </w:rPr>
            <w:t>CP7 Year 3 Recalibration of the Network Rail Passenger Schedule 8 Regime – Independent audit</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4-12-05T00:00:00Z">
          <w:dateFormat w:val="dd MMMM yyyy"/>
          <w:lid w:val="en-GB"/>
          <w:storeMappedDataAs w:val="dateTime"/>
          <w:calendar w:val="gregorian"/>
        </w:date>
      </w:sdtPr>
      <w:sdtContent>
        <w:p w14:paraId="38D7D855" w14:textId="7AFDC597" w:rsidR="00FC6860" w:rsidRDefault="00273D82" w:rsidP="003A16E9">
          <w:pPr>
            <w:pStyle w:val="Date"/>
          </w:pPr>
          <w:r>
            <w:rPr>
              <w:bCs/>
            </w:rPr>
            <w:t>05 December 2024</w:t>
          </w:r>
        </w:p>
      </w:sdtContent>
    </w:sdt>
    <w:p w14:paraId="512B2E87" w14:textId="77777777" w:rsidR="003E5612" w:rsidRDefault="003E5612" w:rsidP="003E5612"/>
    <w:p w14:paraId="0B23CADF" w14:textId="47E6253A" w:rsidR="003E5612" w:rsidRPr="00574B16" w:rsidRDefault="003E5612" w:rsidP="003E5612">
      <w:pPr>
        <w:pStyle w:val="NormalBulletround"/>
        <w:rPr>
          <w:b/>
          <w:bCs/>
          <w:color w:val="B1173B"/>
        </w:rPr>
      </w:pPr>
      <w:r w:rsidRPr="003E5612">
        <w:rPr>
          <w:b/>
          <w:bCs/>
        </w:rPr>
        <w:t xml:space="preserve">CPV Code: </w:t>
      </w:r>
      <w:r w:rsidR="00C64B5F">
        <w:rPr>
          <w:b/>
          <w:bCs/>
          <w:color w:val="B1173B"/>
        </w:rPr>
        <w:t>79411100</w:t>
      </w:r>
    </w:p>
    <w:p w14:paraId="60F6998D" w14:textId="694E0DB3" w:rsidR="003E5612" w:rsidRDefault="003E5612" w:rsidP="004F1D51">
      <w:pPr>
        <w:pStyle w:val="NormalBulletround"/>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r w:rsidRPr="003E5612">
        <w:rPr>
          <w:b/>
          <w:bCs/>
        </w:rPr>
        <w:t>Tender Reference:</w:t>
      </w:r>
      <w:r w:rsidRPr="00574B16">
        <w:rPr>
          <w:b/>
          <w:bCs/>
          <w:color w:val="B1173B"/>
        </w:rPr>
        <w:t xml:space="preserve"> </w:t>
      </w:r>
      <w:r w:rsidR="00C64B5F">
        <w:rPr>
          <w:b/>
          <w:bCs/>
          <w:color w:val="B1173B"/>
        </w:rPr>
        <w:t>ORR/CT/24-67</w:t>
      </w:r>
    </w:p>
    <w:p w14:paraId="6F6DAD95" w14:textId="7B9974D9" w:rsidR="00FC6860" w:rsidRDefault="00FC6860" w:rsidP="003A16E9">
      <w:pPr>
        <w:pStyle w:val="Heading2NoToc"/>
      </w:pPr>
      <w:r>
        <w:lastRenderedPageBreak/>
        <w:t>Contents</w:t>
      </w:r>
    </w:p>
    <w:p w14:paraId="51701C50" w14:textId="56ED9AD0" w:rsidR="00261F36" w:rsidRDefault="00FC6860">
      <w:pPr>
        <w:pStyle w:val="TOC1"/>
        <w:rPr>
          <w:rFonts w:asciiTheme="minorHAnsi" w:eastAsiaTheme="minorEastAsia" w:hAnsiTheme="minorHAnsi"/>
          <w:b w:val="0"/>
          <w:bCs w:val="0"/>
          <w:color w:val="auto"/>
          <w:kern w:val="2"/>
          <w:szCs w:val="24"/>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83612408" w:history="1">
        <w:r w:rsidR="00261F36" w:rsidRPr="007F4FE1">
          <w:rPr>
            <w:rStyle w:val="Hyperlink"/>
          </w:rPr>
          <w:t>Purpose of the document</w:t>
        </w:r>
        <w:r w:rsidR="00261F36">
          <w:rPr>
            <w:webHidden/>
          </w:rPr>
          <w:tab/>
        </w:r>
        <w:r w:rsidR="00261F36">
          <w:rPr>
            <w:webHidden/>
          </w:rPr>
          <w:fldChar w:fldCharType="begin"/>
        </w:r>
        <w:r w:rsidR="00261F36">
          <w:rPr>
            <w:webHidden/>
          </w:rPr>
          <w:instrText xml:space="preserve"> PAGEREF _Toc183612408 \h </w:instrText>
        </w:r>
        <w:r w:rsidR="00261F36">
          <w:rPr>
            <w:webHidden/>
          </w:rPr>
        </w:r>
        <w:r w:rsidR="00261F36">
          <w:rPr>
            <w:webHidden/>
          </w:rPr>
          <w:fldChar w:fldCharType="separate"/>
        </w:r>
        <w:r w:rsidR="007606F1">
          <w:rPr>
            <w:webHidden/>
          </w:rPr>
          <w:t>3</w:t>
        </w:r>
        <w:r w:rsidR="00261F36">
          <w:rPr>
            <w:webHidden/>
          </w:rPr>
          <w:fldChar w:fldCharType="end"/>
        </w:r>
      </w:hyperlink>
    </w:p>
    <w:p w14:paraId="54FB1A81" w14:textId="44070793" w:rsidR="00261F36" w:rsidRDefault="00261F36">
      <w:pPr>
        <w:pStyle w:val="TOC1"/>
        <w:rPr>
          <w:rFonts w:asciiTheme="minorHAnsi" w:eastAsiaTheme="minorEastAsia" w:hAnsiTheme="minorHAnsi"/>
          <w:b w:val="0"/>
          <w:bCs w:val="0"/>
          <w:color w:val="auto"/>
          <w:kern w:val="2"/>
          <w:szCs w:val="24"/>
          <w:lang w:eastAsia="en-GB"/>
          <w14:ligatures w14:val="standardContextual"/>
        </w:rPr>
      </w:pPr>
      <w:hyperlink w:anchor="_Toc183612409" w:history="1">
        <w:r w:rsidRPr="007F4FE1">
          <w:rPr>
            <w:rStyle w:val="Hyperlink"/>
          </w:rPr>
          <w:t>1.</w:t>
        </w:r>
        <w:r>
          <w:rPr>
            <w:rFonts w:asciiTheme="minorHAnsi" w:eastAsiaTheme="minorEastAsia" w:hAnsiTheme="minorHAnsi"/>
            <w:b w:val="0"/>
            <w:bCs w:val="0"/>
            <w:color w:val="auto"/>
            <w:kern w:val="2"/>
            <w:szCs w:val="24"/>
            <w:lang w:eastAsia="en-GB"/>
            <w14:ligatures w14:val="standardContextual"/>
          </w:rPr>
          <w:tab/>
        </w:r>
        <w:r w:rsidRPr="007F4FE1">
          <w:rPr>
            <w:rStyle w:val="Hyperlink"/>
          </w:rPr>
          <w:t>Introduction to the Office of Rail and Road</w:t>
        </w:r>
        <w:r>
          <w:rPr>
            <w:webHidden/>
          </w:rPr>
          <w:tab/>
        </w:r>
        <w:r>
          <w:rPr>
            <w:webHidden/>
          </w:rPr>
          <w:fldChar w:fldCharType="begin"/>
        </w:r>
        <w:r>
          <w:rPr>
            <w:webHidden/>
          </w:rPr>
          <w:instrText xml:space="preserve"> PAGEREF _Toc183612409 \h </w:instrText>
        </w:r>
        <w:r>
          <w:rPr>
            <w:webHidden/>
          </w:rPr>
        </w:r>
        <w:r>
          <w:rPr>
            <w:webHidden/>
          </w:rPr>
          <w:fldChar w:fldCharType="separate"/>
        </w:r>
        <w:r w:rsidR="007606F1">
          <w:rPr>
            <w:webHidden/>
          </w:rPr>
          <w:t>4</w:t>
        </w:r>
        <w:r>
          <w:rPr>
            <w:webHidden/>
          </w:rPr>
          <w:fldChar w:fldCharType="end"/>
        </w:r>
      </w:hyperlink>
    </w:p>
    <w:p w14:paraId="4034A0DA" w14:textId="779DAF45" w:rsidR="00261F36" w:rsidRDefault="00261F36">
      <w:pPr>
        <w:pStyle w:val="TOC2"/>
        <w:tabs>
          <w:tab w:val="right" w:pos="9628"/>
        </w:tabs>
        <w:rPr>
          <w:rFonts w:asciiTheme="minorHAnsi" w:eastAsiaTheme="minorEastAsia" w:hAnsiTheme="minorHAnsi"/>
          <w:noProof/>
          <w:kern w:val="2"/>
          <w:szCs w:val="24"/>
          <w:lang w:eastAsia="en-GB"/>
          <w14:ligatures w14:val="standardContextual"/>
        </w:rPr>
      </w:pPr>
      <w:hyperlink w:anchor="_Toc183612410" w:history="1">
        <w:r w:rsidRPr="007F4FE1">
          <w:rPr>
            <w:rStyle w:val="Hyperlink"/>
            <w:noProof/>
          </w:rPr>
          <w:t>Our strategic objectives</w:t>
        </w:r>
        <w:r>
          <w:rPr>
            <w:noProof/>
            <w:webHidden/>
          </w:rPr>
          <w:tab/>
        </w:r>
        <w:r>
          <w:rPr>
            <w:noProof/>
            <w:webHidden/>
          </w:rPr>
          <w:fldChar w:fldCharType="begin"/>
        </w:r>
        <w:r>
          <w:rPr>
            <w:noProof/>
            <w:webHidden/>
          </w:rPr>
          <w:instrText xml:space="preserve"> PAGEREF _Toc183612410 \h </w:instrText>
        </w:r>
        <w:r>
          <w:rPr>
            <w:noProof/>
            <w:webHidden/>
          </w:rPr>
        </w:r>
        <w:r>
          <w:rPr>
            <w:noProof/>
            <w:webHidden/>
          </w:rPr>
          <w:fldChar w:fldCharType="separate"/>
        </w:r>
        <w:r w:rsidR="007606F1">
          <w:rPr>
            <w:noProof/>
            <w:webHidden/>
          </w:rPr>
          <w:t>4</w:t>
        </w:r>
        <w:r>
          <w:rPr>
            <w:noProof/>
            <w:webHidden/>
          </w:rPr>
          <w:fldChar w:fldCharType="end"/>
        </w:r>
      </w:hyperlink>
    </w:p>
    <w:p w14:paraId="3E0BAACE" w14:textId="4D0D66F4" w:rsidR="00261F36" w:rsidRDefault="00261F36">
      <w:pPr>
        <w:pStyle w:val="TOC2"/>
        <w:tabs>
          <w:tab w:val="right" w:pos="9628"/>
        </w:tabs>
        <w:rPr>
          <w:rFonts w:asciiTheme="minorHAnsi" w:eastAsiaTheme="minorEastAsia" w:hAnsiTheme="minorHAnsi"/>
          <w:noProof/>
          <w:kern w:val="2"/>
          <w:szCs w:val="24"/>
          <w:lang w:eastAsia="en-GB"/>
          <w14:ligatures w14:val="standardContextual"/>
        </w:rPr>
      </w:pPr>
      <w:hyperlink w:anchor="_Toc183612411" w:history="1">
        <w:r w:rsidRPr="007F4FE1">
          <w:rPr>
            <w:rStyle w:val="Hyperlink"/>
            <w:noProof/>
          </w:rPr>
          <w:t>Supplying ORR</w:t>
        </w:r>
        <w:r>
          <w:rPr>
            <w:noProof/>
            <w:webHidden/>
          </w:rPr>
          <w:tab/>
        </w:r>
        <w:r>
          <w:rPr>
            <w:noProof/>
            <w:webHidden/>
          </w:rPr>
          <w:fldChar w:fldCharType="begin"/>
        </w:r>
        <w:r>
          <w:rPr>
            <w:noProof/>
            <w:webHidden/>
          </w:rPr>
          <w:instrText xml:space="preserve"> PAGEREF _Toc183612411 \h </w:instrText>
        </w:r>
        <w:r>
          <w:rPr>
            <w:noProof/>
            <w:webHidden/>
          </w:rPr>
        </w:r>
        <w:r>
          <w:rPr>
            <w:noProof/>
            <w:webHidden/>
          </w:rPr>
          <w:fldChar w:fldCharType="separate"/>
        </w:r>
        <w:r w:rsidR="007606F1">
          <w:rPr>
            <w:noProof/>
            <w:webHidden/>
          </w:rPr>
          <w:t>4</w:t>
        </w:r>
        <w:r>
          <w:rPr>
            <w:noProof/>
            <w:webHidden/>
          </w:rPr>
          <w:fldChar w:fldCharType="end"/>
        </w:r>
      </w:hyperlink>
    </w:p>
    <w:p w14:paraId="60A471FB" w14:textId="4DB36E99" w:rsidR="00261F36" w:rsidRDefault="00261F36">
      <w:pPr>
        <w:pStyle w:val="TOC1"/>
        <w:rPr>
          <w:rFonts w:asciiTheme="minorHAnsi" w:eastAsiaTheme="minorEastAsia" w:hAnsiTheme="minorHAnsi"/>
          <w:b w:val="0"/>
          <w:bCs w:val="0"/>
          <w:color w:val="auto"/>
          <w:kern w:val="2"/>
          <w:szCs w:val="24"/>
          <w:lang w:eastAsia="en-GB"/>
          <w14:ligatures w14:val="standardContextual"/>
        </w:rPr>
      </w:pPr>
      <w:hyperlink w:anchor="_Toc183612412" w:history="1">
        <w:r w:rsidRPr="007F4FE1">
          <w:rPr>
            <w:rStyle w:val="Hyperlink"/>
          </w:rPr>
          <w:t>Small and Medium Enterprises</w:t>
        </w:r>
        <w:r>
          <w:rPr>
            <w:webHidden/>
          </w:rPr>
          <w:tab/>
        </w:r>
        <w:r>
          <w:rPr>
            <w:webHidden/>
          </w:rPr>
          <w:fldChar w:fldCharType="begin"/>
        </w:r>
        <w:r>
          <w:rPr>
            <w:webHidden/>
          </w:rPr>
          <w:instrText xml:space="preserve"> PAGEREF _Toc183612412 \h </w:instrText>
        </w:r>
        <w:r>
          <w:rPr>
            <w:webHidden/>
          </w:rPr>
        </w:r>
        <w:r>
          <w:rPr>
            <w:webHidden/>
          </w:rPr>
          <w:fldChar w:fldCharType="separate"/>
        </w:r>
        <w:r w:rsidR="007606F1">
          <w:rPr>
            <w:webHidden/>
          </w:rPr>
          <w:t>6</w:t>
        </w:r>
        <w:r>
          <w:rPr>
            <w:webHidden/>
          </w:rPr>
          <w:fldChar w:fldCharType="end"/>
        </w:r>
      </w:hyperlink>
    </w:p>
    <w:p w14:paraId="1FB59F86" w14:textId="5569CB20" w:rsidR="00261F36" w:rsidRDefault="00261F36">
      <w:pPr>
        <w:pStyle w:val="TOC1"/>
        <w:rPr>
          <w:rFonts w:asciiTheme="minorHAnsi" w:eastAsiaTheme="minorEastAsia" w:hAnsiTheme="minorHAnsi"/>
          <w:b w:val="0"/>
          <w:bCs w:val="0"/>
          <w:color w:val="auto"/>
          <w:kern w:val="2"/>
          <w:szCs w:val="24"/>
          <w:lang w:eastAsia="en-GB"/>
          <w14:ligatures w14:val="standardContextual"/>
        </w:rPr>
      </w:pPr>
      <w:hyperlink w:anchor="_Toc183612413" w:history="1">
        <w:r w:rsidRPr="007F4FE1">
          <w:rPr>
            <w:rStyle w:val="Hyperlink"/>
          </w:rPr>
          <w:t>2.</w:t>
        </w:r>
        <w:r>
          <w:rPr>
            <w:rFonts w:asciiTheme="minorHAnsi" w:eastAsiaTheme="minorEastAsia" w:hAnsiTheme="minorHAnsi"/>
            <w:b w:val="0"/>
            <w:bCs w:val="0"/>
            <w:color w:val="auto"/>
            <w:kern w:val="2"/>
            <w:szCs w:val="24"/>
            <w:lang w:eastAsia="en-GB"/>
            <w14:ligatures w14:val="standardContextual"/>
          </w:rPr>
          <w:tab/>
        </w:r>
        <w:r w:rsidRPr="007F4FE1">
          <w:rPr>
            <w:rStyle w:val="Hyperlink"/>
          </w:rPr>
          <w:t>Statement of Requirement</w:t>
        </w:r>
        <w:r>
          <w:rPr>
            <w:webHidden/>
          </w:rPr>
          <w:tab/>
        </w:r>
        <w:r>
          <w:rPr>
            <w:webHidden/>
          </w:rPr>
          <w:fldChar w:fldCharType="begin"/>
        </w:r>
        <w:r>
          <w:rPr>
            <w:webHidden/>
          </w:rPr>
          <w:instrText xml:space="preserve"> PAGEREF _Toc183612413 \h </w:instrText>
        </w:r>
        <w:r>
          <w:rPr>
            <w:webHidden/>
          </w:rPr>
        </w:r>
        <w:r>
          <w:rPr>
            <w:webHidden/>
          </w:rPr>
          <w:fldChar w:fldCharType="separate"/>
        </w:r>
        <w:r w:rsidR="007606F1">
          <w:rPr>
            <w:webHidden/>
          </w:rPr>
          <w:t>7</w:t>
        </w:r>
        <w:r>
          <w:rPr>
            <w:webHidden/>
          </w:rPr>
          <w:fldChar w:fldCharType="end"/>
        </w:r>
      </w:hyperlink>
    </w:p>
    <w:p w14:paraId="15B59C64" w14:textId="3161DEF8" w:rsidR="00261F36" w:rsidRDefault="00261F36">
      <w:pPr>
        <w:pStyle w:val="TOC2"/>
        <w:tabs>
          <w:tab w:val="right" w:pos="9628"/>
        </w:tabs>
        <w:rPr>
          <w:rFonts w:asciiTheme="minorHAnsi" w:eastAsiaTheme="minorEastAsia" w:hAnsiTheme="minorHAnsi"/>
          <w:noProof/>
          <w:kern w:val="2"/>
          <w:szCs w:val="24"/>
          <w:lang w:eastAsia="en-GB"/>
          <w14:ligatures w14:val="standardContextual"/>
        </w:rPr>
      </w:pPr>
      <w:hyperlink w:anchor="_Toc183612414" w:history="1">
        <w:r w:rsidRPr="007F4FE1">
          <w:rPr>
            <w:rStyle w:val="Hyperlink"/>
            <w:noProof/>
          </w:rPr>
          <w:t>2.1 Background of the project</w:t>
        </w:r>
        <w:r>
          <w:rPr>
            <w:noProof/>
            <w:webHidden/>
          </w:rPr>
          <w:tab/>
        </w:r>
        <w:r>
          <w:rPr>
            <w:noProof/>
            <w:webHidden/>
          </w:rPr>
          <w:fldChar w:fldCharType="begin"/>
        </w:r>
        <w:r>
          <w:rPr>
            <w:noProof/>
            <w:webHidden/>
          </w:rPr>
          <w:instrText xml:space="preserve"> PAGEREF _Toc183612414 \h </w:instrText>
        </w:r>
        <w:r>
          <w:rPr>
            <w:noProof/>
            <w:webHidden/>
          </w:rPr>
        </w:r>
        <w:r>
          <w:rPr>
            <w:noProof/>
            <w:webHidden/>
          </w:rPr>
          <w:fldChar w:fldCharType="separate"/>
        </w:r>
        <w:r w:rsidR="007606F1">
          <w:rPr>
            <w:noProof/>
            <w:webHidden/>
          </w:rPr>
          <w:t>7</w:t>
        </w:r>
        <w:r>
          <w:rPr>
            <w:noProof/>
            <w:webHidden/>
          </w:rPr>
          <w:fldChar w:fldCharType="end"/>
        </w:r>
      </w:hyperlink>
    </w:p>
    <w:p w14:paraId="733D7175" w14:textId="104ED5BA" w:rsidR="00261F36" w:rsidRDefault="00261F36">
      <w:pPr>
        <w:pStyle w:val="TOC2"/>
        <w:tabs>
          <w:tab w:val="right" w:pos="9628"/>
        </w:tabs>
        <w:rPr>
          <w:rFonts w:asciiTheme="minorHAnsi" w:eastAsiaTheme="minorEastAsia" w:hAnsiTheme="minorHAnsi"/>
          <w:noProof/>
          <w:kern w:val="2"/>
          <w:szCs w:val="24"/>
          <w:lang w:eastAsia="en-GB"/>
          <w14:ligatures w14:val="standardContextual"/>
        </w:rPr>
      </w:pPr>
      <w:hyperlink w:anchor="_Toc183612415" w:history="1">
        <w:r w:rsidRPr="007F4FE1">
          <w:rPr>
            <w:rStyle w:val="Hyperlink"/>
            <w:noProof/>
          </w:rPr>
          <w:t>2.2 Project Objectives and Scope</w:t>
        </w:r>
        <w:r>
          <w:rPr>
            <w:noProof/>
            <w:webHidden/>
          </w:rPr>
          <w:tab/>
        </w:r>
        <w:r>
          <w:rPr>
            <w:noProof/>
            <w:webHidden/>
          </w:rPr>
          <w:fldChar w:fldCharType="begin"/>
        </w:r>
        <w:r>
          <w:rPr>
            <w:noProof/>
            <w:webHidden/>
          </w:rPr>
          <w:instrText xml:space="preserve"> PAGEREF _Toc183612415 \h </w:instrText>
        </w:r>
        <w:r>
          <w:rPr>
            <w:noProof/>
            <w:webHidden/>
          </w:rPr>
        </w:r>
        <w:r>
          <w:rPr>
            <w:noProof/>
            <w:webHidden/>
          </w:rPr>
          <w:fldChar w:fldCharType="separate"/>
        </w:r>
        <w:r w:rsidR="007606F1">
          <w:rPr>
            <w:noProof/>
            <w:webHidden/>
          </w:rPr>
          <w:t>9</w:t>
        </w:r>
        <w:r>
          <w:rPr>
            <w:noProof/>
            <w:webHidden/>
          </w:rPr>
          <w:fldChar w:fldCharType="end"/>
        </w:r>
      </w:hyperlink>
    </w:p>
    <w:p w14:paraId="17367A23" w14:textId="69A4CEF6" w:rsidR="00261F36" w:rsidRDefault="00261F36">
      <w:pPr>
        <w:pStyle w:val="TOC2"/>
        <w:tabs>
          <w:tab w:val="right" w:pos="9628"/>
        </w:tabs>
        <w:rPr>
          <w:rFonts w:asciiTheme="minorHAnsi" w:eastAsiaTheme="minorEastAsia" w:hAnsiTheme="minorHAnsi"/>
          <w:noProof/>
          <w:kern w:val="2"/>
          <w:szCs w:val="24"/>
          <w:lang w:eastAsia="en-GB"/>
          <w14:ligatures w14:val="standardContextual"/>
        </w:rPr>
      </w:pPr>
      <w:hyperlink w:anchor="_Toc183612416" w:history="1">
        <w:r w:rsidRPr="007F4FE1">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_Toc183612416 \h </w:instrText>
        </w:r>
        <w:r>
          <w:rPr>
            <w:noProof/>
            <w:webHidden/>
          </w:rPr>
        </w:r>
        <w:r>
          <w:rPr>
            <w:noProof/>
            <w:webHidden/>
          </w:rPr>
          <w:fldChar w:fldCharType="separate"/>
        </w:r>
        <w:r w:rsidR="007606F1">
          <w:rPr>
            <w:noProof/>
            <w:webHidden/>
          </w:rPr>
          <w:t>10</w:t>
        </w:r>
        <w:r>
          <w:rPr>
            <w:noProof/>
            <w:webHidden/>
          </w:rPr>
          <w:fldChar w:fldCharType="end"/>
        </w:r>
      </w:hyperlink>
    </w:p>
    <w:p w14:paraId="1FF84218" w14:textId="31FD0B8F" w:rsidR="00261F36" w:rsidRDefault="00261F36">
      <w:pPr>
        <w:pStyle w:val="TOC2"/>
        <w:tabs>
          <w:tab w:val="right" w:pos="9628"/>
        </w:tabs>
        <w:rPr>
          <w:rFonts w:asciiTheme="minorHAnsi" w:eastAsiaTheme="minorEastAsia" w:hAnsiTheme="minorHAnsi"/>
          <w:noProof/>
          <w:kern w:val="2"/>
          <w:szCs w:val="24"/>
          <w:lang w:eastAsia="en-GB"/>
          <w14:ligatures w14:val="standardContextual"/>
        </w:rPr>
      </w:pPr>
      <w:hyperlink w:anchor="_Toc183612417" w:history="1">
        <w:r w:rsidRPr="007F4FE1">
          <w:rPr>
            <w:rStyle w:val="Hyperlink"/>
            <w:noProof/>
          </w:rPr>
          <w:t>2.4 Project Timescales</w:t>
        </w:r>
        <w:r>
          <w:rPr>
            <w:noProof/>
            <w:webHidden/>
          </w:rPr>
          <w:tab/>
        </w:r>
        <w:r>
          <w:rPr>
            <w:noProof/>
            <w:webHidden/>
          </w:rPr>
          <w:fldChar w:fldCharType="begin"/>
        </w:r>
        <w:r>
          <w:rPr>
            <w:noProof/>
            <w:webHidden/>
          </w:rPr>
          <w:instrText xml:space="preserve"> PAGEREF _Toc183612417 \h </w:instrText>
        </w:r>
        <w:r>
          <w:rPr>
            <w:noProof/>
            <w:webHidden/>
          </w:rPr>
        </w:r>
        <w:r>
          <w:rPr>
            <w:noProof/>
            <w:webHidden/>
          </w:rPr>
          <w:fldChar w:fldCharType="separate"/>
        </w:r>
        <w:r w:rsidR="007606F1">
          <w:rPr>
            <w:noProof/>
            <w:webHidden/>
          </w:rPr>
          <w:t>12</w:t>
        </w:r>
        <w:r>
          <w:rPr>
            <w:noProof/>
            <w:webHidden/>
          </w:rPr>
          <w:fldChar w:fldCharType="end"/>
        </w:r>
      </w:hyperlink>
    </w:p>
    <w:p w14:paraId="120C6119" w14:textId="51E19178" w:rsidR="00261F36" w:rsidRDefault="00261F36">
      <w:pPr>
        <w:pStyle w:val="TOC2"/>
        <w:tabs>
          <w:tab w:val="right" w:pos="9628"/>
        </w:tabs>
        <w:rPr>
          <w:rFonts w:asciiTheme="minorHAnsi" w:eastAsiaTheme="minorEastAsia" w:hAnsiTheme="minorHAnsi"/>
          <w:noProof/>
          <w:kern w:val="2"/>
          <w:szCs w:val="24"/>
          <w:lang w:eastAsia="en-GB"/>
          <w14:ligatures w14:val="standardContextual"/>
        </w:rPr>
      </w:pPr>
      <w:hyperlink w:anchor="_Toc183612418" w:history="1">
        <w:r w:rsidRPr="007F4FE1">
          <w:rPr>
            <w:rStyle w:val="Hyperlink"/>
            <w:noProof/>
          </w:rPr>
          <w:t>2.5 Budget and Payment Schedule</w:t>
        </w:r>
        <w:r>
          <w:rPr>
            <w:noProof/>
            <w:webHidden/>
          </w:rPr>
          <w:tab/>
        </w:r>
        <w:r>
          <w:rPr>
            <w:noProof/>
            <w:webHidden/>
          </w:rPr>
          <w:fldChar w:fldCharType="begin"/>
        </w:r>
        <w:r>
          <w:rPr>
            <w:noProof/>
            <w:webHidden/>
          </w:rPr>
          <w:instrText xml:space="preserve"> PAGEREF _Toc183612418 \h </w:instrText>
        </w:r>
        <w:r>
          <w:rPr>
            <w:noProof/>
            <w:webHidden/>
          </w:rPr>
        </w:r>
        <w:r>
          <w:rPr>
            <w:noProof/>
            <w:webHidden/>
          </w:rPr>
          <w:fldChar w:fldCharType="separate"/>
        </w:r>
        <w:r w:rsidR="007606F1">
          <w:rPr>
            <w:noProof/>
            <w:webHidden/>
          </w:rPr>
          <w:t>13</w:t>
        </w:r>
        <w:r>
          <w:rPr>
            <w:noProof/>
            <w:webHidden/>
          </w:rPr>
          <w:fldChar w:fldCharType="end"/>
        </w:r>
      </w:hyperlink>
    </w:p>
    <w:p w14:paraId="7FF5AF68" w14:textId="0BD15A15" w:rsidR="00261F36" w:rsidRDefault="00261F36">
      <w:pPr>
        <w:pStyle w:val="TOC2"/>
        <w:tabs>
          <w:tab w:val="right" w:pos="9628"/>
        </w:tabs>
        <w:rPr>
          <w:rFonts w:asciiTheme="minorHAnsi" w:eastAsiaTheme="minorEastAsia" w:hAnsiTheme="minorHAnsi"/>
          <w:noProof/>
          <w:kern w:val="2"/>
          <w:szCs w:val="24"/>
          <w:lang w:eastAsia="en-GB"/>
          <w14:ligatures w14:val="standardContextual"/>
        </w:rPr>
      </w:pPr>
      <w:hyperlink w:anchor="_Toc183612419" w:history="1">
        <w:r w:rsidRPr="007F4FE1">
          <w:rPr>
            <w:rStyle w:val="Hyperlink"/>
            <w:noProof/>
          </w:rPr>
          <w:t>2.6 Further project related information for bidders</w:t>
        </w:r>
        <w:r>
          <w:rPr>
            <w:noProof/>
            <w:webHidden/>
          </w:rPr>
          <w:tab/>
        </w:r>
        <w:r>
          <w:rPr>
            <w:noProof/>
            <w:webHidden/>
          </w:rPr>
          <w:fldChar w:fldCharType="begin"/>
        </w:r>
        <w:r>
          <w:rPr>
            <w:noProof/>
            <w:webHidden/>
          </w:rPr>
          <w:instrText xml:space="preserve"> PAGEREF _Toc183612419 \h </w:instrText>
        </w:r>
        <w:r>
          <w:rPr>
            <w:noProof/>
            <w:webHidden/>
          </w:rPr>
        </w:r>
        <w:r>
          <w:rPr>
            <w:noProof/>
            <w:webHidden/>
          </w:rPr>
          <w:fldChar w:fldCharType="separate"/>
        </w:r>
        <w:r w:rsidR="007606F1">
          <w:rPr>
            <w:noProof/>
            <w:webHidden/>
          </w:rPr>
          <w:t>13</w:t>
        </w:r>
        <w:r>
          <w:rPr>
            <w:noProof/>
            <w:webHidden/>
          </w:rPr>
          <w:fldChar w:fldCharType="end"/>
        </w:r>
      </w:hyperlink>
    </w:p>
    <w:p w14:paraId="0F5712E2" w14:textId="4969BEFE" w:rsidR="00261F36" w:rsidRDefault="00261F36">
      <w:pPr>
        <w:pStyle w:val="TOC1"/>
        <w:rPr>
          <w:rFonts w:asciiTheme="minorHAnsi" w:eastAsiaTheme="minorEastAsia" w:hAnsiTheme="minorHAnsi"/>
          <w:b w:val="0"/>
          <w:bCs w:val="0"/>
          <w:color w:val="auto"/>
          <w:kern w:val="2"/>
          <w:szCs w:val="24"/>
          <w:lang w:eastAsia="en-GB"/>
          <w14:ligatures w14:val="standardContextual"/>
        </w:rPr>
      </w:pPr>
      <w:hyperlink w:anchor="_Toc183612420" w:history="1">
        <w:r w:rsidRPr="007F4FE1">
          <w:rPr>
            <w:rStyle w:val="Hyperlink"/>
          </w:rPr>
          <w:t>3.</w:t>
        </w:r>
        <w:r>
          <w:rPr>
            <w:rFonts w:asciiTheme="minorHAnsi" w:eastAsiaTheme="minorEastAsia" w:hAnsiTheme="minorHAnsi"/>
            <w:b w:val="0"/>
            <w:bCs w:val="0"/>
            <w:color w:val="auto"/>
            <w:kern w:val="2"/>
            <w:szCs w:val="24"/>
            <w:lang w:eastAsia="en-GB"/>
            <w14:ligatures w14:val="standardContextual"/>
          </w:rPr>
          <w:tab/>
        </w:r>
        <w:r w:rsidRPr="007F4FE1">
          <w:rPr>
            <w:rStyle w:val="Hyperlink"/>
          </w:rPr>
          <w:t>Tender Response and Evaluation Criteria</w:t>
        </w:r>
        <w:r>
          <w:rPr>
            <w:webHidden/>
          </w:rPr>
          <w:tab/>
        </w:r>
        <w:r>
          <w:rPr>
            <w:webHidden/>
          </w:rPr>
          <w:fldChar w:fldCharType="begin"/>
        </w:r>
        <w:r>
          <w:rPr>
            <w:webHidden/>
          </w:rPr>
          <w:instrText xml:space="preserve"> PAGEREF _Toc183612420 \h </w:instrText>
        </w:r>
        <w:r>
          <w:rPr>
            <w:webHidden/>
          </w:rPr>
        </w:r>
        <w:r>
          <w:rPr>
            <w:webHidden/>
          </w:rPr>
          <w:fldChar w:fldCharType="separate"/>
        </w:r>
        <w:r w:rsidR="007606F1">
          <w:rPr>
            <w:webHidden/>
          </w:rPr>
          <w:t>15</w:t>
        </w:r>
        <w:r>
          <w:rPr>
            <w:webHidden/>
          </w:rPr>
          <w:fldChar w:fldCharType="end"/>
        </w:r>
      </w:hyperlink>
    </w:p>
    <w:p w14:paraId="1A7C235F" w14:textId="0578391A" w:rsidR="00261F36" w:rsidRDefault="00261F36">
      <w:pPr>
        <w:pStyle w:val="TOC2"/>
        <w:tabs>
          <w:tab w:val="right" w:pos="9628"/>
        </w:tabs>
        <w:rPr>
          <w:rFonts w:asciiTheme="minorHAnsi" w:eastAsiaTheme="minorEastAsia" w:hAnsiTheme="minorHAnsi"/>
          <w:noProof/>
          <w:kern w:val="2"/>
          <w:szCs w:val="24"/>
          <w:lang w:eastAsia="en-GB"/>
          <w14:ligatures w14:val="standardContextual"/>
        </w:rPr>
      </w:pPr>
      <w:hyperlink w:anchor="_Toc183612421" w:history="1">
        <w:r w:rsidRPr="007F4FE1">
          <w:rPr>
            <w:rStyle w:val="Hyperlink"/>
            <w:noProof/>
          </w:rPr>
          <w:t>3.1 The Tender Response</w:t>
        </w:r>
        <w:r>
          <w:rPr>
            <w:noProof/>
            <w:webHidden/>
          </w:rPr>
          <w:tab/>
        </w:r>
        <w:r>
          <w:rPr>
            <w:noProof/>
            <w:webHidden/>
          </w:rPr>
          <w:fldChar w:fldCharType="begin"/>
        </w:r>
        <w:r>
          <w:rPr>
            <w:noProof/>
            <w:webHidden/>
          </w:rPr>
          <w:instrText xml:space="preserve"> PAGEREF _Toc183612421 \h </w:instrText>
        </w:r>
        <w:r>
          <w:rPr>
            <w:noProof/>
            <w:webHidden/>
          </w:rPr>
        </w:r>
        <w:r>
          <w:rPr>
            <w:noProof/>
            <w:webHidden/>
          </w:rPr>
          <w:fldChar w:fldCharType="separate"/>
        </w:r>
        <w:r w:rsidR="007606F1">
          <w:rPr>
            <w:noProof/>
            <w:webHidden/>
          </w:rPr>
          <w:t>15</w:t>
        </w:r>
        <w:r>
          <w:rPr>
            <w:noProof/>
            <w:webHidden/>
          </w:rPr>
          <w:fldChar w:fldCharType="end"/>
        </w:r>
      </w:hyperlink>
    </w:p>
    <w:p w14:paraId="2765C0FD" w14:textId="7E1587D0" w:rsidR="00261F36" w:rsidRDefault="00261F36">
      <w:pPr>
        <w:pStyle w:val="TOC2"/>
        <w:tabs>
          <w:tab w:val="right" w:pos="9628"/>
        </w:tabs>
        <w:rPr>
          <w:rFonts w:asciiTheme="minorHAnsi" w:eastAsiaTheme="minorEastAsia" w:hAnsiTheme="minorHAnsi"/>
          <w:noProof/>
          <w:kern w:val="2"/>
          <w:szCs w:val="24"/>
          <w:lang w:eastAsia="en-GB"/>
          <w14:ligatures w14:val="standardContextual"/>
        </w:rPr>
      </w:pPr>
      <w:hyperlink w:anchor="_Toc183612422" w:history="1">
        <w:r w:rsidRPr="007F4FE1">
          <w:rPr>
            <w:rStyle w:val="Hyperlink"/>
            <w:noProof/>
          </w:rPr>
          <w:t>3.2 Evaluation Criteria</w:t>
        </w:r>
        <w:r>
          <w:rPr>
            <w:noProof/>
            <w:webHidden/>
          </w:rPr>
          <w:tab/>
        </w:r>
        <w:r>
          <w:rPr>
            <w:noProof/>
            <w:webHidden/>
          </w:rPr>
          <w:fldChar w:fldCharType="begin"/>
        </w:r>
        <w:r>
          <w:rPr>
            <w:noProof/>
            <w:webHidden/>
          </w:rPr>
          <w:instrText xml:space="preserve"> PAGEREF _Toc183612422 \h </w:instrText>
        </w:r>
        <w:r>
          <w:rPr>
            <w:noProof/>
            <w:webHidden/>
          </w:rPr>
        </w:r>
        <w:r>
          <w:rPr>
            <w:noProof/>
            <w:webHidden/>
          </w:rPr>
          <w:fldChar w:fldCharType="separate"/>
        </w:r>
        <w:r w:rsidR="007606F1">
          <w:rPr>
            <w:noProof/>
            <w:webHidden/>
          </w:rPr>
          <w:t>16</w:t>
        </w:r>
        <w:r>
          <w:rPr>
            <w:noProof/>
            <w:webHidden/>
          </w:rPr>
          <w:fldChar w:fldCharType="end"/>
        </w:r>
      </w:hyperlink>
    </w:p>
    <w:p w14:paraId="05A97CB6" w14:textId="24B6D420" w:rsidR="00261F36" w:rsidRDefault="00261F36">
      <w:pPr>
        <w:pStyle w:val="TOC1"/>
        <w:rPr>
          <w:rFonts w:asciiTheme="minorHAnsi" w:eastAsiaTheme="minorEastAsia" w:hAnsiTheme="minorHAnsi"/>
          <w:b w:val="0"/>
          <w:bCs w:val="0"/>
          <w:color w:val="auto"/>
          <w:kern w:val="2"/>
          <w:szCs w:val="24"/>
          <w:lang w:eastAsia="en-GB"/>
          <w14:ligatures w14:val="standardContextual"/>
        </w:rPr>
      </w:pPr>
      <w:hyperlink w:anchor="_Toc183612423" w:history="1">
        <w:r w:rsidRPr="007F4FE1">
          <w:rPr>
            <w:rStyle w:val="Hyperlink"/>
          </w:rPr>
          <w:t>4.</w:t>
        </w:r>
        <w:r>
          <w:rPr>
            <w:rFonts w:asciiTheme="minorHAnsi" w:eastAsiaTheme="minorEastAsia" w:hAnsiTheme="minorHAnsi"/>
            <w:b w:val="0"/>
            <w:bCs w:val="0"/>
            <w:color w:val="auto"/>
            <w:kern w:val="2"/>
            <w:szCs w:val="24"/>
            <w:lang w:eastAsia="en-GB"/>
            <w14:ligatures w14:val="standardContextual"/>
          </w:rPr>
          <w:tab/>
        </w:r>
        <w:r w:rsidRPr="007F4FE1">
          <w:rPr>
            <w:rStyle w:val="Hyperlink"/>
          </w:rPr>
          <w:t>Procurement Procedures</w:t>
        </w:r>
        <w:r>
          <w:rPr>
            <w:webHidden/>
          </w:rPr>
          <w:tab/>
        </w:r>
        <w:r>
          <w:rPr>
            <w:webHidden/>
          </w:rPr>
          <w:fldChar w:fldCharType="begin"/>
        </w:r>
        <w:r>
          <w:rPr>
            <w:webHidden/>
          </w:rPr>
          <w:instrText xml:space="preserve"> PAGEREF _Toc183612423 \h </w:instrText>
        </w:r>
        <w:r>
          <w:rPr>
            <w:webHidden/>
          </w:rPr>
        </w:r>
        <w:r>
          <w:rPr>
            <w:webHidden/>
          </w:rPr>
          <w:fldChar w:fldCharType="separate"/>
        </w:r>
        <w:r w:rsidR="007606F1">
          <w:rPr>
            <w:webHidden/>
          </w:rPr>
          <w:t>20</w:t>
        </w:r>
        <w:r>
          <w:rPr>
            <w:webHidden/>
          </w:rPr>
          <w:fldChar w:fldCharType="end"/>
        </w:r>
      </w:hyperlink>
    </w:p>
    <w:p w14:paraId="5221FA94" w14:textId="06054F36" w:rsidR="00261F36" w:rsidRDefault="00261F36">
      <w:pPr>
        <w:pStyle w:val="TOC2"/>
        <w:tabs>
          <w:tab w:val="right" w:pos="9628"/>
        </w:tabs>
        <w:rPr>
          <w:rFonts w:asciiTheme="minorHAnsi" w:eastAsiaTheme="minorEastAsia" w:hAnsiTheme="minorHAnsi"/>
          <w:noProof/>
          <w:kern w:val="2"/>
          <w:szCs w:val="24"/>
          <w:lang w:eastAsia="en-GB"/>
          <w14:ligatures w14:val="standardContextual"/>
        </w:rPr>
      </w:pPr>
      <w:hyperlink w:anchor="_Toc183612424" w:history="1">
        <w:r w:rsidRPr="007F4FE1">
          <w:rPr>
            <w:rStyle w:val="Hyperlink"/>
            <w:noProof/>
          </w:rPr>
          <w:t>Tendering Timetable</w:t>
        </w:r>
        <w:r>
          <w:rPr>
            <w:noProof/>
            <w:webHidden/>
          </w:rPr>
          <w:tab/>
        </w:r>
        <w:r>
          <w:rPr>
            <w:noProof/>
            <w:webHidden/>
          </w:rPr>
          <w:fldChar w:fldCharType="begin"/>
        </w:r>
        <w:r>
          <w:rPr>
            <w:noProof/>
            <w:webHidden/>
          </w:rPr>
          <w:instrText xml:space="preserve"> PAGEREF _Toc183612424 \h </w:instrText>
        </w:r>
        <w:r>
          <w:rPr>
            <w:noProof/>
            <w:webHidden/>
          </w:rPr>
        </w:r>
        <w:r>
          <w:rPr>
            <w:noProof/>
            <w:webHidden/>
          </w:rPr>
          <w:fldChar w:fldCharType="separate"/>
        </w:r>
        <w:r w:rsidR="007606F1">
          <w:rPr>
            <w:noProof/>
            <w:webHidden/>
          </w:rPr>
          <w:t>20</w:t>
        </w:r>
        <w:r>
          <w:rPr>
            <w:noProof/>
            <w:webHidden/>
          </w:rPr>
          <w:fldChar w:fldCharType="end"/>
        </w:r>
      </w:hyperlink>
    </w:p>
    <w:p w14:paraId="7C96DCE6" w14:textId="200CFB92" w:rsidR="00261F36" w:rsidRDefault="00261F36">
      <w:pPr>
        <w:pStyle w:val="TOC2"/>
        <w:tabs>
          <w:tab w:val="right" w:pos="9628"/>
        </w:tabs>
        <w:rPr>
          <w:rFonts w:asciiTheme="minorHAnsi" w:eastAsiaTheme="minorEastAsia" w:hAnsiTheme="minorHAnsi"/>
          <w:noProof/>
          <w:kern w:val="2"/>
          <w:szCs w:val="24"/>
          <w:lang w:eastAsia="en-GB"/>
          <w14:ligatures w14:val="standardContextual"/>
        </w:rPr>
      </w:pPr>
      <w:hyperlink w:anchor="_Toc183612425" w:history="1">
        <w:r w:rsidRPr="007F4FE1">
          <w:rPr>
            <w:rStyle w:val="Hyperlink"/>
            <w:noProof/>
          </w:rPr>
          <w:t>Tendering Instructions and Guidance</w:t>
        </w:r>
        <w:r>
          <w:rPr>
            <w:noProof/>
            <w:webHidden/>
          </w:rPr>
          <w:tab/>
        </w:r>
        <w:r>
          <w:rPr>
            <w:noProof/>
            <w:webHidden/>
          </w:rPr>
          <w:fldChar w:fldCharType="begin"/>
        </w:r>
        <w:r>
          <w:rPr>
            <w:noProof/>
            <w:webHidden/>
          </w:rPr>
          <w:instrText xml:space="preserve"> PAGEREF _Toc183612425 \h </w:instrText>
        </w:r>
        <w:r>
          <w:rPr>
            <w:noProof/>
            <w:webHidden/>
          </w:rPr>
        </w:r>
        <w:r>
          <w:rPr>
            <w:noProof/>
            <w:webHidden/>
          </w:rPr>
          <w:fldChar w:fldCharType="separate"/>
        </w:r>
        <w:r w:rsidR="007606F1">
          <w:rPr>
            <w:noProof/>
            <w:webHidden/>
          </w:rPr>
          <w:t>20</w:t>
        </w:r>
        <w:r>
          <w:rPr>
            <w:noProof/>
            <w:webHidden/>
          </w:rPr>
          <w:fldChar w:fldCharType="end"/>
        </w:r>
      </w:hyperlink>
    </w:p>
    <w:p w14:paraId="6B48D324" w14:textId="42A55B4A" w:rsidR="00FC6860" w:rsidRDefault="00FC6860" w:rsidP="003A16E9">
      <w:pPr>
        <w:sectPr w:rsidR="00FC6860" w:rsidSect="003A16E9">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83612408"/>
      <w:r>
        <w:lastRenderedPageBreak/>
        <w:t>Purpose of the document</w:t>
      </w:r>
      <w:bookmarkEnd w:id="4"/>
    </w:p>
    <w:p w14:paraId="5CB061E3" w14:textId="7578ACFD" w:rsidR="00A02455" w:rsidRDefault="00A02455" w:rsidP="00A02455">
      <w:r>
        <w:t xml:space="preserve">The purpose of this document is to invite proposals for </w:t>
      </w:r>
      <w:r w:rsidR="00103D7E" w:rsidRPr="00103D7E">
        <w:rPr>
          <w:b/>
          <w:bCs/>
        </w:rPr>
        <w:t xml:space="preserve">CP7 Recalibration of the Network Rail Passenger Schedule 8 Regime </w:t>
      </w:r>
      <w:r w:rsidR="007606F1">
        <w:rPr>
          <w:b/>
          <w:bCs/>
        </w:rPr>
        <w:t>–</w:t>
      </w:r>
      <w:r w:rsidR="00103D7E" w:rsidRPr="00103D7E">
        <w:rPr>
          <w:b/>
          <w:bCs/>
        </w:rPr>
        <w:t xml:space="preserve"> Independent audit</w:t>
      </w:r>
      <w:r w:rsidRPr="00103D7E">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83612409"/>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83612410"/>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83612411"/>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54FF1E2D" w:rsidR="00490915" w:rsidRDefault="00490915" w:rsidP="00490915">
      <w:r>
        <w:lastRenderedPageBreak/>
        <w:t xml:space="preserve">The ORR </w:t>
      </w:r>
      <w:r w:rsidR="000910F0">
        <w:t>p</w:t>
      </w:r>
      <w:r>
        <w:t>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83612412"/>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4803">
        <w:trPr>
          <w:trHeight w:val="767"/>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4803">
        <w:trPr>
          <w:trHeight w:val="806"/>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3A16E9">
            <w:pPr>
              <w:pStyle w:val="TblText"/>
            </w:pPr>
            <w:r w:rsidRPr="00D6160E">
              <w:t>≤ € 10 million</w:t>
            </w:r>
          </w:p>
        </w:tc>
        <w:tc>
          <w:tcPr>
            <w:tcW w:w="894" w:type="dxa"/>
            <w:shd w:val="clear" w:color="auto" w:fill="auto"/>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4803">
        <w:trPr>
          <w:trHeight w:val="819"/>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4803">
        <w:trPr>
          <w:trHeight w:val="83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3A16E9">
            <w:pPr>
              <w:pStyle w:val="TblText"/>
            </w:pPr>
            <w:r w:rsidRPr="00D6160E">
              <w:t>&gt; € 50 million</w:t>
            </w:r>
          </w:p>
        </w:tc>
        <w:tc>
          <w:tcPr>
            <w:tcW w:w="894" w:type="dxa"/>
            <w:shd w:val="clear" w:color="auto" w:fill="auto"/>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3A16E9">
            <w:pPr>
              <w:pStyle w:val="TblText"/>
            </w:pPr>
            <w:r w:rsidRPr="00D6160E">
              <w:t>&gt; € 43 million</w:t>
            </w:r>
          </w:p>
        </w:tc>
      </w:tr>
    </w:tbl>
    <w:p w14:paraId="00096EEF" w14:textId="77777777" w:rsidR="00634803" w:rsidRDefault="00634803" w:rsidP="00D776B6"/>
    <w:p w14:paraId="16E292C2" w14:textId="442CA6D7"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83612413"/>
      <w:r>
        <w:lastRenderedPageBreak/>
        <w:t>Statement of Requirement</w:t>
      </w:r>
      <w:bookmarkEnd w:id="9"/>
    </w:p>
    <w:p w14:paraId="0C918979" w14:textId="4CE3B4F2" w:rsidR="00F20E70" w:rsidRDefault="00F20E70" w:rsidP="00F20E70">
      <w:pPr>
        <w:pStyle w:val="Heading3"/>
      </w:pPr>
      <w:bookmarkStart w:id="10" w:name="_Toc183612414"/>
      <w:r>
        <w:t>2.1 Background of the project</w:t>
      </w:r>
      <w:bookmarkEnd w:id="10"/>
    </w:p>
    <w:p w14:paraId="7E96BF9C" w14:textId="77777777" w:rsidR="00C96619" w:rsidRDefault="00C96619" w:rsidP="00C96619">
      <w:pPr>
        <w:pStyle w:val="Heading4"/>
      </w:pPr>
      <w:r>
        <w:t>Schedule 8</w:t>
      </w:r>
    </w:p>
    <w:p w14:paraId="7841CEA9" w14:textId="7B9A7893" w:rsidR="00C96619" w:rsidRDefault="00C96619" w:rsidP="00C96619">
      <w:r w:rsidRPr="006F2904">
        <w:t xml:space="preserve">Schedule 8 is the </w:t>
      </w:r>
      <w:r>
        <w:t>train</w:t>
      </w:r>
      <w:r w:rsidRPr="006F2904">
        <w:t xml:space="preserve"> performance regime</w:t>
      </w:r>
      <w:r w:rsidR="000B1E7D">
        <w:t xml:space="preserve"> for Network Rail</w:t>
      </w:r>
      <w:r>
        <w:t xml:space="preserve">. It is designed to </w:t>
      </w:r>
      <w:r w:rsidRPr="006F2904">
        <w:t xml:space="preserve">incentivise Network Rail and train operators </w:t>
      </w:r>
      <w:r>
        <w:t xml:space="preserve">to improve train performance, and it </w:t>
      </w:r>
      <w:r w:rsidRPr="006F2904">
        <w:t xml:space="preserve">provides financial protection to operators against unplanned disruption. Through the Schedule 8 regime, train operators are held financially neutral to the long-term revenue impact of fluctuations in performance </w:t>
      </w:r>
      <w:r>
        <w:t xml:space="preserve">for </w:t>
      </w:r>
      <w:r w:rsidRPr="006F2904">
        <w:t xml:space="preserve">which they are not directly responsible. </w:t>
      </w:r>
    </w:p>
    <w:p w14:paraId="0FA22781" w14:textId="77777777" w:rsidR="00C96619" w:rsidRPr="006F2904" w:rsidRDefault="00C96619" w:rsidP="00C96619">
      <w:r w:rsidRPr="006F2904">
        <w:t xml:space="preserve">Schedule 8 is a benchmarked regime, with payments being made for performance above </w:t>
      </w:r>
      <w:r>
        <w:t xml:space="preserve">or </w:t>
      </w:r>
      <w:r w:rsidRPr="006F2904">
        <w:t xml:space="preserve">below the benchmark. For Network Rail performance worse than the benchmark, compensation is provided to train operators </w:t>
      </w:r>
      <w:r>
        <w:t>representing long run revenue impacts</w:t>
      </w:r>
      <w:r w:rsidRPr="006F2904">
        <w:t xml:space="preserve">. The mechanism is symmetric, so for better-than-benchmark performance by Network Rail, train operators make payments to Network Rail, reflecting the increase in future revenue that they expect to make as a result of the better-than-expected performance. Schedule 8 also </w:t>
      </w:r>
      <w:r>
        <w:t xml:space="preserve">covers performance of </w:t>
      </w:r>
      <w:r w:rsidRPr="006F2904">
        <w:t>train operators, providing compensation or bonus payments for performance</w:t>
      </w:r>
      <w:r>
        <w:t xml:space="preserve"> that is </w:t>
      </w:r>
      <w:r w:rsidRPr="006F2904">
        <w:t>worse or better than benchmark</w:t>
      </w:r>
      <w:r>
        <w:t>s</w:t>
      </w:r>
      <w:r w:rsidRPr="006F2904">
        <w:t xml:space="preserve">. </w:t>
      </w:r>
    </w:p>
    <w:p w14:paraId="5AD227F3" w14:textId="77777777" w:rsidR="00C96619" w:rsidRDefault="00C96619" w:rsidP="00C96619">
      <w:r w:rsidRPr="006F2904">
        <w:t xml:space="preserve">In order for the Schedule 8 regime to provide appropriate compensation, it is important that the regime is calibrated </w:t>
      </w:r>
      <w:r>
        <w:t>so as to be representative of industry conditions</w:t>
      </w:r>
      <w:r w:rsidRPr="006F2904">
        <w:t xml:space="preserve">. The regime should be calibrated to provide a realistic reflection of the impact of performance on revenue (through payment rates) and the relative performance that should be expected from different parts of the </w:t>
      </w:r>
      <w:r>
        <w:t xml:space="preserve">industry </w:t>
      </w:r>
      <w:r w:rsidRPr="006F2904">
        <w:t xml:space="preserve">(through performance benchmarks). </w:t>
      </w:r>
    </w:p>
    <w:p w14:paraId="4B5375EF" w14:textId="77777777" w:rsidR="00C96619" w:rsidRDefault="00C96619" w:rsidP="00C96619">
      <w:pPr>
        <w:pStyle w:val="Heading4"/>
      </w:pPr>
      <w:r>
        <w:t>CP7 year 3 recalibration of Schedule 8</w:t>
      </w:r>
    </w:p>
    <w:p w14:paraId="5BE037CD" w14:textId="77777777" w:rsidR="00C96619" w:rsidRDefault="00C96619" w:rsidP="00C96619">
      <w:r>
        <w:t xml:space="preserve">In ORR’s 2023 periodic review of Network Rail (‘PR23’), we recalibrated the passenger Schedule 8 regime in full. We also committed to recalibrate the passenger Schedule 8 regime again ahead of year 3 of CP7. This recalibration (the ‘CP7 year 3 recalibration’), against a backdrop of recovery from the COVID-19 pandemic, will allow regime parameters to adjust to better reflect industry conditions. A well-calibrated regime will reduce the extent of any ‘windfall’ payments that are the result of exogenous factors. </w:t>
      </w:r>
      <w:r w:rsidRPr="006F2904">
        <w:t>For further background to ORR’s PR23 review of Schedule 8, see</w:t>
      </w:r>
      <w:r>
        <w:t xml:space="preserve"> ORR’s final determination </w:t>
      </w:r>
      <w:hyperlink r:id="rId20" w:history="1">
        <w:r w:rsidRPr="005E5859">
          <w:rPr>
            <w:rStyle w:val="Hyperlink"/>
          </w:rPr>
          <w:t>policy position on Schedules 4 and 8</w:t>
        </w:r>
      </w:hyperlink>
      <w:r>
        <w:t xml:space="preserve">, particularly paragraphs 3.22 to 3.26 regarding the CP7 year 3 recalibration. </w:t>
      </w:r>
    </w:p>
    <w:p w14:paraId="43C9957B" w14:textId="77777777" w:rsidR="00C96619" w:rsidRDefault="00C96619" w:rsidP="00C96619">
      <w:r>
        <w:t xml:space="preserve">The CP7 year 3 recalibration will update all Schedule 8 passenger regime parameters to reflect new evidence. The recalibration will be based on the policy framework determined </w:t>
      </w:r>
      <w:r>
        <w:lastRenderedPageBreak/>
        <w:t>through PR23. We have stressed to the industry that it will not provide an opportunity to make policy changes or alter the wider terms in</w:t>
      </w:r>
      <w:r w:rsidRPr="00942456">
        <w:t xml:space="preserve"> contracts.</w:t>
      </w:r>
      <w:r>
        <w:t xml:space="preserve"> </w:t>
      </w:r>
    </w:p>
    <w:p w14:paraId="0AD57BC2" w14:textId="185F8B9F" w:rsidR="00C40E49" w:rsidRDefault="00C40E49" w:rsidP="00C96619">
      <w:r>
        <w:t xml:space="preserve">We are in the </w:t>
      </w:r>
      <w:hyperlink r:id="rId21" w:history="1">
        <w:r w:rsidR="000910F0" w:rsidRPr="000910F0">
          <w:rPr>
            <w:rStyle w:val="Hyperlink"/>
          </w:rPr>
          <w:t>separate</w:t>
        </w:r>
        <w:r w:rsidRPr="000910F0">
          <w:rPr>
            <w:rStyle w:val="Hyperlink"/>
          </w:rPr>
          <w:t xml:space="preserve"> </w:t>
        </w:r>
        <w:r w:rsidR="000910F0" w:rsidRPr="000910F0">
          <w:rPr>
            <w:rStyle w:val="Hyperlink"/>
          </w:rPr>
          <w:t xml:space="preserve">ITT </w:t>
        </w:r>
        <w:r w:rsidRPr="000910F0">
          <w:rPr>
            <w:rStyle w:val="Hyperlink"/>
          </w:rPr>
          <w:t>process</w:t>
        </w:r>
      </w:hyperlink>
      <w:r>
        <w:t xml:space="preserve"> of appointing a consultancy to carry out the necessary calculations </w:t>
      </w:r>
      <w:r w:rsidRPr="000910F0">
        <w:t>for the recalibration</w:t>
      </w:r>
      <w:r w:rsidR="00026880">
        <w:t xml:space="preserve"> (</w:t>
      </w:r>
      <w:r w:rsidR="000910F0">
        <w:t xml:space="preserve">the winning bidder is </w:t>
      </w:r>
      <w:r w:rsidR="00026880">
        <w:t xml:space="preserve">referred to as ‘the recalibration consultants’ in this </w:t>
      </w:r>
      <w:r w:rsidR="000910F0">
        <w:t>audit</w:t>
      </w:r>
      <w:r w:rsidR="00026880">
        <w:t xml:space="preserve"> ITT)</w:t>
      </w:r>
      <w:r>
        <w:t>.</w:t>
      </w:r>
    </w:p>
    <w:p w14:paraId="673A856F" w14:textId="495DB1E9" w:rsidR="005F14D6" w:rsidRDefault="000910F0" w:rsidP="005F14D6">
      <w:r>
        <w:t>W</w:t>
      </w:r>
      <w:r w:rsidR="005F14D6">
        <w:t xml:space="preserve">e have not requested the recalibration consultants to update </w:t>
      </w:r>
      <w:r w:rsidR="00F462A4">
        <w:t>Monitoring Points, M</w:t>
      </w:r>
      <w:r w:rsidR="005F14D6">
        <w:t xml:space="preserve">onitoring </w:t>
      </w:r>
      <w:r w:rsidR="00F462A4">
        <w:t>P</w:t>
      </w:r>
      <w:r w:rsidR="005F14D6">
        <w:t xml:space="preserve">oint </w:t>
      </w:r>
      <w:r w:rsidR="00F462A4">
        <w:t>W</w:t>
      </w:r>
      <w:r w:rsidR="005F14D6">
        <w:t>eightings</w:t>
      </w:r>
      <w:r w:rsidR="00A822F5">
        <w:t xml:space="preserve"> (MPWs)</w:t>
      </w:r>
      <w:r w:rsidR="005F14D6">
        <w:t xml:space="preserve"> or </w:t>
      </w:r>
      <w:r w:rsidR="00F462A4">
        <w:t>C</w:t>
      </w:r>
      <w:r w:rsidR="005F14D6">
        <w:t xml:space="preserve">ancellation </w:t>
      </w:r>
      <w:r w:rsidR="00F462A4">
        <w:t>M</w:t>
      </w:r>
      <w:r w:rsidR="005F14D6">
        <w:t xml:space="preserve">inutes. However, there is an opportunity for train operators and Network Rail Regions to propose changes to </w:t>
      </w:r>
      <w:r w:rsidR="00F462A4">
        <w:t>these parameters</w:t>
      </w:r>
      <w:r w:rsidR="005F14D6">
        <w:t xml:space="preserve">.  </w:t>
      </w:r>
    </w:p>
    <w:p w14:paraId="26DB20E4" w14:textId="37D86930" w:rsidR="005F14D6" w:rsidRPr="005F14D6" w:rsidRDefault="005F14D6" w:rsidP="005F14D6">
      <w:r w:rsidRPr="005F14D6">
        <w:t xml:space="preserve">As well as incorporating </w:t>
      </w:r>
      <w:r w:rsidR="000B1E7D">
        <w:t>any changes to</w:t>
      </w:r>
      <w:r w:rsidRPr="005F14D6">
        <w:t xml:space="preserve"> </w:t>
      </w:r>
      <w:r w:rsidR="00F462A4">
        <w:t>M</w:t>
      </w:r>
      <w:r w:rsidRPr="005F14D6">
        <w:t xml:space="preserve">onitoring </w:t>
      </w:r>
      <w:r w:rsidR="00F462A4">
        <w:t>P</w:t>
      </w:r>
      <w:r w:rsidRPr="005F14D6">
        <w:t xml:space="preserve">oints, MPWs and </w:t>
      </w:r>
      <w:r w:rsidR="00F462A4">
        <w:t>C</w:t>
      </w:r>
      <w:r w:rsidRPr="005F14D6">
        <w:t xml:space="preserve">ancellation </w:t>
      </w:r>
      <w:r w:rsidR="00F462A4">
        <w:t>M</w:t>
      </w:r>
      <w:r w:rsidRPr="005F14D6">
        <w:t>inutes, the recalibration consultants will calculate the following parameters:  </w:t>
      </w:r>
    </w:p>
    <w:p w14:paraId="3F899B14" w14:textId="5D3B214F" w:rsidR="005F14D6" w:rsidRPr="005F14D6" w:rsidRDefault="005F14D6" w:rsidP="002712ED">
      <w:pPr>
        <w:pStyle w:val="NormalBulletround"/>
      </w:pPr>
      <w:r w:rsidRPr="005F14D6">
        <w:t>Network Rail Benchmarks </w:t>
      </w:r>
    </w:p>
    <w:p w14:paraId="1D0F1659" w14:textId="17C3F025" w:rsidR="005F14D6" w:rsidRPr="005F14D6" w:rsidRDefault="005F14D6" w:rsidP="002712ED">
      <w:pPr>
        <w:pStyle w:val="NormalBulletround"/>
      </w:pPr>
      <w:r w:rsidRPr="005F14D6">
        <w:t>Train Operator Benchmarks </w:t>
      </w:r>
    </w:p>
    <w:p w14:paraId="66D92421" w14:textId="05D86CE2" w:rsidR="005F14D6" w:rsidRPr="005F14D6" w:rsidRDefault="005F14D6" w:rsidP="002712ED">
      <w:pPr>
        <w:pStyle w:val="NormalBulletround"/>
      </w:pPr>
      <w:r w:rsidRPr="005F14D6">
        <w:t>Network Rail Payment Rates </w:t>
      </w:r>
    </w:p>
    <w:p w14:paraId="334BF0FD" w14:textId="34934193" w:rsidR="005F14D6" w:rsidRPr="005F14D6" w:rsidRDefault="005F14D6" w:rsidP="002712ED">
      <w:pPr>
        <w:pStyle w:val="NormalBulletround"/>
      </w:pPr>
      <w:r w:rsidRPr="005F14D6">
        <w:t>Train Operator Payment Rates </w:t>
      </w:r>
    </w:p>
    <w:p w14:paraId="0368DC13" w14:textId="2BD56513" w:rsidR="005F14D6" w:rsidRPr="005F14D6" w:rsidRDefault="005F14D6" w:rsidP="002712ED">
      <w:pPr>
        <w:pStyle w:val="NormalBulletround"/>
      </w:pPr>
      <w:r w:rsidRPr="005F14D6">
        <w:t>Sustained Poor Performance thresholds </w:t>
      </w:r>
    </w:p>
    <w:p w14:paraId="35FE67A6" w14:textId="1069830A" w:rsidR="00FA698B" w:rsidRPr="002C4E1E" w:rsidRDefault="00FA698B" w:rsidP="00FA698B">
      <w:pPr>
        <w:spacing w:line="276" w:lineRule="auto"/>
        <w:jc w:val="both"/>
        <w:rPr>
          <w:rFonts w:eastAsia="Arial" w:cs="Arial"/>
          <w:szCs w:val="24"/>
        </w:rPr>
      </w:pPr>
      <w:r w:rsidRPr="002C4E1E">
        <w:rPr>
          <w:rFonts w:eastAsia="Arial" w:cs="Arial"/>
          <w:szCs w:val="24"/>
        </w:rPr>
        <w:t xml:space="preserve">An independent audit of the recalibration consultants’ work completed will inform industry and ORR sign-off of the regime before </w:t>
      </w:r>
      <w:r>
        <w:rPr>
          <w:rFonts w:eastAsia="Arial" w:cs="Arial"/>
          <w:szCs w:val="24"/>
        </w:rPr>
        <w:t>the start of year 3 of CP7 (in April 2026)</w:t>
      </w:r>
      <w:r w:rsidRPr="002C4E1E">
        <w:rPr>
          <w:rFonts w:eastAsia="Arial" w:cs="Arial"/>
          <w:szCs w:val="24"/>
        </w:rPr>
        <w:t>.</w:t>
      </w:r>
    </w:p>
    <w:p w14:paraId="1DF8AFF7" w14:textId="412860D8" w:rsidR="0081518F" w:rsidRDefault="00FA698B" w:rsidP="00CF7B0E">
      <w:pPr>
        <w:spacing w:line="276" w:lineRule="auto"/>
        <w:rPr>
          <w:rFonts w:eastAsia="Arial" w:cs="Arial"/>
          <w:b/>
          <w:bCs/>
          <w:szCs w:val="24"/>
        </w:rPr>
      </w:pPr>
      <w:r w:rsidRPr="002C4E1E">
        <w:rPr>
          <w:rFonts w:eastAsia="Arial" w:cs="Arial"/>
          <w:b/>
          <w:bCs/>
          <w:szCs w:val="24"/>
        </w:rPr>
        <w:t xml:space="preserve">This </w:t>
      </w:r>
      <w:r w:rsidR="0081518F">
        <w:rPr>
          <w:rFonts w:eastAsia="Arial" w:cs="Arial"/>
          <w:b/>
          <w:bCs/>
          <w:szCs w:val="24"/>
        </w:rPr>
        <w:t>ITT</w:t>
      </w:r>
      <w:r w:rsidRPr="002C4E1E">
        <w:rPr>
          <w:rFonts w:eastAsia="Arial" w:cs="Arial"/>
          <w:b/>
          <w:bCs/>
          <w:szCs w:val="24"/>
        </w:rPr>
        <w:t xml:space="preserve"> is to provide the above-described independent audit of the work of the recalibration consultants that will inform industry </w:t>
      </w:r>
      <w:r w:rsidR="000910F0">
        <w:rPr>
          <w:rFonts w:eastAsia="Arial" w:cs="Arial"/>
          <w:b/>
          <w:bCs/>
          <w:szCs w:val="24"/>
        </w:rPr>
        <w:t xml:space="preserve">review </w:t>
      </w:r>
      <w:r w:rsidRPr="002C4E1E">
        <w:rPr>
          <w:rFonts w:eastAsia="Arial" w:cs="Arial"/>
          <w:b/>
          <w:bCs/>
          <w:szCs w:val="24"/>
        </w:rPr>
        <w:t xml:space="preserve">and ORR sign-off of the regime </w:t>
      </w:r>
      <w:r w:rsidRPr="00FA698B">
        <w:rPr>
          <w:rFonts w:eastAsia="Arial" w:cs="Arial"/>
          <w:b/>
          <w:bCs/>
          <w:szCs w:val="24"/>
        </w:rPr>
        <w:t>before the start of year 3 of CP7 (in April 2026)</w:t>
      </w:r>
      <w:r w:rsidRPr="002C4E1E">
        <w:rPr>
          <w:rFonts w:eastAsia="Arial" w:cs="Arial"/>
          <w:b/>
          <w:bCs/>
          <w:szCs w:val="24"/>
        </w:rPr>
        <w:t xml:space="preserve">. </w:t>
      </w:r>
      <w:r w:rsidR="0081518F">
        <w:rPr>
          <w:rFonts w:eastAsia="Arial" w:cs="Arial"/>
          <w:b/>
          <w:bCs/>
          <w:szCs w:val="24"/>
        </w:rPr>
        <w:t xml:space="preserve">In this ITT the winning bidder is referred to as ‘the audit consultants’. </w:t>
      </w:r>
    </w:p>
    <w:p w14:paraId="7BDB0FC9" w14:textId="01053B72" w:rsidR="00FA698B" w:rsidRPr="00853099" w:rsidRDefault="00FA698B" w:rsidP="002712ED">
      <w:pPr>
        <w:spacing w:line="276" w:lineRule="auto"/>
        <w:rPr>
          <w:rFonts w:eastAsia="Arial" w:cs="Arial"/>
          <w:szCs w:val="24"/>
        </w:rPr>
      </w:pPr>
      <w:r w:rsidRPr="00853099">
        <w:rPr>
          <w:rFonts w:eastAsia="Arial" w:cs="Arial"/>
          <w:szCs w:val="24"/>
        </w:rPr>
        <w:t xml:space="preserve">Given time constraints, this independent audit will happen in parallel with the recalibration consultants' work, with engagement and cooperation from the recalibration consultants. </w:t>
      </w:r>
      <w:r w:rsidR="002712ED" w:rsidRPr="00853099">
        <w:rPr>
          <w:rFonts w:eastAsia="Arial" w:cs="Arial"/>
          <w:szCs w:val="24"/>
        </w:rPr>
        <w:t xml:space="preserve">The recalibration consultants will work with the appointed auditors to ensure the audit of models takes place in advance of each parameter release, so that the auditor’s findings can be presented alongside each release. </w:t>
      </w:r>
      <w:r w:rsidRPr="00853099">
        <w:rPr>
          <w:rFonts w:eastAsia="Arial" w:cs="Arial"/>
          <w:szCs w:val="24"/>
        </w:rPr>
        <w:t xml:space="preserve">The recalibration consultants will be expected to respond to audit findings to correct errors or omissions or to reflect modelling best practice. This independent audit will be in addition to the internal quality assurance that the recalibration consultants must provide.  </w:t>
      </w:r>
    </w:p>
    <w:p w14:paraId="6D3A1CCB" w14:textId="77777777" w:rsidR="0081518F" w:rsidRPr="002C4E1E" w:rsidRDefault="0081518F" w:rsidP="00CF7B0E">
      <w:pPr>
        <w:spacing w:line="276" w:lineRule="auto"/>
        <w:rPr>
          <w:rFonts w:eastAsia="Arial" w:cs="Arial"/>
          <w:b/>
          <w:bCs/>
          <w:szCs w:val="24"/>
        </w:rPr>
      </w:pPr>
    </w:p>
    <w:p w14:paraId="786D51D6" w14:textId="77777777" w:rsidR="005F5FCB" w:rsidRDefault="005F5FCB" w:rsidP="005F5FCB">
      <w:pPr>
        <w:pStyle w:val="Heading4"/>
      </w:pPr>
      <w:r>
        <w:lastRenderedPageBreak/>
        <w:t>Note on rail reform</w:t>
      </w:r>
    </w:p>
    <w:p w14:paraId="14E9749B" w14:textId="77777777" w:rsidR="005F5FCB" w:rsidRPr="00942456" w:rsidRDefault="005F5FCB" w:rsidP="005F5FCB">
      <w:r>
        <w:t xml:space="preserve">The UK government intends to create a new body, Great British Railways (GBR), which will combine infrastructure management and many passenger train services in one body. This may change the framework of charges and financial incentives in the medium term, but it does not change the need to have a well-functioning Schedule 8 regime for the remainder of CP7, including for operators that will remain independent of GBR. </w:t>
      </w:r>
    </w:p>
    <w:p w14:paraId="74919ACA" w14:textId="178F61FF" w:rsidR="00F20E70" w:rsidRDefault="00F20E70" w:rsidP="00F20E70">
      <w:pPr>
        <w:pStyle w:val="Heading3"/>
      </w:pPr>
      <w:bookmarkStart w:id="11" w:name="_Toc183612415"/>
      <w:r>
        <w:t>2.2 Project Objectives and Scope</w:t>
      </w:r>
      <w:bookmarkEnd w:id="11"/>
    </w:p>
    <w:p w14:paraId="2043BEED" w14:textId="71831E3F" w:rsidR="00CF7B0E" w:rsidRDefault="00CF7B0E" w:rsidP="00CF7B0E">
      <w:pPr>
        <w:spacing w:before="240"/>
      </w:pPr>
      <w:r w:rsidRPr="002C4E1E">
        <w:rPr>
          <w:rFonts w:eastAsia="Arial" w:cs="Arial"/>
          <w:szCs w:val="24"/>
        </w:rPr>
        <w:t xml:space="preserve">The audit should ensure that the </w:t>
      </w:r>
      <w:r w:rsidR="005C3211">
        <w:rPr>
          <w:rFonts w:eastAsia="Arial" w:cs="Arial"/>
          <w:szCs w:val="24"/>
        </w:rPr>
        <w:t xml:space="preserve">recalibration consultants’ </w:t>
      </w:r>
      <w:r w:rsidRPr="002C4E1E">
        <w:rPr>
          <w:rFonts w:eastAsia="Arial" w:cs="Arial"/>
          <w:szCs w:val="24"/>
        </w:rPr>
        <w:t>stated methodology is appropriately followed in the recalibration work.</w:t>
      </w:r>
      <w:r>
        <w:rPr>
          <w:rFonts w:eastAsia="Arial" w:cs="Arial"/>
          <w:szCs w:val="24"/>
        </w:rPr>
        <w:t xml:space="preserve"> </w:t>
      </w:r>
      <w:r w:rsidR="005C3211">
        <w:rPr>
          <w:rFonts w:eastAsia="Arial" w:cs="Arial"/>
          <w:szCs w:val="24"/>
        </w:rPr>
        <w:t>This methodology will be documented by the recalibration consultants and provided to the audit consultants</w:t>
      </w:r>
      <w:r w:rsidRPr="002C4E1E">
        <w:rPr>
          <w:rFonts w:eastAsia="Arial" w:cs="Arial"/>
          <w:szCs w:val="24"/>
        </w:rPr>
        <w:t xml:space="preserve">. </w:t>
      </w:r>
      <w:r w:rsidRPr="00DF0361">
        <w:t xml:space="preserve">The </w:t>
      </w:r>
      <w:hyperlink r:id="rId22" w:history="1">
        <w:r w:rsidRPr="00B34281">
          <w:rPr>
            <w:rStyle w:val="Hyperlink"/>
          </w:rPr>
          <w:t>methodology for the PR23 recalibration</w:t>
        </w:r>
      </w:hyperlink>
      <w:r>
        <w:t xml:space="preserve"> </w:t>
      </w:r>
      <w:r w:rsidRPr="00DF0361">
        <w:t xml:space="preserve">forms the starting point for </w:t>
      </w:r>
      <w:r>
        <w:t xml:space="preserve">the methodology for the CP7 year 3 </w:t>
      </w:r>
      <w:r w:rsidRPr="00DF0361">
        <w:t>recalibration</w:t>
      </w:r>
      <w:r>
        <w:t xml:space="preserve"> that the </w:t>
      </w:r>
      <w:r w:rsidR="00E04FD6">
        <w:t xml:space="preserve">recalibration </w:t>
      </w:r>
      <w:r>
        <w:t>consultants will develop.</w:t>
      </w:r>
    </w:p>
    <w:p w14:paraId="3B63D73D" w14:textId="6E9DB926" w:rsidR="00CF7B0E" w:rsidRPr="002C4E1E" w:rsidRDefault="00CF7B0E" w:rsidP="00CF7B0E">
      <w:pPr>
        <w:spacing w:before="240"/>
        <w:rPr>
          <w:rFonts w:eastAsia="Arial" w:cs="Arial"/>
          <w:szCs w:val="24"/>
        </w:rPr>
      </w:pPr>
      <w:r w:rsidRPr="002C4E1E">
        <w:rPr>
          <w:rFonts w:eastAsia="Arial" w:cs="Arial"/>
          <w:szCs w:val="24"/>
        </w:rPr>
        <w:t xml:space="preserve">To ensure a successful audit, the audit consultants </w:t>
      </w:r>
      <w:r w:rsidR="001D1DFC">
        <w:rPr>
          <w:rFonts w:eastAsia="Arial" w:cs="Arial"/>
          <w:szCs w:val="24"/>
        </w:rPr>
        <w:t xml:space="preserve">will need to </w:t>
      </w:r>
      <w:r w:rsidRPr="002C4E1E">
        <w:rPr>
          <w:rFonts w:eastAsia="Arial" w:cs="Arial"/>
          <w:szCs w:val="24"/>
        </w:rPr>
        <w:t>consider the following areas (</w:t>
      </w:r>
      <w:r w:rsidR="001D1DFC">
        <w:rPr>
          <w:rFonts w:eastAsia="Arial" w:cs="Arial"/>
          <w:szCs w:val="24"/>
        </w:rPr>
        <w:t xml:space="preserve">and </w:t>
      </w:r>
      <w:r w:rsidRPr="002C4E1E">
        <w:rPr>
          <w:rFonts w:eastAsia="Arial" w:cs="Arial"/>
          <w:szCs w:val="24"/>
        </w:rPr>
        <w:t>we would welcome all bidders to identify other areas of focus for the audit).</w:t>
      </w:r>
    </w:p>
    <w:p w14:paraId="00451495" w14:textId="77777777" w:rsidR="00CF7B0E" w:rsidRPr="002C4E1E" w:rsidRDefault="00CF7B0E" w:rsidP="00CF7B0E">
      <w:pPr>
        <w:spacing w:before="240"/>
        <w:jc w:val="both"/>
        <w:rPr>
          <w:rFonts w:eastAsia="Arial" w:cs="Arial"/>
          <w:szCs w:val="24"/>
        </w:rPr>
      </w:pPr>
      <w:r w:rsidRPr="002C4E1E">
        <w:rPr>
          <w:rFonts w:eastAsia="Arial" w:cs="Arial"/>
          <w:szCs w:val="24"/>
        </w:rPr>
        <w:t>With regards to the input data:</w:t>
      </w:r>
    </w:p>
    <w:p w14:paraId="75334E4D" w14:textId="77777777" w:rsidR="00CF7B0E" w:rsidRPr="00CF7B0E" w:rsidRDefault="00CF7B0E" w:rsidP="00CF7B0E">
      <w:pPr>
        <w:pStyle w:val="NormalBulletround"/>
      </w:pPr>
      <w:r w:rsidRPr="00CF7B0E">
        <w:t>Does the input data flow accurately through the model?</w:t>
      </w:r>
    </w:p>
    <w:p w14:paraId="4C4FC653" w14:textId="77777777" w:rsidR="00CF7B0E" w:rsidRPr="00CF7B0E" w:rsidRDefault="00CF7B0E" w:rsidP="00CF7B0E">
      <w:pPr>
        <w:pStyle w:val="NormalBulletround"/>
      </w:pPr>
      <w:r w:rsidRPr="00CF7B0E">
        <w:t>Have the inputs been used consistently and incorporated appropriately?</w:t>
      </w:r>
    </w:p>
    <w:p w14:paraId="2B784B06" w14:textId="75055793" w:rsidR="00CF7B0E" w:rsidRPr="00CF7B0E" w:rsidRDefault="00CF7B0E" w:rsidP="00CF7B0E">
      <w:pPr>
        <w:pStyle w:val="NormalBulletround"/>
      </w:pPr>
      <w:r w:rsidRPr="00CF7B0E">
        <w:t>Is any data manipulation used appropriate?</w:t>
      </w:r>
    </w:p>
    <w:p w14:paraId="40E2FC19" w14:textId="77777777" w:rsidR="00CF7B0E" w:rsidRPr="002C4E1E" w:rsidRDefault="00CF7B0E" w:rsidP="00CF7B0E">
      <w:pPr>
        <w:spacing w:before="240"/>
        <w:jc w:val="both"/>
        <w:rPr>
          <w:szCs w:val="24"/>
        </w:rPr>
      </w:pPr>
      <w:r w:rsidRPr="002C4E1E">
        <w:rPr>
          <w:rFonts w:eastAsia="Arial" w:cs="Arial"/>
          <w:szCs w:val="24"/>
        </w:rPr>
        <w:t>With regards to the models used in the recalibration:</w:t>
      </w:r>
    </w:p>
    <w:p w14:paraId="5EEE1988" w14:textId="77777777" w:rsidR="00CF7B0E" w:rsidRPr="00CF7B0E" w:rsidRDefault="00CF7B0E" w:rsidP="00CF7B0E">
      <w:pPr>
        <w:pStyle w:val="NormalBulletround"/>
      </w:pPr>
      <w:r w:rsidRPr="00CF7B0E">
        <w:t>Do the models used in the recalibration serve their stated purposes – are these models consistent with the indicated methodology?</w:t>
      </w:r>
    </w:p>
    <w:p w14:paraId="6F565710" w14:textId="52BE0909" w:rsidR="00CF7B0E" w:rsidRPr="00CF7B0E" w:rsidRDefault="00CF7B0E" w:rsidP="00CF7B0E">
      <w:pPr>
        <w:pStyle w:val="NormalBulletround"/>
      </w:pPr>
      <w:r w:rsidRPr="00CF7B0E">
        <w:t xml:space="preserve">Are the formulae </w:t>
      </w:r>
      <w:r w:rsidR="001D1DFC">
        <w:t xml:space="preserve">and code </w:t>
      </w:r>
      <w:r w:rsidRPr="00CF7B0E">
        <w:t>used in the models correct</w:t>
      </w:r>
      <w:r w:rsidR="001D1DFC">
        <w:t>,</w:t>
      </w:r>
      <w:r w:rsidRPr="00CF7B0E">
        <w:t xml:space="preserve"> and replicated across models accurately?</w:t>
      </w:r>
    </w:p>
    <w:p w14:paraId="5E56E6CA" w14:textId="16F7230F" w:rsidR="00CF7B0E" w:rsidRPr="00CF7B0E" w:rsidRDefault="00CF7B0E" w:rsidP="00CF7B0E">
      <w:pPr>
        <w:pStyle w:val="NormalBulletround"/>
      </w:pPr>
      <w:r w:rsidRPr="00CF7B0E">
        <w:t>Are the assumptions used within the models valid</w:t>
      </w:r>
      <w:r w:rsidR="001D1DFC">
        <w:t xml:space="preserve"> and </w:t>
      </w:r>
      <w:r w:rsidRPr="00CF7B0E">
        <w:t>appropriate?</w:t>
      </w:r>
    </w:p>
    <w:p w14:paraId="46E0B577" w14:textId="246BC2B8" w:rsidR="00CF7B0E" w:rsidRPr="002C4E1E" w:rsidRDefault="00CF7B0E" w:rsidP="00CF7B0E">
      <w:pPr>
        <w:spacing w:before="240"/>
        <w:rPr>
          <w:rFonts w:eastAsia="Arial" w:cs="Arial"/>
          <w:szCs w:val="24"/>
        </w:rPr>
      </w:pPr>
      <w:r w:rsidRPr="002C4E1E">
        <w:rPr>
          <w:rFonts w:eastAsia="Arial" w:cs="Arial"/>
          <w:szCs w:val="24"/>
        </w:rPr>
        <w:t>The audit consultants should ensure that the recalibrated parameters, listed above</w:t>
      </w:r>
      <w:r w:rsidR="00853099">
        <w:rPr>
          <w:rFonts w:eastAsia="Arial" w:cs="Arial"/>
          <w:szCs w:val="24"/>
        </w:rPr>
        <w:t xml:space="preserve"> in section 2.1</w:t>
      </w:r>
      <w:r w:rsidRPr="002C4E1E">
        <w:rPr>
          <w:rFonts w:eastAsia="Arial" w:cs="Arial"/>
          <w:szCs w:val="24"/>
        </w:rPr>
        <w:t>, are accurately recalibrated according to the stated methodology</w:t>
      </w:r>
      <w:r w:rsidR="000300DA">
        <w:rPr>
          <w:rFonts w:eastAsia="Arial" w:cs="Arial"/>
          <w:szCs w:val="24"/>
        </w:rPr>
        <w:t xml:space="preserve"> </w:t>
      </w:r>
      <w:r w:rsidR="000300DA">
        <w:rPr>
          <w:rFonts w:eastAsia="Arial" w:cs="Arial"/>
          <w:color w:val="0E101A"/>
          <w:szCs w:val="20"/>
          <w:lang w:eastAsia="en-GB"/>
        </w:rPr>
        <w:t>– this includes the draft and near-final iteration of each parameter</w:t>
      </w:r>
      <w:r w:rsidR="000300DA" w:rsidDel="00704CF0">
        <w:rPr>
          <w:rFonts w:eastAsia="Arial" w:cs="Arial"/>
          <w:color w:val="0E101A"/>
          <w:szCs w:val="20"/>
          <w:lang w:eastAsia="en-GB"/>
        </w:rPr>
        <w:t xml:space="preserve"> </w:t>
      </w:r>
      <w:r w:rsidR="000300DA">
        <w:rPr>
          <w:rFonts w:eastAsia="Arial" w:cs="Arial"/>
          <w:color w:val="0E101A"/>
          <w:szCs w:val="20"/>
          <w:lang w:eastAsia="en-GB"/>
        </w:rPr>
        <w:t>(t</w:t>
      </w:r>
      <w:r w:rsidR="000300DA" w:rsidRPr="00875393">
        <w:rPr>
          <w:rFonts w:eastAsia="Arial" w:cs="Arial"/>
          <w:color w:val="0E101A"/>
          <w:szCs w:val="20"/>
          <w:lang w:eastAsia="en-GB"/>
        </w:rPr>
        <w:t>he term ‘near-final’ is used to describe outputs that ORR would intend to implement</w:t>
      </w:r>
      <w:r w:rsidR="000300DA">
        <w:rPr>
          <w:rFonts w:eastAsia="Arial" w:cs="Arial"/>
          <w:color w:val="0E101A"/>
          <w:szCs w:val="20"/>
          <w:lang w:eastAsia="en-GB"/>
        </w:rPr>
        <w:t xml:space="preserve">, </w:t>
      </w:r>
      <w:r w:rsidR="000300DA" w:rsidRPr="00875393">
        <w:rPr>
          <w:rFonts w:eastAsia="Arial" w:cs="Arial"/>
          <w:color w:val="0E101A"/>
          <w:szCs w:val="20"/>
          <w:lang w:eastAsia="en-GB"/>
        </w:rPr>
        <w:t>subject to the correction of any errors</w:t>
      </w:r>
      <w:r w:rsidR="000300DA">
        <w:rPr>
          <w:rFonts w:eastAsia="Arial" w:cs="Arial"/>
          <w:color w:val="0E101A"/>
          <w:szCs w:val="20"/>
          <w:lang w:eastAsia="en-GB"/>
        </w:rPr>
        <w:t>)</w:t>
      </w:r>
      <w:r w:rsidRPr="002C4E1E">
        <w:rPr>
          <w:rFonts w:eastAsia="Arial" w:cs="Arial"/>
          <w:szCs w:val="24"/>
        </w:rPr>
        <w:t xml:space="preserve">. Whilst this assurance will help inform industry and ORR regarding the sign-off process for the Schedule 8 parameters, it is not the responsibility of the audit consultants </w:t>
      </w:r>
      <w:r w:rsidRPr="002C4E1E">
        <w:rPr>
          <w:rFonts w:eastAsia="Arial" w:cs="Arial"/>
          <w:szCs w:val="24"/>
        </w:rPr>
        <w:lastRenderedPageBreak/>
        <w:t>to ensure that industry and ORR sign-off happens. Ultimately, the official sign-off of these parameters is a decision for ORR.</w:t>
      </w:r>
    </w:p>
    <w:p w14:paraId="1A90CF57" w14:textId="1BE589EC" w:rsidR="00A8600D" w:rsidRPr="00A8600D" w:rsidRDefault="00A8600D" w:rsidP="00A8600D">
      <w:pPr>
        <w:spacing w:before="240"/>
        <w:rPr>
          <w:rFonts w:eastAsia="Arial" w:cs="Arial"/>
          <w:szCs w:val="24"/>
        </w:rPr>
      </w:pPr>
      <w:r w:rsidRPr="00A8600D">
        <w:rPr>
          <w:rFonts w:eastAsia="Arial" w:cs="Arial"/>
          <w:szCs w:val="24"/>
        </w:rPr>
        <w:t>O</w:t>
      </w:r>
      <w:r w:rsidR="003202A5" w:rsidRPr="00A8600D">
        <w:rPr>
          <w:rFonts w:eastAsia="Arial" w:cs="Arial"/>
          <w:szCs w:val="24"/>
        </w:rPr>
        <w:t>ur expectation is that all passenger operators will be in the scope of the national recalibration of Schedule 8 (i.e. the ORR-led recalibration for which a standard national methodology will apply).</w:t>
      </w:r>
      <w:r w:rsidRPr="00A8600D">
        <w:rPr>
          <w:rFonts w:eastAsia="Arial" w:cs="Arial"/>
          <w:szCs w:val="24"/>
        </w:rPr>
        <w:t xml:space="preserve"> However,</w:t>
      </w:r>
      <w:r w:rsidR="003B2506">
        <w:rPr>
          <w:rFonts w:eastAsia="Arial" w:cs="Arial"/>
          <w:szCs w:val="24"/>
        </w:rPr>
        <w:t xml:space="preserve"> we</w:t>
      </w:r>
      <w:r w:rsidRPr="00A8600D">
        <w:rPr>
          <w:rFonts w:eastAsia="Arial" w:cs="Arial"/>
          <w:szCs w:val="24"/>
        </w:rPr>
        <w:t xml:space="preserve"> expect there to be a bespoke recalibration required for a new Chiltern service group containing East West Rail services (timings and arrangements are to be confirmed).</w:t>
      </w:r>
    </w:p>
    <w:p w14:paraId="18E8239A" w14:textId="4EB9B52A" w:rsidR="00CF7B0E" w:rsidRPr="007C2FB0" w:rsidRDefault="003B2506" w:rsidP="009D65B5">
      <w:pPr>
        <w:spacing w:before="240"/>
        <w:rPr>
          <w:rFonts w:eastAsia="Arial" w:cs="Arial"/>
          <w:szCs w:val="24"/>
        </w:rPr>
      </w:pPr>
      <w:r>
        <w:rPr>
          <w:rFonts w:eastAsia="Arial" w:cs="Arial"/>
          <w:szCs w:val="24"/>
        </w:rPr>
        <w:t>Any</w:t>
      </w:r>
      <w:r w:rsidR="00CF7B0E" w:rsidRPr="007C2FB0">
        <w:rPr>
          <w:rFonts w:eastAsia="Arial" w:cs="Arial"/>
          <w:szCs w:val="24"/>
        </w:rPr>
        <w:t xml:space="preserve"> bespoke </w:t>
      </w:r>
      <w:r w:rsidR="00CF7B0E" w:rsidRPr="00CD3A99">
        <w:rPr>
          <w:rFonts w:eastAsia="Arial" w:cs="Arial"/>
          <w:szCs w:val="24"/>
        </w:rPr>
        <w:t>recalibration</w:t>
      </w:r>
      <w:r w:rsidR="009D65B5">
        <w:rPr>
          <w:rFonts w:eastAsia="Arial" w:cs="Arial"/>
          <w:szCs w:val="24"/>
        </w:rPr>
        <w:t>s</w:t>
      </w:r>
      <w:r w:rsidR="00CF7B0E" w:rsidRPr="00CD3A99">
        <w:rPr>
          <w:rFonts w:eastAsia="Arial" w:cs="Arial"/>
          <w:szCs w:val="24"/>
        </w:rPr>
        <w:t xml:space="preserve"> </w:t>
      </w:r>
      <w:r w:rsidR="009D65B5">
        <w:rPr>
          <w:rFonts w:eastAsia="Arial" w:cs="Arial"/>
          <w:szCs w:val="24"/>
        </w:rPr>
        <w:t>are</w:t>
      </w:r>
      <w:r w:rsidR="00CF7B0E" w:rsidRPr="007C2FB0">
        <w:rPr>
          <w:rFonts w:eastAsia="Arial" w:cs="Arial"/>
          <w:szCs w:val="24"/>
        </w:rPr>
        <w:t xml:space="preserve"> outside the scope of the national recalibration. The </w:t>
      </w:r>
      <w:r>
        <w:rPr>
          <w:rFonts w:eastAsia="Arial" w:cs="Arial"/>
          <w:szCs w:val="24"/>
        </w:rPr>
        <w:t>audit consultants</w:t>
      </w:r>
      <w:r w:rsidR="00CF7B0E" w:rsidRPr="007C2FB0">
        <w:rPr>
          <w:rFonts w:eastAsia="Arial" w:cs="Arial"/>
          <w:szCs w:val="24"/>
        </w:rPr>
        <w:t xml:space="preserve"> will not be expected to audit the bespoke consultants’ calculations but will be required to check successful integration</w:t>
      </w:r>
      <w:r w:rsidR="00283FCD">
        <w:rPr>
          <w:rFonts w:eastAsia="Arial" w:cs="Arial"/>
          <w:szCs w:val="24"/>
        </w:rPr>
        <w:t xml:space="preserve"> of the bespoke recalibration into the national recalibration, and that correct outputs have been supplied from the national recalibration for the bespoke recalibration</w:t>
      </w:r>
      <w:r w:rsidR="00CF7B0E" w:rsidRPr="007C2FB0">
        <w:rPr>
          <w:rFonts w:eastAsia="Arial" w:cs="Arial"/>
          <w:szCs w:val="24"/>
        </w:rPr>
        <w:t>.</w:t>
      </w:r>
    </w:p>
    <w:p w14:paraId="1CAA9C05" w14:textId="32D0665D" w:rsidR="00CF7B0E" w:rsidRPr="002C4E1E" w:rsidRDefault="00CF7B0E" w:rsidP="00CF7B0E">
      <w:pPr>
        <w:spacing w:before="240"/>
        <w:rPr>
          <w:rFonts w:eastAsia="Arial" w:cs="Arial"/>
          <w:szCs w:val="24"/>
        </w:rPr>
      </w:pPr>
      <w:r w:rsidRPr="002C4E1E">
        <w:rPr>
          <w:rFonts w:eastAsia="Arial" w:cs="Arial"/>
          <w:szCs w:val="24"/>
        </w:rPr>
        <w:t>In undertaking the independent audit, the audit consultants will be provided with all models, methodology notes and final reports, as relevant, from the recalibration consultants.</w:t>
      </w:r>
    </w:p>
    <w:p w14:paraId="43B8FC23" w14:textId="70E24FCB" w:rsidR="00AE1BF5" w:rsidRDefault="00AE1BF5" w:rsidP="00AE1BF5">
      <w:pPr>
        <w:spacing w:before="240"/>
        <w:rPr>
          <w:rFonts w:eastAsia="Arial" w:cs="Arial"/>
          <w:color w:val="0E101A"/>
          <w:szCs w:val="20"/>
          <w:lang w:eastAsia="en-GB"/>
        </w:rPr>
      </w:pPr>
      <w:r>
        <w:rPr>
          <w:rFonts w:eastAsia="Arial" w:cs="Arial"/>
          <w:color w:val="0E101A"/>
          <w:szCs w:val="20"/>
          <w:lang w:eastAsia="en-GB"/>
        </w:rPr>
        <w:t>In addition to the code and models for the recalibrated parameters, the audit consultants will also be required to audit the following supplementary outputs and deliverables that are delivered by the recalibration consultants:</w:t>
      </w:r>
    </w:p>
    <w:p w14:paraId="2AAD9785" w14:textId="77777777" w:rsidR="00AE1BF5" w:rsidRDefault="00AE1BF5" w:rsidP="00AE1BF5">
      <w:pPr>
        <w:pStyle w:val="Bulletround"/>
        <w:tabs>
          <w:tab w:val="clear" w:pos="1418"/>
          <w:tab w:val="num" w:pos="1134"/>
        </w:tabs>
        <w:ind w:left="1134"/>
        <w:rPr>
          <w:lang w:eastAsia="en-GB"/>
        </w:rPr>
      </w:pPr>
      <w:r w:rsidRPr="00642D2F">
        <w:rPr>
          <w:lang w:eastAsia="en-GB"/>
        </w:rPr>
        <w:t>Models for in-</w:t>
      </w:r>
      <w:r>
        <w:rPr>
          <w:lang w:eastAsia="en-GB"/>
        </w:rPr>
        <w:t>period</w:t>
      </w:r>
      <w:r w:rsidRPr="00642D2F">
        <w:rPr>
          <w:lang w:eastAsia="en-GB"/>
        </w:rPr>
        <w:t xml:space="preserve"> recalibrations. The recalibration consultants will be required to provide additional models to enable Network Rail (or another party) to carry out minor in-period recalibrations during the remainder of the control period.</w:t>
      </w:r>
      <w:r>
        <w:rPr>
          <w:lang w:eastAsia="en-GB"/>
        </w:rPr>
        <w:t xml:space="preserve"> </w:t>
      </w:r>
      <w:r w:rsidRPr="00680F10">
        <w:rPr>
          <w:lang w:eastAsia="en-GB"/>
        </w:rPr>
        <w:t>These models would be used where there are changes, additions or removals of Monitoring Points, or changes to Monitoring Point Weightings or Cancellation Minutes.</w:t>
      </w:r>
      <w:r>
        <w:rPr>
          <w:lang w:eastAsia="en-GB"/>
        </w:rPr>
        <w:t xml:space="preserve"> A model will be created for each operator in the recalibration.</w:t>
      </w:r>
    </w:p>
    <w:p w14:paraId="609A83C2" w14:textId="77777777" w:rsidR="00AE1BF5" w:rsidRPr="00AB3393" w:rsidRDefault="00AE1BF5" w:rsidP="00AE1BF5">
      <w:pPr>
        <w:pStyle w:val="Bulletround"/>
        <w:tabs>
          <w:tab w:val="clear" w:pos="1418"/>
          <w:tab w:val="num" w:pos="1134"/>
        </w:tabs>
        <w:ind w:left="1134"/>
        <w:rPr>
          <w:lang w:eastAsia="en-GB"/>
        </w:rPr>
      </w:pPr>
      <w:r>
        <w:rPr>
          <w:lang w:eastAsia="en-GB"/>
        </w:rPr>
        <w:t>Summary o</w:t>
      </w:r>
      <w:r w:rsidRPr="00217DCD">
        <w:rPr>
          <w:lang w:eastAsia="en-GB"/>
        </w:rPr>
        <w:t>utputs for each operator, comprising parameters for each operator’s service groups.</w:t>
      </w:r>
      <w:r>
        <w:rPr>
          <w:lang w:eastAsia="en-GB"/>
        </w:rPr>
        <w:t xml:space="preserve"> These will include results in the </w:t>
      </w:r>
      <w:r w:rsidRPr="00217DCD">
        <w:rPr>
          <w:lang w:eastAsia="en-GB"/>
        </w:rPr>
        <w:t>format of contractual appendices as they appear in Schedule 8</w:t>
      </w:r>
      <w:r>
        <w:rPr>
          <w:lang w:eastAsia="en-GB"/>
        </w:rPr>
        <w:t xml:space="preserve"> (Appendices 1 and 3). We expect the recalibration consultants to use a macro to create these formatted results</w:t>
      </w:r>
      <w:r w:rsidDel="00FA17E9">
        <w:rPr>
          <w:lang w:eastAsia="en-GB"/>
        </w:rPr>
        <w:t xml:space="preserve"> </w:t>
      </w:r>
      <w:r>
        <w:rPr>
          <w:lang w:eastAsia="en-GB"/>
        </w:rPr>
        <w:t xml:space="preserve">– this will need to be audited. </w:t>
      </w:r>
    </w:p>
    <w:p w14:paraId="22BD9D65" w14:textId="77777777" w:rsidR="00AE1BF5" w:rsidRDefault="00AE1BF5" w:rsidP="00AE1BF5">
      <w:pPr>
        <w:pStyle w:val="Bulletround"/>
        <w:tabs>
          <w:tab w:val="clear" w:pos="1418"/>
          <w:tab w:val="num" w:pos="1134"/>
        </w:tabs>
        <w:ind w:left="1134"/>
        <w:rPr>
          <w:lang w:eastAsia="en-GB"/>
        </w:rPr>
      </w:pPr>
      <w:r>
        <w:rPr>
          <w:lang w:eastAsia="en-GB"/>
        </w:rPr>
        <w:t>S</w:t>
      </w:r>
      <w:r w:rsidRPr="006C27AD">
        <w:rPr>
          <w:lang w:eastAsia="en-GB"/>
        </w:rPr>
        <w:t xml:space="preserve">upporting information released to </w:t>
      </w:r>
      <w:r>
        <w:rPr>
          <w:lang w:eastAsia="en-GB"/>
        </w:rPr>
        <w:t xml:space="preserve">the </w:t>
      </w:r>
      <w:r w:rsidRPr="006C27AD">
        <w:rPr>
          <w:lang w:eastAsia="en-GB"/>
        </w:rPr>
        <w:t xml:space="preserve">parties </w:t>
      </w:r>
      <w:r>
        <w:rPr>
          <w:lang w:eastAsia="en-GB"/>
        </w:rPr>
        <w:t xml:space="preserve">for </w:t>
      </w:r>
      <w:r w:rsidRPr="006C27AD">
        <w:rPr>
          <w:lang w:eastAsia="en-GB"/>
        </w:rPr>
        <w:t xml:space="preserve">draft and near-final results. </w:t>
      </w:r>
      <w:r>
        <w:rPr>
          <w:lang w:eastAsia="en-GB"/>
        </w:rPr>
        <w:t>This information will help parties to understand e.g. the impact of individual drivers of change for each variable.</w:t>
      </w:r>
    </w:p>
    <w:p w14:paraId="65D30200" w14:textId="53A1D40B" w:rsidR="00AE1BF5" w:rsidRPr="00777033" w:rsidRDefault="00AE1BF5" w:rsidP="00777033">
      <w:pPr>
        <w:pStyle w:val="Bulletround"/>
        <w:tabs>
          <w:tab w:val="clear" w:pos="1418"/>
          <w:tab w:val="num" w:pos="1134"/>
        </w:tabs>
        <w:ind w:left="1134"/>
        <w:rPr>
          <w:lang w:eastAsia="en-GB"/>
        </w:rPr>
      </w:pPr>
      <w:r>
        <w:rPr>
          <w:lang w:eastAsia="en-GB"/>
        </w:rPr>
        <w:lastRenderedPageBreak/>
        <w:t xml:space="preserve">At each draft and near-final release, a summary spreadsheet showing the current and proposed parameters for </w:t>
      </w:r>
      <w:r w:rsidRPr="00231A03">
        <w:rPr>
          <w:u w:val="single"/>
          <w:lang w:eastAsia="en-GB"/>
        </w:rPr>
        <w:t>all</w:t>
      </w:r>
      <w:r>
        <w:rPr>
          <w:lang w:eastAsia="en-GB"/>
        </w:rPr>
        <w:t xml:space="preserve"> service groups, to enable review and comparison by Network Rail and ORR.</w:t>
      </w:r>
    </w:p>
    <w:p w14:paraId="69A75C90" w14:textId="4E7D31A8" w:rsidR="003F3CB0" w:rsidRDefault="003F3CB0" w:rsidP="003F3CB0">
      <w:pPr>
        <w:pStyle w:val="Heading3"/>
      </w:pPr>
      <w:bookmarkStart w:id="12" w:name="_Toc183612416"/>
      <w:r w:rsidRPr="003F3CB0">
        <w:t>2.3 Project Outputs, Deliverables and Contract Management</w:t>
      </w:r>
      <w:bookmarkEnd w:id="12"/>
    </w:p>
    <w:p w14:paraId="480D8983" w14:textId="77777777" w:rsidR="00DB02EF" w:rsidRDefault="00DB02EF" w:rsidP="00DB02EF">
      <w:pPr>
        <w:pStyle w:val="Heading4"/>
      </w:pPr>
      <w:r>
        <w:t>Outputs and Deliverables</w:t>
      </w:r>
    </w:p>
    <w:p w14:paraId="57B3D26E" w14:textId="431100B6" w:rsidR="004A0C1A" w:rsidRDefault="004A0C1A" w:rsidP="004A0C1A">
      <w:pPr>
        <w:spacing w:before="240"/>
        <w:rPr>
          <w:rFonts w:eastAsia="Arial" w:cs="Arial"/>
          <w:color w:val="0E101A"/>
          <w:szCs w:val="20"/>
          <w:lang w:eastAsia="en-GB"/>
        </w:rPr>
      </w:pPr>
      <w:r w:rsidRPr="00910EF1">
        <w:rPr>
          <w:rFonts w:eastAsia="Arial" w:cs="Arial"/>
          <w:color w:val="0E101A"/>
          <w:szCs w:val="20"/>
          <w:lang w:eastAsia="en-GB"/>
        </w:rPr>
        <w:t xml:space="preserve">The </w:t>
      </w:r>
      <w:r w:rsidR="008D37E8">
        <w:rPr>
          <w:rFonts w:eastAsia="Arial" w:cs="Arial"/>
          <w:color w:val="0E101A"/>
          <w:szCs w:val="20"/>
          <w:lang w:eastAsia="en-GB"/>
        </w:rPr>
        <w:t>audit consultants</w:t>
      </w:r>
      <w:r w:rsidRPr="00910EF1">
        <w:rPr>
          <w:rFonts w:eastAsia="Arial" w:cs="Arial"/>
          <w:color w:val="0E101A"/>
          <w:szCs w:val="20"/>
          <w:lang w:eastAsia="en-GB"/>
        </w:rPr>
        <w:t xml:space="preserve"> will be required to produce an independent audit report </w:t>
      </w:r>
      <w:r w:rsidR="00283FCD">
        <w:rPr>
          <w:rFonts w:eastAsia="Arial" w:cs="Arial"/>
          <w:color w:val="0E101A"/>
          <w:szCs w:val="20"/>
          <w:lang w:eastAsia="en-GB"/>
        </w:rPr>
        <w:t xml:space="preserve">covering </w:t>
      </w:r>
      <w:r w:rsidRPr="00910EF1">
        <w:rPr>
          <w:rFonts w:eastAsia="Arial" w:cs="Arial"/>
          <w:color w:val="0E101A"/>
          <w:szCs w:val="20"/>
          <w:lang w:eastAsia="en-GB"/>
        </w:rPr>
        <w:t>each Schedule 8 parameter calculated by the recalibration consultants</w:t>
      </w:r>
      <w:r w:rsidR="00FA17E9">
        <w:rPr>
          <w:rFonts w:eastAsia="Arial" w:cs="Arial"/>
          <w:color w:val="0E101A"/>
          <w:szCs w:val="20"/>
          <w:lang w:eastAsia="en-GB"/>
        </w:rPr>
        <w:t>, as documented above</w:t>
      </w:r>
      <w:r w:rsidRPr="00910EF1">
        <w:rPr>
          <w:rFonts w:eastAsia="Arial" w:cs="Arial"/>
          <w:color w:val="0E101A"/>
          <w:szCs w:val="20"/>
          <w:lang w:eastAsia="en-GB"/>
        </w:rPr>
        <w:t xml:space="preserve">. </w:t>
      </w:r>
    </w:p>
    <w:p w14:paraId="2C8DC3FC" w14:textId="0D379028" w:rsidR="004A0C1A" w:rsidRDefault="004A0C1A" w:rsidP="004A0C1A">
      <w:pPr>
        <w:spacing w:before="240"/>
        <w:rPr>
          <w:rFonts w:eastAsia="Arial" w:cs="Arial"/>
          <w:color w:val="0E101A"/>
          <w:szCs w:val="20"/>
          <w:lang w:eastAsia="en-GB"/>
        </w:rPr>
      </w:pPr>
      <w:r w:rsidRPr="00910EF1">
        <w:rPr>
          <w:rFonts w:eastAsia="Arial" w:cs="Arial"/>
          <w:color w:val="0E101A"/>
          <w:szCs w:val="20"/>
          <w:lang w:eastAsia="en-GB"/>
        </w:rPr>
        <w:t xml:space="preserve">An interim report should be provided at each </w:t>
      </w:r>
      <w:r w:rsidR="00283FCD">
        <w:rPr>
          <w:rFonts w:eastAsia="Arial" w:cs="Arial"/>
          <w:color w:val="0E101A"/>
          <w:szCs w:val="20"/>
          <w:lang w:eastAsia="en-GB"/>
        </w:rPr>
        <w:t xml:space="preserve">key </w:t>
      </w:r>
      <w:r w:rsidRPr="00910EF1">
        <w:rPr>
          <w:rFonts w:eastAsia="Arial" w:cs="Arial"/>
          <w:color w:val="0E101A"/>
          <w:szCs w:val="20"/>
          <w:lang w:eastAsia="en-GB"/>
        </w:rPr>
        <w:t xml:space="preserve">stage </w:t>
      </w:r>
      <w:r w:rsidR="00875393">
        <w:rPr>
          <w:rFonts w:eastAsia="Arial" w:cs="Arial"/>
          <w:color w:val="0E101A"/>
          <w:szCs w:val="20"/>
          <w:lang w:eastAsia="en-GB"/>
        </w:rPr>
        <w:t xml:space="preserve">– </w:t>
      </w:r>
      <w:r w:rsidR="00704CF0">
        <w:rPr>
          <w:rFonts w:eastAsia="Arial" w:cs="Arial"/>
          <w:color w:val="0E101A"/>
          <w:szCs w:val="20"/>
          <w:lang w:eastAsia="en-GB"/>
        </w:rPr>
        <w:t>this includes</w:t>
      </w:r>
      <w:r w:rsidR="00875393">
        <w:rPr>
          <w:rFonts w:eastAsia="Arial" w:cs="Arial"/>
          <w:color w:val="0E101A"/>
          <w:szCs w:val="20"/>
          <w:lang w:eastAsia="en-GB"/>
        </w:rPr>
        <w:t xml:space="preserve"> the draft and near-final</w:t>
      </w:r>
      <w:r w:rsidR="00704CF0">
        <w:rPr>
          <w:rFonts w:eastAsia="Arial" w:cs="Arial"/>
          <w:color w:val="0E101A"/>
          <w:szCs w:val="20"/>
          <w:lang w:eastAsia="en-GB"/>
        </w:rPr>
        <w:t xml:space="preserve"> iteration of each parameter</w:t>
      </w:r>
      <w:r w:rsidR="00875393">
        <w:rPr>
          <w:rFonts w:eastAsia="Arial" w:cs="Arial"/>
          <w:color w:val="0E101A"/>
          <w:szCs w:val="20"/>
          <w:lang w:eastAsia="en-GB"/>
        </w:rPr>
        <w:t>.</w:t>
      </w:r>
      <w:r w:rsidR="00283FCD">
        <w:rPr>
          <w:rFonts w:eastAsia="Arial" w:cs="Arial"/>
          <w:color w:val="0E101A"/>
          <w:szCs w:val="20"/>
          <w:lang w:eastAsia="en-GB"/>
        </w:rPr>
        <w:t xml:space="preserve"> A final report should be provided at the conclusion of the project once all matters are resolved. </w:t>
      </w:r>
    </w:p>
    <w:p w14:paraId="18471D30" w14:textId="031FAA93" w:rsidR="00A06133" w:rsidRDefault="00A06133" w:rsidP="004A0C1A">
      <w:pPr>
        <w:spacing w:before="240"/>
        <w:rPr>
          <w:rFonts w:eastAsia="Arial" w:cs="Arial"/>
          <w:color w:val="0E101A"/>
          <w:szCs w:val="20"/>
          <w:lang w:eastAsia="en-GB"/>
        </w:rPr>
      </w:pPr>
      <w:r>
        <w:rPr>
          <w:rFonts w:eastAsia="Arial" w:cs="Arial"/>
          <w:color w:val="0E101A"/>
          <w:szCs w:val="20"/>
          <w:lang w:eastAsia="en-GB"/>
        </w:rPr>
        <w:t>T</w:t>
      </w:r>
      <w:r w:rsidRPr="00A06133">
        <w:rPr>
          <w:rFonts w:eastAsia="Arial" w:cs="Arial"/>
          <w:color w:val="0E101A"/>
          <w:szCs w:val="20"/>
          <w:lang w:eastAsia="en-GB"/>
        </w:rPr>
        <w:t xml:space="preserve">he audit consultants will be expected to present to </w:t>
      </w:r>
      <w:r w:rsidR="000C6BCE">
        <w:rPr>
          <w:rFonts w:eastAsia="Arial" w:cs="Arial"/>
          <w:color w:val="0E101A"/>
          <w:szCs w:val="20"/>
          <w:lang w:eastAsia="en-GB"/>
        </w:rPr>
        <w:t xml:space="preserve">ORR’s recalibration </w:t>
      </w:r>
      <w:r>
        <w:rPr>
          <w:rFonts w:eastAsia="Arial" w:cs="Arial"/>
          <w:color w:val="0E101A"/>
          <w:szCs w:val="20"/>
          <w:lang w:eastAsia="en-GB"/>
        </w:rPr>
        <w:t>working group</w:t>
      </w:r>
      <w:r w:rsidRPr="00A06133">
        <w:rPr>
          <w:rFonts w:eastAsia="Arial" w:cs="Arial"/>
          <w:color w:val="0E101A"/>
          <w:szCs w:val="20"/>
          <w:lang w:eastAsia="en-GB"/>
        </w:rPr>
        <w:t xml:space="preserve"> </w:t>
      </w:r>
      <w:r w:rsidR="000C6BCE">
        <w:rPr>
          <w:rFonts w:eastAsia="Arial" w:cs="Arial"/>
          <w:color w:val="0E101A"/>
          <w:szCs w:val="20"/>
          <w:lang w:eastAsia="en-GB"/>
        </w:rPr>
        <w:t xml:space="preserve">(of Network Rail and TOC representatives) </w:t>
      </w:r>
      <w:r w:rsidRPr="00A06133">
        <w:rPr>
          <w:rFonts w:eastAsia="Arial" w:cs="Arial"/>
          <w:color w:val="0E101A"/>
          <w:szCs w:val="20"/>
          <w:lang w:eastAsia="en-GB"/>
        </w:rPr>
        <w:t>at the point of key releases to describe their work</w:t>
      </w:r>
      <w:r w:rsidR="00230670">
        <w:rPr>
          <w:rFonts w:eastAsia="Arial" w:cs="Arial"/>
          <w:color w:val="0E101A"/>
          <w:szCs w:val="20"/>
          <w:lang w:eastAsia="en-GB"/>
        </w:rPr>
        <w:t>, and to answer any queries raised by parties in response</w:t>
      </w:r>
      <w:r w:rsidRPr="00A06133">
        <w:rPr>
          <w:rFonts w:eastAsia="Arial" w:cs="Arial"/>
          <w:color w:val="0E101A"/>
          <w:szCs w:val="20"/>
          <w:lang w:eastAsia="en-GB"/>
        </w:rPr>
        <w:t xml:space="preserve">. </w:t>
      </w:r>
    </w:p>
    <w:p w14:paraId="383D085A" w14:textId="7FD67D75" w:rsidR="004A0C1A" w:rsidRPr="0034743B" w:rsidRDefault="00283FCD" w:rsidP="0034743B">
      <w:pPr>
        <w:spacing w:before="240"/>
        <w:rPr>
          <w:rFonts w:eastAsia="Arial" w:cs="Arial"/>
          <w:color w:val="0E101A"/>
          <w:szCs w:val="20"/>
          <w:lang w:eastAsia="en-GB"/>
        </w:rPr>
      </w:pPr>
      <w:r w:rsidRPr="0034743B">
        <w:rPr>
          <w:rFonts w:eastAsia="Arial" w:cs="Arial"/>
          <w:color w:val="0E101A"/>
          <w:szCs w:val="20"/>
          <w:lang w:eastAsia="en-GB"/>
        </w:rPr>
        <w:t>B</w:t>
      </w:r>
      <w:r w:rsidR="004A0C1A" w:rsidRPr="0034743B">
        <w:rPr>
          <w:rFonts w:eastAsia="Arial" w:cs="Arial"/>
          <w:color w:val="0E101A"/>
          <w:szCs w:val="20"/>
          <w:lang w:eastAsia="en-GB"/>
        </w:rPr>
        <w:t xml:space="preserve">idders </w:t>
      </w:r>
      <w:r w:rsidRPr="0034743B">
        <w:rPr>
          <w:rFonts w:eastAsia="Arial" w:cs="Arial"/>
          <w:color w:val="0E101A"/>
          <w:szCs w:val="20"/>
          <w:lang w:eastAsia="en-GB"/>
        </w:rPr>
        <w:t>should</w:t>
      </w:r>
      <w:r w:rsidR="004A0C1A" w:rsidRPr="0034743B">
        <w:rPr>
          <w:rFonts w:eastAsia="Arial" w:cs="Arial"/>
          <w:color w:val="0E101A"/>
          <w:szCs w:val="20"/>
          <w:lang w:eastAsia="en-GB"/>
        </w:rPr>
        <w:t xml:space="preserve"> set out their proposed approach to this audit of the Schedule 8 recalibration. Important things to note in considering the approach are that:</w:t>
      </w:r>
    </w:p>
    <w:p w14:paraId="69662C5A" w14:textId="77777777" w:rsidR="008A4547" w:rsidRDefault="004A0C1A" w:rsidP="008A4547">
      <w:pPr>
        <w:pStyle w:val="NormalBulletround"/>
      </w:pPr>
      <w:r w:rsidRPr="002858CD">
        <w:t xml:space="preserve">The audit will take place </w:t>
      </w:r>
      <w:r w:rsidRPr="008A4547">
        <w:t>alongside the main recalibration work. This should allow for a collaborative audit, with any issues quickly rectified by the recalibration consultants</w:t>
      </w:r>
      <w:r w:rsidR="002858CD" w:rsidRPr="008A4547">
        <w:t>.</w:t>
      </w:r>
    </w:p>
    <w:p w14:paraId="56237481" w14:textId="6355DF38" w:rsidR="009A34CB" w:rsidRDefault="004A0C1A" w:rsidP="00624D46">
      <w:pPr>
        <w:pStyle w:val="NormalBulletround"/>
      </w:pPr>
      <w:r w:rsidRPr="002858CD">
        <w:t xml:space="preserve">ORR </w:t>
      </w:r>
      <w:r w:rsidR="00283FCD">
        <w:t>review</w:t>
      </w:r>
      <w:r w:rsidRPr="002858CD">
        <w:t xml:space="preserve"> must happen within tightly specified timescales since some Schedule 8 parameters will be required as inputs to other Schedule 8 parameters. For example, the Network Rail Payment Rates are a vital input into the Train Operator Payment Rates.</w:t>
      </w:r>
    </w:p>
    <w:p w14:paraId="30DFB785" w14:textId="439A37DA" w:rsidR="00DB02EF" w:rsidRDefault="00DB02EF" w:rsidP="00DB02EF">
      <w:pPr>
        <w:pStyle w:val="Heading4"/>
      </w:pPr>
      <w:r>
        <w:t>Contract Management Requirements</w:t>
      </w:r>
    </w:p>
    <w:p w14:paraId="2A835C8C" w14:textId="7CD1892C" w:rsidR="00B654DA" w:rsidRPr="009B5A7A" w:rsidRDefault="00B654DA" w:rsidP="009B5A7A">
      <w:pPr>
        <w:spacing w:before="240"/>
        <w:rPr>
          <w:rFonts w:eastAsia="Arial" w:cs="Arial"/>
          <w:color w:val="0E101A"/>
          <w:szCs w:val="20"/>
          <w:lang w:eastAsia="en-GB"/>
        </w:rPr>
      </w:pPr>
      <w:r w:rsidRPr="009B5A7A">
        <w:rPr>
          <w:rFonts w:eastAsia="Arial" w:cs="Arial"/>
          <w:color w:val="0E101A"/>
          <w:szCs w:val="20"/>
          <w:lang w:eastAsia="en-GB"/>
        </w:rPr>
        <w:t xml:space="preserve">The </w:t>
      </w:r>
      <w:r w:rsidR="0081518F" w:rsidRPr="009B5A7A">
        <w:rPr>
          <w:rFonts w:eastAsia="Arial" w:cs="Arial"/>
          <w:color w:val="0E101A"/>
          <w:szCs w:val="20"/>
          <w:lang w:eastAsia="en-GB"/>
        </w:rPr>
        <w:t>audit</w:t>
      </w:r>
      <w:r w:rsidRPr="009B5A7A">
        <w:rPr>
          <w:rFonts w:eastAsia="Arial" w:cs="Arial"/>
          <w:color w:val="0E101A"/>
          <w:szCs w:val="20"/>
          <w:lang w:eastAsia="en-GB"/>
        </w:rPr>
        <w:t xml:space="preserve"> consultants’ </w:t>
      </w:r>
      <w:r w:rsidR="009B5A7A">
        <w:rPr>
          <w:rFonts w:eastAsia="Arial" w:cs="Arial"/>
          <w:color w:val="0E101A"/>
          <w:szCs w:val="20"/>
          <w:lang w:eastAsia="en-GB"/>
        </w:rPr>
        <w:t>key</w:t>
      </w:r>
      <w:r w:rsidRPr="009B5A7A">
        <w:rPr>
          <w:rFonts w:eastAsia="Arial" w:cs="Arial"/>
          <w:color w:val="0E101A"/>
          <w:szCs w:val="20"/>
          <w:lang w:eastAsia="en-GB"/>
        </w:rPr>
        <w:t xml:space="preserve"> point of contact will be the assigned ORR project manager.</w:t>
      </w:r>
    </w:p>
    <w:p w14:paraId="0C8221E8" w14:textId="72E17BE6" w:rsidR="00B654DA" w:rsidRPr="009B5A7A" w:rsidRDefault="009B5A7A" w:rsidP="009B5A7A">
      <w:pPr>
        <w:spacing w:before="240"/>
        <w:rPr>
          <w:rFonts w:eastAsia="Arial" w:cs="Arial"/>
          <w:color w:val="0E101A"/>
          <w:szCs w:val="20"/>
          <w:lang w:eastAsia="en-GB"/>
        </w:rPr>
      </w:pPr>
      <w:r>
        <w:rPr>
          <w:rFonts w:eastAsia="Arial" w:cs="Arial"/>
          <w:color w:val="0E101A"/>
          <w:szCs w:val="20"/>
          <w:lang w:eastAsia="en-GB"/>
        </w:rPr>
        <w:t>The</w:t>
      </w:r>
      <w:r w:rsidR="00B654DA" w:rsidRPr="009B5A7A">
        <w:rPr>
          <w:rFonts w:eastAsia="Arial" w:cs="Arial"/>
          <w:color w:val="0E101A"/>
          <w:szCs w:val="20"/>
          <w:lang w:eastAsia="en-GB"/>
        </w:rPr>
        <w:t xml:space="preserve"> </w:t>
      </w:r>
      <w:r w:rsidR="0081518F" w:rsidRPr="009B5A7A">
        <w:rPr>
          <w:rFonts w:eastAsia="Arial" w:cs="Arial"/>
          <w:color w:val="0E101A"/>
          <w:szCs w:val="20"/>
          <w:lang w:eastAsia="en-GB"/>
        </w:rPr>
        <w:t>audit</w:t>
      </w:r>
      <w:r w:rsidR="00B654DA" w:rsidRPr="009B5A7A">
        <w:rPr>
          <w:rFonts w:eastAsia="Arial" w:cs="Arial"/>
          <w:color w:val="0E101A"/>
          <w:szCs w:val="20"/>
          <w:lang w:eastAsia="en-GB"/>
        </w:rPr>
        <w:t xml:space="preserve"> consultants </w:t>
      </w:r>
      <w:r>
        <w:rPr>
          <w:rFonts w:eastAsia="Arial" w:cs="Arial"/>
          <w:color w:val="0E101A"/>
          <w:szCs w:val="20"/>
          <w:lang w:eastAsia="en-GB"/>
        </w:rPr>
        <w:t xml:space="preserve">must provide </w:t>
      </w:r>
      <w:r w:rsidR="00B654DA" w:rsidRPr="009B5A7A">
        <w:rPr>
          <w:rFonts w:eastAsia="Arial" w:cs="Arial"/>
          <w:color w:val="0E101A"/>
          <w:szCs w:val="20"/>
          <w:lang w:eastAsia="en-GB"/>
        </w:rPr>
        <w:t>weekly report emails</w:t>
      </w:r>
      <w:r w:rsidR="00283FCD" w:rsidRPr="009B5A7A">
        <w:rPr>
          <w:rFonts w:eastAsia="Arial" w:cs="Arial"/>
          <w:color w:val="0E101A"/>
          <w:szCs w:val="20"/>
          <w:lang w:eastAsia="en-GB"/>
        </w:rPr>
        <w:t>,</w:t>
      </w:r>
      <w:r w:rsidR="00B654DA" w:rsidRPr="009B5A7A">
        <w:rPr>
          <w:rFonts w:eastAsia="Arial" w:cs="Arial"/>
          <w:color w:val="0E101A"/>
          <w:szCs w:val="20"/>
          <w:lang w:eastAsia="en-GB"/>
        </w:rPr>
        <w:t xml:space="preserve"> and hold fortnightly update meetings with </w:t>
      </w:r>
      <w:r>
        <w:rPr>
          <w:rFonts w:eastAsia="Arial" w:cs="Arial"/>
          <w:color w:val="0E101A"/>
          <w:szCs w:val="20"/>
          <w:lang w:eastAsia="en-GB"/>
        </w:rPr>
        <w:t>ORR (or more frequently as required) including members of the core project team, followed up with action points</w:t>
      </w:r>
      <w:r w:rsidR="00B654DA" w:rsidRPr="009B5A7A">
        <w:rPr>
          <w:rFonts w:eastAsia="Arial" w:cs="Arial"/>
          <w:color w:val="0E101A"/>
          <w:szCs w:val="20"/>
          <w:lang w:eastAsia="en-GB"/>
        </w:rPr>
        <w:t xml:space="preserve">. These updates and meetings should </w:t>
      </w:r>
      <w:r>
        <w:rPr>
          <w:rFonts w:eastAsia="Arial" w:cs="Arial"/>
          <w:color w:val="0E101A"/>
          <w:szCs w:val="20"/>
          <w:lang w:eastAsia="en-GB"/>
        </w:rPr>
        <w:t>set out</w:t>
      </w:r>
      <w:r w:rsidR="00B654DA" w:rsidRPr="009B5A7A">
        <w:rPr>
          <w:rFonts w:eastAsia="Arial" w:cs="Arial"/>
          <w:color w:val="0E101A"/>
          <w:szCs w:val="20"/>
          <w:lang w:eastAsia="en-GB"/>
        </w:rPr>
        <w:t xml:space="preserve"> progress of the deliverables and highlight any risks or issues.</w:t>
      </w:r>
    </w:p>
    <w:p w14:paraId="75F8969E" w14:textId="18013AB0" w:rsidR="00D6160E" w:rsidRDefault="00AF7AF9" w:rsidP="00AF7AF9">
      <w:pPr>
        <w:pStyle w:val="Heading3"/>
      </w:pPr>
      <w:bookmarkStart w:id="13" w:name="_Toc183612417"/>
      <w:r>
        <w:lastRenderedPageBreak/>
        <w:t>2.4 Project Timescales</w:t>
      </w:r>
      <w:bookmarkEnd w:id="13"/>
    </w:p>
    <w:p w14:paraId="528A9124" w14:textId="5C943533" w:rsidR="00233BB6" w:rsidRDefault="00B654DA" w:rsidP="00875393">
      <w:r w:rsidRPr="00B654DA">
        <w:t>The provisional project timetable is set out in the table below.</w:t>
      </w:r>
      <w:r w:rsidR="00233BB6">
        <w:t xml:space="preserve"> </w:t>
      </w:r>
      <w:r w:rsidR="00283FCD">
        <w:t xml:space="preserve">The table shows expected completion dates, by which time the relevant audit work and report must </w:t>
      </w:r>
      <w:r w:rsidR="00706A10">
        <w:t>be</w:t>
      </w:r>
      <w:r w:rsidR="00283FCD">
        <w:t xml:space="preserve"> completed. These dates may be subject to change during the project. </w:t>
      </w:r>
    </w:p>
    <w:tbl>
      <w:tblPr>
        <w:tblStyle w:val="TableGrid"/>
        <w:tblW w:w="9776" w:type="dxa"/>
        <w:tblLook w:val="04A0" w:firstRow="1" w:lastRow="0" w:firstColumn="1" w:lastColumn="0" w:noHBand="0" w:noVBand="1"/>
        <w:tblCaption w:val="BrochetTable"/>
        <w:tblDescription w:val="FullWidth|Financial|Alternative|NoTotal"/>
      </w:tblPr>
      <w:tblGrid>
        <w:gridCol w:w="6923"/>
        <w:gridCol w:w="2853"/>
      </w:tblGrid>
      <w:tr w:rsidR="008C059B" w:rsidRPr="008C059B" w14:paraId="39396039" w14:textId="77777777" w:rsidTr="0081794F">
        <w:tc>
          <w:tcPr>
            <w:tcW w:w="6923" w:type="dxa"/>
          </w:tcPr>
          <w:p w14:paraId="4B07B37A" w14:textId="77777777" w:rsidR="008C059B" w:rsidRPr="008C059B" w:rsidRDefault="008C059B" w:rsidP="008C059B">
            <w:pPr>
              <w:rPr>
                <w:b/>
                <w:bCs/>
              </w:rPr>
            </w:pPr>
            <w:r w:rsidRPr="008C059B">
              <w:rPr>
                <w:b/>
                <w:bCs/>
              </w:rPr>
              <w:t>Recalibration tasks</w:t>
            </w:r>
          </w:p>
        </w:tc>
        <w:tc>
          <w:tcPr>
            <w:tcW w:w="2853" w:type="dxa"/>
          </w:tcPr>
          <w:p w14:paraId="017D2677" w14:textId="7CAB7AEB" w:rsidR="008C059B" w:rsidRPr="008C059B" w:rsidRDefault="00283FCD" w:rsidP="008C059B">
            <w:pPr>
              <w:rPr>
                <w:b/>
                <w:bCs/>
              </w:rPr>
            </w:pPr>
            <w:r>
              <w:rPr>
                <w:b/>
                <w:bCs/>
              </w:rPr>
              <w:t>Completion date</w:t>
            </w:r>
          </w:p>
        </w:tc>
      </w:tr>
      <w:tr w:rsidR="008C059B" w:rsidRPr="008C059B" w14:paraId="07D6D592" w14:textId="77777777" w:rsidTr="00AB2B26">
        <w:tc>
          <w:tcPr>
            <w:tcW w:w="9776" w:type="dxa"/>
            <w:gridSpan w:val="2"/>
            <w:shd w:val="clear" w:color="auto" w:fill="253268"/>
          </w:tcPr>
          <w:p w14:paraId="692D3F00" w14:textId="21E22B5F" w:rsidR="008C059B" w:rsidRPr="008C059B" w:rsidRDefault="008C059B" w:rsidP="008C059B">
            <w:pPr>
              <w:rPr>
                <w:b/>
                <w:bCs/>
              </w:rPr>
            </w:pPr>
            <w:r w:rsidRPr="008C059B">
              <w:rPr>
                <w:b/>
                <w:bCs/>
              </w:rPr>
              <w:t>Network Rail Payment Rates</w:t>
            </w:r>
          </w:p>
        </w:tc>
      </w:tr>
      <w:tr w:rsidR="008C059B" w:rsidRPr="008C059B" w14:paraId="01ACDC37" w14:textId="77777777" w:rsidTr="0081794F">
        <w:tc>
          <w:tcPr>
            <w:tcW w:w="6923" w:type="dxa"/>
          </w:tcPr>
          <w:p w14:paraId="26549AFF" w14:textId="27A054DB" w:rsidR="008C059B" w:rsidRPr="008C059B" w:rsidRDefault="008C059B" w:rsidP="008C059B">
            <w:r>
              <w:t>Audit of draft Network Rail Payment Rates</w:t>
            </w:r>
            <w:r w:rsidRPr="008C059B">
              <w:t xml:space="preserve"> </w:t>
            </w:r>
          </w:p>
        </w:tc>
        <w:tc>
          <w:tcPr>
            <w:tcW w:w="2853" w:type="dxa"/>
          </w:tcPr>
          <w:p w14:paraId="16CAEB2D" w14:textId="77777777" w:rsidR="008C059B" w:rsidRPr="008C059B" w:rsidRDefault="008C059B" w:rsidP="008C059B">
            <w:r w:rsidRPr="008C059B">
              <w:t>May 2025</w:t>
            </w:r>
          </w:p>
        </w:tc>
      </w:tr>
      <w:tr w:rsidR="008C059B" w:rsidRPr="008C059B" w14:paraId="58EADD8B" w14:textId="77777777" w:rsidTr="0081794F">
        <w:tc>
          <w:tcPr>
            <w:tcW w:w="6923" w:type="dxa"/>
          </w:tcPr>
          <w:p w14:paraId="5F88ECAA" w14:textId="1D67094F" w:rsidR="008C059B" w:rsidRPr="008C059B" w:rsidRDefault="008C059B" w:rsidP="008C059B">
            <w:r>
              <w:t>Audit of near-final Network Rail Payment Rates</w:t>
            </w:r>
            <w:r w:rsidRPr="008C059B">
              <w:t xml:space="preserve"> </w:t>
            </w:r>
          </w:p>
        </w:tc>
        <w:tc>
          <w:tcPr>
            <w:tcW w:w="2853" w:type="dxa"/>
          </w:tcPr>
          <w:p w14:paraId="22EC28ED" w14:textId="798855B8" w:rsidR="008C059B" w:rsidRPr="008C059B" w:rsidRDefault="008C059B" w:rsidP="008C059B">
            <w:r w:rsidRPr="008C059B">
              <w:t>Ju</w:t>
            </w:r>
            <w:r w:rsidR="006C291E">
              <w:t>ly</w:t>
            </w:r>
            <w:r w:rsidRPr="008C059B">
              <w:t xml:space="preserve"> 2025</w:t>
            </w:r>
          </w:p>
        </w:tc>
      </w:tr>
      <w:tr w:rsidR="008C059B" w:rsidRPr="008C059B" w14:paraId="1146F28F" w14:textId="77777777" w:rsidTr="00AB2B26">
        <w:tc>
          <w:tcPr>
            <w:tcW w:w="9776" w:type="dxa"/>
            <w:gridSpan w:val="2"/>
            <w:shd w:val="clear" w:color="auto" w:fill="253268"/>
          </w:tcPr>
          <w:p w14:paraId="45420858" w14:textId="3BD7999B" w:rsidR="008C059B" w:rsidRPr="008C059B" w:rsidRDefault="008C059B" w:rsidP="008C059B">
            <w:pPr>
              <w:rPr>
                <w:b/>
                <w:bCs/>
              </w:rPr>
            </w:pPr>
            <w:r w:rsidRPr="008C059B">
              <w:rPr>
                <w:b/>
                <w:bCs/>
              </w:rPr>
              <w:t>Train Operator Payment Rates, TOC Benchmarks, Network Rail Benchmarks and SPP threshold</w:t>
            </w:r>
            <w:r w:rsidR="000D06E2">
              <w:rPr>
                <w:b/>
                <w:bCs/>
              </w:rPr>
              <w:t>s</w:t>
            </w:r>
          </w:p>
        </w:tc>
      </w:tr>
      <w:tr w:rsidR="008C059B" w:rsidRPr="008C059B" w14:paraId="63935701" w14:textId="77777777" w:rsidTr="00152FAD">
        <w:trPr>
          <w:trHeight w:val="64"/>
        </w:trPr>
        <w:tc>
          <w:tcPr>
            <w:tcW w:w="6923" w:type="dxa"/>
          </w:tcPr>
          <w:p w14:paraId="12326B63" w14:textId="6DFBA086" w:rsidR="008C059B" w:rsidRPr="008C059B" w:rsidRDefault="0034744B" w:rsidP="00152FAD">
            <w:r>
              <w:t>Audit of</w:t>
            </w:r>
            <w:r w:rsidR="00D63D5D">
              <w:t xml:space="preserve"> draft</w:t>
            </w:r>
            <w:r>
              <w:t xml:space="preserve"> Network Rail Benchmarks </w:t>
            </w:r>
          </w:p>
        </w:tc>
        <w:tc>
          <w:tcPr>
            <w:tcW w:w="2853" w:type="dxa"/>
          </w:tcPr>
          <w:p w14:paraId="334E72B5" w14:textId="6B537CA5" w:rsidR="008C059B" w:rsidRPr="008C059B" w:rsidRDefault="00D63D5D" w:rsidP="008C059B">
            <w:r>
              <w:t>July 2025</w:t>
            </w:r>
          </w:p>
        </w:tc>
      </w:tr>
      <w:tr w:rsidR="008C059B" w:rsidRPr="008C059B" w14:paraId="7A104B80" w14:textId="77777777" w:rsidTr="0081794F">
        <w:tc>
          <w:tcPr>
            <w:tcW w:w="6923" w:type="dxa"/>
          </w:tcPr>
          <w:p w14:paraId="267DA59F" w14:textId="5377FA89" w:rsidR="008C059B" w:rsidRPr="008C059B" w:rsidRDefault="0034744B" w:rsidP="008C059B">
            <w:r>
              <w:t xml:space="preserve">Audit of </w:t>
            </w:r>
            <w:r w:rsidR="00D63D5D">
              <w:t xml:space="preserve">draft </w:t>
            </w:r>
            <w:r>
              <w:t>Train Operator Benchmarks</w:t>
            </w:r>
          </w:p>
        </w:tc>
        <w:tc>
          <w:tcPr>
            <w:tcW w:w="2853" w:type="dxa"/>
          </w:tcPr>
          <w:p w14:paraId="3D477996" w14:textId="7B6AADD8" w:rsidR="008C059B" w:rsidRPr="008C059B" w:rsidRDefault="00D63D5D" w:rsidP="008C059B">
            <w:r>
              <w:t>July 2025</w:t>
            </w:r>
          </w:p>
        </w:tc>
      </w:tr>
      <w:tr w:rsidR="0034744B" w:rsidRPr="008C059B" w14:paraId="0E92AC45" w14:textId="77777777" w:rsidTr="0081794F">
        <w:tc>
          <w:tcPr>
            <w:tcW w:w="6923" w:type="dxa"/>
          </w:tcPr>
          <w:p w14:paraId="7AADB347" w14:textId="3B070896" w:rsidR="0034744B" w:rsidRDefault="0034744B" w:rsidP="008C059B">
            <w:r>
              <w:t xml:space="preserve">Audit of </w:t>
            </w:r>
            <w:r w:rsidR="00D63D5D">
              <w:t xml:space="preserve">draft </w:t>
            </w:r>
            <w:r>
              <w:t>Train Operator Payment Rates</w:t>
            </w:r>
          </w:p>
        </w:tc>
        <w:tc>
          <w:tcPr>
            <w:tcW w:w="2853" w:type="dxa"/>
          </w:tcPr>
          <w:p w14:paraId="74C3975C" w14:textId="75B7BEAB" w:rsidR="0034744B" w:rsidRPr="008C059B" w:rsidRDefault="00D63D5D" w:rsidP="008C059B">
            <w:r>
              <w:t>July 2025</w:t>
            </w:r>
          </w:p>
        </w:tc>
      </w:tr>
      <w:tr w:rsidR="0034744B" w:rsidRPr="008C059B" w14:paraId="00B210F4" w14:textId="77777777" w:rsidTr="0081794F">
        <w:tc>
          <w:tcPr>
            <w:tcW w:w="6923" w:type="dxa"/>
          </w:tcPr>
          <w:p w14:paraId="5E7A3DBC" w14:textId="217CE4FD" w:rsidR="0034744B" w:rsidRDefault="0034744B" w:rsidP="008C059B">
            <w:r>
              <w:t xml:space="preserve">Audit of </w:t>
            </w:r>
            <w:r w:rsidR="00D63D5D">
              <w:t xml:space="preserve">draft </w:t>
            </w:r>
            <w:r>
              <w:t>SPP thresholds</w:t>
            </w:r>
          </w:p>
        </w:tc>
        <w:tc>
          <w:tcPr>
            <w:tcW w:w="2853" w:type="dxa"/>
          </w:tcPr>
          <w:p w14:paraId="129F349C" w14:textId="1D4C7821" w:rsidR="0034744B" w:rsidRPr="008C059B" w:rsidRDefault="00D63D5D" w:rsidP="008C059B">
            <w:r>
              <w:t>July 2025</w:t>
            </w:r>
          </w:p>
        </w:tc>
      </w:tr>
      <w:tr w:rsidR="006C291E" w:rsidRPr="008C059B" w14:paraId="3D955CAC" w14:textId="77777777" w:rsidTr="0081794F">
        <w:tc>
          <w:tcPr>
            <w:tcW w:w="6923" w:type="dxa"/>
          </w:tcPr>
          <w:p w14:paraId="2EBFCEF1" w14:textId="72A37893" w:rsidR="006A20E7" w:rsidRDefault="006C291E" w:rsidP="00152FAD">
            <w:r>
              <w:t>Audit of near-final Network Rail Benchmarks</w:t>
            </w:r>
          </w:p>
        </w:tc>
        <w:tc>
          <w:tcPr>
            <w:tcW w:w="2853" w:type="dxa"/>
          </w:tcPr>
          <w:p w14:paraId="0F72AE4C" w14:textId="6D3105E0" w:rsidR="006C291E" w:rsidRDefault="006C291E" w:rsidP="008C059B">
            <w:r>
              <w:t>November 2025</w:t>
            </w:r>
          </w:p>
        </w:tc>
      </w:tr>
      <w:tr w:rsidR="006C291E" w:rsidRPr="008C059B" w14:paraId="533AD6FC" w14:textId="77777777" w:rsidTr="0081794F">
        <w:tc>
          <w:tcPr>
            <w:tcW w:w="6923" w:type="dxa"/>
          </w:tcPr>
          <w:p w14:paraId="6D741734" w14:textId="0FECB551" w:rsidR="006C291E" w:rsidRDefault="006C291E" w:rsidP="008C059B">
            <w:r>
              <w:t>Audit of near-final Train Operator Benchmarks</w:t>
            </w:r>
          </w:p>
        </w:tc>
        <w:tc>
          <w:tcPr>
            <w:tcW w:w="2853" w:type="dxa"/>
          </w:tcPr>
          <w:p w14:paraId="19AB146A" w14:textId="66667577" w:rsidR="006C291E" w:rsidRDefault="006C291E" w:rsidP="008C059B">
            <w:r>
              <w:t>November 2025</w:t>
            </w:r>
          </w:p>
        </w:tc>
      </w:tr>
      <w:tr w:rsidR="006C291E" w:rsidRPr="008C059B" w14:paraId="783A5F0A" w14:textId="77777777" w:rsidTr="0081794F">
        <w:tc>
          <w:tcPr>
            <w:tcW w:w="6923" w:type="dxa"/>
          </w:tcPr>
          <w:p w14:paraId="6767D569" w14:textId="4098605D" w:rsidR="006C291E" w:rsidRDefault="006C291E" w:rsidP="008C059B">
            <w:r>
              <w:t>Audit of near-final Train Operator Payment Rates</w:t>
            </w:r>
          </w:p>
        </w:tc>
        <w:tc>
          <w:tcPr>
            <w:tcW w:w="2853" w:type="dxa"/>
          </w:tcPr>
          <w:p w14:paraId="157302AD" w14:textId="5FD07893" w:rsidR="006C291E" w:rsidRDefault="006C291E" w:rsidP="008C059B">
            <w:r>
              <w:t>November 2025</w:t>
            </w:r>
          </w:p>
        </w:tc>
      </w:tr>
      <w:tr w:rsidR="00283FCD" w:rsidRPr="008C059B" w14:paraId="71146113" w14:textId="77777777" w:rsidTr="0081794F">
        <w:tc>
          <w:tcPr>
            <w:tcW w:w="6923" w:type="dxa"/>
          </w:tcPr>
          <w:p w14:paraId="43E8BD40" w14:textId="77777777" w:rsidR="00283FCD" w:rsidRDefault="00283FCD" w:rsidP="00AB2B26">
            <w:r>
              <w:t>Audit of near-final SPP thresholds</w:t>
            </w:r>
          </w:p>
        </w:tc>
        <w:tc>
          <w:tcPr>
            <w:tcW w:w="2853" w:type="dxa"/>
          </w:tcPr>
          <w:p w14:paraId="52B1263A" w14:textId="77777777" w:rsidR="00283FCD" w:rsidRDefault="00283FCD" w:rsidP="00AB2B26">
            <w:r>
              <w:t>November 2025</w:t>
            </w:r>
          </w:p>
        </w:tc>
      </w:tr>
      <w:tr w:rsidR="0081794F" w:rsidRPr="0081794F" w14:paraId="36B83997" w14:textId="77777777" w:rsidTr="00AB2B26">
        <w:tc>
          <w:tcPr>
            <w:tcW w:w="9776" w:type="dxa"/>
            <w:gridSpan w:val="2"/>
            <w:shd w:val="clear" w:color="auto" w:fill="253268"/>
          </w:tcPr>
          <w:p w14:paraId="7ED118FA" w14:textId="5B0725A3" w:rsidR="0081794F" w:rsidRPr="008C059B" w:rsidRDefault="0081794F" w:rsidP="00AB2B26">
            <w:pPr>
              <w:rPr>
                <w:b/>
                <w:bCs/>
              </w:rPr>
            </w:pPr>
            <w:r>
              <w:rPr>
                <w:b/>
                <w:bCs/>
              </w:rPr>
              <w:t>Finalisation</w:t>
            </w:r>
          </w:p>
        </w:tc>
      </w:tr>
      <w:tr w:rsidR="0081794F" w:rsidRPr="008C059B" w14:paraId="7D5B5AD4" w14:textId="77777777" w:rsidTr="0081794F">
        <w:tc>
          <w:tcPr>
            <w:tcW w:w="6923" w:type="dxa"/>
          </w:tcPr>
          <w:p w14:paraId="46AFF0D1" w14:textId="77777777" w:rsidR="0081794F" w:rsidRDefault="0081794F" w:rsidP="00AB2B26">
            <w:r>
              <w:t>Audit of any changes to near-final parameters ahead of finalisation</w:t>
            </w:r>
          </w:p>
        </w:tc>
        <w:tc>
          <w:tcPr>
            <w:tcW w:w="2853" w:type="dxa"/>
          </w:tcPr>
          <w:p w14:paraId="66B65EAF" w14:textId="77777777" w:rsidR="0081794F" w:rsidRDefault="0081794F" w:rsidP="00AB2B26">
            <w:r>
              <w:t>December 2025</w:t>
            </w:r>
          </w:p>
        </w:tc>
      </w:tr>
      <w:tr w:rsidR="006C291E" w:rsidRPr="008C059B" w14:paraId="3FE098FD" w14:textId="77777777" w:rsidTr="0081794F">
        <w:tc>
          <w:tcPr>
            <w:tcW w:w="6923" w:type="dxa"/>
          </w:tcPr>
          <w:p w14:paraId="6C1573F0" w14:textId="730136E9" w:rsidR="006C291E" w:rsidRDefault="0081794F" w:rsidP="008C059B">
            <w:r>
              <w:t>Final audit report</w:t>
            </w:r>
          </w:p>
        </w:tc>
        <w:tc>
          <w:tcPr>
            <w:tcW w:w="2853" w:type="dxa"/>
          </w:tcPr>
          <w:p w14:paraId="0E0DBB8C" w14:textId="59E7734F" w:rsidR="006C291E" w:rsidRDefault="0081794F" w:rsidP="008C059B">
            <w:r>
              <w:t>December 2025</w:t>
            </w:r>
          </w:p>
        </w:tc>
      </w:tr>
    </w:tbl>
    <w:p w14:paraId="66CA4DA0" w14:textId="77777777" w:rsidR="008C059B" w:rsidRPr="00B654DA" w:rsidRDefault="008C059B" w:rsidP="00AF7AF9"/>
    <w:p w14:paraId="76E3EE61" w14:textId="420F91D1" w:rsidR="00AF7AF9" w:rsidRDefault="00AF7AF9" w:rsidP="00AF7AF9">
      <w:pPr>
        <w:pStyle w:val="Heading3"/>
      </w:pPr>
      <w:bookmarkStart w:id="14" w:name="_Toc183612418"/>
      <w:r w:rsidRPr="00AF7AF9">
        <w:lastRenderedPageBreak/>
        <w:t>2.5 Budget and Payment Schedule</w:t>
      </w:r>
      <w:bookmarkEnd w:id="14"/>
    </w:p>
    <w:p w14:paraId="176FAB07" w14:textId="77777777" w:rsidR="00E263A1" w:rsidRDefault="00E263A1" w:rsidP="00E263A1">
      <w:r>
        <w:t>The maximum budget for this piece of work is £60,000 (inc. of expenses, exc. of VAT).</w:t>
      </w:r>
    </w:p>
    <w:p w14:paraId="3200FB45" w14:textId="77777777" w:rsidR="00E263A1" w:rsidRPr="00D1699E" w:rsidRDefault="00E263A1" w:rsidP="00E263A1">
      <w:r w:rsidRPr="00D1699E">
        <w:t>Payment Schedule:</w:t>
      </w:r>
    </w:p>
    <w:p w14:paraId="6AB443BB" w14:textId="73E6B6A3" w:rsidR="00E263A1" w:rsidRPr="004F4A55" w:rsidRDefault="00E263A1" w:rsidP="00E263A1">
      <w:pPr>
        <w:pStyle w:val="ListParagraph"/>
        <w:numPr>
          <w:ilvl w:val="0"/>
          <w:numId w:val="40"/>
        </w:numPr>
        <w:spacing w:line="276" w:lineRule="auto"/>
        <w:jc w:val="both"/>
        <w:rPr>
          <w:rFonts w:eastAsia="Arial" w:cs="Arial"/>
          <w:szCs w:val="24"/>
        </w:rPr>
      </w:pPr>
      <w:r w:rsidRPr="004F4A55">
        <w:rPr>
          <w:rFonts w:eastAsia="Arial" w:cs="Arial"/>
          <w:szCs w:val="24"/>
        </w:rPr>
        <w:t xml:space="preserve">40% following audit completion of </w:t>
      </w:r>
      <w:bookmarkStart w:id="15" w:name="_Hlk120528869"/>
      <w:r w:rsidRPr="004F4A55">
        <w:rPr>
          <w:rFonts w:eastAsia="Arial" w:cs="Arial"/>
          <w:szCs w:val="24"/>
        </w:rPr>
        <w:t xml:space="preserve">Network </w:t>
      </w:r>
      <w:r w:rsidR="00283FCD">
        <w:rPr>
          <w:rFonts w:eastAsia="Arial" w:cs="Arial"/>
          <w:szCs w:val="24"/>
        </w:rPr>
        <w:t>R</w:t>
      </w:r>
      <w:r w:rsidR="00283FCD" w:rsidRPr="004F4A55">
        <w:rPr>
          <w:rFonts w:eastAsia="Arial" w:cs="Arial"/>
          <w:szCs w:val="24"/>
        </w:rPr>
        <w:t xml:space="preserve">ail </w:t>
      </w:r>
      <w:r w:rsidRPr="004F4A55">
        <w:rPr>
          <w:rFonts w:eastAsia="Arial" w:cs="Arial"/>
          <w:szCs w:val="24"/>
        </w:rPr>
        <w:t>payment rates</w:t>
      </w:r>
      <w:r w:rsidR="00283FCD">
        <w:rPr>
          <w:rFonts w:eastAsia="Arial" w:cs="Arial"/>
          <w:szCs w:val="24"/>
        </w:rPr>
        <w:t>, expected</w:t>
      </w:r>
      <w:r w:rsidRPr="004F4A55">
        <w:rPr>
          <w:rFonts w:eastAsia="Arial" w:cs="Arial"/>
          <w:szCs w:val="24"/>
        </w:rPr>
        <w:t xml:space="preserve"> </w:t>
      </w:r>
      <w:bookmarkEnd w:id="15"/>
      <w:r w:rsidRPr="004F4A55">
        <w:rPr>
          <w:rFonts w:eastAsia="Arial" w:cs="Arial"/>
          <w:szCs w:val="24"/>
        </w:rPr>
        <w:t xml:space="preserve">in </w:t>
      </w:r>
      <w:r w:rsidR="00FD75B1">
        <w:rPr>
          <w:rFonts w:eastAsia="Arial" w:cs="Arial"/>
          <w:szCs w:val="24"/>
        </w:rPr>
        <w:t>July</w:t>
      </w:r>
      <w:r w:rsidRPr="004F4A55">
        <w:rPr>
          <w:rFonts w:eastAsia="Arial" w:cs="Arial"/>
          <w:szCs w:val="24"/>
        </w:rPr>
        <w:t xml:space="preserve"> 202</w:t>
      </w:r>
      <w:r>
        <w:rPr>
          <w:rFonts w:eastAsia="Arial" w:cs="Arial"/>
          <w:szCs w:val="24"/>
        </w:rPr>
        <w:t>5.</w:t>
      </w:r>
    </w:p>
    <w:p w14:paraId="20974995" w14:textId="55424C21" w:rsidR="00E263A1" w:rsidRPr="004F4A55" w:rsidRDefault="00E263A1" w:rsidP="00E263A1">
      <w:pPr>
        <w:pStyle w:val="ListParagraph"/>
        <w:numPr>
          <w:ilvl w:val="0"/>
          <w:numId w:val="40"/>
        </w:numPr>
        <w:rPr>
          <w:szCs w:val="24"/>
        </w:rPr>
      </w:pPr>
      <w:r w:rsidRPr="004F4A55">
        <w:rPr>
          <w:rFonts w:eastAsia="Arial" w:cs="Arial"/>
          <w:szCs w:val="24"/>
        </w:rPr>
        <w:t>60% on delivery and acceptance of final audit</w:t>
      </w:r>
      <w:r w:rsidR="00283FCD">
        <w:rPr>
          <w:rFonts w:eastAsia="Arial" w:cs="Arial"/>
          <w:szCs w:val="24"/>
        </w:rPr>
        <w:t>, expected in</w:t>
      </w:r>
      <w:r w:rsidRPr="004F4A55">
        <w:rPr>
          <w:rFonts w:eastAsia="Arial" w:cs="Arial"/>
          <w:szCs w:val="24"/>
        </w:rPr>
        <w:t xml:space="preserve"> </w:t>
      </w:r>
      <w:r w:rsidR="00100D72">
        <w:rPr>
          <w:rFonts w:eastAsia="Arial" w:cs="Arial"/>
          <w:szCs w:val="24"/>
        </w:rPr>
        <w:t>December</w:t>
      </w:r>
      <w:r>
        <w:rPr>
          <w:rFonts w:eastAsia="Arial" w:cs="Arial"/>
          <w:szCs w:val="24"/>
        </w:rPr>
        <w:t xml:space="preserve"> </w:t>
      </w:r>
      <w:r w:rsidRPr="004F4A55">
        <w:rPr>
          <w:rFonts w:eastAsia="Arial" w:cs="Arial"/>
          <w:szCs w:val="24"/>
        </w:rPr>
        <w:t>202</w:t>
      </w:r>
      <w:r>
        <w:rPr>
          <w:rFonts w:eastAsia="Arial" w:cs="Arial"/>
          <w:szCs w:val="24"/>
        </w:rPr>
        <w:t>5.</w:t>
      </w:r>
    </w:p>
    <w:p w14:paraId="3BB5AE4A" w14:textId="4C2DE6EF" w:rsidR="00AF7AF9" w:rsidRDefault="00AF7AF9" w:rsidP="00AF7AF9">
      <w:pPr>
        <w:pStyle w:val="Heading3"/>
      </w:pPr>
      <w:bookmarkStart w:id="16" w:name="_Toc183612419"/>
      <w:r w:rsidRPr="00AF7AF9">
        <w:t>2.6 Further project related information for bidders</w:t>
      </w:r>
      <w:bookmarkEnd w:id="16"/>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lastRenderedPageBreak/>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8A23B3">
      <w:pPr>
        <w:pStyle w:val="Heading2"/>
      </w:pPr>
      <w:bookmarkStart w:id="17" w:name="_Toc183612420"/>
      <w:r>
        <w:lastRenderedPageBreak/>
        <w:t>Tender Response and Evaluation Criteria</w:t>
      </w:r>
      <w:bookmarkEnd w:id="17"/>
    </w:p>
    <w:p w14:paraId="6C9F4B20" w14:textId="5CFF035D" w:rsidR="001768F1" w:rsidRDefault="001768F1" w:rsidP="001768F1">
      <w:pPr>
        <w:pStyle w:val="Heading3"/>
      </w:pPr>
      <w:bookmarkStart w:id="18" w:name="_Toc183612421"/>
      <w:r>
        <w:t>3.1 The Tender Response</w:t>
      </w:r>
      <w:bookmarkEnd w:id="18"/>
    </w:p>
    <w:p w14:paraId="33A2C61B" w14:textId="0DCD259E" w:rsidR="001768F1" w:rsidRDefault="001768F1" w:rsidP="001768F1">
      <w:r>
        <w:t>The proposals for this project should include an outline of how bidders will meet the requirement outlined in section (ii) “Statement of Requirement”. The following information should be included</w:t>
      </w:r>
      <w:r w:rsidR="00377EF5">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5DBC036E" w14:textId="3B779C94" w:rsidR="001768F1" w:rsidRDefault="001768F1" w:rsidP="001E7C87">
      <w:pPr>
        <w:pStyle w:val="NormalBullet-"/>
      </w:pPr>
      <w:r>
        <w:t>A project plan to show how outputs and deliverables will be produced within the required timescales, detailing the resources that will be allocated</w:t>
      </w:r>
      <w:r w:rsidR="00377EF5">
        <w:t>.</w:t>
      </w:r>
    </w:p>
    <w:p w14:paraId="10DC7C63" w14:textId="76BEAC1C" w:rsidR="001768F1" w:rsidRDefault="001768F1" w:rsidP="001E7C87">
      <w:pPr>
        <w:pStyle w:val="NormalBullet-"/>
      </w:pPr>
      <w:r>
        <w:t>An understanding of the risks, and explain how they would be mitigated to ensure delivery</w:t>
      </w:r>
      <w:r w:rsidR="00377EF5">
        <w:t>.</w:t>
      </w:r>
    </w:p>
    <w:p w14:paraId="5673ADDA" w14:textId="47E56089" w:rsidR="001768F1" w:rsidRPr="001E7C87" w:rsidRDefault="001768F1" w:rsidP="00D07E76">
      <w:pPr>
        <w:pStyle w:val="NormalBulletalpha"/>
        <w:rPr>
          <w:b/>
          <w:bCs/>
        </w:rPr>
      </w:pPr>
      <w:r w:rsidRPr="001E7C87">
        <w:rPr>
          <w:b/>
          <w:bCs/>
        </w:rPr>
        <w:t>Proposed delivery team</w:t>
      </w:r>
    </w:p>
    <w:p w14:paraId="5069A898" w14:textId="50678F8A" w:rsidR="001768F1" w:rsidRDefault="001768F1" w:rsidP="001E7C87">
      <w:pPr>
        <w:pStyle w:val="NormalBullet-"/>
      </w:pPr>
      <w:r>
        <w:t>Key personnel including details of how their key skills, experience and qualifications align to the delivery of the project</w:t>
      </w:r>
      <w:r w:rsidR="00377EF5">
        <w:t>.</w:t>
      </w:r>
    </w:p>
    <w:p w14:paraId="3E9E2235" w14:textId="74A891D8" w:rsidR="001768F1" w:rsidRDefault="001768F1" w:rsidP="001E7C87">
      <w:pPr>
        <w:pStyle w:val="NormalBullet-"/>
      </w:pPr>
      <w:r>
        <w:t>Project roles and responsibilitie</w:t>
      </w:r>
      <w:r w:rsidR="00377EF5">
        <w:t>s.</w:t>
      </w:r>
    </w:p>
    <w:p w14:paraId="4BD28B95" w14:textId="670CA0AA" w:rsidR="001768F1" w:rsidRDefault="001768F1" w:rsidP="001E7C87">
      <w:pPr>
        <w:pStyle w:val="NormalBullet-"/>
      </w:pPr>
      <w:r>
        <w:t>Confirmation that you have carried out the necessary employment checks (e.g. right to work in the UK)</w:t>
      </w:r>
      <w:r w:rsidR="00377EF5">
        <w:t>.</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377EF5">
      <w:pPr>
        <w:pStyle w:val="NormalBullet-"/>
      </w:pPr>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0D06E2">
      <w:pPr>
        <w:pStyle w:val="NormalBulletalpha"/>
        <w:keepNext/>
        <w:rPr>
          <w:b/>
          <w:bCs/>
        </w:rPr>
      </w:pPr>
      <w:r w:rsidRPr="007062A6">
        <w:rPr>
          <w:b/>
          <w:bCs/>
        </w:rPr>
        <w:lastRenderedPageBreak/>
        <w:t>Conflicts of Interest</w:t>
      </w:r>
    </w:p>
    <w:p w14:paraId="3E30F142" w14:textId="734C38F8" w:rsidR="001768F1" w:rsidRPr="001768F1" w:rsidRDefault="001768F1" w:rsidP="00D67E97">
      <w:pPr>
        <w:pStyle w:val="NormalBullet-"/>
      </w:pPr>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9" w:name="_Toc183612422"/>
      <w:r>
        <w:t>3.2 Evaluation Criteria</w:t>
      </w:r>
      <w:bookmarkEnd w:id="19"/>
    </w:p>
    <w:p w14:paraId="6EEA6FCE" w14:textId="77777777" w:rsidR="005C29ED" w:rsidRDefault="005C29ED" w:rsidP="005C29ED">
      <w:r w:rsidRPr="002D2997">
        <w:t>Tenders will be assessed for compliance with procurement and contractual requirements which will include:</w:t>
      </w:r>
    </w:p>
    <w:p w14:paraId="7787021A" w14:textId="0C99EA88" w:rsidR="005C29ED" w:rsidRDefault="005C29ED" w:rsidP="005C29ED">
      <w:pPr>
        <w:pStyle w:val="NormalBulletround"/>
      </w:pPr>
      <w:r>
        <w:t>Completeness of the tender information</w:t>
      </w:r>
      <w:r w:rsidR="003763A1">
        <w:t>.</w:t>
      </w:r>
    </w:p>
    <w:p w14:paraId="11689649" w14:textId="07C71FE1" w:rsidR="005C29ED" w:rsidRDefault="005C29ED" w:rsidP="005C29ED">
      <w:pPr>
        <w:pStyle w:val="NormalBulletround"/>
      </w:pPr>
      <w:r>
        <w:t>Completed Declaration Form of Tender and Disclaimer</w:t>
      </w:r>
      <w:r w:rsidR="003763A1">
        <w:t>.</w:t>
      </w:r>
    </w:p>
    <w:p w14:paraId="745A254A" w14:textId="7D1E9E40" w:rsidR="005C29ED" w:rsidRDefault="005C29ED" w:rsidP="005C29ED">
      <w:pPr>
        <w:pStyle w:val="NormalBulletround"/>
      </w:pPr>
      <w:r>
        <w:t>Tender submitted in accordance with the conditions and instructions for tendering</w:t>
      </w:r>
      <w:r w:rsidR="003763A1">
        <w:t>.</w:t>
      </w:r>
    </w:p>
    <w:p w14:paraId="41557F9E" w14:textId="1AAA0134" w:rsidR="005C29ED" w:rsidRDefault="005C29ED" w:rsidP="005C29ED">
      <w:pPr>
        <w:pStyle w:val="NormalBulletround"/>
      </w:pPr>
      <w:r>
        <w:t>Tender submitted by the closing date and time</w:t>
      </w:r>
      <w:r w:rsidR="003763A1">
        <w:t>.</w:t>
      </w:r>
    </w:p>
    <w:p w14:paraId="080DB46E" w14:textId="06FCD66D" w:rsidR="005C29ED" w:rsidRDefault="005C29ED" w:rsidP="005C29ED">
      <w:pPr>
        <w:pStyle w:val="NormalBulletround"/>
      </w:pPr>
      <w:r>
        <w:t>Compliance with contractual arrangements</w:t>
      </w:r>
      <w:r w:rsidR="003763A1">
        <w:t>.</w:t>
      </w:r>
    </w:p>
    <w:p w14:paraId="30C1F87C" w14:textId="1CCE0ABB" w:rsidR="00E24891" w:rsidRDefault="00E24891" w:rsidP="005C29ED">
      <w:pPr>
        <w:pStyle w:val="NormalBulletround"/>
      </w:pPr>
      <w:r>
        <w:t>Submission of Cyber Essentials or ISO27000 certification (or equivalent) to demonstrate compliance with cyber security standards.</w:t>
      </w:r>
    </w:p>
    <w:p w14:paraId="092980E7" w14:textId="77CC83A9" w:rsidR="005C29ED" w:rsidRDefault="005C29ED" w:rsidP="003763A1">
      <w:pPr>
        <w:pStyle w:val="NormalBulletround"/>
        <w:numPr>
          <w:ilvl w:val="0"/>
          <w:numId w:val="0"/>
        </w:numPr>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429733BA" w14:textId="77777777" w:rsidR="003763A1" w:rsidRPr="00C33F29" w:rsidRDefault="003763A1" w:rsidP="003763A1">
      <w:pPr>
        <w:pStyle w:val="Heading4"/>
        <w:rPr>
          <w:color w:val="auto"/>
        </w:rPr>
      </w:pPr>
      <w:r>
        <w:t xml:space="preserve">Methodology and Delivery </w:t>
      </w:r>
      <w:r w:rsidRPr="00E24891">
        <w:t>(20%)</w:t>
      </w:r>
    </w:p>
    <w:p w14:paraId="3DA843DB" w14:textId="77777777" w:rsidR="003763A1" w:rsidRDefault="003763A1" w:rsidP="003763A1">
      <w:r>
        <w:t>The proposal should set out the methodology by which the project requirement will be initiated, delivered, and concluded.  In particular, it must:</w:t>
      </w:r>
    </w:p>
    <w:p w14:paraId="7B4007DD" w14:textId="77777777" w:rsidR="003763A1" w:rsidRDefault="003763A1" w:rsidP="003763A1">
      <w:pPr>
        <w:pStyle w:val="NormalBulletalpha"/>
        <w:numPr>
          <w:ilvl w:val="1"/>
          <w:numId w:val="29"/>
        </w:numPr>
      </w:pPr>
      <w:r>
        <w:t>Explain how this work will be delivered to timescale and how milestones will be met, detailing the resources that will be allocated to each stage</w:t>
      </w:r>
    </w:p>
    <w:p w14:paraId="627AAB49" w14:textId="77777777" w:rsidR="003763A1" w:rsidRDefault="003763A1" w:rsidP="003763A1">
      <w:pPr>
        <w:pStyle w:val="NormalBulletalpha"/>
      </w:pPr>
      <w:r>
        <w:t xml:space="preserve">Demonstrate an understanding of the risks, and project dependencies and explain how they would be mitigated to ensure project delivery; </w:t>
      </w:r>
    </w:p>
    <w:p w14:paraId="1709EF0E" w14:textId="77777777" w:rsidR="003763A1" w:rsidRDefault="003763A1" w:rsidP="003763A1">
      <w:pPr>
        <w:pStyle w:val="NormalBulletalpha"/>
      </w:pPr>
      <w:r>
        <w:lastRenderedPageBreak/>
        <w:t>Explain the resources that will be allocated to delivering the required outcomes/output, and what other resources can be called upon if required.</w:t>
      </w:r>
    </w:p>
    <w:p w14:paraId="023746EE" w14:textId="77777777" w:rsidR="003763A1" w:rsidRPr="00374BAE" w:rsidRDefault="003763A1" w:rsidP="003763A1">
      <w:pPr>
        <w:pStyle w:val="Heading4"/>
        <w:rPr>
          <w:color w:val="B1173B"/>
        </w:rPr>
      </w:pPr>
      <w:r>
        <w:t xml:space="preserve">Experience </w:t>
      </w:r>
      <w:r w:rsidRPr="00840E39">
        <w:rPr>
          <w:color w:val="1B254D" w:themeColor="text2" w:themeShade="BF"/>
        </w:rPr>
        <w:t>(50%)</w:t>
      </w:r>
    </w:p>
    <w:p w14:paraId="1DA8C8CB" w14:textId="77777777" w:rsidR="003763A1" w:rsidRDefault="003763A1" w:rsidP="003763A1">
      <w:r>
        <w:t>The proposal should set out any experience relevant to the project requirement.  In particular, it must:</w:t>
      </w:r>
    </w:p>
    <w:p w14:paraId="6F2BCD4A" w14:textId="77777777" w:rsidR="003763A1" w:rsidRDefault="003763A1" w:rsidP="003763A1">
      <w:pPr>
        <w:pStyle w:val="NormalBulletalpha"/>
        <w:numPr>
          <w:ilvl w:val="1"/>
          <w:numId w:val="31"/>
        </w:numPr>
      </w:pPr>
      <w:r>
        <w:t xml:space="preserve">Provide CVs of the consultants who will be delivering the project </w:t>
      </w:r>
    </w:p>
    <w:p w14:paraId="7E6F93E7" w14:textId="77777777" w:rsidR="003763A1" w:rsidRDefault="003763A1" w:rsidP="003763A1">
      <w:pPr>
        <w:pStyle w:val="NormalBulletalpha"/>
        <w:numPr>
          <w:ilvl w:val="1"/>
          <w:numId w:val="31"/>
        </w:numPr>
      </w:pPr>
      <w:r>
        <w:t>Highlight the organisation’s relevant experience for this project, submitting examples of similar projects.</w:t>
      </w:r>
    </w:p>
    <w:p w14:paraId="7A2B2FDF" w14:textId="77777777" w:rsidR="003763A1" w:rsidRDefault="003763A1" w:rsidP="00AB2B26">
      <w:pPr>
        <w:pStyle w:val="Heading4"/>
      </w:pPr>
      <w:r>
        <w:t xml:space="preserve">Cost / Value for money </w:t>
      </w:r>
      <w:r w:rsidRPr="00840E39">
        <w:rPr>
          <w:color w:val="1B254D" w:themeColor="text2" w:themeShade="BF"/>
        </w:rPr>
        <w:t>(30%)</w:t>
      </w:r>
    </w:p>
    <w:p w14:paraId="65D88867" w14:textId="77777777" w:rsidR="003763A1" w:rsidRDefault="003763A1" w:rsidP="003763A1">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lastRenderedPageBreak/>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8A23B3">
      <w:pPr>
        <w:pStyle w:val="Heading2"/>
      </w:pPr>
      <w:bookmarkStart w:id="20" w:name="_Toc183612423"/>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83612424"/>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7F250E">
        <w:trPr>
          <w:tblHeader/>
        </w:trPr>
        <w:tc>
          <w:tcPr>
            <w:tcW w:w="5569"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cBorders>
            <w:shd w:val="solid" w:color="253268" w:themeColor="dark2" w:fill="253268" w:themeFill="dark2"/>
          </w:tcPr>
          <w:p w14:paraId="0749132E" w14:textId="76FBDF71" w:rsidR="00400432" w:rsidRPr="00400432" w:rsidRDefault="00400432" w:rsidP="00400432">
            <w:pPr>
              <w:pStyle w:val="TblHeading"/>
            </w:pPr>
            <w:r w:rsidRPr="00400432">
              <w:t>Timescale</w:t>
            </w:r>
          </w:p>
        </w:tc>
      </w:tr>
      <w:tr w:rsidR="00400432" w:rsidRPr="00400432" w14:paraId="36ED9179" w14:textId="77777777" w:rsidTr="007F250E">
        <w:tc>
          <w:tcPr>
            <w:tcW w:w="5569"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cBorders>
            <w:shd w:val="solid" w:color="FFFFFF" w:fill="FFFFFF"/>
          </w:tcPr>
          <w:p w14:paraId="0B221E35" w14:textId="269A4694" w:rsidR="00400432" w:rsidRPr="00400432" w:rsidRDefault="007F250E" w:rsidP="00400432">
            <w:pPr>
              <w:pStyle w:val="TblText"/>
            </w:pPr>
            <w:r>
              <w:t>0</w:t>
            </w:r>
            <w:r w:rsidR="00273D82">
              <w:t>5</w:t>
            </w:r>
            <w:r>
              <w:t xml:space="preserve"> December 2024</w:t>
            </w:r>
          </w:p>
        </w:tc>
      </w:tr>
      <w:tr w:rsidR="00400432" w:rsidRPr="00400432" w14:paraId="42283B80" w14:textId="77777777" w:rsidTr="007F250E">
        <w:tc>
          <w:tcPr>
            <w:tcW w:w="5569"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cBorders>
            <w:shd w:val="solid" w:color="E4E7F5" w:themeColor="text2" w:themeTint="19" w:fill="E4E7F5" w:themeFill="text2" w:themeFillTint="19"/>
          </w:tcPr>
          <w:p w14:paraId="4308C2DC" w14:textId="330536C6" w:rsidR="00400432" w:rsidRPr="00400432" w:rsidRDefault="00A27B7D" w:rsidP="00400432">
            <w:pPr>
              <w:pStyle w:val="TblText"/>
            </w:pPr>
            <w:r>
              <w:t>20</w:t>
            </w:r>
            <w:r w:rsidR="007F250E">
              <w:t xml:space="preserve"> January 2025 at midday</w:t>
            </w:r>
          </w:p>
        </w:tc>
      </w:tr>
      <w:tr w:rsidR="00400432" w:rsidRPr="00400432" w14:paraId="66301268" w14:textId="77777777" w:rsidTr="007F250E">
        <w:tc>
          <w:tcPr>
            <w:tcW w:w="5569"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cBorders>
            <w:shd w:val="solid" w:color="FFFFFF" w:fill="FFFFFF"/>
          </w:tcPr>
          <w:p w14:paraId="63343DB4" w14:textId="2B8DC5C8" w:rsidR="00400432" w:rsidRPr="00400432" w:rsidRDefault="00A27B7D" w:rsidP="00400432">
            <w:pPr>
              <w:pStyle w:val="TblText"/>
            </w:pPr>
            <w:r>
              <w:t>03</w:t>
            </w:r>
            <w:r w:rsidR="007F250E">
              <w:t xml:space="preserve"> </w:t>
            </w:r>
            <w:r>
              <w:t>February</w:t>
            </w:r>
            <w:r w:rsidR="007F250E">
              <w:t xml:space="preserve"> 2025 at midday</w:t>
            </w:r>
          </w:p>
        </w:tc>
      </w:tr>
      <w:tr w:rsidR="00400432" w:rsidRPr="00400432" w14:paraId="2D3D0936" w14:textId="77777777" w:rsidTr="007F250E">
        <w:tc>
          <w:tcPr>
            <w:tcW w:w="5569"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cBorders>
            <w:shd w:val="solid" w:color="E4E7F5" w:themeColor="text2" w:themeTint="19" w:fill="E4E7F5" w:themeFill="text2" w:themeFillTint="19"/>
          </w:tcPr>
          <w:p w14:paraId="2FF6E1B1" w14:textId="68E96EE5" w:rsidR="00400432" w:rsidRPr="00400432" w:rsidRDefault="00946375" w:rsidP="00400432">
            <w:pPr>
              <w:pStyle w:val="TblText"/>
            </w:pPr>
            <w:r w:rsidRPr="00946375">
              <w:t xml:space="preserve">w/c </w:t>
            </w:r>
            <w:r>
              <w:t>17 February</w:t>
            </w:r>
            <w:r w:rsidRPr="00946375">
              <w:t xml:space="preserve"> 2025</w:t>
            </w:r>
          </w:p>
        </w:tc>
      </w:tr>
      <w:tr w:rsidR="00400432" w:rsidRPr="00400432" w14:paraId="3E83975E" w14:textId="77777777" w:rsidTr="007F250E">
        <w:tc>
          <w:tcPr>
            <w:tcW w:w="5569" w:type="dxa"/>
            <w:shd w:val="solid" w:color="FFFFFF" w:fill="FFFFFF"/>
          </w:tcPr>
          <w:p w14:paraId="19972227" w14:textId="77777777" w:rsidR="00400432" w:rsidRPr="00400432" w:rsidRDefault="00400432" w:rsidP="00400432">
            <w:pPr>
              <w:pStyle w:val="TblText"/>
            </w:pPr>
            <w:r w:rsidRPr="00400432">
              <w:t>Project Inception Meeting</w:t>
            </w:r>
          </w:p>
        </w:tc>
        <w:tc>
          <w:tcPr>
            <w:tcW w:w="4069" w:type="dxa"/>
            <w:shd w:val="solid" w:color="FFFFFF" w:fill="FFFFFF"/>
          </w:tcPr>
          <w:p w14:paraId="5605FB39" w14:textId="722E5C0C" w:rsidR="00400432" w:rsidRPr="00400432" w:rsidRDefault="007F250E" w:rsidP="00400432">
            <w:pPr>
              <w:pStyle w:val="TblText"/>
            </w:pPr>
            <w:r>
              <w:t xml:space="preserve">w/c </w:t>
            </w:r>
            <w:r w:rsidR="00946375">
              <w:t>24 February</w:t>
            </w:r>
            <w:r>
              <w:t xml:space="preserve"> 2025</w:t>
            </w:r>
          </w:p>
        </w:tc>
      </w:tr>
    </w:tbl>
    <w:p w14:paraId="3DFADB3D" w14:textId="77777777" w:rsidR="00433557" w:rsidRDefault="00433557" w:rsidP="000A0438">
      <w:pPr>
        <w:pStyle w:val="Heading3"/>
      </w:pPr>
      <w:bookmarkStart w:id="22" w:name="_Toc183612425"/>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accepted. Bidders have the facility to upload later versions of tenders until the closing date/time. </w:t>
      </w:r>
    </w:p>
    <w:p w14:paraId="78FF1853" w14:textId="489428A9" w:rsidR="00433557" w:rsidRDefault="00433557" w:rsidP="00433557">
      <w:r w:rsidRPr="00B922B8">
        <w:t>Please submit the Form of Tender</w:t>
      </w:r>
      <w:r w:rsidR="00621979" w:rsidRPr="00B922B8">
        <w:t>,</w:t>
      </w:r>
      <w:r w:rsidRPr="00B922B8">
        <w:t xml:space="preserve"> Disclaimer</w:t>
      </w:r>
      <w:r w:rsidR="00621979" w:rsidRPr="00B922B8">
        <w:t xml:space="preserve"> and relevant security </w:t>
      </w:r>
      <w:r w:rsidRPr="00B922B8">
        <w:t>certificate</w:t>
      </w:r>
      <w:r w:rsidR="00621979" w:rsidRPr="00B922B8">
        <w:t>s</w:t>
      </w:r>
      <w:r w:rsidRPr="00B922B8">
        <w:t xml:space="preserve"> along with your proposal. If you are already registered on our eTendering portal but have forgotten your login details, please contact the portal administrator.</w:t>
      </w:r>
    </w:p>
    <w:p w14:paraId="6D553397" w14:textId="77777777" w:rsidR="00433557" w:rsidRDefault="00433557" w:rsidP="00433557">
      <w:r>
        <w:lastRenderedPageBreak/>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3"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w:t>
      </w:r>
      <w:r>
        <w:lastRenderedPageBreak/>
        <w:t xml:space="preserve">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lastRenderedPageBreak/>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970FDEE" w14:textId="77777777" w:rsidR="003D0868" w:rsidRDefault="003D0868" w:rsidP="003F3CB0"/>
    <w:p w14:paraId="130553C4" w14:textId="1DE1AEB8" w:rsidR="003F3CB0" w:rsidRPr="003F3CB0" w:rsidRDefault="003F3CB0" w:rsidP="006B0E02">
      <w:pPr>
        <w:pStyle w:val="Numberedparagraphdouble"/>
        <w:numPr>
          <w:ilvl w:val="0"/>
          <w:numId w:val="0"/>
        </w:numPr>
        <w:sectPr w:rsidR="003F3CB0" w:rsidRPr="003F3CB0" w:rsidSect="003A16E9">
          <w:headerReference w:type="even" r:id="rId24"/>
          <w:headerReference w:type="default" r:id="rId25"/>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12AE9028">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5DB2904" w:rsidR="00D25F7E" w:rsidRDefault="00D25F7E" w:rsidP="00D25F7E">
      <w:pPr>
        <w:pStyle w:val="Copyrighttext"/>
      </w:pPr>
      <w:r>
        <w:t>© Crown copyright 202</w:t>
      </w:r>
      <w:r w:rsidR="00E24891">
        <w:t>4</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7"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8"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9" w:history="1">
        <w:r w:rsidR="008F0B87" w:rsidRPr="00C9621C">
          <w:rPr>
            <w:rStyle w:val="Hyperlink"/>
          </w:rPr>
          <w:t>procurementteam@orr.gov.uk</w:t>
        </w:r>
      </w:hyperlink>
      <w:r w:rsidR="008F0B87">
        <w:t xml:space="preserve"> </w:t>
      </w:r>
    </w:p>
    <w:sectPr w:rsidR="00D25F7E" w:rsidRPr="00D25F7E" w:rsidSect="00D25F7E">
      <w:headerReference w:type="even" r:id="rId30"/>
      <w:headerReference w:type="default" r:id="rId31"/>
      <w:footerReference w:type="even" r:id="rId32"/>
      <w:footerReference w:type="default" r:id="rId33"/>
      <w:headerReference w:type="first" r:id="rId34"/>
      <w:footerReference w:type="first" r:id="rId35"/>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6BE7D" w14:textId="77777777" w:rsidR="00142694" w:rsidRDefault="00142694" w:rsidP="00555585">
      <w:pPr>
        <w:spacing w:after="0" w:line="240" w:lineRule="auto"/>
      </w:pPr>
      <w:r>
        <w:separator/>
      </w:r>
    </w:p>
  </w:endnote>
  <w:endnote w:type="continuationSeparator" w:id="0">
    <w:p w14:paraId="11381A62" w14:textId="77777777" w:rsidR="00142694" w:rsidRDefault="00142694" w:rsidP="00555585">
      <w:pPr>
        <w:spacing w:after="0" w:line="240" w:lineRule="auto"/>
      </w:pPr>
      <w:r>
        <w:continuationSeparator/>
      </w:r>
    </w:p>
  </w:endnote>
  <w:endnote w:type="continuationNotice" w:id="1">
    <w:p w14:paraId="5B212FDE"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E0C66" w14:textId="77777777" w:rsidR="00142694" w:rsidRDefault="00142694" w:rsidP="00555585">
      <w:pPr>
        <w:spacing w:after="0" w:line="240" w:lineRule="auto"/>
      </w:pPr>
      <w:r>
        <w:separator/>
      </w:r>
    </w:p>
  </w:footnote>
  <w:footnote w:type="continuationSeparator" w:id="0">
    <w:p w14:paraId="7694811E" w14:textId="77777777" w:rsidR="00142694" w:rsidRDefault="00142694" w:rsidP="00555585">
      <w:pPr>
        <w:spacing w:after="0" w:line="240" w:lineRule="auto"/>
      </w:pPr>
      <w:r>
        <w:continuationSeparator/>
      </w:r>
    </w:p>
  </w:footnote>
  <w:footnote w:type="continuationNotice" w:id="1">
    <w:p w14:paraId="047B5606"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bmkContents"/>
  <w:bookmarkEnd w:id="3"/>
  <w:p w14:paraId="787800DB" w14:textId="5913AD36"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w:t>
    </w:r>
    <w:r w:rsidR="006E1B18">
      <w:t xml:space="preserve"> </w:t>
    </w:r>
    <w:r w:rsidR="006E1B18" w:rsidRPr="006E1B18">
      <w:t>CP7 Year 3 Recalibration of the Network Rail Passenger Schedule 8 Regime – Independent audit</w:t>
    </w:r>
    <w:r w:rsidR="006E1B18">
      <w:t xml:space="preserve"> ITT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EF3B" w14:textId="32F37463"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w:t>
    </w:r>
    <w:r w:rsidR="006E1B18">
      <w:t xml:space="preserve"> </w:t>
    </w:r>
    <w:r w:rsidR="006E1B18" w:rsidRPr="006E1B18">
      <w:t>CP7 Year 3 Recalibration of the Network Rail Passenger Schedule 8 Regime – Independent audit</w:t>
    </w:r>
    <w:r w:rsidR="006E1B18">
      <w:t xml:space="preserve"> ITT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3AF1" w14:textId="77777777" w:rsidR="00852E5A" w:rsidRPr="00FC6860" w:rsidRDefault="00852E5A" w:rsidP="00FC6860">
    <w:pPr>
      <w:pStyle w:val="Header"/>
    </w:pPr>
    <w:bookmarkStart w:id="23" w:name="bmkBackPage"/>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BBF2EDD"/>
    <w:multiLevelType w:val="hybridMultilevel"/>
    <w:tmpl w:val="3CAAB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21336443"/>
    <w:multiLevelType w:val="multilevel"/>
    <w:tmpl w:val="FEF47FD2"/>
    <w:numStyleLink w:val="ORRSummary"/>
  </w:abstractNum>
  <w:abstractNum w:abstractNumId="10" w15:restartNumberingAfterBreak="0">
    <w:nsid w:val="28296852"/>
    <w:multiLevelType w:val="multilevel"/>
    <w:tmpl w:val="D79C245A"/>
    <w:numStyleLink w:val="ORRNormalList"/>
  </w:abstractNum>
  <w:abstractNum w:abstractNumId="11" w15:restartNumberingAfterBreak="0">
    <w:nsid w:val="30E050AA"/>
    <w:multiLevelType w:val="hybridMultilevel"/>
    <w:tmpl w:val="A4F269EA"/>
    <w:lvl w:ilvl="0" w:tplc="C51E8768">
      <w:start w:val="1"/>
      <w:numFmt w:val="bullet"/>
      <w:lvlText w:val=""/>
      <w:lvlJc w:val="left"/>
      <w:pPr>
        <w:ind w:left="1020" w:hanging="360"/>
      </w:pPr>
      <w:rPr>
        <w:rFonts w:ascii="Symbol" w:hAnsi="Symbol"/>
      </w:rPr>
    </w:lvl>
    <w:lvl w:ilvl="1" w:tplc="2D544CC6">
      <w:start w:val="1"/>
      <w:numFmt w:val="bullet"/>
      <w:lvlText w:val=""/>
      <w:lvlJc w:val="left"/>
      <w:pPr>
        <w:ind w:left="1020" w:hanging="360"/>
      </w:pPr>
      <w:rPr>
        <w:rFonts w:ascii="Symbol" w:hAnsi="Symbol"/>
      </w:rPr>
    </w:lvl>
    <w:lvl w:ilvl="2" w:tplc="AB94F7D4">
      <w:start w:val="1"/>
      <w:numFmt w:val="bullet"/>
      <w:lvlText w:val=""/>
      <w:lvlJc w:val="left"/>
      <w:pPr>
        <w:ind w:left="1020" w:hanging="360"/>
      </w:pPr>
      <w:rPr>
        <w:rFonts w:ascii="Symbol" w:hAnsi="Symbol"/>
      </w:rPr>
    </w:lvl>
    <w:lvl w:ilvl="3" w:tplc="1092ED0E">
      <w:start w:val="1"/>
      <w:numFmt w:val="bullet"/>
      <w:lvlText w:val=""/>
      <w:lvlJc w:val="left"/>
      <w:pPr>
        <w:ind w:left="1020" w:hanging="360"/>
      </w:pPr>
      <w:rPr>
        <w:rFonts w:ascii="Symbol" w:hAnsi="Symbol"/>
      </w:rPr>
    </w:lvl>
    <w:lvl w:ilvl="4" w:tplc="D4101B3E">
      <w:start w:val="1"/>
      <w:numFmt w:val="bullet"/>
      <w:lvlText w:val=""/>
      <w:lvlJc w:val="left"/>
      <w:pPr>
        <w:ind w:left="1020" w:hanging="360"/>
      </w:pPr>
      <w:rPr>
        <w:rFonts w:ascii="Symbol" w:hAnsi="Symbol"/>
      </w:rPr>
    </w:lvl>
    <w:lvl w:ilvl="5" w:tplc="9642E1DC">
      <w:start w:val="1"/>
      <w:numFmt w:val="bullet"/>
      <w:lvlText w:val=""/>
      <w:lvlJc w:val="left"/>
      <w:pPr>
        <w:ind w:left="1020" w:hanging="360"/>
      </w:pPr>
      <w:rPr>
        <w:rFonts w:ascii="Symbol" w:hAnsi="Symbol"/>
      </w:rPr>
    </w:lvl>
    <w:lvl w:ilvl="6" w:tplc="52ECBBDE">
      <w:start w:val="1"/>
      <w:numFmt w:val="bullet"/>
      <w:lvlText w:val=""/>
      <w:lvlJc w:val="left"/>
      <w:pPr>
        <w:ind w:left="1020" w:hanging="360"/>
      </w:pPr>
      <w:rPr>
        <w:rFonts w:ascii="Symbol" w:hAnsi="Symbol"/>
      </w:rPr>
    </w:lvl>
    <w:lvl w:ilvl="7" w:tplc="D2244014">
      <w:start w:val="1"/>
      <w:numFmt w:val="bullet"/>
      <w:lvlText w:val=""/>
      <w:lvlJc w:val="left"/>
      <w:pPr>
        <w:ind w:left="1020" w:hanging="360"/>
      </w:pPr>
      <w:rPr>
        <w:rFonts w:ascii="Symbol" w:hAnsi="Symbol"/>
      </w:rPr>
    </w:lvl>
    <w:lvl w:ilvl="8" w:tplc="97668B62">
      <w:start w:val="1"/>
      <w:numFmt w:val="bullet"/>
      <w:lvlText w:val=""/>
      <w:lvlJc w:val="left"/>
      <w:pPr>
        <w:ind w:left="1020" w:hanging="360"/>
      </w:pPr>
      <w:rPr>
        <w:rFonts w:ascii="Symbol" w:hAnsi="Symbol"/>
      </w:rPr>
    </w:lvl>
  </w:abstractNum>
  <w:abstractNum w:abstractNumId="12" w15:restartNumberingAfterBreak="0">
    <w:nsid w:val="316A7E9C"/>
    <w:multiLevelType w:val="hybridMultilevel"/>
    <w:tmpl w:val="F30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76BCC"/>
    <w:multiLevelType w:val="multilevel"/>
    <w:tmpl w:val="D79C245A"/>
    <w:numStyleLink w:val="ORRNormalList"/>
  </w:abstractNum>
  <w:abstractNum w:abstractNumId="14"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53D1578"/>
    <w:multiLevelType w:val="hybridMultilevel"/>
    <w:tmpl w:val="1E40E69C"/>
    <w:lvl w:ilvl="0" w:tplc="78026FFE">
      <w:start w:val="1"/>
      <w:numFmt w:val="bullet"/>
      <w:lvlText w:val=""/>
      <w:lvlJc w:val="left"/>
      <w:pPr>
        <w:ind w:left="720" w:hanging="360"/>
      </w:pPr>
      <w:rPr>
        <w:rFonts w:ascii="Symbol" w:hAnsi="Symbol" w:hint="default"/>
      </w:rPr>
    </w:lvl>
    <w:lvl w:ilvl="1" w:tplc="CE8C8112">
      <w:start w:val="1"/>
      <w:numFmt w:val="bullet"/>
      <w:lvlText w:val="o"/>
      <w:lvlJc w:val="left"/>
      <w:pPr>
        <w:ind w:left="1440" w:hanging="360"/>
      </w:pPr>
      <w:rPr>
        <w:rFonts w:ascii="Courier New" w:hAnsi="Courier New" w:cs="Times New Roman" w:hint="default"/>
      </w:rPr>
    </w:lvl>
    <w:lvl w:ilvl="2" w:tplc="F4F4C9FE">
      <w:start w:val="1"/>
      <w:numFmt w:val="bullet"/>
      <w:lvlText w:val=""/>
      <w:lvlJc w:val="left"/>
      <w:pPr>
        <w:ind w:left="2160" w:hanging="360"/>
      </w:pPr>
      <w:rPr>
        <w:rFonts w:ascii="Wingdings" w:hAnsi="Wingdings" w:hint="default"/>
      </w:rPr>
    </w:lvl>
    <w:lvl w:ilvl="3" w:tplc="BBF2DBC4">
      <w:start w:val="1"/>
      <w:numFmt w:val="bullet"/>
      <w:lvlText w:val=""/>
      <w:lvlJc w:val="left"/>
      <w:pPr>
        <w:ind w:left="2880" w:hanging="360"/>
      </w:pPr>
      <w:rPr>
        <w:rFonts w:ascii="Symbol" w:hAnsi="Symbol" w:hint="default"/>
      </w:rPr>
    </w:lvl>
    <w:lvl w:ilvl="4" w:tplc="90DA6162">
      <w:start w:val="1"/>
      <w:numFmt w:val="bullet"/>
      <w:lvlText w:val="o"/>
      <w:lvlJc w:val="left"/>
      <w:pPr>
        <w:ind w:left="3600" w:hanging="360"/>
      </w:pPr>
      <w:rPr>
        <w:rFonts w:ascii="Courier New" w:hAnsi="Courier New" w:cs="Times New Roman" w:hint="default"/>
      </w:rPr>
    </w:lvl>
    <w:lvl w:ilvl="5" w:tplc="4D16AD96">
      <w:start w:val="1"/>
      <w:numFmt w:val="bullet"/>
      <w:lvlText w:val=""/>
      <w:lvlJc w:val="left"/>
      <w:pPr>
        <w:ind w:left="4320" w:hanging="360"/>
      </w:pPr>
      <w:rPr>
        <w:rFonts w:ascii="Wingdings" w:hAnsi="Wingdings" w:hint="default"/>
      </w:rPr>
    </w:lvl>
    <w:lvl w:ilvl="6" w:tplc="DC3EB158">
      <w:start w:val="1"/>
      <w:numFmt w:val="bullet"/>
      <w:lvlText w:val=""/>
      <w:lvlJc w:val="left"/>
      <w:pPr>
        <w:ind w:left="5040" w:hanging="360"/>
      </w:pPr>
      <w:rPr>
        <w:rFonts w:ascii="Symbol" w:hAnsi="Symbol" w:hint="default"/>
      </w:rPr>
    </w:lvl>
    <w:lvl w:ilvl="7" w:tplc="30B04D92">
      <w:start w:val="1"/>
      <w:numFmt w:val="bullet"/>
      <w:lvlText w:val="o"/>
      <w:lvlJc w:val="left"/>
      <w:pPr>
        <w:ind w:left="5760" w:hanging="360"/>
      </w:pPr>
      <w:rPr>
        <w:rFonts w:ascii="Courier New" w:hAnsi="Courier New" w:cs="Times New Roman" w:hint="default"/>
      </w:rPr>
    </w:lvl>
    <w:lvl w:ilvl="8" w:tplc="6E1CCA80">
      <w:start w:val="1"/>
      <w:numFmt w:val="bullet"/>
      <w:lvlText w:val=""/>
      <w:lvlJc w:val="left"/>
      <w:pPr>
        <w:ind w:left="6480" w:hanging="360"/>
      </w:pPr>
      <w:rPr>
        <w:rFonts w:ascii="Wingdings" w:hAnsi="Wingdings" w:hint="default"/>
      </w:rPr>
    </w:lvl>
  </w:abstractNum>
  <w:abstractNum w:abstractNumId="16"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AA30A50"/>
    <w:multiLevelType w:val="multilevel"/>
    <w:tmpl w:val="9150426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18" w15:restartNumberingAfterBreak="0">
    <w:nsid w:val="4F9C5061"/>
    <w:multiLevelType w:val="hybridMultilevel"/>
    <w:tmpl w:val="E54C2184"/>
    <w:lvl w:ilvl="0" w:tplc="47749214">
      <w:start w:val="1"/>
      <w:numFmt w:val="bullet"/>
      <w:lvlText w:val=""/>
      <w:lvlJc w:val="left"/>
      <w:pPr>
        <w:ind w:left="1020" w:hanging="360"/>
      </w:pPr>
      <w:rPr>
        <w:rFonts w:ascii="Symbol" w:hAnsi="Symbol"/>
      </w:rPr>
    </w:lvl>
    <w:lvl w:ilvl="1" w:tplc="7CD0CE9A">
      <w:start w:val="1"/>
      <w:numFmt w:val="bullet"/>
      <w:lvlText w:val=""/>
      <w:lvlJc w:val="left"/>
      <w:pPr>
        <w:ind w:left="1020" w:hanging="360"/>
      </w:pPr>
      <w:rPr>
        <w:rFonts w:ascii="Symbol" w:hAnsi="Symbol"/>
      </w:rPr>
    </w:lvl>
    <w:lvl w:ilvl="2" w:tplc="6B260BD6">
      <w:start w:val="1"/>
      <w:numFmt w:val="bullet"/>
      <w:lvlText w:val=""/>
      <w:lvlJc w:val="left"/>
      <w:pPr>
        <w:ind w:left="1020" w:hanging="360"/>
      </w:pPr>
      <w:rPr>
        <w:rFonts w:ascii="Symbol" w:hAnsi="Symbol"/>
      </w:rPr>
    </w:lvl>
    <w:lvl w:ilvl="3" w:tplc="5F56C12E">
      <w:start w:val="1"/>
      <w:numFmt w:val="bullet"/>
      <w:lvlText w:val=""/>
      <w:lvlJc w:val="left"/>
      <w:pPr>
        <w:ind w:left="1020" w:hanging="360"/>
      </w:pPr>
      <w:rPr>
        <w:rFonts w:ascii="Symbol" w:hAnsi="Symbol"/>
      </w:rPr>
    </w:lvl>
    <w:lvl w:ilvl="4" w:tplc="74542EA6">
      <w:start w:val="1"/>
      <w:numFmt w:val="bullet"/>
      <w:lvlText w:val=""/>
      <w:lvlJc w:val="left"/>
      <w:pPr>
        <w:ind w:left="1020" w:hanging="360"/>
      </w:pPr>
      <w:rPr>
        <w:rFonts w:ascii="Symbol" w:hAnsi="Symbol"/>
      </w:rPr>
    </w:lvl>
    <w:lvl w:ilvl="5" w:tplc="EBACEBEE">
      <w:start w:val="1"/>
      <w:numFmt w:val="bullet"/>
      <w:lvlText w:val=""/>
      <w:lvlJc w:val="left"/>
      <w:pPr>
        <w:ind w:left="1020" w:hanging="360"/>
      </w:pPr>
      <w:rPr>
        <w:rFonts w:ascii="Symbol" w:hAnsi="Symbol"/>
      </w:rPr>
    </w:lvl>
    <w:lvl w:ilvl="6" w:tplc="AD74ACD6">
      <w:start w:val="1"/>
      <w:numFmt w:val="bullet"/>
      <w:lvlText w:val=""/>
      <w:lvlJc w:val="left"/>
      <w:pPr>
        <w:ind w:left="1020" w:hanging="360"/>
      </w:pPr>
      <w:rPr>
        <w:rFonts w:ascii="Symbol" w:hAnsi="Symbol"/>
      </w:rPr>
    </w:lvl>
    <w:lvl w:ilvl="7" w:tplc="30F6BE38">
      <w:start w:val="1"/>
      <w:numFmt w:val="bullet"/>
      <w:lvlText w:val=""/>
      <w:lvlJc w:val="left"/>
      <w:pPr>
        <w:ind w:left="1020" w:hanging="360"/>
      </w:pPr>
      <w:rPr>
        <w:rFonts w:ascii="Symbol" w:hAnsi="Symbol"/>
      </w:rPr>
    </w:lvl>
    <w:lvl w:ilvl="8" w:tplc="0EE26EC2">
      <w:start w:val="1"/>
      <w:numFmt w:val="bullet"/>
      <w:lvlText w:val=""/>
      <w:lvlJc w:val="left"/>
      <w:pPr>
        <w:ind w:left="1020" w:hanging="360"/>
      </w:pPr>
      <w:rPr>
        <w:rFonts w:ascii="Symbol" w:hAnsi="Symbol"/>
      </w:rPr>
    </w:lvl>
  </w:abstractNum>
  <w:abstractNum w:abstractNumId="19" w15:restartNumberingAfterBreak="0">
    <w:nsid w:val="4FB80A85"/>
    <w:multiLevelType w:val="hybridMultilevel"/>
    <w:tmpl w:val="168EC36C"/>
    <w:lvl w:ilvl="0" w:tplc="AAEA456E">
      <w:start w:val="1"/>
      <w:numFmt w:val="bullet"/>
      <w:lvlText w:val=""/>
      <w:lvlJc w:val="left"/>
      <w:pPr>
        <w:ind w:left="720" w:hanging="360"/>
      </w:pPr>
      <w:rPr>
        <w:rFonts w:ascii="Symbol" w:hAnsi="Symbol" w:hint="default"/>
      </w:rPr>
    </w:lvl>
    <w:lvl w:ilvl="1" w:tplc="079647FC">
      <w:start w:val="1"/>
      <w:numFmt w:val="bullet"/>
      <w:lvlText w:val="o"/>
      <w:lvlJc w:val="left"/>
      <w:pPr>
        <w:ind w:left="1440" w:hanging="360"/>
      </w:pPr>
      <w:rPr>
        <w:rFonts w:ascii="Courier New" w:hAnsi="Courier New" w:cs="Times New Roman" w:hint="default"/>
      </w:rPr>
    </w:lvl>
    <w:lvl w:ilvl="2" w:tplc="FE800182">
      <w:start w:val="1"/>
      <w:numFmt w:val="bullet"/>
      <w:lvlText w:val=""/>
      <w:lvlJc w:val="left"/>
      <w:pPr>
        <w:ind w:left="2160" w:hanging="360"/>
      </w:pPr>
      <w:rPr>
        <w:rFonts w:ascii="Wingdings" w:hAnsi="Wingdings" w:hint="default"/>
      </w:rPr>
    </w:lvl>
    <w:lvl w:ilvl="3" w:tplc="3790FC28">
      <w:start w:val="1"/>
      <w:numFmt w:val="bullet"/>
      <w:lvlText w:val=""/>
      <w:lvlJc w:val="left"/>
      <w:pPr>
        <w:ind w:left="2880" w:hanging="360"/>
      </w:pPr>
      <w:rPr>
        <w:rFonts w:ascii="Symbol" w:hAnsi="Symbol" w:hint="default"/>
      </w:rPr>
    </w:lvl>
    <w:lvl w:ilvl="4" w:tplc="13564354">
      <w:start w:val="1"/>
      <w:numFmt w:val="bullet"/>
      <w:lvlText w:val="o"/>
      <w:lvlJc w:val="left"/>
      <w:pPr>
        <w:ind w:left="3600" w:hanging="360"/>
      </w:pPr>
      <w:rPr>
        <w:rFonts w:ascii="Courier New" w:hAnsi="Courier New" w:cs="Times New Roman" w:hint="default"/>
      </w:rPr>
    </w:lvl>
    <w:lvl w:ilvl="5" w:tplc="394A3708">
      <w:start w:val="1"/>
      <w:numFmt w:val="bullet"/>
      <w:lvlText w:val=""/>
      <w:lvlJc w:val="left"/>
      <w:pPr>
        <w:ind w:left="4320" w:hanging="360"/>
      </w:pPr>
      <w:rPr>
        <w:rFonts w:ascii="Wingdings" w:hAnsi="Wingdings" w:hint="default"/>
      </w:rPr>
    </w:lvl>
    <w:lvl w:ilvl="6" w:tplc="816CB106">
      <w:start w:val="1"/>
      <w:numFmt w:val="bullet"/>
      <w:lvlText w:val=""/>
      <w:lvlJc w:val="left"/>
      <w:pPr>
        <w:ind w:left="5040" w:hanging="360"/>
      </w:pPr>
      <w:rPr>
        <w:rFonts w:ascii="Symbol" w:hAnsi="Symbol" w:hint="default"/>
      </w:rPr>
    </w:lvl>
    <w:lvl w:ilvl="7" w:tplc="D2CC65A4">
      <w:start w:val="1"/>
      <w:numFmt w:val="bullet"/>
      <w:lvlText w:val="o"/>
      <w:lvlJc w:val="left"/>
      <w:pPr>
        <w:ind w:left="5760" w:hanging="360"/>
      </w:pPr>
      <w:rPr>
        <w:rFonts w:ascii="Courier New" w:hAnsi="Courier New" w:cs="Times New Roman" w:hint="default"/>
      </w:rPr>
    </w:lvl>
    <w:lvl w:ilvl="8" w:tplc="B9740A5C">
      <w:start w:val="1"/>
      <w:numFmt w:val="bullet"/>
      <w:lvlText w:val=""/>
      <w:lvlJc w:val="left"/>
      <w:pPr>
        <w:ind w:left="6480" w:hanging="360"/>
      </w:pPr>
      <w:rPr>
        <w:rFonts w:ascii="Wingdings" w:hAnsi="Wingdings" w:hint="default"/>
      </w:rPr>
    </w:lvl>
  </w:abstractNum>
  <w:abstractNum w:abstractNumId="2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3" w15:restartNumberingAfterBreak="0">
    <w:nsid w:val="61D6AB8F"/>
    <w:multiLevelType w:val="hybridMultilevel"/>
    <w:tmpl w:val="3880E1E8"/>
    <w:lvl w:ilvl="0" w:tplc="0C846904">
      <w:start w:val="1"/>
      <w:numFmt w:val="bullet"/>
      <w:lvlText w:val=""/>
      <w:lvlJc w:val="left"/>
      <w:pPr>
        <w:ind w:left="720" w:hanging="360"/>
      </w:pPr>
      <w:rPr>
        <w:rFonts w:ascii="Symbol" w:hAnsi="Symbol" w:hint="default"/>
      </w:rPr>
    </w:lvl>
    <w:lvl w:ilvl="1" w:tplc="5C8CD5EA">
      <w:start w:val="1"/>
      <w:numFmt w:val="bullet"/>
      <w:lvlText w:val="o"/>
      <w:lvlJc w:val="left"/>
      <w:pPr>
        <w:ind w:left="1440" w:hanging="360"/>
      </w:pPr>
      <w:rPr>
        <w:rFonts w:ascii="Courier New" w:hAnsi="Courier New" w:cs="Times New Roman" w:hint="default"/>
      </w:rPr>
    </w:lvl>
    <w:lvl w:ilvl="2" w:tplc="F3828AEA">
      <w:start w:val="1"/>
      <w:numFmt w:val="bullet"/>
      <w:lvlText w:val=""/>
      <w:lvlJc w:val="left"/>
      <w:pPr>
        <w:ind w:left="2160" w:hanging="360"/>
      </w:pPr>
      <w:rPr>
        <w:rFonts w:ascii="Wingdings" w:hAnsi="Wingdings" w:hint="default"/>
      </w:rPr>
    </w:lvl>
    <w:lvl w:ilvl="3" w:tplc="AB160332">
      <w:start w:val="1"/>
      <w:numFmt w:val="bullet"/>
      <w:lvlText w:val=""/>
      <w:lvlJc w:val="left"/>
      <w:pPr>
        <w:ind w:left="2880" w:hanging="360"/>
      </w:pPr>
      <w:rPr>
        <w:rFonts w:ascii="Symbol" w:hAnsi="Symbol" w:hint="default"/>
      </w:rPr>
    </w:lvl>
    <w:lvl w:ilvl="4" w:tplc="0E6E0D64">
      <w:start w:val="1"/>
      <w:numFmt w:val="bullet"/>
      <w:lvlText w:val="o"/>
      <w:lvlJc w:val="left"/>
      <w:pPr>
        <w:ind w:left="3600" w:hanging="360"/>
      </w:pPr>
      <w:rPr>
        <w:rFonts w:ascii="Courier New" w:hAnsi="Courier New" w:cs="Times New Roman" w:hint="default"/>
      </w:rPr>
    </w:lvl>
    <w:lvl w:ilvl="5" w:tplc="32204F04">
      <w:start w:val="1"/>
      <w:numFmt w:val="bullet"/>
      <w:lvlText w:val=""/>
      <w:lvlJc w:val="left"/>
      <w:pPr>
        <w:ind w:left="4320" w:hanging="360"/>
      </w:pPr>
      <w:rPr>
        <w:rFonts w:ascii="Wingdings" w:hAnsi="Wingdings" w:hint="default"/>
      </w:rPr>
    </w:lvl>
    <w:lvl w:ilvl="6" w:tplc="B0924F96">
      <w:start w:val="1"/>
      <w:numFmt w:val="bullet"/>
      <w:lvlText w:val=""/>
      <w:lvlJc w:val="left"/>
      <w:pPr>
        <w:ind w:left="5040" w:hanging="360"/>
      </w:pPr>
      <w:rPr>
        <w:rFonts w:ascii="Symbol" w:hAnsi="Symbol" w:hint="default"/>
      </w:rPr>
    </w:lvl>
    <w:lvl w:ilvl="7" w:tplc="84D420D4">
      <w:start w:val="1"/>
      <w:numFmt w:val="bullet"/>
      <w:lvlText w:val="o"/>
      <w:lvlJc w:val="left"/>
      <w:pPr>
        <w:ind w:left="5760" w:hanging="360"/>
      </w:pPr>
      <w:rPr>
        <w:rFonts w:ascii="Courier New" w:hAnsi="Courier New" w:cs="Times New Roman" w:hint="default"/>
      </w:rPr>
    </w:lvl>
    <w:lvl w:ilvl="8" w:tplc="C05CFA58">
      <w:start w:val="1"/>
      <w:numFmt w:val="bullet"/>
      <w:lvlText w:val=""/>
      <w:lvlJc w:val="left"/>
      <w:pPr>
        <w:ind w:left="6480" w:hanging="360"/>
      </w:pPr>
      <w:rPr>
        <w:rFonts w:ascii="Wingdings" w:hAnsi="Wingdings" w:hint="default"/>
      </w:rPr>
    </w:lvl>
  </w:abstractNum>
  <w:abstractNum w:abstractNumId="24" w15:restartNumberingAfterBreak="0">
    <w:nsid w:val="68BD5682"/>
    <w:multiLevelType w:val="multilevel"/>
    <w:tmpl w:val="EAD453D0"/>
    <w:numStyleLink w:val="NumbListHighlight"/>
  </w:abstractNum>
  <w:abstractNum w:abstractNumId="25"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726F4"/>
    <w:multiLevelType w:val="hybridMultilevel"/>
    <w:tmpl w:val="515C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15:restartNumberingAfterBreak="0">
    <w:nsid w:val="72894C73"/>
    <w:multiLevelType w:val="hybridMultilevel"/>
    <w:tmpl w:val="55121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4C62AB"/>
    <w:multiLevelType w:val="multilevel"/>
    <w:tmpl w:val="6B204466"/>
    <w:numStyleLink w:val="ORRAnnex"/>
  </w:abstractNum>
  <w:abstractNum w:abstractNumId="30" w15:restartNumberingAfterBreak="0">
    <w:nsid w:val="7DDA5CB4"/>
    <w:multiLevelType w:val="multilevel"/>
    <w:tmpl w:val="6B204466"/>
    <w:numStyleLink w:val="ORRAnnex"/>
  </w:abstractNum>
  <w:num w:numId="1" w16cid:durableId="12330070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7"/>
  </w:num>
  <w:num w:numId="3" w16cid:durableId="615990203">
    <w:abstractNumId w:val="6"/>
  </w:num>
  <w:num w:numId="4" w16cid:durableId="1539008159">
    <w:abstractNumId w:val="21"/>
  </w:num>
  <w:num w:numId="5" w16cid:durableId="1334801291">
    <w:abstractNumId w:val="8"/>
  </w:num>
  <w:num w:numId="6" w16cid:durableId="116142554">
    <w:abstractNumId w:val="13"/>
  </w:num>
  <w:num w:numId="7" w16cid:durableId="1708795862">
    <w:abstractNumId w:val="9"/>
  </w:num>
  <w:num w:numId="8" w16cid:durableId="1432780497">
    <w:abstractNumId w:val="4"/>
  </w:num>
  <w:num w:numId="9" w16cid:durableId="35012236">
    <w:abstractNumId w:val="3"/>
  </w:num>
  <w:num w:numId="10" w16cid:durableId="711077664">
    <w:abstractNumId w:val="0"/>
  </w:num>
  <w:num w:numId="11" w16cid:durableId="1604993918">
    <w:abstractNumId w:val="24"/>
  </w:num>
  <w:num w:numId="12" w16cid:durableId="435447028">
    <w:abstractNumId w:val="22"/>
  </w:num>
  <w:num w:numId="13" w16cid:durableId="2048019962">
    <w:abstractNumId w:val="29"/>
  </w:num>
  <w:num w:numId="14" w16cid:durableId="2025738407">
    <w:abstractNumId w:val="24"/>
  </w:num>
  <w:num w:numId="15" w16cid:durableId="150879135">
    <w:abstractNumId w:val="24"/>
  </w:num>
  <w:num w:numId="16" w16cid:durableId="891042484">
    <w:abstractNumId w:val="24"/>
  </w:num>
  <w:num w:numId="17" w16cid:durableId="727414043">
    <w:abstractNumId w:val="22"/>
  </w:num>
  <w:num w:numId="18" w16cid:durableId="1027833524">
    <w:abstractNumId w:val="1"/>
  </w:num>
  <w:num w:numId="19" w16cid:durableId="50661355">
    <w:abstractNumId w:val="5"/>
  </w:num>
  <w:num w:numId="20" w16cid:durableId="1446195555">
    <w:abstractNumId w:val="3"/>
  </w:num>
  <w:num w:numId="21" w16cid:durableId="558327301">
    <w:abstractNumId w:val="30"/>
  </w:num>
  <w:num w:numId="22" w16cid:durableId="463500638">
    <w:abstractNumId w:val="16"/>
  </w:num>
  <w:num w:numId="23" w16cid:durableId="1527019102">
    <w:abstractNumId w:val="2"/>
  </w:num>
  <w:num w:numId="24" w16cid:durableId="1992102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0"/>
  </w:num>
  <w:num w:numId="26" w16cid:durableId="1830293373">
    <w:abstractNumId w:val="25"/>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20"/>
  </w:num>
  <w:num w:numId="33" w16cid:durableId="2048604773">
    <w:abstractNumId w:val="19"/>
  </w:num>
  <w:num w:numId="34" w16cid:durableId="173233617">
    <w:abstractNumId w:val="5"/>
  </w:num>
  <w:num w:numId="35" w16cid:durableId="1466965224">
    <w:abstractNumId w:val="5"/>
  </w:num>
  <w:num w:numId="36" w16cid:durableId="2118527079">
    <w:abstractNumId w:val="23"/>
  </w:num>
  <w:num w:numId="37" w16cid:durableId="1955095932">
    <w:abstractNumId w:val="5"/>
  </w:num>
  <w:num w:numId="38" w16cid:durableId="1410807117">
    <w:abstractNumId w:val="15"/>
  </w:num>
  <w:num w:numId="39" w16cid:durableId="585696017">
    <w:abstractNumId w:val="5"/>
  </w:num>
  <w:num w:numId="40" w16cid:durableId="816918101">
    <w:abstractNumId w:val="12"/>
  </w:num>
  <w:num w:numId="41" w16cid:durableId="2100442456">
    <w:abstractNumId w:val="5"/>
  </w:num>
  <w:num w:numId="42" w16cid:durableId="787503189">
    <w:abstractNumId w:val="5"/>
  </w:num>
  <w:num w:numId="43" w16cid:durableId="1118184372">
    <w:abstractNumId w:val="26"/>
  </w:num>
  <w:num w:numId="44" w16cid:durableId="546378589">
    <w:abstractNumId w:val="7"/>
  </w:num>
  <w:num w:numId="45" w16cid:durableId="1296761691">
    <w:abstractNumId w:val="28"/>
  </w:num>
  <w:num w:numId="46" w16cid:durableId="1774547121">
    <w:abstractNumId w:val="11"/>
  </w:num>
  <w:num w:numId="47" w16cid:durableId="1346009827">
    <w:abstractNumId w:val="18"/>
  </w:num>
  <w:num w:numId="48" w16cid:durableId="124364154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3F"/>
    <w:rsid w:val="00000EFE"/>
    <w:rsid w:val="000016D5"/>
    <w:rsid w:val="00001FB5"/>
    <w:rsid w:val="00002819"/>
    <w:rsid w:val="000030F8"/>
    <w:rsid w:val="000032A5"/>
    <w:rsid w:val="00014CD1"/>
    <w:rsid w:val="0002099A"/>
    <w:rsid w:val="0002210B"/>
    <w:rsid w:val="0002426D"/>
    <w:rsid w:val="00026880"/>
    <w:rsid w:val="00026D0E"/>
    <w:rsid w:val="000300DA"/>
    <w:rsid w:val="0003350C"/>
    <w:rsid w:val="00036DEB"/>
    <w:rsid w:val="00037BD2"/>
    <w:rsid w:val="00041AEE"/>
    <w:rsid w:val="00042B65"/>
    <w:rsid w:val="00043DA2"/>
    <w:rsid w:val="0004428A"/>
    <w:rsid w:val="00044F5D"/>
    <w:rsid w:val="00045A0A"/>
    <w:rsid w:val="00045CBC"/>
    <w:rsid w:val="0005181F"/>
    <w:rsid w:val="00060052"/>
    <w:rsid w:val="0006011E"/>
    <w:rsid w:val="00060EB8"/>
    <w:rsid w:val="00066737"/>
    <w:rsid w:val="0007266A"/>
    <w:rsid w:val="000735F1"/>
    <w:rsid w:val="00076B67"/>
    <w:rsid w:val="00081ACA"/>
    <w:rsid w:val="00082DAA"/>
    <w:rsid w:val="000833AF"/>
    <w:rsid w:val="000840A4"/>
    <w:rsid w:val="00084783"/>
    <w:rsid w:val="00084972"/>
    <w:rsid w:val="0008514C"/>
    <w:rsid w:val="000876CB"/>
    <w:rsid w:val="000910F0"/>
    <w:rsid w:val="0009126F"/>
    <w:rsid w:val="00091760"/>
    <w:rsid w:val="0009203F"/>
    <w:rsid w:val="00092974"/>
    <w:rsid w:val="000A0438"/>
    <w:rsid w:val="000A2662"/>
    <w:rsid w:val="000A6AAF"/>
    <w:rsid w:val="000A6DE7"/>
    <w:rsid w:val="000B0266"/>
    <w:rsid w:val="000B1E7D"/>
    <w:rsid w:val="000B309A"/>
    <w:rsid w:val="000B6176"/>
    <w:rsid w:val="000C4CD8"/>
    <w:rsid w:val="000C6BCE"/>
    <w:rsid w:val="000C7B66"/>
    <w:rsid w:val="000D06E2"/>
    <w:rsid w:val="000D2970"/>
    <w:rsid w:val="000D79E1"/>
    <w:rsid w:val="000E101A"/>
    <w:rsid w:val="000E102B"/>
    <w:rsid w:val="000E135E"/>
    <w:rsid w:val="000E1CFC"/>
    <w:rsid w:val="000E32B5"/>
    <w:rsid w:val="000E4950"/>
    <w:rsid w:val="000E5AB1"/>
    <w:rsid w:val="000E5E49"/>
    <w:rsid w:val="000F4554"/>
    <w:rsid w:val="000F5529"/>
    <w:rsid w:val="000F5EF3"/>
    <w:rsid w:val="000F70BB"/>
    <w:rsid w:val="000F7BB6"/>
    <w:rsid w:val="00100D72"/>
    <w:rsid w:val="001012B6"/>
    <w:rsid w:val="00102F62"/>
    <w:rsid w:val="00103D7E"/>
    <w:rsid w:val="00111202"/>
    <w:rsid w:val="001161FC"/>
    <w:rsid w:val="00120892"/>
    <w:rsid w:val="00121561"/>
    <w:rsid w:val="0012193D"/>
    <w:rsid w:val="00121DAA"/>
    <w:rsid w:val="00124D1D"/>
    <w:rsid w:val="0012795E"/>
    <w:rsid w:val="00127F68"/>
    <w:rsid w:val="00137015"/>
    <w:rsid w:val="00141746"/>
    <w:rsid w:val="00142694"/>
    <w:rsid w:val="001526A6"/>
    <w:rsid w:val="00152FAD"/>
    <w:rsid w:val="00155088"/>
    <w:rsid w:val="0015625B"/>
    <w:rsid w:val="00156D5F"/>
    <w:rsid w:val="00157E4C"/>
    <w:rsid w:val="00160A77"/>
    <w:rsid w:val="00160B26"/>
    <w:rsid w:val="00162B03"/>
    <w:rsid w:val="00164ECD"/>
    <w:rsid w:val="001659DD"/>
    <w:rsid w:val="00167308"/>
    <w:rsid w:val="00171E62"/>
    <w:rsid w:val="00174DC9"/>
    <w:rsid w:val="00175A76"/>
    <w:rsid w:val="001768F1"/>
    <w:rsid w:val="00180E47"/>
    <w:rsid w:val="001858EB"/>
    <w:rsid w:val="0018635E"/>
    <w:rsid w:val="001945EA"/>
    <w:rsid w:val="00194E09"/>
    <w:rsid w:val="00195C79"/>
    <w:rsid w:val="001A00F0"/>
    <w:rsid w:val="001A1058"/>
    <w:rsid w:val="001B1F3A"/>
    <w:rsid w:val="001B3FD8"/>
    <w:rsid w:val="001B4599"/>
    <w:rsid w:val="001B54A7"/>
    <w:rsid w:val="001B551F"/>
    <w:rsid w:val="001B574E"/>
    <w:rsid w:val="001B5A48"/>
    <w:rsid w:val="001B62CD"/>
    <w:rsid w:val="001B71F8"/>
    <w:rsid w:val="001C149F"/>
    <w:rsid w:val="001C60A4"/>
    <w:rsid w:val="001D1536"/>
    <w:rsid w:val="001D1DFC"/>
    <w:rsid w:val="001D590D"/>
    <w:rsid w:val="001D5DF3"/>
    <w:rsid w:val="001E1EB3"/>
    <w:rsid w:val="001E23F4"/>
    <w:rsid w:val="001E39BB"/>
    <w:rsid w:val="001E7C87"/>
    <w:rsid w:val="001F1140"/>
    <w:rsid w:val="001F2E9D"/>
    <w:rsid w:val="001F4F0C"/>
    <w:rsid w:val="001F55B8"/>
    <w:rsid w:val="001F6021"/>
    <w:rsid w:val="0020297B"/>
    <w:rsid w:val="002063AE"/>
    <w:rsid w:val="002064AF"/>
    <w:rsid w:val="002077FD"/>
    <w:rsid w:val="0021084B"/>
    <w:rsid w:val="0021141B"/>
    <w:rsid w:val="00211C69"/>
    <w:rsid w:val="0021395E"/>
    <w:rsid w:val="00215B6B"/>
    <w:rsid w:val="002162D4"/>
    <w:rsid w:val="00217DCD"/>
    <w:rsid w:val="00220F85"/>
    <w:rsid w:val="0022209D"/>
    <w:rsid w:val="00224950"/>
    <w:rsid w:val="00225D2C"/>
    <w:rsid w:val="00225EFD"/>
    <w:rsid w:val="00230670"/>
    <w:rsid w:val="00231A03"/>
    <w:rsid w:val="00233BB6"/>
    <w:rsid w:val="00234936"/>
    <w:rsid w:val="00235AC7"/>
    <w:rsid w:val="00240410"/>
    <w:rsid w:val="002417D1"/>
    <w:rsid w:val="002459ED"/>
    <w:rsid w:val="0025242F"/>
    <w:rsid w:val="00255362"/>
    <w:rsid w:val="00256302"/>
    <w:rsid w:val="0025788E"/>
    <w:rsid w:val="00257BE5"/>
    <w:rsid w:val="00261F36"/>
    <w:rsid w:val="002712ED"/>
    <w:rsid w:val="00272200"/>
    <w:rsid w:val="00273D82"/>
    <w:rsid w:val="002751DF"/>
    <w:rsid w:val="00276C64"/>
    <w:rsid w:val="002773B8"/>
    <w:rsid w:val="00282136"/>
    <w:rsid w:val="00283FCD"/>
    <w:rsid w:val="0028433A"/>
    <w:rsid w:val="002858CD"/>
    <w:rsid w:val="00286CF2"/>
    <w:rsid w:val="0028735A"/>
    <w:rsid w:val="002921DB"/>
    <w:rsid w:val="0029283C"/>
    <w:rsid w:val="00293D38"/>
    <w:rsid w:val="00297104"/>
    <w:rsid w:val="002A7655"/>
    <w:rsid w:val="002A7F4B"/>
    <w:rsid w:val="002B066C"/>
    <w:rsid w:val="002B5E3A"/>
    <w:rsid w:val="002B7995"/>
    <w:rsid w:val="002C220F"/>
    <w:rsid w:val="002C2A09"/>
    <w:rsid w:val="002C5A50"/>
    <w:rsid w:val="002C6E70"/>
    <w:rsid w:val="002D0E5B"/>
    <w:rsid w:val="002D2997"/>
    <w:rsid w:val="002D3609"/>
    <w:rsid w:val="002D3643"/>
    <w:rsid w:val="002D46DA"/>
    <w:rsid w:val="002D7E36"/>
    <w:rsid w:val="002E2DAD"/>
    <w:rsid w:val="002E7122"/>
    <w:rsid w:val="002E7F24"/>
    <w:rsid w:val="002E7FCE"/>
    <w:rsid w:val="002F111F"/>
    <w:rsid w:val="002F2791"/>
    <w:rsid w:val="002F5466"/>
    <w:rsid w:val="002F56B7"/>
    <w:rsid w:val="0030237B"/>
    <w:rsid w:val="003027B1"/>
    <w:rsid w:val="00304A46"/>
    <w:rsid w:val="00311FD5"/>
    <w:rsid w:val="003202A5"/>
    <w:rsid w:val="00321EFA"/>
    <w:rsid w:val="003247A4"/>
    <w:rsid w:val="00330971"/>
    <w:rsid w:val="00330C8F"/>
    <w:rsid w:val="00334F6E"/>
    <w:rsid w:val="003366E7"/>
    <w:rsid w:val="003419BE"/>
    <w:rsid w:val="0034288F"/>
    <w:rsid w:val="00343838"/>
    <w:rsid w:val="0034743B"/>
    <w:rsid w:val="0034744B"/>
    <w:rsid w:val="00347F87"/>
    <w:rsid w:val="00350594"/>
    <w:rsid w:val="003543C0"/>
    <w:rsid w:val="0035753E"/>
    <w:rsid w:val="00362917"/>
    <w:rsid w:val="0036504A"/>
    <w:rsid w:val="00371B55"/>
    <w:rsid w:val="00372316"/>
    <w:rsid w:val="00372ABD"/>
    <w:rsid w:val="00374BAE"/>
    <w:rsid w:val="003763A1"/>
    <w:rsid w:val="003764B8"/>
    <w:rsid w:val="00377EF5"/>
    <w:rsid w:val="003813C5"/>
    <w:rsid w:val="003816D2"/>
    <w:rsid w:val="00384699"/>
    <w:rsid w:val="00384927"/>
    <w:rsid w:val="003852D8"/>
    <w:rsid w:val="00385387"/>
    <w:rsid w:val="003856B5"/>
    <w:rsid w:val="003859F6"/>
    <w:rsid w:val="00385F6B"/>
    <w:rsid w:val="00386AF7"/>
    <w:rsid w:val="00386E0A"/>
    <w:rsid w:val="00392BB9"/>
    <w:rsid w:val="003A16E9"/>
    <w:rsid w:val="003B008E"/>
    <w:rsid w:val="003B09D0"/>
    <w:rsid w:val="003B1008"/>
    <w:rsid w:val="003B1A86"/>
    <w:rsid w:val="003B1A96"/>
    <w:rsid w:val="003B2506"/>
    <w:rsid w:val="003B27DE"/>
    <w:rsid w:val="003C0BDF"/>
    <w:rsid w:val="003C247A"/>
    <w:rsid w:val="003C2CFC"/>
    <w:rsid w:val="003C3449"/>
    <w:rsid w:val="003C3BA6"/>
    <w:rsid w:val="003C462A"/>
    <w:rsid w:val="003C5D1B"/>
    <w:rsid w:val="003D0868"/>
    <w:rsid w:val="003D1485"/>
    <w:rsid w:val="003D1B7D"/>
    <w:rsid w:val="003D1CC2"/>
    <w:rsid w:val="003D30C6"/>
    <w:rsid w:val="003E101F"/>
    <w:rsid w:val="003E1A78"/>
    <w:rsid w:val="003E2FAF"/>
    <w:rsid w:val="003E3E52"/>
    <w:rsid w:val="003E40D9"/>
    <w:rsid w:val="003E497C"/>
    <w:rsid w:val="003E5612"/>
    <w:rsid w:val="003E5A51"/>
    <w:rsid w:val="003E6BE3"/>
    <w:rsid w:val="003E77E2"/>
    <w:rsid w:val="003F161B"/>
    <w:rsid w:val="003F3CB0"/>
    <w:rsid w:val="003F62B7"/>
    <w:rsid w:val="003F694D"/>
    <w:rsid w:val="003F6E9D"/>
    <w:rsid w:val="004003EF"/>
    <w:rsid w:val="00400432"/>
    <w:rsid w:val="00403C5B"/>
    <w:rsid w:val="00404C20"/>
    <w:rsid w:val="00407533"/>
    <w:rsid w:val="00410615"/>
    <w:rsid w:val="004121D9"/>
    <w:rsid w:val="00413BB3"/>
    <w:rsid w:val="00414896"/>
    <w:rsid w:val="0042552D"/>
    <w:rsid w:val="004276BA"/>
    <w:rsid w:val="0043040E"/>
    <w:rsid w:val="004308C7"/>
    <w:rsid w:val="00433557"/>
    <w:rsid w:val="004335D5"/>
    <w:rsid w:val="00433D4D"/>
    <w:rsid w:val="004372B6"/>
    <w:rsid w:val="0043752D"/>
    <w:rsid w:val="00437772"/>
    <w:rsid w:val="004408DD"/>
    <w:rsid w:val="004462A6"/>
    <w:rsid w:val="00446747"/>
    <w:rsid w:val="00451C67"/>
    <w:rsid w:val="00452F29"/>
    <w:rsid w:val="00453019"/>
    <w:rsid w:val="00454D76"/>
    <w:rsid w:val="00457556"/>
    <w:rsid w:val="004601E0"/>
    <w:rsid w:val="004615F5"/>
    <w:rsid w:val="004648D0"/>
    <w:rsid w:val="00465309"/>
    <w:rsid w:val="00465BD3"/>
    <w:rsid w:val="00465E6B"/>
    <w:rsid w:val="0046706C"/>
    <w:rsid w:val="00470E42"/>
    <w:rsid w:val="00472A7C"/>
    <w:rsid w:val="00474FF0"/>
    <w:rsid w:val="00476327"/>
    <w:rsid w:val="0048300B"/>
    <w:rsid w:val="0048774B"/>
    <w:rsid w:val="00490915"/>
    <w:rsid w:val="00493BC6"/>
    <w:rsid w:val="00494943"/>
    <w:rsid w:val="00495203"/>
    <w:rsid w:val="004964CA"/>
    <w:rsid w:val="004A0056"/>
    <w:rsid w:val="004A0C10"/>
    <w:rsid w:val="004A0C1A"/>
    <w:rsid w:val="004A24AB"/>
    <w:rsid w:val="004A743E"/>
    <w:rsid w:val="004B27FD"/>
    <w:rsid w:val="004B2D5D"/>
    <w:rsid w:val="004B336F"/>
    <w:rsid w:val="004C0057"/>
    <w:rsid w:val="004C0FAF"/>
    <w:rsid w:val="004C1FDD"/>
    <w:rsid w:val="004D1C50"/>
    <w:rsid w:val="004D3029"/>
    <w:rsid w:val="004D5D65"/>
    <w:rsid w:val="004E3EB1"/>
    <w:rsid w:val="004E57B7"/>
    <w:rsid w:val="004E5ACC"/>
    <w:rsid w:val="004E60C0"/>
    <w:rsid w:val="004F1D51"/>
    <w:rsid w:val="004F2AE4"/>
    <w:rsid w:val="004F6111"/>
    <w:rsid w:val="005066A9"/>
    <w:rsid w:val="005165AD"/>
    <w:rsid w:val="00516AE9"/>
    <w:rsid w:val="005236D2"/>
    <w:rsid w:val="00526956"/>
    <w:rsid w:val="00532B91"/>
    <w:rsid w:val="00534962"/>
    <w:rsid w:val="00536EB2"/>
    <w:rsid w:val="00544099"/>
    <w:rsid w:val="00546AF7"/>
    <w:rsid w:val="005475DB"/>
    <w:rsid w:val="00555585"/>
    <w:rsid w:val="005612F3"/>
    <w:rsid w:val="005635FA"/>
    <w:rsid w:val="00574B16"/>
    <w:rsid w:val="00580A77"/>
    <w:rsid w:val="005810A9"/>
    <w:rsid w:val="00585CEE"/>
    <w:rsid w:val="00591161"/>
    <w:rsid w:val="00596F73"/>
    <w:rsid w:val="005A210C"/>
    <w:rsid w:val="005A4A96"/>
    <w:rsid w:val="005A6A23"/>
    <w:rsid w:val="005B1E20"/>
    <w:rsid w:val="005B27FB"/>
    <w:rsid w:val="005B3ED1"/>
    <w:rsid w:val="005B621F"/>
    <w:rsid w:val="005B6E3B"/>
    <w:rsid w:val="005B7791"/>
    <w:rsid w:val="005B7D6D"/>
    <w:rsid w:val="005C0E21"/>
    <w:rsid w:val="005C29ED"/>
    <w:rsid w:val="005C3211"/>
    <w:rsid w:val="005C5BD8"/>
    <w:rsid w:val="005C6471"/>
    <w:rsid w:val="005C78C8"/>
    <w:rsid w:val="005D0524"/>
    <w:rsid w:val="005D169D"/>
    <w:rsid w:val="005E1F2E"/>
    <w:rsid w:val="005E2832"/>
    <w:rsid w:val="005E2FF2"/>
    <w:rsid w:val="005E33FD"/>
    <w:rsid w:val="005F12AF"/>
    <w:rsid w:val="005F14D6"/>
    <w:rsid w:val="005F217E"/>
    <w:rsid w:val="005F2187"/>
    <w:rsid w:val="005F2229"/>
    <w:rsid w:val="005F2393"/>
    <w:rsid w:val="005F31A1"/>
    <w:rsid w:val="005F386D"/>
    <w:rsid w:val="005F4936"/>
    <w:rsid w:val="005F5FCB"/>
    <w:rsid w:val="005F74FA"/>
    <w:rsid w:val="006023B5"/>
    <w:rsid w:val="00613440"/>
    <w:rsid w:val="00615D12"/>
    <w:rsid w:val="00617B7F"/>
    <w:rsid w:val="00621979"/>
    <w:rsid w:val="006242F0"/>
    <w:rsid w:val="00624D46"/>
    <w:rsid w:val="006316B1"/>
    <w:rsid w:val="00632A37"/>
    <w:rsid w:val="00634803"/>
    <w:rsid w:val="00636173"/>
    <w:rsid w:val="00637198"/>
    <w:rsid w:val="00640445"/>
    <w:rsid w:val="00640A35"/>
    <w:rsid w:val="00642D2F"/>
    <w:rsid w:val="00645EB9"/>
    <w:rsid w:val="006465D2"/>
    <w:rsid w:val="0064756A"/>
    <w:rsid w:val="006537EA"/>
    <w:rsid w:val="0065402B"/>
    <w:rsid w:val="0065616A"/>
    <w:rsid w:val="006562DE"/>
    <w:rsid w:val="0066567C"/>
    <w:rsid w:val="00666D56"/>
    <w:rsid w:val="006701F0"/>
    <w:rsid w:val="00672338"/>
    <w:rsid w:val="00673F42"/>
    <w:rsid w:val="00680F10"/>
    <w:rsid w:val="00680F51"/>
    <w:rsid w:val="00683A4B"/>
    <w:rsid w:val="00683F80"/>
    <w:rsid w:val="00691342"/>
    <w:rsid w:val="00696275"/>
    <w:rsid w:val="00696534"/>
    <w:rsid w:val="00697BD5"/>
    <w:rsid w:val="006A063F"/>
    <w:rsid w:val="006A20E7"/>
    <w:rsid w:val="006A2C4E"/>
    <w:rsid w:val="006A6751"/>
    <w:rsid w:val="006B0E02"/>
    <w:rsid w:val="006B10C2"/>
    <w:rsid w:val="006B10E9"/>
    <w:rsid w:val="006B198C"/>
    <w:rsid w:val="006B27E0"/>
    <w:rsid w:val="006B7029"/>
    <w:rsid w:val="006C004C"/>
    <w:rsid w:val="006C02BD"/>
    <w:rsid w:val="006C15DB"/>
    <w:rsid w:val="006C27AD"/>
    <w:rsid w:val="006C291E"/>
    <w:rsid w:val="006C34AF"/>
    <w:rsid w:val="006C7602"/>
    <w:rsid w:val="006D1DD8"/>
    <w:rsid w:val="006D4741"/>
    <w:rsid w:val="006D6465"/>
    <w:rsid w:val="006E0380"/>
    <w:rsid w:val="006E1B18"/>
    <w:rsid w:val="006E1B6F"/>
    <w:rsid w:val="006E214D"/>
    <w:rsid w:val="006E25F6"/>
    <w:rsid w:val="006E55C1"/>
    <w:rsid w:val="006F47BD"/>
    <w:rsid w:val="006F6490"/>
    <w:rsid w:val="006F663A"/>
    <w:rsid w:val="00703BE0"/>
    <w:rsid w:val="00704CF0"/>
    <w:rsid w:val="0070584F"/>
    <w:rsid w:val="00705CF5"/>
    <w:rsid w:val="007061B3"/>
    <w:rsid w:val="007062A6"/>
    <w:rsid w:val="00706A10"/>
    <w:rsid w:val="00713B94"/>
    <w:rsid w:val="00716CEC"/>
    <w:rsid w:val="00717537"/>
    <w:rsid w:val="007200CC"/>
    <w:rsid w:val="00722D2B"/>
    <w:rsid w:val="00723A7F"/>
    <w:rsid w:val="00724059"/>
    <w:rsid w:val="007246E1"/>
    <w:rsid w:val="0072547F"/>
    <w:rsid w:val="00725DA6"/>
    <w:rsid w:val="007312C3"/>
    <w:rsid w:val="00731F42"/>
    <w:rsid w:val="00732439"/>
    <w:rsid w:val="00734AF8"/>
    <w:rsid w:val="00740FC4"/>
    <w:rsid w:val="00745B89"/>
    <w:rsid w:val="00745F36"/>
    <w:rsid w:val="00752063"/>
    <w:rsid w:val="00755F22"/>
    <w:rsid w:val="0075633E"/>
    <w:rsid w:val="0075674E"/>
    <w:rsid w:val="00756E0D"/>
    <w:rsid w:val="00757472"/>
    <w:rsid w:val="00760514"/>
    <w:rsid w:val="007606F1"/>
    <w:rsid w:val="00762C46"/>
    <w:rsid w:val="00763245"/>
    <w:rsid w:val="00763850"/>
    <w:rsid w:val="00763EA3"/>
    <w:rsid w:val="00765B68"/>
    <w:rsid w:val="007679D8"/>
    <w:rsid w:val="00770580"/>
    <w:rsid w:val="00773068"/>
    <w:rsid w:val="007733FD"/>
    <w:rsid w:val="007737F9"/>
    <w:rsid w:val="00777033"/>
    <w:rsid w:val="00785937"/>
    <w:rsid w:val="00790319"/>
    <w:rsid w:val="00790401"/>
    <w:rsid w:val="00790AD2"/>
    <w:rsid w:val="0079264A"/>
    <w:rsid w:val="007940BA"/>
    <w:rsid w:val="00796755"/>
    <w:rsid w:val="00796E71"/>
    <w:rsid w:val="007979A7"/>
    <w:rsid w:val="00797F75"/>
    <w:rsid w:val="007A1F12"/>
    <w:rsid w:val="007A49FC"/>
    <w:rsid w:val="007A51F3"/>
    <w:rsid w:val="007A607D"/>
    <w:rsid w:val="007A79B0"/>
    <w:rsid w:val="007B1555"/>
    <w:rsid w:val="007B24CD"/>
    <w:rsid w:val="007B6E59"/>
    <w:rsid w:val="007C2FB0"/>
    <w:rsid w:val="007C43C1"/>
    <w:rsid w:val="007C67C9"/>
    <w:rsid w:val="007D5014"/>
    <w:rsid w:val="007E246D"/>
    <w:rsid w:val="007E2744"/>
    <w:rsid w:val="007E2967"/>
    <w:rsid w:val="007E4EC4"/>
    <w:rsid w:val="007E6E4B"/>
    <w:rsid w:val="007F250E"/>
    <w:rsid w:val="007F3F24"/>
    <w:rsid w:val="007F4B75"/>
    <w:rsid w:val="007F6498"/>
    <w:rsid w:val="007F6B18"/>
    <w:rsid w:val="00804350"/>
    <w:rsid w:val="00806042"/>
    <w:rsid w:val="008122F2"/>
    <w:rsid w:val="008145A2"/>
    <w:rsid w:val="0081518F"/>
    <w:rsid w:val="0081555F"/>
    <w:rsid w:val="0081639D"/>
    <w:rsid w:val="008174A6"/>
    <w:rsid w:val="00817539"/>
    <w:rsid w:val="0081794F"/>
    <w:rsid w:val="00826F5D"/>
    <w:rsid w:val="008277B1"/>
    <w:rsid w:val="00831EE0"/>
    <w:rsid w:val="008342A5"/>
    <w:rsid w:val="0083798F"/>
    <w:rsid w:val="00841B8C"/>
    <w:rsid w:val="008422F2"/>
    <w:rsid w:val="00845EDF"/>
    <w:rsid w:val="008475B8"/>
    <w:rsid w:val="00851E44"/>
    <w:rsid w:val="00852E5A"/>
    <w:rsid w:val="00853099"/>
    <w:rsid w:val="0085486B"/>
    <w:rsid w:val="00855FA9"/>
    <w:rsid w:val="00856DAD"/>
    <w:rsid w:val="008624E2"/>
    <w:rsid w:val="008640BB"/>
    <w:rsid w:val="008667A9"/>
    <w:rsid w:val="00873479"/>
    <w:rsid w:val="0087426B"/>
    <w:rsid w:val="00875393"/>
    <w:rsid w:val="00882BEF"/>
    <w:rsid w:val="00884568"/>
    <w:rsid w:val="00885126"/>
    <w:rsid w:val="00886473"/>
    <w:rsid w:val="00886DE9"/>
    <w:rsid w:val="00890BB8"/>
    <w:rsid w:val="008911C0"/>
    <w:rsid w:val="00892CA9"/>
    <w:rsid w:val="00894644"/>
    <w:rsid w:val="008946A7"/>
    <w:rsid w:val="00894C71"/>
    <w:rsid w:val="00894D7D"/>
    <w:rsid w:val="00895E07"/>
    <w:rsid w:val="00897A5A"/>
    <w:rsid w:val="008A1C58"/>
    <w:rsid w:val="008A1E4C"/>
    <w:rsid w:val="008A23B3"/>
    <w:rsid w:val="008A25C5"/>
    <w:rsid w:val="008A4547"/>
    <w:rsid w:val="008A4D8C"/>
    <w:rsid w:val="008A7042"/>
    <w:rsid w:val="008B068A"/>
    <w:rsid w:val="008B2E95"/>
    <w:rsid w:val="008B39F2"/>
    <w:rsid w:val="008B50A1"/>
    <w:rsid w:val="008B6DC1"/>
    <w:rsid w:val="008C059B"/>
    <w:rsid w:val="008C091C"/>
    <w:rsid w:val="008C1870"/>
    <w:rsid w:val="008C30D2"/>
    <w:rsid w:val="008D37E8"/>
    <w:rsid w:val="008D4781"/>
    <w:rsid w:val="008D5E69"/>
    <w:rsid w:val="008D60C8"/>
    <w:rsid w:val="008D70DE"/>
    <w:rsid w:val="008E3D37"/>
    <w:rsid w:val="008E3E7D"/>
    <w:rsid w:val="008E5039"/>
    <w:rsid w:val="008E61DF"/>
    <w:rsid w:val="008F04E0"/>
    <w:rsid w:val="008F0B87"/>
    <w:rsid w:val="008F18B3"/>
    <w:rsid w:val="008F1A0A"/>
    <w:rsid w:val="008F499C"/>
    <w:rsid w:val="008F676D"/>
    <w:rsid w:val="009018DB"/>
    <w:rsid w:val="00901C9A"/>
    <w:rsid w:val="0090243F"/>
    <w:rsid w:val="00903EB2"/>
    <w:rsid w:val="00904857"/>
    <w:rsid w:val="0090622E"/>
    <w:rsid w:val="00907F32"/>
    <w:rsid w:val="009102F8"/>
    <w:rsid w:val="00910E4A"/>
    <w:rsid w:val="009111CF"/>
    <w:rsid w:val="00912431"/>
    <w:rsid w:val="00912B66"/>
    <w:rsid w:val="00913800"/>
    <w:rsid w:val="00914861"/>
    <w:rsid w:val="00914D5C"/>
    <w:rsid w:val="00916C88"/>
    <w:rsid w:val="00917106"/>
    <w:rsid w:val="00920F55"/>
    <w:rsid w:val="00921D80"/>
    <w:rsid w:val="009235EC"/>
    <w:rsid w:val="0092556F"/>
    <w:rsid w:val="009265DD"/>
    <w:rsid w:val="00930A9E"/>
    <w:rsid w:val="009319AE"/>
    <w:rsid w:val="0093237E"/>
    <w:rsid w:val="009375BF"/>
    <w:rsid w:val="009402B1"/>
    <w:rsid w:val="0094130E"/>
    <w:rsid w:val="00942112"/>
    <w:rsid w:val="00945743"/>
    <w:rsid w:val="00946375"/>
    <w:rsid w:val="00951DB0"/>
    <w:rsid w:val="00952E99"/>
    <w:rsid w:val="009617D1"/>
    <w:rsid w:val="00963E0B"/>
    <w:rsid w:val="009646F5"/>
    <w:rsid w:val="00965164"/>
    <w:rsid w:val="0097296E"/>
    <w:rsid w:val="00973BC6"/>
    <w:rsid w:val="00974DB7"/>
    <w:rsid w:val="009755BF"/>
    <w:rsid w:val="009757DA"/>
    <w:rsid w:val="00981E60"/>
    <w:rsid w:val="009822CC"/>
    <w:rsid w:val="009826D2"/>
    <w:rsid w:val="00982820"/>
    <w:rsid w:val="0098468C"/>
    <w:rsid w:val="009852F9"/>
    <w:rsid w:val="00985547"/>
    <w:rsid w:val="0099169F"/>
    <w:rsid w:val="009924FF"/>
    <w:rsid w:val="0099269F"/>
    <w:rsid w:val="00992B05"/>
    <w:rsid w:val="00994102"/>
    <w:rsid w:val="009942BE"/>
    <w:rsid w:val="00996CF5"/>
    <w:rsid w:val="009A06B0"/>
    <w:rsid w:val="009A34CB"/>
    <w:rsid w:val="009A5DA3"/>
    <w:rsid w:val="009B04F7"/>
    <w:rsid w:val="009B53E4"/>
    <w:rsid w:val="009B5565"/>
    <w:rsid w:val="009B5A7A"/>
    <w:rsid w:val="009C08B2"/>
    <w:rsid w:val="009C12D9"/>
    <w:rsid w:val="009C3E78"/>
    <w:rsid w:val="009C7888"/>
    <w:rsid w:val="009D4BF5"/>
    <w:rsid w:val="009D65B5"/>
    <w:rsid w:val="009D7292"/>
    <w:rsid w:val="009E0644"/>
    <w:rsid w:val="009E13FE"/>
    <w:rsid w:val="009E34CC"/>
    <w:rsid w:val="009E476E"/>
    <w:rsid w:val="009F0133"/>
    <w:rsid w:val="009F4755"/>
    <w:rsid w:val="009F5929"/>
    <w:rsid w:val="009F642E"/>
    <w:rsid w:val="00A00A07"/>
    <w:rsid w:val="00A02455"/>
    <w:rsid w:val="00A03E79"/>
    <w:rsid w:val="00A06133"/>
    <w:rsid w:val="00A107B3"/>
    <w:rsid w:val="00A12B6D"/>
    <w:rsid w:val="00A14898"/>
    <w:rsid w:val="00A17292"/>
    <w:rsid w:val="00A27332"/>
    <w:rsid w:val="00A27B7D"/>
    <w:rsid w:val="00A310F3"/>
    <w:rsid w:val="00A32644"/>
    <w:rsid w:val="00A36A62"/>
    <w:rsid w:val="00A3724D"/>
    <w:rsid w:val="00A37A9B"/>
    <w:rsid w:val="00A4008F"/>
    <w:rsid w:val="00A404D5"/>
    <w:rsid w:val="00A42FBD"/>
    <w:rsid w:val="00A5113C"/>
    <w:rsid w:val="00A525B9"/>
    <w:rsid w:val="00A575FC"/>
    <w:rsid w:val="00A6140B"/>
    <w:rsid w:val="00A66AC8"/>
    <w:rsid w:val="00A67863"/>
    <w:rsid w:val="00A70557"/>
    <w:rsid w:val="00A71DC3"/>
    <w:rsid w:val="00A739EA"/>
    <w:rsid w:val="00A73FDA"/>
    <w:rsid w:val="00A76C1E"/>
    <w:rsid w:val="00A77317"/>
    <w:rsid w:val="00A822F5"/>
    <w:rsid w:val="00A8535F"/>
    <w:rsid w:val="00A8600D"/>
    <w:rsid w:val="00A90826"/>
    <w:rsid w:val="00A93476"/>
    <w:rsid w:val="00A95880"/>
    <w:rsid w:val="00A95FB0"/>
    <w:rsid w:val="00AB2B26"/>
    <w:rsid w:val="00AB3000"/>
    <w:rsid w:val="00AB3393"/>
    <w:rsid w:val="00AB6599"/>
    <w:rsid w:val="00AB7230"/>
    <w:rsid w:val="00AC1826"/>
    <w:rsid w:val="00AC3F17"/>
    <w:rsid w:val="00AC78FD"/>
    <w:rsid w:val="00AD2582"/>
    <w:rsid w:val="00AE1221"/>
    <w:rsid w:val="00AE1BF5"/>
    <w:rsid w:val="00AF205E"/>
    <w:rsid w:val="00AF41B0"/>
    <w:rsid w:val="00AF481B"/>
    <w:rsid w:val="00AF59D8"/>
    <w:rsid w:val="00AF5A70"/>
    <w:rsid w:val="00AF7AF9"/>
    <w:rsid w:val="00B017A5"/>
    <w:rsid w:val="00B04D1F"/>
    <w:rsid w:val="00B04FB8"/>
    <w:rsid w:val="00B0622B"/>
    <w:rsid w:val="00B068E9"/>
    <w:rsid w:val="00B111AB"/>
    <w:rsid w:val="00B12EFD"/>
    <w:rsid w:val="00B20994"/>
    <w:rsid w:val="00B26B7C"/>
    <w:rsid w:val="00B2713B"/>
    <w:rsid w:val="00B2773F"/>
    <w:rsid w:val="00B30895"/>
    <w:rsid w:val="00B31D37"/>
    <w:rsid w:val="00B328C8"/>
    <w:rsid w:val="00B334A0"/>
    <w:rsid w:val="00B34AB1"/>
    <w:rsid w:val="00B34DB3"/>
    <w:rsid w:val="00B351AF"/>
    <w:rsid w:val="00B50669"/>
    <w:rsid w:val="00B509AD"/>
    <w:rsid w:val="00B50CF0"/>
    <w:rsid w:val="00B5283A"/>
    <w:rsid w:val="00B52AB2"/>
    <w:rsid w:val="00B546CE"/>
    <w:rsid w:val="00B56A4E"/>
    <w:rsid w:val="00B56E30"/>
    <w:rsid w:val="00B5762E"/>
    <w:rsid w:val="00B605D3"/>
    <w:rsid w:val="00B654DA"/>
    <w:rsid w:val="00B7284B"/>
    <w:rsid w:val="00B72C4B"/>
    <w:rsid w:val="00B73C52"/>
    <w:rsid w:val="00B76DD5"/>
    <w:rsid w:val="00B80C9B"/>
    <w:rsid w:val="00B81AB7"/>
    <w:rsid w:val="00B81C00"/>
    <w:rsid w:val="00B8271B"/>
    <w:rsid w:val="00B8365D"/>
    <w:rsid w:val="00B8560A"/>
    <w:rsid w:val="00B906DF"/>
    <w:rsid w:val="00B91F92"/>
    <w:rsid w:val="00B922B8"/>
    <w:rsid w:val="00B946A3"/>
    <w:rsid w:val="00B97D88"/>
    <w:rsid w:val="00BA010D"/>
    <w:rsid w:val="00BA02C7"/>
    <w:rsid w:val="00BA3E54"/>
    <w:rsid w:val="00BA75AF"/>
    <w:rsid w:val="00BB3195"/>
    <w:rsid w:val="00BB3F87"/>
    <w:rsid w:val="00BC4999"/>
    <w:rsid w:val="00BC5DF7"/>
    <w:rsid w:val="00BC766A"/>
    <w:rsid w:val="00BD1EDB"/>
    <w:rsid w:val="00BD7FCE"/>
    <w:rsid w:val="00BE02A5"/>
    <w:rsid w:val="00BE1FE1"/>
    <w:rsid w:val="00BE2981"/>
    <w:rsid w:val="00BE2B0A"/>
    <w:rsid w:val="00BE75B2"/>
    <w:rsid w:val="00BF056F"/>
    <w:rsid w:val="00BF2869"/>
    <w:rsid w:val="00BF2BC5"/>
    <w:rsid w:val="00BF321E"/>
    <w:rsid w:val="00BF3BAC"/>
    <w:rsid w:val="00BF4D7A"/>
    <w:rsid w:val="00BF50D6"/>
    <w:rsid w:val="00BF7D92"/>
    <w:rsid w:val="00C00032"/>
    <w:rsid w:val="00C10846"/>
    <w:rsid w:val="00C126F9"/>
    <w:rsid w:val="00C129B9"/>
    <w:rsid w:val="00C12DE6"/>
    <w:rsid w:val="00C153E8"/>
    <w:rsid w:val="00C15B7B"/>
    <w:rsid w:val="00C2143C"/>
    <w:rsid w:val="00C23E57"/>
    <w:rsid w:val="00C260C9"/>
    <w:rsid w:val="00C26E3E"/>
    <w:rsid w:val="00C32699"/>
    <w:rsid w:val="00C3411C"/>
    <w:rsid w:val="00C35494"/>
    <w:rsid w:val="00C37018"/>
    <w:rsid w:val="00C40E49"/>
    <w:rsid w:val="00C42B54"/>
    <w:rsid w:val="00C43F22"/>
    <w:rsid w:val="00C440A0"/>
    <w:rsid w:val="00C4471E"/>
    <w:rsid w:val="00C44B4E"/>
    <w:rsid w:val="00C50737"/>
    <w:rsid w:val="00C50F62"/>
    <w:rsid w:val="00C53268"/>
    <w:rsid w:val="00C54CD1"/>
    <w:rsid w:val="00C57A84"/>
    <w:rsid w:val="00C6176E"/>
    <w:rsid w:val="00C61F00"/>
    <w:rsid w:val="00C64B5F"/>
    <w:rsid w:val="00C6719E"/>
    <w:rsid w:val="00C7169D"/>
    <w:rsid w:val="00C72AFA"/>
    <w:rsid w:val="00C74981"/>
    <w:rsid w:val="00C76E4E"/>
    <w:rsid w:val="00C818FD"/>
    <w:rsid w:val="00C8418E"/>
    <w:rsid w:val="00C84CC1"/>
    <w:rsid w:val="00C91699"/>
    <w:rsid w:val="00C95D35"/>
    <w:rsid w:val="00C96619"/>
    <w:rsid w:val="00C97CC2"/>
    <w:rsid w:val="00C97F2B"/>
    <w:rsid w:val="00CA080B"/>
    <w:rsid w:val="00CA25B2"/>
    <w:rsid w:val="00CA2A88"/>
    <w:rsid w:val="00CA2AEE"/>
    <w:rsid w:val="00CB359C"/>
    <w:rsid w:val="00CB3E7F"/>
    <w:rsid w:val="00CB4167"/>
    <w:rsid w:val="00CC0085"/>
    <w:rsid w:val="00CC21C9"/>
    <w:rsid w:val="00CC51FF"/>
    <w:rsid w:val="00CD0673"/>
    <w:rsid w:val="00CD3030"/>
    <w:rsid w:val="00CD3A99"/>
    <w:rsid w:val="00CD4F24"/>
    <w:rsid w:val="00CD62FF"/>
    <w:rsid w:val="00CE2434"/>
    <w:rsid w:val="00CE4C99"/>
    <w:rsid w:val="00CE5EE2"/>
    <w:rsid w:val="00CE6F36"/>
    <w:rsid w:val="00CE7358"/>
    <w:rsid w:val="00CF16F8"/>
    <w:rsid w:val="00CF226F"/>
    <w:rsid w:val="00CF7351"/>
    <w:rsid w:val="00CF7B0E"/>
    <w:rsid w:val="00D00048"/>
    <w:rsid w:val="00D0044E"/>
    <w:rsid w:val="00D07E76"/>
    <w:rsid w:val="00D10204"/>
    <w:rsid w:val="00D10D3A"/>
    <w:rsid w:val="00D164F2"/>
    <w:rsid w:val="00D2010B"/>
    <w:rsid w:val="00D20E23"/>
    <w:rsid w:val="00D21C2C"/>
    <w:rsid w:val="00D2517B"/>
    <w:rsid w:val="00D25F7E"/>
    <w:rsid w:val="00D27573"/>
    <w:rsid w:val="00D3030F"/>
    <w:rsid w:val="00D3273A"/>
    <w:rsid w:val="00D36156"/>
    <w:rsid w:val="00D401C8"/>
    <w:rsid w:val="00D40E5E"/>
    <w:rsid w:val="00D416AD"/>
    <w:rsid w:val="00D42F12"/>
    <w:rsid w:val="00D435F4"/>
    <w:rsid w:val="00D45A39"/>
    <w:rsid w:val="00D477C4"/>
    <w:rsid w:val="00D51A09"/>
    <w:rsid w:val="00D55A3F"/>
    <w:rsid w:val="00D55AD3"/>
    <w:rsid w:val="00D55BB5"/>
    <w:rsid w:val="00D6141A"/>
    <w:rsid w:val="00D6160E"/>
    <w:rsid w:val="00D61976"/>
    <w:rsid w:val="00D63D5D"/>
    <w:rsid w:val="00D643F1"/>
    <w:rsid w:val="00D66362"/>
    <w:rsid w:val="00D67E97"/>
    <w:rsid w:val="00D7043B"/>
    <w:rsid w:val="00D7062B"/>
    <w:rsid w:val="00D70ECD"/>
    <w:rsid w:val="00D735B7"/>
    <w:rsid w:val="00D776B6"/>
    <w:rsid w:val="00D8280F"/>
    <w:rsid w:val="00D8563F"/>
    <w:rsid w:val="00D90727"/>
    <w:rsid w:val="00D92143"/>
    <w:rsid w:val="00D973E5"/>
    <w:rsid w:val="00D97BF7"/>
    <w:rsid w:val="00D97ED0"/>
    <w:rsid w:val="00DA0028"/>
    <w:rsid w:val="00DA02F0"/>
    <w:rsid w:val="00DA0DA7"/>
    <w:rsid w:val="00DA1456"/>
    <w:rsid w:val="00DA1487"/>
    <w:rsid w:val="00DA19CC"/>
    <w:rsid w:val="00DA39EF"/>
    <w:rsid w:val="00DA5AE6"/>
    <w:rsid w:val="00DB0136"/>
    <w:rsid w:val="00DB02EF"/>
    <w:rsid w:val="00DB1BEA"/>
    <w:rsid w:val="00DB54FF"/>
    <w:rsid w:val="00DB7BCE"/>
    <w:rsid w:val="00DC0F9E"/>
    <w:rsid w:val="00DC431F"/>
    <w:rsid w:val="00DC6AE7"/>
    <w:rsid w:val="00DD1BE1"/>
    <w:rsid w:val="00DD1F06"/>
    <w:rsid w:val="00DD276E"/>
    <w:rsid w:val="00DD2B6B"/>
    <w:rsid w:val="00DD35AB"/>
    <w:rsid w:val="00DD58E4"/>
    <w:rsid w:val="00DD5EF8"/>
    <w:rsid w:val="00DD6763"/>
    <w:rsid w:val="00DE21C3"/>
    <w:rsid w:val="00DE5974"/>
    <w:rsid w:val="00DF189F"/>
    <w:rsid w:val="00DF2553"/>
    <w:rsid w:val="00DF26F0"/>
    <w:rsid w:val="00DF6946"/>
    <w:rsid w:val="00E01113"/>
    <w:rsid w:val="00E03CCC"/>
    <w:rsid w:val="00E04FD6"/>
    <w:rsid w:val="00E061E1"/>
    <w:rsid w:val="00E07C76"/>
    <w:rsid w:val="00E10006"/>
    <w:rsid w:val="00E104D1"/>
    <w:rsid w:val="00E11F8B"/>
    <w:rsid w:val="00E1699D"/>
    <w:rsid w:val="00E24891"/>
    <w:rsid w:val="00E25F9C"/>
    <w:rsid w:val="00E263A1"/>
    <w:rsid w:val="00E27224"/>
    <w:rsid w:val="00E27807"/>
    <w:rsid w:val="00E31153"/>
    <w:rsid w:val="00E34C12"/>
    <w:rsid w:val="00E360E5"/>
    <w:rsid w:val="00E3647D"/>
    <w:rsid w:val="00E44468"/>
    <w:rsid w:val="00E450CC"/>
    <w:rsid w:val="00E46FDA"/>
    <w:rsid w:val="00E507FC"/>
    <w:rsid w:val="00E53641"/>
    <w:rsid w:val="00E54EEF"/>
    <w:rsid w:val="00E5669C"/>
    <w:rsid w:val="00E61A8D"/>
    <w:rsid w:val="00E63058"/>
    <w:rsid w:val="00E630F7"/>
    <w:rsid w:val="00E638CC"/>
    <w:rsid w:val="00E63CEB"/>
    <w:rsid w:val="00E719F6"/>
    <w:rsid w:val="00E7266B"/>
    <w:rsid w:val="00E73450"/>
    <w:rsid w:val="00E73568"/>
    <w:rsid w:val="00E755A4"/>
    <w:rsid w:val="00E756D3"/>
    <w:rsid w:val="00E76DB3"/>
    <w:rsid w:val="00E81AAE"/>
    <w:rsid w:val="00E8348A"/>
    <w:rsid w:val="00E871F3"/>
    <w:rsid w:val="00E90359"/>
    <w:rsid w:val="00E90510"/>
    <w:rsid w:val="00E94B75"/>
    <w:rsid w:val="00E94F29"/>
    <w:rsid w:val="00E955B8"/>
    <w:rsid w:val="00E96219"/>
    <w:rsid w:val="00EA449D"/>
    <w:rsid w:val="00EA6405"/>
    <w:rsid w:val="00EB0DC4"/>
    <w:rsid w:val="00EB0EDA"/>
    <w:rsid w:val="00EB2DDF"/>
    <w:rsid w:val="00EB4D22"/>
    <w:rsid w:val="00EB64CF"/>
    <w:rsid w:val="00EB6E48"/>
    <w:rsid w:val="00EB72F2"/>
    <w:rsid w:val="00EC2528"/>
    <w:rsid w:val="00EC2A84"/>
    <w:rsid w:val="00EC35B6"/>
    <w:rsid w:val="00EC3758"/>
    <w:rsid w:val="00EC4B09"/>
    <w:rsid w:val="00EC5142"/>
    <w:rsid w:val="00EC6B13"/>
    <w:rsid w:val="00ED0A15"/>
    <w:rsid w:val="00ED3BA5"/>
    <w:rsid w:val="00ED6FD1"/>
    <w:rsid w:val="00EE0513"/>
    <w:rsid w:val="00EE278D"/>
    <w:rsid w:val="00EE5809"/>
    <w:rsid w:val="00EE5FED"/>
    <w:rsid w:val="00EE75C2"/>
    <w:rsid w:val="00EF09B1"/>
    <w:rsid w:val="00EF33AC"/>
    <w:rsid w:val="00EF3FD3"/>
    <w:rsid w:val="00EF437B"/>
    <w:rsid w:val="00EF62CE"/>
    <w:rsid w:val="00EF7025"/>
    <w:rsid w:val="00EF7C3A"/>
    <w:rsid w:val="00F01773"/>
    <w:rsid w:val="00F01AEF"/>
    <w:rsid w:val="00F01F49"/>
    <w:rsid w:val="00F052B9"/>
    <w:rsid w:val="00F056ED"/>
    <w:rsid w:val="00F1040F"/>
    <w:rsid w:val="00F1129E"/>
    <w:rsid w:val="00F165F6"/>
    <w:rsid w:val="00F20E70"/>
    <w:rsid w:val="00F21A85"/>
    <w:rsid w:val="00F2241A"/>
    <w:rsid w:val="00F23344"/>
    <w:rsid w:val="00F24468"/>
    <w:rsid w:val="00F25745"/>
    <w:rsid w:val="00F266B7"/>
    <w:rsid w:val="00F27257"/>
    <w:rsid w:val="00F309D3"/>
    <w:rsid w:val="00F33BA6"/>
    <w:rsid w:val="00F345E3"/>
    <w:rsid w:val="00F3535F"/>
    <w:rsid w:val="00F35764"/>
    <w:rsid w:val="00F373D0"/>
    <w:rsid w:val="00F4453E"/>
    <w:rsid w:val="00F462A4"/>
    <w:rsid w:val="00F46313"/>
    <w:rsid w:val="00F46D43"/>
    <w:rsid w:val="00F47EF4"/>
    <w:rsid w:val="00F50AE3"/>
    <w:rsid w:val="00F50C8A"/>
    <w:rsid w:val="00F521D3"/>
    <w:rsid w:val="00F52217"/>
    <w:rsid w:val="00F56011"/>
    <w:rsid w:val="00F670B0"/>
    <w:rsid w:val="00F679B4"/>
    <w:rsid w:val="00F75C72"/>
    <w:rsid w:val="00F76054"/>
    <w:rsid w:val="00F76E31"/>
    <w:rsid w:val="00F77726"/>
    <w:rsid w:val="00F77DF3"/>
    <w:rsid w:val="00F83493"/>
    <w:rsid w:val="00F85D04"/>
    <w:rsid w:val="00F860CE"/>
    <w:rsid w:val="00F90A82"/>
    <w:rsid w:val="00F933AD"/>
    <w:rsid w:val="00F9394E"/>
    <w:rsid w:val="00F93A27"/>
    <w:rsid w:val="00F93B87"/>
    <w:rsid w:val="00F94A27"/>
    <w:rsid w:val="00F97820"/>
    <w:rsid w:val="00FA07A9"/>
    <w:rsid w:val="00FA17E9"/>
    <w:rsid w:val="00FA5340"/>
    <w:rsid w:val="00FA698B"/>
    <w:rsid w:val="00FA767B"/>
    <w:rsid w:val="00FB16E2"/>
    <w:rsid w:val="00FB2EB2"/>
    <w:rsid w:val="00FB4478"/>
    <w:rsid w:val="00FB6DF4"/>
    <w:rsid w:val="00FB7A17"/>
    <w:rsid w:val="00FC0DF6"/>
    <w:rsid w:val="00FC2B73"/>
    <w:rsid w:val="00FC2C76"/>
    <w:rsid w:val="00FC3E97"/>
    <w:rsid w:val="00FC56ED"/>
    <w:rsid w:val="00FC5F22"/>
    <w:rsid w:val="00FC610B"/>
    <w:rsid w:val="00FC6860"/>
    <w:rsid w:val="00FC6AE4"/>
    <w:rsid w:val="00FC6D69"/>
    <w:rsid w:val="00FC7462"/>
    <w:rsid w:val="00FD258F"/>
    <w:rsid w:val="00FD4279"/>
    <w:rsid w:val="00FD6DCF"/>
    <w:rsid w:val="00FD7002"/>
    <w:rsid w:val="00FD75B1"/>
    <w:rsid w:val="00FE2992"/>
    <w:rsid w:val="00FE40B6"/>
    <w:rsid w:val="00FE7C2D"/>
    <w:rsid w:val="00FF09BF"/>
    <w:rsid w:val="00FF2534"/>
    <w:rsid w:val="05C4E335"/>
    <w:rsid w:val="0D42C668"/>
    <w:rsid w:val="10548F0B"/>
    <w:rsid w:val="1992C158"/>
    <w:rsid w:val="19C2306D"/>
    <w:rsid w:val="1CC04985"/>
    <w:rsid w:val="22A89246"/>
    <w:rsid w:val="3BDF0851"/>
    <w:rsid w:val="3E452429"/>
    <w:rsid w:val="4E03BA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345DBCD8-8F4B-456D-8256-FE7E7F5E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table" w:styleId="GridTable6Colorful-Accent6">
    <w:name w:val="Grid Table 6 Colorful Accent 6"/>
    <w:basedOn w:val="TableNormal"/>
    <w:uiPriority w:val="51"/>
    <w:rsid w:val="00E263A1"/>
    <w:pPr>
      <w:spacing w:after="0" w:line="240" w:lineRule="auto"/>
    </w:pPr>
    <w:rPr>
      <w:color w:val="3C3B64" w:themeColor="accent6" w:themeShade="BF"/>
    </w:rPr>
    <w:tblPr>
      <w:tblStyleRowBandSize w:val="1"/>
      <w:tblStyleColBandSize w:val="1"/>
      <w:tblBorders>
        <w:top w:val="single" w:sz="4" w:space="0" w:color="908EBD" w:themeColor="accent6" w:themeTint="99"/>
        <w:left w:val="single" w:sz="4" w:space="0" w:color="908EBD" w:themeColor="accent6" w:themeTint="99"/>
        <w:bottom w:val="single" w:sz="4" w:space="0" w:color="908EBD" w:themeColor="accent6" w:themeTint="99"/>
        <w:right w:val="single" w:sz="4" w:space="0" w:color="908EBD" w:themeColor="accent6" w:themeTint="99"/>
        <w:insideH w:val="single" w:sz="4" w:space="0" w:color="908EBD" w:themeColor="accent6" w:themeTint="99"/>
        <w:insideV w:val="single" w:sz="4" w:space="0" w:color="908EBD" w:themeColor="accent6" w:themeTint="99"/>
      </w:tblBorders>
    </w:tblPr>
    <w:tblStylePr w:type="firstRow">
      <w:rPr>
        <w:b/>
        <w:bCs/>
      </w:rPr>
      <w:tblPr/>
      <w:tcPr>
        <w:tcBorders>
          <w:bottom w:val="single" w:sz="12" w:space="0" w:color="908EBD" w:themeColor="accent6" w:themeTint="99"/>
        </w:tcBorders>
      </w:tcPr>
    </w:tblStylePr>
    <w:tblStylePr w:type="lastRow">
      <w:rPr>
        <w:b/>
        <w:bCs/>
      </w:rPr>
      <w:tblPr/>
      <w:tcPr>
        <w:tcBorders>
          <w:top w:val="double" w:sz="4" w:space="0" w:color="908EBD" w:themeColor="accent6" w:themeTint="99"/>
        </w:tcBorders>
      </w:tcPr>
    </w:tblStylePr>
    <w:tblStylePr w:type="firstCol">
      <w:rPr>
        <w:b/>
        <w:bCs/>
      </w:rPr>
    </w:tblStylePr>
    <w:tblStylePr w:type="lastCol">
      <w:rPr>
        <w:b/>
        <w:bCs/>
      </w:rPr>
    </w:tblStylePr>
    <w:tblStylePr w:type="band1Vert">
      <w:tblPr/>
      <w:tcPr>
        <w:shd w:val="clear" w:color="auto" w:fill="D9D9E9" w:themeFill="accent6" w:themeFillTint="33"/>
      </w:tcPr>
    </w:tblStylePr>
    <w:tblStylePr w:type="band1Horz">
      <w:tblPr/>
      <w:tcPr>
        <w:shd w:val="clear" w:color="auto" w:fill="D9D9E9" w:themeFill="accent6" w:themeFillTint="33"/>
      </w:tcPr>
    </w:tblStylePr>
  </w:style>
  <w:style w:type="character" w:styleId="Mention">
    <w:name w:val="Mention"/>
    <w:basedOn w:val="DefaultParagraphFont"/>
    <w:uiPriority w:val="99"/>
    <w:unhideWhenUsed/>
    <w:rsid w:val="008A45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90844">
      <w:bodyDiv w:val="1"/>
      <w:marLeft w:val="0"/>
      <w:marRight w:val="0"/>
      <w:marTop w:val="0"/>
      <w:marBottom w:val="0"/>
      <w:divBdr>
        <w:top w:val="none" w:sz="0" w:space="0" w:color="auto"/>
        <w:left w:val="none" w:sz="0" w:space="0" w:color="auto"/>
        <w:bottom w:val="none" w:sz="0" w:space="0" w:color="auto"/>
        <w:right w:val="none" w:sz="0" w:space="0" w:color="auto"/>
      </w:divBdr>
      <w:divsChild>
        <w:div w:id="418914825">
          <w:marLeft w:val="0"/>
          <w:marRight w:val="0"/>
          <w:marTop w:val="0"/>
          <w:marBottom w:val="0"/>
          <w:divBdr>
            <w:top w:val="none" w:sz="0" w:space="0" w:color="auto"/>
            <w:left w:val="none" w:sz="0" w:space="0" w:color="auto"/>
            <w:bottom w:val="none" w:sz="0" w:space="0" w:color="auto"/>
            <w:right w:val="none" w:sz="0" w:space="0" w:color="auto"/>
          </w:divBdr>
        </w:div>
        <w:div w:id="487328392">
          <w:marLeft w:val="0"/>
          <w:marRight w:val="0"/>
          <w:marTop w:val="0"/>
          <w:marBottom w:val="0"/>
          <w:divBdr>
            <w:top w:val="none" w:sz="0" w:space="0" w:color="auto"/>
            <w:left w:val="none" w:sz="0" w:space="0" w:color="auto"/>
            <w:bottom w:val="none" w:sz="0" w:space="0" w:color="auto"/>
            <w:right w:val="none" w:sz="0" w:space="0" w:color="auto"/>
          </w:divBdr>
        </w:div>
        <w:div w:id="1042513437">
          <w:marLeft w:val="0"/>
          <w:marRight w:val="0"/>
          <w:marTop w:val="0"/>
          <w:marBottom w:val="0"/>
          <w:divBdr>
            <w:top w:val="none" w:sz="0" w:space="0" w:color="auto"/>
            <w:left w:val="none" w:sz="0" w:space="0" w:color="auto"/>
            <w:bottom w:val="none" w:sz="0" w:space="0" w:color="auto"/>
            <w:right w:val="none" w:sz="0" w:space="0" w:color="auto"/>
          </w:divBdr>
        </w:div>
        <w:div w:id="1237088164">
          <w:marLeft w:val="0"/>
          <w:marRight w:val="0"/>
          <w:marTop w:val="0"/>
          <w:marBottom w:val="0"/>
          <w:divBdr>
            <w:top w:val="none" w:sz="0" w:space="0" w:color="auto"/>
            <w:left w:val="none" w:sz="0" w:space="0" w:color="auto"/>
            <w:bottom w:val="none" w:sz="0" w:space="0" w:color="auto"/>
            <w:right w:val="none" w:sz="0" w:space="0" w:color="auto"/>
          </w:divBdr>
        </w:div>
        <w:div w:id="1358047552">
          <w:marLeft w:val="0"/>
          <w:marRight w:val="0"/>
          <w:marTop w:val="0"/>
          <w:marBottom w:val="0"/>
          <w:divBdr>
            <w:top w:val="none" w:sz="0" w:space="0" w:color="auto"/>
            <w:left w:val="none" w:sz="0" w:space="0" w:color="auto"/>
            <w:bottom w:val="none" w:sz="0" w:space="0" w:color="auto"/>
            <w:right w:val="none" w:sz="0" w:space="0" w:color="auto"/>
          </w:divBdr>
        </w:div>
        <w:div w:id="2110617095">
          <w:marLeft w:val="0"/>
          <w:marRight w:val="0"/>
          <w:marTop w:val="0"/>
          <w:marBottom w:val="0"/>
          <w:divBdr>
            <w:top w:val="none" w:sz="0" w:space="0" w:color="auto"/>
            <w:left w:val="none" w:sz="0" w:space="0" w:color="auto"/>
            <w:bottom w:val="none" w:sz="0" w:space="0" w:color="auto"/>
            <w:right w:val="none" w:sz="0" w:space="0" w:color="auto"/>
          </w:divBdr>
        </w:div>
      </w:divsChild>
    </w:div>
    <w:div w:id="759258619">
      <w:bodyDiv w:val="1"/>
      <w:marLeft w:val="0"/>
      <w:marRight w:val="0"/>
      <w:marTop w:val="0"/>
      <w:marBottom w:val="0"/>
      <w:divBdr>
        <w:top w:val="none" w:sz="0" w:space="0" w:color="auto"/>
        <w:left w:val="none" w:sz="0" w:space="0" w:color="auto"/>
        <w:bottom w:val="none" w:sz="0" w:space="0" w:color="auto"/>
        <w:right w:val="none" w:sz="0" w:space="0" w:color="auto"/>
      </w:divBdr>
      <w:divsChild>
        <w:div w:id="428504021">
          <w:marLeft w:val="0"/>
          <w:marRight w:val="0"/>
          <w:marTop w:val="0"/>
          <w:marBottom w:val="0"/>
          <w:divBdr>
            <w:top w:val="none" w:sz="0" w:space="0" w:color="auto"/>
            <w:left w:val="none" w:sz="0" w:space="0" w:color="auto"/>
            <w:bottom w:val="none" w:sz="0" w:space="0" w:color="auto"/>
            <w:right w:val="none" w:sz="0" w:space="0" w:color="auto"/>
          </w:divBdr>
        </w:div>
        <w:div w:id="602611045">
          <w:marLeft w:val="0"/>
          <w:marRight w:val="0"/>
          <w:marTop w:val="0"/>
          <w:marBottom w:val="0"/>
          <w:divBdr>
            <w:top w:val="none" w:sz="0" w:space="0" w:color="auto"/>
            <w:left w:val="none" w:sz="0" w:space="0" w:color="auto"/>
            <w:bottom w:val="none" w:sz="0" w:space="0" w:color="auto"/>
            <w:right w:val="none" w:sz="0" w:space="0" w:color="auto"/>
          </w:divBdr>
        </w:div>
        <w:div w:id="880357670">
          <w:marLeft w:val="0"/>
          <w:marRight w:val="0"/>
          <w:marTop w:val="0"/>
          <w:marBottom w:val="0"/>
          <w:divBdr>
            <w:top w:val="none" w:sz="0" w:space="0" w:color="auto"/>
            <w:left w:val="none" w:sz="0" w:space="0" w:color="auto"/>
            <w:bottom w:val="none" w:sz="0" w:space="0" w:color="auto"/>
            <w:right w:val="none" w:sz="0" w:space="0" w:color="auto"/>
          </w:divBdr>
        </w:div>
        <w:div w:id="1012953210">
          <w:marLeft w:val="0"/>
          <w:marRight w:val="0"/>
          <w:marTop w:val="0"/>
          <w:marBottom w:val="0"/>
          <w:divBdr>
            <w:top w:val="none" w:sz="0" w:space="0" w:color="auto"/>
            <w:left w:val="none" w:sz="0" w:space="0" w:color="auto"/>
            <w:bottom w:val="none" w:sz="0" w:space="0" w:color="auto"/>
            <w:right w:val="none" w:sz="0" w:space="0" w:color="auto"/>
          </w:divBdr>
        </w:div>
        <w:div w:id="1320692326">
          <w:marLeft w:val="0"/>
          <w:marRight w:val="0"/>
          <w:marTop w:val="0"/>
          <w:marBottom w:val="0"/>
          <w:divBdr>
            <w:top w:val="none" w:sz="0" w:space="0" w:color="auto"/>
            <w:left w:val="none" w:sz="0" w:space="0" w:color="auto"/>
            <w:bottom w:val="none" w:sz="0" w:space="0" w:color="auto"/>
            <w:right w:val="none" w:sz="0" w:space="0" w:color="auto"/>
          </w:divBdr>
        </w:div>
        <w:div w:id="1826389570">
          <w:marLeft w:val="0"/>
          <w:marRight w:val="0"/>
          <w:marTop w:val="0"/>
          <w:marBottom w:val="0"/>
          <w:divBdr>
            <w:top w:val="none" w:sz="0" w:space="0" w:color="auto"/>
            <w:left w:val="none" w:sz="0" w:space="0" w:color="auto"/>
            <w:bottom w:val="none" w:sz="0" w:space="0" w:color="auto"/>
            <w:right w:val="none" w:sz="0" w:space="0" w:color="auto"/>
          </w:divBdr>
        </w:div>
      </w:divsChild>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5.png"/><Relationship Id="rId21" Type="http://schemas.openxmlformats.org/officeDocument/2006/relationships/hyperlink" Target="https://www.find-tender.service.gov.uk/Notice/034505-2024" TargetMode="Externa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sites/default/files/2023-10/20-pr23-final-determination-policy-position-sch-4-8-incentives-regimes.pdf" TargetMode="External"/><Relationship Id="rId29" Type="http://schemas.openxmlformats.org/officeDocument/2006/relationships/hyperlink" Target="mailto:procurementteam@orr.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6.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orr.gov.uk/media/23638" TargetMode="External"/><Relationship Id="rId28" Type="http://schemas.openxmlformats.org/officeDocument/2006/relationships/hyperlink" Target="https://www.gov.uk/contracts-finder"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orr.gov.uk/sites/default/files/2024-08/pr23-sch8-recalibration-methodology-report-november-2023.pdf" TargetMode="External"/><Relationship Id="rId27" Type="http://schemas.openxmlformats.org/officeDocument/2006/relationships/hyperlink" Target="http:\\www.nationalarchives.gov.uk/doc/open-government-licence/version/3" TargetMode="External"/><Relationship Id="rId30" Type="http://schemas.openxmlformats.org/officeDocument/2006/relationships/header" Target="header8.xml"/><Relationship Id="rId35" Type="http://schemas.openxmlformats.org/officeDocument/2006/relationships/footer" Target="footer8.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840A4"/>
    <w:rsid w:val="000B1AC2"/>
    <w:rsid w:val="000D118A"/>
    <w:rsid w:val="000E32B5"/>
    <w:rsid w:val="00157E4C"/>
    <w:rsid w:val="001C1D4E"/>
    <w:rsid w:val="001C64B2"/>
    <w:rsid w:val="001D34EA"/>
    <w:rsid w:val="00282136"/>
    <w:rsid w:val="003419BE"/>
    <w:rsid w:val="00465309"/>
    <w:rsid w:val="005722FE"/>
    <w:rsid w:val="005A6A23"/>
    <w:rsid w:val="00696275"/>
    <w:rsid w:val="006B7029"/>
    <w:rsid w:val="006C34AF"/>
    <w:rsid w:val="0073112B"/>
    <w:rsid w:val="007479A0"/>
    <w:rsid w:val="007B24CD"/>
    <w:rsid w:val="007C3F77"/>
    <w:rsid w:val="008342A5"/>
    <w:rsid w:val="00843948"/>
    <w:rsid w:val="0084777F"/>
    <w:rsid w:val="00912431"/>
    <w:rsid w:val="00974DB7"/>
    <w:rsid w:val="009A06B0"/>
    <w:rsid w:val="009E0644"/>
    <w:rsid w:val="00A235F4"/>
    <w:rsid w:val="00A257DF"/>
    <w:rsid w:val="00A47FBC"/>
    <w:rsid w:val="00A6140B"/>
    <w:rsid w:val="00A72823"/>
    <w:rsid w:val="00AB186F"/>
    <w:rsid w:val="00BB3195"/>
    <w:rsid w:val="00BE2B0A"/>
    <w:rsid w:val="00BF4D7A"/>
    <w:rsid w:val="00BF5479"/>
    <w:rsid w:val="00C016C2"/>
    <w:rsid w:val="00C37018"/>
    <w:rsid w:val="00D54812"/>
    <w:rsid w:val="00D750C2"/>
    <w:rsid w:val="00DD58E4"/>
    <w:rsid w:val="00DD5EF8"/>
    <w:rsid w:val="00DE0FCF"/>
    <w:rsid w:val="00E27807"/>
    <w:rsid w:val="00E53641"/>
    <w:rsid w:val="00E63CEB"/>
    <w:rsid w:val="00E81AAE"/>
    <w:rsid w:val="00E94B75"/>
    <w:rsid w:val="00F01F49"/>
    <w:rsid w:val="00F06A05"/>
    <w:rsid w:val="00F1040F"/>
    <w:rsid w:val="00F52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TotalTime>
  <Pages>24</Pages>
  <Words>5408</Words>
  <Characters>30827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CP7 Year 3 Recalibration of the Network Rail Passenger Schedule 8 Regime – Independent audit</dc:subject>
  <dc:creator>Angeriz-Santos, Paula</dc:creator>
  <cp:keywords/>
  <dc:description/>
  <cp:lastModifiedBy>Dinkele, Harriet</cp:lastModifiedBy>
  <cp:revision>2</cp:revision>
  <cp:lastPrinted>2021-02-24T15:29:00Z</cp:lastPrinted>
  <dcterms:created xsi:type="dcterms:W3CDTF">2024-11-21T11:47:00Z</dcterms:created>
  <dcterms:modified xsi:type="dcterms:W3CDTF">2024-12-04T15:37:00Z</dcterms:modified>
</cp:coreProperties>
</file>