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860E" w14:textId="6ED4ACEA" w:rsidR="00593566" w:rsidRDefault="00593566" w:rsidP="00593566">
      <w:pPr>
        <w:spacing w:after="0" w:line="259" w:lineRule="auto"/>
        <w:rPr>
          <w:rFonts w:ascii="Arial" w:hAnsi="Arial" w:cs="Arial"/>
          <w:b/>
          <w:sz w:val="36"/>
        </w:rPr>
      </w:pPr>
      <w:r w:rsidRPr="009F273E">
        <w:rPr>
          <w:rFonts w:ascii="Arial" w:hAnsi="Arial" w:cs="Arial"/>
          <w:b/>
          <w:sz w:val="36"/>
        </w:rPr>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14:paraId="73E770E5" w14:textId="77777777" w:rsidR="00593566" w:rsidRDefault="00593566" w:rsidP="00593566">
      <w:pPr>
        <w:spacing w:after="0" w:line="259" w:lineRule="auto"/>
        <w:rPr>
          <w:rFonts w:ascii="Arial" w:hAnsi="Arial" w:cs="Arial"/>
          <w:b/>
          <w:sz w:val="36"/>
        </w:rPr>
      </w:pPr>
    </w:p>
    <w:p w14:paraId="10E2E8AC" w14:textId="77777777" w:rsidR="00593566" w:rsidRPr="009F273E" w:rsidRDefault="00593566" w:rsidP="00593566">
      <w:pPr>
        <w:spacing w:after="0" w:line="259" w:lineRule="auto"/>
        <w:rPr>
          <w:rFonts w:ascii="Arial" w:hAnsi="Arial" w:cs="Arial"/>
          <w:b/>
          <w:sz w:val="36"/>
        </w:rPr>
      </w:pPr>
      <w:r w:rsidRPr="009F273E">
        <w:rPr>
          <w:rFonts w:ascii="Arial" w:hAnsi="Arial" w:cs="Arial"/>
          <w:b/>
          <w:sz w:val="36"/>
        </w:rPr>
        <w:t xml:space="preserve">Order Form </w:t>
      </w:r>
    </w:p>
    <w:p w14:paraId="6C04BC1D" w14:textId="77777777" w:rsidR="00593566" w:rsidRPr="009F273E" w:rsidRDefault="00593566" w:rsidP="00593566">
      <w:pPr>
        <w:spacing w:after="0" w:line="259" w:lineRule="auto"/>
        <w:rPr>
          <w:rFonts w:ascii="Arial" w:hAnsi="Arial" w:cs="Arial"/>
          <w:b/>
          <w:sz w:val="24"/>
          <w:szCs w:val="24"/>
        </w:rPr>
      </w:pPr>
    </w:p>
    <w:p w14:paraId="0CB19621" w14:textId="77777777" w:rsidR="00593566" w:rsidRPr="009F273E" w:rsidRDefault="00593566" w:rsidP="00593566">
      <w:pPr>
        <w:spacing w:after="0" w:line="259" w:lineRule="auto"/>
        <w:rPr>
          <w:rFonts w:ascii="Arial" w:hAnsi="Arial" w:cs="Arial"/>
          <w:b/>
          <w:sz w:val="24"/>
          <w:szCs w:val="24"/>
        </w:rPr>
      </w:pPr>
    </w:p>
    <w:p w14:paraId="13D9318E" w14:textId="61D230D3" w:rsidR="00593566" w:rsidRPr="00AA2CAD" w:rsidRDefault="00593566" w:rsidP="00AA2CAD">
      <w:pPr>
        <w:spacing w:after="0" w:line="259" w:lineRule="auto"/>
        <w:ind w:left="3600" w:hanging="3600"/>
        <w:rPr>
          <w:rFonts w:ascii="Arial" w:hAnsi="Arial" w:cs="Arial"/>
          <w:caps/>
          <w:sz w:val="24"/>
          <w:szCs w:val="24"/>
        </w:rPr>
      </w:pPr>
      <w:r>
        <w:rPr>
          <w:rFonts w:ascii="Arial" w:hAnsi="Arial" w:cs="Arial"/>
          <w:sz w:val="24"/>
          <w:szCs w:val="24"/>
        </w:rPr>
        <w:t>CALL-OFF REFERENCE</w:t>
      </w:r>
      <w:r w:rsidRPr="00D500B0">
        <w:rPr>
          <w:rFonts w:ascii="Arial" w:hAnsi="Arial" w:cs="Arial"/>
          <w:sz w:val="24"/>
          <w:szCs w:val="24"/>
        </w:rPr>
        <w:t>:</w:t>
      </w:r>
      <w:r>
        <w:rPr>
          <w:rFonts w:ascii="Arial" w:hAnsi="Arial" w:cs="Arial"/>
          <w:sz w:val="24"/>
          <w:szCs w:val="24"/>
        </w:rPr>
        <w:tab/>
        <w:t>CCTS21A34</w:t>
      </w:r>
      <w:r w:rsidR="00AA2CAD">
        <w:rPr>
          <w:rFonts w:ascii="Arial" w:hAnsi="Arial" w:cs="Arial"/>
          <w:sz w:val="24"/>
          <w:szCs w:val="24"/>
        </w:rPr>
        <w:t xml:space="preserve"> </w:t>
      </w:r>
      <w:r w:rsidR="00AA2CAD" w:rsidRPr="00AA2CAD">
        <w:rPr>
          <w:rFonts w:ascii="Arial" w:hAnsi="Arial" w:cs="Arial"/>
          <w:caps/>
          <w:sz w:val="24"/>
          <w:szCs w:val="24"/>
        </w:rPr>
        <w:t xml:space="preserve">- </w:t>
      </w:r>
      <w:r w:rsidR="00AA2CAD" w:rsidRPr="00AA2CAD">
        <w:rPr>
          <w:rFonts w:ascii="Arial" w:eastAsia="Times New Roman" w:hAnsi="Arial" w:cs="Arial"/>
          <w:b/>
          <w:bCs/>
          <w:caps/>
          <w:spacing w:val="-4"/>
          <w:sz w:val="24"/>
          <w:szCs w:val="24"/>
          <w:u w:val="single"/>
          <w:lang w:val="en-US"/>
        </w:rPr>
        <w:t>provision of TLLS Initial and Provisioning Spares</w:t>
      </w:r>
    </w:p>
    <w:p w14:paraId="0E4EC598" w14:textId="77777777" w:rsidR="00593566" w:rsidRDefault="00593566" w:rsidP="00593566">
      <w:pPr>
        <w:spacing w:after="0" w:line="259" w:lineRule="auto"/>
        <w:rPr>
          <w:rFonts w:ascii="Arial" w:hAnsi="Arial" w:cs="Arial"/>
          <w:sz w:val="24"/>
          <w:szCs w:val="24"/>
        </w:rPr>
      </w:pPr>
    </w:p>
    <w:p w14:paraId="7EFF03C0" w14:textId="77777777" w:rsidR="00593566" w:rsidRPr="009F273E" w:rsidRDefault="00593566" w:rsidP="00593566">
      <w:pPr>
        <w:spacing w:after="0" w:line="259" w:lineRule="auto"/>
        <w:rPr>
          <w:rFonts w:ascii="Arial" w:hAnsi="Arial" w:cs="Arial"/>
          <w:b/>
          <w:sz w:val="24"/>
          <w:szCs w:val="24"/>
        </w:rPr>
      </w:pPr>
      <w:r w:rsidRPr="00D500B0">
        <w:rPr>
          <w:rFonts w:ascii="Arial" w:hAnsi="Arial" w:cs="Arial"/>
          <w:sz w:val="24"/>
          <w:szCs w:val="24"/>
        </w:rPr>
        <w:t>THE BUYER:</w:t>
      </w:r>
      <w:r>
        <w:rPr>
          <w:rFonts w:ascii="Arial" w:hAnsi="Arial" w:cs="Arial"/>
          <w:sz w:val="24"/>
          <w:szCs w:val="24"/>
        </w:rPr>
        <w:tab/>
      </w:r>
      <w:r>
        <w:rPr>
          <w:rFonts w:ascii="Arial" w:hAnsi="Arial" w:cs="Arial"/>
          <w:sz w:val="24"/>
          <w:szCs w:val="24"/>
        </w:rPr>
        <w:tab/>
      </w:r>
      <w:r>
        <w:rPr>
          <w:rFonts w:ascii="Arial" w:hAnsi="Arial" w:cs="Arial"/>
          <w:sz w:val="24"/>
          <w:szCs w:val="24"/>
        </w:rPr>
        <w:tab/>
        <w:t>Defence Digital</w:t>
      </w:r>
    </w:p>
    <w:p w14:paraId="183FCB0C" w14:textId="77777777" w:rsidR="00593566" w:rsidRPr="00D500B0" w:rsidRDefault="00593566" w:rsidP="00593566">
      <w:pPr>
        <w:spacing w:after="0" w:line="259" w:lineRule="auto"/>
        <w:rPr>
          <w:rFonts w:ascii="Arial" w:hAnsi="Arial" w:cs="Arial"/>
          <w:sz w:val="24"/>
          <w:szCs w:val="24"/>
        </w:rPr>
      </w:pPr>
      <w:r w:rsidRPr="00D500B0">
        <w:rPr>
          <w:rFonts w:ascii="Arial" w:hAnsi="Arial" w:cs="Arial"/>
          <w:sz w:val="24"/>
          <w:szCs w:val="24"/>
        </w:rPr>
        <w:t xml:space="preserve"> </w:t>
      </w:r>
    </w:p>
    <w:p w14:paraId="18823DE5" w14:textId="1B84EA0B" w:rsidR="00593566" w:rsidRDefault="00593566" w:rsidP="00593566">
      <w:pPr>
        <w:spacing w:after="0" w:line="259" w:lineRule="auto"/>
        <w:rPr>
          <w:rFonts w:ascii="Arial" w:hAnsi="Arial" w:cs="Arial"/>
          <w:sz w:val="24"/>
          <w:szCs w:val="24"/>
        </w:rPr>
      </w:pPr>
      <w:r w:rsidRPr="00D500B0">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t>Ministry of Defence</w:t>
      </w:r>
    </w:p>
    <w:p w14:paraId="06BA28CE" w14:textId="2CA18A35" w:rsidR="00593566" w:rsidRPr="00074484" w:rsidRDefault="00593566" w:rsidP="00587FCF">
      <w:pPr>
        <w:spacing w:after="0" w:line="259" w:lineRule="auto"/>
        <w:rPr>
          <w:rFonts w:ascii="Arial" w:hAnsi="Arial" w:cs="Arial"/>
          <w:sz w:val="24"/>
          <w:szCs w:val="24"/>
        </w:rPr>
      </w:pPr>
      <w:r>
        <w:rPr>
          <w:rFonts w:ascii="Arial" w:hAnsi="Arial" w:cs="Arial"/>
          <w:sz w:val="24"/>
          <w:szCs w:val="24"/>
        </w:rPr>
        <w:t xml:space="preserve">                                                      </w:t>
      </w:r>
      <w:r w:rsidR="00587FCF">
        <w:rPr>
          <w:rFonts w:ascii="Arial" w:hAnsi="Arial" w:cs="Arial"/>
          <w:sz w:val="24"/>
          <w:szCs w:val="24"/>
        </w:rPr>
        <w:t>REDACTED</w:t>
      </w:r>
    </w:p>
    <w:p w14:paraId="7FC63231" w14:textId="55136EBA" w:rsidR="00593566" w:rsidRPr="009F273E" w:rsidRDefault="00593566" w:rsidP="00593566">
      <w:pPr>
        <w:spacing w:after="0" w:line="259" w:lineRule="auto"/>
        <w:rPr>
          <w:rFonts w:ascii="Arial" w:hAnsi="Arial" w:cs="Arial"/>
          <w:sz w:val="24"/>
          <w:szCs w:val="24"/>
        </w:rPr>
      </w:pPr>
      <w:r w:rsidRPr="00074484">
        <w:rPr>
          <w:rFonts w:ascii="Arial" w:hAnsi="Arial" w:cs="Arial"/>
          <w:sz w:val="24"/>
          <w:szCs w:val="24"/>
        </w:rPr>
        <w:t xml:space="preserve"> </w:t>
      </w:r>
    </w:p>
    <w:p w14:paraId="71806E72" w14:textId="3D364A90" w:rsidR="00593566" w:rsidRPr="009F273E" w:rsidRDefault="00593566" w:rsidP="00593566">
      <w:pPr>
        <w:spacing w:line="240" w:lineRule="auto"/>
        <w:rPr>
          <w:rFonts w:ascii="Arial" w:hAnsi="Arial" w:cs="Arial"/>
          <w:sz w:val="24"/>
          <w:szCs w:val="24"/>
        </w:rPr>
      </w:pPr>
      <w:r w:rsidRPr="00D500B0">
        <w:rPr>
          <w:rFonts w:ascii="Arial" w:hAnsi="Arial" w:cs="Arial"/>
          <w:sz w:val="24"/>
          <w:szCs w:val="24"/>
        </w:rPr>
        <w:t>THE SUPPLIER:</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BF12E4">
        <w:rPr>
          <w:rFonts w:ascii="Arial" w:hAnsi="Arial" w:cs="Arial"/>
          <w:sz w:val="24"/>
          <w:szCs w:val="24"/>
        </w:rPr>
        <w:t>Centerprise</w:t>
      </w:r>
      <w:proofErr w:type="spellEnd"/>
      <w:r w:rsidR="00BF12E4">
        <w:rPr>
          <w:rFonts w:ascii="Arial" w:hAnsi="Arial" w:cs="Arial"/>
          <w:sz w:val="24"/>
          <w:szCs w:val="24"/>
        </w:rPr>
        <w:t xml:space="preserve"> International Ltd</w:t>
      </w:r>
    </w:p>
    <w:p w14:paraId="43E7C802" w14:textId="5E2B48E1" w:rsidR="00BF12E4" w:rsidRPr="009F273E" w:rsidRDefault="00593566" w:rsidP="00587FCF">
      <w:pPr>
        <w:spacing w:line="240" w:lineRule="auto"/>
        <w:rPr>
          <w:rFonts w:ascii="Arial" w:hAnsi="Arial" w:cs="Arial"/>
          <w:sz w:val="24"/>
          <w:szCs w:val="24"/>
        </w:rPr>
      </w:pPr>
      <w:r w:rsidRPr="00D500B0">
        <w:rPr>
          <w:rFonts w:ascii="Arial" w:hAnsi="Arial" w:cs="Arial"/>
          <w:sz w:val="24"/>
          <w:szCs w:val="24"/>
        </w:rPr>
        <w:t>SUPPLIER ADDRESS:</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587FCF">
        <w:rPr>
          <w:rFonts w:ascii="Arial" w:hAnsi="Arial" w:cs="Arial"/>
          <w:sz w:val="24"/>
          <w:szCs w:val="24"/>
        </w:rPr>
        <w:t>REDACTED</w:t>
      </w:r>
    </w:p>
    <w:p w14:paraId="69B02703" w14:textId="391385A8" w:rsidR="00593566" w:rsidRPr="00074484" w:rsidRDefault="00593566" w:rsidP="00593566">
      <w:pPr>
        <w:spacing w:line="240" w:lineRule="auto"/>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r w:rsidRPr="00074484">
        <w:rPr>
          <w:rFonts w:ascii="Arial" w:hAnsi="Arial" w:cs="Arial"/>
          <w:sz w:val="24"/>
          <w:szCs w:val="24"/>
        </w:rPr>
        <w:t xml:space="preserve"> </w:t>
      </w:r>
      <w:r w:rsidRPr="00074484">
        <w:rPr>
          <w:rFonts w:ascii="Arial" w:hAnsi="Arial" w:cs="Arial"/>
          <w:sz w:val="24"/>
          <w:szCs w:val="24"/>
        </w:rPr>
        <w:tab/>
      </w:r>
      <w:r w:rsidR="00BF12E4">
        <w:rPr>
          <w:rFonts w:ascii="Arial" w:hAnsi="Arial" w:cs="Arial"/>
          <w:sz w:val="24"/>
          <w:szCs w:val="24"/>
        </w:rPr>
        <w:t>01738519</w:t>
      </w:r>
    </w:p>
    <w:p w14:paraId="25D57C5A" w14:textId="4DEA0992" w:rsidR="00593566" w:rsidRPr="003E73F1" w:rsidRDefault="00593566" w:rsidP="00593566">
      <w:pPr>
        <w:spacing w:line="240" w:lineRule="auto"/>
        <w:rPr>
          <w:rFonts w:ascii="Arial" w:hAnsi="Arial" w:cs="Arial"/>
          <w:sz w:val="24"/>
          <w:szCs w:val="24"/>
        </w:rPr>
      </w:pPr>
      <w:r w:rsidRPr="003E73F1">
        <w:rPr>
          <w:rFonts w:ascii="Arial" w:hAnsi="Arial" w:cs="Arial"/>
          <w:sz w:val="24"/>
          <w:szCs w:val="24"/>
        </w:rPr>
        <w:t xml:space="preserve">DUNS NUMBER:       </w:t>
      </w:r>
      <w:r>
        <w:rPr>
          <w:rFonts w:ascii="Arial" w:hAnsi="Arial" w:cs="Arial"/>
          <w:sz w:val="24"/>
          <w:szCs w:val="24"/>
        </w:rPr>
        <w:tab/>
      </w:r>
      <w:r>
        <w:rPr>
          <w:rFonts w:ascii="Arial" w:hAnsi="Arial" w:cs="Arial"/>
          <w:sz w:val="24"/>
          <w:szCs w:val="24"/>
        </w:rPr>
        <w:tab/>
      </w:r>
      <w:r w:rsidR="00BF12E4">
        <w:rPr>
          <w:rFonts w:ascii="Arial" w:hAnsi="Arial" w:cs="Arial"/>
          <w:sz w:val="24"/>
          <w:szCs w:val="24"/>
        </w:rPr>
        <w:t>289724130</w:t>
      </w:r>
    </w:p>
    <w:p w14:paraId="0A104F82" w14:textId="77777777" w:rsidR="00593566" w:rsidRPr="009F273E" w:rsidRDefault="00593566" w:rsidP="00593566">
      <w:pPr>
        <w:spacing w:line="240" w:lineRule="auto"/>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sz w:val="24"/>
          <w:szCs w:val="24"/>
        </w:rPr>
        <w:t>TBC at award</w:t>
      </w:r>
    </w:p>
    <w:p w14:paraId="2EC6D44B" w14:textId="77777777" w:rsidR="00593566" w:rsidRPr="009F273E" w:rsidRDefault="00593566" w:rsidP="00593566">
      <w:pPr>
        <w:spacing w:after="0" w:line="259" w:lineRule="auto"/>
        <w:rPr>
          <w:rFonts w:ascii="Arial" w:hAnsi="Arial" w:cs="Arial"/>
          <w:sz w:val="24"/>
          <w:szCs w:val="24"/>
        </w:rPr>
      </w:pPr>
    </w:p>
    <w:p w14:paraId="1CCAFF37" w14:textId="77777777" w:rsidR="00593566" w:rsidRPr="009253C4" w:rsidRDefault="00593566" w:rsidP="00593566">
      <w:pPr>
        <w:spacing w:after="0" w:line="259" w:lineRule="auto"/>
        <w:rPr>
          <w:rFonts w:ascii="Arial" w:hAnsi="Arial" w:cs="Arial"/>
          <w:b/>
          <w:bCs/>
          <w:sz w:val="24"/>
          <w:szCs w:val="24"/>
        </w:rPr>
      </w:pPr>
      <w:r w:rsidRPr="009253C4">
        <w:rPr>
          <w:rFonts w:ascii="Arial" w:hAnsi="Arial" w:cs="Arial"/>
          <w:b/>
          <w:bCs/>
          <w:sz w:val="24"/>
          <w:szCs w:val="24"/>
        </w:rPr>
        <w:t>APPLICABLE FRAMEWORK CONTRACT</w:t>
      </w:r>
    </w:p>
    <w:p w14:paraId="49642FD2" w14:textId="2D6CEF3D" w:rsidR="00593566" w:rsidRDefault="00593566" w:rsidP="00593566">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date</w:t>
      </w:r>
      <w:r>
        <w:rPr>
          <w:rFonts w:ascii="Arial" w:hAnsi="Arial" w:cs="Arial"/>
          <w:sz w:val="24"/>
          <w:szCs w:val="24"/>
        </w:rPr>
        <w:t xml:space="preserve">d </w:t>
      </w:r>
      <w:r w:rsidR="00FA58AA">
        <w:rPr>
          <w:rFonts w:ascii="Arial" w:hAnsi="Arial" w:cs="Arial"/>
          <w:b/>
          <w:bCs/>
          <w:sz w:val="24"/>
          <w:szCs w:val="24"/>
        </w:rPr>
        <w:t>1st</w:t>
      </w:r>
      <w:r w:rsidR="00BF12E4">
        <w:rPr>
          <w:rFonts w:ascii="Arial" w:hAnsi="Arial" w:cs="Arial"/>
          <w:b/>
          <w:bCs/>
          <w:sz w:val="24"/>
          <w:szCs w:val="24"/>
        </w:rPr>
        <w:t xml:space="preserve"> </w:t>
      </w:r>
      <w:r w:rsidR="00FA58AA">
        <w:rPr>
          <w:rFonts w:ascii="Arial" w:hAnsi="Arial" w:cs="Arial"/>
          <w:b/>
          <w:bCs/>
          <w:sz w:val="24"/>
          <w:szCs w:val="24"/>
        </w:rPr>
        <w:t>December</w:t>
      </w:r>
      <w:r w:rsidR="00BF12E4">
        <w:rPr>
          <w:rFonts w:ascii="Arial" w:hAnsi="Arial" w:cs="Arial"/>
          <w:b/>
          <w:bCs/>
          <w:sz w:val="24"/>
          <w:szCs w:val="24"/>
        </w:rPr>
        <w:t xml:space="preserve"> 2021</w:t>
      </w:r>
    </w:p>
    <w:p w14:paraId="238B679A" w14:textId="77777777" w:rsidR="00593566" w:rsidRPr="009F273E" w:rsidRDefault="00593566" w:rsidP="00593566">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w:t>
      </w:r>
      <w:r>
        <w:rPr>
          <w:rFonts w:ascii="Arial" w:hAnsi="Arial" w:cs="Arial"/>
          <w:sz w:val="24"/>
          <w:szCs w:val="24"/>
        </w:rPr>
        <w:t xml:space="preserve"> RM6068</w:t>
      </w:r>
      <w:r w:rsidRPr="009F273E">
        <w:rPr>
          <w:rFonts w:ascii="Arial" w:hAnsi="Arial" w:cs="Arial"/>
          <w:sz w:val="24"/>
          <w:szCs w:val="24"/>
        </w:rPr>
        <w:t xml:space="preserve"> for the provision o</w:t>
      </w:r>
      <w:r>
        <w:rPr>
          <w:rFonts w:ascii="Arial" w:hAnsi="Arial" w:cs="Arial"/>
          <w:sz w:val="24"/>
          <w:szCs w:val="24"/>
        </w:rPr>
        <w:t>f Technology Products and Associated Services</w:t>
      </w:r>
      <w:r w:rsidRPr="009F273E">
        <w:rPr>
          <w:rFonts w:ascii="Arial" w:hAnsi="Arial" w:cs="Arial"/>
          <w:sz w:val="24"/>
          <w:szCs w:val="24"/>
        </w:rPr>
        <w:t xml:space="preserve">.   </w:t>
      </w:r>
    </w:p>
    <w:p w14:paraId="36125065" w14:textId="77777777" w:rsidR="00593566" w:rsidRPr="009F273E" w:rsidRDefault="00593566" w:rsidP="00593566">
      <w:pPr>
        <w:tabs>
          <w:tab w:val="left" w:pos="2257"/>
        </w:tabs>
        <w:spacing w:after="0" w:line="259" w:lineRule="auto"/>
        <w:rPr>
          <w:rFonts w:ascii="Arial" w:hAnsi="Arial" w:cs="Arial"/>
          <w:b/>
          <w:sz w:val="24"/>
          <w:szCs w:val="24"/>
        </w:rPr>
      </w:pPr>
    </w:p>
    <w:p w14:paraId="77A2F72C" w14:textId="77777777" w:rsidR="00593566" w:rsidRPr="009253C4" w:rsidRDefault="00593566" w:rsidP="00593566">
      <w:pPr>
        <w:tabs>
          <w:tab w:val="left" w:pos="2257"/>
        </w:tabs>
        <w:spacing w:after="0" w:line="259" w:lineRule="auto"/>
        <w:ind w:left="2880" w:hanging="2880"/>
        <w:rPr>
          <w:rFonts w:ascii="Arial" w:hAnsi="Arial" w:cs="Arial"/>
          <w:b/>
          <w:bCs/>
          <w:sz w:val="24"/>
          <w:szCs w:val="24"/>
        </w:rPr>
      </w:pPr>
      <w:r w:rsidRPr="009253C4">
        <w:rPr>
          <w:rFonts w:ascii="Arial" w:hAnsi="Arial" w:cs="Arial"/>
          <w:b/>
          <w:bCs/>
          <w:sz w:val="24"/>
          <w:szCs w:val="24"/>
        </w:rPr>
        <w:t>CALL-OFF LOT</w:t>
      </w:r>
    </w:p>
    <w:p w14:paraId="41F153F0" w14:textId="77777777" w:rsidR="00593566" w:rsidRPr="001E7B9C" w:rsidRDefault="00593566" w:rsidP="00593566">
      <w:pPr>
        <w:spacing w:after="0" w:line="259" w:lineRule="auto"/>
        <w:jc w:val="both"/>
        <w:rPr>
          <w:rFonts w:ascii="Arial" w:hAnsi="Arial" w:cs="Arial"/>
          <w:sz w:val="24"/>
          <w:szCs w:val="24"/>
        </w:rPr>
      </w:pPr>
      <w:r w:rsidRPr="00074484">
        <w:rPr>
          <w:rFonts w:ascii="Arial" w:hAnsi="Arial" w:cs="Arial"/>
          <w:sz w:val="24"/>
          <w:szCs w:val="24"/>
        </w:rPr>
        <w:t>Lot 4 Information Assured Products &amp; Associated Services</w:t>
      </w:r>
    </w:p>
    <w:p w14:paraId="622DE8E4" w14:textId="77777777" w:rsidR="00593566" w:rsidRDefault="00593566" w:rsidP="00593566">
      <w:pPr>
        <w:suppressAutoHyphens/>
        <w:autoSpaceDN w:val="0"/>
        <w:spacing w:after="0" w:line="240" w:lineRule="auto"/>
        <w:textAlignment w:val="baseline"/>
        <w:rPr>
          <w:rFonts w:ascii="Arial" w:hAnsi="Arial" w:cs="Arial"/>
          <w:b/>
          <w:i/>
          <w:sz w:val="24"/>
          <w:szCs w:val="24"/>
        </w:rPr>
      </w:pPr>
    </w:p>
    <w:p w14:paraId="7F613C82" w14:textId="77777777" w:rsidR="00593566" w:rsidRPr="009253C4" w:rsidRDefault="00593566" w:rsidP="00593566">
      <w:pPr>
        <w:keepNext/>
        <w:spacing w:after="0" w:line="259" w:lineRule="auto"/>
        <w:rPr>
          <w:rFonts w:ascii="Arial" w:hAnsi="Arial" w:cs="Arial"/>
          <w:b/>
          <w:bCs/>
          <w:sz w:val="24"/>
          <w:szCs w:val="24"/>
        </w:rPr>
      </w:pPr>
      <w:r w:rsidRPr="009253C4">
        <w:rPr>
          <w:rFonts w:ascii="Arial" w:hAnsi="Arial" w:cs="Arial"/>
          <w:b/>
          <w:bCs/>
          <w:sz w:val="24"/>
          <w:szCs w:val="24"/>
        </w:rPr>
        <w:t>CALL-OFF INCORPORATED TERMS</w:t>
      </w:r>
    </w:p>
    <w:p w14:paraId="505B55D0" w14:textId="53BE4CEB" w:rsidR="00593566" w:rsidRDefault="00593566" w:rsidP="00593566">
      <w:pPr>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sidRPr="00003A25">
        <w:rPr>
          <w:rFonts w:ascii="Arial" w:hAnsi="Arial" w:cs="Arial"/>
          <w:sz w:val="24"/>
          <w:szCs w:val="24"/>
        </w:rPr>
        <w:t xml:space="preserve">Where numbers are missing we are not using those schedules.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4699BD2B" w14:textId="77777777" w:rsidR="009253C4" w:rsidRDefault="009253C4" w:rsidP="00593566">
      <w:pPr>
        <w:rPr>
          <w:rFonts w:ascii="Arial" w:hAnsi="Arial" w:cs="Arial"/>
          <w:sz w:val="24"/>
          <w:szCs w:val="24"/>
        </w:rPr>
      </w:pPr>
    </w:p>
    <w:p w14:paraId="5AF7FFE0" w14:textId="77777777" w:rsidR="00593566" w:rsidRPr="00003A25" w:rsidRDefault="00593566" w:rsidP="00593566">
      <w:pPr>
        <w:pStyle w:val="ListParagraph"/>
        <w:numPr>
          <w:ilvl w:val="0"/>
          <w:numId w:val="1"/>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7720231E" w14:textId="77777777" w:rsidR="00593566" w:rsidRPr="00003A25" w:rsidRDefault="00593566" w:rsidP="00593566">
      <w:pPr>
        <w:pStyle w:val="ListParagraph"/>
        <w:numPr>
          <w:ilvl w:val="0"/>
          <w:numId w:val="1"/>
        </w:numPr>
        <w:spacing w:after="0" w:line="259" w:lineRule="auto"/>
        <w:rPr>
          <w:rFonts w:ascii="Arial" w:hAnsi="Arial" w:cs="Arial"/>
          <w:sz w:val="24"/>
          <w:szCs w:val="24"/>
        </w:rPr>
      </w:pPr>
      <w:r w:rsidRPr="00003A25">
        <w:rPr>
          <w:rStyle w:val="Emphasis"/>
          <w:rFonts w:ascii="Arial" w:hAnsi="Arial" w:cs="Arial"/>
          <w:sz w:val="24"/>
          <w:szCs w:val="24"/>
        </w:rPr>
        <w:t xml:space="preserve">Joint Schedule 1(Definitions and Interpretation) </w:t>
      </w:r>
      <w:r>
        <w:rPr>
          <w:rStyle w:val="Emphasis"/>
          <w:rFonts w:ascii="Arial" w:hAnsi="Arial" w:cs="Arial"/>
          <w:sz w:val="24"/>
          <w:szCs w:val="24"/>
        </w:rPr>
        <w:t>RM6068</w:t>
      </w:r>
    </w:p>
    <w:p w14:paraId="26F02192" w14:textId="77777777" w:rsidR="00593566" w:rsidRPr="00DF2308" w:rsidRDefault="00593566" w:rsidP="00593566">
      <w:pPr>
        <w:pStyle w:val="ListParagraph"/>
        <w:keepNext/>
        <w:numPr>
          <w:ilvl w:val="0"/>
          <w:numId w:val="1"/>
        </w:numPr>
        <w:spacing w:after="0" w:line="259" w:lineRule="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6544B8A0" w14:textId="77777777" w:rsidR="00593566" w:rsidRPr="00DF2308" w:rsidRDefault="00593566" w:rsidP="00593566">
      <w:pPr>
        <w:pStyle w:val="ListParagraph"/>
        <w:keepNext/>
        <w:spacing w:after="0" w:line="259" w:lineRule="auto"/>
        <w:rPr>
          <w:rStyle w:val="Emphasis"/>
          <w:rFonts w:ascii="Arial" w:hAnsi="Arial" w:cs="Arial"/>
          <w:i w:val="0"/>
          <w:iCs w:val="0"/>
          <w:sz w:val="24"/>
          <w:szCs w:val="24"/>
        </w:rPr>
      </w:pPr>
    </w:p>
    <w:p w14:paraId="186BC31F" w14:textId="690E1321" w:rsidR="00593566" w:rsidRPr="0054312C" w:rsidRDefault="00593566" w:rsidP="00593566">
      <w:pPr>
        <w:pStyle w:val="ListParagraph"/>
        <w:numPr>
          <w:ilvl w:val="0"/>
          <w:numId w:val="2"/>
        </w:numPr>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 </w:t>
      </w:r>
      <w:r w:rsidRPr="00593566">
        <w:rPr>
          <w:rStyle w:val="Emphasis"/>
          <w:rFonts w:ascii="Arial" w:hAnsi="Arial" w:cs="Arial"/>
          <w:b/>
          <w:bCs/>
          <w:sz w:val="24"/>
          <w:szCs w:val="24"/>
        </w:rPr>
        <w:t xml:space="preserve">RM6068 </w:t>
      </w:r>
    </w:p>
    <w:p w14:paraId="79292C70" w14:textId="77777777" w:rsidR="00593566" w:rsidRPr="009F273E" w:rsidRDefault="00593566" w:rsidP="00FA58AA">
      <w:pPr>
        <w:pStyle w:val="ListParagraph"/>
        <w:numPr>
          <w:ilvl w:val="1"/>
          <w:numId w:val="2"/>
        </w:numPr>
        <w:spacing w:after="0" w:line="240" w:lineRule="auto"/>
        <w:rPr>
          <w:rStyle w:val="Emphasis"/>
          <w:rFonts w:ascii="Arial" w:hAnsi="Arial" w:cs="Arial"/>
          <w:i w:val="0"/>
          <w:iCs w:val="0"/>
          <w:sz w:val="24"/>
          <w:szCs w:val="24"/>
        </w:rPr>
      </w:pPr>
      <w:r w:rsidRPr="009F273E">
        <w:rPr>
          <w:rStyle w:val="Emphasis"/>
          <w:rFonts w:ascii="Arial" w:hAnsi="Arial" w:cs="Arial"/>
          <w:sz w:val="24"/>
          <w:szCs w:val="24"/>
        </w:rPr>
        <w:lastRenderedPageBreak/>
        <w:t>Joint Schedule 2 (Variation Form)</w:t>
      </w:r>
      <w:r>
        <w:rPr>
          <w:rStyle w:val="Emphasis"/>
          <w:rFonts w:ascii="Arial" w:hAnsi="Arial" w:cs="Arial"/>
          <w:sz w:val="24"/>
          <w:szCs w:val="24"/>
        </w:rPr>
        <w:t xml:space="preserve"> </w:t>
      </w:r>
    </w:p>
    <w:p w14:paraId="795B577B" w14:textId="77777777" w:rsidR="00593566" w:rsidRPr="00593566" w:rsidRDefault="00593566" w:rsidP="00593566">
      <w:pPr>
        <w:pStyle w:val="ListParagraph"/>
        <w:numPr>
          <w:ilvl w:val="1"/>
          <w:numId w:val="2"/>
        </w:numPr>
        <w:spacing w:after="0" w:line="259" w:lineRule="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3A525E3B" w14:textId="1F401B12" w:rsidR="00593566" w:rsidRPr="00593566" w:rsidRDefault="00593566" w:rsidP="00593566">
      <w:pPr>
        <w:pStyle w:val="ListParagraph"/>
        <w:numPr>
          <w:ilvl w:val="1"/>
          <w:numId w:val="2"/>
        </w:numPr>
        <w:spacing w:after="0" w:line="259" w:lineRule="auto"/>
        <w:rPr>
          <w:rStyle w:val="Emphasis"/>
          <w:rFonts w:ascii="Arial" w:hAnsi="Arial" w:cs="Arial"/>
          <w:i w:val="0"/>
          <w:sz w:val="24"/>
          <w:szCs w:val="24"/>
          <w:lang w:eastAsia="en-GB"/>
        </w:rPr>
      </w:pPr>
      <w:r w:rsidRPr="00593566">
        <w:rPr>
          <w:rStyle w:val="Emphasis"/>
          <w:rFonts w:ascii="Arial" w:hAnsi="Arial" w:cs="Arial"/>
          <w:sz w:val="24"/>
          <w:szCs w:val="24"/>
        </w:rPr>
        <w:t>Joint Schedule 4 (Commercially Sensitive Information)</w:t>
      </w:r>
    </w:p>
    <w:p w14:paraId="04F5C91D" w14:textId="77777777" w:rsidR="00593566" w:rsidRPr="009F273E" w:rsidRDefault="00593566" w:rsidP="0059356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5 (Corporate and Social Responsibility)</w:t>
      </w:r>
    </w:p>
    <w:p w14:paraId="6431228B" w14:textId="77777777" w:rsidR="00593566" w:rsidRPr="00076626" w:rsidRDefault="00593566" w:rsidP="0059356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7 (Financial Difficulties)</w:t>
      </w:r>
    </w:p>
    <w:p w14:paraId="4C071380" w14:textId="77777777" w:rsidR="00593566" w:rsidRPr="009F273E" w:rsidRDefault="00593566" w:rsidP="00593566">
      <w:pPr>
        <w:pStyle w:val="ListParagraph"/>
        <w:numPr>
          <w:ilvl w:val="1"/>
          <w:numId w:val="2"/>
        </w:numPr>
        <w:spacing w:after="0" w:line="259" w:lineRule="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4683E9A5" w14:textId="39B6B509" w:rsidR="00593566" w:rsidRDefault="00593566" w:rsidP="0059356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00A04240">
        <w:rPr>
          <w:rStyle w:val="Emphasis"/>
          <w:rFonts w:ascii="Arial" w:hAnsi="Arial" w:cs="Arial"/>
          <w:sz w:val="24"/>
          <w:szCs w:val="24"/>
        </w:rPr>
        <w:t xml:space="preserve"> N/A</w:t>
      </w:r>
    </w:p>
    <w:p w14:paraId="4DA7381B" w14:textId="77777777" w:rsidR="00593566" w:rsidRDefault="00593566" w:rsidP="0059356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12 (Supply Chain Visibility)</w:t>
      </w:r>
    </w:p>
    <w:p w14:paraId="2320437E" w14:textId="77777777" w:rsidR="00593566" w:rsidRDefault="00593566" w:rsidP="00593566">
      <w:pPr>
        <w:pStyle w:val="ListParagraph"/>
        <w:spacing w:after="0" w:line="259" w:lineRule="auto"/>
        <w:ind w:left="1800"/>
        <w:rPr>
          <w:rStyle w:val="Emphasis"/>
          <w:rFonts w:ascii="Arial" w:hAnsi="Arial" w:cs="Arial"/>
          <w:i w:val="0"/>
          <w:sz w:val="24"/>
          <w:szCs w:val="24"/>
        </w:rPr>
      </w:pPr>
      <w:r w:rsidRPr="009F273E">
        <w:rPr>
          <w:rStyle w:val="Emphasis"/>
          <w:rFonts w:ascii="Arial" w:hAnsi="Arial" w:cs="Arial"/>
          <w:sz w:val="24"/>
          <w:szCs w:val="24"/>
        </w:rPr>
        <w:tab/>
      </w:r>
      <w:r w:rsidRPr="009F273E">
        <w:rPr>
          <w:rStyle w:val="Emphasis"/>
          <w:rFonts w:ascii="Arial" w:hAnsi="Arial" w:cs="Arial"/>
          <w:sz w:val="24"/>
          <w:szCs w:val="24"/>
        </w:rPr>
        <w:tab/>
      </w:r>
    </w:p>
    <w:p w14:paraId="27CA10E4" w14:textId="42E55D1F" w:rsidR="00593566" w:rsidRPr="00FA58AA" w:rsidRDefault="00593566" w:rsidP="00A04240">
      <w:pPr>
        <w:pStyle w:val="ListParagraph"/>
        <w:numPr>
          <w:ilvl w:val="1"/>
          <w:numId w:val="2"/>
        </w:numPr>
        <w:spacing w:after="0" w:line="259" w:lineRule="auto"/>
        <w:rPr>
          <w:rStyle w:val="Emphasis"/>
          <w:rFonts w:ascii="Arial" w:hAnsi="Arial" w:cs="Arial"/>
          <w:i w:val="0"/>
          <w:sz w:val="24"/>
          <w:szCs w:val="24"/>
        </w:rPr>
      </w:pPr>
      <w:r w:rsidRPr="001E7B9C">
        <w:rPr>
          <w:rStyle w:val="Emphasis"/>
          <w:rFonts w:ascii="Arial" w:hAnsi="Arial" w:cs="Arial"/>
          <w:sz w:val="24"/>
          <w:szCs w:val="24"/>
        </w:rPr>
        <w:t xml:space="preserve">Call-Off Schedules for </w:t>
      </w:r>
      <w:r w:rsidRPr="00593566">
        <w:rPr>
          <w:rStyle w:val="Emphasis"/>
          <w:rFonts w:ascii="Arial" w:hAnsi="Arial" w:cs="Arial"/>
          <w:b/>
          <w:bCs/>
          <w:sz w:val="24"/>
          <w:szCs w:val="24"/>
        </w:rPr>
        <w:t xml:space="preserve">RM6068 </w:t>
      </w:r>
    </w:p>
    <w:p w14:paraId="49D0CA6D" w14:textId="1BEA680A" w:rsidR="00FA58AA" w:rsidRPr="00FA58AA" w:rsidRDefault="00593566"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5 (</w:t>
      </w:r>
      <w:r w:rsidR="00FA58AA">
        <w:rPr>
          <w:rStyle w:val="Emphasis"/>
          <w:rFonts w:ascii="Arial" w:hAnsi="Arial" w:cs="Arial"/>
          <w:sz w:val="24"/>
          <w:szCs w:val="24"/>
        </w:rPr>
        <w:t>Pricing Details</w:t>
      </w:r>
      <w:r>
        <w:rPr>
          <w:rStyle w:val="Emphasis"/>
          <w:rFonts w:ascii="Arial" w:hAnsi="Arial" w:cs="Arial"/>
          <w:sz w:val="24"/>
          <w:szCs w:val="24"/>
        </w:rPr>
        <w:t>)</w:t>
      </w:r>
    </w:p>
    <w:p w14:paraId="268D3548" w14:textId="77777777"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6 (ICT Services)</w:t>
      </w:r>
    </w:p>
    <w:p w14:paraId="19CD13CA" w14:textId="56CF965F"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7 (Key Supplier Staff)</w:t>
      </w:r>
    </w:p>
    <w:p w14:paraId="38424F17" w14:textId="77777777"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8 (Business Continuity and Disaster Recovery)</w:t>
      </w:r>
    </w:p>
    <w:p w14:paraId="66CC13D6" w14:textId="77777777"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9 (Security)</w:t>
      </w:r>
    </w:p>
    <w:p w14:paraId="0AF64B14" w14:textId="77777777"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10 (Exit Management)</w:t>
      </w:r>
    </w:p>
    <w:p w14:paraId="2486A6B3" w14:textId="5AE4F7BD" w:rsidR="00FA58AA" w:rsidRDefault="00FA58AA" w:rsidP="00FA58A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15 (Call-Off Contract Management)</w:t>
      </w:r>
    </w:p>
    <w:p w14:paraId="1D00FC7B" w14:textId="189C6F1B" w:rsidR="00FA58AA" w:rsidRPr="00FA58AA" w:rsidRDefault="00FA58AA" w:rsidP="00FA58A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17 (MOD Terms)</w:t>
      </w:r>
    </w:p>
    <w:p w14:paraId="4B7D6489" w14:textId="38DD9F72" w:rsidR="00FA58AA" w:rsidRDefault="00FA58AA" w:rsidP="00834D36">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(Call-Off Specification)</w:t>
      </w:r>
    </w:p>
    <w:p w14:paraId="49E6705A" w14:textId="77777777" w:rsidR="00B53524" w:rsidRPr="00B53524" w:rsidRDefault="00B53524" w:rsidP="00B53524">
      <w:pPr>
        <w:pStyle w:val="ListParagraph"/>
        <w:rPr>
          <w:rStyle w:val="Emphasis"/>
          <w:rFonts w:ascii="Arial" w:hAnsi="Arial" w:cs="Arial"/>
          <w:i w:val="0"/>
          <w:sz w:val="24"/>
          <w:szCs w:val="24"/>
        </w:rPr>
      </w:pPr>
    </w:p>
    <w:p w14:paraId="0226C2B1" w14:textId="77777777" w:rsidR="00593566" w:rsidRDefault="00593566" w:rsidP="00593566">
      <w:pPr>
        <w:pStyle w:val="ListParagraph"/>
        <w:numPr>
          <w:ilvl w:val="1"/>
          <w:numId w:val="2"/>
        </w:numPr>
        <w:spacing w:after="0" w:line="259" w:lineRule="auto"/>
        <w:rPr>
          <w:rFonts w:ascii="Arial" w:hAnsi="Arial" w:cs="Arial"/>
          <w:sz w:val="24"/>
          <w:szCs w:val="24"/>
        </w:rPr>
      </w:pPr>
      <w:r w:rsidRPr="009F273E">
        <w:rPr>
          <w:rFonts w:ascii="Arial" w:hAnsi="Arial" w:cs="Arial"/>
          <w:sz w:val="24"/>
          <w:szCs w:val="24"/>
        </w:rPr>
        <w:t>CCS Core Terms (v</w:t>
      </w:r>
      <w:r>
        <w:rPr>
          <w:rFonts w:ascii="Arial" w:hAnsi="Arial" w:cs="Arial"/>
          <w:sz w:val="24"/>
          <w:szCs w:val="24"/>
        </w:rPr>
        <w:t>ersion 3.0.6</w:t>
      </w:r>
      <w:r w:rsidRPr="009F273E">
        <w:rPr>
          <w:rFonts w:ascii="Arial" w:hAnsi="Arial" w:cs="Arial"/>
          <w:sz w:val="24"/>
          <w:szCs w:val="24"/>
        </w:rPr>
        <w:t>)</w:t>
      </w:r>
    </w:p>
    <w:p w14:paraId="7538AF66" w14:textId="15B60828" w:rsidR="00593566" w:rsidRDefault="00593566" w:rsidP="00FA58AA">
      <w:pPr>
        <w:pStyle w:val="ListParagraph"/>
        <w:spacing w:after="0" w:line="259" w:lineRule="auto"/>
        <w:ind w:left="1800"/>
        <w:rPr>
          <w:rStyle w:val="Emphasis"/>
          <w:rFonts w:ascii="Arial" w:hAnsi="Arial" w:cs="Arial"/>
          <w:sz w:val="24"/>
          <w:szCs w:val="24"/>
        </w:rPr>
      </w:pPr>
    </w:p>
    <w:p w14:paraId="036391EB" w14:textId="485A2160" w:rsidR="00FA58AA" w:rsidRPr="00076626" w:rsidRDefault="00FA58AA" w:rsidP="00FA58AA">
      <w:pPr>
        <w:pStyle w:val="ListParagraph"/>
        <w:spacing w:after="0" w:line="259" w:lineRule="auto"/>
        <w:ind w:left="1800"/>
        <w:rPr>
          <w:rFonts w:ascii="Arial" w:hAnsi="Arial" w:cs="Arial"/>
          <w:sz w:val="24"/>
          <w:szCs w:val="24"/>
        </w:rPr>
      </w:pPr>
    </w:p>
    <w:p w14:paraId="13C7FB73" w14:textId="77777777" w:rsidR="00A04240" w:rsidRDefault="00A04240" w:rsidP="00593566">
      <w:pPr>
        <w:tabs>
          <w:tab w:val="left" w:pos="2257"/>
        </w:tabs>
        <w:spacing w:after="0" w:line="259" w:lineRule="auto"/>
        <w:rPr>
          <w:rFonts w:ascii="Arial" w:hAnsi="Arial" w:cs="Arial"/>
          <w:sz w:val="24"/>
          <w:szCs w:val="24"/>
        </w:rPr>
      </w:pPr>
    </w:p>
    <w:p w14:paraId="0EA2E5C6" w14:textId="2CFD7D98" w:rsidR="00593566" w:rsidRPr="009F273E" w:rsidRDefault="00593566" w:rsidP="00593566">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1A55A17E" w14:textId="77777777" w:rsidR="00593566" w:rsidRPr="003809EC" w:rsidRDefault="00593566" w:rsidP="00593566">
      <w:pPr>
        <w:tabs>
          <w:tab w:val="left" w:pos="2257"/>
        </w:tabs>
        <w:spacing w:after="0" w:line="259" w:lineRule="auto"/>
        <w:rPr>
          <w:rFonts w:ascii="Arial" w:hAnsi="Arial" w:cs="Arial"/>
          <w:sz w:val="24"/>
          <w:szCs w:val="24"/>
        </w:rPr>
      </w:pPr>
    </w:p>
    <w:p w14:paraId="5626EF5D"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CALL-OFF SPECIAL TERMS</w:t>
      </w:r>
    </w:p>
    <w:p w14:paraId="69B54F9C" w14:textId="71195695" w:rsidR="00593566" w:rsidRPr="009253C4" w:rsidRDefault="00A04240" w:rsidP="00593566">
      <w:pPr>
        <w:tabs>
          <w:tab w:val="left" w:pos="2257"/>
        </w:tabs>
        <w:spacing w:after="0" w:line="259" w:lineRule="auto"/>
        <w:ind w:left="720"/>
        <w:rPr>
          <w:rFonts w:ascii="Arial" w:hAnsi="Arial" w:cs="Arial"/>
          <w:sz w:val="24"/>
          <w:szCs w:val="24"/>
        </w:rPr>
      </w:pPr>
      <w:r>
        <w:rPr>
          <w:rFonts w:ascii="Arial" w:hAnsi="Arial" w:cs="Arial"/>
          <w:sz w:val="24"/>
          <w:szCs w:val="24"/>
        </w:rPr>
        <w:t>Not used</w:t>
      </w:r>
    </w:p>
    <w:p w14:paraId="6BBBFB85" w14:textId="77777777" w:rsidR="00593566" w:rsidRPr="009253C4" w:rsidRDefault="00593566" w:rsidP="00593566">
      <w:pPr>
        <w:tabs>
          <w:tab w:val="left" w:pos="2257"/>
        </w:tabs>
        <w:spacing w:after="0" w:line="259" w:lineRule="auto"/>
        <w:rPr>
          <w:rFonts w:ascii="Arial" w:hAnsi="Arial" w:cs="Arial"/>
          <w:sz w:val="24"/>
          <w:szCs w:val="24"/>
        </w:rPr>
      </w:pPr>
    </w:p>
    <w:p w14:paraId="25AD1414" w14:textId="77777777" w:rsidR="00593566" w:rsidRPr="009253C4" w:rsidRDefault="00593566" w:rsidP="00593566">
      <w:pPr>
        <w:spacing w:after="0" w:line="259" w:lineRule="auto"/>
        <w:rPr>
          <w:rFonts w:ascii="Arial" w:hAnsi="Arial" w:cs="Arial"/>
          <w:b/>
          <w:sz w:val="24"/>
          <w:szCs w:val="24"/>
        </w:rPr>
      </w:pPr>
      <w:bookmarkStart w:id="0" w:name="LASTCURSORPOSITION"/>
      <w:bookmarkEnd w:id="0"/>
    </w:p>
    <w:p w14:paraId="7BE8195B" w14:textId="65CB7990" w:rsidR="00593566" w:rsidRPr="003809EC" w:rsidRDefault="00593566" w:rsidP="00593566">
      <w:pPr>
        <w:spacing w:after="0" w:line="259" w:lineRule="auto"/>
        <w:rPr>
          <w:rFonts w:ascii="Arial" w:hAnsi="Arial" w:cs="Arial"/>
          <w:sz w:val="24"/>
          <w:szCs w:val="24"/>
        </w:rPr>
      </w:pPr>
      <w:r w:rsidRPr="003809EC">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sidR="0002373E">
        <w:rPr>
          <w:rFonts w:ascii="Arial" w:hAnsi="Arial" w:cs="Arial"/>
          <w:sz w:val="24"/>
          <w:szCs w:val="24"/>
        </w:rPr>
        <w:t>3</w:t>
      </w:r>
      <w:r w:rsidR="0002373E" w:rsidRPr="0002373E">
        <w:rPr>
          <w:rFonts w:ascii="Arial" w:hAnsi="Arial" w:cs="Arial"/>
          <w:sz w:val="24"/>
          <w:szCs w:val="24"/>
          <w:vertAlign w:val="superscript"/>
        </w:rPr>
        <w:t>rd</w:t>
      </w:r>
      <w:r w:rsidR="0002373E">
        <w:rPr>
          <w:rFonts w:ascii="Arial" w:hAnsi="Arial" w:cs="Arial"/>
          <w:sz w:val="24"/>
          <w:szCs w:val="24"/>
        </w:rPr>
        <w:t xml:space="preserve"> </w:t>
      </w:r>
      <w:r w:rsidR="00FA58AA">
        <w:rPr>
          <w:rFonts w:ascii="Arial" w:hAnsi="Arial" w:cs="Arial"/>
          <w:sz w:val="24"/>
          <w:szCs w:val="24"/>
        </w:rPr>
        <w:t>December</w:t>
      </w:r>
      <w:r w:rsidR="00BF12E4">
        <w:rPr>
          <w:rFonts w:ascii="Arial" w:hAnsi="Arial" w:cs="Arial"/>
          <w:sz w:val="24"/>
          <w:szCs w:val="24"/>
        </w:rPr>
        <w:t xml:space="preserve"> 2021</w:t>
      </w:r>
    </w:p>
    <w:p w14:paraId="1221ACF3" w14:textId="77777777" w:rsidR="00593566" w:rsidRPr="003809EC" w:rsidRDefault="00593566" w:rsidP="00593566">
      <w:pPr>
        <w:spacing w:after="0" w:line="259" w:lineRule="auto"/>
        <w:rPr>
          <w:rFonts w:ascii="Arial" w:hAnsi="Arial" w:cs="Arial"/>
          <w:sz w:val="24"/>
          <w:szCs w:val="24"/>
        </w:rPr>
      </w:pPr>
    </w:p>
    <w:p w14:paraId="30F4A78B" w14:textId="3CDFF4F7" w:rsidR="00593566" w:rsidRPr="003809EC" w:rsidRDefault="00593566" w:rsidP="00593566">
      <w:pPr>
        <w:spacing w:after="0" w:line="259" w:lineRule="auto"/>
        <w:rPr>
          <w:rFonts w:ascii="Arial" w:hAnsi="Arial" w:cs="Arial"/>
          <w:sz w:val="24"/>
          <w:szCs w:val="24"/>
        </w:rPr>
      </w:pPr>
      <w:r w:rsidRPr="003809EC">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r>
      <w:r w:rsidR="00DF35C4">
        <w:rPr>
          <w:rFonts w:ascii="Arial" w:hAnsi="Arial" w:cs="Arial"/>
          <w:sz w:val="24"/>
          <w:szCs w:val="24"/>
        </w:rPr>
        <w:t>2</w:t>
      </w:r>
      <w:r w:rsidR="00DF35C4" w:rsidRPr="00DF35C4">
        <w:rPr>
          <w:rFonts w:ascii="Arial" w:hAnsi="Arial" w:cs="Arial"/>
          <w:sz w:val="24"/>
          <w:szCs w:val="24"/>
          <w:vertAlign w:val="superscript"/>
        </w:rPr>
        <w:t>nd</w:t>
      </w:r>
      <w:r w:rsidR="00DF35C4">
        <w:rPr>
          <w:rFonts w:ascii="Arial" w:hAnsi="Arial" w:cs="Arial"/>
          <w:sz w:val="24"/>
          <w:szCs w:val="24"/>
        </w:rPr>
        <w:t xml:space="preserve"> December 2022</w:t>
      </w:r>
    </w:p>
    <w:p w14:paraId="34CC3AFD" w14:textId="77777777" w:rsidR="00593566" w:rsidRPr="003809EC" w:rsidRDefault="00593566" w:rsidP="00593566">
      <w:pPr>
        <w:spacing w:after="0" w:line="259" w:lineRule="auto"/>
        <w:rPr>
          <w:rFonts w:ascii="Arial" w:hAnsi="Arial" w:cs="Arial"/>
          <w:sz w:val="24"/>
          <w:szCs w:val="24"/>
        </w:rPr>
      </w:pPr>
    </w:p>
    <w:p w14:paraId="19FFDE4B" w14:textId="09E8E7BE" w:rsidR="00593566" w:rsidRDefault="00593566" w:rsidP="00593566">
      <w:pPr>
        <w:spacing w:after="0" w:line="259" w:lineRule="auto"/>
        <w:rPr>
          <w:rFonts w:ascii="Arial" w:hAnsi="Arial" w:cs="Arial"/>
          <w:sz w:val="24"/>
          <w:szCs w:val="24"/>
        </w:rPr>
      </w:pPr>
      <w:r w:rsidRPr="003809EC">
        <w:rPr>
          <w:rFonts w:ascii="Arial" w:hAnsi="Arial" w:cs="Arial"/>
          <w:sz w:val="24"/>
          <w:szCs w:val="24"/>
        </w:rPr>
        <w:t>CALL-OFF INITIAL PERIOD:</w:t>
      </w:r>
      <w:r>
        <w:rPr>
          <w:rFonts w:ascii="Arial" w:hAnsi="Arial" w:cs="Arial"/>
          <w:sz w:val="24"/>
          <w:szCs w:val="24"/>
        </w:rPr>
        <w:tab/>
      </w:r>
      <w:r>
        <w:rPr>
          <w:rFonts w:ascii="Arial" w:hAnsi="Arial" w:cs="Arial"/>
          <w:sz w:val="24"/>
          <w:szCs w:val="24"/>
        </w:rPr>
        <w:tab/>
      </w:r>
      <w:r w:rsidR="00BF12E4">
        <w:rPr>
          <w:rFonts w:ascii="Arial" w:hAnsi="Arial" w:cs="Arial"/>
          <w:sz w:val="24"/>
          <w:szCs w:val="24"/>
        </w:rPr>
        <w:t>12 week</w:t>
      </w:r>
      <w:r w:rsidR="00F468DF">
        <w:rPr>
          <w:rFonts w:ascii="Arial" w:hAnsi="Arial" w:cs="Arial"/>
          <w:sz w:val="24"/>
          <w:szCs w:val="24"/>
        </w:rPr>
        <w:t xml:space="preserve">s.  NB </w:t>
      </w:r>
      <w:proofErr w:type="gramStart"/>
      <w:r w:rsidR="00F468DF" w:rsidRPr="00F468DF">
        <w:rPr>
          <w:rFonts w:ascii="Arial" w:hAnsi="Arial" w:cs="Arial"/>
          <w:sz w:val="24"/>
          <w:szCs w:val="24"/>
        </w:rPr>
        <w:t>The</w:t>
      </w:r>
      <w:proofErr w:type="gramEnd"/>
      <w:r w:rsidR="00F468DF" w:rsidRPr="00F468DF">
        <w:rPr>
          <w:rFonts w:ascii="Arial" w:hAnsi="Arial" w:cs="Arial"/>
          <w:sz w:val="24"/>
          <w:szCs w:val="24"/>
        </w:rPr>
        <w:t xml:space="preserve"> contract will operate for an initial period of 12 weeks, or until delivery of all goods to the Authority and the</w:t>
      </w:r>
      <w:r w:rsidR="00FE245E">
        <w:rPr>
          <w:rFonts w:ascii="Arial" w:hAnsi="Arial" w:cs="Arial"/>
          <w:sz w:val="24"/>
          <w:szCs w:val="24"/>
        </w:rPr>
        <w:t xml:space="preserve"> date of </w:t>
      </w:r>
      <w:r w:rsidR="00D37809">
        <w:rPr>
          <w:rFonts w:ascii="Arial" w:hAnsi="Arial" w:cs="Arial"/>
          <w:sz w:val="24"/>
          <w:szCs w:val="24"/>
        </w:rPr>
        <w:t xml:space="preserve">the Authority’s </w:t>
      </w:r>
      <w:r w:rsidR="00F468DF" w:rsidRPr="00F468DF">
        <w:rPr>
          <w:rFonts w:ascii="Arial" w:hAnsi="Arial" w:cs="Arial"/>
          <w:sz w:val="24"/>
          <w:szCs w:val="24"/>
        </w:rPr>
        <w:t>acceptance of them, whichever is sooner.</w:t>
      </w:r>
      <w:r w:rsidR="00DF35C4">
        <w:rPr>
          <w:rFonts w:ascii="Arial" w:hAnsi="Arial" w:cs="Arial"/>
          <w:sz w:val="24"/>
          <w:szCs w:val="24"/>
        </w:rPr>
        <w:t xml:space="preserve"> Please note this is a 12 month contract.</w:t>
      </w:r>
    </w:p>
    <w:p w14:paraId="07FFA9AF" w14:textId="77777777" w:rsidR="00593566" w:rsidRDefault="00593566" w:rsidP="00593566">
      <w:pPr>
        <w:spacing w:after="0" w:line="259" w:lineRule="auto"/>
        <w:rPr>
          <w:rFonts w:ascii="Arial" w:hAnsi="Arial" w:cs="Arial"/>
          <w:sz w:val="24"/>
          <w:szCs w:val="24"/>
        </w:rPr>
      </w:pPr>
    </w:p>
    <w:p w14:paraId="761D4828" w14:textId="77777777" w:rsidR="00593566" w:rsidRPr="003809EC" w:rsidRDefault="00593566" w:rsidP="00593566">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t>None</w:t>
      </w:r>
    </w:p>
    <w:p w14:paraId="5C661F77" w14:textId="77777777" w:rsidR="00593566" w:rsidRDefault="00593566" w:rsidP="00593566">
      <w:pPr>
        <w:spacing w:after="0" w:line="259" w:lineRule="auto"/>
        <w:rPr>
          <w:rFonts w:ascii="Arial" w:hAnsi="Arial" w:cs="Arial"/>
          <w:sz w:val="24"/>
          <w:szCs w:val="24"/>
        </w:rPr>
      </w:pPr>
      <w:r>
        <w:rPr>
          <w:rFonts w:ascii="Arial" w:hAnsi="Arial" w:cs="Arial"/>
          <w:sz w:val="24"/>
          <w:szCs w:val="24"/>
        </w:rPr>
        <w:t>PERIOD</w:t>
      </w:r>
    </w:p>
    <w:p w14:paraId="54D1F8AA" w14:textId="77777777" w:rsidR="00593566" w:rsidRPr="003809EC" w:rsidRDefault="00593566" w:rsidP="00593566">
      <w:pPr>
        <w:spacing w:after="0" w:line="259" w:lineRule="auto"/>
        <w:rPr>
          <w:rFonts w:ascii="Arial" w:hAnsi="Arial" w:cs="Arial"/>
          <w:sz w:val="24"/>
          <w:szCs w:val="24"/>
        </w:rPr>
      </w:pPr>
    </w:p>
    <w:p w14:paraId="163D62D5" w14:textId="77777777" w:rsidR="00593566" w:rsidRPr="009253C4" w:rsidRDefault="00593566" w:rsidP="00593566">
      <w:pPr>
        <w:spacing w:after="0" w:line="259" w:lineRule="auto"/>
        <w:rPr>
          <w:rFonts w:ascii="Arial" w:hAnsi="Arial" w:cs="Arial"/>
          <w:b/>
          <w:bCs/>
          <w:sz w:val="24"/>
          <w:szCs w:val="24"/>
        </w:rPr>
      </w:pPr>
      <w:r w:rsidRPr="009253C4">
        <w:rPr>
          <w:rFonts w:ascii="Arial" w:hAnsi="Arial" w:cs="Arial"/>
          <w:b/>
          <w:bCs/>
          <w:sz w:val="24"/>
          <w:szCs w:val="24"/>
        </w:rPr>
        <w:t xml:space="preserve">CALL-OFF DELIVERABLES </w:t>
      </w:r>
    </w:p>
    <w:p w14:paraId="027697CD" w14:textId="17A3D478" w:rsidR="00593566" w:rsidRDefault="00593566" w:rsidP="00593566">
      <w:pPr>
        <w:spacing w:after="0" w:line="259" w:lineRule="auto"/>
        <w:rPr>
          <w:rFonts w:ascii="Arial" w:hAnsi="Arial" w:cs="Arial"/>
          <w:sz w:val="24"/>
          <w:szCs w:val="24"/>
        </w:rPr>
      </w:pPr>
      <w:r w:rsidRPr="008F2F7E">
        <w:rPr>
          <w:rFonts w:ascii="Arial" w:hAnsi="Arial" w:cs="Arial"/>
          <w:sz w:val="24"/>
          <w:szCs w:val="24"/>
        </w:rPr>
        <w:lastRenderedPageBreak/>
        <w:t>The provision of TLLS Initial and Provisioning Spares. The Goods are described in detail within Attachment 3, Statement of Requirements. The requirement is to be delivered within Twelve (12) weeks of Contract Award.</w:t>
      </w:r>
    </w:p>
    <w:p w14:paraId="031AC787" w14:textId="356547E8" w:rsidR="00BF12E4" w:rsidRDefault="00BF12E4" w:rsidP="00593566">
      <w:pPr>
        <w:spacing w:after="0" w:line="259" w:lineRule="auto"/>
        <w:rPr>
          <w:rFonts w:ascii="Arial" w:hAnsi="Arial" w:cs="Arial"/>
          <w:sz w:val="24"/>
          <w:szCs w:val="24"/>
        </w:rPr>
      </w:pPr>
    </w:p>
    <w:tbl>
      <w:tblPr>
        <w:tblStyle w:val="TableGrid1"/>
        <w:tblW w:w="5000" w:type="pct"/>
        <w:tblLook w:val="04A0" w:firstRow="1" w:lastRow="0" w:firstColumn="1" w:lastColumn="0" w:noHBand="0" w:noVBand="1"/>
      </w:tblPr>
      <w:tblGrid>
        <w:gridCol w:w="2671"/>
        <w:gridCol w:w="3945"/>
        <w:gridCol w:w="2400"/>
      </w:tblGrid>
      <w:tr w:rsidR="00BF12E4" w:rsidRPr="00BF12E4" w14:paraId="15288314" w14:textId="77777777" w:rsidTr="00BF12E4">
        <w:tc>
          <w:tcPr>
            <w:tcW w:w="1481" w:type="pct"/>
            <w:shd w:val="clear" w:color="auto" w:fill="B8CCE4"/>
            <w:vAlign w:val="center"/>
          </w:tcPr>
          <w:p w14:paraId="68FC7B25" w14:textId="77777777" w:rsidR="00BF12E4" w:rsidRPr="00BF12E4" w:rsidRDefault="00BF12E4" w:rsidP="00BF12E4">
            <w:pPr>
              <w:spacing w:after="120" w:line="240" w:lineRule="auto"/>
              <w:jc w:val="center"/>
              <w:outlineLvl w:val="2"/>
              <w:rPr>
                <w:rFonts w:ascii="Arial" w:eastAsia="STZhongsong" w:hAnsi="Arial" w:cs="Arial"/>
                <w:b/>
                <w:sz w:val="24"/>
                <w:szCs w:val="24"/>
                <w:lang w:eastAsia="zh-CN"/>
              </w:rPr>
            </w:pPr>
            <w:r w:rsidRPr="00BF12E4">
              <w:rPr>
                <w:rFonts w:ascii="Arial" w:eastAsia="STZhongsong" w:hAnsi="Arial" w:cs="Arial"/>
                <w:b/>
                <w:sz w:val="24"/>
                <w:szCs w:val="24"/>
                <w:lang w:eastAsia="zh-CN"/>
              </w:rPr>
              <w:t>Milestone/Deliverable</w:t>
            </w:r>
          </w:p>
        </w:tc>
        <w:tc>
          <w:tcPr>
            <w:tcW w:w="2188" w:type="pct"/>
            <w:shd w:val="clear" w:color="auto" w:fill="B8CCE4"/>
            <w:vAlign w:val="center"/>
          </w:tcPr>
          <w:p w14:paraId="390D2BCF" w14:textId="77777777" w:rsidR="00BF12E4" w:rsidRPr="00BF12E4" w:rsidRDefault="00BF12E4" w:rsidP="00BF12E4">
            <w:pPr>
              <w:spacing w:after="120" w:line="240" w:lineRule="auto"/>
              <w:jc w:val="center"/>
              <w:outlineLvl w:val="2"/>
              <w:rPr>
                <w:rFonts w:ascii="Arial" w:eastAsia="STZhongsong" w:hAnsi="Arial" w:cs="Arial"/>
                <w:b/>
                <w:sz w:val="24"/>
                <w:szCs w:val="24"/>
                <w:lang w:eastAsia="zh-CN"/>
              </w:rPr>
            </w:pPr>
            <w:r w:rsidRPr="00BF12E4">
              <w:rPr>
                <w:rFonts w:ascii="Arial" w:eastAsia="STZhongsong" w:hAnsi="Arial" w:cs="Arial"/>
                <w:b/>
                <w:sz w:val="24"/>
                <w:szCs w:val="24"/>
                <w:lang w:eastAsia="zh-CN"/>
              </w:rPr>
              <w:t>Description</w:t>
            </w:r>
          </w:p>
        </w:tc>
        <w:tc>
          <w:tcPr>
            <w:tcW w:w="1331" w:type="pct"/>
            <w:shd w:val="clear" w:color="auto" w:fill="B8CCE4"/>
            <w:vAlign w:val="center"/>
          </w:tcPr>
          <w:p w14:paraId="49567738" w14:textId="77777777" w:rsidR="00BF12E4" w:rsidRPr="00BF12E4" w:rsidRDefault="00BF12E4" w:rsidP="00BF12E4">
            <w:pPr>
              <w:spacing w:after="120" w:line="240" w:lineRule="auto"/>
              <w:jc w:val="center"/>
              <w:outlineLvl w:val="2"/>
              <w:rPr>
                <w:rFonts w:ascii="Arial" w:eastAsia="STZhongsong" w:hAnsi="Arial" w:cs="Arial"/>
                <w:b/>
                <w:sz w:val="24"/>
                <w:szCs w:val="24"/>
                <w:lang w:eastAsia="zh-CN"/>
              </w:rPr>
            </w:pPr>
            <w:r w:rsidRPr="00BF12E4">
              <w:rPr>
                <w:rFonts w:ascii="Arial" w:eastAsia="STZhongsong" w:hAnsi="Arial" w:cs="Arial"/>
                <w:b/>
                <w:sz w:val="24"/>
                <w:szCs w:val="24"/>
                <w:lang w:eastAsia="zh-CN"/>
              </w:rPr>
              <w:t>Timeframe or  Delivery Date</w:t>
            </w:r>
          </w:p>
        </w:tc>
      </w:tr>
      <w:tr w:rsidR="00BF12E4" w:rsidRPr="00BF12E4" w14:paraId="3F7033C7" w14:textId="77777777" w:rsidTr="0024440E">
        <w:tc>
          <w:tcPr>
            <w:tcW w:w="1481" w:type="pct"/>
            <w:vAlign w:val="center"/>
          </w:tcPr>
          <w:p w14:paraId="4E3940AD" w14:textId="77777777" w:rsidR="00BF12E4" w:rsidRPr="00BF12E4" w:rsidRDefault="00BF12E4" w:rsidP="00BF12E4">
            <w:pPr>
              <w:spacing w:after="120" w:line="240" w:lineRule="auto"/>
              <w:jc w:val="center"/>
              <w:outlineLvl w:val="2"/>
              <w:rPr>
                <w:rFonts w:ascii="Arial" w:eastAsia="STZhongsong" w:hAnsi="Arial" w:cs="Arial"/>
                <w:sz w:val="24"/>
                <w:szCs w:val="24"/>
                <w:lang w:eastAsia="zh-CN"/>
              </w:rPr>
            </w:pPr>
            <w:r w:rsidRPr="00BF12E4">
              <w:rPr>
                <w:rFonts w:ascii="Arial" w:eastAsia="STZhongsong" w:hAnsi="Arial" w:cs="Arial"/>
                <w:sz w:val="24"/>
                <w:szCs w:val="24"/>
                <w:lang w:eastAsia="zh-CN"/>
              </w:rPr>
              <w:t>1</w:t>
            </w:r>
          </w:p>
        </w:tc>
        <w:tc>
          <w:tcPr>
            <w:tcW w:w="2188" w:type="pct"/>
            <w:vAlign w:val="center"/>
          </w:tcPr>
          <w:p w14:paraId="0572FF59" w14:textId="77777777" w:rsidR="00BF12E4" w:rsidRPr="00BF12E4" w:rsidRDefault="00BF12E4" w:rsidP="00BF12E4">
            <w:pPr>
              <w:spacing w:after="120" w:line="240" w:lineRule="auto"/>
              <w:outlineLvl w:val="2"/>
              <w:rPr>
                <w:rFonts w:ascii="Arial" w:eastAsia="STZhongsong" w:hAnsi="Arial" w:cs="Arial"/>
                <w:sz w:val="24"/>
                <w:szCs w:val="24"/>
                <w:highlight w:val="yellow"/>
                <w:lang w:eastAsia="zh-CN"/>
              </w:rPr>
            </w:pPr>
            <w:r w:rsidRPr="00BF12E4">
              <w:rPr>
                <w:rFonts w:ascii="Arial" w:eastAsia="STZhongsong" w:hAnsi="Arial" w:cs="Arial"/>
                <w:color w:val="000000"/>
                <w:sz w:val="24"/>
                <w:szCs w:val="24"/>
                <w:lang w:eastAsia="zh-CN"/>
              </w:rPr>
              <w:t>Call off agreement signed</w:t>
            </w:r>
          </w:p>
        </w:tc>
        <w:tc>
          <w:tcPr>
            <w:tcW w:w="1331" w:type="pct"/>
            <w:vAlign w:val="center"/>
          </w:tcPr>
          <w:p w14:paraId="27BAAC49" w14:textId="77777777" w:rsidR="00BF12E4" w:rsidRPr="00BF12E4" w:rsidRDefault="00BF12E4" w:rsidP="00BF12E4">
            <w:pPr>
              <w:spacing w:after="120" w:line="240" w:lineRule="auto"/>
              <w:jc w:val="center"/>
              <w:outlineLvl w:val="2"/>
              <w:rPr>
                <w:rFonts w:ascii="Arial" w:eastAsia="STZhongsong" w:hAnsi="Arial" w:cs="Arial"/>
                <w:color w:val="000000"/>
                <w:sz w:val="24"/>
                <w:szCs w:val="24"/>
                <w:lang w:eastAsia="zh-CN"/>
              </w:rPr>
            </w:pPr>
            <w:r w:rsidRPr="00BF12E4">
              <w:rPr>
                <w:rFonts w:ascii="Arial" w:eastAsia="STZhongsong" w:hAnsi="Arial" w:cs="Arial"/>
                <w:color w:val="000000"/>
                <w:sz w:val="24"/>
                <w:szCs w:val="24"/>
                <w:lang w:eastAsia="zh-CN"/>
              </w:rPr>
              <w:t>Within two (2) days of Contract Award.</w:t>
            </w:r>
          </w:p>
        </w:tc>
      </w:tr>
      <w:tr w:rsidR="00BF12E4" w:rsidRPr="00BF12E4" w14:paraId="176FD762" w14:textId="77777777" w:rsidTr="0024440E">
        <w:tc>
          <w:tcPr>
            <w:tcW w:w="1481" w:type="pct"/>
            <w:vAlign w:val="center"/>
          </w:tcPr>
          <w:p w14:paraId="4E7F292A" w14:textId="77777777" w:rsidR="00BF12E4" w:rsidRPr="00BF12E4" w:rsidRDefault="00BF12E4" w:rsidP="00BF12E4">
            <w:pPr>
              <w:spacing w:after="120" w:line="240" w:lineRule="auto"/>
              <w:jc w:val="center"/>
              <w:outlineLvl w:val="2"/>
              <w:rPr>
                <w:rFonts w:ascii="Arial" w:eastAsia="STZhongsong" w:hAnsi="Arial" w:cs="Arial"/>
                <w:sz w:val="24"/>
                <w:szCs w:val="24"/>
                <w:lang w:eastAsia="zh-CN"/>
              </w:rPr>
            </w:pPr>
            <w:r w:rsidRPr="00BF12E4">
              <w:rPr>
                <w:rFonts w:ascii="Arial" w:eastAsia="STZhongsong" w:hAnsi="Arial" w:cs="Arial"/>
                <w:sz w:val="24"/>
                <w:szCs w:val="24"/>
                <w:lang w:eastAsia="zh-CN"/>
              </w:rPr>
              <w:t>2</w:t>
            </w:r>
          </w:p>
        </w:tc>
        <w:tc>
          <w:tcPr>
            <w:tcW w:w="2188" w:type="pct"/>
            <w:vAlign w:val="center"/>
          </w:tcPr>
          <w:p w14:paraId="7F5B2238" w14:textId="77777777" w:rsidR="00BF12E4" w:rsidRPr="00BF12E4" w:rsidRDefault="00BF12E4" w:rsidP="00BF12E4">
            <w:pPr>
              <w:numPr>
                <w:ilvl w:val="2"/>
                <w:numId w:val="0"/>
              </w:numPr>
              <w:spacing w:after="120" w:line="240" w:lineRule="auto"/>
              <w:outlineLvl w:val="2"/>
              <w:rPr>
                <w:rFonts w:ascii="Arial" w:eastAsia="STZhongsong" w:hAnsi="Arial" w:cs="Arial"/>
                <w:sz w:val="24"/>
                <w:szCs w:val="24"/>
                <w:highlight w:val="yellow"/>
                <w:lang w:eastAsia="zh-CN"/>
              </w:rPr>
            </w:pPr>
            <w:r w:rsidRPr="00BF12E4">
              <w:rPr>
                <w:rFonts w:ascii="Arial" w:eastAsia="STZhongsong" w:hAnsi="Arial" w:cs="Arial"/>
                <w:color w:val="000000"/>
                <w:sz w:val="24"/>
                <w:szCs w:val="24"/>
                <w:lang w:eastAsia="zh-CN"/>
              </w:rPr>
              <w:t>Delivery of TLLS Initial and provisioning spares</w:t>
            </w:r>
          </w:p>
        </w:tc>
        <w:tc>
          <w:tcPr>
            <w:tcW w:w="1331" w:type="pct"/>
            <w:vAlign w:val="center"/>
          </w:tcPr>
          <w:p w14:paraId="663CC91C" w14:textId="77777777" w:rsidR="00BF12E4" w:rsidRPr="00BF12E4" w:rsidRDefault="00BF12E4" w:rsidP="00BF12E4">
            <w:pPr>
              <w:numPr>
                <w:ilvl w:val="2"/>
                <w:numId w:val="0"/>
              </w:numPr>
              <w:spacing w:after="120" w:line="240" w:lineRule="auto"/>
              <w:jc w:val="center"/>
              <w:outlineLvl w:val="2"/>
              <w:rPr>
                <w:rFonts w:ascii="Arial" w:eastAsia="STZhongsong" w:hAnsi="Arial" w:cs="Arial"/>
                <w:color w:val="000000"/>
                <w:sz w:val="24"/>
                <w:szCs w:val="24"/>
                <w:lang w:eastAsia="zh-CN"/>
              </w:rPr>
            </w:pPr>
            <w:r w:rsidRPr="00BF12E4">
              <w:rPr>
                <w:rFonts w:ascii="Arial" w:eastAsia="STZhongsong" w:hAnsi="Arial" w:cs="Arial"/>
                <w:color w:val="000000"/>
                <w:sz w:val="24"/>
                <w:szCs w:val="24"/>
                <w:lang w:eastAsia="zh-CN"/>
              </w:rPr>
              <w:t>Within twelve (12) weeks of Contract Award.</w:t>
            </w:r>
          </w:p>
          <w:p w14:paraId="44FC204C" w14:textId="77777777" w:rsidR="00BF12E4" w:rsidRPr="00BF12E4" w:rsidRDefault="00BF12E4" w:rsidP="00BF12E4">
            <w:pPr>
              <w:spacing w:after="120" w:line="240" w:lineRule="auto"/>
              <w:jc w:val="center"/>
              <w:outlineLvl w:val="2"/>
              <w:rPr>
                <w:rFonts w:ascii="Arial" w:eastAsia="STZhongsong" w:hAnsi="Arial" w:cs="Arial"/>
                <w:sz w:val="24"/>
                <w:szCs w:val="24"/>
                <w:highlight w:val="yellow"/>
                <w:lang w:eastAsia="zh-CN"/>
              </w:rPr>
            </w:pPr>
          </w:p>
        </w:tc>
      </w:tr>
    </w:tbl>
    <w:p w14:paraId="09845C2A" w14:textId="35D06950" w:rsidR="00BF12E4" w:rsidRDefault="00BF12E4" w:rsidP="00593566">
      <w:pPr>
        <w:spacing w:after="0" w:line="259" w:lineRule="auto"/>
        <w:rPr>
          <w:rFonts w:ascii="Arial" w:hAnsi="Arial" w:cs="Arial"/>
          <w:sz w:val="24"/>
          <w:szCs w:val="24"/>
        </w:rPr>
      </w:pPr>
    </w:p>
    <w:p w14:paraId="1764E26E" w14:textId="144F4A90" w:rsidR="00BF12E4" w:rsidRDefault="00BF12E4" w:rsidP="00593566">
      <w:pPr>
        <w:spacing w:after="0" w:line="259" w:lineRule="auto"/>
        <w:rPr>
          <w:rFonts w:ascii="Arial" w:hAnsi="Arial" w:cs="Arial"/>
          <w:sz w:val="24"/>
          <w:szCs w:val="24"/>
        </w:rPr>
      </w:pPr>
    </w:p>
    <w:p w14:paraId="40EC3D6B" w14:textId="77777777" w:rsidR="00BF12E4" w:rsidRPr="008F2F7E" w:rsidRDefault="00BF12E4" w:rsidP="00593566">
      <w:pPr>
        <w:spacing w:after="0" w:line="259" w:lineRule="auto"/>
        <w:rPr>
          <w:rFonts w:ascii="Arial" w:hAnsi="Arial" w:cs="Arial"/>
          <w:sz w:val="24"/>
          <w:szCs w:val="24"/>
        </w:rPr>
      </w:pPr>
    </w:p>
    <w:p w14:paraId="0EE14771" w14:textId="77777777" w:rsidR="00593566" w:rsidRDefault="00593566" w:rsidP="00593566">
      <w:pPr>
        <w:tabs>
          <w:tab w:val="left" w:pos="2257"/>
        </w:tabs>
        <w:spacing w:after="0" w:line="259" w:lineRule="auto"/>
        <w:rPr>
          <w:rFonts w:ascii="Arial" w:hAnsi="Arial" w:cs="Arial"/>
          <w:b/>
          <w:sz w:val="24"/>
          <w:szCs w:val="24"/>
        </w:rPr>
      </w:pPr>
    </w:p>
    <w:p w14:paraId="737E7099"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LOCATION FOR DELIVERY</w:t>
      </w:r>
    </w:p>
    <w:p w14:paraId="6E9F85E7" w14:textId="0C3C2304" w:rsidR="00593566" w:rsidRDefault="00587FCF" w:rsidP="009253C4">
      <w:pPr>
        <w:spacing w:after="0" w:line="259" w:lineRule="auto"/>
        <w:rPr>
          <w:rFonts w:ascii="Arial" w:hAnsi="Arial" w:cs="Arial"/>
          <w:sz w:val="24"/>
          <w:szCs w:val="24"/>
        </w:rPr>
      </w:pPr>
      <w:r>
        <w:rPr>
          <w:rFonts w:ascii="Arial" w:hAnsi="Arial" w:cs="Arial"/>
          <w:sz w:val="24"/>
          <w:szCs w:val="24"/>
        </w:rPr>
        <w:t>REDACTED</w:t>
      </w:r>
    </w:p>
    <w:p w14:paraId="7A180B1E" w14:textId="77777777" w:rsidR="00587FCF" w:rsidRDefault="00587FCF" w:rsidP="009253C4">
      <w:pPr>
        <w:spacing w:after="0" w:line="259" w:lineRule="auto"/>
        <w:rPr>
          <w:rFonts w:ascii="Arial" w:hAnsi="Arial" w:cs="Arial"/>
          <w:sz w:val="24"/>
          <w:szCs w:val="24"/>
        </w:rPr>
      </w:pPr>
    </w:p>
    <w:p w14:paraId="78E0E347"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DATES FOR DELIVERY OF THE DELIVERABLES</w:t>
      </w:r>
    </w:p>
    <w:p w14:paraId="667C1E71" w14:textId="77777777" w:rsidR="00593566" w:rsidRDefault="00593566" w:rsidP="00593566">
      <w:pPr>
        <w:tabs>
          <w:tab w:val="left" w:pos="2257"/>
        </w:tabs>
        <w:spacing w:after="0" w:line="259" w:lineRule="auto"/>
        <w:rPr>
          <w:rFonts w:ascii="Arial" w:hAnsi="Arial" w:cs="Arial"/>
          <w:sz w:val="24"/>
          <w:szCs w:val="24"/>
        </w:rPr>
      </w:pPr>
      <w:r w:rsidRPr="008F2F7E">
        <w:rPr>
          <w:rFonts w:ascii="Arial" w:hAnsi="Arial" w:cs="Arial"/>
          <w:sz w:val="24"/>
          <w:szCs w:val="24"/>
        </w:rPr>
        <w:t>The requirement is to be delivered within twelve (12) working weeks of contract award.</w:t>
      </w:r>
    </w:p>
    <w:p w14:paraId="42A8B46F" w14:textId="77777777" w:rsidR="00593566" w:rsidRDefault="00593566" w:rsidP="00593566">
      <w:pPr>
        <w:tabs>
          <w:tab w:val="left" w:pos="2257"/>
        </w:tabs>
        <w:spacing w:after="0" w:line="259" w:lineRule="auto"/>
        <w:rPr>
          <w:rFonts w:ascii="Arial" w:hAnsi="Arial" w:cs="Arial"/>
          <w:sz w:val="24"/>
          <w:szCs w:val="24"/>
        </w:rPr>
      </w:pPr>
    </w:p>
    <w:p w14:paraId="5D1EE8EE"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TESTING OF DELIVERABLES</w:t>
      </w:r>
    </w:p>
    <w:p w14:paraId="05DACDCD" w14:textId="77777777" w:rsidR="00593566" w:rsidRPr="001E7B9C" w:rsidRDefault="00593566" w:rsidP="00593566">
      <w:pPr>
        <w:tabs>
          <w:tab w:val="left" w:pos="2257"/>
        </w:tabs>
        <w:spacing w:after="0" w:line="259" w:lineRule="auto"/>
        <w:rPr>
          <w:rFonts w:ascii="Arial" w:hAnsi="Arial" w:cs="Arial"/>
          <w:sz w:val="24"/>
          <w:szCs w:val="24"/>
        </w:rPr>
      </w:pPr>
      <w:r w:rsidRPr="008F2F7E">
        <w:rPr>
          <w:rFonts w:ascii="Arial" w:hAnsi="Arial" w:cs="Arial"/>
          <w:sz w:val="24"/>
          <w:szCs w:val="24"/>
        </w:rPr>
        <w:t>None</w:t>
      </w:r>
    </w:p>
    <w:p w14:paraId="03671426" w14:textId="77777777" w:rsidR="00593566" w:rsidRDefault="00593566" w:rsidP="00593566">
      <w:pPr>
        <w:tabs>
          <w:tab w:val="left" w:pos="2257"/>
        </w:tabs>
        <w:spacing w:after="0" w:line="259" w:lineRule="auto"/>
        <w:rPr>
          <w:rFonts w:ascii="Arial" w:hAnsi="Arial" w:cs="Arial"/>
          <w:b/>
          <w:sz w:val="24"/>
          <w:szCs w:val="24"/>
        </w:rPr>
      </w:pPr>
    </w:p>
    <w:p w14:paraId="247CA529"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WARRANTY PERIOD</w:t>
      </w:r>
    </w:p>
    <w:p w14:paraId="5CD8E7F1" w14:textId="2612BF5B" w:rsidR="00593566" w:rsidRDefault="00593566" w:rsidP="00593566">
      <w:pPr>
        <w:tabs>
          <w:tab w:val="left" w:pos="2257"/>
        </w:tabs>
        <w:spacing w:after="0" w:line="259" w:lineRule="auto"/>
        <w:rPr>
          <w:rFonts w:ascii="Arial" w:hAnsi="Arial" w:cs="Arial"/>
          <w:sz w:val="24"/>
          <w:szCs w:val="24"/>
        </w:rPr>
      </w:pPr>
      <w:r>
        <w:rPr>
          <w:rFonts w:ascii="Arial" w:hAnsi="Arial" w:cs="Arial"/>
          <w:sz w:val="24"/>
          <w:szCs w:val="24"/>
        </w:rPr>
        <w:t>Manufacturer</w:t>
      </w:r>
      <w:r w:rsidR="009253C4">
        <w:rPr>
          <w:rFonts w:ascii="Arial" w:hAnsi="Arial" w:cs="Arial"/>
          <w:sz w:val="24"/>
          <w:szCs w:val="24"/>
        </w:rPr>
        <w:t>’</w:t>
      </w:r>
      <w:r>
        <w:rPr>
          <w:rFonts w:ascii="Arial" w:hAnsi="Arial" w:cs="Arial"/>
          <w:sz w:val="24"/>
          <w:szCs w:val="24"/>
        </w:rPr>
        <w:t>s standard warranty applies</w:t>
      </w:r>
    </w:p>
    <w:p w14:paraId="0846DE6C" w14:textId="77777777" w:rsidR="00593566" w:rsidRPr="00ED3390" w:rsidRDefault="00593566" w:rsidP="00593566">
      <w:pPr>
        <w:tabs>
          <w:tab w:val="left" w:pos="2257"/>
        </w:tabs>
        <w:spacing w:after="0" w:line="259" w:lineRule="auto"/>
        <w:rPr>
          <w:rFonts w:ascii="Arial" w:hAnsi="Arial" w:cs="Arial"/>
          <w:sz w:val="24"/>
          <w:szCs w:val="24"/>
        </w:rPr>
      </w:pPr>
    </w:p>
    <w:p w14:paraId="21CF8EDB"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 xml:space="preserve">MAXIMUM LIABILITY </w:t>
      </w:r>
    </w:p>
    <w:p w14:paraId="32A8352F" w14:textId="77777777" w:rsidR="00593566" w:rsidRPr="00710B03" w:rsidRDefault="00593566" w:rsidP="00593566">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 Each parties total aggregate liability in each Contract Year under each Call-Off Contract (whether in tort, contract or otherwise) is no more than the greater of £5 million or 150% of the Estimated yearly Charges.</w:t>
      </w:r>
    </w:p>
    <w:p w14:paraId="7A0D2CCE" w14:textId="77777777" w:rsidR="00593566" w:rsidRDefault="00593566" w:rsidP="00593566">
      <w:pPr>
        <w:tabs>
          <w:tab w:val="left" w:pos="2257"/>
        </w:tabs>
        <w:spacing w:after="0" w:line="259" w:lineRule="auto"/>
        <w:rPr>
          <w:rFonts w:ascii="Arial" w:hAnsi="Arial" w:cs="Arial"/>
          <w:sz w:val="24"/>
          <w:szCs w:val="24"/>
        </w:rPr>
      </w:pPr>
    </w:p>
    <w:p w14:paraId="667CC7C8" w14:textId="2424EC60" w:rsidR="00593566" w:rsidRPr="00710B03" w:rsidRDefault="00593566" w:rsidP="00593566">
      <w:pPr>
        <w:tabs>
          <w:tab w:val="left" w:pos="2257"/>
        </w:tabs>
        <w:spacing w:after="0" w:line="259" w:lineRule="auto"/>
        <w:rPr>
          <w:rFonts w:ascii="Arial" w:hAnsi="Arial" w:cs="Arial"/>
          <w:b/>
          <w:sz w:val="24"/>
          <w:szCs w:val="24"/>
        </w:rPr>
      </w:pPr>
      <w:r>
        <w:rPr>
          <w:rFonts w:ascii="Arial" w:hAnsi="Arial" w:cs="Arial"/>
          <w:sz w:val="24"/>
          <w:szCs w:val="24"/>
        </w:rPr>
        <w:t xml:space="preserve">The Estimated Year 1 Charges used to calculate liability in the first Contract Year </w:t>
      </w:r>
      <w:proofErr w:type="gramStart"/>
      <w:r>
        <w:rPr>
          <w:rFonts w:ascii="Arial" w:hAnsi="Arial" w:cs="Arial"/>
          <w:sz w:val="24"/>
          <w:szCs w:val="24"/>
        </w:rPr>
        <w:t>is</w:t>
      </w:r>
      <w:r>
        <w:rPr>
          <w:rFonts w:ascii="Arial" w:hAnsi="Arial" w:cs="Arial"/>
          <w:b/>
          <w:sz w:val="24"/>
          <w:szCs w:val="24"/>
          <w:highlight w:val="yellow"/>
        </w:rPr>
        <w:t xml:space="preserve"> </w:t>
      </w:r>
      <w:r w:rsidR="00887153">
        <w:rPr>
          <w:rFonts w:ascii="Arial" w:hAnsi="Arial" w:cs="Arial"/>
          <w:b/>
          <w:sz w:val="24"/>
          <w:szCs w:val="24"/>
        </w:rPr>
        <w:t xml:space="preserve"> £</w:t>
      </w:r>
      <w:proofErr w:type="gramEnd"/>
      <w:r w:rsidR="00887153">
        <w:rPr>
          <w:rFonts w:ascii="Arial" w:hAnsi="Arial" w:cs="Arial"/>
          <w:b/>
          <w:sz w:val="24"/>
          <w:szCs w:val="24"/>
        </w:rPr>
        <w:t>1,614,659.65 including all expenses but excluding VAT</w:t>
      </w:r>
      <w:r>
        <w:rPr>
          <w:rFonts w:ascii="Arial" w:hAnsi="Arial" w:cs="Arial"/>
          <w:b/>
          <w:sz w:val="24"/>
          <w:szCs w:val="24"/>
        </w:rPr>
        <w:t>.</w:t>
      </w:r>
    </w:p>
    <w:p w14:paraId="5C0921B1" w14:textId="77777777" w:rsidR="00593566" w:rsidRDefault="00593566" w:rsidP="00593566">
      <w:pPr>
        <w:tabs>
          <w:tab w:val="left" w:pos="2257"/>
        </w:tabs>
        <w:spacing w:after="0" w:line="259" w:lineRule="auto"/>
        <w:rPr>
          <w:rFonts w:ascii="Arial" w:hAnsi="Arial" w:cs="Arial"/>
          <w:b/>
          <w:sz w:val="24"/>
          <w:szCs w:val="24"/>
        </w:rPr>
      </w:pPr>
    </w:p>
    <w:p w14:paraId="655E5B90"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CALL-OFF CHARGES</w:t>
      </w:r>
    </w:p>
    <w:p w14:paraId="6FEBA277" w14:textId="378CF604" w:rsidR="00593566" w:rsidRDefault="00593566" w:rsidP="00593566">
      <w:pPr>
        <w:tabs>
          <w:tab w:val="left" w:pos="2257"/>
        </w:tabs>
        <w:spacing w:after="0" w:line="259" w:lineRule="auto"/>
        <w:rPr>
          <w:rFonts w:ascii="Arial" w:hAnsi="Arial" w:cs="Arial"/>
          <w:sz w:val="24"/>
          <w:szCs w:val="24"/>
          <w:highlight w:val="yellow"/>
        </w:rPr>
      </w:pPr>
      <w:r>
        <w:rPr>
          <w:rFonts w:ascii="Arial" w:hAnsi="Arial" w:cs="Arial"/>
          <w:sz w:val="24"/>
          <w:szCs w:val="24"/>
        </w:rPr>
        <w:t xml:space="preserve">The Call-Off charges for this contract </w:t>
      </w:r>
      <w:proofErr w:type="gramStart"/>
      <w:r>
        <w:rPr>
          <w:rFonts w:ascii="Arial" w:hAnsi="Arial" w:cs="Arial"/>
          <w:sz w:val="24"/>
          <w:szCs w:val="24"/>
        </w:rPr>
        <w:t xml:space="preserve">is </w:t>
      </w:r>
      <w:r w:rsidR="00887153">
        <w:rPr>
          <w:rFonts w:ascii="Arial" w:hAnsi="Arial" w:cs="Arial"/>
          <w:b/>
          <w:bCs/>
          <w:sz w:val="24"/>
          <w:szCs w:val="24"/>
        </w:rPr>
        <w:t xml:space="preserve"> </w:t>
      </w:r>
      <w:r w:rsidR="00887153">
        <w:rPr>
          <w:rFonts w:ascii="Arial" w:hAnsi="Arial" w:cs="Arial"/>
          <w:b/>
          <w:sz w:val="24"/>
          <w:szCs w:val="24"/>
        </w:rPr>
        <w:t>£</w:t>
      </w:r>
      <w:proofErr w:type="gramEnd"/>
      <w:r w:rsidR="00887153">
        <w:rPr>
          <w:rFonts w:ascii="Arial" w:hAnsi="Arial" w:cs="Arial"/>
          <w:b/>
          <w:sz w:val="24"/>
          <w:szCs w:val="24"/>
        </w:rPr>
        <w:t xml:space="preserve">1,614,659.65 including all expenses but excluding </w:t>
      </w:r>
      <w:r w:rsidR="00015ADE">
        <w:rPr>
          <w:rFonts w:ascii="Arial" w:hAnsi="Arial" w:cs="Arial"/>
          <w:b/>
          <w:sz w:val="24"/>
          <w:szCs w:val="24"/>
        </w:rPr>
        <w:t>VAT. See Call-Off Schedule 5 (Pricing Details) for an elemental breakdown of how the Call-Off Charges are comprised)</w:t>
      </w:r>
      <w:r>
        <w:rPr>
          <w:rFonts w:ascii="Arial" w:hAnsi="Arial" w:cs="Arial"/>
          <w:sz w:val="24"/>
          <w:szCs w:val="24"/>
        </w:rPr>
        <w:t>.</w:t>
      </w:r>
      <w:r w:rsidR="00015ADE">
        <w:rPr>
          <w:rFonts w:ascii="Arial" w:hAnsi="Arial" w:cs="Arial"/>
          <w:sz w:val="24"/>
          <w:szCs w:val="24"/>
        </w:rPr>
        <w:t xml:space="preserve"> </w:t>
      </w:r>
    </w:p>
    <w:p w14:paraId="3DC49270" w14:textId="77777777" w:rsidR="00593566" w:rsidRPr="009F273E" w:rsidRDefault="00593566" w:rsidP="00593566">
      <w:pPr>
        <w:tabs>
          <w:tab w:val="left" w:pos="2257"/>
        </w:tabs>
        <w:spacing w:after="0" w:line="259" w:lineRule="auto"/>
        <w:rPr>
          <w:rFonts w:ascii="Arial" w:hAnsi="Arial" w:cs="Arial"/>
          <w:sz w:val="24"/>
          <w:szCs w:val="24"/>
          <w:highlight w:val="yellow"/>
        </w:rPr>
      </w:pPr>
    </w:p>
    <w:p w14:paraId="3932990C"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REIMBURSABLE EXPENSES</w:t>
      </w:r>
    </w:p>
    <w:p w14:paraId="65262A56" w14:textId="77777777" w:rsidR="00593566" w:rsidRPr="009F273E" w:rsidRDefault="00593566" w:rsidP="00593566">
      <w:pPr>
        <w:tabs>
          <w:tab w:val="left" w:pos="2257"/>
        </w:tabs>
        <w:spacing w:after="0" w:line="259" w:lineRule="auto"/>
        <w:rPr>
          <w:rFonts w:ascii="Arial" w:hAnsi="Arial" w:cs="Arial"/>
          <w:sz w:val="24"/>
          <w:szCs w:val="24"/>
        </w:rPr>
      </w:pPr>
      <w:r w:rsidRPr="00074484">
        <w:rPr>
          <w:rFonts w:ascii="Arial" w:hAnsi="Arial" w:cs="Arial"/>
          <w:sz w:val="24"/>
          <w:szCs w:val="24"/>
        </w:rPr>
        <w:t>None</w:t>
      </w:r>
    </w:p>
    <w:p w14:paraId="0433224D" w14:textId="77777777" w:rsidR="00593566" w:rsidRPr="009F273E" w:rsidRDefault="00593566" w:rsidP="00593566">
      <w:pPr>
        <w:tabs>
          <w:tab w:val="left" w:pos="2257"/>
        </w:tabs>
        <w:spacing w:after="0" w:line="259" w:lineRule="auto"/>
        <w:rPr>
          <w:rFonts w:ascii="Arial" w:hAnsi="Arial" w:cs="Arial"/>
          <w:b/>
          <w:sz w:val="24"/>
          <w:szCs w:val="24"/>
        </w:rPr>
      </w:pPr>
    </w:p>
    <w:p w14:paraId="64A585C1" w14:textId="3D092F4E" w:rsidR="009253C4" w:rsidRDefault="00593566" w:rsidP="00593566">
      <w:pPr>
        <w:tabs>
          <w:tab w:val="left" w:pos="2257"/>
        </w:tabs>
        <w:spacing w:line="259" w:lineRule="auto"/>
        <w:rPr>
          <w:rFonts w:ascii="Arial" w:hAnsi="Arial" w:cs="Arial"/>
          <w:b/>
          <w:bCs/>
          <w:sz w:val="24"/>
          <w:szCs w:val="24"/>
        </w:rPr>
      </w:pPr>
      <w:r w:rsidRPr="009253C4">
        <w:rPr>
          <w:rFonts w:ascii="Arial" w:hAnsi="Arial" w:cs="Arial"/>
          <w:b/>
          <w:bCs/>
          <w:sz w:val="24"/>
          <w:szCs w:val="24"/>
        </w:rPr>
        <w:t>PAYMENT METHO</w:t>
      </w:r>
      <w:r w:rsidR="009253C4">
        <w:rPr>
          <w:rFonts w:ascii="Arial" w:hAnsi="Arial" w:cs="Arial"/>
          <w:b/>
          <w:bCs/>
          <w:sz w:val="24"/>
          <w:szCs w:val="24"/>
        </w:rPr>
        <w:t>D</w:t>
      </w:r>
    </w:p>
    <w:p w14:paraId="7722BDF9" w14:textId="613022EA" w:rsidR="00593566" w:rsidRPr="009253C4" w:rsidRDefault="00593566" w:rsidP="00593566">
      <w:pPr>
        <w:tabs>
          <w:tab w:val="left" w:pos="2257"/>
        </w:tabs>
        <w:spacing w:line="259" w:lineRule="auto"/>
        <w:rPr>
          <w:rFonts w:ascii="Arial" w:hAnsi="Arial" w:cs="Arial"/>
          <w:b/>
          <w:bCs/>
          <w:sz w:val="24"/>
          <w:szCs w:val="24"/>
        </w:rPr>
      </w:pPr>
      <w:r w:rsidRPr="009253C4">
        <w:rPr>
          <w:rFonts w:ascii="Arial" w:hAnsi="Arial" w:cs="Arial"/>
          <w:sz w:val="24"/>
          <w:szCs w:val="24"/>
        </w:rPr>
        <w:t>Payment will be made via MoD’s internal requisition to pay process (CP&amp;F).    </w:t>
      </w:r>
    </w:p>
    <w:p w14:paraId="0ADEDE50" w14:textId="77777777" w:rsidR="00593566" w:rsidRPr="009253C4" w:rsidRDefault="00593566" w:rsidP="00593566">
      <w:pPr>
        <w:tabs>
          <w:tab w:val="left" w:pos="2257"/>
        </w:tabs>
        <w:spacing w:line="259" w:lineRule="auto"/>
        <w:rPr>
          <w:rFonts w:ascii="Arial" w:hAnsi="Arial" w:cs="Arial"/>
          <w:sz w:val="24"/>
          <w:szCs w:val="24"/>
        </w:rPr>
      </w:pPr>
      <w:r w:rsidRPr="009253C4">
        <w:rPr>
          <w:rFonts w:ascii="Arial" w:hAnsi="Arial" w:cs="Arial"/>
          <w:sz w:val="24"/>
          <w:szCs w:val="24"/>
        </w:rPr>
        <w:t>1.2 Payment can only be made following delivery and acceptance of pre-agreed deliverables.</w:t>
      </w:r>
    </w:p>
    <w:p w14:paraId="2303696C"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1.3    Before payment can be considered, each invoice must include a detailed breakdown of associated costs.</w:t>
      </w:r>
    </w:p>
    <w:p w14:paraId="54F01D37" w14:textId="77777777" w:rsidR="00593566" w:rsidRPr="009253C4" w:rsidRDefault="00593566" w:rsidP="00593566">
      <w:pPr>
        <w:tabs>
          <w:tab w:val="left" w:pos="2257"/>
        </w:tabs>
        <w:spacing w:after="0" w:line="259" w:lineRule="auto"/>
        <w:rPr>
          <w:rFonts w:ascii="Arial" w:hAnsi="Arial" w:cs="Arial"/>
          <w:sz w:val="24"/>
          <w:szCs w:val="24"/>
        </w:rPr>
      </w:pPr>
    </w:p>
    <w:p w14:paraId="1A9D9DAD"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1.4    Invoices shall be submitted electronically through Exostar.</w:t>
      </w:r>
    </w:p>
    <w:p w14:paraId="2BB6AF65" w14:textId="77777777" w:rsidR="00593566" w:rsidRPr="009253C4" w:rsidRDefault="00593566" w:rsidP="00593566">
      <w:pPr>
        <w:tabs>
          <w:tab w:val="left" w:pos="2257"/>
        </w:tabs>
        <w:spacing w:after="0" w:line="259" w:lineRule="auto"/>
        <w:rPr>
          <w:rFonts w:ascii="Arial" w:hAnsi="Arial" w:cs="Arial"/>
          <w:sz w:val="24"/>
          <w:szCs w:val="24"/>
        </w:rPr>
      </w:pPr>
    </w:p>
    <w:p w14:paraId="1A737C5A"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1.5    Payment will be made within thirty (30) days following receipt of invoice.</w:t>
      </w:r>
    </w:p>
    <w:p w14:paraId="5B76472F" w14:textId="77777777" w:rsidR="00593566" w:rsidRPr="009253C4" w:rsidRDefault="00593566" w:rsidP="00593566">
      <w:pPr>
        <w:tabs>
          <w:tab w:val="left" w:pos="2257"/>
        </w:tabs>
        <w:spacing w:after="0" w:line="259" w:lineRule="auto"/>
        <w:rPr>
          <w:rFonts w:ascii="Arial" w:hAnsi="Arial" w:cs="Arial"/>
          <w:sz w:val="24"/>
          <w:szCs w:val="24"/>
        </w:rPr>
      </w:pPr>
    </w:p>
    <w:p w14:paraId="6395C2A5"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1.6    It should be noted that payment will only be sanctioned in accordance with the Schedule of Requirements once the deliverables have been accepted by an Authorised MoD Representative.</w:t>
      </w:r>
    </w:p>
    <w:p w14:paraId="0359155A" w14:textId="77777777" w:rsidR="00593566" w:rsidRPr="009253C4" w:rsidRDefault="00593566" w:rsidP="00593566">
      <w:pPr>
        <w:tabs>
          <w:tab w:val="left" w:pos="2257"/>
        </w:tabs>
        <w:spacing w:after="0" w:line="259" w:lineRule="auto"/>
        <w:rPr>
          <w:rFonts w:ascii="Arial" w:hAnsi="Arial" w:cs="Arial"/>
          <w:b/>
          <w:sz w:val="24"/>
          <w:szCs w:val="24"/>
        </w:rPr>
      </w:pPr>
      <w:r w:rsidRPr="009253C4">
        <w:rPr>
          <w:rFonts w:ascii="Arial" w:hAnsi="Arial" w:cs="Arial"/>
          <w:sz w:val="24"/>
          <w:szCs w:val="24"/>
        </w:rPr>
        <w:t> </w:t>
      </w:r>
    </w:p>
    <w:p w14:paraId="0B94D645" w14:textId="24689649"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 xml:space="preserve">BUYER’S INVOICE ADDRESS </w:t>
      </w:r>
    </w:p>
    <w:p w14:paraId="0A4CD539" w14:textId="3273AE60" w:rsidR="00593566" w:rsidRDefault="00587FCF" w:rsidP="00593566">
      <w:pPr>
        <w:tabs>
          <w:tab w:val="left" w:pos="2257"/>
        </w:tabs>
        <w:spacing w:after="0" w:line="259" w:lineRule="auto"/>
        <w:rPr>
          <w:rFonts w:ascii="Arial" w:hAnsi="Arial" w:cs="Arial"/>
          <w:sz w:val="24"/>
          <w:szCs w:val="24"/>
        </w:rPr>
      </w:pPr>
      <w:r>
        <w:rPr>
          <w:rFonts w:ascii="Arial" w:hAnsi="Arial" w:cs="Arial"/>
          <w:sz w:val="24"/>
          <w:szCs w:val="24"/>
        </w:rPr>
        <w:t>REDACTED</w:t>
      </w:r>
    </w:p>
    <w:p w14:paraId="1AF575F0" w14:textId="77777777" w:rsidR="00587FCF" w:rsidRPr="00BC41BF" w:rsidRDefault="00587FCF" w:rsidP="00593566">
      <w:pPr>
        <w:tabs>
          <w:tab w:val="left" w:pos="2257"/>
        </w:tabs>
        <w:spacing w:after="0" w:line="259" w:lineRule="auto"/>
        <w:rPr>
          <w:rFonts w:ascii="Arial" w:hAnsi="Arial" w:cs="Arial"/>
          <w:sz w:val="24"/>
          <w:szCs w:val="24"/>
        </w:rPr>
      </w:pPr>
    </w:p>
    <w:p w14:paraId="55232DC5"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BUYER’S AUTHORISED REPRESENTATIVE</w:t>
      </w:r>
    </w:p>
    <w:p w14:paraId="39780A1C" w14:textId="1D6BEAD3" w:rsidR="009253C4" w:rsidRDefault="00587FCF" w:rsidP="00593566">
      <w:pPr>
        <w:tabs>
          <w:tab w:val="left" w:pos="2257"/>
        </w:tabs>
        <w:spacing w:after="0" w:line="259" w:lineRule="auto"/>
        <w:rPr>
          <w:rFonts w:ascii="Arial" w:hAnsi="Arial" w:cs="Arial"/>
          <w:sz w:val="24"/>
          <w:szCs w:val="24"/>
        </w:rPr>
      </w:pPr>
      <w:r>
        <w:rPr>
          <w:rFonts w:ascii="Arial" w:hAnsi="Arial" w:cs="Arial"/>
          <w:sz w:val="24"/>
          <w:szCs w:val="24"/>
        </w:rPr>
        <w:t>REDACTED</w:t>
      </w:r>
    </w:p>
    <w:p w14:paraId="2AE91050" w14:textId="501C5879" w:rsidR="00593566" w:rsidRPr="009F273E" w:rsidRDefault="00593566" w:rsidP="00593566">
      <w:pPr>
        <w:tabs>
          <w:tab w:val="left" w:pos="2257"/>
        </w:tabs>
        <w:spacing w:after="0" w:line="259" w:lineRule="auto"/>
        <w:rPr>
          <w:rFonts w:ascii="Arial" w:hAnsi="Arial" w:cs="Arial"/>
          <w:sz w:val="24"/>
          <w:szCs w:val="24"/>
        </w:rPr>
      </w:pPr>
    </w:p>
    <w:p w14:paraId="4A239332"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BUYER’S ENVIRONMENTAL POLICY</w:t>
      </w:r>
    </w:p>
    <w:p w14:paraId="51D2BF9A" w14:textId="2CBC99DC"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The Supplier shall abide by the Policy Statement by the Secretary of State for Defence for Health, Safety and Environmental Protection in Defence as detailed below:</w:t>
      </w:r>
    </w:p>
    <w:p w14:paraId="1D0D5A01" w14:textId="167D320A"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[Health, Safety and Environmental Protection in Defence – Policy Statement by the Secretary of State for Defence] [v0.4] [15</w:t>
      </w:r>
      <w:r w:rsidRPr="009253C4">
        <w:rPr>
          <w:rFonts w:ascii="Arial" w:hAnsi="Arial" w:cs="Arial"/>
          <w:sz w:val="24"/>
          <w:szCs w:val="24"/>
          <w:vertAlign w:val="superscript"/>
        </w:rPr>
        <w:t>th</w:t>
      </w:r>
      <w:r w:rsidRPr="009253C4">
        <w:rPr>
          <w:rFonts w:ascii="Arial" w:hAnsi="Arial" w:cs="Arial"/>
          <w:sz w:val="24"/>
          <w:szCs w:val="24"/>
        </w:rPr>
        <w:t> April 2020] [available online at: </w:t>
      </w:r>
      <w:hyperlink r:id="rId8" w:tgtFrame="_blank" w:history="1">
        <w:r w:rsidRPr="009253C4">
          <w:rPr>
            <w:rStyle w:val="Hyperlink"/>
            <w:rFonts w:ascii="Arial" w:hAnsi="Arial" w:cs="Arial"/>
            <w:sz w:val="24"/>
            <w:szCs w:val="24"/>
          </w:rPr>
          <w:t>https://www.gov.uk/government/publications/secretary-of-states-policy-statement-on-safety-health-environmental-protection-and-sustainable-development</w:t>
        </w:r>
      </w:hyperlink>
    </w:p>
    <w:p w14:paraId="56B7CED9" w14:textId="77777777" w:rsidR="009253C4" w:rsidRDefault="009253C4" w:rsidP="00593566">
      <w:pPr>
        <w:tabs>
          <w:tab w:val="left" w:pos="2257"/>
        </w:tabs>
        <w:spacing w:after="0" w:line="259" w:lineRule="auto"/>
        <w:rPr>
          <w:rFonts w:ascii="Arial" w:hAnsi="Arial" w:cs="Arial"/>
          <w:b/>
          <w:bCs/>
          <w:sz w:val="24"/>
          <w:szCs w:val="24"/>
        </w:rPr>
      </w:pPr>
    </w:p>
    <w:p w14:paraId="65E26077" w14:textId="7CF82531"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BUYER’S SECURITY POLICY</w:t>
      </w:r>
    </w:p>
    <w:p w14:paraId="44C38094"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lang w:val="en-US"/>
        </w:rPr>
        <w:t>A Cyber Risk Assessment has been carried out against this requirement and the Cyber Risk Profile is </w:t>
      </w:r>
      <w:r w:rsidRPr="009253C4">
        <w:rPr>
          <w:rFonts w:ascii="Arial" w:hAnsi="Arial" w:cs="Arial"/>
          <w:b/>
          <w:bCs/>
          <w:sz w:val="24"/>
          <w:szCs w:val="24"/>
          <w:lang w:val="en-US"/>
        </w:rPr>
        <w:t>‘Low’</w:t>
      </w:r>
      <w:r w:rsidRPr="009253C4">
        <w:rPr>
          <w:rFonts w:ascii="Arial" w:hAnsi="Arial" w:cs="Arial"/>
          <w:sz w:val="24"/>
          <w:szCs w:val="24"/>
          <w:lang w:val="en-US"/>
        </w:rPr>
        <w:t>. The reference numbers are: </w:t>
      </w:r>
      <w:r w:rsidRPr="009253C4">
        <w:rPr>
          <w:rFonts w:ascii="Arial" w:hAnsi="Arial" w:cs="Arial"/>
          <w:b/>
          <w:bCs/>
          <w:sz w:val="24"/>
          <w:szCs w:val="24"/>
          <w:lang w:val="en-US"/>
        </w:rPr>
        <w:t>RAR-</w:t>
      </w:r>
      <w:r w:rsidRPr="009253C4">
        <w:rPr>
          <w:rFonts w:ascii="Arial" w:hAnsi="Arial" w:cs="Arial"/>
          <w:b/>
          <w:bCs/>
          <w:sz w:val="24"/>
          <w:szCs w:val="24"/>
          <w:lang w:val="en"/>
        </w:rPr>
        <w:t>604874938</w:t>
      </w:r>
      <w:r w:rsidRPr="009253C4">
        <w:rPr>
          <w:rFonts w:ascii="Arial" w:hAnsi="Arial" w:cs="Arial"/>
          <w:sz w:val="24"/>
          <w:szCs w:val="24"/>
          <w:lang w:val="en"/>
        </w:rPr>
        <w:t>. </w:t>
      </w:r>
      <w:r w:rsidRPr="009253C4">
        <w:rPr>
          <w:rFonts w:ascii="Arial" w:hAnsi="Arial" w:cs="Arial"/>
          <w:sz w:val="24"/>
          <w:szCs w:val="24"/>
          <w:lang w:val="en-US"/>
        </w:rPr>
        <w:t>It should be noted that due to the Cyber Risk Rating Level of ‘Low’ attached to this requirement, suppliers are recommended to hold Cyber Essentials Plus accreditation or equivalent. Supplier assurance questionnaires will need to be completed and submitted to </w:t>
      </w:r>
      <w:hyperlink r:id="rId9" w:tgtFrame="_blank" w:history="1">
        <w:r w:rsidRPr="009253C4">
          <w:rPr>
            <w:rStyle w:val="Hyperlink"/>
            <w:rFonts w:ascii="Arial" w:hAnsi="Arial" w:cs="Arial"/>
            <w:sz w:val="24"/>
            <w:szCs w:val="24"/>
            <w:lang w:val="en-US"/>
          </w:rPr>
          <w:t>ISSDes-DCPP@mod.gov.uk</w:t>
        </w:r>
      </w:hyperlink>
      <w:r w:rsidRPr="009253C4">
        <w:rPr>
          <w:rFonts w:ascii="Arial" w:hAnsi="Arial" w:cs="Arial"/>
          <w:sz w:val="24"/>
          <w:szCs w:val="24"/>
          <w:lang w:val="en-US"/>
        </w:rPr>
        <w:t> and a copy is to be submitted as part of the tender submission. This is a mandatory requirement; non-submission will result in your tender not being taken forward for further evaluation.</w:t>
      </w:r>
    </w:p>
    <w:p w14:paraId="1B288EE0" w14:textId="77777777" w:rsidR="00593566" w:rsidRPr="00751AB4" w:rsidRDefault="00593566" w:rsidP="00593566">
      <w:pPr>
        <w:tabs>
          <w:tab w:val="left" w:pos="2257"/>
        </w:tabs>
        <w:spacing w:after="0" w:line="259" w:lineRule="auto"/>
        <w:rPr>
          <w:rFonts w:ascii="Arial" w:hAnsi="Arial" w:cs="Arial"/>
          <w:sz w:val="24"/>
          <w:szCs w:val="24"/>
        </w:rPr>
      </w:pPr>
      <w:r w:rsidRPr="00751AB4">
        <w:rPr>
          <w:rFonts w:ascii="Arial" w:hAnsi="Arial" w:cs="Arial"/>
          <w:i/>
          <w:iCs/>
          <w:sz w:val="24"/>
          <w:szCs w:val="24"/>
          <w:lang w:val="en-US"/>
        </w:rPr>
        <w:t> </w:t>
      </w:r>
    </w:p>
    <w:p w14:paraId="7DFDEA6F" w14:textId="77777777" w:rsidR="00593566" w:rsidRPr="009253C4" w:rsidRDefault="00593566" w:rsidP="00593566">
      <w:pPr>
        <w:tabs>
          <w:tab w:val="left" w:pos="2257"/>
        </w:tabs>
        <w:spacing w:after="0" w:line="259" w:lineRule="auto"/>
        <w:rPr>
          <w:rFonts w:ascii="Arial" w:hAnsi="Arial" w:cs="Arial"/>
          <w:sz w:val="24"/>
          <w:szCs w:val="24"/>
        </w:rPr>
      </w:pPr>
      <w:r w:rsidRPr="009253C4">
        <w:rPr>
          <w:rFonts w:ascii="Arial" w:hAnsi="Arial" w:cs="Arial"/>
          <w:sz w:val="24"/>
          <w:szCs w:val="24"/>
        </w:rPr>
        <w:t xml:space="preserve">Until the 4th June 2021, Risk Assessment’s and Supplier Assurance Questionnaires were completed on the MOD Supplier Cyber Protection Service (SCPS) tool. However, with effect from the 4th June 2021 the SCPS tool has been replaced with </w:t>
      </w:r>
      <w:r w:rsidRPr="009253C4">
        <w:rPr>
          <w:rFonts w:ascii="Arial" w:hAnsi="Arial" w:cs="Arial"/>
          <w:sz w:val="24"/>
          <w:szCs w:val="24"/>
        </w:rPr>
        <w:lastRenderedPageBreak/>
        <w:t>an interim process while a new tool is developed by Defence Digital. It is currently anticipated that that this interim process and service will last three months while the Supplier Protection Service is transitioned to a new tool. Further information on these interim measures can be found in the letter included as part of this Invitation to Tender Bid Pack. As part of your bid submission, please confirm your consent and acceptance of these measures by signing and dating the letter as requested.</w:t>
      </w:r>
    </w:p>
    <w:p w14:paraId="111793F8" w14:textId="77777777" w:rsidR="00593566" w:rsidRPr="009F273E" w:rsidRDefault="00593566" w:rsidP="00593566">
      <w:pPr>
        <w:tabs>
          <w:tab w:val="left" w:pos="2257"/>
        </w:tabs>
        <w:spacing w:after="0" w:line="259" w:lineRule="auto"/>
        <w:rPr>
          <w:rFonts w:ascii="Arial" w:hAnsi="Arial" w:cs="Arial"/>
          <w:sz w:val="24"/>
          <w:szCs w:val="24"/>
        </w:rPr>
      </w:pPr>
    </w:p>
    <w:p w14:paraId="66D1BBC6"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SUPPLIER’S AUTHORISED REPRESENTATIVE</w:t>
      </w:r>
    </w:p>
    <w:p w14:paraId="3A971DEE" w14:textId="4CDE545D" w:rsidR="00593566" w:rsidRDefault="00587FCF" w:rsidP="00593566">
      <w:pPr>
        <w:tabs>
          <w:tab w:val="left" w:pos="2257"/>
        </w:tabs>
        <w:spacing w:after="0" w:line="259" w:lineRule="auto"/>
        <w:rPr>
          <w:rFonts w:ascii="Arial" w:hAnsi="Arial" w:cs="Arial"/>
          <w:sz w:val="24"/>
          <w:szCs w:val="24"/>
        </w:rPr>
      </w:pPr>
      <w:r>
        <w:rPr>
          <w:rFonts w:ascii="Arial" w:hAnsi="Arial" w:cs="Arial"/>
          <w:sz w:val="24"/>
          <w:szCs w:val="24"/>
        </w:rPr>
        <w:t>REDACTED</w:t>
      </w:r>
    </w:p>
    <w:p w14:paraId="085749BB" w14:textId="77777777" w:rsidR="00587FCF" w:rsidRPr="00A340BA" w:rsidRDefault="00587FCF" w:rsidP="00593566">
      <w:pPr>
        <w:tabs>
          <w:tab w:val="left" w:pos="2257"/>
        </w:tabs>
        <w:spacing w:after="0" w:line="259" w:lineRule="auto"/>
        <w:rPr>
          <w:rFonts w:ascii="Arial" w:hAnsi="Arial" w:cs="Arial"/>
          <w:sz w:val="24"/>
          <w:szCs w:val="24"/>
        </w:rPr>
      </w:pPr>
    </w:p>
    <w:p w14:paraId="5263F8FE"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SUPPLIER’S CONTRACT MANAGER</w:t>
      </w:r>
    </w:p>
    <w:p w14:paraId="529DD6B6" w14:textId="7C10B313" w:rsidR="00593566" w:rsidRDefault="00587FCF" w:rsidP="00593566">
      <w:pPr>
        <w:tabs>
          <w:tab w:val="left" w:pos="2257"/>
        </w:tabs>
        <w:spacing w:after="0" w:line="259" w:lineRule="auto"/>
        <w:rPr>
          <w:rFonts w:ascii="Arial" w:hAnsi="Arial" w:cs="Arial"/>
          <w:sz w:val="24"/>
          <w:szCs w:val="24"/>
        </w:rPr>
      </w:pPr>
      <w:r>
        <w:rPr>
          <w:rFonts w:ascii="Arial" w:hAnsi="Arial" w:cs="Arial"/>
          <w:sz w:val="24"/>
          <w:szCs w:val="24"/>
        </w:rPr>
        <w:t>REDACTED</w:t>
      </w:r>
    </w:p>
    <w:p w14:paraId="27B2ED25" w14:textId="77777777" w:rsidR="00587FCF" w:rsidRDefault="00587FCF" w:rsidP="00593566">
      <w:pPr>
        <w:tabs>
          <w:tab w:val="left" w:pos="2257"/>
        </w:tabs>
        <w:spacing w:after="0" w:line="259" w:lineRule="auto"/>
        <w:rPr>
          <w:rFonts w:ascii="Arial" w:hAnsi="Arial" w:cs="Arial"/>
          <w:sz w:val="24"/>
          <w:szCs w:val="24"/>
        </w:rPr>
      </w:pPr>
    </w:p>
    <w:p w14:paraId="2EC4FD97"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PROGRESS REPORT FREQUENCY</w:t>
      </w:r>
    </w:p>
    <w:p w14:paraId="564143D9" w14:textId="77777777" w:rsidR="00593566" w:rsidRPr="009F273E" w:rsidRDefault="00593566" w:rsidP="00593566">
      <w:pPr>
        <w:tabs>
          <w:tab w:val="left" w:pos="2257"/>
        </w:tabs>
        <w:spacing w:after="0" w:line="259" w:lineRule="auto"/>
        <w:rPr>
          <w:rFonts w:ascii="Arial" w:hAnsi="Arial" w:cs="Arial"/>
          <w:sz w:val="24"/>
          <w:szCs w:val="24"/>
        </w:rPr>
      </w:pPr>
      <w:r>
        <w:rPr>
          <w:rFonts w:ascii="Arial" w:hAnsi="Arial" w:cs="Arial"/>
          <w:sz w:val="24"/>
          <w:szCs w:val="24"/>
        </w:rPr>
        <w:t>N/A</w:t>
      </w:r>
    </w:p>
    <w:p w14:paraId="20D4CC4D" w14:textId="77777777" w:rsidR="00593566" w:rsidRPr="009F273E" w:rsidRDefault="00593566" w:rsidP="00593566">
      <w:pPr>
        <w:tabs>
          <w:tab w:val="left" w:pos="2257"/>
        </w:tabs>
        <w:spacing w:after="0" w:line="259" w:lineRule="auto"/>
        <w:rPr>
          <w:rFonts w:ascii="Arial" w:hAnsi="Arial" w:cs="Arial"/>
          <w:b/>
          <w:sz w:val="24"/>
          <w:szCs w:val="24"/>
        </w:rPr>
      </w:pPr>
    </w:p>
    <w:p w14:paraId="1EAE721A"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PROGRESS MEETING FREQUENCY</w:t>
      </w:r>
    </w:p>
    <w:p w14:paraId="255C17E7" w14:textId="77777777" w:rsidR="00593566" w:rsidRPr="009F273E" w:rsidRDefault="00593566" w:rsidP="00593566">
      <w:pPr>
        <w:tabs>
          <w:tab w:val="left" w:pos="2257"/>
        </w:tabs>
        <w:spacing w:after="0" w:line="259" w:lineRule="auto"/>
        <w:rPr>
          <w:rFonts w:ascii="Arial" w:hAnsi="Arial" w:cs="Arial"/>
          <w:sz w:val="24"/>
          <w:szCs w:val="24"/>
        </w:rPr>
      </w:pPr>
      <w:r>
        <w:rPr>
          <w:rFonts w:ascii="Arial" w:hAnsi="Arial" w:cs="Arial"/>
          <w:sz w:val="24"/>
          <w:szCs w:val="24"/>
        </w:rPr>
        <w:t>N/A</w:t>
      </w:r>
    </w:p>
    <w:p w14:paraId="590DC532" w14:textId="77777777" w:rsidR="00593566" w:rsidRPr="009F273E" w:rsidRDefault="00593566" w:rsidP="00593566">
      <w:pPr>
        <w:tabs>
          <w:tab w:val="left" w:pos="2257"/>
        </w:tabs>
        <w:spacing w:after="0" w:line="259" w:lineRule="auto"/>
        <w:rPr>
          <w:rFonts w:ascii="Arial" w:hAnsi="Arial" w:cs="Arial"/>
          <w:b/>
          <w:sz w:val="24"/>
          <w:szCs w:val="24"/>
        </w:rPr>
      </w:pPr>
    </w:p>
    <w:p w14:paraId="0052E590"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KEY STAFF</w:t>
      </w:r>
    </w:p>
    <w:p w14:paraId="3FBE49EB" w14:textId="0229E2BF" w:rsidR="00587FCF" w:rsidRDefault="00587FCF" w:rsidP="00593566">
      <w:pPr>
        <w:tabs>
          <w:tab w:val="left" w:pos="2257"/>
        </w:tabs>
        <w:spacing w:after="0" w:line="259" w:lineRule="auto"/>
        <w:rPr>
          <w:rFonts w:ascii="Arial" w:hAnsi="Arial" w:cs="Arial"/>
          <w:sz w:val="24"/>
          <w:szCs w:val="24"/>
        </w:rPr>
      </w:pPr>
      <w:r>
        <w:rPr>
          <w:rFonts w:ascii="Arial" w:hAnsi="Arial" w:cs="Arial"/>
          <w:sz w:val="24"/>
          <w:szCs w:val="24"/>
        </w:rPr>
        <w:t>REDACTED</w:t>
      </w:r>
    </w:p>
    <w:p w14:paraId="1BEC62D3" w14:textId="77777777" w:rsidR="00587FCF" w:rsidRPr="009F273E" w:rsidRDefault="00587FCF" w:rsidP="00593566">
      <w:pPr>
        <w:tabs>
          <w:tab w:val="left" w:pos="2257"/>
        </w:tabs>
        <w:spacing w:after="0" w:line="259" w:lineRule="auto"/>
        <w:rPr>
          <w:rFonts w:ascii="Arial" w:hAnsi="Arial" w:cs="Arial"/>
          <w:sz w:val="24"/>
          <w:szCs w:val="24"/>
        </w:rPr>
      </w:pPr>
    </w:p>
    <w:p w14:paraId="49E454E0"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KEY SUBCONTRACTOR(S)</w:t>
      </w:r>
    </w:p>
    <w:p w14:paraId="5798F043" w14:textId="77777777" w:rsidR="00593566" w:rsidRPr="009F273E" w:rsidRDefault="00593566" w:rsidP="00593566">
      <w:pPr>
        <w:tabs>
          <w:tab w:val="left" w:pos="2257"/>
        </w:tabs>
        <w:spacing w:after="0" w:line="259" w:lineRule="auto"/>
        <w:rPr>
          <w:rFonts w:ascii="Arial" w:hAnsi="Arial" w:cs="Arial"/>
          <w:sz w:val="24"/>
          <w:szCs w:val="24"/>
        </w:rPr>
      </w:pPr>
      <w:r>
        <w:rPr>
          <w:rFonts w:ascii="Arial" w:hAnsi="Arial" w:cs="Arial"/>
          <w:sz w:val="24"/>
          <w:szCs w:val="24"/>
        </w:rPr>
        <w:t>TBC if applicable</w:t>
      </w:r>
    </w:p>
    <w:p w14:paraId="214620D8" w14:textId="77777777" w:rsidR="00593566" w:rsidRPr="009F273E" w:rsidRDefault="00593566" w:rsidP="00593566">
      <w:pPr>
        <w:tabs>
          <w:tab w:val="left" w:pos="2257"/>
        </w:tabs>
        <w:spacing w:after="0" w:line="259" w:lineRule="auto"/>
        <w:rPr>
          <w:rFonts w:ascii="Arial" w:hAnsi="Arial" w:cs="Arial"/>
          <w:b/>
          <w:sz w:val="24"/>
          <w:szCs w:val="24"/>
        </w:rPr>
      </w:pPr>
    </w:p>
    <w:p w14:paraId="1A66C488"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COMMERCIALLY SENSITIVE INFORMATION</w:t>
      </w:r>
    </w:p>
    <w:p w14:paraId="738E4283" w14:textId="35C6DACF" w:rsidR="00593566" w:rsidRPr="009F273E" w:rsidRDefault="00593566" w:rsidP="00593566">
      <w:pPr>
        <w:spacing w:after="0" w:line="259" w:lineRule="auto"/>
        <w:rPr>
          <w:rFonts w:ascii="Arial" w:hAnsi="Arial" w:cs="Arial"/>
          <w:sz w:val="24"/>
          <w:szCs w:val="24"/>
        </w:rPr>
      </w:pPr>
      <w:r w:rsidRPr="00074484">
        <w:rPr>
          <w:rFonts w:ascii="Arial" w:hAnsi="Arial" w:cs="Arial"/>
          <w:sz w:val="24"/>
          <w:szCs w:val="24"/>
        </w:rPr>
        <w:t xml:space="preserve">As </w:t>
      </w:r>
      <w:proofErr w:type="gramStart"/>
      <w:r w:rsidRPr="00074484">
        <w:rPr>
          <w:rFonts w:ascii="Arial" w:hAnsi="Arial" w:cs="Arial"/>
          <w:sz w:val="24"/>
          <w:szCs w:val="24"/>
        </w:rPr>
        <w:t xml:space="preserve">per </w:t>
      </w:r>
      <w:r w:rsidR="00015ADE">
        <w:rPr>
          <w:rFonts w:ascii="Arial" w:hAnsi="Arial" w:cs="Arial"/>
          <w:sz w:val="24"/>
          <w:szCs w:val="24"/>
        </w:rPr>
        <w:t xml:space="preserve"> Call</w:t>
      </w:r>
      <w:proofErr w:type="gramEnd"/>
      <w:r w:rsidR="00015ADE">
        <w:rPr>
          <w:rFonts w:ascii="Arial" w:hAnsi="Arial" w:cs="Arial"/>
          <w:sz w:val="24"/>
          <w:szCs w:val="24"/>
        </w:rPr>
        <w:t>-Off Schedule 5 (Pricing Details)</w:t>
      </w:r>
    </w:p>
    <w:p w14:paraId="339A82C4" w14:textId="77777777" w:rsidR="00593566" w:rsidRPr="009F273E" w:rsidRDefault="00593566" w:rsidP="00593566">
      <w:pPr>
        <w:tabs>
          <w:tab w:val="left" w:pos="2257"/>
        </w:tabs>
        <w:spacing w:after="0" w:line="259" w:lineRule="auto"/>
        <w:rPr>
          <w:rFonts w:ascii="Arial" w:hAnsi="Arial" w:cs="Arial"/>
          <w:b/>
          <w:sz w:val="24"/>
          <w:szCs w:val="24"/>
        </w:rPr>
      </w:pPr>
    </w:p>
    <w:p w14:paraId="499777B0"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SERVICE CREDITS</w:t>
      </w:r>
    </w:p>
    <w:p w14:paraId="52D776A6" w14:textId="36668B5A" w:rsidR="00593566" w:rsidRPr="00563DA5" w:rsidRDefault="00593566" w:rsidP="00593566">
      <w:pPr>
        <w:tabs>
          <w:tab w:val="left" w:pos="2257"/>
        </w:tabs>
        <w:spacing w:after="0" w:line="259" w:lineRule="auto"/>
        <w:rPr>
          <w:rFonts w:ascii="Arial" w:hAnsi="Arial" w:cs="Arial"/>
          <w:sz w:val="24"/>
          <w:szCs w:val="24"/>
        </w:rPr>
      </w:pPr>
      <w:r w:rsidRPr="00074484">
        <w:rPr>
          <w:rFonts w:ascii="Arial" w:hAnsi="Arial" w:cs="Arial"/>
          <w:sz w:val="24"/>
          <w:szCs w:val="24"/>
        </w:rPr>
        <w:t>N</w:t>
      </w:r>
      <w:r w:rsidR="009253C4">
        <w:rPr>
          <w:rFonts w:ascii="Arial" w:hAnsi="Arial" w:cs="Arial"/>
          <w:sz w:val="24"/>
          <w:szCs w:val="24"/>
        </w:rPr>
        <w:t>ot Applicable</w:t>
      </w:r>
    </w:p>
    <w:p w14:paraId="2EEFA4BC" w14:textId="77777777" w:rsidR="00593566" w:rsidRDefault="00593566" w:rsidP="00593566">
      <w:pPr>
        <w:tabs>
          <w:tab w:val="left" w:pos="2257"/>
        </w:tabs>
        <w:spacing w:after="0" w:line="259" w:lineRule="auto"/>
        <w:rPr>
          <w:rFonts w:ascii="Arial" w:hAnsi="Arial" w:cs="Arial"/>
          <w:b/>
          <w:sz w:val="24"/>
          <w:szCs w:val="24"/>
        </w:rPr>
      </w:pPr>
    </w:p>
    <w:p w14:paraId="3A8F7F63" w14:textId="77777777" w:rsidR="00593566" w:rsidRPr="009253C4" w:rsidRDefault="00593566" w:rsidP="00593566">
      <w:pPr>
        <w:tabs>
          <w:tab w:val="left" w:pos="2257"/>
        </w:tabs>
        <w:spacing w:after="0" w:line="259" w:lineRule="auto"/>
        <w:rPr>
          <w:rFonts w:ascii="Arial" w:hAnsi="Arial" w:cs="Arial"/>
          <w:b/>
          <w:bCs/>
          <w:sz w:val="24"/>
          <w:szCs w:val="24"/>
        </w:rPr>
      </w:pPr>
      <w:r w:rsidRPr="009253C4">
        <w:rPr>
          <w:rFonts w:ascii="Arial" w:hAnsi="Arial" w:cs="Arial"/>
          <w:b/>
          <w:bCs/>
          <w:sz w:val="24"/>
          <w:szCs w:val="24"/>
        </w:rPr>
        <w:t>ADDITIONAL INSURANCES</w:t>
      </w:r>
    </w:p>
    <w:p w14:paraId="2E16D08F" w14:textId="77777777" w:rsidR="00593566" w:rsidRDefault="00593566" w:rsidP="00593566">
      <w:pPr>
        <w:spacing w:after="0" w:line="259" w:lineRule="auto"/>
        <w:rPr>
          <w:rFonts w:ascii="Arial" w:hAnsi="Arial" w:cs="Arial"/>
          <w:sz w:val="24"/>
          <w:szCs w:val="24"/>
        </w:rPr>
      </w:pPr>
      <w:r w:rsidRPr="00074484">
        <w:rPr>
          <w:rFonts w:ascii="Arial" w:hAnsi="Arial" w:cs="Arial"/>
          <w:sz w:val="24"/>
          <w:szCs w:val="24"/>
        </w:rPr>
        <w:t>As per joint Schedule 3</w:t>
      </w:r>
    </w:p>
    <w:p w14:paraId="3C4BBE63" w14:textId="77777777" w:rsidR="00593566" w:rsidRDefault="00593566" w:rsidP="00593566">
      <w:pPr>
        <w:spacing w:after="0" w:line="240" w:lineRule="auto"/>
        <w:jc w:val="both"/>
        <w:rPr>
          <w:rFonts w:ascii="Arial" w:hAnsi="Arial" w:cs="Arial"/>
          <w:sz w:val="24"/>
          <w:szCs w:val="24"/>
        </w:rPr>
      </w:pPr>
    </w:p>
    <w:p w14:paraId="40D3BDE5" w14:textId="77777777" w:rsidR="00593566" w:rsidRPr="009253C4" w:rsidRDefault="00593566" w:rsidP="00593566">
      <w:pPr>
        <w:spacing w:after="0" w:line="240" w:lineRule="auto"/>
        <w:jc w:val="both"/>
        <w:rPr>
          <w:rFonts w:ascii="Arial" w:hAnsi="Arial" w:cs="Arial"/>
          <w:b/>
          <w:bCs/>
          <w:sz w:val="24"/>
          <w:szCs w:val="24"/>
        </w:rPr>
      </w:pPr>
      <w:r w:rsidRPr="009253C4">
        <w:rPr>
          <w:rFonts w:ascii="Arial" w:hAnsi="Arial" w:cs="Arial"/>
          <w:b/>
          <w:bCs/>
          <w:sz w:val="24"/>
          <w:szCs w:val="24"/>
        </w:rPr>
        <w:t>GUARANTEE</w:t>
      </w:r>
    </w:p>
    <w:p w14:paraId="1628E38B" w14:textId="4D8072BB" w:rsidR="00593566" w:rsidRDefault="00593566" w:rsidP="00593566">
      <w:pPr>
        <w:spacing w:after="0" w:line="259" w:lineRule="auto"/>
        <w:rPr>
          <w:rFonts w:ascii="Arial" w:hAnsi="Arial" w:cs="Arial"/>
          <w:sz w:val="24"/>
          <w:szCs w:val="24"/>
        </w:rPr>
      </w:pPr>
      <w:r w:rsidRPr="00074484">
        <w:rPr>
          <w:rFonts w:ascii="Arial" w:hAnsi="Arial" w:cs="Arial"/>
          <w:sz w:val="24"/>
          <w:szCs w:val="24"/>
        </w:rPr>
        <w:t>N</w:t>
      </w:r>
      <w:r w:rsidR="009253C4">
        <w:rPr>
          <w:rFonts w:ascii="Arial" w:hAnsi="Arial" w:cs="Arial"/>
          <w:sz w:val="24"/>
          <w:szCs w:val="24"/>
        </w:rPr>
        <w:t>ot Applicable</w:t>
      </w:r>
    </w:p>
    <w:p w14:paraId="39AE0DCF" w14:textId="77777777" w:rsidR="00593566" w:rsidRPr="009F273E" w:rsidRDefault="00593566" w:rsidP="00593566">
      <w:pPr>
        <w:spacing w:after="0" w:line="259" w:lineRule="auto"/>
        <w:rPr>
          <w:rFonts w:ascii="Arial" w:hAnsi="Arial" w:cs="Arial"/>
          <w:b/>
          <w:sz w:val="24"/>
          <w:szCs w:val="24"/>
          <w:highlight w:val="yellow"/>
        </w:rPr>
      </w:pPr>
    </w:p>
    <w:p w14:paraId="65548E85" w14:textId="77777777" w:rsidR="00593566" w:rsidRPr="009253C4" w:rsidRDefault="00593566" w:rsidP="00593566">
      <w:pPr>
        <w:spacing w:after="0" w:line="240" w:lineRule="auto"/>
        <w:jc w:val="both"/>
        <w:rPr>
          <w:rFonts w:ascii="Arial" w:hAnsi="Arial" w:cs="Arial"/>
          <w:b/>
          <w:bCs/>
          <w:sz w:val="24"/>
          <w:szCs w:val="24"/>
        </w:rPr>
      </w:pPr>
      <w:r w:rsidRPr="009253C4">
        <w:rPr>
          <w:rFonts w:ascii="Arial" w:hAnsi="Arial" w:cs="Arial"/>
          <w:b/>
          <w:bCs/>
          <w:sz w:val="24"/>
          <w:szCs w:val="24"/>
        </w:rPr>
        <w:t>SOCIAL VALUE COMMITMENT</w:t>
      </w:r>
    </w:p>
    <w:p w14:paraId="77EC79BA" w14:textId="77777777" w:rsidR="00593566" w:rsidRPr="009F273E" w:rsidRDefault="00593566" w:rsidP="00593566">
      <w:pPr>
        <w:spacing w:after="240"/>
        <w:jc w:val="both"/>
        <w:rPr>
          <w:rFonts w:ascii="Arial" w:hAnsi="Arial" w:cs="Arial"/>
          <w:sz w:val="24"/>
          <w:szCs w:val="24"/>
        </w:rPr>
      </w:pPr>
      <w:r>
        <w:rPr>
          <w:rFonts w:ascii="Arial" w:hAnsi="Arial" w:cs="Arial"/>
          <w:sz w:val="24"/>
          <w:szCs w:val="24"/>
        </w:rPr>
        <w:t>Not Applicable</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593566" w:rsidRPr="009F273E" w14:paraId="100B5CBE" w14:textId="77777777" w:rsidTr="00587FCF">
        <w:trPr>
          <w:cnfStyle w:val="000000100000" w:firstRow="0" w:lastRow="0" w:firstColumn="0" w:lastColumn="0" w:oddVBand="0" w:evenVBand="0" w:oddHBand="1" w:evenHBand="0" w:firstRowFirstColumn="0" w:firstRowLastColumn="0" w:lastRowFirstColumn="0" w:lastRowLastColumn="0"/>
          <w:trHeight w:val="988"/>
        </w:trPr>
        <w:tc>
          <w:tcPr>
            <w:cnfStyle w:val="000010000000" w:firstRow="0" w:lastRow="0" w:firstColumn="0" w:lastColumn="0" w:oddVBand="1" w:evenVBand="0" w:oddHBand="0" w:evenHBand="0" w:firstRowFirstColumn="0" w:firstRowLastColumn="0" w:lastRowFirstColumn="0" w:lastRowLastColumn="0"/>
            <w:tcW w:w="4506" w:type="dxa"/>
            <w:gridSpan w:val="2"/>
          </w:tcPr>
          <w:p w14:paraId="4606C69C" w14:textId="77777777" w:rsidR="00593566" w:rsidRPr="009F273E" w:rsidRDefault="00593566" w:rsidP="001311E6">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0CFE3A33" w14:textId="77777777" w:rsidR="00593566" w:rsidRPr="009F273E" w:rsidRDefault="00593566" w:rsidP="001311E6">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593566" w:rsidRPr="009F273E" w14:paraId="58BF917D" w14:textId="77777777" w:rsidTr="00587FCF">
        <w:trPr>
          <w:trHeight w:val="1838"/>
        </w:trPr>
        <w:tc>
          <w:tcPr>
            <w:cnfStyle w:val="000010000000" w:firstRow="0" w:lastRow="0" w:firstColumn="0" w:lastColumn="0" w:oddVBand="1" w:evenVBand="0" w:oddHBand="0" w:evenHBand="0" w:firstRowFirstColumn="0" w:firstRowLastColumn="0" w:lastRowFirstColumn="0" w:lastRowLastColumn="0"/>
            <w:tcW w:w="1526" w:type="dxa"/>
          </w:tcPr>
          <w:p w14:paraId="1EF1B0EE" w14:textId="77777777" w:rsidR="00593566" w:rsidRPr="009F273E" w:rsidRDefault="00593566" w:rsidP="001311E6">
            <w:pPr>
              <w:pStyle w:val="MarginText"/>
              <w:ind w:left="0"/>
              <w:jc w:val="left"/>
              <w:rPr>
                <w:rFonts w:cs="Arial"/>
                <w:sz w:val="24"/>
                <w:szCs w:val="24"/>
              </w:rPr>
            </w:pPr>
            <w:r w:rsidRPr="009F273E">
              <w:rPr>
                <w:rFonts w:cs="Arial"/>
                <w:sz w:val="24"/>
                <w:szCs w:val="24"/>
              </w:rPr>
              <w:t>Signature:</w:t>
            </w:r>
          </w:p>
        </w:tc>
        <w:tc>
          <w:tcPr>
            <w:tcW w:w="2980" w:type="dxa"/>
          </w:tcPr>
          <w:p w14:paraId="391D4E03" w14:textId="3A98BE8E" w:rsidR="00593566" w:rsidRPr="009F273E" w:rsidRDefault="00587FCF" w:rsidP="001311E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446A1BB" w14:textId="77777777" w:rsidR="00593566" w:rsidRPr="009F273E" w:rsidRDefault="00593566" w:rsidP="001311E6">
            <w:pPr>
              <w:pStyle w:val="MarginText"/>
              <w:rPr>
                <w:rFonts w:cs="Arial"/>
                <w:sz w:val="24"/>
                <w:szCs w:val="24"/>
              </w:rPr>
            </w:pPr>
            <w:r w:rsidRPr="009F273E">
              <w:rPr>
                <w:rFonts w:cs="Arial"/>
                <w:sz w:val="24"/>
                <w:szCs w:val="24"/>
              </w:rPr>
              <w:t>Signature:</w:t>
            </w:r>
          </w:p>
        </w:tc>
        <w:tc>
          <w:tcPr>
            <w:tcW w:w="3108" w:type="dxa"/>
          </w:tcPr>
          <w:p w14:paraId="14B75834" w14:textId="2D775F9F" w:rsidR="00593566" w:rsidRPr="009F273E" w:rsidRDefault="00587FCF" w:rsidP="001311E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593566" w:rsidRPr="009F273E" w14:paraId="540DEDE6" w14:textId="77777777" w:rsidTr="00587FCF">
        <w:trPr>
          <w:cnfStyle w:val="000000100000" w:firstRow="0" w:lastRow="0" w:firstColumn="0" w:lastColumn="0" w:oddVBand="0" w:evenVBand="0" w:oddHBand="1" w:evenHBand="0" w:firstRowFirstColumn="0" w:firstRowLastColumn="0" w:lastRowFirstColumn="0" w:lastRowLastColumn="0"/>
          <w:trHeight w:val="1126"/>
        </w:trPr>
        <w:tc>
          <w:tcPr>
            <w:cnfStyle w:val="000010000000" w:firstRow="0" w:lastRow="0" w:firstColumn="0" w:lastColumn="0" w:oddVBand="1" w:evenVBand="0" w:oddHBand="0" w:evenHBand="0" w:firstRowFirstColumn="0" w:firstRowLastColumn="0" w:lastRowFirstColumn="0" w:lastRowLastColumn="0"/>
            <w:tcW w:w="1526" w:type="dxa"/>
          </w:tcPr>
          <w:p w14:paraId="483D5701" w14:textId="77777777" w:rsidR="00593566" w:rsidRPr="009F273E" w:rsidRDefault="00593566" w:rsidP="001311E6">
            <w:pPr>
              <w:pStyle w:val="MarginText"/>
              <w:ind w:left="0"/>
              <w:jc w:val="left"/>
              <w:rPr>
                <w:rFonts w:cs="Arial"/>
                <w:sz w:val="24"/>
                <w:szCs w:val="24"/>
              </w:rPr>
            </w:pPr>
            <w:r w:rsidRPr="009F273E">
              <w:rPr>
                <w:rFonts w:cs="Arial"/>
                <w:sz w:val="24"/>
                <w:szCs w:val="24"/>
              </w:rPr>
              <w:t>Name:</w:t>
            </w:r>
          </w:p>
        </w:tc>
        <w:tc>
          <w:tcPr>
            <w:tcW w:w="2980" w:type="dxa"/>
          </w:tcPr>
          <w:p w14:paraId="743F9F19" w14:textId="7CA4BD90" w:rsidR="00593566" w:rsidRPr="009F273E" w:rsidRDefault="00587FCF" w:rsidP="001311E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7C764D6" w14:textId="77777777" w:rsidR="00593566" w:rsidRPr="009F273E" w:rsidRDefault="00593566" w:rsidP="001311E6">
            <w:pPr>
              <w:pStyle w:val="MarginText"/>
              <w:rPr>
                <w:rFonts w:cs="Arial"/>
                <w:sz w:val="24"/>
                <w:szCs w:val="24"/>
              </w:rPr>
            </w:pPr>
            <w:r w:rsidRPr="009F273E">
              <w:rPr>
                <w:rFonts w:cs="Arial"/>
                <w:sz w:val="24"/>
                <w:szCs w:val="24"/>
              </w:rPr>
              <w:t>Name:</w:t>
            </w:r>
          </w:p>
        </w:tc>
        <w:tc>
          <w:tcPr>
            <w:tcW w:w="3108" w:type="dxa"/>
          </w:tcPr>
          <w:p w14:paraId="47744F2B" w14:textId="07C7E69F" w:rsidR="00593566" w:rsidRPr="009F273E" w:rsidRDefault="00587FCF" w:rsidP="001311E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593566" w:rsidRPr="009F273E" w14:paraId="5F1B6DEC" w14:textId="77777777" w:rsidTr="00587FCF">
        <w:trPr>
          <w:trHeight w:val="1130"/>
        </w:trPr>
        <w:tc>
          <w:tcPr>
            <w:cnfStyle w:val="000010000000" w:firstRow="0" w:lastRow="0" w:firstColumn="0" w:lastColumn="0" w:oddVBand="1" w:evenVBand="0" w:oddHBand="0" w:evenHBand="0" w:firstRowFirstColumn="0" w:firstRowLastColumn="0" w:lastRowFirstColumn="0" w:lastRowLastColumn="0"/>
            <w:tcW w:w="1526" w:type="dxa"/>
          </w:tcPr>
          <w:p w14:paraId="356C831F" w14:textId="77777777" w:rsidR="00593566" w:rsidRPr="009F273E" w:rsidRDefault="00593566" w:rsidP="001311E6">
            <w:pPr>
              <w:pStyle w:val="MarginText"/>
              <w:ind w:left="0"/>
              <w:jc w:val="left"/>
              <w:rPr>
                <w:rFonts w:cs="Arial"/>
                <w:sz w:val="24"/>
                <w:szCs w:val="24"/>
              </w:rPr>
            </w:pPr>
            <w:r w:rsidRPr="009F273E">
              <w:rPr>
                <w:rFonts w:cs="Arial"/>
                <w:sz w:val="24"/>
                <w:szCs w:val="24"/>
              </w:rPr>
              <w:t>Role:</w:t>
            </w:r>
          </w:p>
        </w:tc>
        <w:tc>
          <w:tcPr>
            <w:tcW w:w="2980" w:type="dxa"/>
          </w:tcPr>
          <w:p w14:paraId="1EEF0BB0" w14:textId="5D8037A5" w:rsidR="00593566" w:rsidRPr="009F273E" w:rsidRDefault="00587FCF" w:rsidP="001311E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3A02718" w14:textId="77777777" w:rsidR="00593566" w:rsidRPr="009F273E" w:rsidRDefault="00593566" w:rsidP="001311E6">
            <w:pPr>
              <w:pStyle w:val="MarginText"/>
              <w:rPr>
                <w:rFonts w:cs="Arial"/>
                <w:sz w:val="24"/>
                <w:szCs w:val="24"/>
              </w:rPr>
            </w:pPr>
            <w:r w:rsidRPr="009F273E">
              <w:rPr>
                <w:rFonts w:cs="Arial"/>
                <w:sz w:val="24"/>
                <w:szCs w:val="24"/>
              </w:rPr>
              <w:t>Role:</w:t>
            </w:r>
          </w:p>
        </w:tc>
        <w:tc>
          <w:tcPr>
            <w:tcW w:w="3108" w:type="dxa"/>
          </w:tcPr>
          <w:p w14:paraId="42089A7C" w14:textId="45BFDEE5" w:rsidR="00593566" w:rsidRPr="009F273E" w:rsidRDefault="00587FCF" w:rsidP="001311E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593566" w:rsidRPr="009F273E" w14:paraId="37A6D4E1" w14:textId="77777777" w:rsidTr="00587FCF">
        <w:trPr>
          <w:cnfStyle w:val="000000100000" w:firstRow="0" w:lastRow="0" w:firstColumn="0" w:lastColumn="0" w:oddVBand="0" w:evenVBand="0" w:oddHBand="1" w:evenHBand="0" w:firstRowFirstColumn="0" w:firstRowLastColumn="0" w:lastRowFirstColumn="0" w:lastRowLastColumn="0"/>
          <w:trHeight w:val="1274"/>
        </w:trPr>
        <w:tc>
          <w:tcPr>
            <w:cnfStyle w:val="000010000000" w:firstRow="0" w:lastRow="0" w:firstColumn="0" w:lastColumn="0" w:oddVBand="1" w:evenVBand="0" w:oddHBand="0" w:evenHBand="0" w:firstRowFirstColumn="0" w:firstRowLastColumn="0" w:lastRowFirstColumn="0" w:lastRowLastColumn="0"/>
            <w:tcW w:w="1526" w:type="dxa"/>
          </w:tcPr>
          <w:p w14:paraId="3A54DFA2" w14:textId="77777777" w:rsidR="00593566" w:rsidRPr="009F273E" w:rsidRDefault="00593566" w:rsidP="001311E6">
            <w:pPr>
              <w:pStyle w:val="MarginText"/>
              <w:ind w:left="0"/>
              <w:jc w:val="left"/>
              <w:rPr>
                <w:rFonts w:cs="Arial"/>
                <w:sz w:val="24"/>
                <w:szCs w:val="24"/>
              </w:rPr>
            </w:pPr>
            <w:r w:rsidRPr="009F273E">
              <w:rPr>
                <w:rFonts w:cs="Arial"/>
                <w:sz w:val="24"/>
                <w:szCs w:val="24"/>
              </w:rPr>
              <w:t>Date:</w:t>
            </w:r>
          </w:p>
        </w:tc>
        <w:tc>
          <w:tcPr>
            <w:tcW w:w="2980" w:type="dxa"/>
          </w:tcPr>
          <w:p w14:paraId="65142F14" w14:textId="74B1CC91" w:rsidR="00593566" w:rsidRPr="009F273E" w:rsidRDefault="00587FCF" w:rsidP="001311E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w:t>
            </w:r>
            <w:r w:rsidRPr="00587FCF">
              <w:rPr>
                <w:rFonts w:cs="Arial"/>
                <w:sz w:val="24"/>
                <w:szCs w:val="24"/>
                <w:vertAlign w:val="superscript"/>
              </w:rPr>
              <w:t>nd</w:t>
            </w:r>
            <w:r>
              <w:rPr>
                <w:rFonts w:cs="Arial"/>
                <w:sz w:val="24"/>
                <w:szCs w:val="24"/>
              </w:rPr>
              <w:t xml:space="preserve"> December 2021</w:t>
            </w:r>
          </w:p>
        </w:tc>
        <w:tc>
          <w:tcPr>
            <w:cnfStyle w:val="000010000000" w:firstRow="0" w:lastRow="0" w:firstColumn="0" w:lastColumn="0" w:oddVBand="1" w:evenVBand="0" w:oddHBand="0" w:evenHBand="0" w:firstRowFirstColumn="0" w:firstRowLastColumn="0" w:lastRowFirstColumn="0" w:lastRowLastColumn="0"/>
            <w:tcW w:w="1556" w:type="dxa"/>
          </w:tcPr>
          <w:p w14:paraId="525EFB50" w14:textId="77777777" w:rsidR="00593566" w:rsidRPr="009F273E" w:rsidRDefault="00593566" w:rsidP="001311E6">
            <w:pPr>
              <w:pStyle w:val="MarginText"/>
              <w:rPr>
                <w:rFonts w:cs="Arial"/>
                <w:sz w:val="24"/>
                <w:szCs w:val="24"/>
              </w:rPr>
            </w:pPr>
            <w:r w:rsidRPr="009F273E">
              <w:rPr>
                <w:rFonts w:cs="Arial"/>
                <w:sz w:val="24"/>
                <w:szCs w:val="24"/>
              </w:rPr>
              <w:t>Date:</w:t>
            </w:r>
          </w:p>
        </w:tc>
        <w:tc>
          <w:tcPr>
            <w:tcW w:w="3108" w:type="dxa"/>
          </w:tcPr>
          <w:p w14:paraId="20DC1F3B" w14:textId="40BE213C" w:rsidR="00593566" w:rsidRPr="009F273E" w:rsidRDefault="00587FCF" w:rsidP="001311E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07/12/2021</w:t>
            </w:r>
          </w:p>
        </w:tc>
        <w:bookmarkStart w:id="1" w:name="_GoBack"/>
        <w:bookmarkEnd w:id="1"/>
      </w:tr>
    </w:tbl>
    <w:p w14:paraId="1641894B" w14:textId="77777777" w:rsidR="00593566" w:rsidRDefault="00593566" w:rsidP="00593566">
      <w:pPr>
        <w:rPr>
          <w:rFonts w:ascii="Arial" w:hAnsi="Arial" w:cs="Arial"/>
          <w:color w:val="1F497D"/>
          <w:sz w:val="24"/>
          <w:szCs w:val="24"/>
          <w:highlight w:val="yellow"/>
        </w:rPr>
      </w:pPr>
    </w:p>
    <w:p w14:paraId="693AB9D7" w14:textId="77777777" w:rsidR="00D63537" w:rsidRDefault="00D63537"/>
    <w:sectPr w:rsidR="00D6353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7C64" w14:textId="77777777" w:rsidR="009C1C02" w:rsidRDefault="009C1C02" w:rsidP="00593566">
      <w:pPr>
        <w:spacing w:after="0" w:line="240" w:lineRule="auto"/>
      </w:pPr>
      <w:r>
        <w:separator/>
      </w:r>
    </w:p>
  </w:endnote>
  <w:endnote w:type="continuationSeparator" w:id="0">
    <w:p w14:paraId="10996FEB" w14:textId="77777777" w:rsidR="009C1C02" w:rsidRDefault="009C1C02" w:rsidP="0059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33DB" w14:textId="77777777" w:rsidR="00593566" w:rsidRPr="00623ED5" w:rsidRDefault="00593566" w:rsidP="00593566">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6E274A86" w14:textId="0701A082" w:rsidR="00593566" w:rsidRPr="00623ED5" w:rsidRDefault="00593566" w:rsidP="00593566">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A04240">
      <w:rPr>
        <w:rFonts w:ascii="Arial" w:hAnsi="Arial" w:cs="Arial"/>
        <w:noProof/>
        <w:sz w:val="20"/>
        <w:szCs w:val="20"/>
      </w:rPr>
      <w:t>5</w:t>
    </w:r>
    <w:r w:rsidRPr="00623ED5">
      <w:rPr>
        <w:rFonts w:ascii="Arial" w:hAnsi="Arial" w:cs="Arial"/>
        <w:noProof/>
        <w:sz w:val="20"/>
        <w:szCs w:val="20"/>
      </w:rPr>
      <w:fldChar w:fldCharType="end"/>
    </w:r>
  </w:p>
  <w:p w14:paraId="4D0AF285" w14:textId="7462DB28" w:rsidR="00593566" w:rsidRDefault="00593566" w:rsidP="00593566">
    <w:pPr>
      <w:pStyle w:val="Footer"/>
    </w:pPr>
    <w:r w:rsidRPr="00623ED5">
      <w:rPr>
        <w:rFonts w:ascii="Arial" w:hAnsi="Arial" w:cs="Arial"/>
        <w:sz w:val="20"/>
        <w:szCs w:val="20"/>
      </w:rPr>
      <w:t xml:space="preserve">Model Version: </w:t>
    </w:r>
    <w:r>
      <w:rPr>
        <w:rFonts w:ascii="Arial" w:hAnsi="Arial" w:cs="Arial"/>
        <w:sz w:val="20"/>
        <w:szCs w:val="20"/>
      </w:rPr>
      <w:t>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8091" w14:textId="77777777" w:rsidR="009C1C02" w:rsidRDefault="009C1C02" w:rsidP="00593566">
      <w:pPr>
        <w:spacing w:after="0" w:line="240" w:lineRule="auto"/>
      </w:pPr>
      <w:r>
        <w:separator/>
      </w:r>
    </w:p>
  </w:footnote>
  <w:footnote w:type="continuationSeparator" w:id="0">
    <w:p w14:paraId="5CEFDE8C" w14:textId="77777777" w:rsidR="009C1C02" w:rsidRDefault="009C1C02" w:rsidP="0059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CA2B" w14:textId="77777777" w:rsidR="00593566" w:rsidRPr="00623ED5" w:rsidRDefault="00593566" w:rsidP="00593566">
    <w:pPr>
      <w:pStyle w:val="Header"/>
      <w:rPr>
        <w:rFonts w:ascii="Arial" w:hAnsi="Arial" w:cs="Arial"/>
        <w:sz w:val="20"/>
      </w:rPr>
    </w:pPr>
    <w:r w:rsidRPr="00623ED5">
      <w:rPr>
        <w:rFonts w:ascii="Arial" w:hAnsi="Arial" w:cs="Arial"/>
        <w:b/>
        <w:sz w:val="20"/>
      </w:rPr>
      <w:t>Framework Schedule 6 (Order Form Template and Call-Off Schedules)</w:t>
    </w:r>
  </w:p>
  <w:p w14:paraId="326FBBFF" w14:textId="77777777" w:rsidR="00593566" w:rsidRPr="00623ED5" w:rsidRDefault="00593566" w:rsidP="0059356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3A4BD975" w14:textId="77777777" w:rsidR="00593566" w:rsidRDefault="00593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042F"/>
    <w:multiLevelType w:val="multilevel"/>
    <w:tmpl w:val="707E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35947"/>
    <w:multiLevelType w:val="multilevel"/>
    <w:tmpl w:val="973A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04FF8"/>
    <w:multiLevelType w:val="multilevel"/>
    <w:tmpl w:val="531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B76EC"/>
    <w:multiLevelType w:val="multilevel"/>
    <w:tmpl w:val="04E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33897"/>
    <w:multiLevelType w:val="multilevel"/>
    <w:tmpl w:val="65F8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95E40"/>
    <w:multiLevelType w:val="multilevel"/>
    <w:tmpl w:val="0F3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60E5D"/>
    <w:multiLevelType w:val="multilevel"/>
    <w:tmpl w:val="6F3A8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0"/>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66"/>
    <w:rsid w:val="0000379D"/>
    <w:rsid w:val="00015ADE"/>
    <w:rsid w:val="0002373E"/>
    <w:rsid w:val="00190C46"/>
    <w:rsid w:val="001D087B"/>
    <w:rsid w:val="002569A3"/>
    <w:rsid w:val="003549DA"/>
    <w:rsid w:val="004B6830"/>
    <w:rsid w:val="00524478"/>
    <w:rsid w:val="00587FCF"/>
    <w:rsid w:val="00593566"/>
    <w:rsid w:val="00701B17"/>
    <w:rsid w:val="00744BC2"/>
    <w:rsid w:val="007619CA"/>
    <w:rsid w:val="00810CDE"/>
    <w:rsid w:val="00834D36"/>
    <w:rsid w:val="00887153"/>
    <w:rsid w:val="008D3297"/>
    <w:rsid w:val="009253C4"/>
    <w:rsid w:val="009C1C02"/>
    <w:rsid w:val="009E3B03"/>
    <w:rsid w:val="00A02FFE"/>
    <w:rsid w:val="00A04240"/>
    <w:rsid w:val="00A86789"/>
    <w:rsid w:val="00AA2CAD"/>
    <w:rsid w:val="00AE3368"/>
    <w:rsid w:val="00AF55B6"/>
    <w:rsid w:val="00B53524"/>
    <w:rsid w:val="00BE1DE3"/>
    <w:rsid w:val="00BF12E4"/>
    <w:rsid w:val="00C66E42"/>
    <w:rsid w:val="00D37809"/>
    <w:rsid w:val="00D63537"/>
    <w:rsid w:val="00DE2D24"/>
    <w:rsid w:val="00DF35C4"/>
    <w:rsid w:val="00E14486"/>
    <w:rsid w:val="00E60F0F"/>
    <w:rsid w:val="00F468DF"/>
    <w:rsid w:val="00FA58AA"/>
    <w:rsid w:val="00FC32A0"/>
    <w:rsid w:val="00FE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3E45"/>
  <w15:chartTrackingRefBased/>
  <w15:docId w15:val="{79FCC733-41A6-45A2-A1BF-BA86A5ED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93566"/>
    <w:rPr>
      <w:i/>
      <w:iCs/>
    </w:rPr>
  </w:style>
  <w:style w:type="paragraph" w:customStyle="1" w:styleId="MarginText">
    <w:name w:val="Margin Text"/>
    <w:basedOn w:val="Normal"/>
    <w:link w:val="MarginTextChar"/>
    <w:rsid w:val="00593566"/>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593566"/>
    <w:rPr>
      <w:rFonts w:ascii="Arial" w:eastAsia="STZhongsong" w:hAnsi="Arial" w:cs="Times New Roman"/>
      <w:sz w:val="18"/>
      <w:szCs w:val="18"/>
      <w:lang w:eastAsia="zh-CN"/>
    </w:rPr>
  </w:style>
  <w:style w:type="paragraph" w:styleId="ListParagraph">
    <w:name w:val="List Paragraph"/>
    <w:basedOn w:val="Normal"/>
    <w:qFormat/>
    <w:rsid w:val="00593566"/>
    <w:pPr>
      <w:ind w:left="720"/>
      <w:contextualSpacing/>
    </w:pPr>
  </w:style>
  <w:style w:type="table" w:customStyle="1" w:styleId="GridTable2-Accent11">
    <w:name w:val="Grid Table 2 - Accent 11"/>
    <w:basedOn w:val="TableNormal"/>
    <w:uiPriority w:val="47"/>
    <w:rsid w:val="00593566"/>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593566"/>
    <w:rPr>
      <w:color w:val="0563C1" w:themeColor="hyperlink"/>
      <w:u w:val="single"/>
    </w:rPr>
  </w:style>
  <w:style w:type="paragraph" w:styleId="Header">
    <w:name w:val="header"/>
    <w:basedOn w:val="Normal"/>
    <w:link w:val="HeaderChar"/>
    <w:uiPriority w:val="99"/>
    <w:unhideWhenUsed/>
    <w:rsid w:val="00593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566"/>
    <w:rPr>
      <w:rFonts w:ascii="Calibri" w:eastAsia="Calibri" w:hAnsi="Calibri" w:cs="Times New Roman"/>
    </w:rPr>
  </w:style>
  <w:style w:type="paragraph" w:styleId="Footer">
    <w:name w:val="footer"/>
    <w:basedOn w:val="Normal"/>
    <w:link w:val="FooterChar"/>
    <w:uiPriority w:val="99"/>
    <w:unhideWhenUsed/>
    <w:rsid w:val="00593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566"/>
    <w:rPr>
      <w:rFonts w:ascii="Calibri" w:eastAsia="Calibri" w:hAnsi="Calibri" w:cs="Times New Roman"/>
    </w:rPr>
  </w:style>
  <w:style w:type="table" w:customStyle="1" w:styleId="TableGrid1">
    <w:name w:val="Table Grid1"/>
    <w:basedOn w:val="TableNormal"/>
    <w:next w:val="TableGrid"/>
    <w:uiPriority w:val="59"/>
    <w:rsid w:val="00BF12E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1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153"/>
    <w:rPr>
      <w:sz w:val="16"/>
      <w:szCs w:val="16"/>
    </w:rPr>
  </w:style>
  <w:style w:type="paragraph" w:styleId="CommentText">
    <w:name w:val="annotation text"/>
    <w:basedOn w:val="Normal"/>
    <w:link w:val="CommentTextChar"/>
    <w:uiPriority w:val="99"/>
    <w:semiHidden/>
    <w:unhideWhenUsed/>
    <w:rsid w:val="00887153"/>
    <w:pPr>
      <w:spacing w:line="240" w:lineRule="auto"/>
    </w:pPr>
    <w:rPr>
      <w:sz w:val="20"/>
      <w:szCs w:val="20"/>
    </w:rPr>
  </w:style>
  <w:style w:type="character" w:customStyle="1" w:styleId="CommentTextChar">
    <w:name w:val="Comment Text Char"/>
    <w:basedOn w:val="DefaultParagraphFont"/>
    <w:link w:val="CommentText"/>
    <w:uiPriority w:val="99"/>
    <w:semiHidden/>
    <w:rsid w:val="008871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7153"/>
    <w:rPr>
      <w:b/>
      <w:bCs/>
    </w:rPr>
  </w:style>
  <w:style w:type="character" w:customStyle="1" w:styleId="CommentSubjectChar">
    <w:name w:val="Comment Subject Char"/>
    <w:basedOn w:val="CommentTextChar"/>
    <w:link w:val="CommentSubject"/>
    <w:uiPriority w:val="99"/>
    <w:semiHidden/>
    <w:rsid w:val="0088715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87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retary-of-states-policy-statement-on-safety-health-environmental-protection-and-sustainable-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SDes-DCP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16D3-49A7-4D11-8A25-7E9496B2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Beavin, Joe Mr (ISS Comrcl-D-22)</dc:creator>
  <cp:keywords/>
  <dc:description/>
  <cp:lastModifiedBy>Lorraine Plunkett</cp:lastModifiedBy>
  <cp:revision>2</cp:revision>
  <dcterms:created xsi:type="dcterms:W3CDTF">2022-01-04T11:22:00Z</dcterms:created>
  <dcterms:modified xsi:type="dcterms:W3CDTF">2022-01-04T11:22:00Z</dcterms:modified>
</cp:coreProperties>
</file>