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70AF1" w14:textId="2981E90B" w:rsidR="004F4E20" w:rsidRDefault="00514F41" w:rsidP="001E7048">
      <w:pPr>
        <w:jc w:val="right"/>
      </w:pPr>
      <w:r>
        <w:rPr>
          <w:noProof/>
          <w:lang w:eastAsia="en-GB"/>
        </w:rPr>
        <w:drawing>
          <wp:inline distT="0" distB="0" distL="0" distR="0" wp14:anchorId="722A32AD" wp14:editId="77D60D61">
            <wp:extent cx="2181225" cy="561975"/>
            <wp:effectExtent l="0" t="0" r="9525" b="9525"/>
            <wp:docPr id="1" name="Picture 1" descr="Macintosh HD:Users:samuel:Desktop:Tower Hamlets CCG:Office Use:Tower Hamlets CCG – RGB Blu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samuel:Desktop:Tower Hamlets CCG:Office Use:Tower Hamlets CCG – RGB Blue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01" r="8076" b="32212"/>
                    <a:stretch/>
                  </pic:blipFill>
                  <pic:spPr bwMode="auto">
                    <a:xfrm>
                      <a:off x="0" y="0"/>
                      <a:ext cx="2199154" cy="566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F4E20">
        <w:tab/>
      </w:r>
    </w:p>
    <w:p w14:paraId="20DBC567" w14:textId="6FB211BA" w:rsidR="005A72A7" w:rsidRDefault="005A72A7" w:rsidP="00594982">
      <w:pPr>
        <w:rPr>
          <w:rFonts w:ascii="Arial" w:hAnsi="Arial" w:cs="Arial"/>
          <w:b/>
          <w:bCs/>
          <w:lang w:val="en"/>
        </w:rPr>
      </w:pPr>
    </w:p>
    <w:p w14:paraId="41A69230" w14:textId="77777777" w:rsidR="001B086E" w:rsidRDefault="001B086E" w:rsidP="00934FD3">
      <w:pPr>
        <w:rPr>
          <w:rFonts w:ascii="Arial" w:hAnsi="Arial" w:cs="Arial"/>
          <w:b/>
        </w:rPr>
      </w:pPr>
    </w:p>
    <w:p w14:paraId="2E431607" w14:textId="77777777" w:rsidR="004F4E20" w:rsidRDefault="004F4E20" w:rsidP="00934FD3">
      <w:pPr>
        <w:rPr>
          <w:rFonts w:ascii="Arial" w:hAnsi="Arial" w:cs="Arial"/>
          <w:b/>
        </w:rPr>
      </w:pPr>
      <w:r w:rsidRPr="004F4E20">
        <w:rPr>
          <w:rFonts w:ascii="Arial" w:hAnsi="Arial" w:cs="Arial"/>
          <w:b/>
        </w:rPr>
        <w:t>Description</w:t>
      </w:r>
    </w:p>
    <w:p w14:paraId="6592C429" w14:textId="176F7255" w:rsidR="001744E7" w:rsidRPr="00087410" w:rsidRDefault="001744E7" w:rsidP="00B40A4F">
      <w:pPr>
        <w:spacing w:after="0"/>
        <w:rPr>
          <w:rFonts w:ascii="Arial" w:hAnsi="Arial" w:cs="Arial"/>
          <w:b/>
        </w:rPr>
      </w:pPr>
    </w:p>
    <w:p w14:paraId="5EB0D52C" w14:textId="77777777" w:rsidR="00B40A4F" w:rsidRPr="00472222" w:rsidRDefault="00B40A4F" w:rsidP="00B40A4F">
      <w:pPr>
        <w:spacing w:after="0"/>
        <w:rPr>
          <w:rFonts w:ascii="Arial" w:hAnsi="Arial" w:cs="Arial"/>
        </w:rPr>
      </w:pPr>
      <w:r w:rsidRPr="00472222">
        <w:rPr>
          <w:rFonts w:ascii="Arial" w:hAnsi="Arial" w:cs="Arial"/>
        </w:rPr>
        <w:t>The Tower Hamlets vision is for a healthy and well population able to care for itself where possible, with joined up services that work together, provided around the whole person and focused on early intervention and prevention.</w:t>
      </w:r>
    </w:p>
    <w:p w14:paraId="40EECF87" w14:textId="77777777" w:rsidR="00B40A4F" w:rsidRPr="00472222" w:rsidRDefault="00B40A4F" w:rsidP="00B40A4F">
      <w:pPr>
        <w:spacing w:after="0"/>
        <w:rPr>
          <w:rFonts w:ascii="Arial" w:hAnsi="Arial" w:cs="Arial"/>
        </w:rPr>
      </w:pPr>
    </w:p>
    <w:p w14:paraId="1950A85B" w14:textId="6BD9DB3A" w:rsidR="00B40A4F" w:rsidRPr="00472222" w:rsidRDefault="00B40A4F" w:rsidP="00472222">
      <w:pPr>
        <w:spacing w:after="0"/>
        <w:rPr>
          <w:rFonts w:ascii="Arial" w:hAnsi="Arial" w:cs="Arial"/>
        </w:rPr>
      </w:pPr>
      <w:r w:rsidRPr="00472222">
        <w:rPr>
          <w:rFonts w:ascii="Arial" w:hAnsi="Arial" w:cs="Arial"/>
        </w:rPr>
        <w:t>Improving health and care outcomes for the homeless population is a key priority of Tower Hamlets CCG and the London Borough of Tower Hamlets</w:t>
      </w:r>
      <w:r w:rsidR="00472222" w:rsidRPr="00472222">
        <w:rPr>
          <w:rFonts w:ascii="Arial" w:hAnsi="Arial" w:cs="Arial"/>
        </w:rPr>
        <w:t>,</w:t>
      </w:r>
      <w:r w:rsidRPr="00472222">
        <w:rPr>
          <w:rFonts w:ascii="Arial" w:hAnsi="Arial" w:cs="Arial"/>
        </w:rPr>
        <w:t xml:space="preserve"> and both are committed to addressing the </w:t>
      </w:r>
      <w:r w:rsidR="00472222" w:rsidRPr="00472222">
        <w:rPr>
          <w:rFonts w:ascii="Arial" w:hAnsi="Arial" w:cs="Arial"/>
        </w:rPr>
        <w:t xml:space="preserve">health </w:t>
      </w:r>
      <w:r w:rsidRPr="00472222">
        <w:rPr>
          <w:rFonts w:ascii="Arial" w:hAnsi="Arial" w:cs="Arial"/>
        </w:rPr>
        <w:t xml:space="preserve">inequalities experienced by homeless people </w:t>
      </w:r>
      <w:r w:rsidR="00472222" w:rsidRPr="00472222">
        <w:rPr>
          <w:rFonts w:ascii="Arial" w:hAnsi="Arial" w:cs="Arial"/>
        </w:rPr>
        <w:t xml:space="preserve">by </w:t>
      </w:r>
      <w:r w:rsidRPr="00472222">
        <w:rPr>
          <w:rFonts w:ascii="Arial" w:hAnsi="Arial" w:cs="Arial"/>
        </w:rPr>
        <w:t>transform</w:t>
      </w:r>
      <w:r w:rsidR="00472222" w:rsidRPr="00472222">
        <w:rPr>
          <w:rFonts w:ascii="Arial" w:hAnsi="Arial" w:cs="Arial"/>
        </w:rPr>
        <w:t>ing</w:t>
      </w:r>
      <w:r w:rsidRPr="00472222">
        <w:rPr>
          <w:rFonts w:ascii="Arial" w:hAnsi="Arial" w:cs="Arial"/>
        </w:rPr>
        <w:t xml:space="preserve"> the way in which homeless health and care is delivered locally.</w:t>
      </w:r>
    </w:p>
    <w:p w14:paraId="1FBC40CD" w14:textId="77777777" w:rsidR="00472222" w:rsidRPr="00472222" w:rsidRDefault="00472222" w:rsidP="00472222">
      <w:pPr>
        <w:spacing w:after="0"/>
        <w:rPr>
          <w:rFonts w:ascii="Arial" w:hAnsi="Arial" w:cs="Arial"/>
        </w:rPr>
      </w:pPr>
    </w:p>
    <w:p w14:paraId="465768CD" w14:textId="64CFA857" w:rsidR="004F4E20" w:rsidRPr="00472222" w:rsidRDefault="004F4E20" w:rsidP="005A72A7">
      <w:pPr>
        <w:jc w:val="both"/>
        <w:rPr>
          <w:rFonts w:ascii="Arial" w:hAnsi="Arial" w:cs="Arial"/>
        </w:rPr>
      </w:pPr>
      <w:r w:rsidRPr="00472222">
        <w:rPr>
          <w:rFonts w:ascii="Arial" w:hAnsi="Arial" w:cs="Arial"/>
        </w:rPr>
        <w:t xml:space="preserve">The current </w:t>
      </w:r>
      <w:r w:rsidR="003E7A22" w:rsidRPr="00472222">
        <w:rPr>
          <w:rFonts w:ascii="Arial" w:hAnsi="Arial" w:cs="Arial"/>
        </w:rPr>
        <w:t>contract</w:t>
      </w:r>
      <w:r w:rsidR="007F4772" w:rsidRPr="00472222">
        <w:rPr>
          <w:rFonts w:ascii="Arial" w:hAnsi="Arial" w:cs="Arial"/>
        </w:rPr>
        <w:t xml:space="preserve">s </w:t>
      </w:r>
      <w:r w:rsidR="003E7A22" w:rsidRPr="00472222">
        <w:rPr>
          <w:rFonts w:ascii="Arial" w:hAnsi="Arial" w:cs="Arial"/>
        </w:rPr>
        <w:t>for NHS Tower Hamlets</w:t>
      </w:r>
      <w:r w:rsidR="007F4772" w:rsidRPr="00472222">
        <w:rPr>
          <w:rFonts w:ascii="Arial" w:hAnsi="Arial" w:cs="Arial"/>
        </w:rPr>
        <w:t xml:space="preserve"> </w:t>
      </w:r>
      <w:r w:rsidR="003E7A22" w:rsidRPr="00472222">
        <w:rPr>
          <w:rFonts w:ascii="Arial" w:hAnsi="Arial" w:cs="Arial"/>
        </w:rPr>
        <w:t>Clinical Commissioning Groups (The CCG) homeless services expire in March 2019. The services</w:t>
      </w:r>
      <w:r w:rsidR="00AF274C">
        <w:rPr>
          <w:rFonts w:ascii="Arial" w:hAnsi="Arial" w:cs="Arial"/>
        </w:rPr>
        <w:t xml:space="preserve"> </w:t>
      </w:r>
      <w:r w:rsidR="00AF274C" w:rsidRPr="00785243">
        <w:rPr>
          <w:rFonts w:ascii="Arial" w:hAnsi="Arial" w:cs="Arial"/>
        </w:rPr>
        <w:t>(</w:t>
      </w:r>
      <w:r w:rsidR="00AF274C" w:rsidRPr="00785243">
        <w:rPr>
          <w:rFonts w:ascii="Arial" w:hAnsi="Arial" w:cs="Arial"/>
          <w:b/>
        </w:rPr>
        <w:t>Health E1 Homeless Medical Centre, 9-11 Brick Lane, London, E1 6PU</w:t>
      </w:r>
      <w:r w:rsidR="009E2528" w:rsidRPr="00785243">
        <w:rPr>
          <w:rFonts w:ascii="Arial" w:hAnsi="Arial" w:cs="Arial"/>
          <w:b/>
        </w:rPr>
        <w:t xml:space="preserve"> and Royal London Hospital</w:t>
      </w:r>
      <w:r w:rsidR="00AF274C" w:rsidRPr="00785243">
        <w:rPr>
          <w:rFonts w:ascii="Arial" w:hAnsi="Arial" w:cs="Arial"/>
        </w:rPr>
        <w:t>)</w:t>
      </w:r>
      <w:bookmarkStart w:id="0" w:name="_GoBack"/>
      <w:bookmarkEnd w:id="0"/>
      <w:r w:rsidR="00AF274C">
        <w:rPr>
          <w:rFonts w:ascii="Arial" w:hAnsi="Arial" w:cs="Arial"/>
        </w:rPr>
        <w:t xml:space="preserve"> </w:t>
      </w:r>
      <w:r w:rsidR="003E7A22" w:rsidRPr="00472222">
        <w:rPr>
          <w:rFonts w:ascii="Arial" w:hAnsi="Arial" w:cs="Arial"/>
        </w:rPr>
        <w:t>are being re</w:t>
      </w:r>
      <w:r w:rsidR="007F4772" w:rsidRPr="00472222">
        <w:rPr>
          <w:rFonts w:ascii="Arial" w:hAnsi="Arial" w:cs="Arial"/>
        </w:rPr>
        <w:t xml:space="preserve">designed and </w:t>
      </w:r>
      <w:r w:rsidR="003E7A22" w:rsidRPr="00472222">
        <w:rPr>
          <w:rFonts w:ascii="Arial" w:hAnsi="Arial" w:cs="Arial"/>
        </w:rPr>
        <w:t>procured to facilitate transition to a new service model, effective from April 2019.</w:t>
      </w:r>
    </w:p>
    <w:p w14:paraId="225C4DBA" w14:textId="1900D197" w:rsidR="005C155A" w:rsidRPr="00EC1749" w:rsidRDefault="007F4772" w:rsidP="00B40A4F">
      <w:pPr>
        <w:spacing w:after="0"/>
        <w:rPr>
          <w:rFonts w:ascii="Arial" w:hAnsi="Arial" w:cs="Arial"/>
        </w:rPr>
      </w:pPr>
      <w:r w:rsidRPr="00EC1749">
        <w:rPr>
          <w:rFonts w:ascii="Arial" w:hAnsi="Arial" w:cs="Arial"/>
        </w:rPr>
        <w:t xml:space="preserve">The new </w:t>
      </w:r>
      <w:r w:rsidR="005C155A" w:rsidRPr="00EC1749">
        <w:rPr>
          <w:rFonts w:ascii="Arial" w:hAnsi="Arial" w:cs="Arial"/>
        </w:rPr>
        <w:t>service</w:t>
      </w:r>
      <w:r w:rsidRPr="00EC1749">
        <w:rPr>
          <w:rFonts w:ascii="Arial" w:hAnsi="Arial" w:cs="Arial"/>
        </w:rPr>
        <w:t xml:space="preserve"> </w:t>
      </w:r>
      <w:r w:rsidR="00B40A4F" w:rsidRPr="00EC1749">
        <w:rPr>
          <w:rFonts w:ascii="Arial" w:hAnsi="Arial" w:cs="Arial"/>
        </w:rPr>
        <w:t>is for a single, integrated, proactive and accessible homeless mod</w:t>
      </w:r>
      <w:r w:rsidR="00472222" w:rsidRPr="00EC1749">
        <w:rPr>
          <w:rFonts w:ascii="Arial" w:hAnsi="Arial" w:cs="Arial"/>
        </w:rPr>
        <w:t xml:space="preserve">el of care for homeless people. </w:t>
      </w:r>
      <w:r w:rsidR="00B40A4F" w:rsidRPr="00EC1749">
        <w:rPr>
          <w:rFonts w:ascii="Arial" w:hAnsi="Arial" w:cs="Arial"/>
        </w:rPr>
        <w:t xml:space="preserve">It </w:t>
      </w:r>
      <w:r w:rsidR="005C155A" w:rsidRPr="00EC1749">
        <w:rPr>
          <w:rFonts w:ascii="Arial" w:hAnsi="Arial" w:cs="Arial"/>
        </w:rPr>
        <w:t>will</w:t>
      </w:r>
      <w:r w:rsidR="00472222" w:rsidRPr="00EC1749">
        <w:rPr>
          <w:rFonts w:ascii="Arial" w:hAnsi="Arial" w:cs="Arial"/>
        </w:rPr>
        <w:t xml:space="preserve"> include an APMS Primary Care Service, along with in hospital and community services, designed to </w:t>
      </w:r>
      <w:r w:rsidRPr="00EC1749">
        <w:rPr>
          <w:rFonts w:ascii="Arial" w:hAnsi="Arial" w:cs="Arial"/>
        </w:rPr>
        <w:t>cater for the needs of homeless people. The new service</w:t>
      </w:r>
      <w:r w:rsidR="005C155A" w:rsidRPr="00EC1749">
        <w:rPr>
          <w:rFonts w:ascii="Arial" w:hAnsi="Arial" w:cs="Arial"/>
        </w:rPr>
        <w:t xml:space="preserve"> will be patient centred, deliver a consistently high quality service and deliver good value for money.</w:t>
      </w:r>
    </w:p>
    <w:p w14:paraId="7B7860E4" w14:textId="77777777" w:rsidR="00472222" w:rsidRPr="00EC1749" w:rsidRDefault="00472222" w:rsidP="00B40A4F">
      <w:pPr>
        <w:spacing w:after="0"/>
        <w:rPr>
          <w:rFonts w:ascii="Arial" w:hAnsi="Arial" w:cs="Arial"/>
        </w:rPr>
      </w:pPr>
    </w:p>
    <w:p w14:paraId="127F080F" w14:textId="77777777" w:rsidR="005C155A" w:rsidRPr="00EC1749" w:rsidRDefault="005C155A" w:rsidP="005A72A7">
      <w:pPr>
        <w:jc w:val="both"/>
        <w:rPr>
          <w:rFonts w:ascii="Arial" w:hAnsi="Arial" w:cs="Arial"/>
        </w:rPr>
      </w:pPr>
      <w:r w:rsidRPr="00EC1749">
        <w:rPr>
          <w:rFonts w:ascii="Arial" w:hAnsi="Arial" w:cs="Arial"/>
        </w:rPr>
        <w:t>In order to support the new model the specification has been</w:t>
      </w:r>
      <w:r w:rsidR="00D547F9" w:rsidRPr="00EC1749">
        <w:rPr>
          <w:rFonts w:ascii="Arial" w:hAnsi="Arial" w:cs="Arial"/>
        </w:rPr>
        <w:t xml:space="preserve"> </w:t>
      </w:r>
      <w:r w:rsidR="009E716A" w:rsidRPr="00EC1749">
        <w:rPr>
          <w:rFonts w:ascii="Arial" w:hAnsi="Arial" w:cs="Arial"/>
        </w:rPr>
        <w:t xml:space="preserve">coproduced and </w:t>
      </w:r>
      <w:r w:rsidRPr="00EC1749">
        <w:rPr>
          <w:rFonts w:ascii="Arial" w:hAnsi="Arial" w:cs="Arial"/>
        </w:rPr>
        <w:t>include</w:t>
      </w:r>
      <w:r w:rsidR="009E716A" w:rsidRPr="00EC1749">
        <w:rPr>
          <w:rFonts w:ascii="Arial" w:hAnsi="Arial" w:cs="Arial"/>
        </w:rPr>
        <w:t>s</w:t>
      </w:r>
      <w:r w:rsidRPr="00EC1749">
        <w:rPr>
          <w:rFonts w:ascii="Arial" w:hAnsi="Arial" w:cs="Arial"/>
        </w:rPr>
        <w:t xml:space="preserve"> responsibility to collaborate and to promote better integration of services, particularly other homeless health and social care services.</w:t>
      </w:r>
    </w:p>
    <w:p w14:paraId="2E64DD19" w14:textId="77777777" w:rsidR="0093400F" w:rsidRPr="00EC1749" w:rsidRDefault="0093400F" w:rsidP="005A72A7">
      <w:pPr>
        <w:jc w:val="both"/>
        <w:rPr>
          <w:rFonts w:ascii="Arial" w:hAnsi="Arial" w:cs="Arial"/>
        </w:rPr>
      </w:pPr>
    </w:p>
    <w:p w14:paraId="6E82E404" w14:textId="77777777" w:rsidR="0093400F" w:rsidRPr="00EC1749" w:rsidRDefault="00FF7CBA" w:rsidP="005A72A7">
      <w:pPr>
        <w:jc w:val="both"/>
        <w:rPr>
          <w:rFonts w:ascii="Arial" w:hAnsi="Arial" w:cs="Arial"/>
          <w:b/>
        </w:rPr>
      </w:pPr>
      <w:r w:rsidRPr="00EC1749">
        <w:rPr>
          <w:rFonts w:ascii="Arial" w:hAnsi="Arial" w:cs="Arial"/>
          <w:b/>
        </w:rPr>
        <w:t xml:space="preserve">The </w:t>
      </w:r>
      <w:r w:rsidR="0093400F" w:rsidRPr="00EC1749">
        <w:rPr>
          <w:rFonts w:ascii="Arial" w:hAnsi="Arial" w:cs="Arial"/>
          <w:b/>
        </w:rPr>
        <w:t xml:space="preserve">service </w:t>
      </w:r>
      <w:r w:rsidRPr="00EC1749">
        <w:rPr>
          <w:rFonts w:ascii="Arial" w:hAnsi="Arial" w:cs="Arial"/>
          <w:b/>
        </w:rPr>
        <w:t xml:space="preserve">will be </w:t>
      </w:r>
      <w:r w:rsidR="0093400F" w:rsidRPr="00EC1749">
        <w:rPr>
          <w:rFonts w:ascii="Arial" w:hAnsi="Arial" w:cs="Arial"/>
          <w:b/>
        </w:rPr>
        <w:t>outcomes-based with a focus on</w:t>
      </w:r>
      <w:r w:rsidRPr="00EC1749">
        <w:rPr>
          <w:rFonts w:ascii="Arial" w:hAnsi="Arial" w:cs="Arial"/>
          <w:b/>
        </w:rPr>
        <w:t xml:space="preserve"> the following</w:t>
      </w:r>
      <w:r w:rsidR="0093400F" w:rsidRPr="00EC1749">
        <w:rPr>
          <w:rFonts w:ascii="Arial" w:hAnsi="Arial" w:cs="Arial"/>
          <w:b/>
        </w:rPr>
        <w:t>:</w:t>
      </w:r>
    </w:p>
    <w:p w14:paraId="2E7268C9" w14:textId="77777777" w:rsidR="00BD0A48" w:rsidRPr="00EC1749" w:rsidRDefault="00BD0A48" w:rsidP="005A72A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EC1749">
        <w:rPr>
          <w:rFonts w:ascii="Arial" w:hAnsi="Arial" w:cs="Arial"/>
        </w:rPr>
        <w:t>Improved identification of homeless patients in primary care and acute services</w:t>
      </w:r>
    </w:p>
    <w:p w14:paraId="762AC042" w14:textId="77777777" w:rsidR="00BD0A48" w:rsidRPr="00EC1749" w:rsidRDefault="00BD0A48" w:rsidP="005A72A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EC1749">
        <w:rPr>
          <w:rFonts w:ascii="Arial" w:hAnsi="Arial" w:cs="Arial"/>
        </w:rPr>
        <w:t>Increased use of planned health care</w:t>
      </w:r>
    </w:p>
    <w:p w14:paraId="611E8AA0" w14:textId="77777777" w:rsidR="00BD0A48" w:rsidRPr="00EC1749" w:rsidRDefault="00BD0A48" w:rsidP="005A72A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EC1749">
        <w:rPr>
          <w:rFonts w:ascii="Arial" w:hAnsi="Arial" w:cs="Arial"/>
        </w:rPr>
        <w:t>Reduction in the inappropriate use of secondary care</w:t>
      </w:r>
    </w:p>
    <w:p w14:paraId="6BB916A1" w14:textId="77777777" w:rsidR="00BD0A48" w:rsidRPr="00EC1749" w:rsidRDefault="00BD0A48" w:rsidP="005A72A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EC1749">
        <w:rPr>
          <w:rFonts w:ascii="Arial" w:hAnsi="Arial" w:cs="Arial"/>
        </w:rPr>
        <w:t>Delivery of effective preventative health services</w:t>
      </w:r>
    </w:p>
    <w:p w14:paraId="36A61E04" w14:textId="77777777" w:rsidR="00BD0A48" w:rsidRPr="00EC1749" w:rsidRDefault="00BD0A48" w:rsidP="005A72A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EC1749">
        <w:rPr>
          <w:rFonts w:ascii="Arial" w:hAnsi="Arial" w:cs="Arial"/>
        </w:rPr>
        <w:t>Provision of safe environments that promote physical and psychological well being</w:t>
      </w:r>
    </w:p>
    <w:p w14:paraId="1DDA5F4A" w14:textId="77777777" w:rsidR="00BD0A48" w:rsidRPr="00EC1749" w:rsidRDefault="00BD0A48" w:rsidP="005A72A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EC1749">
        <w:rPr>
          <w:rFonts w:ascii="Arial" w:hAnsi="Arial" w:cs="Arial"/>
        </w:rPr>
        <w:t>Facilitation of service users to take increasing responsibility for their own health and well-being</w:t>
      </w:r>
    </w:p>
    <w:p w14:paraId="5D865992" w14:textId="77777777" w:rsidR="00BD0A48" w:rsidRPr="00EC1749" w:rsidRDefault="00BD0A48" w:rsidP="005A72A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EC1749">
        <w:rPr>
          <w:rFonts w:ascii="Arial" w:hAnsi="Arial" w:cs="Arial"/>
        </w:rPr>
        <w:t>Integration of care delivery across health, social care and homeless services through strongly managed co-ordination of services and partnership working</w:t>
      </w:r>
    </w:p>
    <w:p w14:paraId="06271F04" w14:textId="77777777" w:rsidR="00BD0A48" w:rsidRPr="00EC1749" w:rsidRDefault="00BD0A48" w:rsidP="005A72A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EC1749">
        <w:rPr>
          <w:rFonts w:ascii="Arial" w:hAnsi="Arial" w:cs="Arial"/>
        </w:rPr>
        <w:t>Support for people to access and maintain suitable accommodation, linking with existing local services including local General Practice</w:t>
      </w:r>
    </w:p>
    <w:p w14:paraId="25DDA24A" w14:textId="77777777" w:rsidR="00BD0A48" w:rsidRPr="00EC1749" w:rsidRDefault="00BD0A48" w:rsidP="005A72A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EC1749">
        <w:rPr>
          <w:rFonts w:ascii="Arial" w:hAnsi="Arial" w:cs="Arial"/>
        </w:rPr>
        <w:t xml:space="preserve">Reduction in Delayed Discharge </w:t>
      </w:r>
    </w:p>
    <w:p w14:paraId="42A7AF73" w14:textId="77777777" w:rsidR="00BD0A48" w:rsidRPr="00EC1749" w:rsidRDefault="00BD0A48" w:rsidP="005A72A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EC1749">
        <w:rPr>
          <w:rFonts w:ascii="Arial" w:hAnsi="Arial" w:cs="Arial"/>
        </w:rPr>
        <w:t xml:space="preserve">Improvement of patient experience </w:t>
      </w:r>
    </w:p>
    <w:p w14:paraId="36029BF4" w14:textId="77777777" w:rsidR="00BD0A48" w:rsidRPr="00EC1749" w:rsidRDefault="00BD0A48" w:rsidP="005A72A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EC1749">
        <w:rPr>
          <w:rFonts w:ascii="Arial" w:hAnsi="Arial" w:cs="Arial"/>
        </w:rPr>
        <w:t>Reduction of readmission to hospital within 7 and 28 days</w:t>
      </w:r>
    </w:p>
    <w:p w14:paraId="7F230D08" w14:textId="6159C7E9" w:rsidR="00EF4171" w:rsidRPr="00EF4171" w:rsidRDefault="00BD0A48" w:rsidP="00EF4171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EC1749">
        <w:rPr>
          <w:rFonts w:ascii="Arial" w:hAnsi="Arial" w:cs="Arial"/>
        </w:rPr>
        <w:lastRenderedPageBreak/>
        <w:t>Increased ability to manage mental health and wellbeing.</w:t>
      </w:r>
    </w:p>
    <w:p w14:paraId="239909A8" w14:textId="03B14894" w:rsidR="000F2195" w:rsidRDefault="000F2195" w:rsidP="005A72A7">
      <w:pPr>
        <w:jc w:val="both"/>
        <w:rPr>
          <w:rFonts w:ascii="Arial" w:hAnsi="Arial" w:cs="Arial"/>
        </w:rPr>
      </w:pPr>
      <w:r w:rsidRPr="00021C20">
        <w:rPr>
          <w:rFonts w:ascii="Arial" w:hAnsi="Arial" w:cs="Arial"/>
        </w:rPr>
        <w:t xml:space="preserve">The CCG (The Authority) is therefore seeking to identify </w:t>
      </w:r>
      <w:r>
        <w:rPr>
          <w:rFonts w:ascii="Arial" w:hAnsi="Arial" w:cs="Arial"/>
        </w:rPr>
        <w:t xml:space="preserve">a </w:t>
      </w:r>
      <w:r w:rsidRPr="00021C20">
        <w:rPr>
          <w:rFonts w:ascii="Arial" w:hAnsi="Arial" w:cs="Arial"/>
        </w:rPr>
        <w:t>suitable provider to undertake th</w:t>
      </w:r>
      <w:r>
        <w:rPr>
          <w:rFonts w:ascii="Arial" w:hAnsi="Arial" w:cs="Arial"/>
        </w:rPr>
        <w:t>is</w:t>
      </w:r>
      <w:r w:rsidRPr="00021C20">
        <w:rPr>
          <w:rFonts w:ascii="Arial" w:hAnsi="Arial" w:cs="Arial"/>
        </w:rPr>
        <w:t xml:space="preserve"> contract. The tender process is being managed by North East London Commissioning Support Unit (NELCSU) on behalf of the Contracting Authority in connection with a competitive procurement exercise that is being conducted in accordance with a process based on the Open Procedure under the Public Contract Regulations 2015 ("the Regulations" (as amended)).</w:t>
      </w:r>
    </w:p>
    <w:p w14:paraId="1CD0DD7B" w14:textId="19D4E55A" w:rsidR="009E2528" w:rsidRPr="00021C20" w:rsidRDefault="009E2528" w:rsidP="005A72A7">
      <w:pPr>
        <w:jc w:val="both"/>
        <w:rPr>
          <w:rFonts w:ascii="Arial" w:hAnsi="Arial" w:cs="Arial"/>
        </w:rPr>
      </w:pPr>
      <w:r w:rsidRPr="00021C20">
        <w:rPr>
          <w:rFonts w:ascii="Arial" w:hAnsi="Arial" w:cs="Arial"/>
        </w:rPr>
        <w:t>The Agreement will be for an initial term of 5 years followed by an optional extension of 5 years. Therefore the contract will have a maximum (extended) term of 10 years (120 months). The expected contract start date is 1 April 2019. The</w:t>
      </w:r>
      <w:r w:rsidR="009F29ED">
        <w:rPr>
          <w:rFonts w:ascii="Arial" w:hAnsi="Arial" w:cs="Arial"/>
        </w:rPr>
        <w:t xml:space="preserve"> indicative annual value is </w:t>
      </w:r>
      <w:r w:rsidRPr="00021C20">
        <w:rPr>
          <w:rFonts w:ascii="Arial" w:hAnsi="Arial" w:cs="Arial"/>
        </w:rPr>
        <w:t>£994,256 (Ex VAT, per annum)</w:t>
      </w:r>
      <w:r w:rsidR="009F29ED">
        <w:rPr>
          <w:rFonts w:ascii="Arial" w:hAnsi="Arial" w:cs="Arial"/>
        </w:rPr>
        <w:t>.</w:t>
      </w:r>
    </w:p>
    <w:p w14:paraId="1D6CA29A" w14:textId="620377EA" w:rsidR="009E2528" w:rsidRPr="00021C20" w:rsidRDefault="009E2528" w:rsidP="005A72A7">
      <w:pPr>
        <w:jc w:val="both"/>
        <w:rPr>
          <w:rFonts w:ascii="Arial" w:hAnsi="Arial" w:cs="Arial"/>
        </w:rPr>
      </w:pPr>
      <w:r w:rsidRPr="00021C20">
        <w:rPr>
          <w:rFonts w:ascii="Arial" w:hAnsi="Arial" w:cs="Arial"/>
        </w:rPr>
        <w:t>Further information on the proposed structure of the contract is provided in the Memorandum of Information (MOI) documentation made available online to interested parties on the e-tendering portal.</w:t>
      </w:r>
    </w:p>
    <w:p w14:paraId="58B87D7B" w14:textId="2205AB2F" w:rsidR="005A72A7" w:rsidRPr="00021C20" w:rsidRDefault="005A72A7" w:rsidP="005A72A7">
      <w:pPr>
        <w:jc w:val="both"/>
        <w:rPr>
          <w:rFonts w:ascii="Arial" w:hAnsi="Arial" w:cs="Arial"/>
          <w:b/>
        </w:rPr>
      </w:pPr>
      <w:r w:rsidRPr="00021C20">
        <w:rPr>
          <w:rFonts w:ascii="Arial" w:hAnsi="Arial" w:cs="Arial"/>
          <w:b/>
        </w:rPr>
        <w:t xml:space="preserve">The deadline for </w:t>
      </w:r>
      <w:r w:rsidR="00785243">
        <w:rPr>
          <w:rFonts w:ascii="Arial" w:hAnsi="Arial" w:cs="Arial"/>
          <w:b/>
        </w:rPr>
        <w:t>the</w:t>
      </w:r>
      <w:r w:rsidR="006514F8" w:rsidRPr="00021C20">
        <w:rPr>
          <w:rFonts w:ascii="Arial" w:hAnsi="Arial" w:cs="Arial"/>
          <w:b/>
        </w:rPr>
        <w:t xml:space="preserve"> </w:t>
      </w:r>
      <w:r w:rsidR="00785243">
        <w:rPr>
          <w:rFonts w:ascii="Arial" w:hAnsi="Arial" w:cs="Arial"/>
          <w:b/>
        </w:rPr>
        <w:t>tender</w:t>
      </w:r>
      <w:r w:rsidRPr="00021C20">
        <w:rPr>
          <w:rFonts w:ascii="Arial" w:hAnsi="Arial" w:cs="Arial"/>
          <w:b/>
        </w:rPr>
        <w:t xml:space="preserve"> to be </w:t>
      </w:r>
      <w:r w:rsidR="00E90F92" w:rsidRPr="00021C20">
        <w:rPr>
          <w:rFonts w:ascii="Arial" w:hAnsi="Arial" w:cs="Arial"/>
          <w:b/>
        </w:rPr>
        <w:t>received</w:t>
      </w:r>
      <w:r w:rsidR="00785243">
        <w:rPr>
          <w:rFonts w:ascii="Arial" w:hAnsi="Arial" w:cs="Arial"/>
          <w:b/>
        </w:rPr>
        <w:t xml:space="preserve"> is 21</w:t>
      </w:r>
      <w:r w:rsidR="00785243" w:rsidRPr="00785243">
        <w:rPr>
          <w:rFonts w:ascii="Arial" w:hAnsi="Arial" w:cs="Arial"/>
          <w:b/>
          <w:vertAlign w:val="superscript"/>
        </w:rPr>
        <w:t>st</w:t>
      </w:r>
      <w:r w:rsidR="00785243">
        <w:rPr>
          <w:rFonts w:ascii="Arial" w:hAnsi="Arial" w:cs="Arial"/>
          <w:b/>
        </w:rPr>
        <w:t xml:space="preserve"> November</w:t>
      </w:r>
      <w:r w:rsidRPr="00021C20">
        <w:rPr>
          <w:rFonts w:ascii="Arial" w:hAnsi="Arial" w:cs="Arial"/>
          <w:b/>
        </w:rPr>
        <w:t xml:space="preserve"> 2018 at </w:t>
      </w:r>
      <w:r w:rsidR="00785243">
        <w:rPr>
          <w:rFonts w:ascii="Arial" w:hAnsi="Arial" w:cs="Arial"/>
          <w:b/>
        </w:rPr>
        <w:t>12:00 noon</w:t>
      </w:r>
      <w:r w:rsidRPr="00021C20">
        <w:rPr>
          <w:rFonts w:ascii="Arial" w:hAnsi="Arial" w:cs="Arial"/>
          <w:b/>
        </w:rPr>
        <w:t xml:space="preserve"> </w:t>
      </w:r>
    </w:p>
    <w:p w14:paraId="6C2D0BAB" w14:textId="34EF0B55" w:rsidR="00EF4171" w:rsidRPr="00EF4171" w:rsidRDefault="00EF4171" w:rsidP="00EF4171">
      <w:pPr>
        <w:jc w:val="both"/>
        <w:rPr>
          <w:rFonts w:ascii="Arial" w:hAnsi="Arial" w:cs="Arial"/>
        </w:rPr>
      </w:pPr>
      <w:r w:rsidRPr="00EF4171">
        <w:rPr>
          <w:rFonts w:ascii="Arial" w:hAnsi="Arial" w:cs="Arial"/>
        </w:rPr>
        <w:t>Bidders should respond to this ITT opportunity by completing the online qu</w:t>
      </w:r>
      <w:r>
        <w:rPr>
          <w:rFonts w:ascii="Arial" w:hAnsi="Arial" w:cs="Arial"/>
        </w:rPr>
        <w:t>estionnaire published on the Authority’</w:t>
      </w:r>
      <w:r w:rsidRPr="00EF4171">
        <w:rPr>
          <w:rFonts w:ascii="Arial" w:hAnsi="Arial" w:cs="Arial"/>
        </w:rPr>
        <w:t xml:space="preserve">s e-procurement portal (the "Portal") - ProContract (hosted by Proactis). All clarification requests and correspondence pertaining to this ITT opportunity must be directed through the Portal. </w:t>
      </w:r>
    </w:p>
    <w:p w14:paraId="22F0C7A2" w14:textId="17257ECF" w:rsidR="00EF4171" w:rsidRPr="00EF4171" w:rsidRDefault="00EF4171" w:rsidP="00EF4171">
      <w:pPr>
        <w:jc w:val="both"/>
        <w:rPr>
          <w:rFonts w:ascii="Arial" w:hAnsi="Arial" w:cs="Arial"/>
        </w:rPr>
      </w:pPr>
      <w:r w:rsidRPr="00EF4171">
        <w:rPr>
          <w:rFonts w:ascii="Arial" w:hAnsi="Arial" w:cs="Arial"/>
        </w:rPr>
        <w:t>Bidders are required to register on the Portal prior to accessing the ITT documentation. Guidance on the registration process is available via the link provided in the links section below.</w:t>
      </w:r>
    </w:p>
    <w:p w14:paraId="38B2AB9B" w14:textId="77777777" w:rsidR="005A72A7" w:rsidRPr="00472222" w:rsidRDefault="005A72A7" w:rsidP="005A72A7">
      <w:pPr>
        <w:jc w:val="both"/>
        <w:rPr>
          <w:rFonts w:ascii="Arial" w:hAnsi="Arial" w:cs="Arial"/>
        </w:rPr>
      </w:pPr>
      <w:r w:rsidRPr="00472222">
        <w:rPr>
          <w:rFonts w:ascii="Arial" w:hAnsi="Arial" w:cs="Arial"/>
        </w:rPr>
        <w:t xml:space="preserve">A timetable for the procurement and supplementary information relating to the opportunity is also available on the Portal. </w:t>
      </w:r>
    </w:p>
    <w:p w14:paraId="2140A333" w14:textId="45EC0BE0" w:rsidR="003E7A22" w:rsidRDefault="005A72A7" w:rsidP="005A72A7">
      <w:pPr>
        <w:jc w:val="both"/>
        <w:rPr>
          <w:rFonts w:ascii="Arial" w:hAnsi="Arial" w:cs="Arial"/>
        </w:rPr>
      </w:pPr>
      <w:r w:rsidRPr="00472222">
        <w:rPr>
          <w:rFonts w:ascii="Arial" w:hAnsi="Arial" w:cs="Arial"/>
        </w:rPr>
        <w:t>Bidders are also to note that information relating to this procurement is provided in good faith, and may be subject to amendment by</w:t>
      </w:r>
      <w:r w:rsidR="001E7048">
        <w:rPr>
          <w:rFonts w:ascii="Arial" w:hAnsi="Arial" w:cs="Arial"/>
        </w:rPr>
        <w:t xml:space="preserve"> the Authority.</w:t>
      </w:r>
    </w:p>
    <w:p w14:paraId="2DF0F6FC" w14:textId="77777777" w:rsidR="000F2195" w:rsidRPr="00011918" w:rsidRDefault="000F2195" w:rsidP="000F2195">
      <w:pPr>
        <w:jc w:val="both"/>
        <w:rPr>
          <w:rFonts w:ascii="Arial" w:hAnsi="Arial" w:cs="Arial"/>
        </w:rPr>
      </w:pPr>
      <w:r w:rsidRPr="00011918">
        <w:rPr>
          <w:rFonts w:ascii="Arial" w:hAnsi="Arial" w:cs="Arial"/>
        </w:rPr>
        <w:t>The Authority reserves the right not to award the contract.</w:t>
      </w:r>
    </w:p>
    <w:p w14:paraId="5E9FA7B0" w14:textId="77777777" w:rsidR="000F2195" w:rsidRPr="004F4E20" w:rsidRDefault="000F2195" w:rsidP="005A72A7">
      <w:pPr>
        <w:jc w:val="both"/>
        <w:rPr>
          <w:rFonts w:ascii="Arial" w:hAnsi="Arial" w:cs="Arial"/>
        </w:rPr>
      </w:pPr>
    </w:p>
    <w:sectPr w:rsidR="000F2195" w:rsidRPr="004F4E20">
      <w:headerReference w:type="even" r:id="rId9"/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936ABF" w14:textId="77777777" w:rsidR="004F4E20" w:rsidRDefault="004F4E20" w:rsidP="004F4E20">
      <w:pPr>
        <w:spacing w:after="0" w:line="240" w:lineRule="auto"/>
      </w:pPr>
      <w:r>
        <w:separator/>
      </w:r>
    </w:p>
  </w:endnote>
  <w:endnote w:type="continuationSeparator" w:id="0">
    <w:p w14:paraId="05D9E6AE" w14:textId="77777777" w:rsidR="004F4E20" w:rsidRDefault="004F4E20" w:rsidP="004F4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49480" w14:textId="77777777" w:rsidR="004F4E20" w:rsidRDefault="004F4E20" w:rsidP="004F4E20">
      <w:pPr>
        <w:spacing w:after="0" w:line="240" w:lineRule="auto"/>
      </w:pPr>
      <w:r>
        <w:separator/>
      </w:r>
    </w:p>
  </w:footnote>
  <w:footnote w:type="continuationSeparator" w:id="0">
    <w:p w14:paraId="6A2C1BCA" w14:textId="77777777" w:rsidR="004F4E20" w:rsidRDefault="004F4E20" w:rsidP="004F4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3C741" w14:textId="32792C2C" w:rsidR="00F72E46" w:rsidRDefault="00F72E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E298B" w14:textId="6DA05458" w:rsidR="004F4E20" w:rsidRDefault="004F4E2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817AEB4" wp14:editId="6F962301">
          <wp:simplePos x="0" y="0"/>
          <wp:positionH relativeFrom="margin">
            <wp:align>center</wp:align>
          </wp:positionH>
          <wp:positionV relativeFrom="page">
            <wp:posOffset>9525</wp:posOffset>
          </wp:positionV>
          <wp:extent cx="7486650" cy="360680"/>
          <wp:effectExtent l="0" t="0" r="0" b="127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7217"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99E8F" w14:textId="7B70D3C5" w:rsidR="00F72E46" w:rsidRDefault="00F72E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5869A8"/>
    <w:multiLevelType w:val="hybridMultilevel"/>
    <w:tmpl w:val="624C91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E761D1"/>
    <w:multiLevelType w:val="multilevel"/>
    <w:tmpl w:val="9DB0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674"/>
    <w:rsid w:val="00021C20"/>
    <w:rsid w:val="000844FB"/>
    <w:rsid w:val="00087410"/>
    <w:rsid w:val="000E4172"/>
    <w:rsid w:val="000F2195"/>
    <w:rsid w:val="00136162"/>
    <w:rsid w:val="00155BFD"/>
    <w:rsid w:val="001744E7"/>
    <w:rsid w:val="00176663"/>
    <w:rsid w:val="001B086E"/>
    <w:rsid w:val="001E7048"/>
    <w:rsid w:val="002B7A2A"/>
    <w:rsid w:val="003E7A22"/>
    <w:rsid w:val="00472222"/>
    <w:rsid w:val="00487344"/>
    <w:rsid w:val="004F4E20"/>
    <w:rsid w:val="00514F41"/>
    <w:rsid w:val="00575661"/>
    <w:rsid w:val="00594982"/>
    <w:rsid w:val="005A72A7"/>
    <w:rsid w:val="005B09C8"/>
    <w:rsid w:val="005C155A"/>
    <w:rsid w:val="006514F8"/>
    <w:rsid w:val="006B22BD"/>
    <w:rsid w:val="00773BE8"/>
    <w:rsid w:val="00774674"/>
    <w:rsid w:val="00785243"/>
    <w:rsid w:val="007F4772"/>
    <w:rsid w:val="00896A17"/>
    <w:rsid w:val="0093400F"/>
    <w:rsid w:val="00934FD3"/>
    <w:rsid w:val="009733CA"/>
    <w:rsid w:val="009C482A"/>
    <w:rsid w:val="009E2528"/>
    <w:rsid w:val="009E716A"/>
    <w:rsid w:val="009F29ED"/>
    <w:rsid w:val="00AF274C"/>
    <w:rsid w:val="00B40A4F"/>
    <w:rsid w:val="00BD0A48"/>
    <w:rsid w:val="00BF3294"/>
    <w:rsid w:val="00C64DA1"/>
    <w:rsid w:val="00C65E64"/>
    <w:rsid w:val="00C84F75"/>
    <w:rsid w:val="00D32C6D"/>
    <w:rsid w:val="00D5044B"/>
    <w:rsid w:val="00D547F9"/>
    <w:rsid w:val="00E06D58"/>
    <w:rsid w:val="00E405E0"/>
    <w:rsid w:val="00E90F92"/>
    <w:rsid w:val="00EC1749"/>
    <w:rsid w:val="00ED750D"/>
    <w:rsid w:val="00EF36F4"/>
    <w:rsid w:val="00EF4171"/>
    <w:rsid w:val="00F72E46"/>
    <w:rsid w:val="00F957C7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9840753"/>
  <w15:docId w15:val="{17AB3866-C149-4A91-87B0-CCD60DA59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E20"/>
  </w:style>
  <w:style w:type="paragraph" w:styleId="Footer">
    <w:name w:val="footer"/>
    <w:basedOn w:val="Normal"/>
    <w:link w:val="FooterChar"/>
    <w:uiPriority w:val="99"/>
    <w:unhideWhenUsed/>
    <w:rsid w:val="004F4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E20"/>
  </w:style>
  <w:style w:type="paragraph" w:styleId="ListParagraph">
    <w:name w:val="List Paragraph"/>
    <w:basedOn w:val="Normal"/>
    <w:uiPriority w:val="34"/>
    <w:qFormat/>
    <w:rsid w:val="007F477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90F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0F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0F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F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F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F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4388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2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71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630234">
                              <w:marLeft w:val="0"/>
                              <w:marRight w:val="240"/>
                              <w:marTop w:val="384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27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35695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845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9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43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572409">
                              <w:marLeft w:val="0"/>
                              <w:marRight w:val="240"/>
                              <w:marTop w:val="384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63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937848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AADED-14D7-4539-9E47-CF9BA419F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Olugh, Chima - Primary Care Commissioning Manager</dc:creator>
  <cp:lastModifiedBy>Sethi, Nirula - Procurement Officer</cp:lastModifiedBy>
  <cp:revision>9</cp:revision>
  <dcterms:created xsi:type="dcterms:W3CDTF">2018-09-14T12:43:00Z</dcterms:created>
  <dcterms:modified xsi:type="dcterms:W3CDTF">2018-10-23T14:53:00Z</dcterms:modified>
</cp:coreProperties>
</file>