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4A80" w14:textId="5B9AE0D5" w:rsidR="00FE18AC" w:rsidRPr="001530F5" w:rsidRDefault="002036A1" w:rsidP="00F44D62">
      <w:pPr>
        <w:pStyle w:val="Heading1"/>
        <w:numPr>
          <w:ilvl w:val="0"/>
          <w:numId w:val="0"/>
        </w:numPr>
        <w:overflowPunct w:val="0"/>
        <w:autoSpaceDE w:val="0"/>
        <w:autoSpaceDN w:val="0"/>
        <w:spacing w:after="120"/>
        <w:ind w:left="720"/>
        <w:textAlignment w:val="baseline"/>
        <w:rPr>
          <w:szCs w:val="22"/>
        </w:rPr>
      </w:pPr>
      <w:bookmarkStart w:id="0" w:name="_Toc297554772"/>
      <w:r>
        <w:rPr>
          <w:szCs w:val="22"/>
        </w:rPr>
        <w:t>APPENDIX B – STATEMENT OF REQUIREMENTS</w:t>
      </w:r>
    </w:p>
    <w:p w14:paraId="7989F07B" w14:textId="77777777" w:rsidR="00FE18AC" w:rsidRPr="00CE295C" w:rsidRDefault="00FE18AC" w:rsidP="008F3470">
      <w:pPr>
        <w:pStyle w:val="Heading1"/>
        <w:numPr>
          <w:ilvl w:val="0"/>
          <w:numId w:val="30"/>
        </w:numPr>
        <w:overflowPunct w:val="0"/>
        <w:autoSpaceDE w:val="0"/>
        <w:autoSpaceDN w:val="0"/>
        <w:spacing w:after="120"/>
        <w:textAlignment w:val="baseline"/>
        <w:rPr>
          <w:szCs w:val="22"/>
        </w:rPr>
      </w:pPr>
      <w:bookmarkStart w:id="1" w:name="_Toc368573027"/>
      <w:bookmarkStart w:id="2" w:name="_Toc444518866"/>
      <w:r w:rsidRPr="00CE295C">
        <w:rPr>
          <w:caps w:val="0"/>
          <w:szCs w:val="22"/>
        </w:rPr>
        <w:t>PURPOSE</w:t>
      </w:r>
      <w:bookmarkEnd w:id="0"/>
      <w:bookmarkEnd w:id="1"/>
      <w:bookmarkEnd w:id="2"/>
    </w:p>
    <w:p w14:paraId="13C0A32E" w14:textId="1395BEA2" w:rsidR="00E71545" w:rsidRPr="00E71545" w:rsidRDefault="00E71545" w:rsidP="00E71545">
      <w:pPr>
        <w:pStyle w:val="Heading2"/>
        <w:rPr>
          <w:szCs w:val="22"/>
        </w:rPr>
      </w:pPr>
      <w:bookmarkStart w:id="3" w:name="_Toc296415791"/>
      <w:r w:rsidRPr="00E71545">
        <w:rPr>
          <w:szCs w:val="22"/>
        </w:rPr>
        <w:t xml:space="preserve">The purpose of the </w:t>
      </w:r>
      <w:r w:rsidR="00B342E2">
        <w:rPr>
          <w:szCs w:val="22"/>
        </w:rPr>
        <w:t xml:space="preserve">requirement </w:t>
      </w:r>
      <w:r w:rsidR="00B342E2" w:rsidRPr="00E71545">
        <w:rPr>
          <w:szCs w:val="22"/>
        </w:rPr>
        <w:t>is</w:t>
      </w:r>
      <w:r w:rsidRPr="00E71545">
        <w:rPr>
          <w:szCs w:val="22"/>
        </w:rPr>
        <w:t xml:space="preserve"> two-fold:</w:t>
      </w:r>
    </w:p>
    <w:p w14:paraId="6040E344" w14:textId="77777777" w:rsidR="00E71545" w:rsidRPr="00E71545" w:rsidRDefault="00E71545" w:rsidP="00E71545">
      <w:pPr>
        <w:pStyle w:val="Heading2"/>
        <w:numPr>
          <w:ilvl w:val="1"/>
          <w:numId w:val="33"/>
        </w:numPr>
        <w:rPr>
          <w:szCs w:val="22"/>
        </w:rPr>
      </w:pPr>
      <w:r w:rsidRPr="00E71545">
        <w:rPr>
          <w:szCs w:val="22"/>
        </w:rPr>
        <w:t xml:space="preserve">To support those who commission ESOL services for refugees by developing a shared understanding of good practice in language training for refugees including the barriers to learning they experience and how best to meet their needs. </w:t>
      </w:r>
    </w:p>
    <w:p w14:paraId="345B9373" w14:textId="0920CF73" w:rsidR="00E71545" w:rsidRPr="00E71545" w:rsidRDefault="00E71545" w:rsidP="00E71545">
      <w:pPr>
        <w:pStyle w:val="Heading2"/>
        <w:numPr>
          <w:ilvl w:val="1"/>
          <w:numId w:val="33"/>
        </w:numPr>
        <w:rPr>
          <w:szCs w:val="22"/>
        </w:rPr>
      </w:pPr>
      <w:r w:rsidRPr="00E71545">
        <w:rPr>
          <w:szCs w:val="22"/>
        </w:rPr>
        <w:t xml:space="preserve">To support all those who deliver ESOL to </w:t>
      </w:r>
      <w:r w:rsidR="00B342E2" w:rsidRPr="00E71545">
        <w:rPr>
          <w:szCs w:val="22"/>
        </w:rPr>
        <w:t>refugees,</w:t>
      </w:r>
      <w:r w:rsidRPr="00E71545">
        <w:rPr>
          <w:szCs w:val="22"/>
        </w:rPr>
        <w:t xml:space="preserve"> so they can meet the specific challenges experienced by this cohort and deliver language learning that is tailored in the context of enabling social integration and employment outcomes. </w:t>
      </w:r>
    </w:p>
    <w:p w14:paraId="38348443" w14:textId="77777777" w:rsidR="00E71545" w:rsidRPr="00E71545" w:rsidRDefault="00E71545" w:rsidP="00E71545">
      <w:pPr>
        <w:pStyle w:val="Heading2"/>
        <w:rPr>
          <w:szCs w:val="22"/>
        </w:rPr>
      </w:pPr>
      <w:r w:rsidRPr="00E71545">
        <w:rPr>
          <w:szCs w:val="22"/>
        </w:rPr>
        <w:t>Key to this is the development of stronger links between all those involved in commissioning and delivery of ESOL for this cohort with a view to building a more holistic view of the language learning needs of refugees and to encourage more collaboration towards meeting those needs.</w:t>
      </w:r>
    </w:p>
    <w:p w14:paraId="51C2BDE1" w14:textId="77777777" w:rsidR="00E71545" w:rsidRPr="00E71545" w:rsidRDefault="00E71545" w:rsidP="00E71545">
      <w:pPr>
        <w:pStyle w:val="Heading2"/>
        <w:rPr>
          <w:szCs w:val="22"/>
        </w:rPr>
      </w:pPr>
      <w:r w:rsidRPr="00E71545">
        <w:rPr>
          <w:szCs w:val="22"/>
        </w:rPr>
        <w:t>We expect that the toolkit will be open-source and available to all.</w:t>
      </w:r>
    </w:p>
    <w:p w14:paraId="7196B137" w14:textId="77777777" w:rsidR="00671798" w:rsidRPr="004E78BC" w:rsidRDefault="00FE18AC">
      <w:pPr>
        <w:pStyle w:val="Heading1"/>
        <w:overflowPunct w:val="0"/>
        <w:autoSpaceDE w:val="0"/>
        <w:autoSpaceDN w:val="0"/>
        <w:spacing w:after="120"/>
        <w:textAlignment w:val="baseline"/>
        <w:rPr>
          <w:szCs w:val="22"/>
        </w:rPr>
      </w:pPr>
      <w:bookmarkStart w:id="4" w:name="_Toc368573028"/>
      <w:bookmarkStart w:id="5" w:name="_Toc444518867"/>
      <w:bookmarkStart w:id="6" w:name="_Toc297554773"/>
      <w:bookmarkStart w:id="7" w:name="_Toc296415805"/>
      <w:bookmarkStart w:id="8" w:name="_Toc296415793"/>
      <w:bookmarkEnd w:id="3"/>
      <w:r w:rsidRPr="004E78BC">
        <w:rPr>
          <w:szCs w:val="22"/>
        </w:rPr>
        <w:t>BACKGROUND TO THE CONTRACTING aUTHORITY</w:t>
      </w:r>
      <w:bookmarkEnd w:id="4"/>
      <w:bookmarkEnd w:id="5"/>
    </w:p>
    <w:p w14:paraId="5F9E93CF" w14:textId="77777777" w:rsidR="001E4F9B" w:rsidRDefault="001E4F9B" w:rsidP="001E4F9B">
      <w:pPr>
        <w:pStyle w:val="Heading2"/>
      </w:pPr>
      <w:r>
        <w:t>The first duty of the government is to keep citizens safe and the country secure. The Home Office has been at the front line of this endeavour since 1782. As such, the Home Office plays a fundamental role in the security and economic prosperity of the United Kingdom.</w:t>
      </w:r>
    </w:p>
    <w:p w14:paraId="61995C71" w14:textId="77777777" w:rsidR="001E4F9B" w:rsidRDefault="001E4F9B" w:rsidP="001E4F9B">
      <w:pPr>
        <w:pStyle w:val="Heading2"/>
      </w:pPr>
      <w:r>
        <w:t>The Home Office is the lead government department for immigration and passports, drugs policy, crime, fire, counter-terrorism and police.</w:t>
      </w:r>
    </w:p>
    <w:p w14:paraId="537C38A3" w14:textId="77777777" w:rsidR="001E4F9B" w:rsidRDefault="001E4F9B" w:rsidP="001E4F9B">
      <w:pPr>
        <w:pStyle w:val="Heading2"/>
      </w:pPr>
      <w:r>
        <w:t>The Authority is responsible for controlling migration for the economic benefit of the country and protecting its borders. It gives permission to those who wish to come to the UK to work or study. It also supports those with genuine protection needs who have come to the UK as asylum seekers, with humanitarian protection needs and those who settle as refugees.</w:t>
      </w:r>
    </w:p>
    <w:p w14:paraId="151A9D23" w14:textId="77777777" w:rsidR="00FE18AC" w:rsidRPr="002C546C" w:rsidRDefault="00FE18AC" w:rsidP="008F3470">
      <w:pPr>
        <w:pStyle w:val="Heading1"/>
        <w:overflowPunct w:val="0"/>
        <w:autoSpaceDE w:val="0"/>
        <w:autoSpaceDN w:val="0"/>
        <w:spacing w:after="120"/>
        <w:textAlignment w:val="baseline"/>
        <w:rPr>
          <w:szCs w:val="22"/>
        </w:rPr>
      </w:pPr>
      <w:bookmarkStart w:id="9" w:name="_Toc368573029"/>
      <w:bookmarkStart w:id="10" w:name="_Toc444518868"/>
      <w:r>
        <w:rPr>
          <w:szCs w:val="22"/>
        </w:rPr>
        <w:t>Background to requirement/</w:t>
      </w:r>
      <w:r w:rsidRPr="002C546C">
        <w:rPr>
          <w:szCs w:val="22"/>
        </w:rPr>
        <w:t>OVERVIEW</w:t>
      </w:r>
      <w:bookmarkEnd w:id="6"/>
      <w:r>
        <w:rPr>
          <w:szCs w:val="22"/>
        </w:rPr>
        <w:t xml:space="preserve"> of requirement</w:t>
      </w:r>
      <w:bookmarkEnd w:id="9"/>
      <w:bookmarkEnd w:id="10"/>
    </w:p>
    <w:p w14:paraId="5C3A4B08" w14:textId="05078648" w:rsidR="001E4F9B" w:rsidRPr="001E4F9B" w:rsidRDefault="001E4F9B" w:rsidP="001E4F9B">
      <w:pPr>
        <w:pStyle w:val="Heading2"/>
      </w:pPr>
      <w:bookmarkStart w:id="11" w:name="_Toc297554774"/>
      <w:bookmarkEnd w:id="7"/>
      <w:r w:rsidRPr="001E4F9B">
        <w:t>The Resettlement, Asylum Support and Integration Directorate</w:t>
      </w:r>
      <w:r w:rsidR="005945EF">
        <w:t xml:space="preserve"> (RASI)</w:t>
      </w:r>
      <w:r w:rsidRPr="001E4F9B">
        <w:t xml:space="preserve">, a joint unit between the Home Office and Departments for International Development and Communities and Local Government is seeking to award </w:t>
      </w:r>
      <w:r>
        <w:t xml:space="preserve">a contract </w:t>
      </w:r>
      <w:r w:rsidR="00E3166F">
        <w:t>t</w:t>
      </w:r>
      <w:r w:rsidRPr="001E4F9B">
        <w:t>o support the commissioning and delivery of English language training to refugees in England.</w:t>
      </w:r>
    </w:p>
    <w:p w14:paraId="435D6C1D" w14:textId="77777777" w:rsidR="001E4F9B" w:rsidRPr="001E4F9B" w:rsidRDefault="001E4F9B" w:rsidP="001E4F9B">
      <w:pPr>
        <w:pStyle w:val="Heading2"/>
      </w:pPr>
      <w:r w:rsidRPr="001E4F9B">
        <w:t>The Government published the Integrated Communities Action plan in February 2019. In the action plan we have committed to increase integration support for all refugees in the UK. We will focus on supporting refugees with English language, employment, mental health, and cultural orientation to life in the UK.</w:t>
      </w:r>
    </w:p>
    <w:p w14:paraId="1EB0F2B9" w14:textId="413B5346" w:rsidR="001E4F9B" w:rsidRPr="001E4F9B" w:rsidRDefault="005945EF" w:rsidP="001E4F9B">
      <w:pPr>
        <w:pStyle w:val="Heading2"/>
      </w:pPr>
      <w:r>
        <w:t>RASI are procuring</w:t>
      </w:r>
      <w:r w:rsidR="001E4F9B" w:rsidRPr="001E4F9B">
        <w:t xml:space="preserve"> a contract </w:t>
      </w:r>
      <w:r>
        <w:t>(</w:t>
      </w:r>
      <w:r w:rsidR="001E4F9B" w:rsidRPr="001E4F9B">
        <w:t xml:space="preserve">up to </w:t>
      </w:r>
      <w:r>
        <w:t xml:space="preserve">the maximum value of </w:t>
      </w:r>
      <w:r w:rsidR="001E4F9B" w:rsidRPr="001E4F9B">
        <w:t xml:space="preserve">£75,000 excluding </w:t>
      </w:r>
      <w:r w:rsidR="00B342E2" w:rsidRPr="001E4F9B">
        <w:t>VAT</w:t>
      </w:r>
      <w:r w:rsidR="00B342E2">
        <w:t>)</w:t>
      </w:r>
      <w:r w:rsidR="00B342E2" w:rsidRPr="001E4F9B">
        <w:t xml:space="preserve"> for</w:t>
      </w:r>
      <w:r w:rsidR="001E4F9B" w:rsidRPr="001E4F9B">
        <w:t xml:space="preserve"> the financial year 2019/20 to run a series of regional events that aim to bring together the English language sector (commissioners, LAs, colleges and providers) </w:t>
      </w:r>
      <w:r w:rsidR="001E4F9B" w:rsidRPr="001E4F9B">
        <w:lastRenderedPageBreak/>
        <w:t>with the refugee sector (civil society, LAs and other local agencies).  The overall aim is to ensure there is more effective English language support for refugees by facilitating better local join up of stakeholders and ensuring more holistic awareness of how to meet refugee language learning needs.  The outcome of these events will be summarised in a toolkit and made readily available to the sector.</w:t>
      </w:r>
    </w:p>
    <w:p w14:paraId="24584F42" w14:textId="1E27C142" w:rsidR="001E4F9B" w:rsidRPr="001E4F9B" w:rsidRDefault="001E4F9B" w:rsidP="001E4F9B">
      <w:pPr>
        <w:pStyle w:val="Heading2"/>
      </w:pPr>
      <w:r w:rsidRPr="001E4F9B">
        <w:rPr>
          <w:lang w:val="x-none"/>
        </w:rPr>
        <w:t xml:space="preserve">The UK </w:t>
      </w:r>
      <w:r w:rsidRPr="001E4F9B">
        <w:t xml:space="preserve">has a proud history of providing protection to those who need it – and this Government is committed to ensuring that refugees can take positive steps towards integration as they rebuild their lives in the UK. Refugees in the UK have access to mainstream benefits and services to enable their integration; and we are working across Government to ensure services meet the needs of refugees. </w:t>
      </w:r>
    </w:p>
    <w:p w14:paraId="081CFAE7" w14:textId="4404AA16" w:rsidR="00C4233A" w:rsidRDefault="00106F24">
      <w:pPr>
        <w:pStyle w:val="Heading1"/>
        <w:overflowPunct w:val="0"/>
        <w:autoSpaceDE w:val="0"/>
        <w:autoSpaceDN w:val="0"/>
        <w:spacing w:after="120"/>
        <w:textAlignment w:val="baseline"/>
        <w:rPr>
          <w:szCs w:val="22"/>
        </w:rPr>
      </w:pPr>
      <w:bookmarkStart w:id="12" w:name="_Toc444518869"/>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2233"/>
        <w:gridCol w:w="6066"/>
      </w:tblGrid>
      <w:tr w:rsidR="00106F24" w14:paraId="553CCD95" w14:textId="77777777" w:rsidTr="00B966E2">
        <w:tc>
          <w:tcPr>
            <w:tcW w:w="2233" w:type="dxa"/>
            <w:shd w:val="clear" w:color="auto" w:fill="C6D9F1" w:themeFill="text2" w:themeFillTint="33"/>
          </w:tcPr>
          <w:p w14:paraId="2E04E555" w14:textId="1E410DA5" w:rsidR="00106F24" w:rsidRPr="009D6A57" w:rsidRDefault="00106F24" w:rsidP="0081061A">
            <w:pPr>
              <w:pStyle w:val="Heading2"/>
              <w:numPr>
                <w:ilvl w:val="0"/>
                <w:numId w:val="0"/>
              </w:numPr>
              <w:spacing w:after="120"/>
              <w:ind w:left="18" w:hanging="18"/>
              <w:jc w:val="left"/>
              <w:outlineLvl w:val="1"/>
            </w:pPr>
            <w:r w:rsidRPr="009D6A57">
              <w:t>Expression</w:t>
            </w:r>
            <w:r w:rsidR="0081061A" w:rsidRPr="009D6A57">
              <w:t xml:space="preserve"> or </w:t>
            </w:r>
            <w:r w:rsidRPr="009D6A57">
              <w:t>Acronym</w:t>
            </w:r>
          </w:p>
        </w:tc>
        <w:tc>
          <w:tcPr>
            <w:tcW w:w="6066" w:type="dxa"/>
            <w:shd w:val="clear" w:color="auto" w:fill="C6D9F1" w:themeFill="text2" w:themeFillTint="33"/>
          </w:tcPr>
          <w:p w14:paraId="0CDEAA6D" w14:textId="00739683" w:rsidR="00106F24" w:rsidRPr="0081061A" w:rsidRDefault="00106F24" w:rsidP="0081061A">
            <w:pPr>
              <w:pStyle w:val="Heading2"/>
              <w:numPr>
                <w:ilvl w:val="0"/>
                <w:numId w:val="0"/>
              </w:numPr>
              <w:spacing w:after="120"/>
              <w:ind w:left="720" w:hanging="720"/>
              <w:outlineLvl w:val="1"/>
              <w:rPr>
                <w:highlight w:val="yellow"/>
              </w:rPr>
            </w:pPr>
            <w:r w:rsidRPr="009D6A57">
              <w:t>Definition</w:t>
            </w:r>
          </w:p>
        </w:tc>
      </w:tr>
      <w:tr w:rsidR="00106F24" w14:paraId="722819D3" w14:textId="77777777" w:rsidTr="00B966E2">
        <w:tc>
          <w:tcPr>
            <w:tcW w:w="2233" w:type="dxa"/>
          </w:tcPr>
          <w:p w14:paraId="18A7B53F" w14:textId="6CF2D6F5" w:rsidR="00106F24" w:rsidRPr="009D6A57" w:rsidRDefault="001C499D" w:rsidP="0081061A">
            <w:pPr>
              <w:pStyle w:val="Heading2"/>
              <w:numPr>
                <w:ilvl w:val="0"/>
                <w:numId w:val="0"/>
              </w:numPr>
              <w:spacing w:after="120"/>
              <w:ind w:left="720" w:hanging="720"/>
              <w:outlineLvl w:val="1"/>
            </w:pPr>
            <w:r w:rsidRPr="009D6A57">
              <w:t>ESOL</w:t>
            </w:r>
          </w:p>
        </w:tc>
        <w:tc>
          <w:tcPr>
            <w:tcW w:w="6066" w:type="dxa"/>
          </w:tcPr>
          <w:p w14:paraId="74E0E117" w14:textId="6E4235A5" w:rsidR="00106F24" w:rsidRPr="0081061A" w:rsidRDefault="009D6A57" w:rsidP="0081061A">
            <w:pPr>
              <w:pStyle w:val="Heading2"/>
              <w:numPr>
                <w:ilvl w:val="0"/>
                <w:numId w:val="0"/>
              </w:numPr>
              <w:spacing w:after="120"/>
              <w:outlineLvl w:val="1"/>
              <w:rPr>
                <w:highlight w:val="yellow"/>
              </w:rPr>
            </w:pPr>
            <w:r>
              <w:t>M</w:t>
            </w:r>
            <w:r w:rsidR="0036555C" w:rsidRPr="0036555C">
              <w:t xml:space="preserve">eans </w:t>
            </w:r>
            <w:r w:rsidR="000B3318">
              <w:t xml:space="preserve">English for speakers of other languages </w:t>
            </w:r>
          </w:p>
        </w:tc>
      </w:tr>
      <w:tr w:rsidR="00106F24" w14:paraId="0ED1505B" w14:textId="77777777" w:rsidTr="00B966E2">
        <w:tc>
          <w:tcPr>
            <w:tcW w:w="2233" w:type="dxa"/>
          </w:tcPr>
          <w:p w14:paraId="08A20181" w14:textId="77777777" w:rsidR="00106F24" w:rsidRPr="009D6A57" w:rsidRDefault="001C499D" w:rsidP="0081061A">
            <w:pPr>
              <w:pStyle w:val="Heading2"/>
              <w:numPr>
                <w:ilvl w:val="0"/>
                <w:numId w:val="0"/>
              </w:numPr>
              <w:spacing w:after="120"/>
              <w:ind w:left="720" w:hanging="720"/>
              <w:outlineLvl w:val="1"/>
            </w:pPr>
            <w:r w:rsidRPr="009D6A57">
              <w:t>Refugee</w:t>
            </w:r>
          </w:p>
          <w:p w14:paraId="0773B834" w14:textId="73BBD9DE" w:rsidR="002F1D57" w:rsidRPr="009D6A57" w:rsidRDefault="002F1D57" w:rsidP="0081061A">
            <w:pPr>
              <w:pStyle w:val="Heading2"/>
              <w:numPr>
                <w:ilvl w:val="0"/>
                <w:numId w:val="0"/>
              </w:numPr>
              <w:spacing w:after="120"/>
              <w:ind w:left="720" w:hanging="720"/>
              <w:outlineLvl w:val="1"/>
            </w:pPr>
          </w:p>
        </w:tc>
        <w:tc>
          <w:tcPr>
            <w:tcW w:w="6066" w:type="dxa"/>
          </w:tcPr>
          <w:p w14:paraId="2771880B" w14:textId="77FF0A12" w:rsidR="0025037C" w:rsidRPr="003C5CDF" w:rsidRDefault="0025037C" w:rsidP="003C5CDF">
            <w:pPr>
              <w:spacing w:before="120" w:after="120"/>
              <w:rPr>
                <w:rFonts w:eastAsiaTheme="minorHAnsi" w:cs="Arial"/>
                <w:szCs w:val="22"/>
                <w:lang w:eastAsia="en-US"/>
              </w:rPr>
            </w:pPr>
            <w:r w:rsidRPr="003C5CDF">
              <w:rPr>
                <w:rFonts w:cs="Arial"/>
              </w:rPr>
              <w:t xml:space="preserve">Means any individual who has been recognised by the </w:t>
            </w:r>
            <w:r w:rsidR="003C5CDF">
              <w:rPr>
                <w:rFonts w:cs="Arial"/>
              </w:rPr>
              <w:t>Authority</w:t>
            </w:r>
            <w:r w:rsidR="003C5CDF" w:rsidRPr="003C5CDF">
              <w:rPr>
                <w:rFonts w:cs="Arial"/>
              </w:rPr>
              <w:t xml:space="preserve"> </w:t>
            </w:r>
            <w:r w:rsidRPr="003C5CDF">
              <w:rPr>
                <w:rFonts w:cs="Arial"/>
              </w:rPr>
              <w:t>as having refugee status.</w:t>
            </w:r>
          </w:p>
          <w:p w14:paraId="7D6E62CD" w14:textId="66EB82C3" w:rsidR="00106F24" w:rsidRPr="002F0A0A" w:rsidRDefault="00106F24" w:rsidP="009D6A57">
            <w:pPr>
              <w:pStyle w:val="Heading2"/>
              <w:numPr>
                <w:ilvl w:val="0"/>
                <w:numId w:val="0"/>
              </w:numPr>
              <w:spacing w:after="120"/>
              <w:outlineLvl w:val="1"/>
            </w:pPr>
          </w:p>
        </w:tc>
      </w:tr>
      <w:tr w:rsidR="00106F24" w14:paraId="03344AB3" w14:textId="77777777" w:rsidTr="00B966E2">
        <w:tc>
          <w:tcPr>
            <w:tcW w:w="2233" w:type="dxa"/>
          </w:tcPr>
          <w:p w14:paraId="19B95529" w14:textId="77777777" w:rsidR="002F1D57" w:rsidRPr="009D6A57" w:rsidRDefault="001C499D" w:rsidP="0081061A">
            <w:pPr>
              <w:pStyle w:val="Heading2"/>
              <w:numPr>
                <w:ilvl w:val="0"/>
                <w:numId w:val="0"/>
              </w:numPr>
              <w:spacing w:after="120"/>
              <w:ind w:left="720" w:hanging="720"/>
              <w:outlineLvl w:val="1"/>
            </w:pPr>
            <w:r w:rsidRPr="009D6A57">
              <w:t>Strategic Migration</w:t>
            </w:r>
          </w:p>
          <w:p w14:paraId="0F046C88" w14:textId="5FB03D6B" w:rsidR="00106F24" w:rsidRPr="009D6A57" w:rsidRDefault="001C499D" w:rsidP="0081061A">
            <w:pPr>
              <w:pStyle w:val="Heading2"/>
              <w:numPr>
                <w:ilvl w:val="0"/>
                <w:numId w:val="0"/>
              </w:numPr>
              <w:spacing w:after="120"/>
              <w:ind w:left="720" w:hanging="720"/>
              <w:outlineLvl w:val="1"/>
            </w:pPr>
            <w:r w:rsidRPr="009D6A57">
              <w:t xml:space="preserve"> Partnership (SMP)</w:t>
            </w:r>
          </w:p>
        </w:tc>
        <w:tc>
          <w:tcPr>
            <w:tcW w:w="6066" w:type="dxa"/>
          </w:tcPr>
          <w:p w14:paraId="6547C16E" w14:textId="4FE48B14" w:rsidR="003C5CDF" w:rsidRPr="00B966E2" w:rsidRDefault="009D6A57" w:rsidP="0081061A">
            <w:pPr>
              <w:pStyle w:val="Heading2"/>
              <w:numPr>
                <w:ilvl w:val="0"/>
                <w:numId w:val="0"/>
              </w:numPr>
              <w:spacing w:after="120"/>
              <w:outlineLvl w:val="1"/>
              <w:rPr>
                <w:rFonts w:cs="Arial"/>
                <w:szCs w:val="22"/>
              </w:rPr>
            </w:pPr>
            <w:r w:rsidRPr="009D6A57">
              <w:rPr>
                <w:szCs w:val="22"/>
              </w:rPr>
              <w:t>M</w:t>
            </w:r>
            <w:r w:rsidR="00F242C1" w:rsidRPr="009D6A57">
              <w:rPr>
                <w:szCs w:val="22"/>
              </w:rPr>
              <w:t>eans</w:t>
            </w:r>
            <w:r w:rsidRPr="009D6A57">
              <w:rPr>
                <w:szCs w:val="22"/>
              </w:rPr>
              <w:t xml:space="preserve"> a partnership funded by the Home Office to </w:t>
            </w:r>
            <w:r w:rsidRPr="00B966E2">
              <w:rPr>
                <w:rFonts w:cs="Arial"/>
                <w:szCs w:val="22"/>
              </w:rPr>
              <w:t>provide a regional advisory, development and consultation function for member organisations from the statutory, voluntary, community and private sectors - for the co-ordination and provision of advice, support and services for migrants.</w:t>
            </w:r>
            <w:r w:rsidR="002036A1" w:rsidRPr="00B966E2">
              <w:rPr>
                <w:rFonts w:cs="Arial"/>
                <w:szCs w:val="22"/>
              </w:rPr>
              <w:t xml:space="preserve"> There are 12 Strategic Migration Partnerships covering the UK</w:t>
            </w:r>
            <w:r w:rsidR="00C12F8A" w:rsidRPr="00B966E2">
              <w:rPr>
                <w:rFonts w:cs="Arial"/>
                <w:szCs w:val="22"/>
              </w:rPr>
              <w:t xml:space="preserve">: </w:t>
            </w:r>
            <w:r w:rsidR="00D82A8A" w:rsidRPr="00B966E2">
              <w:rPr>
                <w:rFonts w:cs="Arial"/>
                <w:szCs w:val="22"/>
              </w:rPr>
              <w:t>East of England, South East, South West, North East, North West, East Midlands, West Midlands, Yorkshire and the Humber, London, Wales, Scotland, and Northern Ireland.</w:t>
            </w:r>
          </w:p>
          <w:p w14:paraId="37C45D19" w14:textId="5120757B" w:rsidR="003C5CDF" w:rsidRPr="00B966E2" w:rsidRDefault="003C5CDF" w:rsidP="0081061A">
            <w:pPr>
              <w:pStyle w:val="Heading2"/>
              <w:numPr>
                <w:ilvl w:val="0"/>
                <w:numId w:val="0"/>
              </w:numPr>
              <w:spacing w:after="120"/>
              <w:outlineLvl w:val="1"/>
              <w:rPr>
                <w:rFonts w:cs="Arial"/>
                <w:color w:val="4D4D4D"/>
                <w:szCs w:val="22"/>
              </w:rPr>
            </w:pPr>
          </w:p>
        </w:tc>
      </w:tr>
    </w:tbl>
    <w:p w14:paraId="0DAF43A5" w14:textId="77777777" w:rsidR="00671798" w:rsidRDefault="00FE18AC" w:rsidP="00106F24">
      <w:pPr>
        <w:pStyle w:val="Heading1"/>
        <w:overflowPunct w:val="0"/>
        <w:autoSpaceDE w:val="0"/>
        <w:autoSpaceDN w:val="0"/>
        <w:spacing w:before="240" w:after="120"/>
        <w:textAlignment w:val="baseline"/>
        <w:rPr>
          <w:szCs w:val="22"/>
        </w:rPr>
      </w:pPr>
      <w:bookmarkStart w:id="14" w:name="_Toc444518870"/>
      <w:r w:rsidRPr="00B9425F">
        <w:rPr>
          <w:szCs w:val="22"/>
        </w:rPr>
        <w:t>scope of requirement</w:t>
      </w:r>
      <w:bookmarkEnd w:id="11"/>
      <w:bookmarkEnd w:id="13"/>
      <w:bookmarkEnd w:id="14"/>
      <w:r w:rsidRPr="00B9425F">
        <w:rPr>
          <w:szCs w:val="22"/>
        </w:rPr>
        <w:t xml:space="preserve"> </w:t>
      </w:r>
    </w:p>
    <w:bookmarkEnd w:id="8"/>
    <w:p w14:paraId="09D4E0FF" w14:textId="56D32B39" w:rsidR="001E4F9B" w:rsidRPr="001E4F9B" w:rsidRDefault="00B966E2" w:rsidP="001E4F9B">
      <w:pPr>
        <w:pStyle w:val="Heading2"/>
        <w:rPr>
          <w:szCs w:val="22"/>
        </w:rPr>
      </w:pPr>
      <w:r>
        <w:rPr>
          <w:szCs w:val="22"/>
        </w:rPr>
        <w:t>RASI wish t</w:t>
      </w:r>
      <w:r w:rsidR="001E4F9B" w:rsidRPr="001E4F9B">
        <w:rPr>
          <w:szCs w:val="22"/>
        </w:rPr>
        <w:t xml:space="preserve">o </w:t>
      </w:r>
      <w:r w:rsidR="001E4F9B">
        <w:rPr>
          <w:szCs w:val="22"/>
        </w:rPr>
        <w:t xml:space="preserve">contract with </w:t>
      </w:r>
      <w:r w:rsidR="001E4F9B" w:rsidRPr="001E4F9B">
        <w:rPr>
          <w:szCs w:val="22"/>
        </w:rPr>
        <w:t>an organisation or organisations that can demonstrate:</w:t>
      </w:r>
    </w:p>
    <w:p w14:paraId="46C84E88" w14:textId="5C76364B" w:rsidR="001E4F9B" w:rsidRPr="001E4F9B" w:rsidRDefault="001E4F9B" w:rsidP="001E4F9B">
      <w:pPr>
        <w:pStyle w:val="Heading2"/>
        <w:numPr>
          <w:ilvl w:val="1"/>
          <w:numId w:val="36"/>
        </w:numPr>
        <w:rPr>
          <w:szCs w:val="22"/>
        </w:rPr>
      </w:pPr>
      <w:r w:rsidRPr="001E4F9B">
        <w:rPr>
          <w:szCs w:val="22"/>
        </w:rPr>
        <w:t xml:space="preserve">Expertise in refugee integration, with a </w:t>
      </w:r>
      <w:r w:rsidR="00B342E2" w:rsidRPr="001E4F9B">
        <w:rPr>
          <w:szCs w:val="22"/>
        </w:rPr>
        <w:t>focus</w:t>
      </w:r>
      <w:r w:rsidRPr="001E4F9B">
        <w:rPr>
          <w:szCs w:val="22"/>
        </w:rPr>
        <w:t xml:space="preserve"> on the ESOL sector</w:t>
      </w:r>
    </w:p>
    <w:p w14:paraId="0D79A495" w14:textId="77777777" w:rsidR="001E4F9B" w:rsidRPr="001E4F9B" w:rsidRDefault="001E4F9B" w:rsidP="001E4F9B">
      <w:pPr>
        <w:pStyle w:val="Heading2"/>
        <w:numPr>
          <w:ilvl w:val="1"/>
          <w:numId w:val="36"/>
        </w:numPr>
        <w:rPr>
          <w:szCs w:val="22"/>
        </w:rPr>
      </w:pPr>
      <w:r w:rsidRPr="001E4F9B">
        <w:rPr>
          <w:szCs w:val="22"/>
        </w:rPr>
        <w:t xml:space="preserve">Expertise in conducting research and presenting findings in a structured guidance document such as a toolkit </w:t>
      </w:r>
    </w:p>
    <w:p w14:paraId="0EAB8E32" w14:textId="77777777" w:rsidR="001E4F9B" w:rsidRPr="001E4F9B" w:rsidRDefault="001E4F9B" w:rsidP="001E4F9B">
      <w:pPr>
        <w:pStyle w:val="Heading2"/>
        <w:numPr>
          <w:ilvl w:val="1"/>
          <w:numId w:val="36"/>
        </w:numPr>
        <w:rPr>
          <w:szCs w:val="22"/>
        </w:rPr>
      </w:pPr>
      <w:r w:rsidRPr="001E4F9B">
        <w:rPr>
          <w:szCs w:val="22"/>
        </w:rPr>
        <w:t>An ability to engage with and mobilise a broad and diverse range of stakeholders involved in commissioning and delivering ESOL services to refugees</w:t>
      </w:r>
    </w:p>
    <w:p w14:paraId="667AD221" w14:textId="77777777" w:rsidR="001E4F9B" w:rsidRPr="001E4F9B" w:rsidRDefault="001E4F9B" w:rsidP="001E4F9B">
      <w:pPr>
        <w:pStyle w:val="Heading2"/>
        <w:numPr>
          <w:ilvl w:val="1"/>
          <w:numId w:val="36"/>
        </w:numPr>
        <w:rPr>
          <w:szCs w:val="22"/>
        </w:rPr>
      </w:pPr>
      <w:r w:rsidRPr="001E4F9B">
        <w:rPr>
          <w:szCs w:val="22"/>
        </w:rPr>
        <w:t>An ability to develop a dissemination plan to ensure widespread engagement with the toolkit</w:t>
      </w:r>
    </w:p>
    <w:p w14:paraId="3491B80B" w14:textId="77777777" w:rsidR="00671798" w:rsidRDefault="00FE18AC">
      <w:pPr>
        <w:pStyle w:val="Heading1"/>
        <w:spacing w:after="120"/>
      </w:pPr>
      <w:bookmarkStart w:id="15" w:name="_Toc368573031"/>
      <w:bookmarkStart w:id="16" w:name="_Toc444518871"/>
      <w:r w:rsidRPr="00BE6EE0">
        <w:lastRenderedPageBreak/>
        <w:t>The requirement</w:t>
      </w:r>
      <w:bookmarkEnd w:id="15"/>
      <w:bookmarkEnd w:id="16"/>
    </w:p>
    <w:p w14:paraId="57261023" w14:textId="50327E88" w:rsidR="001C499D" w:rsidRDefault="001C499D" w:rsidP="00C50041">
      <w:pPr>
        <w:pStyle w:val="Heading2"/>
      </w:pPr>
      <w:r>
        <w:t xml:space="preserve">To improve the commissioning and delivery of ESOL training to refugees in the UK, we are seeking to contract for the </w:t>
      </w:r>
      <w:r w:rsidR="00B02A6D">
        <w:t>following outputs/deliverables (b</w:t>
      </w:r>
      <w:r>
        <w:t xml:space="preserve">eneath each </w:t>
      </w:r>
      <w:r w:rsidR="00B342E2">
        <w:t>output are</w:t>
      </w:r>
      <w:r>
        <w:t xml:space="preserve"> </w:t>
      </w:r>
      <w:r w:rsidR="00B342E2">
        <w:t xml:space="preserve">the </w:t>
      </w:r>
      <w:r>
        <w:t xml:space="preserve">delivery </w:t>
      </w:r>
      <w:r w:rsidR="00B02A6D">
        <w:t>requirement</w:t>
      </w:r>
      <w:r>
        <w:t>s</w:t>
      </w:r>
      <w:r w:rsidR="00B02A6D">
        <w:t>)</w:t>
      </w:r>
      <w:r>
        <w:t xml:space="preserve">. Tenderers are also encouraged to be innovative and offer additional proposals based on their experience and expertise) </w:t>
      </w:r>
    </w:p>
    <w:p w14:paraId="18EB8AC2" w14:textId="276FEA39" w:rsidR="001C499D" w:rsidRDefault="001C499D" w:rsidP="001C499D">
      <w:pPr>
        <w:pStyle w:val="Heading2"/>
      </w:pPr>
      <w:r w:rsidRPr="001C499D">
        <w:rPr>
          <w:b/>
        </w:rPr>
        <w:t xml:space="preserve">Identify examples of good practice in the commissioning and delivery of English language training to refugees to inform a better understanding of what works and why. There should be </w:t>
      </w:r>
      <w:r w:rsidR="00B342E2" w:rsidRPr="001C499D">
        <w:rPr>
          <w:b/>
        </w:rPr>
        <w:t>attention</w:t>
      </w:r>
      <w:r w:rsidRPr="001C499D">
        <w:rPr>
          <w:b/>
        </w:rPr>
        <w:t xml:space="preserve"> paid to the roles of various stakeholders and links between the roles should be highlighted.</w:t>
      </w:r>
      <w:r w:rsidR="00E80676">
        <w:t xml:space="preserve"> This should</w:t>
      </w:r>
      <w:r>
        <w:t xml:space="preserve"> be achieved through:</w:t>
      </w:r>
    </w:p>
    <w:p w14:paraId="1F36F358" w14:textId="53401420" w:rsidR="001C499D" w:rsidRDefault="001C499D" w:rsidP="001C499D">
      <w:pPr>
        <w:pStyle w:val="Heading2"/>
        <w:numPr>
          <w:ilvl w:val="0"/>
          <w:numId w:val="0"/>
        </w:numPr>
      </w:pPr>
      <w:r>
        <w:t>A) Planning and delivering a series of regional workshops in every Strategic Migration Partnership (SMP) area in England ensuring the attendance of key local stakeholders across a range of refugee resettlement and integration services.</w:t>
      </w:r>
    </w:p>
    <w:p w14:paraId="790A3EA9" w14:textId="77777777" w:rsidR="001C499D" w:rsidRDefault="001C499D" w:rsidP="001C499D">
      <w:pPr>
        <w:pStyle w:val="Heading2"/>
        <w:numPr>
          <w:ilvl w:val="0"/>
          <w:numId w:val="0"/>
        </w:numPr>
      </w:pPr>
      <w:r>
        <w:t xml:space="preserve">B) Facilitating discussion sessions during each event that develop a shared understanding of good practice in relation to various aspects of delivering ESOL for refugees.  Including, but not limited to: </w:t>
      </w:r>
    </w:p>
    <w:p w14:paraId="2E0AAED6" w14:textId="4DB377DD" w:rsidR="001C499D" w:rsidRDefault="001C499D" w:rsidP="00DE63C7">
      <w:pPr>
        <w:pStyle w:val="Heading2"/>
        <w:numPr>
          <w:ilvl w:val="1"/>
          <w:numId w:val="39"/>
        </w:numPr>
      </w:pPr>
      <w:r>
        <w:t>Initial assessment and tailored learning plans</w:t>
      </w:r>
    </w:p>
    <w:p w14:paraId="6AE2022F" w14:textId="77777777" w:rsidR="001C499D" w:rsidRDefault="001C499D" w:rsidP="001C499D">
      <w:pPr>
        <w:pStyle w:val="Heading2"/>
        <w:numPr>
          <w:ilvl w:val="1"/>
          <w:numId w:val="39"/>
        </w:numPr>
      </w:pPr>
      <w:r>
        <w:t>Outreach and referrals of refugees into suitable language classes</w:t>
      </w:r>
    </w:p>
    <w:p w14:paraId="7B7AB8FC" w14:textId="77777777" w:rsidR="001C499D" w:rsidRDefault="001C499D" w:rsidP="001C499D">
      <w:pPr>
        <w:pStyle w:val="Heading2"/>
        <w:numPr>
          <w:ilvl w:val="1"/>
          <w:numId w:val="39"/>
        </w:numPr>
      </w:pPr>
      <w:r>
        <w:t>Content and delivery models that focus on language learning both for social integration and for work</w:t>
      </w:r>
    </w:p>
    <w:p w14:paraId="2E179BC0" w14:textId="77777777" w:rsidR="001C499D" w:rsidRDefault="001C499D" w:rsidP="001C499D">
      <w:pPr>
        <w:pStyle w:val="Heading2"/>
        <w:numPr>
          <w:ilvl w:val="1"/>
          <w:numId w:val="39"/>
        </w:numPr>
      </w:pPr>
      <w:r>
        <w:t>Linking formal and informal learning activities</w:t>
      </w:r>
    </w:p>
    <w:p w14:paraId="5ABEE67F" w14:textId="77777777" w:rsidR="001C499D" w:rsidRDefault="001C499D" w:rsidP="001C499D">
      <w:pPr>
        <w:pStyle w:val="Heading2"/>
        <w:numPr>
          <w:ilvl w:val="1"/>
          <w:numId w:val="39"/>
        </w:numPr>
      </w:pPr>
      <w:r>
        <w:t>Overcoming barriers refugees face to learning and ensuring they have the right wider support (including referrals into other services)</w:t>
      </w:r>
    </w:p>
    <w:p w14:paraId="689D767E" w14:textId="4A997A73" w:rsidR="001C499D" w:rsidRDefault="001C499D" w:rsidP="001C499D">
      <w:pPr>
        <w:pStyle w:val="Heading2"/>
        <w:numPr>
          <w:ilvl w:val="0"/>
          <w:numId w:val="0"/>
        </w:numPr>
      </w:pPr>
      <w:r>
        <w:t xml:space="preserve">C) Conducting a desk-based review to compile evidence of practices and models that work. </w:t>
      </w:r>
    </w:p>
    <w:p w14:paraId="1C9106A7" w14:textId="163D99B6" w:rsidR="001C499D" w:rsidRPr="002F1D57" w:rsidRDefault="001C499D" w:rsidP="001C499D">
      <w:pPr>
        <w:pStyle w:val="Heading2"/>
        <w:rPr>
          <w:b/>
        </w:rPr>
      </w:pPr>
      <w:r w:rsidRPr="002F1D57">
        <w:rPr>
          <w:b/>
        </w:rPr>
        <w:t>Connect people and organisations, and exploit opportunities for partnership working, to inform a shared vision of good practice in language</w:t>
      </w:r>
      <w:r w:rsidR="00E80676">
        <w:rPr>
          <w:b/>
        </w:rPr>
        <w:t xml:space="preserve"> training for refugees. This should</w:t>
      </w:r>
      <w:r w:rsidRPr="002F1D57">
        <w:rPr>
          <w:b/>
        </w:rPr>
        <w:t xml:space="preserve"> be achieved through:</w:t>
      </w:r>
    </w:p>
    <w:p w14:paraId="02B8FD21" w14:textId="201A5351" w:rsidR="001C499D" w:rsidRDefault="001C499D" w:rsidP="001C499D">
      <w:pPr>
        <w:pStyle w:val="Heading2"/>
        <w:numPr>
          <w:ilvl w:val="1"/>
          <w:numId w:val="41"/>
        </w:numPr>
      </w:pPr>
      <w:r>
        <w:t>Ensuring key local organisations involved in commissioning and delivering English language provision and local organisations involved in supporting refugees are invited to the events.  Including, but not limited to, Mayoral Combined Authorities (MCAs), Local Authorities (LAs), Further Education (FE) providers, civil society and community organisations, Job Centre Plus (JCP), resettlement case workers, Local Authority Asylum System Liaison Officers (LAASLOs), Migrant Help and health commissioners.</w:t>
      </w:r>
    </w:p>
    <w:p w14:paraId="0604F451" w14:textId="77777777" w:rsidR="001C499D" w:rsidRDefault="001C499D" w:rsidP="001C499D">
      <w:pPr>
        <w:pStyle w:val="Heading2"/>
        <w:numPr>
          <w:ilvl w:val="1"/>
          <w:numId w:val="41"/>
        </w:numPr>
      </w:pPr>
      <w:r>
        <w:t xml:space="preserve">Providing meaningful opportunities for networking and relationship-building during the regional events. </w:t>
      </w:r>
    </w:p>
    <w:p w14:paraId="112EBF86" w14:textId="4AB4B120" w:rsidR="001C499D" w:rsidRPr="002F1D57" w:rsidRDefault="001C499D" w:rsidP="001C499D">
      <w:pPr>
        <w:pStyle w:val="Heading2"/>
        <w:rPr>
          <w:b/>
        </w:rPr>
      </w:pPr>
      <w:r w:rsidRPr="002F1D57">
        <w:rPr>
          <w:b/>
        </w:rPr>
        <w:lastRenderedPageBreak/>
        <w:t>Communicate good practice for a more holistic approach to language training for refugees and identify links between ESOL and wider</w:t>
      </w:r>
      <w:r w:rsidR="00E80676">
        <w:rPr>
          <w:b/>
        </w:rPr>
        <w:t xml:space="preserve"> integration services.  This should</w:t>
      </w:r>
      <w:r w:rsidRPr="002F1D57">
        <w:rPr>
          <w:b/>
        </w:rPr>
        <w:t xml:space="preserve"> be achieved through:</w:t>
      </w:r>
    </w:p>
    <w:p w14:paraId="4976357F" w14:textId="47242B49" w:rsidR="001C499D" w:rsidRDefault="001C499D" w:rsidP="002F1D57">
      <w:pPr>
        <w:pStyle w:val="Heading2"/>
        <w:numPr>
          <w:ilvl w:val="1"/>
          <w:numId w:val="42"/>
        </w:numPr>
      </w:pPr>
      <w:r>
        <w:t xml:space="preserve">Drawing on the workshops and other research activities to establish a shared vision of good practice in commissioning and delivering language training to </w:t>
      </w:r>
      <w:r w:rsidR="00B342E2">
        <w:t>refugees and</w:t>
      </w:r>
      <w:r>
        <w:t xml:space="preserve"> identifying opportunities for local join up between refugee and ESOL organisations. </w:t>
      </w:r>
    </w:p>
    <w:p w14:paraId="56EF1D5B" w14:textId="77777777" w:rsidR="001C499D" w:rsidRDefault="001C499D" w:rsidP="002F1D57">
      <w:pPr>
        <w:pStyle w:val="Heading2"/>
        <w:numPr>
          <w:ilvl w:val="1"/>
          <w:numId w:val="42"/>
        </w:numPr>
      </w:pPr>
      <w:r>
        <w:t xml:space="preserve">Developing a toolkit to create more awareness of the wider language learning needs of refugees: outline the roles and activities of those involved in commissioning and delivering language training and other local organisations involved in supporting refugees; highlight how these various services can work together to support language learning and include exemplar case studies of good practice; provide a means of the audience making contact with other refugee service providers in their region. </w:t>
      </w:r>
    </w:p>
    <w:p w14:paraId="2BC35A20" w14:textId="38ABB71F" w:rsidR="001C499D" w:rsidRDefault="001C499D" w:rsidP="002F1D57">
      <w:pPr>
        <w:pStyle w:val="Heading2"/>
        <w:numPr>
          <w:ilvl w:val="1"/>
          <w:numId w:val="43"/>
        </w:numPr>
      </w:pPr>
      <w:r>
        <w:t>Ensuring the topics and their organisation into chapters is accessible and useful for multiple audiences.</w:t>
      </w:r>
    </w:p>
    <w:p w14:paraId="4A664713" w14:textId="6751B1FD" w:rsidR="001C499D" w:rsidRDefault="001C499D" w:rsidP="002F1D57">
      <w:pPr>
        <w:pStyle w:val="Heading2"/>
        <w:numPr>
          <w:ilvl w:val="1"/>
          <w:numId w:val="43"/>
        </w:numPr>
      </w:pPr>
      <w:r>
        <w:t>Ensuring sufficient attention is paid to the nuances of learners with various needs and a variety of integration objectives including employment, education and social integration.</w:t>
      </w:r>
    </w:p>
    <w:p w14:paraId="50C188AF" w14:textId="77777777" w:rsidR="001C499D" w:rsidRDefault="001C499D" w:rsidP="002F1D57">
      <w:pPr>
        <w:pStyle w:val="Heading2"/>
        <w:numPr>
          <w:ilvl w:val="1"/>
          <w:numId w:val="43"/>
        </w:numPr>
      </w:pPr>
      <w:r>
        <w:t>Develop a dissemination plan for the toolkit via promotional initiatives such as public events, publications, and media activity.</w:t>
      </w:r>
    </w:p>
    <w:p w14:paraId="04A7D844" w14:textId="77777777" w:rsidR="001C499D" w:rsidRDefault="001C499D" w:rsidP="001C499D">
      <w:pPr>
        <w:pStyle w:val="Heading2"/>
      </w:pPr>
      <w:r>
        <w:t xml:space="preserve">Develop a bespoke evaluation pack which can be used to conduct an impact evaluation of the toolkit at a future date.  This should include a set of research questions which are closely connected to the stated project outcomes, as well as recommendations on potential research participants, the timing and the methodology. </w:t>
      </w:r>
    </w:p>
    <w:p w14:paraId="35734D9E" w14:textId="6C4CE5D9" w:rsidR="00671798" w:rsidRDefault="00FE18AC">
      <w:pPr>
        <w:pStyle w:val="Heading1"/>
        <w:spacing w:after="120"/>
      </w:pPr>
      <w:bookmarkStart w:id="17" w:name="_Toc368573032"/>
      <w:bookmarkStart w:id="18" w:name="_Toc444518872"/>
      <w:r>
        <w:t>key milestones</w:t>
      </w:r>
      <w:bookmarkEnd w:id="17"/>
      <w:bookmarkEnd w:id="18"/>
      <w:r w:rsidR="005945EF">
        <w:t>/KPIs</w:t>
      </w:r>
    </w:p>
    <w:p w14:paraId="0DE6BE23" w14:textId="2CFB16A1" w:rsidR="00E80676" w:rsidRPr="00E80676" w:rsidRDefault="003438D3" w:rsidP="00E80676">
      <w:pPr>
        <w:pStyle w:val="Heading2"/>
        <w:tabs>
          <w:tab w:val="num" w:pos="862"/>
          <w:tab w:val="num" w:pos="1004"/>
        </w:tabs>
      </w:pPr>
      <w:r w:rsidRPr="003438D3">
        <w:t xml:space="preserve">The Potential Provider should </w:t>
      </w:r>
      <w:r w:rsidR="005945EF">
        <w:t xml:space="preserve">work towards </w:t>
      </w:r>
      <w:r w:rsidRPr="003438D3">
        <w:t>e the following pr</w:t>
      </w:r>
      <w:r w:rsidR="00A57B4E">
        <w:t>oject milestones that the Authority</w:t>
      </w:r>
      <w:r w:rsidR="00E80676">
        <w:t xml:space="preserve"> </w:t>
      </w:r>
      <w:r w:rsidR="00E80676" w:rsidRPr="003438D3">
        <w:t>will measure the quality of delivery against:</w:t>
      </w:r>
      <w:r w:rsidRPr="00E80676">
        <w:rPr>
          <w:rFonts w:cs="Arial"/>
          <w:szCs w:val="22"/>
        </w:rPr>
        <w:t xml:space="preserve"> </w:t>
      </w:r>
    </w:p>
    <w:tbl>
      <w:tblPr>
        <w:tblStyle w:val="TableGrid"/>
        <w:tblW w:w="5000" w:type="pct"/>
        <w:tblLook w:val="04A0" w:firstRow="1" w:lastRow="0" w:firstColumn="1" w:lastColumn="0" w:noHBand="0" w:noVBand="1"/>
      </w:tblPr>
      <w:tblGrid>
        <w:gridCol w:w="1620"/>
        <w:gridCol w:w="4473"/>
        <w:gridCol w:w="2926"/>
      </w:tblGrid>
      <w:tr w:rsidR="00E80676" w:rsidRPr="00297CF4" w14:paraId="609A96E1" w14:textId="77777777" w:rsidTr="00687576">
        <w:tc>
          <w:tcPr>
            <w:tcW w:w="898" w:type="pct"/>
            <w:shd w:val="clear" w:color="auto" w:fill="C6D9F1" w:themeFill="text2" w:themeFillTint="33"/>
            <w:vAlign w:val="center"/>
          </w:tcPr>
          <w:p w14:paraId="6818F617" w14:textId="77777777" w:rsidR="00E80676" w:rsidRPr="00B966E2" w:rsidRDefault="00E80676" w:rsidP="00687576">
            <w:pPr>
              <w:pStyle w:val="Heading3"/>
              <w:numPr>
                <w:ilvl w:val="0"/>
                <w:numId w:val="0"/>
              </w:numPr>
              <w:spacing w:after="120"/>
              <w:jc w:val="center"/>
              <w:outlineLvl w:val="2"/>
              <w:rPr>
                <w:b/>
                <w:szCs w:val="24"/>
              </w:rPr>
            </w:pPr>
            <w:r w:rsidRPr="00B966E2">
              <w:rPr>
                <w:b/>
              </w:rPr>
              <w:t>Milestone</w:t>
            </w:r>
          </w:p>
        </w:tc>
        <w:tc>
          <w:tcPr>
            <w:tcW w:w="2480" w:type="pct"/>
            <w:shd w:val="clear" w:color="auto" w:fill="C6D9F1" w:themeFill="text2" w:themeFillTint="33"/>
            <w:vAlign w:val="center"/>
          </w:tcPr>
          <w:p w14:paraId="20A5C519" w14:textId="77777777" w:rsidR="00E80676" w:rsidRPr="00B966E2" w:rsidRDefault="00E80676" w:rsidP="00687576">
            <w:pPr>
              <w:pStyle w:val="Heading3"/>
              <w:numPr>
                <w:ilvl w:val="0"/>
                <w:numId w:val="0"/>
              </w:numPr>
              <w:spacing w:after="120"/>
              <w:jc w:val="center"/>
              <w:outlineLvl w:val="2"/>
              <w:rPr>
                <w:b/>
                <w:szCs w:val="24"/>
              </w:rPr>
            </w:pPr>
            <w:r w:rsidRPr="00B966E2">
              <w:rPr>
                <w:b/>
              </w:rPr>
              <w:t>Description</w:t>
            </w:r>
          </w:p>
        </w:tc>
        <w:tc>
          <w:tcPr>
            <w:tcW w:w="1622" w:type="pct"/>
            <w:shd w:val="clear" w:color="auto" w:fill="C6D9F1" w:themeFill="text2" w:themeFillTint="33"/>
            <w:vAlign w:val="center"/>
          </w:tcPr>
          <w:p w14:paraId="12870369" w14:textId="77777777" w:rsidR="00E80676" w:rsidRPr="00B966E2" w:rsidRDefault="00E80676" w:rsidP="00687576">
            <w:pPr>
              <w:pStyle w:val="Heading3"/>
              <w:numPr>
                <w:ilvl w:val="0"/>
                <w:numId w:val="0"/>
              </w:numPr>
              <w:spacing w:after="120"/>
              <w:jc w:val="center"/>
              <w:outlineLvl w:val="2"/>
              <w:rPr>
                <w:b/>
                <w:szCs w:val="24"/>
              </w:rPr>
            </w:pPr>
            <w:r w:rsidRPr="00B966E2">
              <w:rPr>
                <w:b/>
              </w:rPr>
              <w:t>Timeframe</w:t>
            </w:r>
          </w:p>
        </w:tc>
      </w:tr>
      <w:tr w:rsidR="00E80676" w:rsidRPr="00297CF4" w14:paraId="545CBE94" w14:textId="77777777" w:rsidTr="00687576">
        <w:tc>
          <w:tcPr>
            <w:tcW w:w="898" w:type="pct"/>
            <w:vAlign w:val="center"/>
          </w:tcPr>
          <w:p w14:paraId="259B175F" w14:textId="77777777" w:rsidR="00E80676" w:rsidRPr="00B966E2" w:rsidRDefault="00E80676" w:rsidP="00687576">
            <w:pPr>
              <w:pStyle w:val="Heading3"/>
              <w:numPr>
                <w:ilvl w:val="0"/>
                <w:numId w:val="0"/>
              </w:numPr>
              <w:spacing w:after="120"/>
              <w:jc w:val="center"/>
              <w:outlineLvl w:val="2"/>
              <w:rPr>
                <w:szCs w:val="24"/>
              </w:rPr>
            </w:pPr>
            <w:r w:rsidRPr="00B966E2">
              <w:t>1</w:t>
            </w:r>
          </w:p>
        </w:tc>
        <w:tc>
          <w:tcPr>
            <w:tcW w:w="2480" w:type="pct"/>
            <w:vAlign w:val="center"/>
          </w:tcPr>
          <w:p w14:paraId="49DC64FD" w14:textId="77777777" w:rsidR="00E80676" w:rsidRPr="00B966E2" w:rsidRDefault="00E80676" w:rsidP="00687576">
            <w:pPr>
              <w:pStyle w:val="Heading3"/>
              <w:numPr>
                <w:ilvl w:val="0"/>
                <w:numId w:val="0"/>
              </w:numPr>
              <w:spacing w:after="120"/>
              <w:jc w:val="left"/>
              <w:outlineLvl w:val="2"/>
              <w:rPr>
                <w:szCs w:val="24"/>
              </w:rPr>
            </w:pPr>
            <w:r w:rsidRPr="00B966E2">
              <w:t>Submit a schedule for the regional events outlining dates, attendees and agenda]</w:t>
            </w:r>
          </w:p>
        </w:tc>
        <w:tc>
          <w:tcPr>
            <w:tcW w:w="1622" w:type="pct"/>
            <w:vAlign w:val="center"/>
          </w:tcPr>
          <w:p w14:paraId="271B10B5" w14:textId="1718125B" w:rsidR="00E80676" w:rsidRPr="00B966E2" w:rsidRDefault="00E80676" w:rsidP="00687576">
            <w:pPr>
              <w:pStyle w:val="Heading3"/>
              <w:numPr>
                <w:ilvl w:val="0"/>
                <w:numId w:val="0"/>
              </w:numPr>
              <w:spacing w:after="120"/>
              <w:jc w:val="center"/>
              <w:outlineLvl w:val="2"/>
              <w:rPr>
                <w:szCs w:val="24"/>
              </w:rPr>
            </w:pPr>
            <w:r w:rsidRPr="00B966E2">
              <w:t>Before 13</w:t>
            </w:r>
            <w:r w:rsidRPr="00B966E2">
              <w:rPr>
                <w:vertAlign w:val="superscript"/>
              </w:rPr>
              <w:t>th</w:t>
            </w:r>
            <w:r w:rsidRPr="00B966E2">
              <w:t xml:space="preserve"> December </w:t>
            </w:r>
            <w:r w:rsidR="005945EF">
              <w:t>2019</w:t>
            </w:r>
          </w:p>
        </w:tc>
      </w:tr>
      <w:tr w:rsidR="00E80676" w:rsidRPr="00297CF4" w14:paraId="45D5608D" w14:textId="77777777" w:rsidTr="00687576">
        <w:tc>
          <w:tcPr>
            <w:tcW w:w="898" w:type="pct"/>
            <w:vAlign w:val="center"/>
          </w:tcPr>
          <w:p w14:paraId="050810E8" w14:textId="77777777" w:rsidR="00E80676" w:rsidRPr="00B966E2" w:rsidRDefault="00E80676" w:rsidP="00687576">
            <w:pPr>
              <w:pStyle w:val="Heading3"/>
              <w:numPr>
                <w:ilvl w:val="0"/>
                <w:numId w:val="0"/>
              </w:numPr>
              <w:spacing w:after="120"/>
              <w:jc w:val="center"/>
              <w:outlineLvl w:val="2"/>
              <w:rPr>
                <w:szCs w:val="24"/>
              </w:rPr>
            </w:pPr>
            <w:r w:rsidRPr="00B966E2">
              <w:t>2</w:t>
            </w:r>
          </w:p>
        </w:tc>
        <w:tc>
          <w:tcPr>
            <w:tcW w:w="2480" w:type="pct"/>
            <w:vAlign w:val="center"/>
          </w:tcPr>
          <w:p w14:paraId="217D3F4B" w14:textId="6BE18CAE" w:rsidR="00E80676" w:rsidRPr="00B966E2" w:rsidRDefault="00E80676" w:rsidP="00687576">
            <w:pPr>
              <w:pStyle w:val="Heading3"/>
              <w:numPr>
                <w:ilvl w:val="0"/>
                <w:numId w:val="0"/>
              </w:numPr>
              <w:spacing w:after="120"/>
              <w:jc w:val="left"/>
              <w:outlineLvl w:val="2"/>
              <w:rPr>
                <w:szCs w:val="24"/>
              </w:rPr>
            </w:pPr>
            <w:r w:rsidRPr="00B966E2">
              <w:t>Submit toolkit outline</w:t>
            </w:r>
          </w:p>
        </w:tc>
        <w:tc>
          <w:tcPr>
            <w:tcW w:w="1622" w:type="pct"/>
            <w:vAlign w:val="center"/>
          </w:tcPr>
          <w:p w14:paraId="5CF1DDC3" w14:textId="5AAFFE9A" w:rsidR="00E80676" w:rsidRPr="00B966E2" w:rsidRDefault="00E80676" w:rsidP="00687576">
            <w:pPr>
              <w:pStyle w:val="Heading3"/>
              <w:numPr>
                <w:ilvl w:val="0"/>
                <w:numId w:val="0"/>
              </w:numPr>
              <w:spacing w:after="120"/>
              <w:jc w:val="center"/>
              <w:outlineLvl w:val="2"/>
              <w:rPr>
                <w:szCs w:val="24"/>
              </w:rPr>
            </w:pPr>
            <w:r w:rsidRPr="00B966E2">
              <w:t>Before 28</w:t>
            </w:r>
            <w:r w:rsidRPr="00B966E2">
              <w:rPr>
                <w:vertAlign w:val="superscript"/>
              </w:rPr>
              <w:t>th</w:t>
            </w:r>
            <w:r w:rsidRPr="00B966E2">
              <w:t xml:space="preserve"> February</w:t>
            </w:r>
            <w:r w:rsidR="005945EF">
              <w:t xml:space="preserve"> 2020</w:t>
            </w:r>
          </w:p>
        </w:tc>
      </w:tr>
      <w:tr w:rsidR="00E80676" w:rsidRPr="00297CF4" w14:paraId="46FDD8D0" w14:textId="77777777" w:rsidTr="00687576">
        <w:tc>
          <w:tcPr>
            <w:tcW w:w="898" w:type="pct"/>
            <w:vAlign w:val="center"/>
          </w:tcPr>
          <w:p w14:paraId="25E5CB7A" w14:textId="77777777" w:rsidR="00E80676" w:rsidRPr="00B966E2" w:rsidRDefault="00E80676" w:rsidP="00687576">
            <w:pPr>
              <w:pStyle w:val="Heading3"/>
              <w:numPr>
                <w:ilvl w:val="0"/>
                <w:numId w:val="0"/>
              </w:numPr>
              <w:spacing w:after="120"/>
              <w:jc w:val="center"/>
              <w:outlineLvl w:val="2"/>
              <w:rPr>
                <w:szCs w:val="24"/>
              </w:rPr>
            </w:pPr>
            <w:r w:rsidRPr="00B966E2">
              <w:t>3</w:t>
            </w:r>
          </w:p>
        </w:tc>
        <w:tc>
          <w:tcPr>
            <w:tcW w:w="2480" w:type="pct"/>
            <w:vAlign w:val="center"/>
          </w:tcPr>
          <w:p w14:paraId="7BBBE161" w14:textId="70CA504E" w:rsidR="00E80676" w:rsidRPr="00B966E2" w:rsidRDefault="00E80676" w:rsidP="00687576">
            <w:pPr>
              <w:pStyle w:val="Heading3"/>
              <w:numPr>
                <w:ilvl w:val="0"/>
                <w:numId w:val="0"/>
              </w:numPr>
              <w:spacing w:after="120"/>
              <w:jc w:val="left"/>
              <w:outlineLvl w:val="2"/>
              <w:rPr>
                <w:szCs w:val="24"/>
              </w:rPr>
            </w:pPr>
            <w:r w:rsidRPr="00B966E2">
              <w:t>Submit toolkit, first draft</w:t>
            </w:r>
          </w:p>
        </w:tc>
        <w:tc>
          <w:tcPr>
            <w:tcW w:w="1622" w:type="pct"/>
            <w:vAlign w:val="center"/>
          </w:tcPr>
          <w:p w14:paraId="71C2532D" w14:textId="3968F8AC" w:rsidR="00E80676" w:rsidRPr="00B966E2" w:rsidRDefault="00E80676" w:rsidP="00687576">
            <w:pPr>
              <w:pStyle w:val="Heading3"/>
              <w:numPr>
                <w:ilvl w:val="0"/>
                <w:numId w:val="0"/>
              </w:numPr>
              <w:spacing w:after="120"/>
              <w:jc w:val="center"/>
              <w:outlineLvl w:val="2"/>
              <w:rPr>
                <w:szCs w:val="24"/>
              </w:rPr>
            </w:pPr>
            <w:r w:rsidRPr="00B966E2">
              <w:t>Before 13</w:t>
            </w:r>
            <w:r w:rsidRPr="00B966E2">
              <w:rPr>
                <w:vertAlign w:val="superscript"/>
              </w:rPr>
              <w:t>th</w:t>
            </w:r>
            <w:r w:rsidRPr="00B966E2">
              <w:t xml:space="preserve"> March</w:t>
            </w:r>
            <w:r w:rsidR="005945EF">
              <w:t xml:space="preserve"> 2020</w:t>
            </w:r>
          </w:p>
        </w:tc>
      </w:tr>
      <w:tr w:rsidR="00E80676" w14:paraId="0995BD4A" w14:textId="77777777" w:rsidTr="00B966E2">
        <w:tc>
          <w:tcPr>
            <w:tcW w:w="898" w:type="pct"/>
            <w:vAlign w:val="center"/>
          </w:tcPr>
          <w:p w14:paraId="137379F5" w14:textId="77777777" w:rsidR="00E80676" w:rsidRPr="00B966E2" w:rsidRDefault="00E80676" w:rsidP="00687576">
            <w:pPr>
              <w:pStyle w:val="Heading3"/>
              <w:numPr>
                <w:ilvl w:val="0"/>
                <w:numId w:val="0"/>
              </w:numPr>
              <w:spacing w:after="120"/>
              <w:jc w:val="center"/>
              <w:outlineLvl w:val="2"/>
              <w:rPr>
                <w:szCs w:val="24"/>
              </w:rPr>
            </w:pPr>
            <w:r w:rsidRPr="00B966E2">
              <w:t>4</w:t>
            </w:r>
          </w:p>
        </w:tc>
        <w:tc>
          <w:tcPr>
            <w:tcW w:w="2480" w:type="pct"/>
            <w:vAlign w:val="center"/>
          </w:tcPr>
          <w:p w14:paraId="501A700A" w14:textId="77777777" w:rsidR="00E80676" w:rsidRPr="00B966E2" w:rsidRDefault="00E80676" w:rsidP="00687576">
            <w:pPr>
              <w:pStyle w:val="Heading3"/>
              <w:numPr>
                <w:ilvl w:val="0"/>
                <w:numId w:val="0"/>
              </w:numPr>
              <w:spacing w:after="120"/>
              <w:jc w:val="left"/>
              <w:outlineLvl w:val="2"/>
              <w:rPr>
                <w:szCs w:val="24"/>
              </w:rPr>
            </w:pPr>
            <w:r w:rsidRPr="00B966E2">
              <w:t>Submit toolkit, final draft</w:t>
            </w:r>
          </w:p>
        </w:tc>
        <w:tc>
          <w:tcPr>
            <w:tcW w:w="1622" w:type="pct"/>
            <w:shd w:val="clear" w:color="auto" w:fill="auto"/>
            <w:vAlign w:val="center"/>
          </w:tcPr>
          <w:p w14:paraId="214906C7" w14:textId="01B66FC8" w:rsidR="00E80676" w:rsidRPr="005945EF" w:rsidRDefault="00E80676" w:rsidP="00687576">
            <w:pPr>
              <w:pStyle w:val="Heading3"/>
              <w:numPr>
                <w:ilvl w:val="0"/>
                <w:numId w:val="0"/>
              </w:numPr>
              <w:spacing w:after="120"/>
              <w:jc w:val="center"/>
              <w:outlineLvl w:val="2"/>
              <w:rPr>
                <w:szCs w:val="24"/>
              </w:rPr>
            </w:pPr>
            <w:r w:rsidRPr="005945EF">
              <w:t>Before 31</w:t>
            </w:r>
            <w:r w:rsidRPr="005945EF">
              <w:rPr>
                <w:vertAlign w:val="superscript"/>
              </w:rPr>
              <w:t>st</w:t>
            </w:r>
            <w:r w:rsidRPr="005945EF">
              <w:t xml:space="preserve"> March</w:t>
            </w:r>
            <w:r w:rsidR="005945EF">
              <w:t xml:space="preserve"> 2020</w:t>
            </w:r>
          </w:p>
        </w:tc>
      </w:tr>
    </w:tbl>
    <w:p w14:paraId="228D428C" w14:textId="6ADA793E"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203EC2B6" w14:textId="77777777" w:rsidR="00671798" w:rsidRDefault="00FE18AC">
      <w:pPr>
        <w:pStyle w:val="Heading1"/>
        <w:tabs>
          <w:tab w:val="num" w:pos="0"/>
        </w:tabs>
        <w:overflowPunct w:val="0"/>
        <w:autoSpaceDE w:val="0"/>
        <w:autoSpaceDN w:val="0"/>
        <w:spacing w:after="120"/>
        <w:ind w:left="709" w:hanging="709"/>
        <w:textAlignment w:val="baseline"/>
        <w:rPr>
          <w:rFonts w:cs="Arial"/>
          <w:szCs w:val="22"/>
        </w:rPr>
      </w:pPr>
      <w:bookmarkStart w:id="20" w:name="_Toc368573033"/>
      <w:bookmarkStart w:id="21" w:name="_Toc444518874"/>
      <w:r w:rsidRPr="00BE6EE0">
        <w:rPr>
          <w:rFonts w:cs="Arial"/>
          <w:szCs w:val="22"/>
        </w:rPr>
        <w:t>reporting</w:t>
      </w:r>
      <w:bookmarkEnd w:id="20"/>
      <w:bookmarkEnd w:id="21"/>
    </w:p>
    <w:p w14:paraId="22C08F65" w14:textId="1F9CCC8B" w:rsidR="00671798" w:rsidRPr="00DC5CAD" w:rsidRDefault="005945EF">
      <w:pPr>
        <w:pStyle w:val="Heading2"/>
        <w:tabs>
          <w:tab w:val="clear" w:pos="720"/>
          <w:tab w:val="num" w:pos="709"/>
        </w:tabs>
        <w:spacing w:after="120"/>
        <w:ind w:left="709" w:hanging="709"/>
      </w:pPr>
      <w:r w:rsidRPr="00DC5CAD">
        <w:t xml:space="preserve">The successful supplier will report to the Home Office RASI ESOL Policy Analyst. </w:t>
      </w:r>
    </w:p>
    <w:p w14:paraId="533C7A5A" w14:textId="77777777" w:rsidR="00FE18AC" w:rsidRPr="00B966E2" w:rsidRDefault="00FE18AC" w:rsidP="008F3470">
      <w:pPr>
        <w:pStyle w:val="Heading1"/>
        <w:tabs>
          <w:tab w:val="num" w:pos="0"/>
        </w:tabs>
        <w:overflowPunct w:val="0"/>
        <w:autoSpaceDE w:val="0"/>
        <w:autoSpaceDN w:val="0"/>
        <w:spacing w:after="120"/>
        <w:ind w:left="709" w:hanging="709"/>
        <w:textAlignment w:val="baseline"/>
        <w:rPr>
          <w:rFonts w:cs="Arial"/>
          <w:szCs w:val="22"/>
        </w:rPr>
      </w:pPr>
      <w:bookmarkStart w:id="22" w:name="_Toc368573037"/>
      <w:bookmarkStart w:id="23" w:name="_Toc444518879"/>
      <w:r w:rsidRPr="00B966E2">
        <w:rPr>
          <w:rFonts w:cs="Arial"/>
          <w:szCs w:val="22"/>
        </w:rPr>
        <w:t>PRICE</w:t>
      </w:r>
      <w:bookmarkEnd w:id="22"/>
      <w:bookmarkEnd w:id="23"/>
    </w:p>
    <w:p w14:paraId="522EB186" w14:textId="2005A72B" w:rsidR="00671798" w:rsidRPr="00DC5CAD" w:rsidRDefault="005945EF">
      <w:pPr>
        <w:pStyle w:val="Heading2"/>
        <w:tabs>
          <w:tab w:val="clear" w:pos="720"/>
          <w:tab w:val="num" w:pos="709"/>
        </w:tabs>
        <w:spacing w:after="120"/>
        <w:ind w:left="709" w:hanging="709"/>
      </w:pPr>
      <w:r w:rsidRPr="00DC5CAD">
        <w:t xml:space="preserve">Payment will be made </w:t>
      </w:r>
      <w:r w:rsidR="00B966E2">
        <w:t xml:space="preserve">following </w:t>
      </w:r>
      <w:r w:rsidR="00B966E2" w:rsidRPr="00DC5CAD">
        <w:t>the satisfactory delivery of two key elements;</w:t>
      </w:r>
    </w:p>
    <w:p w14:paraId="01AC000D" w14:textId="45549D86" w:rsidR="00B966E2" w:rsidRPr="00DC5CAD" w:rsidRDefault="00B966E2" w:rsidP="00B966E2">
      <w:pPr>
        <w:pStyle w:val="Heading2"/>
        <w:numPr>
          <w:ilvl w:val="1"/>
          <w:numId w:val="47"/>
        </w:numPr>
        <w:spacing w:after="120"/>
      </w:pPr>
      <w:r w:rsidRPr="00DC5CAD">
        <w:lastRenderedPageBreak/>
        <w:t>Successful delivery of the Regional Events/Workshops (50% of price)</w:t>
      </w:r>
    </w:p>
    <w:p w14:paraId="32EEC0D0" w14:textId="07AFC06F" w:rsidR="00B966E2" w:rsidRPr="00DC5CAD" w:rsidRDefault="00B966E2" w:rsidP="00B966E2">
      <w:pPr>
        <w:pStyle w:val="Heading2"/>
        <w:numPr>
          <w:ilvl w:val="1"/>
          <w:numId w:val="47"/>
        </w:numPr>
        <w:spacing w:after="120"/>
      </w:pPr>
      <w:r w:rsidRPr="00DC5CAD">
        <w:t xml:space="preserve">Delivery of Final Agreed Version of the ESOL Toolkit (50% of price) </w:t>
      </w:r>
    </w:p>
    <w:p w14:paraId="6B1CA851" w14:textId="77777777" w:rsidR="00FE18AC" w:rsidRPr="00DC5CAD" w:rsidRDefault="00FE18AC" w:rsidP="008F3470">
      <w:pPr>
        <w:pStyle w:val="Heading1"/>
        <w:tabs>
          <w:tab w:val="num" w:pos="0"/>
        </w:tabs>
        <w:overflowPunct w:val="0"/>
        <w:autoSpaceDE w:val="0"/>
        <w:autoSpaceDN w:val="0"/>
        <w:spacing w:after="120"/>
        <w:ind w:left="709" w:hanging="709"/>
        <w:textAlignment w:val="baseline"/>
        <w:rPr>
          <w:rFonts w:cs="Arial"/>
          <w:szCs w:val="22"/>
        </w:rPr>
      </w:pPr>
      <w:bookmarkStart w:id="24" w:name="_Toc368573038"/>
      <w:bookmarkStart w:id="25" w:name="_Toc444518880"/>
      <w:r w:rsidRPr="00DC5CAD">
        <w:rPr>
          <w:rFonts w:cs="Arial"/>
          <w:szCs w:val="22"/>
        </w:rPr>
        <w:t>STAFF AND CUSTOMER SERVICE</w:t>
      </w:r>
      <w:bookmarkEnd w:id="24"/>
      <w:bookmarkEnd w:id="25"/>
    </w:p>
    <w:p w14:paraId="473FF9D3" w14:textId="21AB7FE5"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0B3318" w:rsidRPr="00333B6F">
        <w:rPr>
          <w:rFonts w:eastAsiaTheme="minorEastAsia" w:cs="Arial"/>
          <w:szCs w:val="22"/>
          <w:lang w:eastAsia="en-GB"/>
        </w:rPr>
        <w:t>Provision of ESOL for Refugees: Workshops &amp; Toolkit</w:t>
      </w:r>
      <w:r w:rsidR="000B3318" w:rsidRPr="00517FEF">
        <w:rPr>
          <w:highlight w:val="yellow"/>
        </w:rPr>
        <w:t xml:space="preserve"> </w:t>
      </w:r>
      <w:r>
        <w:t xml:space="preserve">Contract </w:t>
      </w:r>
      <w:r w:rsidR="00B342E2">
        <w:t>to</w:t>
      </w:r>
      <w:r>
        <w:t xml:space="preserve"> consistently deliver a quality service to all Parties.</w:t>
      </w:r>
    </w:p>
    <w:p w14:paraId="7C5FF49B" w14:textId="71C7D890" w:rsidR="00671798" w:rsidRDefault="00FE18AC">
      <w:pPr>
        <w:pStyle w:val="Heading2"/>
        <w:tabs>
          <w:tab w:val="clear" w:pos="720"/>
          <w:tab w:val="num" w:pos="709"/>
        </w:tabs>
        <w:spacing w:after="120"/>
        <w:ind w:left="709" w:hanging="709"/>
      </w:pPr>
      <w:r>
        <w:t xml:space="preserve">Potential Provider’s staff assigned to the </w:t>
      </w:r>
      <w:r w:rsidR="000B3318" w:rsidRPr="00333B6F">
        <w:rPr>
          <w:rFonts w:eastAsiaTheme="minorEastAsia" w:cs="Arial"/>
          <w:szCs w:val="22"/>
          <w:lang w:eastAsia="en-GB"/>
        </w:rPr>
        <w:t>Provision of ESOL for Refugees: Workshops &amp; Toolkit</w:t>
      </w:r>
      <w:r w:rsidR="000B3318">
        <w:rPr>
          <w:rFonts w:eastAsiaTheme="minorEastAsia" w:cs="Arial"/>
          <w:szCs w:val="22"/>
          <w:lang w:eastAsia="en-GB"/>
        </w:rPr>
        <w:t xml:space="preserve">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2E373C90" w14:textId="77777777" w:rsidR="003F626A" w:rsidRDefault="003F626A" w:rsidP="003F626A">
      <w:pPr>
        <w:pStyle w:val="Heading2"/>
        <w:numPr>
          <w:ilvl w:val="0"/>
          <w:numId w:val="0"/>
        </w:numPr>
        <w:ind w:left="720"/>
      </w:pPr>
    </w:p>
    <w:p w14:paraId="65283656" w14:textId="2FA53B3D" w:rsidR="0081061A" w:rsidRPr="00874062" w:rsidRDefault="0081061A" w:rsidP="008F3470">
      <w:pPr>
        <w:pStyle w:val="Heading1"/>
        <w:tabs>
          <w:tab w:val="num" w:pos="0"/>
        </w:tabs>
        <w:overflowPunct w:val="0"/>
        <w:autoSpaceDE w:val="0"/>
        <w:autoSpaceDN w:val="0"/>
        <w:spacing w:after="120"/>
        <w:ind w:left="709" w:hanging="709"/>
        <w:textAlignment w:val="baseline"/>
        <w:rPr>
          <w:rFonts w:cs="Arial"/>
          <w:szCs w:val="22"/>
        </w:rPr>
      </w:pPr>
      <w:bookmarkStart w:id="26" w:name="_Toc444518884"/>
      <w:bookmarkStart w:id="27" w:name="_Toc368573042"/>
      <w:r w:rsidRPr="00874062">
        <w:rPr>
          <w:rFonts w:cs="Arial"/>
          <w:szCs w:val="22"/>
        </w:rPr>
        <w:t>payment</w:t>
      </w:r>
      <w:bookmarkEnd w:id="26"/>
    </w:p>
    <w:p w14:paraId="2A484EAD" w14:textId="7495E35E" w:rsidR="009D6A57" w:rsidRDefault="009D6A57" w:rsidP="009D6A57">
      <w:pPr>
        <w:pStyle w:val="Heading2"/>
      </w:pPr>
      <w:r>
        <w:t xml:space="preserve">The Payment Method for this contract is via BACS (Bankers Automated Clearance Service). </w:t>
      </w:r>
    </w:p>
    <w:p w14:paraId="32FF1C63" w14:textId="77777777" w:rsidR="009D6A57" w:rsidRDefault="009D6A57" w:rsidP="009D6A57">
      <w:pPr>
        <w:pStyle w:val="Heading2"/>
      </w:pPr>
      <w:r>
        <w:t>A valid purchase order is required for payment.</w:t>
      </w:r>
    </w:p>
    <w:p w14:paraId="7FF0DE20" w14:textId="1E071135" w:rsidR="009D6A57" w:rsidRDefault="009D6A57" w:rsidP="009D6A57">
      <w:pPr>
        <w:pStyle w:val="Heading2"/>
      </w:pPr>
      <w:r>
        <w:t xml:space="preserve">All invoices must include the Purchase Order Number, the </w:t>
      </w:r>
      <w:r w:rsidR="00B342E2">
        <w:t>time</w:t>
      </w:r>
      <w:r w:rsidR="004B738F">
        <w:t>-</w:t>
      </w:r>
      <w:bookmarkStart w:id="28" w:name="_GoBack"/>
      <w:bookmarkEnd w:id="28"/>
      <w:r w:rsidR="00B342E2">
        <w:t xml:space="preserve">period </w:t>
      </w:r>
      <w:r>
        <w:t xml:space="preserve">(calendar month) pertaining to the charges and the value of the VAT portion of the invoice expressed in UK pounds Sterling. </w:t>
      </w:r>
    </w:p>
    <w:p w14:paraId="7ECB204E" w14:textId="616A3938" w:rsidR="00AD54FB" w:rsidRPr="002036A1" w:rsidRDefault="009D6A57" w:rsidP="009D6A57">
      <w:pPr>
        <w:pStyle w:val="Heading2"/>
      </w:pPr>
      <w:r w:rsidRPr="002036A1">
        <w:t>The Customer will pay valid invoices within 30 days of receipt.</w:t>
      </w:r>
    </w:p>
    <w:p w14:paraId="042CA45C" w14:textId="77777777" w:rsidR="00331523" w:rsidRPr="002036A1" w:rsidRDefault="0036555C" w:rsidP="0081061A">
      <w:pPr>
        <w:pStyle w:val="Heading2"/>
        <w:rPr>
          <w:szCs w:val="22"/>
        </w:rPr>
      </w:pPr>
      <w:r w:rsidRPr="002036A1">
        <w:rPr>
          <w:rFonts w:cs="Arial"/>
          <w:color w:val="000000"/>
          <w:szCs w:val="22"/>
          <w:shd w:val="clear" w:color="auto" w:fill="FFFFFF"/>
        </w:rPr>
        <w:t xml:space="preserve">Payment can only be made following satisfactory delivery of pre-agreed certified products and deliverables. </w:t>
      </w:r>
    </w:p>
    <w:p w14:paraId="28B41D85" w14:textId="3FAA0882" w:rsidR="0036555C" w:rsidRPr="002036A1" w:rsidRDefault="0036555C" w:rsidP="0081061A">
      <w:pPr>
        <w:pStyle w:val="Heading2"/>
        <w:rPr>
          <w:szCs w:val="22"/>
        </w:rPr>
      </w:pPr>
      <w:r w:rsidRPr="002036A1">
        <w:rPr>
          <w:rFonts w:cs="Arial"/>
          <w:color w:val="000000"/>
          <w:szCs w:val="22"/>
          <w:shd w:val="clear" w:color="auto" w:fill="FFFFFF"/>
        </w:rPr>
        <w:t xml:space="preserve">Before payment can be considered, each invoice must include a detailed elemental breakdown of work completed and the associated costs. </w:t>
      </w:r>
    </w:p>
    <w:p w14:paraId="04BBE808" w14:textId="77777777" w:rsidR="00671798" w:rsidRDefault="00FE18AC">
      <w:pPr>
        <w:pStyle w:val="Heading1"/>
        <w:spacing w:after="120"/>
      </w:pPr>
      <w:bookmarkStart w:id="29" w:name="_Toc368573043"/>
      <w:bookmarkStart w:id="30" w:name="_Toc444518886"/>
      <w:bookmarkEnd w:id="19"/>
      <w:bookmarkEnd w:id="27"/>
      <w:r>
        <w:t>Location</w:t>
      </w:r>
      <w:bookmarkEnd w:id="29"/>
      <w:bookmarkEnd w:id="30"/>
      <w:r>
        <w:t xml:space="preserve"> </w:t>
      </w:r>
    </w:p>
    <w:p w14:paraId="21846EE4" w14:textId="55C3FEEE" w:rsidR="002F7AA1" w:rsidRDefault="00FE18AC" w:rsidP="002036A1">
      <w:pPr>
        <w:pStyle w:val="Heading2"/>
        <w:numPr>
          <w:ilvl w:val="0"/>
          <w:numId w:val="0"/>
        </w:numPr>
        <w:spacing w:after="120"/>
      </w:pPr>
      <w:r>
        <w:t xml:space="preserve">The location of the Services will be </w:t>
      </w:r>
      <w:r w:rsidR="00DA7809">
        <w:t>specified by the supplier, in agreement with the Authority.</w:t>
      </w: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E00C" w14:textId="77777777" w:rsidR="002C6E22" w:rsidRDefault="002C6E22">
      <w:pPr>
        <w:spacing w:line="20" w:lineRule="exact"/>
      </w:pPr>
    </w:p>
  </w:endnote>
  <w:endnote w:type="continuationSeparator" w:id="0">
    <w:p w14:paraId="69A7D0DF" w14:textId="77777777" w:rsidR="002C6E22" w:rsidRDefault="002C6E22">
      <w:pPr>
        <w:spacing w:line="20" w:lineRule="exact"/>
      </w:pPr>
      <w:r>
        <w:t xml:space="preserve"> </w:t>
      </w:r>
    </w:p>
  </w:endnote>
  <w:endnote w:type="continuationNotice" w:id="1">
    <w:p w14:paraId="6879A889" w14:textId="77777777" w:rsidR="002C6E22" w:rsidRDefault="002C6E2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862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13236CC6" w:rsidR="00362A29" w:rsidRDefault="00333B6F">
        <w:pPr>
          <w:pStyle w:val="Footer"/>
          <w:rPr>
            <w:sz w:val="20"/>
            <w:szCs w:val="20"/>
          </w:rPr>
        </w:pPr>
        <w:r>
          <w:rPr>
            <w:sz w:val="20"/>
            <w:szCs w:val="20"/>
          </w:rPr>
          <w:t>John Wise</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22EDC25D" w:rsidR="00362A29" w:rsidRPr="00985B4D" w:rsidRDefault="00362A29" w:rsidP="00985B4D">
        <w:pPr>
          <w:pStyle w:val="Footer"/>
          <w:jc w:val="right"/>
          <w:rPr>
            <w:sz w:val="20"/>
            <w:szCs w:val="20"/>
          </w:rPr>
        </w:pPr>
        <w:r>
          <w:rPr>
            <w:sz w:val="20"/>
            <w:szCs w:val="20"/>
          </w:rPr>
          <w:t>V</w:t>
        </w:r>
        <w:r w:rsidR="00DC5CAD">
          <w:rPr>
            <w:sz w:val="20"/>
            <w:szCs w:val="20"/>
          </w:rPr>
          <w:t xml:space="preserve">.1 01 Oct </w:t>
        </w:r>
        <w:r w:rsidR="00333B6F">
          <w:rPr>
            <w:sz w:val="20"/>
            <w:szCs w:val="20"/>
          </w:rPr>
          <w:t>2019</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D37F0C">
          <w:rPr>
            <w:noProof/>
            <w:sz w:val="20"/>
            <w:szCs w:val="20"/>
          </w:rPr>
          <w:t>2</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13EF" w14:textId="77777777" w:rsidR="002C6E22" w:rsidRDefault="002C6E22">
      <w:r>
        <w:separator/>
      </w:r>
    </w:p>
  </w:footnote>
  <w:footnote w:type="continuationSeparator" w:id="0">
    <w:p w14:paraId="4BC7A6A8" w14:textId="77777777" w:rsidR="002C6E22" w:rsidRDefault="002C6E22">
      <w:r>
        <w:continuationSeparator/>
      </w:r>
    </w:p>
  </w:footnote>
  <w:footnote w:type="continuationNotice" w:id="1">
    <w:p w14:paraId="5E3169A9" w14:textId="77777777" w:rsidR="002C6E22" w:rsidRDefault="002C6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Default="00362A29"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33218E" w14:textId="77777777" w:rsidR="00333B6F" w:rsidRPr="00333B6F" w:rsidRDefault="00333B6F" w:rsidP="00333B6F">
    <w:pPr>
      <w:tabs>
        <w:tab w:val="center" w:pos="4513"/>
        <w:tab w:val="right" w:pos="9026"/>
      </w:tabs>
      <w:jc w:val="center"/>
      <w:rPr>
        <w:rFonts w:eastAsiaTheme="minorEastAsia" w:cs="Arial"/>
        <w:szCs w:val="22"/>
        <w:lang w:eastAsia="en-GB"/>
      </w:rPr>
    </w:pPr>
    <w:bookmarkStart w:id="31" w:name="_Hlk20423274"/>
    <w:r w:rsidRPr="00333B6F">
      <w:rPr>
        <w:rFonts w:eastAsiaTheme="minorEastAsia" w:cs="Arial"/>
        <w:szCs w:val="22"/>
        <w:lang w:eastAsia="en-GB"/>
      </w:rPr>
      <w:t>Provision of ESOL for Refugees: Workshops &amp; Toolkit</w:t>
    </w:r>
    <w:bookmarkEnd w:id="31"/>
    <w:r w:rsidRPr="00333B6F">
      <w:rPr>
        <w:rFonts w:eastAsiaTheme="minorEastAsia" w:cs="Arial"/>
        <w:szCs w:val="22"/>
        <w:lang w:eastAsia="en-GB"/>
      </w:rPr>
      <w:t xml:space="preserve"> </w:t>
    </w:r>
  </w:p>
  <w:p w14:paraId="244DB303" w14:textId="77777777" w:rsidR="00333B6F" w:rsidRPr="00333B6F" w:rsidRDefault="00333B6F" w:rsidP="00333B6F">
    <w:pPr>
      <w:tabs>
        <w:tab w:val="center" w:pos="4513"/>
        <w:tab w:val="right" w:pos="9026"/>
      </w:tabs>
      <w:jc w:val="center"/>
      <w:rPr>
        <w:rFonts w:eastAsiaTheme="minorEastAsia" w:cs="Arial"/>
        <w:szCs w:val="22"/>
        <w:lang w:eastAsia="en-GB"/>
      </w:rPr>
    </w:pPr>
    <w:r w:rsidRPr="00333B6F">
      <w:rPr>
        <w:rFonts w:eastAsiaTheme="minorEastAsia" w:cs="Arial"/>
        <w:szCs w:val="22"/>
        <w:lang w:eastAsia="en-GB"/>
      </w:rPr>
      <w:t>C16780</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AF5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6D20E74"/>
    <w:multiLevelType w:val="hybridMultilevel"/>
    <w:tmpl w:val="4B243B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354190"/>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65A4753"/>
    <w:multiLevelType w:val="hybridMultilevel"/>
    <w:tmpl w:val="DE363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312A0"/>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4250903"/>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8E404C9"/>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A683140"/>
    <w:multiLevelType w:val="hybridMultilevel"/>
    <w:tmpl w:val="46EC5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1B048A"/>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6B285866"/>
    <w:lvl w:ilvl="0">
      <w:start w:val="1"/>
      <w:numFmt w:val="decimal"/>
      <w:lvlRestart w:val="0"/>
      <w:pStyle w:val="Heading1"/>
      <w:lvlText w:val="%1."/>
      <w:lvlJc w:val="left"/>
      <w:pPr>
        <w:tabs>
          <w:tab w:val="num" w:pos="1004"/>
        </w:tabs>
        <w:ind w:left="1004"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64E9036F"/>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9ED718C"/>
    <w:multiLevelType w:val="multilevel"/>
    <w:tmpl w:val="C2303B7E"/>
    <w:lvl w:ilvl="0">
      <w:start w:val="1"/>
      <w:numFmt w:val="decimal"/>
      <w:lvlRestart w:val="0"/>
      <w:lvlText w:val="%1."/>
      <w:lvlJc w:val="left"/>
      <w:pPr>
        <w:tabs>
          <w:tab w:val="num" w:pos="1004"/>
        </w:tabs>
        <w:ind w:left="1004"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72644393"/>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75405855"/>
    <w:multiLevelType w:val="hybridMultilevel"/>
    <w:tmpl w:val="0CD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C5749"/>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CFA569C"/>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7DAC01F4"/>
    <w:multiLevelType w:val="multilevel"/>
    <w:tmpl w:val="4E8CBA84"/>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2"/>
  </w:num>
  <w:num w:numId="3">
    <w:abstractNumId w:val="15"/>
  </w:num>
  <w:num w:numId="4">
    <w:abstractNumId w:val="16"/>
  </w:num>
  <w:num w:numId="5">
    <w:abstractNumId w:val="5"/>
  </w:num>
  <w:num w:numId="6">
    <w:abstractNumId w:val="26"/>
  </w:num>
  <w:num w:numId="7">
    <w:abstractNumId w:val="19"/>
  </w:num>
  <w:num w:numId="8">
    <w:abstractNumId w:val="13"/>
  </w:num>
  <w:num w:numId="9">
    <w:abstractNumId w:val="4"/>
  </w:num>
  <w:num w:numId="10">
    <w:abstractNumId w:val="3"/>
  </w:num>
  <w:num w:numId="11">
    <w:abstractNumId w:val="2"/>
  </w:num>
  <w:num w:numId="12">
    <w:abstractNumId w:val="1"/>
  </w:num>
  <w:num w:numId="13">
    <w:abstractNumId w:val="0"/>
  </w:num>
  <w:num w:numId="14">
    <w:abstractNumId w:val="45"/>
  </w:num>
  <w:num w:numId="15">
    <w:abstractNumId w:val="9"/>
  </w:num>
  <w:num w:numId="16">
    <w:abstractNumId w:val="36"/>
  </w:num>
  <w:num w:numId="17">
    <w:abstractNumId w:val="8"/>
  </w:num>
  <w:num w:numId="18">
    <w:abstractNumId w:val="22"/>
  </w:num>
  <w:num w:numId="19">
    <w:abstractNumId w:val="18"/>
  </w:num>
  <w:num w:numId="20">
    <w:abstractNumId w:val="34"/>
  </w:num>
  <w:num w:numId="21">
    <w:abstractNumId w:val="12"/>
  </w:num>
  <w:num w:numId="22">
    <w:abstractNumId w:val="40"/>
  </w:num>
  <w:num w:numId="23">
    <w:abstractNumId w:val="27"/>
  </w:num>
  <w:num w:numId="24">
    <w:abstractNumId w:val="11"/>
  </w:num>
  <w:num w:numId="25">
    <w:abstractNumId w:val="37"/>
  </w:num>
  <w:num w:numId="26">
    <w:abstractNumId w:val="7"/>
  </w:num>
  <w:num w:numId="27">
    <w:abstractNumId w:val="33"/>
  </w:num>
  <w:num w:numId="28">
    <w:abstractNumId w:val="23"/>
  </w:num>
  <w:num w:numId="29">
    <w:abstractNumId w:val="44"/>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2"/>
  </w:num>
  <w:num w:numId="33">
    <w:abstractNumId w:val="21"/>
  </w:num>
  <w:num w:numId="34">
    <w:abstractNumId w:val="42"/>
  </w:num>
  <w:num w:numId="35">
    <w:abstractNumId w:val="43"/>
  </w:num>
  <w:num w:numId="36">
    <w:abstractNumId w:val="17"/>
  </w:num>
  <w:num w:numId="37">
    <w:abstractNumId w:val="41"/>
  </w:num>
  <w:num w:numId="38">
    <w:abstractNumId w:val="25"/>
  </w:num>
  <w:num w:numId="39">
    <w:abstractNumId w:val="47"/>
  </w:num>
  <w:num w:numId="40">
    <w:abstractNumId w:val="46"/>
  </w:num>
  <w:num w:numId="41">
    <w:abstractNumId w:val="38"/>
  </w:num>
  <w:num w:numId="42">
    <w:abstractNumId w:val="29"/>
  </w:num>
  <w:num w:numId="43">
    <w:abstractNumId w:val="24"/>
  </w:num>
  <w:num w:numId="44">
    <w:abstractNumId w:val="14"/>
  </w:num>
  <w:num w:numId="45">
    <w:abstractNumId w:val="28"/>
  </w:num>
  <w:num w:numId="46">
    <w:abstractNumId w:val="20"/>
  </w:num>
  <w:num w:numId="47">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3318"/>
    <w:rsid w:val="000B4297"/>
    <w:rsid w:val="000B4955"/>
    <w:rsid w:val="000B5C9F"/>
    <w:rsid w:val="000B7CBE"/>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99D"/>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E4F9B"/>
    <w:rsid w:val="001F0B69"/>
    <w:rsid w:val="001F13E1"/>
    <w:rsid w:val="001F2926"/>
    <w:rsid w:val="001F2F1C"/>
    <w:rsid w:val="001F300D"/>
    <w:rsid w:val="001F3B05"/>
    <w:rsid w:val="001F4B65"/>
    <w:rsid w:val="002014DC"/>
    <w:rsid w:val="00202978"/>
    <w:rsid w:val="00202DAB"/>
    <w:rsid w:val="002036A1"/>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37C"/>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C6E22"/>
    <w:rsid w:val="002D268A"/>
    <w:rsid w:val="002D2841"/>
    <w:rsid w:val="002D3A27"/>
    <w:rsid w:val="002D7AC9"/>
    <w:rsid w:val="002E05A6"/>
    <w:rsid w:val="002E5436"/>
    <w:rsid w:val="002E6400"/>
    <w:rsid w:val="002F0A0A"/>
    <w:rsid w:val="002F13FD"/>
    <w:rsid w:val="002F1D57"/>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B6F"/>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5CDF"/>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4051"/>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0E0"/>
    <w:rsid w:val="00497D0E"/>
    <w:rsid w:val="004A225E"/>
    <w:rsid w:val="004A2D0B"/>
    <w:rsid w:val="004A2E7B"/>
    <w:rsid w:val="004A31F5"/>
    <w:rsid w:val="004A4371"/>
    <w:rsid w:val="004A48ED"/>
    <w:rsid w:val="004B4E34"/>
    <w:rsid w:val="004B6951"/>
    <w:rsid w:val="004B738F"/>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32A9"/>
    <w:rsid w:val="005571B2"/>
    <w:rsid w:val="00561AE0"/>
    <w:rsid w:val="00561BB6"/>
    <w:rsid w:val="00563F76"/>
    <w:rsid w:val="00564CCA"/>
    <w:rsid w:val="0056660C"/>
    <w:rsid w:val="005750D7"/>
    <w:rsid w:val="005750F5"/>
    <w:rsid w:val="005759DD"/>
    <w:rsid w:val="00576C34"/>
    <w:rsid w:val="00580D6B"/>
    <w:rsid w:val="00581887"/>
    <w:rsid w:val="005821EF"/>
    <w:rsid w:val="0058297A"/>
    <w:rsid w:val="0058409F"/>
    <w:rsid w:val="00586640"/>
    <w:rsid w:val="00586CC2"/>
    <w:rsid w:val="00590FFC"/>
    <w:rsid w:val="005924FF"/>
    <w:rsid w:val="00593CFF"/>
    <w:rsid w:val="005945E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3EC8"/>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648E"/>
    <w:rsid w:val="009175F3"/>
    <w:rsid w:val="00922A4C"/>
    <w:rsid w:val="00923A8C"/>
    <w:rsid w:val="00923ACC"/>
    <w:rsid w:val="00926958"/>
    <w:rsid w:val="00926AFD"/>
    <w:rsid w:val="009279B1"/>
    <w:rsid w:val="009317B0"/>
    <w:rsid w:val="00932346"/>
    <w:rsid w:val="0093247C"/>
    <w:rsid w:val="00932D6C"/>
    <w:rsid w:val="00934359"/>
    <w:rsid w:val="009372EF"/>
    <w:rsid w:val="00943815"/>
    <w:rsid w:val="00943F36"/>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6A57"/>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084"/>
    <w:rsid w:val="00AB1D5F"/>
    <w:rsid w:val="00AB262A"/>
    <w:rsid w:val="00AB2C25"/>
    <w:rsid w:val="00AB2CB6"/>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2A6D"/>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42E2"/>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66E2"/>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0D39"/>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2F8A"/>
    <w:rsid w:val="00C1747F"/>
    <w:rsid w:val="00C20E79"/>
    <w:rsid w:val="00C226E8"/>
    <w:rsid w:val="00C233B8"/>
    <w:rsid w:val="00C25BEE"/>
    <w:rsid w:val="00C26F1C"/>
    <w:rsid w:val="00C3280C"/>
    <w:rsid w:val="00C356C1"/>
    <w:rsid w:val="00C35E26"/>
    <w:rsid w:val="00C36C28"/>
    <w:rsid w:val="00C3701E"/>
    <w:rsid w:val="00C4233A"/>
    <w:rsid w:val="00C44DC2"/>
    <w:rsid w:val="00C454E3"/>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1E23"/>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230"/>
    <w:rsid w:val="00D8251C"/>
    <w:rsid w:val="00D82A24"/>
    <w:rsid w:val="00D82A8A"/>
    <w:rsid w:val="00D82DB4"/>
    <w:rsid w:val="00D83B95"/>
    <w:rsid w:val="00D846CA"/>
    <w:rsid w:val="00D84A3C"/>
    <w:rsid w:val="00D92179"/>
    <w:rsid w:val="00D94567"/>
    <w:rsid w:val="00D9647E"/>
    <w:rsid w:val="00DA5C32"/>
    <w:rsid w:val="00DA6D7B"/>
    <w:rsid w:val="00DA770E"/>
    <w:rsid w:val="00DA7809"/>
    <w:rsid w:val="00DB0BF5"/>
    <w:rsid w:val="00DB0CEC"/>
    <w:rsid w:val="00DB1185"/>
    <w:rsid w:val="00DB3C6E"/>
    <w:rsid w:val="00DB3D51"/>
    <w:rsid w:val="00DB4281"/>
    <w:rsid w:val="00DB7133"/>
    <w:rsid w:val="00DC0208"/>
    <w:rsid w:val="00DC465C"/>
    <w:rsid w:val="00DC4F6F"/>
    <w:rsid w:val="00DC5CAD"/>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166F"/>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71545"/>
    <w:rsid w:val="00E8003D"/>
    <w:rsid w:val="00E80676"/>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1919">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C657C-46DF-473E-87C6-862C7CC6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97B85ADA</Template>
  <TotalTime>24</TotalTime>
  <Pages>5</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Wise John (Commercial Directorate)</cp:lastModifiedBy>
  <cp:revision>6</cp:revision>
  <cp:lastPrinted>2019-09-27T14:14:00Z</cp:lastPrinted>
  <dcterms:created xsi:type="dcterms:W3CDTF">2019-10-01T15:43:00Z</dcterms:created>
  <dcterms:modified xsi:type="dcterms:W3CDTF">2019-10-01T16:06:00Z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