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93" w:rsidRPr="00F97CF2" w:rsidRDefault="00AA57FF" w:rsidP="00AE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lang w:eastAsia="en-GB"/>
        </w:rPr>
        <w:t xml:space="preserve">Care Home Nursing Care </w:t>
      </w:r>
      <w:r w:rsidR="00CE5B07">
        <w:rPr>
          <w:rFonts w:ascii="Arial" w:eastAsia="Times New Roman" w:hAnsi="Arial" w:cs="Arial"/>
          <w:b/>
          <w:bCs/>
          <w:kern w:val="36"/>
          <w:lang w:eastAsia="en-GB"/>
        </w:rPr>
        <w:t xml:space="preserve">for East Berkshire </w:t>
      </w:r>
      <w:r w:rsidR="007E7793" w:rsidRPr="00F97CF2">
        <w:rPr>
          <w:rFonts w:ascii="Arial" w:eastAsia="Times New Roman" w:hAnsi="Arial" w:cs="Arial"/>
          <w:b/>
          <w:bCs/>
          <w:kern w:val="36"/>
          <w:lang w:eastAsia="en-GB"/>
        </w:rPr>
        <w:t>CCG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 xml:space="preserve">Description </w:t>
      </w:r>
    </w:p>
    <w:p w:rsidR="00A221A9" w:rsidRPr="00E600FF" w:rsidRDefault="007E7793" w:rsidP="0017196A">
      <w:pPr>
        <w:pStyle w:val="TableParagraph"/>
        <w:spacing w:before="2"/>
        <w:jc w:val="both"/>
        <w:rPr>
          <w:rFonts w:eastAsia="Times New Roman"/>
          <w:lang w:eastAsia="en-GB"/>
        </w:rPr>
      </w:pPr>
      <w:r w:rsidRPr="00E600FF">
        <w:rPr>
          <w:rFonts w:eastAsia="Times New Roman"/>
          <w:lang w:eastAsia="en-GB"/>
        </w:rPr>
        <w:t xml:space="preserve">The following is a PIN notice only and is being placed to alert providers </w:t>
      </w:r>
      <w:r w:rsidR="000F35B5" w:rsidRPr="00E600FF">
        <w:rPr>
          <w:rFonts w:eastAsia="Times New Roman"/>
          <w:lang w:eastAsia="en-GB"/>
        </w:rPr>
        <w:t xml:space="preserve">to </w:t>
      </w:r>
      <w:r w:rsidRPr="00E600FF">
        <w:rPr>
          <w:rFonts w:eastAsia="Times New Roman"/>
          <w:lang w:eastAsia="en-GB"/>
        </w:rPr>
        <w:t xml:space="preserve">a potential </w:t>
      </w:r>
      <w:r w:rsidR="000F35B5" w:rsidRPr="00E600FF">
        <w:rPr>
          <w:rFonts w:eastAsia="Times New Roman"/>
          <w:lang w:eastAsia="en-GB"/>
        </w:rPr>
        <w:t>future</w:t>
      </w:r>
      <w:r w:rsidR="00AE4F30" w:rsidRPr="00E600FF">
        <w:rPr>
          <w:rFonts w:eastAsia="Times New Roman"/>
          <w:lang w:eastAsia="en-GB"/>
        </w:rPr>
        <w:t xml:space="preserve"> </w:t>
      </w:r>
      <w:r w:rsidRPr="00E600FF">
        <w:rPr>
          <w:rFonts w:eastAsia="Times New Roman"/>
          <w:lang w:eastAsia="en-GB"/>
        </w:rPr>
        <w:t>procurement exercise</w:t>
      </w:r>
      <w:r w:rsidR="000F35B5" w:rsidRPr="00E600FF">
        <w:rPr>
          <w:rFonts w:eastAsia="Times New Roman"/>
          <w:lang w:eastAsia="en-GB"/>
        </w:rPr>
        <w:t xml:space="preserve"> for </w:t>
      </w:r>
      <w:r w:rsidR="00AA57FF">
        <w:rPr>
          <w:rFonts w:eastAsia="Times New Roman"/>
          <w:lang w:eastAsia="en-GB"/>
        </w:rPr>
        <w:t xml:space="preserve">the provision of </w:t>
      </w:r>
      <w:r w:rsidR="00AA57FF">
        <w:t>CQC registered care home</w:t>
      </w:r>
      <w:r w:rsidR="0017196A" w:rsidRPr="00E600FF">
        <w:t xml:space="preserve"> nursing care</w:t>
      </w:r>
      <w:r w:rsidR="00BF1F91">
        <w:t>. The successful provider will need to</w:t>
      </w:r>
      <w:r w:rsidR="0017196A" w:rsidRPr="00E600FF">
        <w:t xml:space="preserve"> work with the CCG, </w:t>
      </w:r>
      <w:r w:rsidR="00BA2078">
        <w:t>local acute providers</w:t>
      </w:r>
      <w:r w:rsidR="0017196A" w:rsidRPr="00E600FF">
        <w:t>, social care partners and the wider Intermediate Care teams to provide Care with Nursing for individuals</w:t>
      </w:r>
      <w:r w:rsidR="00BF1F91">
        <w:t>,</w:t>
      </w:r>
      <w:r w:rsidR="0017196A" w:rsidRPr="00E600FF">
        <w:t xml:space="preserve"> </w:t>
      </w:r>
      <w:r w:rsidR="00BF1F91">
        <w:t>including those with dementia and p</w:t>
      </w:r>
      <w:r w:rsidR="0017196A" w:rsidRPr="00E600FF">
        <w:t>atients who require 24 hour overview by a Registered Nurse durin</w:t>
      </w:r>
      <w:r w:rsidR="00BF1F91">
        <w:t>g their multi-agency assessment. This</w:t>
      </w:r>
      <w:r w:rsidR="0017196A" w:rsidRPr="00E600FF">
        <w:t xml:space="preserve"> will </w:t>
      </w:r>
      <w:r w:rsidR="00BF1F91">
        <w:t xml:space="preserve">also </w:t>
      </w:r>
      <w:r w:rsidR="0017196A" w:rsidRPr="00E600FF">
        <w:t>include assessment for Continued Health Care (CHC) in the delivery of individually tailored rehabilitation, reablement or maintenance programmes e.g. for people who are unable to weight bear for extended periods. A main function of the Provider will be to carry out prescribed Physio / OT interventions as per therapy plan, a</w:t>
      </w:r>
      <w:r w:rsidR="00BF1F91">
        <w:t>nd</w:t>
      </w:r>
      <w:r w:rsidR="0017196A" w:rsidRPr="00E600FF">
        <w:t xml:space="preserve"> to host and participate in the twice weekly multi-disciplinary team (MDT) meetings.</w:t>
      </w:r>
      <w:r w:rsidRPr="00E600FF">
        <w:rPr>
          <w:rFonts w:eastAsia="Times New Roman"/>
          <w:lang w:eastAsia="en-GB"/>
        </w:rPr>
        <w:t xml:space="preserve"> </w:t>
      </w:r>
      <w:r w:rsidR="009023D8">
        <w:rPr>
          <w:rFonts w:eastAsia="Times New Roman"/>
          <w:lang w:eastAsia="en-GB"/>
        </w:rPr>
        <w:t>Please note that a</w:t>
      </w:r>
      <w:r w:rsidRPr="00E600FF">
        <w:rPr>
          <w:rFonts w:eastAsia="Times New Roman"/>
          <w:lang w:eastAsia="en-GB"/>
        </w:rPr>
        <w:t xml:space="preserve">ny values and timescales stated within this PIN notice are for guideline purposes only and should not be taken as a guarantee. </w:t>
      </w:r>
    </w:p>
    <w:p w:rsidR="007A6662" w:rsidRPr="00E600FF" w:rsidRDefault="007A6662" w:rsidP="0017196A">
      <w:pPr>
        <w:pStyle w:val="TableParagraph"/>
        <w:spacing w:before="2"/>
        <w:jc w:val="both"/>
        <w:rPr>
          <w:rFonts w:eastAsia="Times New Roman"/>
          <w:lang w:eastAsia="en-GB"/>
        </w:rPr>
      </w:pPr>
    </w:p>
    <w:p w:rsidR="007A6662" w:rsidRPr="00E600FF" w:rsidRDefault="007A6662" w:rsidP="0017196A">
      <w:pPr>
        <w:pStyle w:val="TableParagraph"/>
        <w:spacing w:before="2"/>
        <w:jc w:val="both"/>
        <w:rPr>
          <w:rFonts w:eastAsia="Times New Roman"/>
          <w:lang w:eastAsia="en-GB"/>
        </w:rPr>
      </w:pPr>
    </w:p>
    <w:p w:rsidR="007A6662" w:rsidRPr="00AA57FF" w:rsidRDefault="007A6662" w:rsidP="007A6662">
      <w:pPr>
        <w:pStyle w:val="TableParagraph"/>
        <w:spacing w:before="4"/>
      </w:pPr>
      <w:r w:rsidRPr="00AA57FF">
        <w:rPr>
          <w:rFonts w:eastAsia="Times New Roman"/>
          <w:lang w:eastAsia="en-GB"/>
        </w:rPr>
        <w:t xml:space="preserve">The </w:t>
      </w:r>
      <w:r w:rsidR="009023D8">
        <w:rPr>
          <w:rFonts w:eastAsia="Times New Roman"/>
          <w:lang w:eastAsia="en-GB"/>
        </w:rPr>
        <w:t>CCG is looking to</w:t>
      </w:r>
      <w:r w:rsidRPr="00AA57FF">
        <w:rPr>
          <w:w w:val="105"/>
        </w:rPr>
        <w:t xml:space="preserve"> provide a responsive</w:t>
      </w:r>
      <w:r w:rsidR="009023D8">
        <w:rPr>
          <w:w w:val="105"/>
        </w:rPr>
        <w:t xml:space="preserve">, </w:t>
      </w:r>
      <w:r w:rsidRPr="00AA57FF">
        <w:rPr>
          <w:w w:val="105"/>
        </w:rPr>
        <w:t xml:space="preserve">positive 'can do' Care with Nursing service, operating as part of a continuum of services seeking out and promoting </w:t>
      </w:r>
      <w:r w:rsidR="009023D8">
        <w:rPr>
          <w:w w:val="105"/>
        </w:rPr>
        <w:t>p</w:t>
      </w:r>
      <w:r w:rsidRPr="00AA57FF">
        <w:rPr>
          <w:w w:val="105"/>
        </w:rPr>
        <w:t>atients</w:t>
      </w:r>
      <w:r w:rsidR="009023D8">
        <w:rPr>
          <w:w w:val="105"/>
        </w:rPr>
        <w:t>’</w:t>
      </w:r>
      <w:r w:rsidRPr="00AA57FF">
        <w:rPr>
          <w:w w:val="105"/>
        </w:rPr>
        <w:t xml:space="preserve"> individual independence and which supports the wider system to:</w:t>
      </w:r>
    </w:p>
    <w:p w:rsidR="007A6662" w:rsidRPr="00AA57FF" w:rsidRDefault="007A6662" w:rsidP="007A6662">
      <w:pPr>
        <w:pStyle w:val="TableParagraph"/>
        <w:spacing w:before="10"/>
      </w:pPr>
    </w:p>
    <w:p w:rsidR="007A6662" w:rsidRPr="00AA57FF" w:rsidRDefault="007A6662" w:rsidP="00E600FF">
      <w:pPr>
        <w:pStyle w:val="TableParagraph"/>
        <w:numPr>
          <w:ilvl w:val="2"/>
          <w:numId w:val="3"/>
        </w:numPr>
        <w:tabs>
          <w:tab w:val="left" w:pos="859"/>
        </w:tabs>
        <w:spacing w:before="1"/>
        <w:ind w:right="354" w:hanging="298"/>
      </w:pPr>
      <w:proofErr w:type="gramStart"/>
      <w:r w:rsidRPr="00AA57FF">
        <w:rPr>
          <w:w w:val="105"/>
        </w:rPr>
        <w:t>facilitate</w:t>
      </w:r>
      <w:proofErr w:type="gramEnd"/>
      <w:r w:rsidRPr="00AA57FF">
        <w:rPr>
          <w:w w:val="105"/>
        </w:rPr>
        <w:t xml:space="preserve"> hospital discharge over the 7 Day </w:t>
      </w:r>
      <w:r w:rsidRPr="00AA57FF">
        <w:rPr>
          <w:spacing w:val="-3"/>
          <w:w w:val="105"/>
        </w:rPr>
        <w:t>period</w:t>
      </w:r>
      <w:r w:rsidR="00854C6C">
        <w:rPr>
          <w:spacing w:val="-3"/>
          <w:w w:val="105"/>
        </w:rPr>
        <w:t xml:space="preserve"> and</w:t>
      </w:r>
      <w:r w:rsidRPr="00AA57FF">
        <w:rPr>
          <w:spacing w:val="-3"/>
          <w:w w:val="105"/>
        </w:rPr>
        <w:t xml:space="preserve"> </w:t>
      </w:r>
      <w:r w:rsidRPr="00AA57FF">
        <w:rPr>
          <w:w w:val="105"/>
        </w:rPr>
        <w:t xml:space="preserve">provide a flexible approach to accepting patients </w:t>
      </w:r>
      <w:r w:rsidR="009023D8">
        <w:rPr>
          <w:w w:val="105"/>
        </w:rPr>
        <w:t>(where the</w:t>
      </w:r>
      <w:r w:rsidRPr="00AA57FF">
        <w:rPr>
          <w:w w:val="105"/>
        </w:rPr>
        <w:t xml:space="preserve"> Home </w:t>
      </w:r>
      <w:r w:rsidR="009023D8">
        <w:rPr>
          <w:w w:val="105"/>
        </w:rPr>
        <w:t>is</w:t>
      </w:r>
      <w:r w:rsidRPr="00AA57FF">
        <w:rPr>
          <w:w w:val="105"/>
        </w:rPr>
        <w:t xml:space="preserve"> able to meet their presenting</w:t>
      </w:r>
      <w:r w:rsidRPr="00AA57FF">
        <w:rPr>
          <w:spacing w:val="39"/>
          <w:w w:val="105"/>
        </w:rPr>
        <w:t xml:space="preserve"> </w:t>
      </w:r>
      <w:r w:rsidRPr="00AA57FF">
        <w:rPr>
          <w:w w:val="105"/>
        </w:rPr>
        <w:t>needs</w:t>
      </w:r>
      <w:r w:rsidR="009023D8">
        <w:rPr>
          <w:w w:val="105"/>
        </w:rPr>
        <w:t>)</w:t>
      </w:r>
      <w:r w:rsidRPr="00AA57FF">
        <w:rPr>
          <w:w w:val="105"/>
        </w:rPr>
        <w:t>.</w:t>
      </w:r>
    </w:p>
    <w:p w:rsidR="007A6662" w:rsidRPr="00AA57FF" w:rsidRDefault="007A6662" w:rsidP="00E600FF">
      <w:pPr>
        <w:pStyle w:val="TableParagraph"/>
        <w:numPr>
          <w:ilvl w:val="2"/>
          <w:numId w:val="3"/>
        </w:numPr>
        <w:tabs>
          <w:tab w:val="left" w:pos="859"/>
        </w:tabs>
        <w:spacing w:before="63"/>
        <w:ind w:left="878" w:right="-55" w:hanging="298"/>
      </w:pPr>
      <w:r w:rsidRPr="00AA57FF">
        <w:rPr>
          <w:w w:val="105"/>
        </w:rPr>
        <w:t xml:space="preserve">prevent </w:t>
      </w:r>
      <w:r w:rsidR="009023D8">
        <w:rPr>
          <w:w w:val="105"/>
        </w:rPr>
        <w:t xml:space="preserve">unnecessary </w:t>
      </w:r>
      <w:r w:rsidRPr="00AA57FF">
        <w:rPr>
          <w:w w:val="105"/>
        </w:rPr>
        <w:t xml:space="preserve">admission to acute settings from </w:t>
      </w:r>
      <w:r w:rsidRPr="00AA57FF">
        <w:rPr>
          <w:spacing w:val="-3"/>
          <w:w w:val="105"/>
        </w:rPr>
        <w:t>Emergency De</w:t>
      </w:r>
      <w:r w:rsidRPr="00AA57FF">
        <w:rPr>
          <w:w w:val="105"/>
        </w:rPr>
        <w:t>partments and the community</w:t>
      </w:r>
    </w:p>
    <w:p w:rsidR="007A6662" w:rsidRPr="009023D8" w:rsidRDefault="007A6662" w:rsidP="009023D8">
      <w:pPr>
        <w:pStyle w:val="TableParagraph"/>
        <w:numPr>
          <w:ilvl w:val="0"/>
          <w:numId w:val="3"/>
        </w:numPr>
        <w:tabs>
          <w:tab w:val="left" w:pos="859"/>
        </w:tabs>
        <w:spacing w:before="2"/>
        <w:ind w:left="851" w:hanging="284"/>
        <w:rPr>
          <w:rFonts w:eastAsia="Times New Roman"/>
          <w:szCs w:val="24"/>
          <w:lang w:eastAsia="en-GB"/>
        </w:rPr>
      </w:pPr>
      <w:r w:rsidRPr="00AA57FF">
        <w:rPr>
          <w:w w:val="105"/>
        </w:rPr>
        <w:t>maximise opportunities in relation to da</w:t>
      </w:r>
      <w:r w:rsidR="009023D8">
        <w:rPr>
          <w:w w:val="105"/>
        </w:rPr>
        <w:t>y</w:t>
      </w:r>
      <w:r w:rsidRPr="00AA57FF">
        <w:rPr>
          <w:w w:val="105"/>
        </w:rPr>
        <w:t xml:space="preserve"> attendance within </w:t>
      </w:r>
      <w:r w:rsidR="009023D8">
        <w:rPr>
          <w:w w:val="105"/>
        </w:rPr>
        <w:t>secondary care</w:t>
      </w:r>
      <w:r w:rsidRPr="00AA57FF">
        <w:rPr>
          <w:w w:val="105"/>
        </w:rPr>
        <w:t xml:space="preserve"> should further Consultant opinion or investigations be required e.g. accessing a </w:t>
      </w:r>
      <w:r w:rsidRPr="009023D8">
        <w:rPr>
          <w:w w:val="105"/>
        </w:rPr>
        <w:t xml:space="preserve">Frailty or Ambulatory Care Unit. </w:t>
      </w:r>
      <w:r w:rsidRPr="009023D8">
        <w:t xml:space="preserve">The Provider is required to actively manage day attendance and accept the returning </w:t>
      </w:r>
      <w:r w:rsidR="009023D8">
        <w:t>patient back into the unit on the same day of attendance</w:t>
      </w:r>
      <w:r w:rsidRPr="009023D8">
        <w:rPr>
          <w:w w:val="105"/>
          <w:szCs w:val="24"/>
        </w:rPr>
        <w:t>.</w:t>
      </w:r>
    </w:p>
    <w:p w:rsidR="00E600FF" w:rsidRPr="00AA57FF" w:rsidRDefault="00E600FF" w:rsidP="00E600FF">
      <w:pPr>
        <w:pStyle w:val="ListParagraph"/>
        <w:numPr>
          <w:ilvl w:val="0"/>
          <w:numId w:val="3"/>
        </w:numPr>
        <w:tabs>
          <w:tab w:val="left" w:pos="859"/>
          <w:tab w:val="left" w:pos="929"/>
          <w:tab w:val="left" w:pos="930"/>
        </w:tabs>
        <w:spacing w:before="8"/>
        <w:ind w:left="851" w:right="-46" w:hanging="284"/>
        <w:jc w:val="both"/>
      </w:pPr>
      <w:proofErr w:type="gramStart"/>
      <w:r w:rsidRPr="00AA57FF">
        <w:t>provide</w:t>
      </w:r>
      <w:proofErr w:type="gramEnd"/>
      <w:r w:rsidRPr="00AA57FF">
        <w:t xml:space="preserve"> </w:t>
      </w:r>
      <w:r w:rsidRPr="00AA57FF">
        <w:rPr>
          <w:spacing w:val="-6"/>
        </w:rPr>
        <w:t xml:space="preserve">effective, </w:t>
      </w:r>
      <w:r w:rsidRPr="00AA57FF">
        <w:t xml:space="preserve">high </w:t>
      </w:r>
      <w:r w:rsidRPr="00AA57FF">
        <w:rPr>
          <w:spacing w:val="-7"/>
        </w:rPr>
        <w:t xml:space="preserve">quality, </w:t>
      </w:r>
      <w:r w:rsidRPr="00AA57FF">
        <w:t xml:space="preserve">clinical management for </w:t>
      </w:r>
      <w:r w:rsidRPr="00AA57FF">
        <w:rPr>
          <w:spacing w:val="-4"/>
        </w:rPr>
        <w:t xml:space="preserve">individuals, </w:t>
      </w:r>
      <w:r w:rsidRPr="00AA57FF">
        <w:t xml:space="preserve">contributing </w:t>
      </w:r>
      <w:r w:rsidR="00854C6C">
        <w:t>to the multi­agency assessment s</w:t>
      </w:r>
      <w:r w:rsidRPr="00AA57FF">
        <w:t xml:space="preserve">upporting and assisting the person to meet identified </w:t>
      </w:r>
      <w:r w:rsidRPr="00AA57FF">
        <w:rPr>
          <w:spacing w:val="-6"/>
        </w:rPr>
        <w:t xml:space="preserve">reablement </w:t>
      </w:r>
      <w:r w:rsidRPr="00AA57FF">
        <w:t>promotion of independence goals within a maximum period of six weeks</w:t>
      </w:r>
      <w:r w:rsidR="00854C6C">
        <w:t>. T</w:t>
      </w:r>
      <w:r w:rsidRPr="00AA57FF">
        <w:t>his period can be extended e.g. for non-weight bearing patients,</w:t>
      </w:r>
      <w:r w:rsidRPr="00AA57FF">
        <w:rPr>
          <w:spacing w:val="-9"/>
        </w:rPr>
        <w:t xml:space="preserve"> </w:t>
      </w:r>
      <w:r w:rsidRPr="00AA57FF">
        <w:t>and</w:t>
      </w:r>
      <w:r w:rsidRPr="00AA57FF">
        <w:rPr>
          <w:spacing w:val="-15"/>
        </w:rPr>
        <w:t xml:space="preserve"> </w:t>
      </w:r>
      <w:r w:rsidRPr="00AA57FF">
        <w:t>is</w:t>
      </w:r>
      <w:r w:rsidRPr="00AA57FF">
        <w:rPr>
          <w:spacing w:val="-9"/>
        </w:rPr>
        <w:t xml:space="preserve"> </w:t>
      </w:r>
      <w:r w:rsidRPr="00AA57FF">
        <w:t>subject</w:t>
      </w:r>
      <w:r w:rsidRPr="00AA57FF">
        <w:rPr>
          <w:spacing w:val="-7"/>
        </w:rPr>
        <w:t xml:space="preserve"> </w:t>
      </w:r>
      <w:r w:rsidRPr="00AA57FF">
        <w:t>to</w:t>
      </w:r>
      <w:r w:rsidRPr="00AA57FF">
        <w:rPr>
          <w:spacing w:val="-16"/>
        </w:rPr>
        <w:t xml:space="preserve"> </w:t>
      </w:r>
      <w:r w:rsidRPr="00AA57FF">
        <w:t>twice</w:t>
      </w:r>
      <w:r w:rsidRPr="00AA57FF">
        <w:rPr>
          <w:spacing w:val="-10"/>
        </w:rPr>
        <w:t xml:space="preserve"> </w:t>
      </w:r>
      <w:r w:rsidRPr="00AA57FF">
        <w:t>weekly</w:t>
      </w:r>
      <w:r w:rsidRPr="00AA57FF">
        <w:rPr>
          <w:spacing w:val="-5"/>
        </w:rPr>
        <w:t xml:space="preserve"> </w:t>
      </w:r>
      <w:r w:rsidRPr="00AA57FF">
        <w:t>multi-disciplinary</w:t>
      </w:r>
      <w:r w:rsidRPr="00AA57FF">
        <w:rPr>
          <w:spacing w:val="-24"/>
        </w:rPr>
        <w:t xml:space="preserve"> </w:t>
      </w:r>
      <w:r w:rsidRPr="00AA57FF">
        <w:t>review.</w:t>
      </w:r>
    </w:p>
    <w:p w:rsidR="00E600FF" w:rsidRPr="00AA57FF" w:rsidRDefault="00E600FF" w:rsidP="00E600FF">
      <w:pPr>
        <w:pStyle w:val="ListParagraph"/>
        <w:numPr>
          <w:ilvl w:val="0"/>
          <w:numId w:val="3"/>
        </w:numPr>
        <w:tabs>
          <w:tab w:val="left" w:pos="859"/>
          <w:tab w:val="left" w:pos="931"/>
          <w:tab w:val="left" w:pos="932"/>
        </w:tabs>
        <w:spacing w:before="23"/>
        <w:ind w:left="851" w:right="-46" w:hanging="284"/>
        <w:jc w:val="both"/>
      </w:pPr>
      <w:r w:rsidRPr="00AA57FF">
        <w:t>to</w:t>
      </w:r>
      <w:r w:rsidRPr="00AA57FF">
        <w:rPr>
          <w:spacing w:val="-19"/>
        </w:rPr>
        <w:t xml:space="preserve"> </w:t>
      </w:r>
      <w:r w:rsidRPr="00AA57FF">
        <w:t>work</w:t>
      </w:r>
      <w:r w:rsidRPr="00AA57FF">
        <w:rPr>
          <w:spacing w:val="-9"/>
        </w:rPr>
        <w:t xml:space="preserve"> </w:t>
      </w:r>
      <w:r w:rsidRPr="00AA57FF">
        <w:t>with</w:t>
      </w:r>
      <w:r w:rsidRPr="00AA57FF">
        <w:rPr>
          <w:spacing w:val="-14"/>
        </w:rPr>
        <w:t xml:space="preserve"> </w:t>
      </w:r>
      <w:r w:rsidRPr="00AA57FF">
        <w:t>colleagues</w:t>
      </w:r>
      <w:r w:rsidRPr="00AA57FF">
        <w:rPr>
          <w:spacing w:val="-2"/>
        </w:rPr>
        <w:t xml:space="preserve"> </w:t>
      </w:r>
      <w:r w:rsidRPr="00AA57FF">
        <w:t>from</w:t>
      </w:r>
      <w:r w:rsidRPr="00AA57FF">
        <w:rPr>
          <w:spacing w:val="-6"/>
        </w:rPr>
        <w:t xml:space="preserve"> </w:t>
      </w:r>
      <w:r w:rsidRPr="00AA57FF">
        <w:t>the</w:t>
      </w:r>
      <w:r w:rsidRPr="00AA57FF">
        <w:rPr>
          <w:spacing w:val="-18"/>
        </w:rPr>
        <w:t xml:space="preserve"> </w:t>
      </w:r>
      <w:r w:rsidRPr="00AA57FF">
        <w:t>NHS</w:t>
      </w:r>
      <w:r w:rsidRPr="00AA57FF">
        <w:rPr>
          <w:spacing w:val="-8"/>
        </w:rPr>
        <w:t xml:space="preserve"> </w:t>
      </w:r>
      <w:r w:rsidRPr="00AA57FF">
        <w:t>and</w:t>
      </w:r>
      <w:r w:rsidRPr="00AA57FF">
        <w:rPr>
          <w:spacing w:val="-16"/>
        </w:rPr>
        <w:t xml:space="preserve"> </w:t>
      </w:r>
      <w:r w:rsidRPr="00AA57FF">
        <w:t>Social</w:t>
      </w:r>
      <w:r w:rsidRPr="00AA57FF">
        <w:rPr>
          <w:spacing w:val="-13"/>
        </w:rPr>
        <w:t xml:space="preserve"> </w:t>
      </w:r>
      <w:r w:rsidRPr="00AA57FF">
        <w:t>Care</w:t>
      </w:r>
      <w:r w:rsidRPr="00AA57FF">
        <w:rPr>
          <w:spacing w:val="-14"/>
        </w:rPr>
        <w:t xml:space="preserve"> </w:t>
      </w:r>
      <w:r w:rsidRPr="00AA57FF">
        <w:t>in</w:t>
      </w:r>
      <w:r w:rsidRPr="00AA57FF">
        <w:rPr>
          <w:spacing w:val="-17"/>
        </w:rPr>
        <w:t xml:space="preserve"> </w:t>
      </w:r>
      <w:r w:rsidRPr="00AA57FF">
        <w:t>producing</w:t>
      </w:r>
      <w:r w:rsidRPr="00AA57FF">
        <w:rPr>
          <w:spacing w:val="-6"/>
        </w:rPr>
        <w:t xml:space="preserve"> </w:t>
      </w:r>
      <w:r w:rsidRPr="00AA57FF">
        <w:t>agreed</w:t>
      </w:r>
      <w:r w:rsidRPr="00AA57FF">
        <w:rPr>
          <w:spacing w:val="-10"/>
        </w:rPr>
        <w:t xml:space="preserve"> </w:t>
      </w:r>
      <w:r w:rsidRPr="00AA57FF">
        <w:t>operational guidance</w:t>
      </w:r>
      <w:r w:rsidRPr="00AA57FF">
        <w:rPr>
          <w:spacing w:val="-10"/>
        </w:rPr>
        <w:t xml:space="preserve"> </w:t>
      </w:r>
      <w:r w:rsidRPr="00AA57FF">
        <w:t>in</w:t>
      </w:r>
      <w:r w:rsidRPr="00AA57FF">
        <w:rPr>
          <w:spacing w:val="-18"/>
        </w:rPr>
        <w:t xml:space="preserve"> </w:t>
      </w:r>
      <w:r w:rsidRPr="00AA57FF">
        <w:t>relation</w:t>
      </w:r>
      <w:r w:rsidRPr="00AA57FF">
        <w:rPr>
          <w:spacing w:val="-14"/>
        </w:rPr>
        <w:t xml:space="preserve"> </w:t>
      </w:r>
      <w:r w:rsidRPr="00AA57FF">
        <w:t>to</w:t>
      </w:r>
      <w:r w:rsidRPr="00AA57FF">
        <w:rPr>
          <w:spacing w:val="-24"/>
        </w:rPr>
        <w:t xml:space="preserve"> </w:t>
      </w:r>
      <w:r w:rsidRPr="00AA57FF">
        <w:t>patients</w:t>
      </w:r>
      <w:r w:rsidRPr="00AA57FF">
        <w:rPr>
          <w:spacing w:val="-14"/>
        </w:rPr>
        <w:t xml:space="preserve"> </w:t>
      </w:r>
      <w:r w:rsidRPr="00AA57FF">
        <w:t>requiring</w:t>
      </w:r>
      <w:r w:rsidRPr="00AA57FF">
        <w:rPr>
          <w:spacing w:val="-8"/>
        </w:rPr>
        <w:t xml:space="preserve"> </w:t>
      </w:r>
      <w:r w:rsidRPr="00AA57FF">
        <w:t>Intermediate</w:t>
      </w:r>
      <w:r w:rsidRPr="00AA57FF">
        <w:rPr>
          <w:spacing w:val="-5"/>
        </w:rPr>
        <w:t xml:space="preserve"> </w:t>
      </w:r>
      <w:r w:rsidRPr="00AA57FF">
        <w:t>Care</w:t>
      </w:r>
      <w:r w:rsidRPr="00AA57FF">
        <w:rPr>
          <w:spacing w:val="-13"/>
        </w:rPr>
        <w:t xml:space="preserve"> </w:t>
      </w:r>
      <w:r w:rsidRPr="00AA57FF">
        <w:t>-</w:t>
      </w:r>
      <w:r w:rsidRPr="00AA57FF">
        <w:rPr>
          <w:spacing w:val="35"/>
        </w:rPr>
        <w:t xml:space="preserve"> </w:t>
      </w:r>
      <w:r w:rsidRPr="00AA57FF">
        <w:t>Care</w:t>
      </w:r>
      <w:r w:rsidRPr="00AA57FF">
        <w:rPr>
          <w:spacing w:val="-8"/>
        </w:rPr>
        <w:t xml:space="preserve"> </w:t>
      </w:r>
      <w:r w:rsidRPr="00AA57FF">
        <w:t>with</w:t>
      </w:r>
      <w:r w:rsidRPr="00AA57FF">
        <w:rPr>
          <w:spacing w:val="-21"/>
        </w:rPr>
        <w:t xml:space="preserve"> </w:t>
      </w:r>
      <w:r w:rsidRPr="00AA57FF">
        <w:t>Nursing.</w:t>
      </w:r>
    </w:p>
    <w:p w:rsidR="00E600FF" w:rsidRPr="00AA57FF" w:rsidRDefault="00E600FF" w:rsidP="00E600FF">
      <w:pPr>
        <w:pStyle w:val="ListParagraph"/>
        <w:numPr>
          <w:ilvl w:val="0"/>
          <w:numId w:val="3"/>
        </w:numPr>
        <w:tabs>
          <w:tab w:val="left" w:pos="859"/>
          <w:tab w:val="left" w:pos="928"/>
          <w:tab w:val="left" w:pos="929"/>
        </w:tabs>
        <w:spacing w:before="26"/>
        <w:ind w:left="851" w:right="-46" w:hanging="284"/>
        <w:jc w:val="both"/>
      </w:pPr>
      <w:proofErr w:type="gramStart"/>
      <w:r w:rsidRPr="00AA57FF">
        <w:t>support</w:t>
      </w:r>
      <w:proofErr w:type="gramEnd"/>
      <w:r w:rsidRPr="00AA57FF">
        <w:t xml:space="preserve"> onward transfer of </w:t>
      </w:r>
      <w:r w:rsidRPr="00AA57FF">
        <w:rPr>
          <w:spacing w:val="-6"/>
        </w:rPr>
        <w:t xml:space="preserve">care, </w:t>
      </w:r>
      <w:r w:rsidRPr="00AA57FF">
        <w:t xml:space="preserve">should this be </w:t>
      </w:r>
      <w:r w:rsidRPr="00AA57FF">
        <w:rPr>
          <w:spacing w:val="-8"/>
        </w:rPr>
        <w:t>required</w:t>
      </w:r>
      <w:r w:rsidR="00854C6C">
        <w:rPr>
          <w:spacing w:val="-8"/>
        </w:rPr>
        <w:t xml:space="preserve"> and</w:t>
      </w:r>
      <w:r w:rsidRPr="00AA57FF">
        <w:rPr>
          <w:spacing w:val="-8"/>
        </w:rPr>
        <w:t xml:space="preserve"> </w:t>
      </w:r>
      <w:r w:rsidRPr="00AA57FF">
        <w:t>improving standards of care and</w:t>
      </w:r>
      <w:r w:rsidRPr="00AA57FF">
        <w:rPr>
          <w:spacing w:val="-31"/>
        </w:rPr>
        <w:t xml:space="preserve"> </w:t>
      </w:r>
      <w:r w:rsidRPr="00AA57FF">
        <w:t>the patient's</w:t>
      </w:r>
      <w:r w:rsidR="00854C6C">
        <w:t xml:space="preserve"> </w:t>
      </w:r>
      <w:r w:rsidRPr="00AA57FF">
        <w:rPr>
          <w:spacing w:val="-38"/>
        </w:rPr>
        <w:t xml:space="preserve"> </w:t>
      </w:r>
      <w:r w:rsidRPr="00AA57FF">
        <w:t>experience.</w:t>
      </w:r>
    </w:p>
    <w:p w:rsidR="00E600FF" w:rsidRPr="00AA57FF" w:rsidRDefault="00E600FF" w:rsidP="00E600FF">
      <w:pPr>
        <w:pStyle w:val="TableParagraph"/>
        <w:numPr>
          <w:ilvl w:val="0"/>
          <w:numId w:val="3"/>
        </w:numPr>
        <w:tabs>
          <w:tab w:val="left" w:pos="859"/>
        </w:tabs>
        <w:spacing w:before="2"/>
        <w:ind w:left="851" w:right="-46" w:hanging="284"/>
        <w:jc w:val="both"/>
        <w:rPr>
          <w:rFonts w:eastAsia="Times New Roman"/>
          <w:lang w:eastAsia="en-GB"/>
        </w:rPr>
      </w:pPr>
      <w:proofErr w:type="gramStart"/>
      <w:r w:rsidRPr="00AA57FF">
        <w:t>operate</w:t>
      </w:r>
      <w:proofErr w:type="gramEnd"/>
      <w:r w:rsidRPr="00AA57FF">
        <w:t xml:space="preserve"> effectively and </w:t>
      </w:r>
      <w:r w:rsidRPr="00AA57FF">
        <w:rPr>
          <w:spacing w:val="-4"/>
        </w:rPr>
        <w:t xml:space="preserve">efficiently, </w:t>
      </w:r>
      <w:r w:rsidRPr="00AA57FF">
        <w:t>in the best interests of the patient and the wider</w:t>
      </w:r>
      <w:r w:rsidRPr="00AA57FF">
        <w:rPr>
          <w:spacing w:val="-27"/>
        </w:rPr>
        <w:t xml:space="preserve"> </w:t>
      </w:r>
      <w:r w:rsidRPr="00AA57FF">
        <w:rPr>
          <w:spacing w:val="-9"/>
        </w:rPr>
        <w:t xml:space="preserve">system; </w:t>
      </w:r>
      <w:r w:rsidRPr="00AA57FF">
        <w:t>representing value for money for residents of East</w:t>
      </w:r>
      <w:r w:rsidRPr="00AA57FF">
        <w:rPr>
          <w:spacing w:val="-36"/>
        </w:rPr>
        <w:t xml:space="preserve"> </w:t>
      </w:r>
      <w:r w:rsidRPr="00AA57FF">
        <w:rPr>
          <w:spacing w:val="-7"/>
        </w:rPr>
        <w:t>Berkshire</w:t>
      </w:r>
      <w:r w:rsidR="00854C6C">
        <w:rPr>
          <w:spacing w:val="-7"/>
        </w:rPr>
        <w:t>.</w:t>
      </w:r>
    </w:p>
    <w:p w:rsidR="007A6662" w:rsidRPr="00AA57FF" w:rsidRDefault="007A6662" w:rsidP="00E600FF">
      <w:pPr>
        <w:pStyle w:val="TableParagraph"/>
        <w:spacing w:before="2"/>
        <w:ind w:right="-46"/>
        <w:jc w:val="both"/>
        <w:rPr>
          <w:rFonts w:eastAsia="Times New Roman"/>
          <w:lang w:eastAsia="en-GB"/>
        </w:rPr>
      </w:pPr>
    </w:p>
    <w:p w:rsidR="007A6662" w:rsidRPr="00AA57FF" w:rsidRDefault="007A6662" w:rsidP="0017196A">
      <w:pPr>
        <w:pStyle w:val="TableParagraph"/>
        <w:spacing w:before="2"/>
        <w:jc w:val="both"/>
        <w:rPr>
          <w:rFonts w:eastAsia="Times New Roman"/>
          <w:lang w:eastAsia="en-GB"/>
        </w:rPr>
      </w:pPr>
    </w:p>
    <w:p w:rsidR="00F97CF2" w:rsidRPr="00AA57FF" w:rsidRDefault="005641CB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A57FF">
        <w:rPr>
          <w:rFonts w:ascii="Arial" w:eastAsia="Times New Roman" w:hAnsi="Arial" w:cs="Arial"/>
          <w:bCs/>
        </w:rPr>
        <w:t>The CCG will be looking to purchase beds on a mix of block and spot purchase activity. Prior years</w:t>
      </w:r>
      <w:r w:rsidR="00854C6C">
        <w:rPr>
          <w:rFonts w:ascii="Arial" w:eastAsia="Times New Roman" w:hAnsi="Arial" w:cs="Arial"/>
          <w:bCs/>
        </w:rPr>
        <w:t>’</w:t>
      </w:r>
      <w:r w:rsidRPr="00AA57FF">
        <w:rPr>
          <w:rFonts w:ascii="Arial" w:eastAsia="Times New Roman" w:hAnsi="Arial" w:cs="Arial"/>
          <w:bCs/>
        </w:rPr>
        <w:t xml:space="preserve"> activity would suggest that during peak months weekly bed usage is in the region of 15, which drops to around 6 during summer months.</w:t>
      </w:r>
    </w:p>
    <w:p w:rsidR="004062F7" w:rsidRPr="00AA57FF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AA57FF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9F66C7" w:rsidRPr="00AA57FF" w:rsidRDefault="009F66C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A57FF">
        <w:rPr>
          <w:rFonts w:ascii="Arial" w:eastAsia="Times New Roman" w:hAnsi="Arial" w:cs="Arial"/>
          <w:lang w:eastAsia="en-GB"/>
        </w:rPr>
        <w:t xml:space="preserve">Although the CCG would be working to an annual budget spend of approximately £300,000, there is no guarantee of fixed activity, and </w:t>
      </w:r>
      <w:r w:rsidR="005641CB" w:rsidRPr="00AA57FF">
        <w:rPr>
          <w:rFonts w:ascii="Arial" w:eastAsia="Times New Roman" w:hAnsi="Arial" w:cs="Arial"/>
          <w:lang w:eastAsia="en-GB"/>
        </w:rPr>
        <w:t xml:space="preserve">therefore no guaranteed </w:t>
      </w:r>
      <w:r w:rsidRPr="00AA57FF">
        <w:rPr>
          <w:rFonts w:ascii="Arial" w:eastAsia="Times New Roman" w:hAnsi="Arial" w:cs="Arial"/>
          <w:lang w:eastAsia="en-GB"/>
        </w:rPr>
        <w:t>revenue for the Provi</w:t>
      </w:r>
      <w:r w:rsidR="005641CB" w:rsidRPr="00AA57FF">
        <w:rPr>
          <w:rFonts w:ascii="Arial" w:eastAsia="Times New Roman" w:hAnsi="Arial" w:cs="Arial"/>
          <w:lang w:eastAsia="en-GB"/>
        </w:rPr>
        <w:t>der during the contract period.</w:t>
      </w:r>
    </w:p>
    <w:p w:rsidR="009F66C7" w:rsidRPr="00AA57FF" w:rsidRDefault="009F66C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AA57FF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AA57FF" w:rsidRDefault="007E7793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A57FF">
        <w:rPr>
          <w:rFonts w:ascii="Arial" w:eastAsia="Times New Roman" w:hAnsi="Arial" w:cs="Arial"/>
          <w:lang w:eastAsia="en-GB"/>
        </w:rPr>
        <w:t>Should you wish to express interest, please indicate</w:t>
      </w:r>
      <w:r w:rsidR="00A221A9" w:rsidRPr="00AA57FF">
        <w:rPr>
          <w:rFonts w:ascii="Arial" w:eastAsia="Times New Roman" w:hAnsi="Arial" w:cs="Arial"/>
          <w:lang w:eastAsia="en-GB"/>
        </w:rPr>
        <w:t xml:space="preserve"> </w:t>
      </w:r>
      <w:r w:rsidRPr="00AA57FF">
        <w:rPr>
          <w:rFonts w:ascii="Arial" w:eastAsia="Times New Roman" w:hAnsi="Arial" w:cs="Arial"/>
          <w:lang w:eastAsia="en-GB"/>
        </w:rPr>
        <w:t>where your organisation is currently situated and/or where your organisation would int</w:t>
      </w:r>
      <w:r w:rsidR="00F97CF2" w:rsidRPr="00AA57FF">
        <w:rPr>
          <w:rFonts w:ascii="Arial" w:eastAsia="Times New Roman" w:hAnsi="Arial" w:cs="Arial"/>
          <w:lang w:eastAsia="en-GB"/>
        </w:rPr>
        <w:t>end to provide the service</w:t>
      </w:r>
      <w:r w:rsidR="00697670" w:rsidRPr="00AA57FF">
        <w:rPr>
          <w:rFonts w:ascii="Arial" w:eastAsia="Times New Roman" w:hAnsi="Arial" w:cs="Arial"/>
          <w:lang w:eastAsia="en-GB"/>
        </w:rPr>
        <w:t xml:space="preserve"> from.</w:t>
      </w:r>
    </w:p>
    <w:p w:rsidR="00383B0B" w:rsidRPr="00AA57FF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A57FF">
        <w:rPr>
          <w:rFonts w:ascii="Arial" w:eastAsia="Times New Roman" w:hAnsi="Arial" w:cs="Arial"/>
          <w:lang w:eastAsia="en-GB"/>
        </w:rPr>
        <w:t>If you would be interested in providing the service, please send an email to Mark Stanbrook</w:t>
      </w:r>
      <w:r w:rsidR="00697670" w:rsidRPr="00AA57FF">
        <w:rPr>
          <w:rFonts w:ascii="Arial" w:eastAsia="Times New Roman" w:hAnsi="Arial" w:cs="Arial"/>
          <w:lang w:eastAsia="en-GB"/>
        </w:rPr>
        <w:t>, Lead Senior Procurement Manager at</w:t>
      </w:r>
      <w:r w:rsidRPr="00AA57FF">
        <w:rPr>
          <w:rFonts w:ascii="Arial" w:eastAsia="Times New Roman" w:hAnsi="Arial" w:cs="Arial"/>
          <w:lang w:eastAsia="en-GB"/>
        </w:rPr>
        <w:t xml:space="preserve"> </w:t>
      </w:r>
      <w:hyperlink r:id="rId8" w:history="1">
        <w:r w:rsidR="00697670" w:rsidRPr="00AA57FF">
          <w:rPr>
            <w:rStyle w:val="Hyperlink"/>
            <w:rFonts w:ascii="Arial" w:eastAsia="Times New Roman" w:hAnsi="Arial" w:cs="Arial"/>
            <w:color w:val="auto"/>
            <w:lang w:eastAsia="en-GB"/>
          </w:rPr>
          <w:t>mstanbrook@nhs.net</w:t>
        </w:r>
      </w:hyperlink>
      <w:r w:rsidR="00697670" w:rsidRPr="00AA57FF">
        <w:rPr>
          <w:rFonts w:ascii="Arial" w:eastAsia="Times New Roman" w:hAnsi="Arial" w:cs="Arial"/>
          <w:lang w:eastAsia="en-GB"/>
        </w:rPr>
        <w:t xml:space="preserve"> including the above requested information</w:t>
      </w:r>
      <w:r w:rsidRPr="00AA57FF">
        <w:rPr>
          <w:rFonts w:ascii="Arial" w:eastAsia="Times New Roman" w:hAnsi="Arial" w:cs="Arial"/>
          <w:lang w:eastAsia="en-GB"/>
        </w:rPr>
        <w:t xml:space="preserve"> and further details will be sent accordingly. </w:t>
      </w:r>
      <w:r w:rsidR="00697670" w:rsidRPr="00AA57FF">
        <w:rPr>
          <w:rFonts w:ascii="Arial" w:eastAsia="Times New Roman" w:hAnsi="Arial" w:cs="Arial"/>
          <w:lang w:eastAsia="en-GB"/>
        </w:rPr>
        <w:t xml:space="preserve">The closing date for expressing interest will be 5pm on </w:t>
      </w:r>
      <w:r w:rsidR="00AA57FF">
        <w:rPr>
          <w:rFonts w:ascii="Arial" w:eastAsia="Times New Roman" w:hAnsi="Arial" w:cs="Arial"/>
          <w:lang w:eastAsia="en-GB"/>
        </w:rPr>
        <w:t>31</w:t>
      </w:r>
      <w:r w:rsidR="00AA57FF" w:rsidRPr="00AA57FF">
        <w:rPr>
          <w:rFonts w:ascii="Arial" w:eastAsia="Times New Roman" w:hAnsi="Arial" w:cs="Arial"/>
          <w:vertAlign w:val="superscript"/>
          <w:lang w:eastAsia="en-GB"/>
        </w:rPr>
        <w:t>st</w:t>
      </w:r>
      <w:r w:rsidR="00AA57FF">
        <w:rPr>
          <w:rFonts w:ascii="Arial" w:eastAsia="Times New Roman" w:hAnsi="Arial" w:cs="Arial"/>
          <w:lang w:eastAsia="en-GB"/>
        </w:rPr>
        <w:t xml:space="preserve"> </w:t>
      </w:r>
      <w:r w:rsidR="00CE5B07" w:rsidRPr="00AA57FF">
        <w:rPr>
          <w:rFonts w:ascii="Arial" w:eastAsia="Times New Roman" w:hAnsi="Arial" w:cs="Arial"/>
          <w:lang w:eastAsia="en-GB"/>
        </w:rPr>
        <w:t>December</w:t>
      </w:r>
      <w:r w:rsidR="00697670" w:rsidRPr="00AA57FF">
        <w:rPr>
          <w:rFonts w:ascii="Arial" w:eastAsia="Times New Roman" w:hAnsi="Arial" w:cs="Arial"/>
          <w:lang w:eastAsia="en-GB"/>
        </w:rPr>
        <w:t xml:space="preserve"> 2018.</w:t>
      </w:r>
    </w:p>
    <w:p w:rsidR="00383B0B" w:rsidRDefault="00383B0B">
      <w:pPr>
        <w:rPr>
          <w:rFonts w:ascii="Arial" w:hAnsi="Arial" w:cs="Arial"/>
        </w:rPr>
      </w:pPr>
    </w:p>
    <w:p w:rsidR="00FB76C8" w:rsidRPr="00383B0B" w:rsidRDefault="00FB76C8">
      <w:pPr>
        <w:rPr>
          <w:rFonts w:ascii="Arial" w:hAnsi="Arial" w:cs="Arial"/>
        </w:rPr>
      </w:pPr>
      <w:bookmarkStart w:id="0" w:name="_GoBack"/>
      <w:bookmarkEnd w:id="0"/>
    </w:p>
    <w:sectPr w:rsidR="00FB76C8" w:rsidRPr="0038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98" w:rsidRDefault="00815598" w:rsidP="004062F7">
      <w:pPr>
        <w:spacing w:after="0" w:line="240" w:lineRule="auto"/>
      </w:pPr>
      <w:r>
        <w:separator/>
      </w:r>
    </w:p>
  </w:endnote>
  <w:endnote w:type="continuationSeparator" w:id="0">
    <w:p w:rsidR="00815598" w:rsidRDefault="00815598" w:rsidP="0040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98" w:rsidRDefault="00815598" w:rsidP="004062F7">
      <w:pPr>
        <w:spacing w:after="0" w:line="240" w:lineRule="auto"/>
      </w:pPr>
      <w:r>
        <w:separator/>
      </w:r>
    </w:p>
  </w:footnote>
  <w:footnote w:type="continuationSeparator" w:id="0">
    <w:p w:rsidR="00815598" w:rsidRDefault="00815598" w:rsidP="0040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A0A"/>
    <w:multiLevelType w:val="multilevel"/>
    <w:tmpl w:val="5D46A6DA"/>
    <w:lvl w:ilvl="0">
      <w:numFmt w:val="bullet"/>
      <w:lvlText w:val="•"/>
      <w:lvlJc w:val="left"/>
      <w:pPr>
        <w:ind w:left="525" w:hanging="338"/>
      </w:pPr>
      <w:rPr>
        <w:rFonts w:ascii="Arial" w:eastAsia="Arial" w:hAnsi="Arial" w:cs="Arial" w:hint="default"/>
        <w:color w:val="2F2F2F"/>
        <w:w w:val="108"/>
        <w:sz w:val="18"/>
        <w:szCs w:val="18"/>
      </w:rPr>
    </w:lvl>
    <w:lvl w:ilvl="1">
      <w:start w:val="1"/>
      <w:numFmt w:val="decimal"/>
      <w:lvlText w:val="%1.%2"/>
      <w:lvlJc w:val="left"/>
      <w:pPr>
        <w:ind w:left="525" w:hanging="338"/>
      </w:pPr>
      <w:rPr>
        <w:rFonts w:ascii="Arial" w:eastAsia="Arial" w:hAnsi="Arial" w:cs="Arial" w:hint="default"/>
        <w:b/>
        <w:bCs/>
        <w:color w:val="2D2D2D"/>
        <w:spacing w:val="-13"/>
        <w:w w:val="106"/>
        <w:sz w:val="18"/>
        <w:szCs w:val="18"/>
      </w:rPr>
    </w:lvl>
    <w:lvl w:ilvl="2">
      <w:numFmt w:val="bullet"/>
      <w:lvlText w:val="•"/>
      <w:lvlJc w:val="left"/>
      <w:pPr>
        <w:ind w:left="873" w:hanging="344"/>
      </w:pPr>
      <w:rPr>
        <w:rFonts w:hint="default"/>
        <w:w w:val="108"/>
        <w:position w:val="-5"/>
      </w:rPr>
    </w:lvl>
    <w:lvl w:ilvl="3">
      <w:numFmt w:val="bullet"/>
      <w:lvlText w:val="•"/>
      <w:lvlJc w:val="left"/>
      <w:pPr>
        <w:ind w:left="2655" w:hanging="344"/>
      </w:pPr>
      <w:rPr>
        <w:rFonts w:hint="default"/>
      </w:rPr>
    </w:lvl>
    <w:lvl w:ilvl="4">
      <w:numFmt w:val="bullet"/>
      <w:lvlText w:val="•"/>
      <w:lvlJc w:val="left"/>
      <w:pPr>
        <w:ind w:left="3543" w:hanging="344"/>
      </w:pPr>
      <w:rPr>
        <w:rFonts w:hint="default"/>
      </w:rPr>
    </w:lvl>
    <w:lvl w:ilvl="5">
      <w:numFmt w:val="bullet"/>
      <w:lvlText w:val="•"/>
      <w:lvlJc w:val="left"/>
      <w:pPr>
        <w:ind w:left="4430" w:hanging="344"/>
      </w:pPr>
      <w:rPr>
        <w:rFonts w:hint="default"/>
      </w:rPr>
    </w:lvl>
    <w:lvl w:ilvl="6">
      <w:numFmt w:val="bullet"/>
      <w:lvlText w:val="•"/>
      <w:lvlJc w:val="left"/>
      <w:pPr>
        <w:ind w:left="5318" w:hanging="344"/>
      </w:pPr>
      <w:rPr>
        <w:rFonts w:hint="default"/>
      </w:rPr>
    </w:lvl>
    <w:lvl w:ilvl="7">
      <w:numFmt w:val="bullet"/>
      <w:lvlText w:val="•"/>
      <w:lvlJc w:val="left"/>
      <w:pPr>
        <w:ind w:left="6206" w:hanging="344"/>
      </w:pPr>
      <w:rPr>
        <w:rFonts w:hint="default"/>
      </w:rPr>
    </w:lvl>
    <w:lvl w:ilvl="8">
      <w:numFmt w:val="bullet"/>
      <w:lvlText w:val="•"/>
      <w:lvlJc w:val="left"/>
      <w:pPr>
        <w:ind w:left="7093" w:hanging="344"/>
      </w:pPr>
      <w:rPr>
        <w:rFonts w:hint="default"/>
      </w:rPr>
    </w:lvl>
  </w:abstractNum>
  <w:abstractNum w:abstractNumId="1">
    <w:nsid w:val="1B704AF0"/>
    <w:multiLevelType w:val="hybridMultilevel"/>
    <w:tmpl w:val="2CDE8C7C"/>
    <w:lvl w:ilvl="0" w:tplc="FE48B43E">
      <w:numFmt w:val="bullet"/>
      <w:lvlText w:val="•"/>
      <w:lvlJc w:val="left"/>
      <w:pPr>
        <w:ind w:left="905" w:hanging="335"/>
      </w:pPr>
      <w:rPr>
        <w:rFonts w:hint="default"/>
        <w:w w:val="107"/>
      </w:rPr>
    </w:lvl>
    <w:lvl w:ilvl="1" w:tplc="439660F4">
      <w:numFmt w:val="bullet"/>
      <w:lvlText w:val="•"/>
      <w:lvlJc w:val="left"/>
      <w:pPr>
        <w:ind w:left="1842" w:hanging="335"/>
      </w:pPr>
      <w:rPr>
        <w:rFonts w:hint="default"/>
      </w:rPr>
    </w:lvl>
    <w:lvl w:ilvl="2" w:tplc="EA36C584">
      <w:numFmt w:val="bullet"/>
      <w:lvlText w:val="•"/>
      <w:lvlJc w:val="left"/>
      <w:pPr>
        <w:ind w:left="2784" w:hanging="335"/>
      </w:pPr>
      <w:rPr>
        <w:rFonts w:hint="default"/>
      </w:rPr>
    </w:lvl>
    <w:lvl w:ilvl="3" w:tplc="16A4D1B8">
      <w:numFmt w:val="bullet"/>
      <w:lvlText w:val="•"/>
      <w:lvlJc w:val="left"/>
      <w:pPr>
        <w:ind w:left="3726" w:hanging="335"/>
      </w:pPr>
      <w:rPr>
        <w:rFonts w:hint="default"/>
      </w:rPr>
    </w:lvl>
    <w:lvl w:ilvl="4" w:tplc="3B4C2256">
      <w:numFmt w:val="bullet"/>
      <w:lvlText w:val="•"/>
      <w:lvlJc w:val="left"/>
      <w:pPr>
        <w:ind w:left="4668" w:hanging="335"/>
      </w:pPr>
      <w:rPr>
        <w:rFonts w:hint="default"/>
      </w:rPr>
    </w:lvl>
    <w:lvl w:ilvl="5" w:tplc="AE965144">
      <w:numFmt w:val="bullet"/>
      <w:lvlText w:val="•"/>
      <w:lvlJc w:val="left"/>
      <w:pPr>
        <w:ind w:left="5610" w:hanging="335"/>
      </w:pPr>
      <w:rPr>
        <w:rFonts w:hint="default"/>
      </w:rPr>
    </w:lvl>
    <w:lvl w:ilvl="6" w:tplc="F97218D0">
      <w:numFmt w:val="bullet"/>
      <w:lvlText w:val="•"/>
      <w:lvlJc w:val="left"/>
      <w:pPr>
        <w:ind w:left="6552" w:hanging="335"/>
      </w:pPr>
      <w:rPr>
        <w:rFonts w:hint="default"/>
      </w:rPr>
    </w:lvl>
    <w:lvl w:ilvl="7" w:tplc="68C48460">
      <w:numFmt w:val="bullet"/>
      <w:lvlText w:val="•"/>
      <w:lvlJc w:val="left"/>
      <w:pPr>
        <w:ind w:left="7494" w:hanging="335"/>
      </w:pPr>
      <w:rPr>
        <w:rFonts w:hint="default"/>
      </w:rPr>
    </w:lvl>
    <w:lvl w:ilvl="8" w:tplc="DC16F4C4">
      <w:numFmt w:val="bullet"/>
      <w:lvlText w:val="•"/>
      <w:lvlJc w:val="left"/>
      <w:pPr>
        <w:ind w:left="8436" w:hanging="335"/>
      </w:pPr>
      <w:rPr>
        <w:rFonts w:hint="default"/>
      </w:rPr>
    </w:lvl>
  </w:abstractNum>
  <w:abstractNum w:abstractNumId="2">
    <w:nsid w:val="1E585FE0"/>
    <w:multiLevelType w:val="hybridMultilevel"/>
    <w:tmpl w:val="DF1A9E32"/>
    <w:lvl w:ilvl="0" w:tplc="4E380FAA">
      <w:numFmt w:val="bullet"/>
      <w:lvlText w:val="•"/>
      <w:lvlJc w:val="left"/>
      <w:pPr>
        <w:ind w:left="669" w:hanging="145"/>
      </w:pPr>
      <w:rPr>
        <w:rFonts w:ascii="Times New Roman" w:eastAsia="Times New Roman" w:hAnsi="Times New Roman" w:cs="Times New Roman" w:hint="default"/>
        <w:color w:val="3D3D3D"/>
        <w:w w:val="104"/>
        <w:position w:val="-5"/>
        <w:sz w:val="28"/>
        <w:szCs w:val="28"/>
      </w:rPr>
    </w:lvl>
    <w:lvl w:ilvl="1" w:tplc="4C6AEC48">
      <w:numFmt w:val="bullet"/>
      <w:lvlText w:val="•"/>
      <w:lvlJc w:val="left"/>
      <w:pPr>
        <w:ind w:left="1480" w:hanging="145"/>
      </w:pPr>
      <w:rPr>
        <w:rFonts w:hint="default"/>
      </w:rPr>
    </w:lvl>
    <w:lvl w:ilvl="2" w:tplc="0C2656EE">
      <w:numFmt w:val="bullet"/>
      <w:lvlText w:val="•"/>
      <w:lvlJc w:val="left"/>
      <w:pPr>
        <w:ind w:left="2301" w:hanging="145"/>
      </w:pPr>
      <w:rPr>
        <w:rFonts w:hint="default"/>
      </w:rPr>
    </w:lvl>
    <w:lvl w:ilvl="3" w:tplc="77521FF8">
      <w:numFmt w:val="bullet"/>
      <w:lvlText w:val="•"/>
      <w:lvlJc w:val="left"/>
      <w:pPr>
        <w:ind w:left="3122" w:hanging="145"/>
      </w:pPr>
      <w:rPr>
        <w:rFonts w:hint="default"/>
      </w:rPr>
    </w:lvl>
    <w:lvl w:ilvl="4" w:tplc="C44642EC">
      <w:numFmt w:val="bullet"/>
      <w:lvlText w:val="•"/>
      <w:lvlJc w:val="left"/>
      <w:pPr>
        <w:ind w:left="3943" w:hanging="145"/>
      </w:pPr>
      <w:rPr>
        <w:rFonts w:hint="default"/>
      </w:rPr>
    </w:lvl>
    <w:lvl w:ilvl="5" w:tplc="B964AF86">
      <w:numFmt w:val="bullet"/>
      <w:lvlText w:val="•"/>
      <w:lvlJc w:val="left"/>
      <w:pPr>
        <w:ind w:left="4764" w:hanging="145"/>
      </w:pPr>
      <w:rPr>
        <w:rFonts w:hint="default"/>
      </w:rPr>
    </w:lvl>
    <w:lvl w:ilvl="6" w:tplc="393C27DC">
      <w:numFmt w:val="bullet"/>
      <w:lvlText w:val="•"/>
      <w:lvlJc w:val="left"/>
      <w:pPr>
        <w:ind w:left="5585" w:hanging="145"/>
      </w:pPr>
      <w:rPr>
        <w:rFonts w:hint="default"/>
      </w:rPr>
    </w:lvl>
    <w:lvl w:ilvl="7" w:tplc="AB209178">
      <w:numFmt w:val="bullet"/>
      <w:lvlText w:val="•"/>
      <w:lvlJc w:val="left"/>
      <w:pPr>
        <w:ind w:left="6406" w:hanging="145"/>
      </w:pPr>
      <w:rPr>
        <w:rFonts w:hint="default"/>
      </w:rPr>
    </w:lvl>
    <w:lvl w:ilvl="8" w:tplc="15B07370">
      <w:numFmt w:val="bullet"/>
      <w:lvlText w:val="•"/>
      <w:lvlJc w:val="left"/>
      <w:pPr>
        <w:ind w:left="7227" w:hanging="145"/>
      </w:pPr>
      <w:rPr>
        <w:rFonts w:hint="default"/>
      </w:rPr>
    </w:lvl>
  </w:abstractNum>
  <w:abstractNum w:abstractNumId="3">
    <w:nsid w:val="258A59DD"/>
    <w:multiLevelType w:val="hybridMultilevel"/>
    <w:tmpl w:val="63728B4C"/>
    <w:lvl w:ilvl="0" w:tplc="43988FD4">
      <w:start w:val="1"/>
      <w:numFmt w:val="upperLetter"/>
      <w:lvlText w:val="%1."/>
      <w:lvlJc w:val="left"/>
      <w:pPr>
        <w:ind w:left="3549" w:hanging="674"/>
        <w:jc w:val="right"/>
      </w:pPr>
      <w:rPr>
        <w:rFonts w:hint="default"/>
        <w:b/>
        <w:bCs/>
        <w:w w:val="98"/>
      </w:rPr>
    </w:lvl>
    <w:lvl w:ilvl="1" w:tplc="5A5A8CD2">
      <w:start w:val="1"/>
      <w:numFmt w:val="upperLetter"/>
      <w:lvlText w:val="%2."/>
      <w:lvlJc w:val="left"/>
      <w:pPr>
        <w:ind w:left="3752" w:hanging="540"/>
        <w:jc w:val="right"/>
      </w:pPr>
      <w:rPr>
        <w:rFonts w:hint="default"/>
        <w:b/>
        <w:bCs/>
        <w:w w:val="101"/>
      </w:rPr>
    </w:lvl>
    <w:lvl w:ilvl="2" w:tplc="BC20AB50">
      <w:numFmt w:val="bullet"/>
      <w:lvlText w:val="•"/>
      <w:lvlJc w:val="left"/>
      <w:pPr>
        <w:ind w:left="4344" w:hanging="540"/>
      </w:pPr>
      <w:rPr>
        <w:rFonts w:hint="default"/>
      </w:rPr>
    </w:lvl>
    <w:lvl w:ilvl="3" w:tplc="C11E2BAE">
      <w:numFmt w:val="bullet"/>
      <w:lvlText w:val="•"/>
      <w:lvlJc w:val="left"/>
      <w:pPr>
        <w:ind w:left="4928" w:hanging="540"/>
      </w:pPr>
      <w:rPr>
        <w:rFonts w:hint="default"/>
      </w:rPr>
    </w:lvl>
    <w:lvl w:ilvl="4" w:tplc="05D89EF8">
      <w:numFmt w:val="bullet"/>
      <w:lvlText w:val="•"/>
      <w:lvlJc w:val="left"/>
      <w:pPr>
        <w:ind w:left="5513" w:hanging="540"/>
      </w:pPr>
      <w:rPr>
        <w:rFonts w:hint="default"/>
      </w:rPr>
    </w:lvl>
    <w:lvl w:ilvl="5" w:tplc="210C46EC">
      <w:numFmt w:val="bullet"/>
      <w:lvlText w:val="•"/>
      <w:lvlJc w:val="left"/>
      <w:pPr>
        <w:ind w:left="6097" w:hanging="540"/>
      </w:pPr>
      <w:rPr>
        <w:rFonts w:hint="default"/>
      </w:rPr>
    </w:lvl>
    <w:lvl w:ilvl="6" w:tplc="1E449350">
      <w:numFmt w:val="bullet"/>
      <w:lvlText w:val="•"/>
      <w:lvlJc w:val="left"/>
      <w:pPr>
        <w:ind w:left="6682" w:hanging="540"/>
      </w:pPr>
      <w:rPr>
        <w:rFonts w:hint="default"/>
      </w:rPr>
    </w:lvl>
    <w:lvl w:ilvl="7" w:tplc="DDA6C7E2">
      <w:numFmt w:val="bullet"/>
      <w:lvlText w:val="•"/>
      <w:lvlJc w:val="left"/>
      <w:pPr>
        <w:ind w:left="7266" w:hanging="540"/>
      </w:pPr>
      <w:rPr>
        <w:rFonts w:hint="default"/>
      </w:rPr>
    </w:lvl>
    <w:lvl w:ilvl="8" w:tplc="DB18BB1A">
      <w:numFmt w:val="bullet"/>
      <w:lvlText w:val="•"/>
      <w:lvlJc w:val="left"/>
      <w:pPr>
        <w:ind w:left="7851" w:hanging="540"/>
      </w:pPr>
      <w:rPr>
        <w:rFonts w:hint="default"/>
      </w:rPr>
    </w:lvl>
  </w:abstractNum>
  <w:abstractNum w:abstractNumId="4">
    <w:nsid w:val="763E00C2"/>
    <w:multiLevelType w:val="hybridMultilevel"/>
    <w:tmpl w:val="B4C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3"/>
    <w:rsid w:val="000572F1"/>
    <w:rsid w:val="000F35B5"/>
    <w:rsid w:val="0017196A"/>
    <w:rsid w:val="00377E42"/>
    <w:rsid w:val="00383B0B"/>
    <w:rsid w:val="004062F7"/>
    <w:rsid w:val="0048536C"/>
    <w:rsid w:val="005641CB"/>
    <w:rsid w:val="005F18B0"/>
    <w:rsid w:val="00681E12"/>
    <w:rsid w:val="00694491"/>
    <w:rsid w:val="00697670"/>
    <w:rsid w:val="007A6662"/>
    <w:rsid w:val="007E7793"/>
    <w:rsid w:val="00815598"/>
    <w:rsid w:val="00854C6C"/>
    <w:rsid w:val="00894502"/>
    <w:rsid w:val="009023D8"/>
    <w:rsid w:val="009F66C7"/>
    <w:rsid w:val="00A221A9"/>
    <w:rsid w:val="00AA57FF"/>
    <w:rsid w:val="00AB14FA"/>
    <w:rsid w:val="00AE4F30"/>
    <w:rsid w:val="00B929CB"/>
    <w:rsid w:val="00BA2078"/>
    <w:rsid w:val="00BF1F91"/>
    <w:rsid w:val="00C43117"/>
    <w:rsid w:val="00CD77FA"/>
    <w:rsid w:val="00CE5B07"/>
    <w:rsid w:val="00D07C7E"/>
    <w:rsid w:val="00DA3898"/>
    <w:rsid w:val="00E600FF"/>
    <w:rsid w:val="00E62275"/>
    <w:rsid w:val="00EA1CA3"/>
    <w:rsid w:val="00F97CF2"/>
    <w:rsid w:val="00FB76C8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71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66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6662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E600FF"/>
    <w:pPr>
      <w:widowControl w:val="0"/>
      <w:autoSpaceDE w:val="0"/>
      <w:autoSpaceDN w:val="0"/>
      <w:spacing w:after="0" w:line="240" w:lineRule="auto"/>
      <w:ind w:left="871" w:hanging="334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71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66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6662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E600FF"/>
    <w:pPr>
      <w:widowControl w:val="0"/>
      <w:autoSpaceDE w:val="0"/>
      <w:autoSpaceDN w:val="0"/>
      <w:spacing w:after="0" w:line="240" w:lineRule="auto"/>
      <w:ind w:left="871" w:hanging="334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brook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Stanbrook Mark</dc:creator>
  <cp:lastModifiedBy>Mark Stanbrook</cp:lastModifiedBy>
  <cp:revision>6</cp:revision>
  <dcterms:created xsi:type="dcterms:W3CDTF">2018-12-04T15:08:00Z</dcterms:created>
  <dcterms:modified xsi:type="dcterms:W3CDTF">2018-12-04T16:22:00Z</dcterms:modified>
</cp:coreProperties>
</file>