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07B" w:rsidRPr="004C507B" w:rsidRDefault="00CF393A" w:rsidP="00CF393A">
      <w:pPr>
        <w:ind w:right="1200"/>
        <w:jc w:val="right"/>
      </w:pPr>
      <w:r>
        <w:rPr>
          <w:noProof/>
          <w:lang w:eastAsia="en-GB"/>
        </w:rPr>
        <w:drawing>
          <wp:inline distT="0" distB="0" distL="0" distR="0" wp14:anchorId="65CF4BD9" wp14:editId="5C9DAFBA">
            <wp:extent cx="1152525" cy="1181100"/>
            <wp:effectExtent l="0" t="0" r="9525" b="0"/>
            <wp:docPr id="1" name="Picture 1" descr="cid:image001.jpg@01CD0DB9.47B9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image001.jpg@01CD0DB9.47B928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52525" cy="1181100"/>
                    </a:xfrm>
                    <a:prstGeom prst="rect">
                      <a:avLst/>
                    </a:prstGeom>
                    <a:noFill/>
                    <a:ln>
                      <a:noFill/>
                    </a:ln>
                  </pic:spPr>
                </pic:pic>
              </a:graphicData>
            </a:graphic>
          </wp:inline>
        </w:drawing>
      </w:r>
    </w:p>
    <w:p w:rsidR="00F82181" w:rsidRPr="00745713" w:rsidRDefault="00F82181" w:rsidP="00745713">
      <w:pPr>
        <w:spacing w:before="120" w:after="120"/>
        <w:rPr>
          <w:b/>
          <w:sz w:val="36"/>
          <w:szCs w:val="36"/>
        </w:rPr>
      </w:pPr>
    </w:p>
    <w:p w:rsidR="002559DC" w:rsidRDefault="00745713" w:rsidP="00745713">
      <w:pPr>
        <w:spacing w:before="120" w:after="120"/>
        <w:rPr>
          <w:b/>
          <w:sz w:val="36"/>
          <w:szCs w:val="36"/>
        </w:rPr>
      </w:pPr>
      <w:r w:rsidRPr="00745713">
        <w:rPr>
          <w:b/>
          <w:sz w:val="36"/>
          <w:szCs w:val="36"/>
        </w:rPr>
        <w:t>2020 Key Stage 2 National Curriculum</w:t>
      </w:r>
    </w:p>
    <w:p w:rsidR="00745713" w:rsidRPr="00745713" w:rsidRDefault="00745713" w:rsidP="00745713">
      <w:pPr>
        <w:spacing w:before="120" w:after="120"/>
        <w:rPr>
          <w:b/>
          <w:sz w:val="36"/>
          <w:szCs w:val="36"/>
        </w:rPr>
      </w:pPr>
      <w:r w:rsidRPr="00745713">
        <w:rPr>
          <w:b/>
          <w:sz w:val="36"/>
          <w:szCs w:val="36"/>
        </w:rPr>
        <w:t>Science Sampling Test</w:t>
      </w:r>
      <w:r w:rsidR="002559DC">
        <w:rPr>
          <w:b/>
          <w:sz w:val="36"/>
          <w:szCs w:val="36"/>
        </w:rPr>
        <w:t xml:space="preserve"> (SST)</w:t>
      </w:r>
      <w:r w:rsidRPr="00745713">
        <w:rPr>
          <w:b/>
          <w:sz w:val="36"/>
          <w:szCs w:val="36"/>
        </w:rPr>
        <w:t xml:space="preserve"> and Technical Pre-test</w:t>
      </w:r>
      <w:r w:rsidR="002559DC">
        <w:rPr>
          <w:b/>
          <w:sz w:val="36"/>
          <w:szCs w:val="36"/>
        </w:rPr>
        <w:t xml:space="preserve"> (TPT)</w:t>
      </w:r>
    </w:p>
    <w:p w:rsidR="00745713" w:rsidRPr="00745713" w:rsidRDefault="00745713" w:rsidP="00745713">
      <w:pPr>
        <w:spacing w:before="120" w:after="120"/>
        <w:rPr>
          <w:b/>
          <w:sz w:val="36"/>
          <w:szCs w:val="36"/>
        </w:rPr>
      </w:pPr>
      <w:r w:rsidRPr="00745713">
        <w:rPr>
          <w:b/>
          <w:sz w:val="36"/>
          <w:szCs w:val="36"/>
        </w:rPr>
        <w:t>Clarification Questions</w:t>
      </w:r>
    </w:p>
    <w:p w:rsidR="00745713" w:rsidRDefault="00745713" w:rsidP="00745713">
      <w:pPr>
        <w:spacing w:before="120" w:after="120"/>
        <w:rPr>
          <w:b/>
          <w:sz w:val="36"/>
          <w:szCs w:val="36"/>
        </w:rPr>
      </w:pPr>
    </w:p>
    <w:p w:rsidR="00745713" w:rsidRDefault="00745713" w:rsidP="00745713">
      <w:pPr>
        <w:spacing w:before="120" w:after="120"/>
        <w:rPr>
          <w:b/>
          <w:sz w:val="36"/>
          <w:szCs w:val="36"/>
        </w:rPr>
      </w:pPr>
      <w:r w:rsidRPr="00745713">
        <w:rPr>
          <w:b/>
          <w:sz w:val="36"/>
          <w:szCs w:val="36"/>
        </w:rPr>
        <w:t xml:space="preserve">Trialling and Sampling Framework STA-0166 | Call-off 08 </w:t>
      </w:r>
    </w:p>
    <w:p w:rsidR="00745713" w:rsidRPr="00745713" w:rsidRDefault="00745713" w:rsidP="00745713">
      <w:pPr>
        <w:spacing w:before="120" w:after="120"/>
        <w:rPr>
          <w:b/>
          <w:sz w:val="36"/>
          <w:szCs w:val="36"/>
        </w:rPr>
      </w:pPr>
    </w:p>
    <w:p w:rsidR="00F82181" w:rsidRDefault="00F82181" w:rsidP="004C507B">
      <w:pPr>
        <w:rPr>
          <w:b/>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0"/>
        <w:gridCol w:w="1620"/>
        <w:gridCol w:w="7952"/>
      </w:tblGrid>
      <w:tr w:rsidR="00274E8A" w:rsidRPr="00274E8A" w:rsidTr="0032182B">
        <w:trPr>
          <w:trHeight w:val="395"/>
        </w:trPr>
        <w:tc>
          <w:tcPr>
            <w:tcW w:w="1230" w:type="dxa"/>
            <w:shd w:val="clear" w:color="auto" w:fill="92CDDC" w:themeFill="accent5" w:themeFillTint="99"/>
            <w:vAlign w:val="center"/>
          </w:tcPr>
          <w:p w:rsidR="002B17A4" w:rsidRPr="00302A04" w:rsidRDefault="002B17A4" w:rsidP="003407FF">
            <w:pPr>
              <w:jc w:val="center"/>
              <w:rPr>
                <w:b/>
                <w:sz w:val="24"/>
              </w:rPr>
            </w:pPr>
            <w:r w:rsidRPr="00302A04">
              <w:rPr>
                <w:b/>
                <w:sz w:val="24"/>
              </w:rPr>
              <w:t>Version</w:t>
            </w:r>
          </w:p>
        </w:tc>
        <w:tc>
          <w:tcPr>
            <w:tcW w:w="1620" w:type="dxa"/>
            <w:shd w:val="clear" w:color="auto" w:fill="92CDDC" w:themeFill="accent5" w:themeFillTint="99"/>
            <w:vAlign w:val="center"/>
          </w:tcPr>
          <w:p w:rsidR="002B17A4" w:rsidRPr="00302A04" w:rsidRDefault="002B17A4" w:rsidP="003407FF">
            <w:pPr>
              <w:jc w:val="center"/>
              <w:rPr>
                <w:b/>
                <w:sz w:val="24"/>
              </w:rPr>
            </w:pPr>
            <w:r w:rsidRPr="00302A04">
              <w:rPr>
                <w:b/>
                <w:sz w:val="24"/>
              </w:rPr>
              <w:t>Date</w:t>
            </w:r>
          </w:p>
        </w:tc>
        <w:tc>
          <w:tcPr>
            <w:tcW w:w="7952" w:type="dxa"/>
            <w:shd w:val="clear" w:color="auto" w:fill="92CDDC" w:themeFill="accent5" w:themeFillTint="99"/>
            <w:vAlign w:val="center"/>
          </w:tcPr>
          <w:p w:rsidR="002B17A4" w:rsidRPr="00302A04" w:rsidRDefault="000359A9" w:rsidP="00745713">
            <w:pPr>
              <w:rPr>
                <w:b/>
                <w:sz w:val="24"/>
              </w:rPr>
            </w:pPr>
            <w:r w:rsidRPr="00302A04">
              <w:rPr>
                <w:b/>
                <w:sz w:val="24"/>
              </w:rPr>
              <w:t>Notes</w:t>
            </w:r>
          </w:p>
        </w:tc>
      </w:tr>
      <w:tr w:rsidR="002B17A4" w:rsidRPr="00985D19" w:rsidTr="0032182B">
        <w:trPr>
          <w:trHeight w:val="351"/>
        </w:trPr>
        <w:tc>
          <w:tcPr>
            <w:tcW w:w="1230" w:type="dxa"/>
            <w:shd w:val="clear" w:color="auto" w:fill="auto"/>
            <w:vAlign w:val="center"/>
          </w:tcPr>
          <w:p w:rsidR="002B17A4" w:rsidRPr="00985D19" w:rsidRDefault="00CF393A" w:rsidP="00BC3D8A">
            <w:pPr>
              <w:jc w:val="center"/>
              <w:rPr>
                <w:szCs w:val="22"/>
              </w:rPr>
            </w:pPr>
            <w:r w:rsidRPr="00985D19">
              <w:rPr>
                <w:szCs w:val="22"/>
              </w:rPr>
              <w:t>1</w:t>
            </w:r>
          </w:p>
        </w:tc>
        <w:tc>
          <w:tcPr>
            <w:tcW w:w="1620" w:type="dxa"/>
            <w:shd w:val="clear" w:color="auto" w:fill="auto"/>
            <w:vAlign w:val="center"/>
          </w:tcPr>
          <w:p w:rsidR="002B17A4" w:rsidRPr="00985D19" w:rsidRDefault="00CB5CFA" w:rsidP="00AB5021">
            <w:pPr>
              <w:jc w:val="center"/>
              <w:rPr>
                <w:szCs w:val="22"/>
              </w:rPr>
            </w:pPr>
            <w:r>
              <w:rPr>
                <w:szCs w:val="22"/>
              </w:rPr>
              <w:t>24/05/19</w:t>
            </w:r>
          </w:p>
        </w:tc>
        <w:tc>
          <w:tcPr>
            <w:tcW w:w="7952" w:type="dxa"/>
            <w:shd w:val="clear" w:color="auto" w:fill="auto"/>
            <w:vAlign w:val="center"/>
          </w:tcPr>
          <w:p w:rsidR="002B17A4" w:rsidRPr="00985D19" w:rsidRDefault="001D3474" w:rsidP="00E13797">
            <w:pPr>
              <w:rPr>
                <w:szCs w:val="22"/>
              </w:rPr>
            </w:pPr>
            <w:r>
              <w:rPr>
                <w:szCs w:val="22"/>
              </w:rPr>
              <w:t>Enquir</w:t>
            </w:r>
            <w:r w:rsidR="00C87616">
              <w:rPr>
                <w:szCs w:val="22"/>
              </w:rPr>
              <w:t>ies</w:t>
            </w:r>
            <w:r>
              <w:rPr>
                <w:szCs w:val="22"/>
              </w:rPr>
              <w:t xml:space="preserve"> 1 – </w:t>
            </w:r>
            <w:r w:rsidR="00E13797">
              <w:rPr>
                <w:szCs w:val="22"/>
              </w:rPr>
              <w:t>3</w:t>
            </w:r>
            <w:r w:rsidR="00302A04">
              <w:rPr>
                <w:szCs w:val="22"/>
              </w:rPr>
              <w:t xml:space="preserve"> in response to pre-ITQ supplier briefing</w:t>
            </w:r>
          </w:p>
        </w:tc>
      </w:tr>
      <w:tr w:rsidR="00D023C9" w:rsidRPr="00985D19" w:rsidTr="0032182B">
        <w:trPr>
          <w:trHeight w:val="351"/>
        </w:trPr>
        <w:tc>
          <w:tcPr>
            <w:tcW w:w="1230" w:type="dxa"/>
            <w:shd w:val="clear" w:color="auto" w:fill="auto"/>
            <w:vAlign w:val="center"/>
          </w:tcPr>
          <w:p w:rsidR="00D023C9" w:rsidRPr="00985D19" w:rsidRDefault="0032182B" w:rsidP="00E6190D">
            <w:pPr>
              <w:jc w:val="center"/>
              <w:rPr>
                <w:szCs w:val="22"/>
              </w:rPr>
            </w:pPr>
            <w:r>
              <w:rPr>
                <w:szCs w:val="22"/>
              </w:rPr>
              <w:t>2</w:t>
            </w:r>
          </w:p>
        </w:tc>
        <w:tc>
          <w:tcPr>
            <w:tcW w:w="1620" w:type="dxa"/>
            <w:shd w:val="clear" w:color="auto" w:fill="auto"/>
            <w:vAlign w:val="center"/>
          </w:tcPr>
          <w:p w:rsidR="00D023C9" w:rsidRPr="00985D19" w:rsidRDefault="0044621B" w:rsidP="00E6190D">
            <w:pPr>
              <w:jc w:val="center"/>
              <w:rPr>
                <w:szCs w:val="22"/>
              </w:rPr>
            </w:pPr>
            <w:r>
              <w:rPr>
                <w:szCs w:val="22"/>
              </w:rPr>
              <w:t>15</w:t>
            </w:r>
            <w:r w:rsidR="0032182B">
              <w:rPr>
                <w:szCs w:val="22"/>
              </w:rPr>
              <w:t>/07/19</w:t>
            </w:r>
          </w:p>
        </w:tc>
        <w:tc>
          <w:tcPr>
            <w:tcW w:w="7952" w:type="dxa"/>
            <w:shd w:val="clear" w:color="auto" w:fill="auto"/>
            <w:vAlign w:val="center"/>
          </w:tcPr>
          <w:p w:rsidR="00D023C9" w:rsidRPr="00985D19" w:rsidRDefault="0032182B" w:rsidP="00506D6D">
            <w:pPr>
              <w:rPr>
                <w:szCs w:val="22"/>
              </w:rPr>
            </w:pPr>
            <w:r>
              <w:rPr>
                <w:szCs w:val="22"/>
              </w:rPr>
              <w:t xml:space="preserve">Enquiries 4 – </w:t>
            </w:r>
            <w:r w:rsidR="0044621B">
              <w:rPr>
                <w:szCs w:val="22"/>
              </w:rPr>
              <w:t>5</w:t>
            </w:r>
            <w:r>
              <w:rPr>
                <w:szCs w:val="22"/>
              </w:rPr>
              <w:t xml:space="preserve"> in response to ITQ, received 12/07/19</w:t>
            </w:r>
          </w:p>
        </w:tc>
      </w:tr>
      <w:tr w:rsidR="00506D6D" w:rsidRPr="00985D19" w:rsidTr="0032182B">
        <w:trPr>
          <w:trHeight w:val="351"/>
        </w:trPr>
        <w:tc>
          <w:tcPr>
            <w:tcW w:w="1230" w:type="dxa"/>
            <w:shd w:val="clear" w:color="auto" w:fill="auto"/>
            <w:vAlign w:val="center"/>
          </w:tcPr>
          <w:p w:rsidR="00506D6D" w:rsidRDefault="00506D6D" w:rsidP="00506D6D">
            <w:pPr>
              <w:jc w:val="center"/>
              <w:rPr>
                <w:szCs w:val="22"/>
              </w:rPr>
            </w:pPr>
            <w:r>
              <w:rPr>
                <w:szCs w:val="22"/>
              </w:rPr>
              <w:t>3</w:t>
            </w:r>
          </w:p>
        </w:tc>
        <w:tc>
          <w:tcPr>
            <w:tcW w:w="1620" w:type="dxa"/>
            <w:shd w:val="clear" w:color="auto" w:fill="auto"/>
            <w:vAlign w:val="center"/>
          </w:tcPr>
          <w:p w:rsidR="00506D6D" w:rsidRDefault="00506D6D" w:rsidP="00506D6D">
            <w:pPr>
              <w:jc w:val="center"/>
              <w:rPr>
                <w:szCs w:val="22"/>
              </w:rPr>
            </w:pPr>
            <w:r>
              <w:rPr>
                <w:szCs w:val="22"/>
              </w:rPr>
              <w:t>22/07/19</w:t>
            </w:r>
          </w:p>
        </w:tc>
        <w:tc>
          <w:tcPr>
            <w:tcW w:w="7952" w:type="dxa"/>
            <w:shd w:val="clear" w:color="auto" w:fill="auto"/>
            <w:vAlign w:val="center"/>
          </w:tcPr>
          <w:p w:rsidR="00506D6D" w:rsidRDefault="00506D6D" w:rsidP="00506D6D">
            <w:pPr>
              <w:rPr>
                <w:szCs w:val="22"/>
              </w:rPr>
            </w:pPr>
            <w:r>
              <w:rPr>
                <w:szCs w:val="22"/>
              </w:rPr>
              <w:t>Enquiries 6 – 12 in response to ITQ, received 12/07/19</w:t>
            </w:r>
          </w:p>
        </w:tc>
      </w:tr>
      <w:tr w:rsidR="0032182B" w:rsidRPr="00985D19" w:rsidTr="0032182B">
        <w:trPr>
          <w:trHeight w:val="351"/>
        </w:trPr>
        <w:tc>
          <w:tcPr>
            <w:tcW w:w="1230" w:type="dxa"/>
            <w:shd w:val="clear" w:color="auto" w:fill="auto"/>
            <w:vAlign w:val="center"/>
          </w:tcPr>
          <w:p w:rsidR="0032182B" w:rsidRDefault="00285904" w:rsidP="00E6190D">
            <w:pPr>
              <w:jc w:val="center"/>
              <w:rPr>
                <w:szCs w:val="22"/>
              </w:rPr>
            </w:pPr>
            <w:r>
              <w:rPr>
                <w:szCs w:val="22"/>
              </w:rPr>
              <w:t>4</w:t>
            </w:r>
          </w:p>
        </w:tc>
        <w:tc>
          <w:tcPr>
            <w:tcW w:w="1620" w:type="dxa"/>
            <w:shd w:val="clear" w:color="auto" w:fill="auto"/>
            <w:vAlign w:val="center"/>
          </w:tcPr>
          <w:p w:rsidR="0032182B" w:rsidRDefault="00285904" w:rsidP="00E6190D">
            <w:pPr>
              <w:jc w:val="center"/>
              <w:rPr>
                <w:szCs w:val="22"/>
              </w:rPr>
            </w:pPr>
            <w:r>
              <w:rPr>
                <w:szCs w:val="22"/>
              </w:rPr>
              <w:t>24/07/19</w:t>
            </w:r>
          </w:p>
        </w:tc>
        <w:tc>
          <w:tcPr>
            <w:tcW w:w="7952" w:type="dxa"/>
            <w:shd w:val="clear" w:color="auto" w:fill="auto"/>
            <w:vAlign w:val="center"/>
          </w:tcPr>
          <w:p w:rsidR="0032182B" w:rsidRPr="00A705F7" w:rsidRDefault="00285904" w:rsidP="00285904">
            <w:pPr>
              <w:rPr>
                <w:szCs w:val="22"/>
              </w:rPr>
            </w:pPr>
            <w:r w:rsidRPr="00285904">
              <w:rPr>
                <w:szCs w:val="22"/>
              </w:rPr>
              <w:t>Enquiries</w:t>
            </w:r>
            <w:r>
              <w:rPr>
                <w:szCs w:val="22"/>
              </w:rPr>
              <w:t xml:space="preserve"> 14 – 16 </w:t>
            </w:r>
            <w:r w:rsidRPr="00285904">
              <w:rPr>
                <w:szCs w:val="22"/>
              </w:rPr>
              <w:t xml:space="preserve">in response to ITQ, received </w:t>
            </w:r>
            <w:r>
              <w:rPr>
                <w:szCs w:val="22"/>
              </w:rPr>
              <w:t>19</w:t>
            </w:r>
            <w:r w:rsidRPr="00285904">
              <w:rPr>
                <w:szCs w:val="22"/>
              </w:rPr>
              <w:t>/07/19</w:t>
            </w:r>
          </w:p>
        </w:tc>
      </w:tr>
      <w:tr w:rsidR="0022660F" w:rsidRPr="00985D19" w:rsidTr="0032182B">
        <w:trPr>
          <w:trHeight w:val="351"/>
        </w:trPr>
        <w:tc>
          <w:tcPr>
            <w:tcW w:w="1230" w:type="dxa"/>
            <w:shd w:val="clear" w:color="auto" w:fill="auto"/>
            <w:vAlign w:val="center"/>
          </w:tcPr>
          <w:p w:rsidR="0022660F" w:rsidRDefault="0022660F" w:rsidP="00E6190D">
            <w:pPr>
              <w:jc w:val="center"/>
              <w:rPr>
                <w:szCs w:val="22"/>
              </w:rPr>
            </w:pPr>
            <w:r>
              <w:rPr>
                <w:szCs w:val="22"/>
              </w:rPr>
              <w:t>5</w:t>
            </w:r>
          </w:p>
        </w:tc>
        <w:tc>
          <w:tcPr>
            <w:tcW w:w="1620" w:type="dxa"/>
            <w:shd w:val="clear" w:color="auto" w:fill="auto"/>
            <w:vAlign w:val="center"/>
          </w:tcPr>
          <w:p w:rsidR="0022660F" w:rsidRDefault="0022660F" w:rsidP="00E6190D">
            <w:pPr>
              <w:jc w:val="center"/>
              <w:rPr>
                <w:szCs w:val="22"/>
              </w:rPr>
            </w:pPr>
            <w:r>
              <w:rPr>
                <w:szCs w:val="22"/>
              </w:rPr>
              <w:t>01/08/19</w:t>
            </w:r>
          </w:p>
        </w:tc>
        <w:tc>
          <w:tcPr>
            <w:tcW w:w="7952" w:type="dxa"/>
            <w:shd w:val="clear" w:color="auto" w:fill="auto"/>
            <w:vAlign w:val="center"/>
          </w:tcPr>
          <w:p w:rsidR="0022660F" w:rsidRPr="00285904" w:rsidRDefault="0022660F" w:rsidP="0022660F">
            <w:pPr>
              <w:rPr>
                <w:szCs w:val="22"/>
              </w:rPr>
            </w:pPr>
            <w:r w:rsidRPr="0022660F">
              <w:rPr>
                <w:szCs w:val="22"/>
              </w:rPr>
              <w:t>Enquir</w:t>
            </w:r>
            <w:r>
              <w:rPr>
                <w:szCs w:val="22"/>
              </w:rPr>
              <w:t>ies 13 | 17 – 23 | 26 received in re</w:t>
            </w:r>
            <w:r w:rsidRPr="0022660F">
              <w:rPr>
                <w:szCs w:val="22"/>
              </w:rPr>
              <w:t>sponse to ITQ</w:t>
            </w:r>
          </w:p>
        </w:tc>
      </w:tr>
      <w:tr w:rsidR="0001164A" w:rsidRPr="00985D19" w:rsidTr="0032182B">
        <w:trPr>
          <w:trHeight w:val="351"/>
        </w:trPr>
        <w:tc>
          <w:tcPr>
            <w:tcW w:w="1230" w:type="dxa"/>
            <w:shd w:val="clear" w:color="auto" w:fill="auto"/>
            <w:vAlign w:val="center"/>
          </w:tcPr>
          <w:p w:rsidR="0001164A" w:rsidRDefault="00567FA9" w:rsidP="00E6190D">
            <w:pPr>
              <w:jc w:val="center"/>
              <w:rPr>
                <w:szCs w:val="22"/>
              </w:rPr>
            </w:pPr>
            <w:r>
              <w:rPr>
                <w:szCs w:val="22"/>
              </w:rPr>
              <w:t>6</w:t>
            </w:r>
          </w:p>
        </w:tc>
        <w:tc>
          <w:tcPr>
            <w:tcW w:w="1620" w:type="dxa"/>
            <w:shd w:val="clear" w:color="auto" w:fill="auto"/>
            <w:vAlign w:val="center"/>
          </w:tcPr>
          <w:p w:rsidR="0001164A" w:rsidRDefault="00567FA9" w:rsidP="00E6190D">
            <w:pPr>
              <w:jc w:val="center"/>
              <w:rPr>
                <w:szCs w:val="22"/>
              </w:rPr>
            </w:pPr>
            <w:r>
              <w:rPr>
                <w:szCs w:val="22"/>
              </w:rPr>
              <w:t>01/08/19</w:t>
            </w:r>
          </w:p>
        </w:tc>
        <w:tc>
          <w:tcPr>
            <w:tcW w:w="7952" w:type="dxa"/>
            <w:shd w:val="clear" w:color="auto" w:fill="auto"/>
            <w:vAlign w:val="center"/>
          </w:tcPr>
          <w:p w:rsidR="0001164A" w:rsidRPr="00285904" w:rsidRDefault="00567FA9" w:rsidP="00567FA9">
            <w:pPr>
              <w:rPr>
                <w:szCs w:val="22"/>
              </w:rPr>
            </w:pPr>
            <w:r w:rsidRPr="00567FA9">
              <w:rPr>
                <w:szCs w:val="22"/>
              </w:rPr>
              <w:t xml:space="preserve">Enquiries </w:t>
            </w:r>
            <w:r>
              <w:rPr>
                <w:szCs w:val="22"/>
              </w:rPr>
              <w:t>24</w:t>
            </w:r>
            <w:r w:rsidRPr="00567FA9">
              <w:rPr>
                <w:szCs w:val="22"/>
              </w:rPr>
              <w:t xml:space="preserve"> – </w:t>
            </w:r>
            <w:r>
              <w:rPr>
                <w:szCs w:val="22"/>
              </w:rPr>
              <w:t xml:space="preserve">25 </w:t>
            </w:r>
            <w:r w:rsidRPr="00567FA9">
              <w:rPr>
                <w:szCs w:val="22"/>
              </w:rPr>
              <w:t xml:space="preserve">in response to ITQ, received </w:t>
            </w:r>
            <w:r>
              <w:rPr>
                <w:szCs w:val="22"/>
              </w:rPr>
              <w:t>2</w:t>
            </w:r>
            <w:r w:rsidRPr="00567FA9">
              <w:rPr>
                <w:szCs w:val="22"/>
              </w:rPr>
              <w:t>9/07/19</w:t>
            </w:r>
          </w:p>
        </w:tc>
      </w:tr>
    </w:tbl>
    <w:p w:rsidR="00CF393A" w:rsidRDefault="00CF393A"/>
    <w:p w:rsidR="00CF393A" w:rsidRDefault="00CF393A" w:rsidP="00AB5021"/>
    <w:p w:rsidR="00CF393A" w:rsidRDefault="00CF393A" w:rsidP="00AB5021"/>
    <w:p w:rsidR="002442B0" w:rsidRDefault="002442B0">
      <w:r>
        <w:br w:type="page"/>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firstRow="0" w:lastRow="1" w:firstColumn="1" w:lastColumn="1" w:noHBand="0" w:noVBand="0"/>
      </w:tblPr>
      <w:tblGrid>
        <w:gridCol w:w="562"/>
        <w:gridCol w:w="1200"/>
        <w:gridCol w:w="5604"/>
        <w:gridCol w:w="7437"/>
      </w:tblGrid>
      <w:tr w:rsidR="000F00A4" w:rsidRPr="00274E8A" w:rsidTr="00506D6D">
        <w:trPr>
          <w:trHeight w:val="722"/>
          <w:tblHeader/>
        </w:trPr>
        <w:tc>
          <w:tcPr>
            <w:tcW w:w="562" w:type="dxa"/>
            <w:shd w:val="clear" w:color="auto" w:fill="92CDDC" w:themeFill="accent5" w:themeFillTint="99"/>
            <w:vAlign w:val="center"/>
          </w:tcPr>
          <w:p w:rsidR="000F00A4" w:rsidRPr="00274E8A" w:rsidRDefault="000F00A4" w:rsidP="002442B0">
            <w:pPr>
              <w:jc w:val="right"/>
              <w:rPr>
                <w:rFonts w:cs="Arial"/>
                <w:b/>
                <w:sz w:val="24"/>
              </w:rPr>
            </w:pPr>
            <w:r w:rsidRPr="00274E8A">
              <w:br w:type="page"/>
            </w:r>
            <w:r>
              <w:rPr>
                <w:rFonts w:cs="Arial"/>
                <w:b/>
                <w:sz w:val="24"/>
              </w:rPr>
              <w:t>#</w:t>
            </w:r>
          </w:p>
        </w:tc>
        <w:tc>
          <w:tcPr>
            <w:tcW w:w="1200" w:type="dxa"/>
            <w:shd w:val="clear" w:color="auto" w:fill="92CDDC" w:themeFill="accent5" w:themeFillTint="99"/>
            <w:vAlign w:val="center"/>
          </w:tcPr>
          <w:p w:rsidR="000F00A4" w:rsidRPr="00274E8A" w:rsidRDefault="000F00A4" w:rsidP="002442B0">
            <w:pPr>
              <w:rPr>
                <w:rFonts w:cs="Arial"/>
                <w:b/>
                <w:sz w:val="24"/>
              </w:rPr>
            </w:pPr>
            <w:r>
              <w:rPr>
                <w:rFonts w:cs="Arial"/>
                <w:b/>
                <w:sz w:val="24"/>
              </w:rPr>
              <w:t>Date</w:t>
            </w:r>
          </w:p>
        </w:tc>
        <w:tc>
          <w:tcPr>
            <w:tcW w:w="5604" w:type="dxa"/>
            <w:shd w:val="clear" w:color="auto" w:fill="92CDDC" w:themeFill="accent5" w:themeFillTint="99"/>
            <w:vAlign w:val="center"/>
          </w:tcPr>
          <w:p w:rsidR="000F00A4" w:rsidRPr="00274E8A" w:rsidRDefault="000F00A4" w:rsidP="00B623B8">
            <w:pPr>
              <w:rPr>
                <w:rFonts w:cs="Arial"/>
                <w:b/>
                <w:sz w:val="24"/>
              </w:rPr>
            </w:pPr>
            <w:r w:rsidRPr="00274E8A">
              <w:rPr>
                <w:rFonts w:cs="Arial"/>
                <w:b/>
                <w:sz w:val="24"/>
              </w:rPr>
              <w:t>Question</w:t>
            </w:r>
          </w:p>
        </w:tc>
        <w:tc>
          <w:tcPr>
            <w:tcW w:w="7437" w:type="dxa"/>
            <w:shd w:val="clear" w:color="auto" w:fill="92CDDC" w:themeFill="accent5" w:themeFillTint="99"/>
            <w:vAlign w:val="center"/>
          </w:tcPr>
          <w:p w:rsidR="000F00A4" w:rsidRPr="00274E8A" w:rsidRDefault="000F00A4" w:rsidP="002442B0">
            <w:pPr>
              <w:rPr>
                <w:rFonts w:cs="Arial"/>
                <w:b/>
                <w:sz w:val="24"/>
              </w:rPr>
            </w:pPr>
            <w:r w:rsidRPr="00274E8A">
              <w:rPr>
                <w:rFonts w:cs="Arial"/>
                <w:b/>
                <w:sz w:val="24"/>
              </w:rPr>
              <w:t>STA Response</w:t>
            </w:r>
          </w:p>
        </w:tc>
      </w:tr>
      <w:tr w:rsidR="000F00A4" w:rsidRPr="00985D19" w:rsidTr="00506D6D">
        <w:trPr>
          <w:trHeight w:val="138"/>
        </w:trPr>
        <w:tc>
          <w:tcPr>
            <w:tcW w:w="562" w:type="dxa"/>
            <w:shd w:val="clear" w:color="auto" w:fill="auto"/>
          </w:tcPr>
          <w:p w:rsidR="000F00A4" w:rsidRPr="00A705F7" w:rsidRDefault="000F00A4" w:rsidP="002442B0">
            <w:pPr>
              <w:spacing w:before="60" w:after="60"/>
              <w:jc w:val="right"/>
              <w:rPr>
                <w:rFonts w:cs="Arial"/>
                <w:szCs w:val="22"/>
              </w:rPr>
            </w:pPr>
            <w:r>
              <w:rPr>
                <w:rFonts w:cs="Arial"/>
                <w:szCs w:val="22"/>
              </w:rPr>
              <w:t>1</w:t>
            </w:r>
          </w:p>
        </w:tc>
        <w:tc>
          <w:tcPr>
            <w:tcW w:w="1200" w:type="dxa"/>
          </w:tcPr>
          <w:p w:rsidR="000F00A4" w:rsidRPr="00A705F7" w:rsidRDefault="00B623B8" w:rsidP="002442B0">
            <w:pPr>
              <w:spacing w:before="60" w:after="60"/>
              <w:rPr>
                <w:rFonts w:cs="Arial"/>
                <w:szCs w:val="22"/>
                <w:lang w:val="en-AU"/>
              </w:rPr>
            </w:pPr>
            <w:r>
              <w:rPr>
                <w:rFonts w:cs="Arial"/>
                <w:szCs w:val="22"/>
                <w:lang w:val="en-AU"/>
              </w:rPr>
              <w:t>26/04/19</w:t>
            </w:r>
          </w:p>
        </w:tc>
        <w:tc>
          <w:tcPr>
            <w:tcW w:w="5604" w:type="dxa"/>
            <w:shd w:val="clear" w:color="auto" w:fill="auto"/>
          </w:tcPr>
          <w:p w:rsidR="000F00A4" w:rsidRPr="00A705F7" w:rsidRDefault="002559DC" w:rsidP="002559DC">
            <w:pPr>
              <w:spacing w:before="60" w:after="60"/>
              <w:rPr>
                <w:rFonts w:cs="Arial"/>
                <w:szCs w:val="22"/>
                <w:lang w:val="en-AU"/>
              </w:rPr>
            </w:pPr>
            <w:r>
              <w:rPr>
                <w:rFonts w:cs="Arial"/>
                <w:szCs w:val="22"/>
                <w:lang w:val="en-AU"/>
              </w:rPr>
              <w:t>I</w:t>
            </w:r>
            <w:r w:rsidR="00B623B8">
              <w:rPr>
                <w:rFonts w:cs="Arial"/>
                <w:szCs w:val="22"/>
                <w:lang w:val="en-AU"/>
              </w:rPr>
              <w:t xml:space="preserve">s the </w:t>
            </w:r>
            <w:r w:rsidR="00B623B8" w:rsidRPr="00B623B8">
              <w:rPr>
                <w:rFonts w:cs="Arial"/>
                <w:szCs w:val="22"/>
                <w:lang w:val="en-AU"/>
              </w:rPr>
              <w:t xml:space="preserve">SST to be coded or marked? </w:t>
            </w:r>
          </w:p>
        </w:tc>
        <w:tc>
          <w:tcPr>
            <w:tcW w:w="7437" w:type="dxa"/>
            <w:shd w:val="clear" w:color="auto" w:fill="auto"/>
          </w:tcPr>
          <w:p w:rsidR="000F00A4" w:rsidRPr="00A705F7" w:rsidRDefault="00B623B8" w:rsidP="00B623B8">
            <w:pPr>
              <w:spacing w:before="60" w:after="60"/>
              <w:rPr>
                <w:rFonts w:cs="Arial"/>
                <w:iCs/>
                <w:szCs w:val="22"/>
              </w:rPr>
            </w:pPr>
            <w:r>
              <w:rPr>
                <w:rFonts w:cs="Arial"/>
                <w:iCs/>
                <w:szCs w:val="22"/>
              </w:rPr>
              <w:t xml:space="preserve">We can </w:t>
            </w:r>
            <w:r w:rsidRPr="00B623B8">
              <w:rPr>
                <w:rFonts w:cs="Arial"/>
                <w:iCs/>
                <w:szCs w:val="22"/>
              </w:rPr>
              <w:t xml:space="preserve">confirm that </w:t>
            </w:r>
            <w:r>
              <w:rPr>
                <w:rFonts w:cs="Arial"/>
                <w:iCs/>
                <w:szCs w:val="22"/>
              </w:rPr>
              <w:t xml:space="preserve">the </w:t>
            </w:r>
            <w:r w:rsidRPr="00B623B8">
              <w:rPr>
                <w:rFonts w:cs="Arial"/>
                <w:iCs/>
                <w:szCs w:val="22"/>
              </w:rPr>
              <w:t>supplier will be required to code the SST as well as the TPT.</w:t>
            </w:r>
          </w:p>
        </w:tc>
      </w:tr>
      <w:tr w:rsidR="000F00A4" w:rsidRPr="00985D19" w:rsidTr="00506D6D">
        <w:trPr>
          <w:trHeight w:val="138"/>
        </w:trPr>
        <w:tc>
          <w:tcPr>
            <w:tcW w:w="562" w:type="dxa"/>
            <w:shd w:val="clear" w:color="auto" w:fill="auto"/>
          </w:tcPr>
          <w:p w:rsidR="000F00A4" w:rsidRPr="00A705F7" w:rsidRDefault="00B623B8" w:rsidP="00B623B8">
            <w:pPr>
              <w:spacing w:before="60" w:after="60"/>
              <w:jc w:val="right"/>
              <w:rPr>
                <w:rFonts w:cs="Arial"/>
                <w:szCs w:val="22"/>
              </w:rPr>
            </w:pPr>
            <w:r>
              <w:rPr>
                <w:rFonts w:cs="Arial"/>
                <w:szCs w:val="22"/>
              </w:rPr>
              <w:t>2</w:t>
            </w:r>
          </w:p>
        </w:tc>
        <w:tc>
          <w:tcPr>
            <w:tcW w:w="1200" w:type="dxa"/>
          </w:tcPr>
          <w:p w:rsidR="000F00A4" w:rsidRPr="00A705F7" w:rsidRDefault="00B623B8" w:rsidP="002442B0">
            <w:pPr>
              <w:spacing w:before="60" w:after="60"/>
              <w:rPr>
                <w:rFonts w:cs="Arial"/>
                <w:szCs w:val="22"/>
                <w:lang w:val="en-AU"/>
              </w:rPr>
            </w:pPr>
            <w:r>
              <w:rPr>
                <w:rFonts w:cs="Arial"/>
                <w:szCs w:val="22"/>
                <w:lang w:val="en-AU"/>
              </w:rPr>
              <w:t>02/05/19</w:t>
            </w:r>
          </w:p>
        </w:tc>
        <w:tc>
          <w:tcPr>
            <w:tcW w:w="5604" w:type="dxa"/>
            <w:shd w:val="clear" w:color="auto" w:fill="auto"/>
          </w:tcPr>
          <w:p w:rsidR="000F00A4" w:rsidRPr="00A705F7" w:rsidRDefault="00B623B8" w:rsidP="00B623B8">
            <w:pPr>
              <w:rPr>
                <w:rFonts w:cs="Arial"/>
                <w:szCs w:val="22"/>
                <w:lang w:val="en-AU"/>
              </w:rPr>
            </w:pPr>
            <w:r>
              <w:rPr>
                <w:rFonts w:cs="Arial"/>
                <w:szCs w:val="22"/>
                <w:lang w:val="en-AU"/>
              </w:rPr>
              <w:t xml:space="preserve">Could </w:t>
            </w:r>
            <w:r w:rsidRPr="00B623B8">
              <w:rPr>
                <w:rFonts w:cs="Arial"/>
                <w:szCs w:val="22"/>
                <w:lang w:val="en-AU"/>
              </w:rPr>
              <w:t>STA provide examples of the coding frames used for Science Sampling in 2018</w:t>
            </w:r>
            <w:r>
              <w:rPr>
                <w:rFonts w:cs="Arial"/>
                <w:szCs w:val="22"/>
                <w:lang w:val="en-AU"/>
              </w:rPr>
              <w:t>?</w:t>
            </w:r>
          </w:p>
        </w:tc>
        <w:tc>
          <w:tcPr>
            <w:tcW w:w="7437" w:type="dxa"/>
            <w:shd w:val="clear" w:color="auto" w:fill="auto"/>
          </w:tcPr>
          <w:p w:rsidR="00A83A18" w:rsidRDefault="00A83A18" w:rsidP="00A83A18">
            <w:pPr>
              <w:spacing w:before="60" w:after="60"/>
              <w:rPr>
                <w:rFonts w:cs="Arial"/>
                <w:iCs/>
                <w:szCs w:val="22"/>
              </w:rPr>
            </w:pPr>
            <w:r>
              <w:rPr>
                <w:rFonts w:cs="Arial"/>
                <w:iCs/>
                <w:szCs w:val="22"/>
              </w:rPr>
              <w:t xml:space="preserve">Test papers </w:t>
            </w:r>
            <w:r w:rsidRPr="00A83A18">
              <w:rPr>
                <w:rFonts w:cs="Arial"/>
                <w:iCs/>
                <w:szCs w:val="22"/>
              </w:rPr>
              <w:t xml:space="preserve">from the </w:t>
            </w:r>
            <w:r>
              <w:rPr>
                <w:rFonts w:cs="Arial"/>
                <w:iCs/>
                <w:szCs w:val="22"/>
              </w:rPr>
              <w:t>2018 science sampling exercise have not been published as they are intended for use in future live tests.</w:t>
            </w:r>
            <w:r w:rsidR="00614586">
              <w:rPr>
                <w:rFonts w:cs="Arial"/>
                <w:iCs/>
                <w:szCs w:val="22"/>
              </w:rPr>
              <w:t xml:space="preserve"> However, the following </w:t>
            </w:r>
            <w:proofErr w:type="spellStart"/>
            <w:r w:rsidR="00614586">
              <w:rPr>
                <w:rFonts w:cs="Arial"/>
                <w:iCs/>
                <w:szCs w:val="22"/>
              </w:rPr>
              <w:t>infomation</w:t>
            </w:r>
            <w:proofErr w:type="spellEnd"/>
            <w:r w:rsidR="00614586">
              <w:rPr>
                <w:rFonts w:cs="Arial"/>
                <w:iCs/>
                <w:szCs w:val="22"/>
              </w:rPr>
              <w:t xml:space="preserve"> may be helpful.</w:t>
            </w:r>
          </w:p>
          <w:p w:rsidR="00A83A18" w:rsidRDefault="00A83A18" w:rsidP="00A83A18">
            <w:pPr>
              <w:spacing w:before="60" w:after="60"/>
              <w:rPr>
                <w:rFonts w:cs="Arial"/>
                <w:szCs w:val="22"/>
              </w:rPr>
            </w:pPr>
            <w:r>
              <w:rPr>
                <w:rFonts w:cs="Arial"/>
                <w:szCs w:val="22"/>
              </w:rPr>
              <w:t>A sample of the test materials used in 2</w:t>
            </w:r>
            <w:r w:rsidRPr="00A83A18">
              <w:rPr>
                <w:rFonts w:cs="Arial"/>
                <w:szCs w:val="22"/>
              </w:rPr>
              <w:t xml:space="preserve">016 </w:t>
            </w:r>
            <w:r>
              <w:rPr>
                <w:rFonts w:cs="Arial"/>
                <w:szCs w:val="22"/>
              </w:rPr>
              <w:t xml:space="preserve">was </w:t>
            </w:r>
            <w:r w:rsidRPr="00A83A18">
              <w:rPr>
                <w:rFonts w:cs="Arial"/>
                <w:szCs w:val="22"/>
              </w:rPr>
              <w:t>published at</w:t>
            </w:r>
            <w:r>
              <w:rPr>
                <w:rFonts w:cs="Arial"/>
                <w:szCs w:val="22"/>
              </w:rPr>
              <w:t>:</w:t>
            </w:r>
            <w:r w:rsidRPr="00A83A18">
              <w:rPr>
                <w:rFonts w:cs="Arial"/>
                <w:szCs w:val="22"/>
              </w:rPr>
              <w:t xml:space="preserve"> </w:t>
            </w:r>
            <w:hyperlink r:id="rId14" w:history="1">
              <w:r w:rsidRPr="007F045A">
                <w:rPr>
                  <w:rStyle w:val="Hyperlink"/>
                  <w:rFonts w:cs="Arial"/>
                  <w:szCs w:val="22"/>
                </w:rPr>
                <w:t>https://www.gov.uk/government/publications/2016-key-stage-2-science-sampling-sample-questions-mark-scheme-and-commentary</w:t>
              </w:r>
            </w:hyperlink>
            <w:r>
              <w:t xml:space="preserve"> however, the</w:t>
            </w:r>
            <w:r w:rsidR="002559DC">
              <w:t xml:space="preserve"> published </w:t>
            </w:r>
            <w:r>
              <w:t xml:space="preserve">materials include </w:t>
            </w:r>
            <w:r w:rsidRPr="00A83A18">
              <w:rPr>
                <w:rFonts w:cs="Arial"/>
                <w:szCs w:val="22"/>
              </w:rPr>
              <w:t>mark schemes for teachers’ use, rather than coding frames</w:t>
            </w:r>
            <w:r>
              <w:rPr>
                <w:rFonts w:cs="Arial"/>
                <w:szCs w:val="22"/>
              </w:rPr>
              <w:t xml:space="preserve">. </w:t>
            </w:r>
            <w:r w:rsidR="002559DC">
              <w:rPr>
                <w:rFonts w:cs="Arial"/>
                <w:szCs w:val="22"/>
              </w:rPr>
              <w:t>The format of the c</w:t>
            </w:r>
            <w:r>
              <w:rPr>
                <w:rFonts w:cs="Arial"/>
                <w:szCs w:val="22"/>
              </w:rPr>
              <w:t>oding frames ha</w:t>
            </w:r>
            <w:r w:rsidR="002559DC">
              <w:rPr>
                <w:rFonts w:cs="Arial"/>
                <w:szCs w:val="22"/>
              </w:rPr>
              <w:t>s</w:t>
            </w:r>
            <w:r>
              <w:rPr>
                <w:rFonts w:cs="Arial"/>
                <w:szCs w:val="22"/>
              </w:rPr>
              <w:t xml:space="preserve"> changed since 2016, so the 2016 versions would not </w:t>
            </w:r>
            <w:r w:rsidR="002559DC">
              <w:rPr>
                <w:rFonts w:cs="Arial"/>
                <w:szCs w:val="22"/>
              </w:rPr>
              <w:t>reflect current coding principles.</w:t>
            </w:r>
            <w:r w:rsidRPr="00A83A18">
              <w:rPr>
                <w:rFonts w:cs="Arial"/>
                <w:szCs w:val="22"/>
              </w:rPr>
              <w:t xml:space="preserve"> </w:t>
            </w:r>
          </w:p>
          <w:p w:rsidR="00614586" w:rsidRDefault="00614586" w:rsidP="001349B2">
            <w:pPr>
              <w:spacing w:before="60" w:after="60"/>
              <w:rPr>
                <w:rFonts w:cs="Arial"/>
                <w:iCs/>
                <w:szCs w:val="22"/>
              </w:rPr>
            </w:pPr>
            <w:r>
              <w:rPr>
                <w:rFonts w:cs="Arial"/>
                <w:iCs/>
                <w:szCs w:val="22"/>
              </w:rPr>
              <w:t xml:space="preserve">Coding frames used in </w:t>
            </w:r>
            <w:r w:rsidR="002559DC">
              <w:rPr>
                <w:rFonts w:cs="Arial"/>
                <w:iCs/>
                <w:szCs w:val="22"/>
              </w:rPr>
              <w:t xml:space="preserve">recent </w:t>
            </w:r>
            <w:r w:rsidR="00A83A18" w:rsidRPr="00A83A18">
              <w:rPr>
                <w:rFonts w:cs="Arial"/>
                <w:iCs/>
                <w:szCs w:val="22"/>
              </w:rPr>
              <w:t>item validation trial</w:t>
            </w:r>
            <w:r w:rsidR="002559DC">
              <w:rPr>
                <w:rFonts w:cs="Arial"/>
                <w:iCs/>
                <w:szCs w:val="22"/>
              </w:rPr>
              <w:t>s</w:t>
            </w:r>
            <w:r>
              <w:rPr>
                <w:rFonts w:cs="Arial"/>
                <w:iCs/>
                <w:szCs w:val="22"/>
              </w:rPr>
              <w:t xml:space="preserve"> are the most accurate available reflection of the format used in science coding.</w:t>
            </w:r>
          </w:p>
          <w:p w:rsidR="00ED5A71" w:rsidRDefault="00ED5A71" w:rsidP="001349B2">
            <w:pPr>
              <w:spacing w:before="60" w:after="60"/>
              <w:rPr>
                <w:rFonts w:cs="Arial"/>
                <w:iCs/>
                <w:szCs w:val="22"/>
              </w:rPr>
            </w:pPr>
            <w:r>
              <w:rPr>
                <w:rFonts w:cs="Arial"/>
                <w:iCs/>
                <w:szCs w:val="22"/>
              </w:rPr>
              <w:t>Attached is a c</w:t>
            </w:r>
            <w:r w:rsidRPr="00ED5A71">
              <w:rPr>
                <w:rFonts w:cs="Arial"/>
                <w:iCs/>
                <w:szCs w:val="22"/>
              </w:rPr>
              <w:t xml:space="preserve">oding frame exemplar, </w:t>
            </w:r>
            <w:r>
              <w:rPr>
                <w:rFonts w:cs="Arial"/>
                <w:iCs/>
                <w:szCs w:val="22"/>
              </w:rPr>
              <w:t xml:space="preserve">which provides examples of </w:t>
            </w:r>
            <w:r w:rsidRPr="00ED5A71">
              <w:rPr>
                <w:rFonts w:cs="Arial"/>
                <w:iCs/>
                <w:szCs w:val="22"/>
              </w:rPr>
              <w:t xml:space="preserve">how coding might </w:t>
            </w:r>
            <w:r>
              <w:rPr>
                <w:rFonts w:cs="Arial"/>
                <w:iCs/>
                <w:szCs w:val="22"/>
              </w:rPr>
              <w:t xml:space="preserve">be presented </w:t>
            </w:r>
            <w:r w:rsidRPr="00ED5A71">
              <w:rPr>
                <w:rFonts w:cs="Arial"/>
                <w:iCs/>
                <w:szCs w:val="22"/>
              </w:rPr>
              <w:t>for a variety of item types</w:t>
            </w:r>
            <w:r>
              <w:rPr>
                <w:rFonts w:cs="Arial"/>
                <w:iCs/>
                <w:szCs w:val="22"/>
              </w:rPr>
              <w:t>.</w:t>
            </w:r>
          </w:p>
          <w:p w:rsidR="000F00A4" w:rsidRPr="00A83A18" w:rsidRDefault="00ED5A71" w:rsidP="001349B2">
            <w:pPr>
              <w:spacing w:before="60" w:after="60"/>
              <w:rPr>
                <w:rFonts w:cs="Arial"/>
                <w:iCs/>
                <w:szCs w:val="22"/>
              </w:rPr>
            </w:pPr>
            <w:r>
              <w:rPr>
                <w:rFonts w:cs="Arial"/>
                <w:iCs/>
                <w:szCs w:val="22"/>
              </w:rPr>
              <w:object w:dxaOrig="1539" w:dyaOrig="997" w14:anchorId="6E6309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5" o:title=""/>
                </v:shape>
                <o:OLEObject Type="Embed" ProgID="AcroExch.Document.DC" ShapeID="_x0000_i1025" DrawAspect="Icon" ObjectID="_1631955853" r:id="rId16"/>
              </w:object>
            </w:r>
          </w:p>
        </w:tc>
      </w:tr>
      <w:tr w:rsidR="002442B0" w:rsidRPr="00985D19" w:rsidTr="00506D6D">
        <w:trPr>
          <w:trHeight w:val="138"/>
        </w:trPr>
        <w:tc>
          <w:tcPr>
            <w:tcW w:w="562" w:type="dxa"/>
            <w:shd w:val="clear" w:color="auto" w:fill="auto"/>
          </w:tcPr>
          <w:p w:rsidR="002442B0" w:rsidRDefault="00B623B8" w:rsidP="002442B0">
            <w:pPr>
              <w:spacing w:before="60" w:after="60"/>
              <w:jc w:val="right"/>
              <w:rPr>
                <w:rFonts w:cs="Arial"/>
                <w:szCs w:val="22"/>
              </w:rPr>
            </w:pPr>
            <w:r>
              <w:rPr>
                <w:rFonts w:cs="Arial"/>
                <w:szCs w:val="22"/>
              </w:rPr>
              <w:t>3</w:t>
            </w:r>
          </w:p>
        </w:tc>
        <w:tc>
          <w:tcPr>
            <w:tcW w:w="1200" w:type="dxa"/>
          </w:tcPr>
          <w:p w:rsidR="002442B0" w:rsidRDefault="00B623B8" w:rsidP="002442B0">
            <w:pPr>
              <w:spacing w:before="60" w:after="60"/>
              <w:rPr>
                <w:rFonts w:cs="Arial"/>
                <w:szCs w:val="22"/>
                <w:lang w:val="en-AU"/>
              </w:rPr>
            </w:pPr>
            <w:r>
              <w:rPr>
                <w:rFonts w:cs="Arial"/>
                <w:szCs w:val="22"/>
                <w:lang w:val="en-AU"/>
              </w:rPr>
              <w:t>09/05/19</w:t>
            </w:r>
          </w:p>
        </w:tc>
        <w:tc>
          <w:tcPr>
            <w:tcW w:w="5604" w:type="dxa"/>
            <w:shd w:val="clear" w:color="auto" w:fill="auto"/>
          </w:tcPr>
          <w:p w:rsidR="002442B0" w:rsidRDefault="00A83A18" w:rsidP="00A83A18">
            <w:pPr>
              <w:spacing w:before="60" w:after="60"/>
              <w:rPr>
                <w:rFonts w:cs="Arial"/>
                <w:szCs w:val="22"/>
                <w:lang w:val="en-AU"/>
              </w:rPr>
            </w:pPr>
            <w:r>
              <w:rPr>
                <w:rFonts w:cs="Arial"/>
                <w:szCs w:val="22"/>
                <w:lang w:val="en-AU"/>
              </w:rPr>
              <w:t>Is</w:t>
            </w:r>
            <w:r w:rsidR="00B623B8" w:rsidRPr="00B623B8">
              <w:rPr>
                <w:rFonts w:cs="Arial"/>
                <w:szCs w:val="22"/>
                <w:lang w:val="en-AU"/>
              </w:rPr>
              <w:t xml:space="preserve"> the SST and TPT a single project</w:t>
            </w:r>
            <w:r>
              <w:rPr>
                <w:rFonts w:cs="Arial"/>
                <w:szCs w:val="22"/>
                <w:lang w:val="en-AU"/>
              </w:rPr>
              <w:t xml:space="preserve"> or will it be </w:t>
            </w:r>
            <w:r w:rsidR="00B623B8" w:rsidRPr="00B623B8">
              <w:rPr>
                <w:rFonts w:cs="Arial"/>
                <w:szCs w:val="22"/>
                <w:lang w:val="en-AU"/>
              </w:rPr>
              <w:t>possible to tender for the TPT separately?</w:t>
            </w:r>
          </w:p>
        </w:tc>
        <w:tc>
          <w:tcPr>
            <w:tcW w:w="7437" w:type="dxa"/>
            <w:shd w:val="clear" w:color="auto" w:fill="auto"/>
          </w:tcPr>
          <w:p w:rsidR="002442B0" w:rsidRDefault="002559DC" w:rsidP="002559DC">
            <w:pPr>
              <w:spacing w:before="60" w:after="60"/>
              <w:rPr>
                <w:rFonts w:cs="Arial"/>
                <w:iCs/>
                <w:szCs w:val="22"/>
              </w:rPr>
            </w:pPr>
            <w:r>
              <w:rPr>
                <w:rFonts w:cs="Arial"/>
                <w:iCs/>
                <w:szCs w:val="22"/>
              </w:rPr>
              <w:t>T</w:t>
            </w:r>
            <w:r w:rsidRPr="002559DC">
              <w:rPr>
                <w:rFonts w:cs="Arial"/>
                <w:iCs/>
                <w:szCs w:val="22"/>
              </w:rPr>
              <w:t xml:space="preserve">he SST and TPT will be a single project so </w:t>
            </w:r>
            <w:r>
              <w:rPr>
                <w:rFonts w:cs="Arial"/>
                <w:iCs/>
                <w:szCs w:val="22"/>
              </w:rPr>
              <w:t xml:space="preserve">suppliers cannot </w:t>
            </w:r>
            <w:r w:rsidRPr="002559DC">
              <w:rPr>
                <w:rFonts w:cs="Arial"/>
                <w:iCs/>
                <w:szCs w:val="22"/>
              </w:rPr>
              <w:t>bid for one or the other separately.</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4</w:t>
            </w:r>
          </w:p>
        </w:tc>
        <w:tc>
          <w:tcPr>
            <w:tcW w:w="1200" w:type="dxa"/>
          </w:tcPr>
          <w:p w:rsidR="0032182B" w:rsidRDefault="0032182B" w:rsidP="0032182B">
            <w:pPr>
              <w:spacing w:before="60" w:after="60"/>
              <w:rPr>
                <w:rFonts w:cs="Arial"/>
                <w:szCs w:val="22"/>
                <w:lang w:val="en-AU"/>
              </w:rPr>
            </w:pPr>
            <w:r>
              <w:rPr>
                <w:rFonts w:cs="Arial"/>
                <w:szCs w:val="22"/>
                <w:lang w:val="en-AU"/>
              </w:rPr>
              <w:t>12/07/19</w:t>
            </w:r>
          </w:p>
        </w:tc>
        <w:tc>
          <w:tcPr>
            <w:tcW w:w="5604" w:type="dxa"/>
            <w:shd w:val="clear" w:color="auto" w:fill="auto"/>
          </w:tcPr>
          <w:p w:rsidR="0032182B" w:rsidRDefault="0032182B" w:rsidP="0032182B">
            <w:pPr>
              <w:spacing w:before="60" w:after="60"/>
              <w:rPr>
                <w:rFonts w:cs="Arial"/>
                <w:szCs w:val="22"/>
                <w:lang w:val="en-AU"/>
              </w:rPr>
            </w:pPr>
            <w:r w:rsidRPr="0066294B">
              <w:t>Test administration: There's a discrepancy in the dates for test administration in the ITQ</w:t>
            </w:r>
            <w:r>
              <w:t xml:space="preserve"> – </w:t>
            </w:r>
            <w:r w:rsidRPr="0066294B">
              <w:t>can STA confirm if the window is 8-18 June or 8-19 June?</w:t>
            </w:r>
          </w:p>
        </w:tc>
        <w:tc>
          <w:tcPr>
            <w:tcW w:w="7437" w:type="dxa"/>
            <w:shd w:val="clear" w:color="auto" w:fill="auto"/>
          </w:tcPr>
          <w:p w:rsidR="00506D6D" w:rsidRDefault="0044621B" w:rsidP="0044621B">
            <w:pPr>
              <w:spacing w:before="60" w:after="60"/>
              <w:rPr>
                <w:rFonts w:cs="Arial"/>
                <w:iCs/>
                <w:szCs w:val="22"/>
              </w:rPr>
            </w:pPr>
            <w:r w:rsidRPr="0044621B">
              <w:rPr>
                <w:rFonts w:cs="Arial"/>
                <w:iCs/>
                <w:szCs w:val="22"/>
              </w:rPr>
              <w:t>Test administration window confirmed as</w:t>
            </w:r>
            <w:r>
              <w:rPr>
                <w:rFonts w:cs="Arial"/>
                <w:iCs/>
                <w:szCs w:val="22"/>
              </w:rPr>
              <w:t xml:space="preserve"> Monday</w:t>
            </w:r>
            <w:r w:rsidRPr="0044621B">
              <w:rPr>
                <w:rFonts w:cs="Arial"/>
                <w:iCs/>
                <w:szCs w:val="22"/>
              </w:rPr>
              <w:t xml:space="preserve"> 8</w:t>
            </w:r>
            <w:r>
              <w:rPr>
                <w:rFonts w:cs="Arial"/>
                <w:iCs/>
                <w:szCs w:val="22"/>
              </w:rPr>
              <w:t xml:space="preserve"> to Friday </w:t>
            </w:r>
            <w:r w:rsidRPr="0044621B">
              <w:rPr>
                <w:rFonts w:cs="Arial"/>
                <w:iCs/>
                <w:szCs w:val="22"/>
              </w:rPr>
              <w:t>19 June 2020 inclusive</w:t>
            </w:r>
            <w:r w:rsidR="00506D6D">
              <w:rPr>
                <w:rFonts w:cs="Arial"/>
                <w:iCs/>
                <w:szCs w:val="22"/>
              </w:rPr>
              <w:t>.</w:t>
            </w:r>
          </w:p>
          <w:p w:rsidR="0032182B" w:rsidRDefault="00506D6D" w:rsidP="00506D6D">
            <w:pPr>
              <w:spacing w:before="60" w:after="60"/>
              <w:rPr>
                <w:rFonts w:cs="Arial"/>
                <w:iCs/>
                <w:szCs w:val="22"/>
              </w:rPr>
            </w:pPr>
            <w:r>
              <w:rPr>
                <w:rFonts w:cs="Arial"/>
                <w:iCs/>
                <w:szCs w:val="22"/>
              </w:rPr>
              <w:t>U</w:t>
            </w:r>
            <w:r w:rsidR="0044621B" w:rsidRPr="0044621B">
              <w:rPr>
                <w:rFonts w:cs="Arial"/>
                <w:iCs/>
                <w:szCs w:val="22"/>
              </w:rPr>
              <w:t>pdated ITQ v2.0 issued 15/07/19.</w:t>
            </w:r>
          </w:p>
        </w:tc>
      </w:tr>
      <w:tr w:rsidR="0044621B" w:rsidRPr="00985D19" w:rsidTr="00506D6D">
        <w:trPr>
          <w:trHeight w:val="138"/>
        </w:trPr>
        <w:tc>
          <w:tcPr>
            <w:tcW w:w="562" w:type="dxa"/>
            <w:shd w:val="clear" w:color="auto" w:fill="auto"/>
          </w:tcPr>
          <w:p w:rsidR="0044621B" w:rsidRDefault="0044621B" w:rsidP="0032182B">
            <w:pPr>
              <w:spacing w:before="60" w:after="60"/>
              <w:jc w:val="right"/>
              <w:rPr>
                <w:rFonts w:cs="Arial"/>
                <w:szCs w:val="22"/>
              </w:rPr>
            </w:pPr>
            <w:r>
              <w:rPr>
                <w:rFonts w:cs="Arial"/>
                <w:szCs w:val="22"/>
              </w:rPr>
              <w:t>5</w:t>
            </w:r>
          </w:p>
        </w:tc>
        <w:tc>
          <w:tcPr>
            <w:tcW w:w="1200" w:type="dxa"/>
          </w:tcPr>
          <w:p w:rsidR="0044621B" w:rsidRDefault="0044621B" w:rsidP="0032182B">
            <w:pPr>
              <w:spacing w:before="60" w:after="60"/>
              <w:rPr>
                <w:rFonts w:cs="Arial"/>
                <w:szCs w:val="22"/>
                <w:lang w:val="en-AU"/>
              </w:rPr>
            </w:pPr>
            <w:r w:rsidRPr="0044621B">
              <w:rPr>
                <w:rFonts w:cs="Arial"/>
                <w:szCs w:val="22"/>
                <w:lang w:val="en-AU"/>
              </w:rPr>
              <w:t>12/07/19</w:t>
            </w:r>
          </w:p>
        </w:tc>
        <w:tc>
          <w:tcPr>
            <w:tcW w:w="5604" w:type="dxa"/>
            <w:shd w:val="clear" w:color="auto" w:fill="auto"/>
          </w:tcPr>
          <w:p w:rsidR="0044621B" w:rsidRPr="0066294B" w:rsidRDefault="0044621B" w:rsidP="0032182B">
            <w:pPr>
              <w:spacing w:before="60" w:after="60"/>
            </w:pPr>
            <w:r w:rsidRPr="0044621B">
              <w:t xml:space="preserve">Cost breakdown spreadsheet: The cost breakdown spreadsheet does not have a tab for TPT – can this be </w:t>
            </w:r>
            <w:proofErr w:type="gramStart"/>
            <w:r w:rsidRPr="0044621B">
              <w:t>added</w:t>
            </w:r>
            <w:proofErr w:type="gramEnd"/>
            <w:r w:rsidRPr="0044621B">
              <w:t xml:space="preserve"> and the spreadsheet reissued please?</w:t>
            </w:r>
          </w:p>
        </w:tc>
        <w:tc>
          <w:tcPr>
            <w:tcW w:w="7437" w:type="dxa"/>
            <w:shd w:val="clear" w:color="auto" w:fill="auto"/>
          </w:tcPr>
          <w:p w:rsidR="00506D6D" w:rsidRDefault="0044621B" w:rsidP="0032182B">
            <w:pPr>
              <w:spacing w:before="60" w:after="60"/>
              <w:rPr>
                <w:rFonts w:cs="Arial"/>
                <w:iCs/>
                <w:szCs w:val="22"/>
              </w:rPr>
            </w:pPr>
            <w:r w:rsidRPr="0044621B">
              <w:rPr>
                <w:rFonts w:cs="Arial"/>
                <w:iCs/>
                <w:szCs w:val="22"/>
              </w:rPr>
              <w:t>Cost breakdown spreadsheet amended to include a separate worksheet for TPT costs</w:t>
            </w:r>
            <w:r w:rsidR="00506D6D">
              <w:rPr>
                <w:rFonts w:cs="Arial"/>
                <w:iCs/>
                <w:szCs w:val="22"/>
              </w:rPr>
              <w:t>.</w:t>
            </w:r>
          </w:p>
          <w:p w:rsidR="0044621B" w:rsidRDefault="00506D6D" w:rsidP="00506D6D">
            <w:pPr>
              <w:spacing w:before="60" w:after="60"/>
              <w:rPr>
                <w:rFonts w:cs="Arial"/>
                <w:iCs/>
                <w:szCs w:val="22"/>
              </w:rPr>
            </w:pPr>
            <w:r>
              <w:rPr>
                <w:rFonts w:cs="Arial"/>
                <w:iCs/>
                <w:szCs w:val="22"/>
              </w:rPr>
              <w:t>Up</w:t>
            </w:r>
            <w:r w:rsidR="0044621B">
              <w:rPr>
                <w:rFonts w:cs="Arial"/>
                <w:iCs/>
                <w:szCs w:val="22"/>
              </w:rPr>
              <w:t>dated ITQ v2.0 issued 15/07/19.</w:t>
            </w:r>
          </w:p>
        </w:tc>
      </w:tr>
      <w:tr w:rsidR="0032182B" w:rsidRPr="00985D19" w:rsidTr="00506D6D">
        <w:trPr>
          <w:trHeight w:val="138"/>
        </w:trPr>
        <w:tc>
          <w:tcPr>
            <w:tcW w:w="562" w:type="dxa"/>
            <w:shd w:val="clear" w:color="auto" w:fill="auto"/>
          </w:tcPr>
          <w:p w:rsidR="0032182B" w:rsidRDefault="0044621B" w:rsidP="0032182B">
            <w:pPr>
              <w:spacing w:before="60" w:after="60"/>
              <w:jc w:val="right"/>
              <w:rPr>
                <w:rFonts w:cs="Arial"/>
                <w:szCs w:val="22"/>
              </w:rPr>
            </w:pPr>
            <w:r>
              <w:rPr>
                <w:rFonts w:cs="Arial"/>
                <w:szCs w:val="22"/>
              </w:rPr>
              <w:t>6</w:t>
            </w:r>
          </w:p>
        </w:tc>
        <w:tc>
          <w:tcPr>
            <w:tcW w:w="1200" w:type="dxa"/>
          </w:tcPr>
          <w:p w:rsidR="0032182B" w:rsidRDefault="0032182B" w:rsidP="0032182B">
            <w:pPr>
              <w:spacing w:before="60" w:after="60"/>
              <w:rPr>
                <w:rFonts w:cs="Arial"/>
                <w:szCs w:val="22"/>
                <w:lang w:val="en-AU"/>
              </w:rPr>
            </w:pPr>
            <w:r w:rsidRPr="00414444">
              <w:t>12/07/19</w:t>
            </w:r>
          </w:p>
        </w:tc>
        <w:tc>
          <w:tcPr>
            <w:tcW w:w="5604" w:type="dxa"/>
            <w:shd w:val="clear" w:color="auto" w:fill="auto"/>
          </w:tcPr>
          <w:p w:rsidR="0032182B" w:rsidRDefault="0032182B" w:rsidP="0032182B">
            <w:pPr>
              <w:spacing w:before="60" w:after="60"/>
              <w:rPr>
                <w:rFonts w:cs="Arial"/>
                <w:szCs w:val="22"/>
                <w:lang w:val="en-AU"/>
              </w:rPr>
            </w:pPr>
            <w:r w:rsidRPr="0066294B">
              <w:t xml:space="preserve">Test administrator training: IVT/TPT call-offs usually state </w:t>
            </w:r>
            <w:r>
              <w:t>‘</w:t>
            </w:r>
            <w:r w:rsidRPr="0066294B">
              <w:t>No more than two training events should be held per year to train all administrators; regardless of the number of call-offs won by a Supplier.</w:t>
            </w:r>
            <w:r>
              <w:t>’</w:t>
            </w:r>
            <w:r w:rsidRPr="0066294B">
              <w:t xml:space="preserve">  Can STA confirm that this call-off is entirely separate to that requirement (i.e. administrator training events organised for this call-off would not be counted)?</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Yes, the science call-off can be excluded from the requirement for IVT and TPT call-offs to be limited to two training events per year. However, depending on call-offs won, the supplier may choose to combine science administrator training with that for other IVT or TPT call-offs.</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7</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32182B">
            <w:pPr>
              <w:spacing w:before="60" w:after="60"/>
              <w:rPr>
                <w:rFonts w:cs="Arial"/>
                <w:szCs w:val="22"/>
                <w:lang w:val="en-AU"/>
              </w:rPr>
            </w:pPr>
            <w:r w:rsidRPr="0066294B">
              <w:t>Coding: Does STA intend (or have a preference) that coding is completed at item, item group or script level (we note that the payment information only quotes per script coding fees)?</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STA expects coding quality to be calculated at item level to ensure consistency with the marking quality requirements of other STA assessments. The supplier should propose in their bid how they intend to pay coders. STA expects coders to be trained in a logical fashion and the supplier’s approach must be specified in their bid.</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8</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32182B">
            <w:pPr>
              <w:spacing w:before="60" w:after="60"/>
              <w:rPr>
                <w:rFonts w:cs="Arial"/>
                <w:szCs w:val="22"/>
                <w:lang w:val="en-AU"/>
              </w:rPr>
            </w:pPr>
            <w:r w:rsidRPr="004F1D74">
              <w:t xml:space="preserve">Recruitment of Test Administrators: Whilst our intention would be to recruit teachers, </w:t>
            </w:r>
            <w:proofErr w:type="gramStart"/>
            <w:r w:rsidRPr="004F1D74">
              <w:t>in the event that</w:t>
            </w:r>
            <w:proofErr w:type="gramEnd"/>
            <w:r w:rsidRPr="004F1D74">
              <w:t xml:space="preserve"> we need to cast our net wider, can STA elaborate on the experience / capability they would be looking for from non-teachers?  </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STA’s preference is that test administrators are qualified teachers or former teachers. In exceptional circumstances, where a proposed administrator does not have a teaching qualification, approval must be sought from the Department to recruit any other individual. Such individuals must possess the attributes specified in section SA2.3 of the Trialling and Sampling Framework and have experience in working with children</w:t>
            </w:r>
            <w:r>
              <w:rPr>
                <w:rFonts w:cs="Arial"/>
                <w:iCs/>
                <w:szCs w:val="22"/>
              </w:rPr>
              <w:t>.</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9</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32182B">
            <w:pPr>
              <w:spacing w:before="60" w:after="60"/>
              <w:rPr>
                <w:rFonts w:cs="Arial"/>
                <w:szCs w:val="22"/>
                <w:lang w:val="en-AU"/>
              </w:rPr>
            </w:pPr>
            <w:r w:rsidRPr="004F1D74">
              <w:t>Administrator questionnaires: Is it STA's intention that questionnaire completion should be a paper-based process, or would online questionnaire completion be considered an acceptable solution?</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 xml:space="preserve">Administrator questionnaires may be completed on paper or online. If an online questionnaire is proposed, consideration must be given to security arrangements regarding transfer of personal </w:t>
            </w:r>
            <w:proofErr w:type="gramStart"/>
            <w:r w:rsidRPr="00506D6D">
              <w:rPr>
                <w:rFonts w:cs="Arial"/>
                <w:iCs/>
                <w:szCs w:val="22"/>
              </w:rPr>
              <w:t>data, and</w:t>
            </w:r>
            <w:proofErr w:type="gramEnd"/>
            <w:r w:rsidRPr="00506D6D">
              <w:rPr>
                <w:rFonts w:cs="Arial"/>
                <w:iCs/>
                <w:szCs w:val="22"/>
              </w:rPr>
              <w:t xml:space="preserve"> documented in the supplier’s bid.</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10</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32182B">
            <w:pPr>
              <w:spacing w:before="60" w:after="60"/>
              <w:rPr>
                <w:rFonts w:cs="Arial"/>
                <w:szCs w:val="22"/>
                <w:lang w:val="en-AU"/>
              </w:rPr>
            </w:pPr>
            <w:r w:rsidRPr="004F1D74">
              <w:t>Final data specifications: Can STA confirm that the SST data specifications will not be supplied until 31 July (the same timeline as for TPT) when the preliminary data feed is due on 24 July and complete item level data feed is due on 14 August?</w:t>
            </w:r>
          </w:p>
        </w:tc>
        <w:tc>
          <w:tcPr>
            <w:tcW w:w="7437" w:type="dxa"/>
            <w:shd w:val="clear" w:color="auto" w:fill="auto"/>
          </w:tcPr>
          <w:p w:rsidR="00506D6D" w:rsidRPr="00506D6D" w:rsidRDefault="00506D6D" w:rsidP="00506D6D">
            <w:pPr>
              <w:spacing w:before="60" w:after="60"/>
              <w:rPr>
                <w:rFonts w:cs="Arial"/>
                <w:iCs/>
                <w:szCs w:val="22"/>
              </w:rPr>
            </w:pPr>
            <w:r w:rsidRPr="00506D6D">
              <w:rPr>
                <w:rFonts w:cs="Arial"/>
                <w:iCs/>
                <w:szCs w:val="22"/>
              </w:rPr>
              <w:t>The date of 24 July for the preliminary data feed is not a fixed date.</w:t>
            </w:r>
          </w:p>
          <w:p w:rsidR="0032182B" w:rsidRDefault="00506D6D" w:rsidP="00506D6D">
            <w:pPr>
              <w:spacing w:before="60" w:after="60"/>
              <w:rPr>
                <w:rFonts w:cs="Arial"/>
                <w:iCs/>
                <w:szCs w:val="22"/>
              </w:rPr>
            </w:pPr>
            <w:r w:rsidRPr="00506D6D">
              <w:rPr>
                <w:rFonts w:cs="Arial"/>
                <w:iCs/>
                <w:szCs w:val="22"/>
              </w:rPr>
              <w:t xml:space="preserve">STA have proposed a date of 31 July for the final data specifications. However, this is dependent on the supplier’s proposed </w:t>
            </w:r>
            <w:r>
              <w:rPr>
                <w:rFonts w:cs="Arial"/>
                <w:iCs/>
                <w:szCs w:val="22"/>
              </w:rPr>
              <w:t xml:space="preserve">project </w:t>
            </w:r>
            <w:r w:rsidRPr="00506D6D">
              <w:rPr>
                <w:rFonts w:cs="Arial"/>
                <w:iCs/>
                <w:szCs w:val="22"/>
              </w:rPr>
              <w:t>plan. STA can supply the final data specifications for SST and TPT 5 working days after the last day of the final pre-coding meeting for SST and TPT</w:t>
            </w:r>
            <w:r>
              <w:rPr>
                <w:rFonts w:cs="Arial"/>
                <w:iCs/>
                <w:szCs w:val="22"/>
              </w:rPr>
              <w:t xml:space="preserve"> </w:t>
            </w:r>
            <w:r w:rsidRPr="00506D6D">
              <w:rPr>
                <w:rFonts w:cs="Arial"/>
                <w:iCs/>
                <w:szCs w:val="22"/>
              </w:rPr>
              <w:t>respectively.</w:t>
            </w:r>
          </w:p>
        </w:tc>
      </w:tr>
      <w:tr w:rsidR="0032182B" w:rsidRPr="00985D19" w:rsidTr="00506D6D">
        <w:trPr>
          <w:trHeight w:val="138"/>
        </w:trPr>
        <w:tc>
          <w:tcPr>
            <w:tcW w:w="562" w:type="dxa"/>
            <w:shd w:val="clear" w:color="auto" w:fill="auto"/>
          </w:tcPr>
          <w:p w:rsidR="0032182B" w:rsidRDefault="0032182B" w:rsidP="0032182B">
            <w:pPr>
              <w:spacing w:before="60" w:after="60"/>
              <w:jc w:val="right"/>
              <w:rPr>
                <w:rFonts w:cs="Arial"/>
                <w:szCs w:val="22"/>
              </w:rPr>
            </w:pPr>
            <w:r>
              <w:rPr>
                <w:rFonts w:cs="Arial"/>
                <w:szCs w:val="22"/>
              </w:rPr>
              <w:t>11</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44621B" w:rsidP="0032182B">
            <w:pPr>
              <w:spacing w:before="60" w:after="60"/>
              <w:rPr>
                <w:rFonts w:cs="Arial"/>
                <w:szCs w:val="22"/>
                <w:lang w:val="en-AU"/>
              </w:rPr>
            </w:pPr>
            <w:r w:rsidRPr="0044621B">
              <w:rPr>
                <w:rFonts w:cs="Arial"/>
                <w:szCs w:val="22"/>
                <w:lang w:val="en-AU"/>
              </w:rPr>
              <w:t>Is there a requirement to have a bespoke web-based service for exchanging information with schools?</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There is no requirement for a bespoke web-based service for schools; the supplier should submit their proposed solution as part of their bid.</w:t>
            </w:r>
          </w:p>
        </w:tc>
      </w:tr>
      <w:tr w:rsidR="0032182B" w:rsidRPr="00985D19" w:rsidTr="00506D6D">
        <w:trPr>
          <w:trHeight w:val="138"/>
        </w:trPr>
        <w:tc>
          <w:tcPr>
            <w:tcW w:w="562" w:type="dxa"/>
            <w:shd w:val="clear" w:color="auto" w:fill="auto"/>
          </w:tcPr>
          <w:p w:rsidR="0032182B" w:rsidRDefault="00506D6D" w:rsidP="00506D6D">
            <w:pPr>
              <w:spacing w:before="60" w:after="60"/>
              <w:jc w:val="right"/>
              <w:rPr>
                <w:rFonts w:cs="Arial"/>
                <w:szCs w:val="22"/>
              </w:rPr>
            </w:pPr>
            <w:r>
              <w:rPr>
                <w:rFonts w:cs="Arial"/>
                <w:szCs w:val="22"/>
              </w:rPr>
              <w:t>12</w:t>
            </w:r>
          </w:p>
        </w:tc>
        <w:tc>
          <w:tcPr>
            <w:tcW w:w="1200" w:type="dxa"/>
          </w:tcPr>
          <w:p w:rsidR="0032182B" w:rsidRPr="00A705F7" w:rsidRDefault="0032182B" w:rsidP="0032182B">
            <w:pPr>
              <w:spacing w:before="60" w:after="60"/>
              <w:rPr>
                <w:rFonts w:cs="Arial"/>
                <w:szCs w:val="22"/>
                <w:lang w:val="en-AU"/>
              </w:rPr>
            </w:pPr>
            <w:r w:rsidRPr="00414444">
              <w:t>12/07/19</w:t>
            </w:r>
          </w:p>
        </w:tc>
        <w:tc>
          <w:tcPr>
            <w:tcW w:w="5604" w:type="dxa"/>
            <w:shd w:val="clear" w:color="auto" w:fill="auto"/>
          </w:tcPr>
          <w:p w:rsidR="0032182B" w:rsidRPr="00A705F7" w:rsidRDefault="0032182B" w:rsidP="0044621B">
            <w:pPr>
              <w:spacing w:before="60" w:after="60"/>
              <w:rPr>
                <w:rFonts w:cs="Arial"/>
                <w:szCs w:val="22"/>
                <w:lang w:val="en-AU"/>
              </w:rPr>
            </w:pPr>
            <w:r w:rsidRPr="00CF51A0">
              <w:t>Test Administrator training: Can STA confirm that all administrators must attend specific face-to</w:t>
            </w:r>
            <w:r w:rsidR="0044621B">
              <w:t>-</w:t>
            </w:r>
            <w:r w:rsidRPr="00CF51A0">
              <w:t xml:space="preserve">face training for this test administration, and that the framework guidance stating those who have been trained in the last two years need not have face-to-face training does not apply?  </w:t>
            </w:r>
          </w:p>
        </w:tc>
        <w:tc>
          <w:tcPr>
            <w:tcW w:w="7437" w:type="dxa"/>
            <w:shd w:val="clear" w:color="auto" w:fill="auto"/>
          </w:tcPr>
          <w:p w:rsidR="0032182B" w:rsidRDefault="00506D6D" w:rsidP="0032182B">
            <w:pPr>
              <w:spacing w:before="60" w:after="60"/>
              <w:rPr>
                <w:rFonts w:cs="Arial"/>
                <w:iCs/>
                <w:szCs w:val="22"/>
              </w:rPr>
            </w:pPr>
            <w:r w:rsidRPr="00506D6D">
              <w:rPr>
                <w:rFonts w:cs="Arial"/>
                <w:iCs/>
                <w:szCs w:val="22"/>
              </w:rPr>
              <w:t>The framework states that those administrators who have been trained in the last two years need not have face-to-face training. This provision only applies if administrators have already been trained in administering a live sample test, which includes administration of modified versions. Face-to-face training must be provided to those who have not administered a live sample test.</w:t>
            </w:r>
          </w:p>
        </w:tc>
      </w:tr>
      <w:tr w:rsidR="00506D6D" w:rsidRPr="00985D19" w:rsidTr="00506D6D">
        <w:trPr>
          <w:trHeight w:val="138"/>
        </w:trPr>
        <w:tc>
          <w:tcPr>
            <w:tcW w:w="562" w:type="dxa"/>
            <w:shd w:val="clear" w:color="auto" w:fill="auto"/>
          </w:tcPr>
          <w:p w:rsidR="00506D6D" w:rsidRDefault="00506D6D" w:rsidP="0032182B">
            <w:pPr>
              <w:spacing w:before="60" w:after="60"/>
              <w:jc w:val="right"/>
              <w:rPr>
                <w:rFonts w:cs="Arial"/>
                <w:szCs w:val="22"/>
              </w:rPr>
            </w:pPr>
            <w:r>
              <w:rPr>
                <w:rFonts w:cs="Arial"/>
                <w:szCs w:val="22"/>
              </w:rPr>
              <w:t>13</w:t>
            </w:r>
          </w:p>
        </w:tc>
        <w:tc>
          <w:tcPr>
            <w:tcW w:w="1200" w:type="dxa"/>
          </w:tcPr>
          <w:p w:rsidR="00506D6D" w:rsidRPr="00414444" w:rsidRDefault="00506D6D" w:rsidP="0032182B">
            <w:pPr>
              <w:spacing w:before="60" w:after="60"/>
            </w:pPr>
            <w:r>
              <w:t>12/07/19</w:t>
            </w:r>
          </w:p>
        </w:tc>
        <w:tc>
          <w:tcPr>
            <w:tcW w:w="5604" w:type="dxa"/>
            <w:shd w:val="clear" w:color="auto" w:fill="auto"/>
          </w:tcPr>
          <w:p w:rsidR="00506D6D" w:rsidRPr="00CF51A0" w:rsidRDefault="00506D6D" w:rsidP="0044621B">
            <w:pPr>
              <w:spacing w:before="60" w:after="60"/>
            </w:pPr>
            <w:r w:rsidRPr="00506D6D">
              <w:t>Printing: In order to accurately quote our print costs, can STA supply full information on all documents that need to be printed by the Supplier, e.g. including the existing training materials for SST? In other call-offs this information is provided via the ‘Test Info Sheet.</w:t>
            </w:r>
          </w:p>
        </w:tc>
        <w:tc>
          <w:tcPr>
            <w:tcW w:w="7437" w:type="dxa"/>
            <w:shd w:val="clear" w:color="auto" w:fill="auto"/>
          </w:tcPr>
          <w:p w:rsidR="00924102" w:rsidRDefault="00924102" w:rsidP="00924102">
            <w:pPr>
              <w:spacing w:before="60" w:after="60"/>
              <w:rPr>
                <w:rFonts w:cs="Arial"/>
                <w:iCs/>
                <w:szCs w:val="22"/>
              </w:rPr>
            </w:pPr>
            <w:r>
              <w:rPr>
                <w:rFonts w:cs="Arial"/>
                <w:iCs/>
                <w:szCs w:val="22"/>
              </w:rPr>
              <w:t xml:space="preserve">Based on print information included in the </w:t>
            </w:r>
            <w:r w:rsidRPr="00924102">
              <w:rPr>
                <w:rFonts w:cs="Arial"/>
                <w:iCs/>
                <w:szCs w:val="22"/>
              </w:rPr>
              <w:t>test information spreadsheet</w:t>
            </w:r>
            <w:r>
              <w:rPr>
                <w:rFonts w:cs="Arial"/>
                <w:iCs/>
                <w:szCs w:val="22"/>
              </w:rPr>
              <w:t xml:space="preserve"> (TIS)</w:t>
            </w:r>
            <w:r w:rsidRPr="00924102">
              <w:rPr>
                <w:rFonts w:cs="Arial"/>
                <w:iCs/>
                <w:szCs w:val="22"/>
              </w:rPr>
              <w:t xml:space="preserve">, </w:t>
            </w:r>
            <w:r>
              <w:rPr>
                <w:rFonts w:cs="Arial"/>
                <w:iCs/>
                <w:szCs w:val="22"/>
              </w:rPr>
              <w:t>we have provided additional information on print requirements in the attached document.</w:t>
            </w:r>
          </w:p>
          <w:bookmarkStart w:id="0" w:name="_MON_1626096461"/>
          <w:bookmarkEnd w:id="0"/>
          <w:p w:rsidR="00924102" w:rsidRPr="00924102" w:rsidRDefault="005E3AF5" w:rsidP="00924102">
            <w:pPr>
              <w:spacing w:before="60" w:after="60"/>
              <w:rPr>
                <w:rFonts w:cs="Arial"/>
                <w:iCs/>
                <w:szCs w:val="22"/>
              </w:rPr>
            </w:pPr>
            <w:r>
              <w:rPr>
                <w:rFonts w:cs="Arial"/>
                <w:iCs/>
                <w:szCs w:val="22"/>
              </w:rPr>
              <w:object w:dxaOrig="1478" w:dyaOrig="973" w14:anchorId="38BDCF96">
                <v:shape id="_x0000_i1026" type="#_x0000_t75" style="width:74.25pt;height:48.75pt" o:ole="">
                  <v:imagedata r:id="rId17" o:title=""/>
                </v:shape>
                <o:OLEObject Type="Embed" ProgID="Excel.Sheet.12" ShapeID="_x0000_i1026" DrawAspect="Icon" ObjectID="_1631955854" r:id="rId18"/>
              </w:object>
            </w:r>
          </w:p>
          <w:p w:rsidR="00924102" w:rsidRPr="00924102" w:rsidRDefault="00924102" w:rsidP="00924102">
            <w:pPr>
              <w:spacing w:before="60" w:after="60"/>
              <w:rPr>
                <w:rFonts w:cs="Arial"/>
                <w:iCs/>
                <w:szCs w:val="22"/>
              </w:rPr>
            </w:pPr>
            <w:r w:rsidRPr="00924102">
              <w:rPr>
                <w:rFonts w:cs="Arial"/>
                <w:iCs/>
                <w:szCs w:val="22"/>
              </w:rPr>
              <w:t>In using this data, please bear in mind the following:</w:t>
            </w:r>
          </w:p>
          <w:p w:rsidR="00924102" w:rsidRDefault="00924102" w:rsidP="00924102">
            <w:pPr>
              <w:pStyle w:val="ListParagraph"/>
              <w:numPr>
                <w:ilvl w:val="0"/>
                <w:numId w:val="9"/>
              </w:numPr>
              <w:spacing w:before="60" w:after="60"/>
              <w:rPr>
                <w:rFonts w:ascii="Arial" w:hAnsi="Arial" w:cs="Arial"/>
                <w:iCs/>
              </w:rPr>
            </w:pPr>
            <w:r w:rsidRPr="00924102">
              <w:rPr>
                <w:rFonts w:ascii="Arial" w:hAnsi="Arial" w:cs="Arial"/>
                <w:iCs/>
              </w:rPr>
              <w:t xml:space="preserve">Requirements outlined in section 1.c </w:t>
            </w:r>
            <w:r w:rsidR="00F97168">
              <w:rPr>
                <w:rFonts w:ascii="Arial" w:hAnsi="Arial" w:cs="Arial"/>
                <w:iCs/>
              </w:rPr>
              <w:t>(Functional Requirements – Printing) on pages 55-61</w:t>
            </w:r>
            <w:r w:rsidR="00485193">
              <w:rPr>
                <w:rFonts w:ascii="Arial" w:hAnsi="Arial" w:cs="Arial"/>
                <w:iCs/>
              </w:rPr>
              <w:t xml:space="preserve"> of the ITQ</w:t>
            </w:r>
            <w:r w:rsidR="00F97168">
              <w:rPr>
                <w:rFonts w:ascii="Arial" w:hAnsi="Arial" w:cs="Arial"/>
                <w:iCs/>
              </w:rPr>
              <w:t>, stand.</w:t>
            </w:r>
          </w:p>
          <w:p w:rsidR="005E3AF5" w:rsidRDefault="00F97168" w:rsidP="005E3AF5">
            <w:pPr>
              <w:pStyle w:val="ListParagraph"/>
              <w:numPr>
                <w:ilvl w:val="0"/>
                <w:numId w:val="9"/>
              </w:numPr>
              <w:spacing w:before="60" w:after="60"/>
              <w:rPr>
                <w:rFonts w:ascii="Arial" w:hAnsi="Arial" w:cs="Arial"/>
                <w:iCs/>
              </w:rPr>
            </w:pPr>
            <w:r w:rsidRPr="005E3AF5">
              <w:rPr>
                <w:rFonts w:ascii="Arial" w:hAnsi="Arial" w:cs="Arial"/>
                <w:iCs/>
              </w:rPr>
              <w:t>Some data in the TIS will be dependent on the supplier’s proposed solution</w:t>
            </w:r>
            <w:r w:rsidR="005E3AF5">
              <w:rPr>
                <w:rFonts w:ascii="Arial" w:hAnsi="Arial" w:cs="Arial"/>
                <w:iCs/>
              </w:rPr>
              <w:t xml:space="preserve"> – </w:t>
            </w:r>
            <w:r w:rsidRPr="005E3AF5">
              <w:rPr>
                <w:rFonts w:ascii="Arial" w:hAnsi="Arial" w:cs="Arial"/>
                <w:iCs/>
              </w:rPr>
              <w:t>such as</w:t>
            </w:r>
            <w:r w:rsidR="005E3AF5">
              <w:rPr>
                <w:rFonts w:ascii="Arial" w:hAnsi="Arial" w:cs="Arial"/>
                <w:iCs/>
              </w:rPr>
              <w:t>:</w:t>
            </w:r>
            <w:r w:rsidR="00EA3009" w:rsidRPr="005E3AF5">
              <w:rPr>
                <w:rFonts w:ascii="Arial" w:hAnsi="Arial" w:cs="Arial"/>
                <w:iCs/>
              </w:rPr>
              <w:t xml:space="preserve"> scanning type</w:t>
            </w:r>
            <w:r w:rsidR="00EA3009" w:rsidRPr="005E3AF5">
              <w:rPr>
                <w:rFonts w:ascii="Arial" w:hAnsi="Arial" w:cs="Arial"/>
              </w:rPr>
              <w:t xml:space="preserve"> (</w:t>
            </w:r>
            <w:proofErr w:type="spellStart"/>
            <w:r w:rsidR="00EA3009" w:rsidRPr="005E3AF5">
              <w:rPr>
                <w:rFonts w:ascii="Arial" w:hAnsi="Arial" w:cs="Arial"/>
                <w:iCs/>
              </w:rPr>
              <w:t>black&amp;white</w:t>
            </w:r>
            <w:proofErr w:type="spellEnd"/>
            <w:r w:rsidR="00EA3009" w:rsidRPr="005E3AF5">
              <w:rPr>
                <w:rFonts w:ascii="Arial" w:hAnsi="Arial" w:cs="Arial"/>
                <w:iCs/>
              </w:rPr>
              <w:t xml:space="preserve"> or greyscale);</w:t>
            </w:r>
            <w:r w:rsidR="005E3AF5" w:rsidRPr="005E3AF5">
              <w:rPr>
                <w:rFonts w:ascii="Arial" w:hAnsi="Arial" w:cs="Arial"/>
                <w:iCs/>
              </w:rPr>
              <w:t xml:space="preserve"> </w:t>
            </w:r>
            <w:r w:rsidR="005E3AF5">
              <w:rPr>
                <w:rFonts w:ascii="Arial" w:hAnsi="Arial" w:cs="Arial"/>
                <w:iCs/>
              </w:rPr>
              <w:t xml:space="preserve">the solution for </w:t>
            </w:r>
            <w:r w:rsidR="00EA3009" w:rsidRPr="005E3AF5">
              <w:rPr>
                <w:rFonts w:ascii="Arial" w:hAnsi="Arial" w:cs="Arial"/>
                <w:iCs/>
              </w:rPr>
              <w:t>attendance registers</w:t>
            </w:r>
            <w:r w:rsidR="005E3AF5">
              <w:rPr>
                <w:rFonts w:ascii="Arial" w:hAnsi="Arial" w:cs="Arial"/>
                <w:iCs/>
              </w:rPr>
              <w:t xml:space="preserve">; organisation of pre-coding and </w:t>
            </w:r>
            <w:proofErr w:type="spellStart"/>
            <w:r w:rsidR="005E3AF5">
              <w:rPr>
                <w:rFonts w:ascii="Arial" w:hAnsi="Arial" w:cs="Arial"/>
                <w:iCs/>
              </w:rPr>
              <w:t>codug</w:t>
            </w:r>
            <w:proofErr w:type="spellEnd"/>
            <w:r w:rsidR="005E3AF5">
              <w:rPr>
                <w:rFonts w:ascii="Arial" w:hAnsi="Arial" w:cs="Arial"/>
                <w:iCs/>
              </w:rPr>
              <w:t xml:space="preserve"> events</w:t>
            </w:r>
            <w:r w:rsidR="00494942">
              <w:rPr>
                <w:rFonts w:ascii="Arial" w:hAnsi="Arial" w:cs="Arial"/>
                <w:iCs/>
              </w:rPr>
              <w:t xml:space="preserve"> – and </w:t>
            </w:r>
            <w:r w:rsidR="005E3AF5">
              <w:rPr>
                <w:rFonts w:ascii="Arial" w:hAnsi="Arial" w:cs="Arial"/>
                <w:iCs/>
              </w:rPr>
              <w:t>as such can only be a guideline.</w:t>
            </w:r>
          </w:p>
          <w:p w:rsidR="00506D6D" w:rsidRPr="00EA3009" w:rsidRDefault="00EA3009" w:rsidP="005E3AF5">
            <w:pPr>
              <w:pStyle w:val="ListParagraph"/>
              <w:numPr>
                <w:ilvl w:val="0"/>
                <w:numId w:val="9"/>
              </w:numPr>
              <w:spacing w:before="60" w:after="60"/>
              <w:rPr>
                <w:rFonts w:ascii="Arial" w:hAnsi="Arial" w:cs="Arial"/>
                <w:iCs/>
              </w:rPr>
            </w:pPr>
            <w:r w:rsidRPr="00EA3009">
              <w:rPr>
                <w:rFonts w:ascii="Arial" w:hAnsi="Arial" w:cs="Arial"/>
                <w:iCs/>
              </w:rPr>
              <w:t>For the print colour requirement for black + 319U (science blue), with CMYK equivalent, the supplier may use a standard 4-colour process to reproduce the colour</w:t>
            </w:r>
            <w:r w:rsidR="00494942">
              <w:rPr>
                <w:rFonts w:ascii="Arial" w:hAnsi="Arial" w:cs="Arial"/>
                <w:iCs/>
              </w:rPr>
              <w:t>,</w:t>
            </w:r>
            <w:r w:rsidRPr="00EA3009">
              <w:rPr>
                <w:rFonts w:ascii="Arial" w:hAnsi="Arial" w:cs="Arial"/>
                <w:iCs/>
              </w:rPr>
              <w:t xml:space="preserve"> provided it is close to the PMS colour and consistently reproduced. </w:t>
            </w:r>
          </w:p>
        </w:tc>
      </w:tr>
      <w:tr w:rsidR="00285904" w:rsidRPr="00985D19" w:rsidTr="00506D6D">
        <w:trPr>
          <w:trHeight w:val="138"/>
        </w:trPr>
        <w:tc>
          <w:tcPr>
            <w:tcW w:w="562" w:type="dxa"/>
            <w:shd w:val="clear" w:color="auto" w:fill="auto"/>
          </w:tcPr>
          <w:p w:rsidR="00285904" w:rsidRDefault="00285904" w:rsidP="00285904">
            <w:pPr>
              <w:spacing w:before="60" w:after="60"/>
              <w:jc w:val="right"/>
              <w:rPr>
                <w:rFonts w:cs="Arial"/>
                <w:szCs w:val="22"/>
              </w:rPr>
            </w:pPr>
            <w:r>
              <w:rPr>
                <w:rFonts w:cs="Arial"/>
                <w:szCs w:val="22"/>
              </w:rPr>
              <w:t>14</w:t>
            </w:r>
          </w:p>
        </w:tc>
        <w:tc>
          <w:tcPr>
            <w:tcW w:w="1200" w:type="dxa"/>
          </w:tcPr>
          <w:p w:rsidR="00285904" w:rsidRDefault="00285904" w:rsidP="00285904">
            <w:pPr>
              <w:spacing w:before="60" w:after="60"/>
            </w:pPr>
            <w:r>
              <w:t>19/07/19</w:t>
            </w:r>
          </w:p>
        </w:tc>
        <w:tc>
          <w:tcPr>
            <w:tcW w:w="5604" w:type="dxa"/>
            <w:shd w:val="clear" w:color="auto" w:fill="auto"/>
          </w:tcPr>
          <w:p w:rsidR="00285904" w:rsidRPr="00506D6D" w:rsidRDefault="00285904" w:rsidP="00285904">
            <w:pPr>
              <w:spacing w:before="60" w:after="60"/>
            </w:pPr>
            <w:r w:rsidRPr="00094F11">
              <w:t>Braille: How do those pupils receiving Braille scripts provide their response?</w:t>
            </w:r>
          </w:p>
        </w:tc>
        <w:tc>
          <w:tcPr>
            <w:tcW w:w="7437" w:type="dxa"/>
            <w:shd w:val="clear" w:color="auto" w:fill="auto"/>
          </w:tcPr>
          <w:p w:rsidR="00DD41DF" w:rsidRPr="00924102" w:rsidRDefault="00285904" w:rsidP="00DD41DF">
            <w:pPr>
              <w:spacing w:before="60" w:after="60"/>
            </w:pPr>
            <w:proofErr w:type="spellStart"/>
            <w:r w:rsidRPr="00924102">
              <w:t>Braillists</w:t>
            </w:r>
            <w:proofErr w:type="spellEnd"/>
            <w:r w:rsidRPr="00924102">
              <w:t xml:space="preserve"> will use separate sheets of braille paper and are not expected to record their answers on the test papers. In order to use double-page spreads, </w:t>
            </w:r>
            <w:proofErr w:type="spellStart"/>
            <w:r w:rsidRPr="00924102">
              <w:t>braillists</w:t>
            </w:r>
            <w:proofErr w:type="spellEnd"/>
            <w:r w:rsidRPr="00924102">
              <w:t xml:space="preserve"> will need </w:t>
            </w:r>
            <w:proofErr w:type="gramStart"/>
            <w:r w:rsidRPr="00924102">
              <w:t>sufficient</w:t>
            </w:r>
            <w:proofErr w:type="gramEnd"/>
            <w:r w:rsidRPr="00924102">
              <w:t xml:space="preserve"> space to lay out their test papers and equipment.</w:t>
            </w:r>
          </w:p>
          <w:p w:rsidR="00285904" w:rsidRPr="00924102" w:rsidRDefault="00285904" w:rsidP="00DD41DF">
            <w:pPr>
              <w:spacing w:before="60" w:after="60"/>
              <w:rPr>
                <w:rFonts w:cs="Arial"/>
                <w:iCs/>
                <w:szCs w:val="22"/>
              </w:rPr>
            </w:pPr>
            <w:r w:rsidRPr="00924102">
              <w:t>Some pupils using braille papers may have a scribe to transcribe their answers.</w:t>
            </w:r>
          </w:p>
        </w:tc>
      </w:tr>
      <w:tr w:rsidR="00285904" w:rsidRPr="00985D19" w:rsidTr="00506D6D">
        <w:trPr>
          <w:trHeight w:val="138"/>
        </w:trPr>
        <w:tc>
          <w:tcPr>
            <w:tcW w:w="562" w:type="dxa"/>
            <w:shd w:val="clear" w:color="auto" w:fill="auto"/>
          </w:tcPr>
          <w:p w:rsidR="00285904" w:rsidRDefault="00285904" w:rsidP="00285904">
            <w:pPr>
              <w:spacing w:before="60" w:after="60"/>
              <w:jc w:val="right"/>
              <w:rPr>
                <w:rFonts w:cs="Arial"/>
                <w:szCs w:val="22"/>
              </w:rPr>
            </w:pPr>
            <w:r>
              <w:rPr>
                <w:rFonts w:cs="Arial"/>
                <w:szCs w:val="22"/>
              </w:rPr>
              <w:t>15</w:t>
            </w:r>
          </w:p>
        </w:tc>
        <w:tc>
          <w:tcPr>
            <w:tcW w:w="1200" w:type="dxa"/>
          </w:tcPr>
          <w:p w:rsidR="00285904" w:rsidRDefault="00285904" w:rsidP="00285904">
            <w:pPr>
              <w:spacing w:before="60" w:after="60"/>
            </w:pPr>
            <w:r w:rsidRPr="00785754">
              <w:t>19/07/19</w:t>
            </w:r>
          </w:p>
        </w:tc>
        <w:tc>
          <w:tcPr>
            <w:tcW w:w="5604" w:type="dxa"/>
            <w:shd w:val="clear" w:color="auto" w:fill="auto"/>
          </w:tcPr>
          <w:p w:rsidR="00285904" w:rsidRPr="00506D6D" w:rsidRDefault="00285904" w:rsidP="00285904">
            <w:pPr>
              <w:spacing w:before="60" w:after="60"/>
            </w:pPr>
            <w:r w:rsidRPr="00094F11">
              <w:t xml:space="preserve">Items: To assist with our solution for standardisation for SST, can STA confirm how many (unique) items in total appear in the booklets for each subject (Biology, Chemistry and Physics)?  </w:t>
            </w:r>
          </w:p>
        </w:tc>
        <w:tc>
          <w:tcPr>
            <w:tcW w:w="7437" w:type="dxa"/>
            <w:shd w:val="clear" w:color="auto" w:fill="auto"/>
          </w:tcPr>
          <w:p w:rsidR="00285904" w:rsidRDefault="00285904" w:rsidP="00285904">
            <w:pPr>
              <w:spacing w:before="60" w:after="60"/>
              <w:rPr>
                <w:rFonts w:cs="Arial"/>
                <w:iCs/>
                <w:szCs w:val="22"/>
              </w:rPr>
            </w:pPr>
            <w:r w:rsidRPr="00094F11">
              <w:t xml:space="preserve">There are 281 unique items across the 15 SST booklets – the average number of </w:t>
            </w:r>
            <w:r w:rsidR="003D3F97">
              <w:t xml:space="preserve">items </w:t>
            </w:r>
            <w:r w:rsidRPr="00094F11">
              <w:t>across the booklets is 19, the range is between 18-20.</w:t>
            </w:r>
          </w:p>
        </w:tc>
      </w:tr>
      <w:tr w:rsidR="00285904" w:rsidRPr="00985D19" w:rsidTr="00506D6D">
        <w:trPr>
          <w:trHeight w:val="138"/>
        </w:trPr>
        <w:tc>
          <w:tcPr>
            <w:tcW w:w="562" w:type="dxa"/>
            <w:shd w:val="clear" w:color="auto" w:fill="auto"/>
          </w:tcPr>
          <w:p w:rsidR="00285904" w:rsidRDefault="00285904" w:rsidP="00285904">
            <w:pPr>
              <w:spacing w:before="60" w:after="60"/>
              <w:jc w:val="right"/>
              <w:rPr>
                <w:rFonts w:cs="Arial"/>
                <w:szCs w:val="22"/>
              </w:rPr>
            </w:pPr>
            <w:r>
              <w:rPr>
                <w:rFonts w:cs="Arial"/>
                <w:szCs w:val="22"/>
              </w:rPr>
              <w:t>16</w:t>
            </w:r>
          </w:p>
        </w:tc>
        <w:tc>
          <w:tcPr>
            <w:tcW w:w="1200" w:type="dxa"/>
          </w:tcPr>
          <w:p w:rsidR="00285904" w:rsidRDefault="00285904" w:rsidP="00285904">
            <w:pPr>
              <w:spacing w:before="60" w:after="60"/>
            </w:pPr>
            <w:r w:rsidRPr="00785754">
              <w:t>19/07/19</w:t>
            </w:r>
          </w:p>
        </w:tc>
        <w:tc>
          <w:tcPr>
            <w:tcW w:w="5604" w:type="dxa"/>
            <w:shd w:val="clear" w:color="auto" w:fill="auto"/>
          </w:tcPr>
          <w:p w:rsidR="00285904" w:rsidRPr="00506D6D" w:rsidRDefault="00285904" w:rsidP="00285904">
            <w:pPr>
              <w:spacing w:before="60" w:after="60"/>
            </w:pPr>
            <w:r w:rsidRPr="00094F11">
              <w:t>Number of schools: Given that, in some instances, some of the selected 5 pupils will not be available on the day to sit the tests (and given that substitutions are not allowed) are we correct in thinking the actual pupil totals will most likely be less than 9,500 and 4,500? In other words, it will not be necessary to ask STA for "contingency" schools over and above the 1,900 to make up any shortfall in pupil numbers.</w:t>
            </w:r>
          </w:p>
        </w:tc>
        <w:tc>
          <w:tcPr>
            <w:tcW w:w="7437" w:type="dxa"/>
            <w:shd w:val="clear" w:color="auto" w:fill="auto"/>
          </w:tcPr>
          <w:p w:rsidR="00285904" w:rsidRDefault="00285904" w:rsidP="00285904">
            <w:pPr>
              <w:spacing w:before="60" w:after="60"/>
              <w:rPr>
                <w:rFonts w:cs="Arial"/>
                <w:iCs/>
                <w:szCs w:val="22"/>
              </w:rPr>
            </w:pPr>
            <w:r w:rsidRPr="00094F11">
              <w:t>It will not be necessary to ask STA for a contingency sample over and above the 1900 schools.</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17</w:t>
            </w:r>
          </w:p>
        </w:tc>
        <w:tc>
          <w:tcPr>
            <w:tcW w:w="1200" w:type="dxa"/>
          </w:tcPr>
          <w:p w:rsidR="003D3F97" w:rsidRPr="00785754" w:rsidRDefault="003D3F97" w:rsidP="003D3F97">
            <w:pPr>
              <w:spacing w:before="60" w:after="60"/>
            </w:pPr>
            <w:r>
              <w:t>24/07/19</w:t>
            </w:r>
          </w:p>
        </w:tc>
        <w:tc>
          <w:tcPr>
            <w:tcW w:w="5604" w:type="dxa"/>
            <w:shd w:val="clear" w:color="auto" w:fill="auto"/>
          </w:tcPr>
          <w:p w:rsidR="003D3F97" w:rsidRPr="00094F11" w:rsidRDefault="003D3F97" w:rsidP="003D3F97">
            <w:pPr>
              <w:spacing w:before="60" w:after="60"/>
            </w:pPr>
            <w:r w:rsidRPr="00181D95">
              <w:t xml:space="preserve">Administration report: The </w:t>
            </w:r>
            <w:proofErr w:type="gramStart"/>
            <w:r w:rsidRPr="00181D95">
              <w:t>High Level</w:t>
            </w:r>
            <w:proofErr w:type="gramEnd"/>
            <w:r w:rsidRPr="00181D95">
              <w:t xml:space="preserve"> requirements state that a Trial Administration Report is required for both SST and TPT, but elsewhere, e.g. Table 1d, there is only specific mention of a Final TPT Administration Report. Can STA confirm if a Final Administration Report is required for SST? </w:t>
            </w:r>
          </w:p>
        </w:tc>
        <w:tc>
          <w:tcPr>
            <w:tcW w:w="7437" w:type="dxa"/>
            <w:shd w:val="clear" w:color="auto" w:fill="auto"/>
          </w:tcPr>
          <w:p w:rsidR="003D3F97" w:rsidRPr="00094F11" w:rsidRDefault="00B80854" w:rsidP="00B80854">
            <w:pPr>
              <w:spacing w:before="60" w:after="60"/>
            </w:pPr>
            <w:r>
              <w:t xml:space="preserve">Yes. As stated in the </w:t>
            </w:r>
            <w:proofErr w:type="gramStart"/>
            <w:r>
              <w:t>high level</w:t>
            </w:r>
            <w:proofErr w:type="gramEnd"/>
            <w:r>
              <w:t xml:space="preserve"> requirements on page 6 and the </w:t>
            </w:r>
            <w:r w:rsidRPr="00B80854">
              <w:rPr>
                <w:i/>
              </w:rPr>
              <w:t>Administration Report</w:t>
            </w:r>
            <w:r>
              <w:t xml:space="preserve"> section on page 50 of the </w:t>
            </w:r>
            <w:r w:rsidRPr="00B80854">
              <w:t>functional requirements</w:t>
            </w:r>
            <w:r>
              <w:t>, an administration report is required for both the SST and the TPT. ‘</w:t>
            </w:r>
            <w:r w:rsidRPr="00B80854">
              <w:t>Trial administration repor</w:t>
            </w:r>
            <w:r>
              <w:t>t’ is common wording used in earlier ITQs which has not been corrected and we apologise for any confusion this caused.</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18</w:t>
            </w:r>
          </w:p>
        </w:tc>
        <w:tc>
          <w:tcPr>
            <w:tcW w:w="1200" w:type="dxa"/>
          </w:tcPr>
          <w:p w:rsidR="003D3F97" w:rsidRPr="00785754" w:rsidRDefault="003D3F97" w:rsidP="003D3F97">
            <w:pPr>
              <w:spacing w:before="60" w:after="60"/>
            </w:pPr>
            <w:r w:rsidRPr="003D3F97">
              <w:t>24/07/19</w:t>
            </w:r>
          </w:p>
        </w:tc>
        <w:tc>
          <w:tcPr>
            <w:tcW w:w="5604" w:type="dxa"/>
            <w:shd w:val="clear" w:color="auto" w:fill="auto"/>
          </w:tcPr>
          <w:p w:rsidR="003D3F97" w:rsidRPr="00094F11" w:rsidRDefault="003D3F97" w:rsidP="003D3F97">
            <w:pPr>
              <w:spacing w:before="60" w:after="60"/>
            </w:pPr>
            <w:r w:rsidRPr="00181D95">
              <w:t>Handover electronic archive: Is PDF a prescribed format for the separate page script files? Would an image file format such as JPG be an acceptable alternative to PDF?</w:t>
            </w:r>
          </w:p>
        </w:tc>
        <w:tc>
          <w:tcPr>
            <w:tcW w:w="7437" w:type="dxa"/>
            <w:shd w:val="clear" w:color="auto" w:fill="auto"/>
          </w:tcPr>
          <w:p w:rsidR="003D3F97" w:rsidRDefault="00485193" w:rsidP="00485193">
            <w:pPr>
              <w:spacing w:before="60" w:after="60"/>
            </w:pPr>
            <w:r w:rsidRPr="00485193">
              <w:rPr>
                <w:rFonts w:cs="Arial"/>
                <w:iCs/>
                <w:szCs w:val="22"/>
              </w:rPr>
              <w:t>PDF is the required format for the electronic archive.</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19</w:t>
            </w:r>
          </w:p>
        </w:tc>
        <w:tc>
          <w:tcPr>
            <w:tcW w:w="1200" w:type="dxa"/>
          </w:tcPr>
          <w:p w:rsidR="003D3F97" w:rsidRPr="003D3F97" w:rsidRDefault="003D3F97" w:rsidP="003D3F97">
            <w:pPr>
              <w:spacing w:before="60" w:after="60"/>
            </w:pPr>
            <w:r>
              <w:t>26/07/19</w:t>
            </w:r>
          </w:p>
        </w:tc>
        <w:tc>
          <w:tcPr>
            <w:tcW w:w="5604" w:type="dxa"/>
            <w:shd w:val="clear" w:color="auto" w:fill="auto"/>
          </w:tcPr>
          <w:p w:rsidR="003D3F97" w:rsidRPr="00181D95" w:rsidRDefault="003D3F97" w:rsidP="003D3F97">
            <w:pPr>
              <w:spacing w:before="60" w:after="60"/>
            </w:pPr>
            <w:r w:rsidRPr="00787AD9">
              <w:t xml:space="preserve">Can STA confirm when the Supplier will receive the Coder Register? </w:t>
            </w:r>
          </w:p>
        </w:tc>
        <w:tc>
          <w:tcPr>
            <w:tcW w:w="7437" w:type="dxa"/>
            <w:shd w:val="clear" w:color="auto" w:fill="auto"/>
          </w:tcPr>
          <w:p w:rsidR="003D3F97" w:rsidRDefault="00B1043B" w:rsidP="003D3F97">
            <w:pPr>
              <w:spacing w:before="60" w:after="60"/>
            </w:pPr>
            <w:r>
              <w:t>The coder register can be supplied at project start-up.</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20</w:t>
            </w:r>
          </w:p>
        </w:tc>
        <w:tc>
          <w:tcPr>
            <w:tcW w:w="1200" w:type="dxa"/>
          </w:tcPr>
          <w:p w:rsidR="003D3F97" w:rsidRPr="003D3F97" w:rsidRDefault="003D3F97" w:rsidP="003D3F97">
            <w:pPr>
              <w:spacing w:before="60" w:after="60"/>
            </w:pPr>
            <w:r w:rsidRPr="002C5174">
              <w:t>26/07/19</w:t>
            </w:r>
          </w:p>
        </w:tc>
        <w:tc>
          <w:tcPr>
            <w:tcW w:w="5604" w:type="dxa"/>
            <w:shd w:val="clear" w:color="auto" w:fill="auto"/>
          </w:tcPr>
          <w:p w:rsidR="003D3F97" w:rsidRPr="00181D95" w:rsidRDefault="003D3F97" w:rsidP="003D3F97">
            <w:pPr>
              <w:spacing w:before="60" w:after="60"/>
            </w:pPr>
            <w:r w:rsidRPr="00787AD9">
              <w:t>Can STA confirm if it is acceptable to hold pre-coding events at Supplier’s premises?</w:t>
            </w:r>
          </w:p>
        </w:tc>
        <w:tc>
          <w:tcPr>
            <w:tcW w:w="7437" w:type="dxa"/>
            <w:shd w:val="clear" w:color="auto" w:fill="auto"/>
          </w:tcPr>
          <w:p w:rsidR="003D3F97" w:rsidRDefault="00B1043B" w:rsidP="00B1043B">
            <w:pPr>
              <w:spacing w:before="60" w:after="60"/>
            </w:pPr>
            <w:r>
              <w:t xml:space="preserve">Yes. The ITQ states in the </w:t>
            </w:r>
            <w:r w:rsidRPr="00B80854">
              <w:rPr>
                <w:i/>
              </w:rPr>
              <w:t>Coder Training Event Management</w:t>
            </w:r>
            <w:r>
              <w:t xml:space="preserve"> section on page 45, that ’</w:t>
            </w:r>
            <w:r w:rsidRPr="00B1043B">
              <w:t>Training events for the senior coding team may be held on the Supplier’s premises</w:t>
            </w:r>
            <w:r>
              <w:t>’ – we can confirm that this applies to pre-coding events.</w:t>
            </w:r>
          </w:p>
        </w:tc>
      </w:tr>
      <w:tr w:rsidR="003D3F97" w:rsidRPr="00985D19" w:rsidTr="00506D6D">
        <w:trPr>
          <w:trHeight w:val="138"/>
        </w:trPr>
        <w:tc>
          <w:tcPr>
            <w:tcW w:w="562" w:type="dxa"/>
            <w:shd w:val="clear" w:color="auto" w:fill="auto"/>
          </w:tcPr>
          <w:p w:rsidR="003D3F97" w:rsidRDefault="003D3F97" w:rsidP="003D3F97">
            <w:pPr>
              <w:spacing w:before="60" w:after="60"/>
              <w:jc w:val="right"/>
              <w:rPr>
                <w:rFonts w:cs="Arial"/>
                <w:szCs w:val="22"/>
              </w:rPr>
            </w:pPr>
            <w:r>
              <w:rPr>
                <w:rFonts w:cs="Arial"/>
                <w:szCs w:val="22"/>
              </w:rPr>
              <w:t>21</w:t>
            </w:r>
          </w:p>
        </w:tc>
        <w:tc>
          <w:tcPr>
            <w:tcW w:w="1200" w:type="dxa"/>
          </w:tcPr>
          <w:p w:rsidR="003D3F97" w:rsidRPr="003D3F97" w:rsidRDefault="003D3F97" w:rsidP="003D3F97">
            <w:pPr>
              <w:spacing w:before="60" w:after="60"/>
            </w:pPr>
            <w:r w:rsidRPr="002C5174">
              <w:t>26/07/19</w:t>
            </w:r>
          </w:p>
        </w:tc>
        <w:tc>
          <w:tcPr>
            <w:tcW w:w="5604" w:type="dxa"/>
            <w:shd w:val="clear" w:color="auto" w:fill="auto"/>
          </w:tcPr>
          <w:p w:rsidR="003D3F97" w:rsidRPr="00181D95" w:rsidRDefault="003D3F97" w:rsidP="003D3F97">
            <w:pPr>
              <w:spacing w:before="60" w:after="60"/>
            </w:pPr>
            <w:r w:rsidRPr="00787AD9">
              <w:t>The ITQ states that practice scripts in the OSC system must be science scripts. Will STA supply the science scripts for this part of the training?</w:t>
            </w:r>
          </w:p>
        </w:tc>
        <w:tc>
          <w:tcPr>
            <w:tcW w:w="7437" w:type="dxa"/>
            <w:shd w:val="clear" w:color="auto" w:fill="auto"/>
          </w:tcPr>
          <w:p w:rsidR="003D3F97" w:rsidRPr="00485193" w:rsidRDefault="00485193" w:rsidP="00485193">
            <w:pPr>
              <w:spacing w:before="60" w:after="60"/>
              <w:rPr>
                <w:szCs w:val="22"/>
              </w:rPr>
            </w:pPr>
            <w:r w:rsidRPr="00485193">
              <w:rPr>
                <w:rFonts w:cs="Arial"/>
                <w:szCs w:val="22"/>
              </w:rPr>
              <w:t>Yes. STA would supply science scripts for the practice area.</w:t>
            </w:r>
          </w:p>
        </w:tc>
      </w:tr>
      <w:tr w:rsidR="0001164A" w:rsidRPr="00985D19" w:rsidTr="00506D6D">
        <w:trPr>
          <w:trHeight w:val="138"/>
        </w:trPr>
        <w:tc>
          <w:tcPr>
            <w:tcW w:w="562" w:type="dxa"/>
            <w:shd w:val="clear" w:color="auto" w:fill="auto"/>
          </w:tcPr>
          <w:p w:rsidR="0001164A" w:rsidRDefault="0001164A" w:rsidP="003D3F97">
            <w:pPr>
              <w:spacing w:before="60" w:after="60"/>
              <w:jc w:val="right"/>
              <w:rPr>
                <w:rFonts w:cs="Arial"/>
                <w:szCs w:val="22"/>
              </w:rPr>
            </w:pPr>
            <w:r>
              <w:rPr>
                <w:rFonts w:cs="Arial"/>
                <w:szCs w:val="22"/>
              </w:rPr>
              <w:t>22</w:t>
            </w:r>
          </w:p>
        </w:tc>
        <w:tc>
          <w:tcPr>
            <w:tcW w:w="1200" w:type="dxa"/>
          </w:tcPr>
          <w:p w:rsidR="0001164A" w:rsidRPr="002C5174" w:rsidRDefault="0001164A" w:rsidP="003D3F97">
            <w:pPr>
              <w:spacing w:before="60" w:after="60"/>
            </w:pPr>
            <w:r>
              <w:t>29/07/19</w:t>
            </w:r>
          </w:p>
        </w:tc>
        <w:tc>
          <w:tcPr>
            <w:tcW w:w="5604" w:type="dxa"/>
            <w:shd w:val="clear" w:color="auto" w:fill="auto"/>
          </w:tcPr>
          <w:p w:rsidR="0001164A" w:rsidRPr="00787AD9" w:rsidRDefault="0001164A" w:rsidP="003D3F97">
            <w:pPr>
              <w:spacing w:before="60" w:after="60"/>
            </w:pPr>
            <w:r w:rsidRPr="0001164A">
              <w:t>Pre-coding: Please can STA confirm whether standardisation items from SST 2018 can be reused for SST 2020? This could include the replacement of any items that are considered to have performed less well than expected in 2018 with new standardisation items drawn from the archive. (Page 40</w:t>
            </w:r>
          </w:p>
        </w:tc>
        <w:tc>
          <w:tcPr>
            <w:tcW w:w="7437" w:type="dxa"/>
            <w:shd w:val="clear" w:color="auto" w:fill="auto"/>
          </w:tcPr>
          <w:p w:rsidR="0001164A" w:rsidRPr="0001164A" w:rsidRDefault="0001164A" w:rsidP="003D3F97">
            <w:pPr>
              <w:spacing w:before="60" w:after="60"/>
              <w:rPr>
                <w:rFonts w:cs="Arial"/>
                <w:iCs/>
                <w:szCs w:val="22"/>
              </w:rPr>
            </w:pPr>
            <w:r w:rsidRPr="0001164A">
              <w:rPr>
                <w:rFonts w:cs="Arial"/>
                <w:iCs/>
                <w:szCs w:val="22"/>
              </w:rPr>
              <w:t>The senior coders will select new standardisation and seeding scripts so that markers aren’t being tested on the same materials as previously.</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23</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787AD9" w:rsidRDefault="0001164A" w:rsidP="0001164A">
            <w:pPr>
              <w:spacing w:before="60" w:after="60"/>
            </w:pPr>
            <w:r>
              <w:t>Pre-coding: Please can STA provide additional detail of what is expected in the requirement for UAT of standardisation items? Previously UAT of training, practice and standardisation materials has been a requirement, however it is not clear how it is anticipated that the UAT of standardisation materials should be carried out in isolation. (Page 40, Page 25 refers to provision of UAT data as part of MI reporting)</w:t>
            </w:r>
          </w:p>
        </w:tc>
        <w:tc>
          <w:tcPr>
            <w:tcW w:w="7437" w:type="dxa"/>
            <w:shd w:val="clear" w:color="auto" w:fill="auto"/>
          </w:tcPr>
          <w:p w:rsidR="0001164A" w:rsidRPr="0001164A" w:rsidRDefault="0001164A" w:rsidP="0001164A">
            <w:pPr>
              <w:spacing w:before="60" w:after="60"/>
              <w:rPr>
                <w:rFonts w:cs="Arial"/>
                <w:iCs/>
                <w:szCs w:val="22"/>
              </w:rPr>
            </w:pPr>
            <w:r w:rsidRPr="0001164A">
              <w:rPr>
                <w:rFonts w:cs="Arial"/>
                <w:iCs/>
                <w:szCs w:val="22"/>
              </w:rPr>
              <w:t xml:space="preserve">UAT will </w:t>
            </w:r>
            <w:r>
              <w:rPr>
                <w:rFonts w:cs="Arial"/>
                <w:iCs/>
                <w:szCs w:val="22"/>
              </w:rPr>
              <w:t xml:space="preserve">involve </w:t>
            </w:r>
            <w:r w:rsidRPr="0001164A">
              <w:rPr>
                <w:rFonts w:cs="Arial"/>
                <w:iCs/>
                <w:szCs w:val="22"/>
              </w:rPr>
              <w:t>the senior coders delivering the training and practice booklets in preparation for standardisation, with UAT on all materials.</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24</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787AD9" w:rsidRDefault="0001164A" w:rsidP="0001164A">
            <w:pPr>
              <w:spacing w:before="60" w:after="60"/>
            </w:pPr>
            <w:r w:rsidRPr="0001164A">
              <w:t>Pre-coding: Please can STA provide any additional detail of the minimum number of days expected for pre-coding meetings/activities for SST and TPT based on feedback from previous rounds?</w:t>
            </w:r>
          </w:p>
        </w:tc>
        <w:tc>
          <w:tcPr>
            <w:tcW w:w="7437" w:type="dxa"/>
            <w:shd w:val="clear" w:color="auto" w:fill="auto"/>
          </w:tcPr>
          <w:p w:rsidR="00567FA9" w:rsidRPr="00567FA9" w:rsidRDefault="00567FA9" w:rsidP="00567FA9">
            <w:pPr>
              <w:spacing w:before="60" w:after="60"/>
              <w:rPr>
                <w:rFonts w:cs="Arial"/>
                <w:iCs/>
                <w:szCs w:val="22"/>
              </w:rPr>
            </w:pPr>
            <w:r w:rsidRPr="00567FA9">
              <w:rPr>
                <w:rFonts w:cs="Arial"/>
                <w:iCs/>
                <w:szCs w:val="22"/>
              </w:rPr>
              <w:t>The following suggested minimum requirements are based on a model of coders coding 3 different booklets:</w:t>
            </w:r>
          </w:p>
          <w:p w:rsidR="00567FA9" w:rsidRPr="00567FA9" w:rsidRDefault="00567FA9" w:rsidP="00567FA9">
            <w:pPr>
              <w:pStyle w:val="ListParagraph"/>
              <w:numPr>
                <w:ilvl w:val="0"/>
                <w:numId w:val="10"/>
              </w:numPr>
              <w:spacing w:before="60" w:after="60"/>
              <w:rPr>
                <w:rFonts w:ascii="Arial" w:hAnsi="Arial" w:cs="Arial"/>
                <w:iCs/>
              </w:rPr>
            </w:pPr>
            <w:r w:rsidRPr="00567FA9">
              <w:rPr>
                <w:rFonts w:ascii="Arial" w:hAnsi="Arial" w:cs="Arial"/>
                <w:iCs/>
              </w:rPr>
              <w:t>PCMs for SST</w:t>
            </w:r>
            <w:r>
              <w:rPr>
                <w:rFonts w:ascii="Arial" w:hAnsi="Arial" w:cs="Arial"/>
                <w:iCs/>
              </w:rPr>
              <w:t xml:space="preserve">: </w:t>
            </w:r>
            <w:r w:rsidRPr="00567FA9">
              <w:rPr>
                <w:rFonts w:ascii="Arial" w:hAnsi="Arial" w:cs="Arial"/>
                <w:iCs/>
              </w:rPr>
              <w:t xml:space="preserve">minimum requirement 4 days </w:t>
            </w:r>
          </w:p>
          <w:p w:rsidR="00567FA9" w:rsidRPr="00567FA9" w:rsidRDefault="00567FA9" w:rsidP="00567FA9">
            <w:pPr>
              <w:pStyle w:val="ListParagraph"/>
              <w:numPr>
                <w:ilvl w:val="0"/>
                <w:numId w:val="10"/>
              </w:numPr>
              <w:spacing w:before="60" w:after="60"/>
              <w:rPr>
                <w:rFonts w:ascii="Arial" w:hAnsi="Arial" w:cs="Arial"/>
                <w:iCs/>
              </w:rPr>
            </w:pPr>
            <w:r w:rsidRPr="00567FA9">
              <w:rPr>
                <w:rFonts w:ascii="Arial" w:hAnsi="Arial" w:cs="Arial"/>
                <w:iCs/>
              </w:rPr>
              <w:t>PCMs for TPT</w:t>
            </w:r>
            <w:r>
              <w:rPr>
                <w:rFonts w:ascii="Arial" w:hAnsi="Arial" w:cs="Arial"/>
                <w:iCs/>
              </w:rPr>
              <w:t>:</w:t>
            </w:r>
            <w:r w:rsidRPr="00567FA9">
              <w:rPr>
                <w:rFonts w:ascii="Arial" w:hAnsi="Arial" w:cs="Arial"/>
                <w:iCs/>
              </w:rPr>
              <w:t xml:space="preserve"> minimum requirement 9 days </w:t>
            </w:r>
          </w:p>
          <w:p w:rsidR="00567FA9" w:rsidRPr="00567FA9" w:rsidRDefault="00567FA9" w:rsidP="00567FA9">
            <w:pPr>
              <w:pStyle w:val="ListParagraph"/>
              <w:numPr>
                <w:ilvl w:val="0"/>
                <w:numId w:val="10"/>
              </w:numPr>
              <w:spacing w:before="60" w:after="60"/>
              <w:rPr>
                <w:rFonts w:ascii="Arial" w:hAnsi="Arial" w:cs="Arial"/>
                <w:iCs/>
              </w:rPr>
            </w:pPr>
            <w:r w:rsidRPr="00567FA9">
              <w:rPr>
                <w:rFonts w:ascii="Arial" w:hAnsi="Arial" w:cs="Arial"/>
                <w:iCs/>
              </w:rPr>
              <w:t>UAT</w:t>
            </w:r>
            <w:r>
              <w:rPr>
                <w:rFonts w:ascii="Arial" w:hAnsi="Arial" w:cs="Arial"/>
                <w:iCs/>
              </w:rPr>
              <w:t>:</w:t>
            </w:r>
            <w:r w:rsidRPr="00567FA9">
              <w:rPr>
                <w:rFonts w:ascii="Arial" w:hAnsi="Arial" w:cs="Arial"/>
                <w:iCs/>
              </w:rPr>
              <w:t xml:space="preserve"> minimum requirement 1 day </w:t>
            </w:r>
          </w:p>
          <w:p w:rsidR="0001164A" w:rsidRPr="00567FA9" w:rsidRDefault="00567FA9" w:rsidP="00567FA9">
            <w:pPr>
              <w:pStyle w:val="ListParagraph"/>
              <w:numPr>
                <w:ilvl w:val="0"/>
                <w:numId w:val="10"/>
              </w:numPr>
              <w:spacing w:before="60" w:after="60"/>
              <w:rPr>
                <w:rFonts w:ascii="Arial" w:hAnsi="Arial" w:cs="Arial"/>
                <w:iCs/>
              </w:rPr>
            </w:pPr>
            <w:r w:rsidRPr="00567FA9">
              <w:rPr>
                <w:rFonts w:ascii="Arial" w:hAnsi="Arial" w:cs="Arial"/>
                <w:iCs/>
              </w:rPr>
              <w:t xml:space="preserve">Seeding </w:t>
            </w:r>
            <w:r>
              <w:rPr>
                <w:rFonts w:ascii="Arial" w:hAnsi="Arial" w:cs="Arial"/>
                <w:iCs/>
              </w:rPr>
              <w:t>S</w:t>
            </w:r>
            <w:r w:rsidRPr="00567FA9">
              <w:rPr>
                <w:rFonts w:ascii="Arial" w:hAnsi="Arial" w:cs="Arial"/>
                <w:iCs/>
              </w:rPr>
              <w:t>election</w:t>
            </w:r>
            <w:r>
              <w:rPr>
                <w:rFonts w:ascii="Arial" w:hAnsi="Arial" w:cs="Arial"/>
                <w:iCs/>
              </w:rPr>
              <w:t xml:space="preserve">: </w:t>
            </w:r>
            <w:r w:rsidRPr="00567FA9">
              <w:rPr>
                <w:rFonts w:ascii="Arial" w:hAnsi="Arial" w:cs="Arial"/>
                <w:iCs/>
              </w:rPr>
              <w:t>minimum requirement 2 days</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25</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787AD9" w:rsidRDefault="0001164A" w:rsidP="0001164A">
            <w:pPr>
              <w:spacing w:before="60" w:after="60"/>
            </w:pPr>
            <w:r w:rsidRPr="0001164A">
              <w:t xml:space="preserve">Project timeline: Please can STA provide us with some key timescales for the other call-offs expected to be let for 2020 trialling. It would be helpful to know the testing </w:t>
            </w:r>
            <w:proofErr w:type="gramStart"/>
            <w:r w:rsidRPr="0001164A">
              <w:t>windows,</w:t>
            </w:r>
            <w:proofErr w:type="gramEnd"/>
            <w:r w:rsidRPr="0001164A">
              <w:t xml:space="preserve"> the coding windows and the data handover dates for these trials. (Page 7)</w:t>
            </w:r>
          </w:p>
        </w:tc>
        <w:tc>
          <w:tcPr>
            <w:tcW w:w="7437" w:type="dxa"/>
            <w:shd w:val="clear" w:color="auto" w:fill="auto"/>
          </w:tcPr>
          <w:p w:rsidR="0001164A" w:rsidRPr="0001164A" w:rsidRDefault="00567FA9" w:rsidP="0001164A">
            <w:pPr>
              <w:spacing w:before="60" w:after="60"/>
              <w:rPr>
                <w:rFonts w:cs="Arial"/>
                <w:iCs/>
                <w:szCs w:val="22"/>
              </w:rPr>
            </w:pPr>
            <w:r>
              <w:rPr>
                <w:rFonts w:cs="Arial"/>
                <w:iCs/>
                <w:szCs w:val="22"/>
              </w:rPr>
              <w:t>Timelines for the 2020 trials are not yet confirmed. STA will notify suppliers on the framework as soon as dates are confirmed.</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26</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787AD9" w:rsidRDefault="0001164A" w:rsidP="0001164A">
            <w:pPr>
              <w:spacing w:before="60" w:after="60"/>
            </w:pPr>
            <w:r w:rsidRPr="0001164A">
              <w:t>SST test booklets: The ITQ states that the 15 test booklets for SST will all be re-used from 2018, however the senior coder hierarchy document describes the 2018 model in which there were 6 new tests. Can you confirm that there are no new tests for SST this year, and that the 15 test booklets consist of 3 anchor and 12 re-used booklets? (Page 26)</w:t>
            </w:r>
          </w:p>
        </w:tc>
        <w:tc>
          <w:tcPr>
            <w:tcW w:w="7437" w:type="dxa"/>
            <w:shd w:val="clear" w:color="auto" w:fill="auto"/>
          </w:tcPr>
          <w:p w:rsidR="0001164A" w:rsidRPr="0001164A" w:rsidRDefault="00EA3009" w:rsidP="00EA3009">
            <w:pPr>
              <w:spacing w:before="60" w:after="60"/>
              <w:rPr>
                <w:rFonts w:cs="Arial"/>
                <w:iCs/>
                <w:szCs w:val="22"/>
              </w:rPr>
            </w:pPr>
            <w:r w:rsidRPr="00EA3009">
              <w:rPr>
                <w:rFonts w:cs="Arial"/>
                <w:iCs/>
                <w:szCs w:val="22"/>
              </w:rPr>
              <w:t>Yes</w:t>
            </w:r>
            <w:r>
              <w:rPr>
                <w:rFonts w:cs="Arial"/>
                <w:iCs/>
                <w:szCs w:val="22"/>
              </w:rPr>
              <w:t xml:space="preserve"> – there </w:t>
            </w:r>
            <w:r w:rsidRPr="00EA3009">
              <w:rPr>
                <w:rFonts w:cs="Arial"/>
                <w:iCs/>
                <w:szCs w:val="22"/>
              </w:rPr>
              <w:t>are no new tests for SST this year and the 15 test booklets consist of 3 anchor and 12 re-used booklets</w:t>
            </w:r>
            <w:r>
              <w:rPr>
                <w:rFonts w:cs="Arial"/>
                <w:iCs/>
                <w:szCs w:val="22"/>
              </w:rPr>
              <w:t>.</w:t>
            </w:r>
          </w:p>
        </w:tc>
      </w:tr>
      <w:tr w:rsidR="0001164A" w:rsidRPr="00985D19" w:rsidTr="00506D6D">
        <w:trPr>
          <w:trHeight w:val="138"/>
        </w:trPr>
        <w:tc>
          <w:tcPr>
            <w:tcW w:w="562" w:type="dxa"/>
            <w:shd w:val="clear" w:color="auto" w:fill="auto"/>
          </w:tcPr>
          <w:p w:rsidR="0001164A" w:rsidRDefault="0001164A" w:rsidP="0001164A">
            <w:pPr>
              <w:spacing w:before="60" w:after="60"/>
              <w:jc w:val="right"/>
              <w:rPr>
                <w:rFonts w:cs="Arial"/>
                <w:szCs w:val="22"/>
              </w:rPr>
            </w:pPr>
            <w:r>
              <w:rPr>
                <w:rFonts w:cs="Arial"/>
                <w:szCs w:val="22"/>
              </w:rPr>
              <w:t>27</w:t>
            </w:r>
          </w:p>
        </w:tc>
        <w:tc>
          <w:tcPr>
            <w:tcW w:w="1200" w:type="dxa"/>
          </w:tcPr>
          <w:p w:rsidR="0001164A" w:rsidRPr="002C5174" w:rsidRDefault="0001164A" w:rsidP="0001164A">
            <w:pPr>
              <w:spacing w:before="60" w:after="60"/>
            </w:pPr>
            <w:r w:rsidRPr="0034310F">
              <w:t>29/07/19</w:t>
            </w:r>
          </w:p>
        </w:tc>
        <w:tc>
          <w:tcPr>
            <w:tcW w:w="5604" w:type="dxa"/>
            <w:shd w:val="clear" w:color="auto" w:fill="auto"/>
          </w:tcPr>
          <w:p w:rsidR="0001164A" w:rsidRPr="00924102" w:rsidRDefault="0001164A" w:rsidP="0001164A">
            <w:pPr>
              <w:spacing w:before="60" w:after="60"/>
              <w:rPr>
                <w:rFonts w:cs="Arial"/>
              </w:rPr>
            </w:pPr>
            <w:r w:rsidRPr="00924102">
              <w:rPr>
                <w:rFonts w:cs="Arial"/>
              </w:rPr>
              <w:t xml:space="preserve">Test Administration: In the ITQ under Management Information the following bullet point mentions: </w:t>
            </w:r>
          </w:p>
          <w:p w:rsidR="0001164A" w:rsidRPr="00924102" w:rsidRDefault="0001164A" w:rsidP="0001164A">
            <w:pPr>
              <w:pStyle w:val="ListParagraph"/>
              <w:numPr>
                <w:ilvl w:val="0"/>
                <w:numId w:val="8"/>
              </w:numPr>
              <w:spacing w:before="60" w:after="60"/>
              <w:rPr>
                <w:rFonts w:ascii="Arial" w:hAnsi="Arial" w:cs="Arial"/>
              </w:rPr>
            </w:pPr>
            <w:r w:rsidRPr="00924102">
              <w:rPr>
                <w:rFonts w:ascii="Arial" w:hAnsi="Arial" w:cs="Arial"/>
              </w:rPr>
              <w:t>agreement to participate in teacher questionnaires</w:t>
            </w:r>
          </w:p>
          <w:p w:rsidR="0001164A" w:rsidRPr="00787AD9" w:rsidRDefault="0001164A" w:rsidP="0001164A">
            <w:pPr>
              <w:spacing w:before="60" w:after="60"/>
            </w:pPr>
            <w:r w:rsidRPr="00924102">
              <w:rPr>
                <w:rFonts w:cs="Arial"/>
              </w:rPr>
              <w:t>Please can you confirm that only the administrator questionnaire is required? (Page 23)</w:t>
            </w:r>
          </w:p>
        </w:tc>
        <w:tc>
          <w:tcPr>
            <w:tcW w:w="7437" w:type="dxa"/>
            <w:shd w:val="clear" w:color="auto" w:fill="auto"/>
          </w:tcPr>
          <w:p w:rsidR="0001164A" w:rsidRPr="0001164A" w:rsidRDefault="00924102" w:rsidP="0001164A">
            <w:pPr>
              <w:spacing w:before="60" w:after="60"/>
              <w:rPr>
                <w:rFonts w:cs="Arial"/>
                <w:iCs/>
                <w:szCs w:val="22"/>
              </w:rPr>
            </w:pPr>
            <w:r w:rsidRPr="00924102">
              <w:rPr>
                <w:rFonts w:cs="Arial"/>
                <w:iCs/>
                <w:szCs w:val="22"/>
              </w:rPr>
              <w:t>The supplier is not required to conduct teacher questionnaires. However, STA may contact schools to gain their feedback on the TPT using teacher questionnaires. When contacting schools to confirm their participation in the tests, the supplier is required to confirm whether a year 6 teacher will be available to discuss the TPT tests with an STA representative. This requirement is outlined on page 29.</w:t>
            </w:r>
          </w:p>
        </w:tc>
      </w:tr>
    </w:tbl>
    <w:p w:rsidR="002442B0" w:rsidRDefault="002442B0" w:rsidP="000F00A4">
      <w:pPr>
        <w:spacing w:before="60" w:after="60"/>
      </w:pPr>
    </w:p>
    <w:p w:rsidR="00285904" w:rsidRDefault="00285904" w:rsidP="000F00A4">
      <w:pPr>
        <w:spacing w:before="60" w:after="60"/>
      </w:pPr>
    </w:p>
    <w:p w:rsidR="002442B0" w:rsidRPr="002442B0" w:rsidRDefault="002442B0" w:rsidP="002442B0"/>
    <w:p w:rsidR="002442B0" w:rsidRPr="002442B0" w:rsidRDefault="002442B0" w:rsidP="002442B0"/>
    <w:p w:rsidR="002442B0" w:rsidRPr="002442B0" w:rsidRDefault="002442B0" w:rsidP="002442B0"/>
    <w:p w:rsidR="002442B0" w:rsidRPr="002442B0" w:rsidRDefault="002442B0" w:rsidP="002442B0"/>
    <w:p w:rsidR="002442B0" w:rsidRDefault="002442B0" w:rsidP="000F00A4">
      <w:pPr>
        <w:spacing w:before="60" w:after="60"/>
      </w:pPr>
    </w:p>
    <w:p w:rsidR="002442B0" w:rsidRDefault="002442B0" w:rsidP="000F00A4">
      <w:pPr>
        <w:spacing w:before="60" w:after="60"/>
      </w:pPr>
    </w:p>
    <w:p w:rsidR="002442B0" w:rsidRDefault="002442B0" w:rsidP="000F00A4">
      <w:pPr>
        <w:spacing w:before="60" w:after="60"/>
      </w:pPr>
    </w:p>
    <w:p w:rsidR="002442B0" w:rsidRDefault="002442B0" w:rsidP="000F00A4">
      <w:pPr>
        <w:spacing w:before="60" w:after="60"/>
      </w:pPr>
    </w:p>
    <w:p w:rsidR="002442B0" w:rsidRDefault="002442B0" w:rsidP="000F00A4">
      <w:pPr>
        <w:spacing w:before="60" w:after="60"/>
      </w:pPr>
    </w:p>
    <w:p w:rsidR="002442B0" w:rsidRDefault="002442B0" w:rsidP="000F00A4">
      <w:pPr>
        <w:spacing w:before="60" w:after="60"/>
      </w:pPr>
    </w:p>
    <w:p w:rsidR="0032182B" w:rsidRDefault="0032182B" w:rsidP="000F00A4">
      <w:pPr>
        <w:spacing w:before="60" w:after="60"/>
      </w:pPr>
    </w:p>
    <w:p w:rsidR="0032182B" w:rsidRDefault="0032182B" w:rsidP="000F00A4">
      <w:pPr>
        <w:spacing w:before="60" w:after="60"/>
      </w:pPr>
    </w:p>
    <w:p w:rsidR="0032182B" w:rsidRDefault="0032182B" w:rsidP="000F00A4">
      <w:pPr>
        <w:spacing w:before="60" w:after="60"/>
      </w:pPr>
    </w:p>
    <w:p w:rsidR="005458AC" w:rsidRDefault="002442B0" w:rsidP="000F00A4">
      <w:pPr>
        <w:spacing w:before="60" w:after="60"/>
      </w:pPr>
      <w:r>
        <w:br w:type="textWrapping" w:clear="all"/>
      </w:r>
    </w:p>
    <w:p w:rsidR="00CB5CFA" w:rsidRDefault="00CB5CFA" w:rsidP="000F00A4">
      <w:pPr>
        <w:spacing w:before="60" w:after="60"/>
      </w:pPr>
    </w:p>
    <w:sectPr w:rsidR="00CB5CFA" w:rsidSect="005E77FD">
      <w:headerReference w:type="default" r:id="rId19"/>
      <w:footerReference w:type="even" r:id="rId20"/>
      <w:footerReference w:type="default" r:id="rId21"/>
      <w:headerReference w:type="first" r:id="rId22"/>
      <w:footerReference w:type="first" r:id="rId23"/>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C2055" w:rsidRDefault="007C2055">
      <w:r>
        <w:separator/>
      </w:r>
    </w:p>
  </w:endnote>
  <w:endnote w:type="continuationSeparator" w:id="0">
    <w:p w:rsidR="007C2055" w:rsidRDefault="007C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FD" w:rsidRDefault="005E77FD" w:rsidP="00775FD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E77FD" w:rsidRDefault="005E77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FD" w:rsidRDefault="005E77FD" w:rsidP="00101FFA">
    <w:pPr>
      <w:pStyle w:val="Footer"/>
      <w:jc w:val="center"/>
    </w:pPr>
    <w:r w:rsidRPr="00101FFA">
      <w:rPr>
        <w:rStyle w:val="PageNumber"/>
      </w:rPr>
      <w:t xml:space="preserve">Page </w:t>
    </w:r>
    <w:r w:rsidRPr="00101FFA">
      <w:rPr>
        <w:rStyle w:val="PageNumber"/>
      </w:rPr>
      <w:fldChar w:fldCharType="begin"/>
    </w:r>
    <w:r w:rsidRPr="00101FFA">
      <w:rPr>
        <w:rStyle w:val="PageNumber"/>
      </w:rPr>
      <w:instrText xml:space="preserve"> PAGE </w:instrText>
    </w:r>
    <w:r w:rsidRPr="00101FFA">
      <w:rPr>
        <w:rStyle w:val="PageNumber"/>
      </w:rPr>
      <w:fldChar w:fldCharType="separate"/>
    </w:r>
    <w:r w:rsidR="00567FA9">
      <w:rPr>
        <w:rStyle w:val="PageNumber"/>
        <w:noProof/>
      </w:rPr>
      <w:t>3</w:t>
    </w:r>
    <w:r w:rsidRPr="00101FFA">
      <w:rPr>
        <w:rStyle w:val="PageNumber"/>
      </w:rPr>
      <w:fldChar w:fldCharType="end"/>
    </w:r>
    <w:r w:rsidRPr="00101FFA">
      <w:rPr>
        <w:rStyle w:val="PageNumber"/>
      </w:rPr>
      <w:t xml:space="preserve"> of </w:t>
    </w:r>
    <w:r w:rsidRPr="00101FFA">
      <w:rPr>
        <w:rStyle w:val="PageNumber"/>
      </w:rPr>
      <w:fldChar w:fldCharType="begin"/>
    </w:r>
    <w:r w:rsidRPr="00101FFA">
      <w:rPr>
        <w:rStyle w:val="PageNumber"/>
      </w:rPr>
      <w:instrText xml:space="preserve"> NUMPAGES </w:instrText>
    </w:r>
    <w:r w:rsidRPr="00101FFA">
      <w:rPr>
        <w:rStyle w:val="PageNumber"/>
      </w:rPr>
      <w:fldChar w:fldCharType="separate"/>
    </w:r>
    <w:r w:rsidR="00567FA9">
      <w:rPr>
        <w:rStyle w:val="PageNumber"/>
        <w:noProof/>
      </w:rPr>
      <w:t>6</w:t>
    </w:r>
    <w:r w:rsidRPr="00101FFA">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FD" w:rsidRPr="000F00A4" w:rsidRDefault="000F00A4" w:rsidP="00101FFA">
    <w:pPr>
      <w:pStyle w:val="Header"/>
      <w:jc w:val="center"/>
      <w:rPr>
        <w:sz w:val="16"/>
      </w:rPr>
    </w:pPr>
    <w:r w:rsidRPr="000F00A4">
      <w:rPr>
        <w:sz w:val="16"/>
      </w:rPr>
      <w:t>OFFICIAL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C2055" w:rsidRDefault="007C2055">
      <w:r>
        <w:separator/>
      </w:r>
    </w:p>
  </w:footnote>
  <w:footnote w:type="continuationSeparator" w:id="0">
    <w:p w:rsidR="007C2055" w:rsidRDefault="007C2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42B0" w:rsidRDefault="002442B0" w:rsidP="002442B0">
    <w:pPr>
      <w:pStyle w:val="Header"/>
      <w:jc w:val="center"/>
    </w:pPr>
    <w:r>
      <w:t>2020 Key Stage 2 Science Sampling Test and Technical Pre-test ITQ Clarification Questions</w:t>
    </w:r>
  </w:p>
  <w:p w:rsidR="002442B0" w:rsidRPr="002442B0" w:rsidRDefault="002442B0" w:rsidP="002442B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77FD" w:rsidRDefault="000F00A4" w:rsidP="000F00A4">
    <w:pPr>
      <w:pStyle w:val="Header"/>
    </w:pPr>
    <w:r>
      <w:tab/>
      <w:t xml:space="preserve">2020 Key Stage 2 Science Sampling Test and Technical Pre-test </w:t>
    </w:r>
    <w:r w:rsidR="002442B0">
      <w:t xml:space="preserve">ITQ </w:t>
    </w:r>
    <w:r>
      <w:t>Clarification Questions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A0C6C"/>
    <w:multiLevelType w:val="hybridMultilevel"/>
    <w:tmpl w:val="86168E34"/>
    <w:lvl w:ilvl="0" w:tplc="38161468">
      <w:start w:val="7"/>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2" w15:restartNumberingAfterBreak="0">
    <w:nsid w:val="1C291762"/>
    <w:multiLevelType w:val="hybridMultilevel"/>
    <w:tmpl w:val="A0ECF6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0F345E5"/>
    <w:multiLevelType w:val="hybridMultilevel"/>
    <w:tmpl w:val="28A48780"/>
    <w:lvl w:ilvl="0" w:tplc="08090001">
      <w:start w:val="1"/>
      <w:numFmt w:val="bullet"/>
      <w:lvlText w:val=""/>
      <w:lvlJc w:val="left"/>
      <w:pPr>
        <w:ind w:left="743" w:hanging="360"/>
      </w:pPr>
      <w:rPr>
        <w:rFonts w:ascii="Symbol" w:hAnsi="Symbol" w:hint="default"/>
      </w:rPr>
    </w:lvl>
    <w:lvl w:ilvl="1" w:tplc="08090003" w:tentative="1">
      <w:start w:val="1"/>
      <w:numFmt w:val="bullet"/>
      <w:lvlText w:val="o"/>
      <w:lvlJc w:val="left"/>
      <w:pPr>
        <w:ind w:left="1463" w:hanging="360"/>
      </w:pPr>
      <w:rPr>
        <w:rFonts w:ascii="Courier New" w:hAnsi="Courier New" w:cs="Courier New" w:hint="default"/>
      </w:rPr>
    </w:lvl>
    <w:lvl w:ilvl="2" w:tplc="08090005" w:tentative="1">
      <w:start w:val="1"/>
      <w:numFmt w:val="bullet"/>
      <w:lvlText w:val=""/>
      <w:lvlJc w:val="left"/>
      <w:pPr>
        <w:ind w:left="2183" w:hanging="360"/>
      </w:pPr>
      <w:rPr>
        <w:rFonts w:ascii="Wingdings" w:hAnsi="Wingdings" w:hint="default"/>
      </w:rPr>
    </w:lvl>
    <w:lvl w:ilvl="3" w:tplc="08090001" w:tentative="1">
      <w:start w:val="1"/>
      <w:numFmt w:val="bullet"/>
      <w:lvlText w:val=""/>
      <w:lvlJc w:val="left"/>
      <w:pPr>
        <w:ind w:left="2903" w:hanging="360"/>
      </w:pPr>
      <w:rPr>
        <w:rFonts w:ascii="Symbol" w:hAnsi="Symbol" w:hint="default"/>
      </w:rPr>
    </w:lvl>
    <w:lvl w:ilvl="4" w:tplc="08090003" w:tentative="1">
      <w:start w:val="1"/>
      <w:numFmt w:val="bullet"/>
      <w:lvlText w:val="o"/>
      <w:lvlJc w:val="left"/>
      <w:pPr>
        <w:ind w:left="3623" w:hanging="360"/>
      </w:pPr>
      <w:rPr>
        <w:rFonts w:ascii="Courier New" w:hAnsi="Courier New" w:cs="Courier New" w:hint="default"/>
      </w:rPr>
    </w:lvl>
    <w:lvl w:ilvl="5" w:tplc="08090005" w:tentative="1">
      <w:start w:val="1"/>
      <w:numFmt w:val="bullet"/>
      <w:lvlText w:val=""/>
      <w:lvlJc w:val="left"/>
      <w:pPr>
        <w:ind w:left="4343" w:hanging="360"/>
      </w:pPr>
      <w:rPr>
        <w:rFonts w:ascii="Wingdings" w:hAnsi="Wingdings" w:hint="default"/>
      </w:rPr>
    </w:lvl>
    <w:lvl w:ilvl="6" w:tplc="08090001" w:tentative="1">
      <w:start w:val="1"/>
      <w:numFmt w:val="bullet"/>
      <w:lvlText w:val=""/>
      <w:lvlJc w:val="left"/>
      <w:pPr>
        <w:ind w:left="5063" w:hanging="360"/>
      </w:pPr>
      <w:rPr>
        <w:rFonts w:ascii="Symbol" w:hAnsi="Symbol" w:hint="default"/>
      </w:rPr>
    </w:lvl>
    <w:lvl w:ilvl="7" w:tplc="08090003" w:tentative="1">
      <w:start w:val="1"/>
      <w:numFmt w:val="bullet"/>
      <w:lvlText w:val="o"/>
      <w:lvlJc w:val="left"/>
      <w:pPr>
        <w:ind w:left="5783" w:hanging="360"/>
      </w:pPr>
      <w:rPr>
        <w:rFonts w:ascii="Courier New" w:hAnsi="Courier New" w:cs="Courier New" w:hint="default"/>
      </w:rPr>
    </w:lvl>
    <w:lvl w:ilvl="8" w:tplc="08090005" w:tentative="1">
      <w:start w:val="1"/>
      <w:numFmt w:val="bullet"/>
      <w:lvlText w:val=""/>
      <w:lvlJc w:val="left"/>
      <w:pPr>
        <w:ind w:left="6503" w:hanging="360"/>
      </w:pPr>
      <w:rPr>
        <w:rFonts w:ascii="Wingdings" w:hAnsi="Wingdings" w:hint="default"/>
      </w:rPr>
    </w:lvl>
  </w:abstractNum>
  <w:abstractNum w:abstractNumId="4" w15:restartNumberingAfterBreak="0">
    <w:nsid w:val="294D1C4A"/>
    <w:multiLevelType w:val="hybridMultilevel"/>
    <w:tmpl w:val="15FE13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091F24"/>
    <w:multiLevelType w:val="hybridMultilevel"/>
    <w:tmpl w:val="FE64E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6073983"/>
    <w:multiLevelType w:val="hybridMultilevel"/>
    <w:tmpl w:val="504616CA"/>
    <w:lvl w:ilvl="0" w:tplc="38161468">
      <w:start w:val="7"/>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8" w15:restartNumberingAfterBreak="0">
    <w:nsid w:val="666570C7"/>
    <w:multiLevelType w:val="hybridMultilevel"/>
    <w:tmpl w:val="A02E8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A62025E"/>
    <w:multiLevelType w:val="hybridMultilevel"/>
    <w:tmpl w:val="BE705B44"/>
    <w:lvl w:ilvl="0" w:tplc="25E413E0">
      <w:start w:val="7"/>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3"/>
  </w:num>
  <w:num w:numId="4">
    <w:abstractNumId w:val="9"/>
  </w:num>
  <w:num w:numId="5">
    <w:abstractNumId w:val="6"/>
  </w:num>
  <w:num w:numId="6">
    <w:abstractNumId w:val="0"/>
  </w:num>
  <w:num w:numId="7">
    <w:abstractNumId w:val="2"/>
  </w:num>
  <w:num w:numId="8">
    <w:abstractNumId w:val="8"/>
  </w:num>
  <w:num w:numId="9">
    <w:abstractNumId w:val="5"/>
  </w:num>
  <w:num w:numId="10">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07B"/>
    <w:rsid w:val="00006E51"/>
    <w:rsid w:val="0001164A"/>
    <w:rsid w:val="00013396"/>
    <w:rsid w:val="00013D41"/>
    <w:rsid w:val="000150D9"/>
    <w:rsid w:val="0003096C"/>
    <w:rsid w:val="000329F9"/>
    <w:rsid w:val="000359A9"/>
    <w:rsid w:val="00037247"/>
    <w:rsid w:val="000407B4"/>
    <w:rsid w:val="00056897"/>
    <w:rsid w:val="000573F6"/>
    <w:rsid w:val="00060D8B"/>
    <w:rsid w:val="000659CF"/>
    <w:rsid w:val="00066537"/>
    <w:rsid w:val="000731D4"/>
    <w:rsid w:val="0008353E"/>
    <w:rsid w:val="00083587"/>
    <w:rsid w:val="00094BB8"/>
    <w:rsid w:val="00095301"/>
    <w:rsid w:val="00095ADF"/>
    <w:rsid w:val="00097CBC"/>
    <w:rsid w:val="000A0514"/>
    <w:rsid w:val="000A1B90"/>
    <w:rsid w:val="000A46A4"/>
    <w:rsid w:val="000A5E4D"/>
    <w:rsid w:val="000A7352"/>
    <w:rsid w:val="000C0963"/>
    <w:rsid w:val="000C5DB8"/>
    <w:rsid w:val="000D03F8"/>
    <w:rsid w:val="000D0A61"/>
    <w:rsid w:val="000D1AEE"/>
    <w:rsid w:val="000D24A6"/>
    <w:rsid w:val="000D6A2B"/>
    <w:rsid w:val="000E72B1"/>
    <w:rsid w:val="000F00A4"/>
    <w:rsid w:val="000F6083"/>
    <w:rsid w:val="000F6097"/>
    <w:rsid w:val="00101FFA"/>
    <w:rsid w:val="001033B3"/>
    <w:rsid w:val="00106383"/>
    <w:rsid w:val="00110525"/>
    <w:rsid w:val="0011512C"/>
    <w:rsid w:val="001261E1"/>
    <w:rsid w:val="00127B85"/>
    <w:rsid w:val="00134397"/>
    <w:rsid w:val="001349B2"/>
    <w:rsid w:val="00140483"/>
    <w:rsid w:val="00143549"/>
    <w:rsid w:val="00151CFD"/>
    <w:rsid w:val="00152644"/>
    <w:rsid w:val="00154E16"/>
    <w:rsid w:val="00156055"/>
    <w:rsid w:val="00165FA9"/>
    <w:rsid w:val="001718A7"/>
    <w:rsid w:val="00171FB3"/>
    <w:rsid w:val="00192989"/>
    <w:rsid w:val="001934DC"/>
    <w:rsid w:val="001B4D04"/>
    <w:rsid w:val="001B7BA0"/>
    <w:rsid w:val="001D1323"/>
    <w:rsid w:val="001D3474"/>
    <w:rsid w:val="001D3512"/>
    <w:rsid w:val="001D3DEC"/>
    <w:rsid w:val="001D424F"/>
    <w:rsid w:val="001D76DD"/>
    <w:rsid w:val="002075D6"/>
    <w:rsid w:val="0022225D"/>
    <w:rsid w:val="00223A32"/>
    <w:rsid w:val="0022653D"/>
    <w:rsid w:val="0022660F"/>
    <w:rsid w:val="00231CAD"/>
    <w:rsid w:val="002442B0"/>
    <w:rsid w:val="00245E3A"/>
    <w:rsid w:val="002507A9"/>
    <w:rsid w:val="00254123"/>
    <w:rsid w:val="002555E9"/>
    <w:rsid w:val="002559DC"/>
    <w:rsid w:val="0025709B"/>
    <w:rsid w:val="002627C7"/>
    <w:rsid w:val="002669FA"/>
    <w:rsid w:val="00274E8A"/>
    <w:rsid w:val="002761FA"/>
    <w:rsid w:val="00281FCE"/>
    <w:rsid w:val="0028311E"/>
    <w:rsid w:val="00285904"/>
    <w:rsid w:val="00291370"/>
    <w:rsid w:val="00291EF3"/>
    <w:rsid w:val="002929B1"/>
    <w:rsid w:val="00297D70"/>
    <w:rsid w:val="002A02D3"/>
    <w:rsid w:val="002A48BB"/>
    <w:rsid w:val="002B17A4"/>
    <w:rsid w:val="002B28F0"/>
    <w:rsid w:val="002B5474"/>
    <w:rsid w:val="002C352B"/>
    <w:rsid w:val="002C52C3"/>
    <w:rsid w:val="002C7BD8"/>
    <w:rsid w:val="002D04CC"/>
    <w:rsid w:val="002D56B7"/>
    <w:rsid w:val="002E16D5"/>
    <w:rsid w:val="002E26B1"/>
    <w:rsid w:val="002E4573"/>
    <w:rsid w:val="002F2759"/>
    <w:rsid w:val="002F7A88"/>
    <w:rsid w:val="003017F3"/>
    <w:rsid w:val="00302A04"/>
    <w:rsid w:val="00305FDC"/>
    <w:rsid w:val="003062A2"/>
    <w:rsid w:val="0031183F"/>
    <w:rsid w:val="003130C1"/>
    <w:rsid w:val="0032182B"/>
    <w:rsid w:val="00323A87"/>
    <w:rsid w:val="00325305"/>
    <w:rsid w:val="00331F2E"/>
    <w:rsid w:val="00337633"/>
    <w:rsid w:val="00340716"/>
    <w:rsid w:val="003407FF"/>
    <w:rsid w:val="0034278B"/>
    <w:rsid w:val="00346F97"/>
    <w:rsid w:val="00352678"/>
    <w:rsid w:val="00357A68"/>
    <w:rsid w:val="00364FF8"/>
    <w:rsid w:val="0037767C"/>
    <w:rsid w:val="00386CD9"/>
    <w:rsid w:val="003901FD"/>
    <w:rsid w:val="00390FD2"/>
    <w:rsid w:val="003928DA"/>
    <w:rsid w:val="003A3FFF"/>
    <w:rsid w:val="003A746E"/>
    <w:rsid w:val="003C6B07"/>
    <w:rsid w:val="003D37AE"/>
    <w:rsid w:val="003D3F97"/>
    <w:rsid w:val="003D59F0"/>
    <w:rsid w:val="003D7598"/>
    <w:rsid w:val="003E10D6"/>
    <w:rsid w:val="003E73DE"/>
    <w:rsid w:val="003F0B26"/>
    <w:rsid w:val="003F16F6"/>
    <w:rsid w:val="003F4C0F"/>
    <w:rsid w:val="003F6EB0"/>
    <w:rsid w:val="00402FD7"/>
    <w:rsid w:val="0041414E"/>
    <w:rsid w:val="00415FD6"/>
    <w:rsid w:val="00416C46"/>
    <w:rsid w:val="004235D4"/>
    <w:rsid w:val="00425B18"/>
    <w:rsid w:val="004278C6"/>
    <w:rsid w:val="00434874"/>
    <w:rsid w:val="0044621B"/>
    <w:rsid w:val="0046183F"/>
    <w:rsid w:val="00464FA8"/>
    <w:rsid w:val="004771B4"/>
    <w:rsid w:val="00485193"/>
    <w:rsid w:val="00490801"/>
    <w:rsid w:val="00494942"/>
    <w:rsid w:val="00497270"/>
    <w:rsid w:val="004A5DBD"/>
    <w:rsid w:val="004A68AF"/>
    <w:rsid w:val="004B759B"/>
    <w:rsid w:val="004B7FF8"/>
    <w:rsid w:val="004C507B"/>
    <w:rsid w:val="004C6A15"/>
    <w:rsid w:val="004D0058"/>
    <w:rsid w:val="004E104C"/>
    <w:rsid w:val="004E2005"/>
    <w:rsid w:val="004F775F"/>
    <w:rsid w:val="004F7A6E"/>
    <w:rsid w:val="00501897"/>
    <w:rsid w:val="00506D6D"/>
    <w:rsid w:val="00511928"/>
    <w:rsid w:val="00514F50"/>
    <w:rsid w:val="005150C5"/>
    <w:rsid w:val="00543AE2"/>
    <w:rsid w:val="005458AC"/>
    <w:rsid w:val="00551854"/>
    <w:rsid w:val="00552A3E"/>
    <w:rsid w:val="0055758D"/>
    <w:rsid w:val="00567FA9"/>
    <w:rsid w:val="0057081A"/>
    <w:rsid w:val="005708D9"/>
    <w:rsid w:val="00572CD5"/>
    <w:rsid w:val="005739FB"/>
    <w:rsid w:val="005748A8"/>
    <w:rsid w:val="00577CB7"/>
    <w:rsid w:val="00581BC8"/>
    <w:rsid w:val="0058234F"/>
    <w:rsid w:val="00590FD5"/>
    <w:rsid w:val="00595E34"/>
    <w:rsid w:val="005969F2"/>
    <w:rsid w:val="005A2066"/>
    <w:rsid w:val="005C0BEA"/>
    <w:rsid w:val="005C730E"/>
    <w:rsid w:val="005C7880"/>
    <w:rsid w:val="005D0611"/>
    <w:rsid w:val="005D5856"/>
    <w:rsid w:val="005E0BC0"/>
    <w:rsid w:val="005E1152"/>
    <w:rsid w:val="005E3AF5"/>
    <w:rsid w:val="005E5CB3"/>
    <w:rsid w:val="005E77FD"/>
    <w:rsid w:val="005F34D7"/>
    <w:rsid w:val="006001A9"/>
    <w:rsid w:val="00600F21"/>
    <w:rsid w:val="00601BE8"/>
    <w:rsid w:val="00614586"/>
    <w:rsid w:val="00617359"/>
    <w:rsid w:val="006336AC"/>
    <w:rsid w:val="006337D1"/>
    <w:rsid w:val="006455EB"/>
    <w:rsid w:val="006465EE"/>
    <w:rsid w:val="006502C2"/>
    <w:rsid w:val="00650A0A"/>
    <w:rsid w:val="00656956"/>
    <w:rsid w:val="0066190E"/>
    <w:rsid w:val="00662531"/>
    <w:rsid w:val="0066347B"/>
    <w:rsid w:val="00670C92"/>
    <w:rsid w:val="006734E4"/>
    <w:rsid w:val="006778C2"/>
    <w:rsid w:val="00683988"/>
    <w:rsid w:val="00685800"/>
    <w:rsid w:val="006876C9"/>
    <w:rsid w:val="00694CF2"/>
    <w:rsid w:val="00695A0A"/>
    <w:rsid w:val="006A0E94"/>
    <w:rsid w:val="006A1197"/>
    <w:rsid w:val="006C0D39"/>
    <w:rsid w:val="006C503A"/>
    <w:rsid w:val="006E17EA"/>
    <w:rsid w:val="006E3575"/>
    <w:rsid w:val="006F1B1A"/>
    <w:rsid w:val="006F4502"/>
    <w:rsid w:val="006F7174"/>
    <w:rsid w:val="00701DC2"/>
    <w:rsid w:val="0070224D"/>
    <w:rsid w:val="00704377"/>
    <w:rsid w:val="00710F5B"/>
    <w:rsid w:val="00711171"/>
    <w:rsid w:val="00723141"/>
    <w:rsid w:val="00725572"/>
    <w:rsid w:val="00726BF7"/>
    <w:rsid w:val="00727E20"/>
    <w:rsid w:val="007307CC"/>
    <w:rsid w:val="007322D9"/>
    <w:rsid w:val="0073648B"/>
    <w:rsid w:val="007435CE"/>
    <w:rsid w:val="00744390"/>
    <w:rsid w:val="00744751"/>
    <w:rsid w:val="00745713"/>
    <w:rsid w:val="0074605F"/>
    <w:rsid w:val="007508B2"/>
    <w:rsid w:val="00770BE1"/>
    <w:rsid w:val="00775FD8"/>
    <w:rsid w:val="00784E58"/>
    <w:rsid w:val="0078575E"/>
    <w:rsid w:val="007902F8"/>
    <w:rsid w:val="00790503"/>
    <w:rsid w:val="007935FC"/>
    <w:rsid w:val="007937ED"/>
    <w:rsid w:val="007B5192"/>
    <w:rsid w:val="007C2055"/>
    <w:rsid w:val="007C4B47"/>
    <w:rsid w:val="007C7633"/>
    <w:rsid w:val="007D428A"/>
    <w:rsid w:val="007F0451"/>
    <w:rsid w:val="007F40C5"/>
    <w:rsid w:val="00804AEB"/>
    <w:rsid w:val="00814F65"/>
    <w:rsid w:val="00823E87"/>
    <w:rsid w:val="00826C59"/>
    <w:rsid w:val="00834685"/>
    <w:rsid w:val="00841994"/>
    <w:rsid w:val="00853D6C"/>
    <w:rsid w:val="0086086C"/>
    <w:rsid w:val="0086516B"/>
    <w:rsid w:val="008651AC"/>
    <w:rsid w:val="00870A51"/>
    <w:rsid w:val="0087184B"/>
    <w:rsid w:val="008763FC"/>
    <w:rsid w:val="00881F24"/>
    <w:rsid w:val="0088203C"/>
    <w:rsid w:val="008825A1"/>
    <w:rsid w:val="00890195"/>
    <w:rsid w:val="008A5D32"/>
    <w:rsid w:val="008C00DB"/>
    <w:rsid w:val="008C0F42"/>
    <w:rsid w:val="008C425C"/>
    <w:rsid w:val="008D3722"/>
    <w:rsid w:val="008D3842"/>
    <w:rsid w:val="008E3E3C"/>
    <w:rsid w:val="008E4DD7"/>
    <w:rsid w:val="008F23A8"/>
    <w:rsid w:val="008F3BA3"/>
    <w:rsid w:val="008F5A26"/>
    <w:rsid w:val="0090441B"/>
    <w:rsid w:val="009044F3"/>
    <w:rsid w:val="00906071"/>
    <w:rsid w:val="0091628E"/>
    <w:rsid w:val="009204A4"/>
    <w:rsid w:val="00921370"/>
    <w:rsid w:val="00924102"/>
    <w:rsid w:val="00942A2C"/>
    <w:rsid w:val="00953331"/>
    <w:rsid w:val="00960E00"/>
    <w:rsid w:val="00963627"/>
    <w:rsid w:val="00971556"/>
    <w:rsid w:val="00972967"/>
    <w:rsid w:val="009731AF"/>
    <w:rsid w:val="00973D80"/>
    <w:rsid w:val="00973ED0"/>
    <w:rsid w:val="00985D19"/>
    <w:rsid w:val="00994843"/>
    <w:rsid w:val="009A15F9"/>
    <w:rsid w:val="009A2706"/>
    <w:rsid w:val="009B16EA"/>
    <w:rsid w:val="009C122D"/>
    <w:rsid w:val="009C2B37"/>
    <w:rsid w:val="009C5312"/>
    <w:rsid w:val="009D4446"/>
    <w:rsid w:val="009D6ECD"/>
    <w:rsid w:val="009E073D"/>
    <w:rsid w:val="009E2110"/>
    <w:rsid w:val="009E44D1"/>
    <w:rsid w:val="009E451C"/>
    <w:rsid w:val="009E751D"/>
    <w:rsid w:val="009E775A"/>
    <w:rsid w:val="009F08C5"/>
    <w:rsid w:val="009F1AC1"/>
    <w:rsid w:val="009F23B0"/>
    <w:rsid w:val="009F5761"/>
    <w:rsid w:val="00A074DB"/>
    <w:rsid w:val="00A11D81"/>
    <w:rsid w:val="00A268B0"/>
    <w:rsid w:val="00A40B62"/>
    <w:rsid w:val="00A43440"/>
    <w:rsid w:val="00A4374F"/>
    <w:rsid w:val="00A55E63"/>
    <w:rsid w:val="00A661B0"/>
    <w:rsid w:val="00A67C9B"/>
    <w:rsid w:val="00A705F7"/>
    <w:rsid w:val="00A70F8E"/>
    <w:rsid w:val="00A77B6B"/>
    <w:rsid w:val="00A83A18"/>
    <w:rsid w:val="00A87242"/>
    <w:rsid w:val="00A906D4"/>
    <w:rsid w:val="00A913EE"/>
    <w:rsid w:val="00AA3989"/>
    <w:rsid w:val="00AA7269"/>
    <w:rsid w:val="00AA7E36"/>
    <w:rsid w:val="00AB5021"/>
    <w:rsid w:val="00AB611F"/>
    <w:rsid w:val="00AB6EF6"/>
    <w:rsid w:val="00AC198D"/>
    <w:rsid w:val="00AC2175"/>
    <w:rsid w:val="00AD764E"/>
    <w:rsid w:val="00AE139C"/>
    <w:rsid w:val="00AE1560"/>
    <w:rsid w:val="00AE1FA6"/>
    <w:rsid w:val="00AE6B45"/>
    <w:rsid w:val="00B03A6C"/>
    <w:rsid w:val="00B06578"/>
    <w:rsid w:val="00B1043B"/>
    <w:rsid w:val="00B111A0"/>
    <w:rsid w:val="00B12923"/>
    <w:rsid w:val="00B13030"/>
    <w:rsid w:val="00B17308"/>
    <w:rsid w:val="00B2282D"/>
    <w:rsid w:val="00B3026C"/>
    <w:rsid w:val="00B30345"/>
    <w:rsid w:val="00B33023"/>
    <w:rsid w:val="00B44093"/>
    <w:rsid w:val="00B45993"/>
    <w:rsid w:val="00B47EE3"/>
    <w:rsid w:val="00B51019"/>
    <w:rsid w:val="00B54A4A"/>
    <w:rsid w:val="00B5536A"/>
    <w:rsid w:val="00B623B8"/>
    <w:rsid w:val="00B6379A"/>
    <w:rsid w:val="00B665D6"/>
    <w:rsid w:val="00B7028E"/>
    <w:rsid w:val="00B707EC"/>
    <w:rsid w:val="00B70921"/>
    <w:rsid w:val="00B73AFD"/>
    <w:rsid w:val="00B76358"/>
    <w:rsid w:val="00B80854"/>
    <w:rsid w:val="00B84559"/>
    <w:rsid w:val="00B85F6A"/>
    <w:rsid w:val="00B96BB8"/>
    <w:rsid w:val="00BA12CB"/>
    <w:rsid w:val="00BA5FB5"/>
    <w:rsid w:val="00BB1803"/>
    <w:rsid w:val="00BB2B79"/>
    <w:rsid w:val="00BB643C"/>
    <w:rsid w:val="00BC3D8A"/>
    <w:rsid w:val="00BD110D"/>
    <w:rsid w:val="00BD41AC"/>
    <w:rsid w:val="00BD46C0"/>
    <w:rsid w:val="00BD69B2"/>
    <w:rsid w:val="00BE6E28"/>
    <w:rsid w:val="00BF6791"/>
    <w:rsid w:val="00C26479"/>
    <w:rsid w:val="00C30706"/>
    <w:rsid w:val="00C47ED2"/>
    <w:rsid w:val="00C611AF"/>
    <w:rsid w:val="00C615FB"/>
    <w:rsid w:val="00C61905"/>
    <w:rsid w:val="00C76B68"/>
    <w:rsid w:val="00C80F0A"/>
    <w:rsid w:val="00C83AEA"/>
    <w:rsid w:val="00C87316"/>
    <w:rsid w:val="00C87616"/>
    <w:rsid w:val="00CA04A6"/>
    <w:rsid w:val="00CA7210"/>
    <w:rsid w:val="00CB5CFA"/>
    <w:rsid w:val="00CB62E3"/>
    <w:rsid w:val="00CB7DC0"/>
    <w:rsid w:val="00CC32FE"/>
    <w:rsid w:val="00CD2DD6"/>
    <w:rsid w:val="00CE1466"/>
    <w:rsid w:val="00CE5E68"/>
    <w:rsid w:val="00CE79B7"/>
    <w:rsid w:val="00CF393A"/>
    <w:rsid w:val="00D016E6"/>
    <w:rsid w:val="00D023C9"/>
    <w:rsid w:val="00D03725"/>
    <w:rsid w:val="00D13FCE"/>
    <w:rsid w:val="00D15D4A"/>
    <w:rsid w:val="00D33A29"/>
    <w:rsid w:val="00D3438A"/>
    <w:rsid w:val="00D37D51"/>
    <w:rsid w:val="00D458B4"/>
    <w:rsid w:val="00D45ABC"/>
    <w:rsid w:val="00D56917"/>
    <w:rsid w:val="00D5791C"/>
    <w:rsid w:val="00D63C29"/>
    <w:rsid w:val="00D64736"/>
    <w:rsid w:val="00D64BF8"/>
    <w:rsid w:val="00D64CD6"/>
    <w:rsid w:val="00D7070A"/>
    <w:rsid w:val="00D71EAB"/>
    <w:rsid w:val="00D729AB"/>
    <w:rsid w:val="00D73070"/>
    <w:rsid w:val="00D75216"/>
    <w:rsid w:val="00D76BF5"/>
    <w:rsid w:val="00D8049A"/>
    <w:rsid w:val="00DA07BF"/>
    <w:rsid w:val="00DA79DC"/>
    <w:rsid w:val="00DB04F9"/>
    <w:rsid w:val="00DC03B8"/>
    <w:rsid w:val="00DC0884"/>
    <w:rsid w:val="00DC48BA"/>
    <w:rsid w:val="00DD145B"/>
    <w:rsid w:val="00DD41DF"/>
    <w:rsid w:val="00DD624B"/>
    <w:rsid w:val="00DE1294"/>
    <w:rsid w:val="00DE4ED6"/>
    <w:rsid w:val="00DF0636"/>
    <w:rsid w:val="00DF7AF4"/>
    <w:rsid w:val="00E01056"/>
    <w:rsid w:val="00E13797"/>
    <w:rsid w:val="00E14A5D"/>
    <w:rsid w:val="00E14D23"/>
    <w:rsid w:val="00E16CFF"/>
    <w:rsid w:val="00E17F69"/>
    <w:rsid w:val="00E23D67"/>
    <w:rsid w:val="00E27575"/>
    <w:rsid w:val="00E35BFB"/>
    <w:rsid w:val="00E4167E"/>
    <w:rsid w:val="00E6190D"/>
    <w:rsid w:val="00E63359"/>
    <w:rsid w:val="00E80B74"/>
    <w:rsid w:val="00E820A4"/>
    <w:rsid w:val="00E96370"/>
    <w:rsid w:val="00E96C36"/>
    <w:rsid w:val="00EA3009"/>
    <w:rsid w:val="00EB4FD4"/>
    <w:rsid w:val="00EB6E7C"/>
    <w:rsid w:val="00EC6010"/>
    <w:rsid w:val="00ED271F"/>
    <w:rsid w:val="00ED36C9"/>
    <w:rsid w:val="00ED5A71"/>
    <w:rsid w:val="00ED5D37"/>
    <w:rsid w:val="00ED7B0E"/>
    <w:rsid w:val="00EE2993"/>
    <w:rsid w:val="00EE2E1C"/>
    <w:rsid w:val="00EE5898"/>
    <w:rsid w:val="00EE7521"/>
    <w:rsid w:val="00EF364F"/>
    <w:rsid w:val="00F1244B"/>
    <w:rsid w:val="00F17CBA"/>
    <w:rsid w:val="00F20B60"/>
    <w:rsid w:val="00F240F6"/>
    <w:rsid w:val="00F27C36"/>
    <w:rsid w:val="00F3217C"/>
    <w:rsid w:val="00F35B04"/>
    <w:rsid w:val="00F368E0"/>
    <w:rsid w:val="00F42354"/>
    <w:rsid w:val="00F44941"/>
    <w:rsid w:val="00F47EC2"/>
    <w:rsid w:val="00F51D2D"/>
    <w:rsid w:val="00F539EC"/>
    <w:rsid w:val="00F67555"/>
    <w:rsid w:val="00F70081"/>
    <w:rsid w:val="00F735EC"/>
    <w:rsid w:val="00F81D6F"/>
    <w:rsid w:val="00F82181"/>
    <w:rsid w:val="00F97168"/>
    <w:rsid w:val="00F97C3A"/>
    <w:rsid w:val="00FD6706"/>
    <w:rsid w:val="00FD77F9"/>
    <w:rsid w:val="00FE35D3"/>
    <w:rsid w:val="00FF0950"/>
    <w:rsid w:val="00FF385F"/>
    <w:rsid w:val="00FF69E3"/>
    <w:rsid w:val="00FF7F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04A891"/>
  <w15:docId w15:val="{285BA2D6-CDF4-46D1-92CC-5BC6C2D06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4C507B"/>
    <w:rPr>
      <w:rFonts w:ascii="Arial" w:hAnsi="Arial"/>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C507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4C507B"/>
    <w:pPr>
      <w:spacing w:before="100" w:beforeAutospacing="1" w:after="100" w:afterAutospacing="1"/>
    </w:pPr>
    <w:rPr>
      <w:rFonts w:ascii="Times New Roman" w:hAnsi="Times New Roman"/>
      <w:sz w:val="24"/>
      <w:lang w:val="en-US"/>
    </w:rPr>
  </w:style>
  <w:style w:type="paragraph" w:styleId="BalloonText">
    <w:name w:val="Balloon Text"/>
    <w:basedOn w:val="Normal"/>
    <w:semiHidden/>
    <w:rsid w:val="004C507B"/>
    <w:rPr>
      <w:rFonts w:ascii="Tahoma" w:hAnsi="Tahoma" w:cs="Tahoma"/>
      <w:sz w:val="16"/>
      <w:szCs w:val="16"/>
    </w:rPr>
  </w:style>
  <w:style w:type="paragraph" w:styleId="Footer">
    <w:name w:val="footer"/>
    <w:basedOn w:val="Normal"/>
    <w:link w:val="FooterChar"/>
    <w:uiPriority w:val="99"/>
    <w:rsid w:val="00D8049A"/>
    <w:pPr>
      <w:tabs>
        <w:tab w:val="center" w:pos="4153"/>
        <w:tab w:val="right" w:pos="8306"/>
      </w:tabs>
    </w:pPr>
  </w:style>
  <w:style w:type="character" w:styleId="PageNumber">
    <w:name w:val="page number"/>
    <w:basedOn w:val="DefaultParagraphFont"/>
    <w:rsid w:val="00D8049A"/>
  </w:style>
  <w:style w:type="paragraph" w:styleId="FootnoteText">
    <w:name w:val="footnote text"/>
    <w:basedOn w:val="Normal"/>
    <w:semiHidden/>
    <w:rsid w:val="006876C9"/>
    <w:rPr>
      <w:sz w:val="20"/>
      <w:szCs w:val="20"/>
    </w:rPr>
  </w:style>
  <w:style w:type="character" w:styleId="FootnoteReference">
    <w:name w:val="footnote reference"/>
    <w:semiHidden/>
    <w:rsid w:val="006876C9"/>
    <w:rPr>
      <w:vertAlign w:val="superscript"/>
    </w:rPr>
  </w:style>
  <w:style w:type="paragraph" w:styleId="Header">
    <w:name w:val="header"/>
    <w:basedOn w:val="Normal"/>
    <w:rsid w:val="00101FFA"/>
    <w:pPr>
      <w:tabs>
        <w:tab w:val="center" w:pos="4153"/>
        <w:tab w:val="right" w:pos="8306"/>
      </w:tabs>
    </w:pPr>
  </w:style>
  <w:style w:type="paragraph" w:customStyle="1" w:styleId="msolistparagraph0">
    <w:name w:val="msolistparagraph"/>
    <w:basedOn w:val="Normal"/>
    <w:rsid w:val="00685800"/>
    <w:pPr>
      <w:ind w:left="720"/>
    </w:pPr>
    <w:rPr>
      <w:rFonts w:ascii="Calibri" w:hAnsi="Calibri"/>
      <w:szCs w:val="22"/>
      <w:lang w:eastAsia="en-GB"/>
    </w:rPr>
  </w:style>
  <w:style w:type="paragraph" w:customStyle="1" w:styleId="DfESOutNumbered">
    <w:name w:val="DfESOutNumbered"/>
    <w:basedOn w:val="Normal"/>
    <w:link w:val="DfESOutNumberedChar"/>
    <w:rsid w:val="007508B2"/>
    <w:pPr>
      <w:widowControl w:val="0"/>
      <w:numPr>
        <w:numId w:val="1"/>
      </w:numPr>
      <w:overflowPunct w:val="0"/>
      <w:autoSpaceDE w:val="0"/>
      <w:autoSpaceDN w:val="0"/>
      <w:adjustRightInd w:val="0"/>
      <w:spacing w:after="240"/>
      <w:textAlignment w:val="baseline"/>
    </w:pPr>
    <w:rPr>
      <w:rFonts w:cs="Arial"/>
      <w:szCs w:val="20"/>
    </w:rPr>
  </w:style>
  <w:style w:type="character" w:customStyle="1" w:styleId="DfESOutNumberedChar">
    <w:name w:val="DfESOutNumbered Char"/>
    <w:link w:val="DfESOutNumbered"/>
    <w:rsid w:val="007508B2"/>
    <w:rPr>
      <w:rFonts w:ascii="Arial" w:hAnsi="Arial" w:cs="Arial"/>
      <w:sz w:val="22"/>
      <w:lang w:eastAsia="en-US"/>
    </w:rPr>
  </w:style>
  <w:style w:type="paragraph" w:customStyle="1" w:styleId="DeptBullets">
    <w:name w:val="DeptBullets"/>
    <w:basedOn w:val="Normal"/>
    <w:link w:val="DeptBulletsChar"/>
    <w:rsid w:val="007508B2"/>
    <w:pPr>
      <w:widowControl w:val="0"/>
      <w:numPr>
        <w:numId w:val="2"/>
      </w:numPr>
      <w:overflowPunct w:val="0"/>
      <w:autoSpaceDE w:val="0"/>
      <w:autoSpaceDN w:val="0"/>
      <w:adjustRightInd w:val="0"/>
      <w:spacing w:after="240"/>
      <w:textAlignment w:val="baseline"/>
    </w:pPr>
    <w:rPr>
      <w:sz w:val="24"/>
      <w:szCs w:val="20"/>
    </w:rPr>
  </w:style>
  <w:style w:type="character" w:customStyle="1" w:styleId="DeptBulletsChar">
    <w:name w:val="DeptBullets Char"/>
    <w:link w:val="DeptBullets"/>
    <w:rsid w:val="007508B2"/>
    <w:rPr>
      <w:rFonts w:ascii="Arial" w:hAnsi="Arial"/>
      <w:sz w:val="24"/>
      <w:lang w:eastAsia="en-US"/>
    </w:rPr>
  </w:style>
  <w:style w:type="character" w:customStyle="1" w:styleId="apple-style-span">
    <w:name w:val="apple-style-span"/>
    <w:rsid w:val="004E104C"/>
  </w:style>
  <w:style w:type="paragraph" w:styleId="ListParagraph">
    <w:name w:val="List Paragraph"/>
    <w:basedOn w:val="Normal"/>
    <w:uiPriority w:val="34"/>
    <w:qFormat/>
    <w:rsid w:val="004E104C"/>
    <w:pPr>
      <w:ind w:left="720"/>
    </w:pPr>
    <w:rPr>
      <w:rFonts w:ascii="Calibri" w:eastAsia="Calibri" w:hAnsi="Calibri" w:cs="Calibri"/>
      <w:szCs w:val="22"/>
      <w:lang w:eastAsia="en-GB"/>
    </w:rPr>
  </w:style>
  <w:style w:type="character" w:customStyle="1" w:styleId="apple-tab-span">
    <w:name w:val="apple-tab-span"/>
    <w:rsid w:val="00DA79DC"/>
  </w:style>
  <w:style w:type="character" w:styleId="CommentReference">
    <w:name w:val="annotation reference"/>
    <w:basedOn w:val="DefaultParagraphFont"/>
    <w:rsid w:val="00464FA8"/>
    <w:rPr>
      <w:sz w:val="16"/>
      <w:szCs w:val="16"/>
    </w:rPr>
  </w:style>
  <w:style w:type="paragraph" w:styleId="CommentText">
    <w:name w:val="annotation text"/>
    <w:basedOn w:val="Normal"/>
    <w:link w:val="CommentTextChar"/>
    <w:rsid w:val="00464FA8"/>
    <w:rPr>
      <w:sz w:val="20"/>
      <w:szCs w:val="20"/>
    </w:rPr>
  </w:style>
  <w:style w:type="character" w:customStyle="1" w:styleId="CommentTextChar">
    <w:name w:val="Comment Text Char"/>
    <w:basedOn w:val="DefaultParagraphFont"/>
    <w:link w:val="CommentText"/>
    <w:rsid w:val="00464FA8"/>
    <w:rPr>
      <w:rFonts w:ascii="Arial" w:hAnsi="Arial"/>
      <w:lang w:eastAsia="en-US"/>
    </w:rPr>
  </w:style>
  <w:style w:type="paragraph" w:styleId="CommentSubject">
    <w:name w:val="annotation subject"/>
    <w:basedOn w:val="CommentText"/>
    <w:next w:val="CommentText"/>
    <w:link w:val="CommentSubjectChar"/>
    <w:rsid w:val="00464FA8"/>
    <w:rPr>
      <w:b/>
      <w:bCs/>
    </w:rPr>
  </w:style>
  <w:style w:type="character" w:customStyle="1" w:styleId="CommentSubjectChar">
    <w:name w:val="Comment Subject Char"/>
    <w:basedOn w:val="CommentTextChar"/>
    <w:link w:val="CommentSubject"/>
    <w:rsid w:val="00464FA8"/>
    <w:rPr>
      <w:rFonts w:ascii="Arial" w:hAnsi="Arial"/>
      <w:b/>
      <w:bCs/>
      <w:lang w:eastAsia="en-US"/>
    </w:rPr>
  </w:style>
  <w:style w:type="character" w:styleId="Hyperlink">
    <w:name w:val="Hyperlink"/>
    <w:basedOn w:val="DefaultParagraphFont"/>
    <w:rsid w:val="006502C2"/>
    <w:rPr>
      <w:color w:val="0000FF" w:themeColor="hyperlink"/>
      <w:u w:val="single"/>
    </w:rPr>
  </w:style>
  <w:style w:type="paragraph" w:customStyle="1" w:styleId="Default">
    <w:name w:val="Default"/>
    <w:basedOn w:val="Normal"/>
    <w:rsid w:val="002E16D5"/>
    <w:pPr>
      <w:autoSpaceDE w:val="0"/>
      <w:autoSpaceDN w:val="0"/>
    </w:pPr>
    <w:rPr>
      <w:rFonts w:eastAsiaTheme="minorHAnsi" w:cs="Arial"/>
      <w:color w:val="000000"/>
      <w:sz w:val="24"/>
    </w:rPr>
  </w:style>
  <w:style w:type="character" w:customStyle="1" w:styleId="FooterChar">
    <w:name w:val="Footer Char"/>
    <w:basedOn w:val="DefaultParagraphFont"/>
    <w:link w:val="Footer"/>
    <w:uiPriority w:val="99"/>
    <w:rsid w:val="00745713"/>
    <w:rPr>
      <w:rFonts w:ascii="Arial" w:hAnsi="Arial"/>
      <w:sz w:val="22"/>
      <w:szCs w:val="24"/>
      <w:lang w:eastAsia="en-US"/>
    </w:rPr>
  </w:style>
  <w:style w:type="character" w:styleId="FollowedHyperlink">
    <w:name w:val="FollowedHyperlink"/>
    <w:basedOn w:val="DefaultParagraphFont"/>
    <w:semiHidden/>
    <w:unhideWhenUsed/>
    <w:rsid w:val="002559D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11805">
      <w:bodyDiv w:val="1"/>
      <w:marLeft w:val="0"/>
      <w:marRight w:val="0"/>
      <w:marTop w:val="0"/>
      <w:marBottom w:val="0"/>
      <w:divBdr>
        <w:top w:val="none" w:sz="0" w:space="0" w:color="auto"/>
        <w:left w:val="none" w:sz="0" w:space="0" w:color="auto"/>
        <w:bottom w:val="none" w:sz="0" w:space="0" w:color="auto"/>
        <w:right w:val="none" w:sz="0" w:space="0" w:color="auto"/>
      </w:divBdr>
    </w:div>
    <w:div w:id="43061967">
      <w:bodyDiv w:val="1"/>
      <w:marLeft w:val="0"/>
      <w:marRight w:val="0"/>
      <w:marTop w:val="0"/>
      <w:marBottom w:val="0"/>
      <w:divBdr>
        <w:top w:val="none" w:sz="0" w:space="0" w:color="auto"/>
        <w:left w:val="none" w:sz="0" w:space="0" w:color="auto"/>
        <w:bottom w:val="none" w:sz="0" w:space="0" w:color="auto"/>
        <w:right w:val="none" w:sz="0" w:space="0" w:color="auto"/>
      </w:divBdr>
    </w:div>
    <w:div w:id="65341896">
      <w:bodyDiv w:val="1"/>
      <w:marLeft w:val="0"/>
      <w:marRight w:val="0"/>
      <w:marTop w:val="0"/>
      <w:marBottom w:val="0"/>
      <w:divBdr>
        <w:top w:val="none" w:sz="0" w:space="0" w:color="auto"/>
        <w:left w:val="none" w:sz="0" w:space="0" w:color="auto"/>
        <w:bottom w:val="none" w:sz="0" w:space="0" w:color="auto"/>
        <w:right w:val="none" w:sz="0" w:space="0" w:color="auto"/>
      </w:divBdr>
    </w:div>
    <w:div w:id="71898551">
      <w:bodyDiv w:val="1"/>
      <w:marLeft w:val="0"/>
      <w:marRight w:val="0"/>
      <w:marTop w:val="0"/>
      <w:marBottom w:val="0"/>
      <w:divBdr>
        <w:top w:val="none" w:sz="0" w:space="0" w:color="auto"/>
        <w:left w:val="none" w:sz="0" w:space="0" w:color="auto"/>
        <w:bottom w:val="none" w:sz="0" w:space="0" w:color="auto"/>
        <w:right w:val="none" w:sz="0" w:space="0" w:color="auto"/>
      </w:divBdr>
    </w:div>
    <w:div w:id="128210625">
      <w:bodyDiv w:val="1"/>
      <w:marLeft w:val="0"/>
      <w:marRight w:val="0"/>
      <w:marTop w:val="0"/>
      <w:marBottom w:val="0"/>
      <w:divBdr>
        <w:top w:val="none" w:sz="0" w:space="0" w:color="auto"/>
        <w:left w:val="none" w:sz="0" w:space="0" w:color="auto"/>
        <w:bottom w:val="none" w:sz="0" w:space="0" w:color="auto"/>
        <w:right w:val="none" w:sz="0" w:space="0" w:color="auto"/>
      </w:divBdr>
    </w:div>
    <w:div w:id="131337857">
      <w:bodyDiv w:val="1"/>
      <w:marLeft w:val="0"/>
      <w:marRight w:val="0"/>
      <w:marTop w:val="0"/>
      <w:marBottom w:val="0"/>
      <w:divBdr>
        <w:top w:val="none" w:sz="0" w:space="0" w:color="auto"/>
        <w:left w:val="none" w:sz="0" w:space="0" w:color="auto"/>
        <w:bottom w:val="none" w:sz="0" w:space="0" w:color="auto"/>
        <w:right w:val="none" w:sz="0" w:space="0" w:color="auto"/>
      </w:divBdr>
    </w:div>
    <w:div w:id="151609374">
      <w:bodyDiv w:val="1"/>
      <w:marLeft w:val="0"/>
      <w:marRight w:val="0"/>
      <w:marTop w:val="0"/>
      <w:marBottom w:val="0"/>
      <w:divBdr>
        <w:top w:val="none" w:sz="0" w:space="0" w:color="auto"/>
        <w:left w:val="none" w:sz="0" w:space="0" w:color="auto"/>
        <w:bottom w:val="none" w:sz="0" w:space="0" w:color="auto"/>
        <w:right w:val="none" w:sz="0" w:space="0" w:color="auto"/>
      </w:divBdr>
    </w:div>
    <w:div w:id="153885052">
      <w:bodyDiv w:val="1"/>
      <w:marLeft w:val="0"/>
      <w:marRight w:val="0"/>
      <w:marTop w:val="0"/>
      <w:marBottom w:val="0"/>
      <w:divBdr>
        <w:top w:val="none" w:sz="0" w:space="0" w:color="auto"/>
        <w:left w:val="none" w:sz="0" w:space="0" w:color="auto"/>
        <w:bottom w:val="none" w:sz="0" w:space="0" w:color="auto"/>
        <w:right w:val="none" w:sz="0" w:space="0" w:color="auto"/>
      </w:divBdr>
    </w:div>
    <w:div w:id="160202620">
      <w:bodyDiv w:val="1"/>
      <w:marLeft w:val="0"/>
      <w:marRight w:val="0"/>
      <w:marTop w:val="0"/>
      <w:marBottom w:val="0"/>
      <w:divBdr>
        <w:top w:val="none" w:sz="0" w:space="0" w:color="auto"/>
        <w:left w:val="none" w:sz="0" w:space="0" w:color="auto"/>
        <w:bottom w:val="none" w:sz="0" w:space="0" w:color="auto"/>
        <w:right w:val="none" w:sz="0" w:space="0" w:color="auto"/>
      </w:divBdr>
    </w:div>
    <w:div w:id="194538051">
      <w:bodyDiv w:val="1"/>
      <w:marLeft w:val="0"/>
      <w:marRight w:val="0"/>
      <w:marTop w:val="0"/>
      <w:marBottom w:val="0"/>
      <w:divBdr>
        <w:top w:val="none" w:sz="0" w:space="0" w:color="auto"/>
        <w:left w:val="none" w:sz="0" w:space="0" w:color="auto"/>
        <w:bottom w:val="none" w:sz="0" w:space="0" w:color="auto"/>
        <w:right w:val="none" w:sz="0" w:space="0" w:color="auto"/>
      </w:divBdr>
    </w:div>
    <w:div w:id="243223476">
      <w:bodyDiv w:val="1"/>
      <w:marLeft w:val="0"/>
      <w:marRight w:val="0"/>
      <w:marTop w:val="0"/>
      <w:marBottom w:val="0"/>
      <w:divBdr>
        <w:top w:val="none" w:sz="0" w:space="0" w:color="auto"/>
        <w:left w:val="none" w:sz="0" w:space="0" w:color="auto"/>
        <w:bottom w:val="none" w:sz="0" w:space="0" w:color="auto"/>
        <w:right w:val="none" w:sz="0" w:space="0" w:color="auto"/>
      </w:divBdr>
    </w:div>
    <w:div w:id="264269933">
      <w:bodyDiv w:val="1"/>
      <w:marLeft w:val="0"/>
      <w:marRight w:val="0"/>
      <w:marTop w:val="0"/>
      <w:marBottom w:val="0"/>
      <w:divBdr>
        <w:top w:val="none" w:sz="0" w:space="0" w:color="auto"/>
        <w:left w:val="none" w:sz="0" w:space="0" w:color="auto"/>
        <w:bottom w:val="none" w:sz="0" w:space="0" w:color="auto"/>
        <w:right w:val="none" w:sz="0" w:space="0" w:color="auto"/>
      </w:divBdr>
    </w:div>
    <w:div w:id="271279797">
      <w:bodyDiv w:val="1"/>
      <w:marLeft w:val="0"/>
      <w:marRight w:val="0"/>
      <w:marTop w:val="0"/>
      <w:marBottom w:val="0"/>
      <w:divBdr>
        <w:top w:val="none" w:sz="0" w:space="0" w:color="auto"/>
        <w:left w:val="none" w:sz="0" w:space="0" w:color="auto"/>
        <w:bottom w:val="none" w:sz="0" w:space="0" w:color="auto"/>
        <w:right w:val="none" w:sz="0" w:space="0" w:color="auto"/>
      </w:divBdr>
    </w:div>
    <w:div w:id="281811998">
      <w:bodyDiv w:val="1"/>
      <w:marLeft w:val="0"/>
      <w:marRight w:val="0"/>
      <w:marTop w:val="0"/>
      <w:marBottom w:val="0"/>
      <w:divBdr>
        <w:top w:val="none" w:sz="0" w:space="0" w:color="auto"/>
        <w:left w:val="none" w:sz="0" w:space="0" w:color="auto"/>
        <w:bottom w:val="none" w:sz="0" w:space="0" w:color="auto"/>
        <w:right w:val="none" w:sz="0" w:space="0" w:color="auto"/>
      </w:divBdr>
    </w:div>
    <w:div w:id="303431950">
      <w:bodyDiv w:val="1"/>
      <w:marLeft w:val="0"/>
      <w:marRight w:val="0"/>
      <w:marTop w:val="0"/>
      <w:marBottom w:val="0"/>
      <w:divBdr>
        <w:top w:val="none" w:sz="0" w:space="0" w:color="auto"/>
        <w:left w:val="none" w:sz="0" w:space="0" w:color="auto"/>
        <w:bottom w:val="none" w:sz="0" w:space="0" w:color="auto"/>
        <w:right w:val="none" w:sz="0" w:space="0" w:color="auto"/>
      </w:divBdr>
    </w:div>
    <w:div w:id="351030348">
      <w:bodyDiv w:val="1"/>
      <w:marLeft w:val="0"/>
      <w:marRight w:val="0"/>
      <w:marTop w:val="0"/>
      <w:marBottom w:val="0"/>
      <w:divBdr>
        <w:top w:val="none" w:sz="0" w:space="0" w:color="auto"/>
        <w:left w:val="none" w:sz="0" w:space="0" w:color="auto"/>
        <w:bottom w:val="none" w:sz="0" w:space="0" w:color="auto"/>
        <w:right w:val="none" w:sz="0" w:space="0" w:color="auto"/>
      </w:divBdr>
    </w:div>
    <w:div w:id="351076787">
      <w:bodyDiv w:val="1"/>
      <w:marLeft w:val="0"/>
      <w:marRight w:val="0"/>
      <w:marTop w:val="0"/>
      <w:marBottom w:val="0"/>
      <w:divBdr>
        <w:top w:val="none" w:sz="0" w:space="0" w:color="auto"/>
        <w:left w:val="none" w:sz="0" w:space="0" w:color="auto"/>
        <w:bottom w:val="none" w:sz="0" w:space="0" w:color="auto"/>
        <w:right w:val="none" w:sz="0" w:space="0" w:color="auto"/>
      </w:divBdr>
    </w:div>
    <w:div w:id="369380091">
      <w:bodyDiv w:val="1"/>
      <w:marLeft w:val="0"/>
      <w:marRight w:val="0"/>
      <w:marTop w:val="0"/>
      <w:marBottom w:val="0"/>
      <w:divBdr>
        <w:top w:val="none" w:sz="0" w:space="0" w:color="auto"/>
        <w:left w:val="none" w:sz="0" w:space="0" w:color="auto"/>
        <w:bottom w:val="none" w:sz="0" w:space="0" w:color="auto"/>
        <w:right w:val="none" w:sz="0" w:space="0" w:color="auto"/>
      </w:divBdr>
    </w:div>
    <w:div w:id="386926701">
      <w:bodyDiv w:val="1"/>
      <w:marLeft w:val="0"/>
      <w:marRight w:val="0"/>
      <w:marTop w:val="0"/>
      <w:marBottom w:val="0"/>
      <w:divBdr>
        <w:top w:val="none" w:sz="0" w:space="0" w:color="auto"/>
        <w:left w:val="none" w:sz="0" w:space="0" w:color="auto"/>
        <w:bottom w:val="none" w:sz="0" w:space="0" w:color="auto"/>
        <w:right w:val="none" w:sz="0" w:space="0" w:color="auto"/>
      </w:divBdr>
    </w:div>
    <w:div w:id="406610590">
      <w:bodyDiv w:val="1"/>
      <w:marLeft w:val="0"/>
      <w:marRight w:val="0"/>
      <w:marTop w:val="0"/>
      <w:marBottom w:val="0"/>
      <w:divBdr>
        <w:top w:val="none" w:sz="0" w:space="0" w:color="auto"/>
        <w:left w:val="none" w:sz="0" w:space="0" w:color="auto"/>
        <w:bottom w:val="none" w:sz="0" w:space="0" w:color="auto"/>
        <w:right w:val="none" w:sz="0" w:space="0" w:color="auto"/>
      </w:divBdr>
    </w:div>
    <w:div w:id="410077651">
      <w:bodyDiv w:val="1"/>
      <w:marLeft w:val="0"/>
      <w:marRight w:val="0"/>
      <w:marTop w:val="0"/>
      <w:marBottom w:val="0"/>
      <w:divBdr>
        <w:top w:val="none" w:sz="0" w:space="0" w:color="auto"/>
        <w:left w:val="none" w:sz="0" w:space="0" w:color="auto"/>
        <w:bottom w:val="none" w:sz="0" w:space="0" w:color="auto"/>
        <w:right w:val="none" w:sz="0" w:space="0" w:color="auto"/>
      </w:divBdr>
    </w:div>
    <w:div w:id="418596580">
      <w:bodyDiv w:val="1"/>
      <w:marLeft w:val="0"/>
      <w:marRight w:val="0"/>
      <w:marTop w:val="0"/>
      <w:marBottom w:val="0"/>
      <w:divBdr>
        <w:top w:val="none" w:sz="0" w:space="0" w:color="auto"/>
        <w:left w:val="none" w:sz="0" w:space="0" w:color="auto"/>
        <w:bottom w:val="none" w:sz="0" w:space="0" w:color="auto"/>
        <w:right w:val="none" w:sz="0" w:space="0" w:color="auto"/>
      </w:divBdr>
    </w:div>
    <w:div w:id="446777477">
      <w:bodyDiv w:val="1"/>
      <w:marLeft w:val="0"/>
      <w:marRight w:val="0"/>
      <w:marTop w:val="0"/>
      <w:marBottom w:val="0"/>
      <w:divBdr>
        <w:top w:val="none" w:sz="0" w:space="0" w:color="auto"/>
        <w:left w:val="none" w:sz="0" w:space="0" w:color="auto"/>
        <w:bottom w:val="none" w:sz="0" w:space="0" w:color="auto"/>
        <w:right w:val="none" w:sz="0" w:space="0" w:color="auto"/>
      </w:divBdr>
    </w:div>
    <w:div w:id="456292880">
      <w:bodyDiv w:val="1"/>
      <w:marLeft w:val="0"/>
      <w:marRight w:val="0"/>
      <w:marTop w:val="0"/>
      <w:marBottom w:val="0"/>
      <w:divBdr>
        <w:top w:val="none" w:sz="0" w:space="0" w:color="auto"/>
        <w:left w:val="none" w:sz="0" w:space="0" w:color="auto"/>
        <w:bottom w:val="none" w:sz="0" w:space="0" w:color="auto"/>
        <w:right w:val="none" w:sz="0" w:space="0" w:color="auto"/>
      </w:divBdr>
    </w:div>
    <w:div w:id="462967529">
      <w:bodyDiv w:val="1"/>
      <w:marLeft w:val="0"/>
      <w:marRight w:val="0"/>
      <w:marTop w:val="0"/>
      <w:marBottom w:val="0"/>
      <w:divBdr>
        <w:top w:val="none" w:sz="0" w:space="0" w:color="auto"/>
        <w:left w:val="none" w:sz="0" w:space="0" w:color="auto"/>
        <w:bottom w:val="none" w:sz="0" w:space="0" w:color="auto"/>
        <w:right w:val="none" w:sz="0" w:space="0" w:color="auto"/>
      </w:divBdr>
    </w:div>
    <w:div w:id="474689312">
      <w:bodyDiv w:val="1"/>
      <w:marLeft w:val="0"/>
      <w:marRight w:val="0"/>
      <w:marTop w:val="0"/>
      <w:marBottom w:val="0"/>
      <w:divBdr>
        <w:top w:val="none" w:sz="0" w:space="0" w:color="auto"/>
        <w:left w:val="none" w:sz="0" w:space="0" w:color="auto"/>
        <w:bottom w:val="none" w:sz="0" w:space="0" w:color="auto"/>
        <w:right w:val="none" w:sz="0" w:space="0" w:color="auto"/>
      </w:divBdr>
      <w:divsChild>
        <w:div w:id="1911429773">
          <w:marLeft w:val="0"/>
          <w:marRight w:val="0"/>
          <w:marTop w:val="0"/>
          <w:marBottom w:val="0"/>
          <w:divBdr>
            <w:top w:val="none" w:sz="0" w:space="0" w:color="auto"/>
            <w:left w:val="none" w:sz="0" w:space="0" w:color="auto"/>
            <w:bottom w:val="none" w:sz="0" w:space="0" w:color="auto"/>
            <w:right w:val="none" w:sz="0" w:space="0" w:color="auto"/>
          </w:divBdr>
        </w:div>
      </w:divsChild>
    </w:div>
    <w:div w:id="488987589">
      <w:bodyDiv w:val="1"/>
      <w:marLeft w:val="0"/>
      <w:marRight w:val="0"/>
      <w:marTop w:val="0"/>
      <w:marBottom w:val="0"/>
      <w:divBdr>
        <w:top w:val="none" w:sz="0" w:space="0" w:color="auto"/>
        <w:left w:val="none" w:sz="0" w:space="0" w:color="auto"/>
        <w:bottom w:val="none" w:sz="0" w:space="0" w:color="auto"/>
        <w:right w:val="none" w:sz="0" w:space="0" w:color="auto"/>
      </w:divBdr>
    </w:div>
    <w:div w:id="511379466">
      <w:bodyDiv w:val="1"/>
      <w:marLeft w:val="0"/>
      <w:marRight w:val="0"/>
      <w:marTop w:val="0"/>
      <w:marBottom w:val="0"/>
      <w:divBdr>
        <w:top w:val="none" w:sz="0" w:space="0" w:color="auto"/>
        <w:left w:val="none" w:sz="0" w:space="0" w:color="auto"/>
        <w:bottom w:val="none" w:sz="0" w:space="0" w:color="auto"/>
        <w:right w:val="none" w:sz="0" w:space="0" w:color="auto"/>
      </w:divBdr>
    </w:div>
    <w:div w:id="535697556">
      <w:bodyDiv w:val="1"/>
      <w:marLeft w:val="0"/>
      <w:marRight w:val="0"/>
      <w:marTop w:val="0"/>
      <w:marBottom w:val="0"/>
      <w:divBdr>
        <w:top w:val="none" w:sz="0" w:space="0" w:color="auto"/>
        <w:left w:val="none" w:sz="0" w:space="0" w:color="auto"/>
        <w:bottom w:val="none" w:sz="0" w:space="0" w:color="auto"/>
        <w:right w:val="none" w:sz="0" w:space="0" w:color="auto"/>
      </w:divBdr>
    </w:div>
    <w:div w:id="567227278">
      <w:bodyDiv w:val="1"/>
      <w:marLeft w:val="0"/>
      <w:marRight w:val="0"/>
      <w:marTop w:val="0"/>
      <w:marBottom w:val="0"/>
      <w:divBdr>
        <w:top w:val="none" w:sz="0" w:space="0" w:color="auto"/>
        <w:left w:val="none" w:sz="0" w:space="0" w:color="auto"/>
        <w:bottom w:val="none" w:sz="0" w:space="0" w:color="auto"/>
        <w:right w:val="none" w:sz="0" w:space="0" w:color="auto"/>
      </w:divBdr>
    </w:div>
    <w:div w:id="581262878">
      <w:bodyDiv w:val="1"/>
      <w:marLeft w:val="0"/>
      <w:marRight w:val="0"/>
      <w:marTop w:val="0"/>
      <w:marBottom w:val="0"/>
      <w:divBdr>
        <w:top w:val="none" w:sz="0" w:space="0" w:color="auto"/>
        <w:left w:val="none" w:sz="0" w:space="0" w:color="auto"/>
        <w:bottom w:val="none" w:sz="0" w:space="0" w:color="auto"/>
        <w:right w:val="none" w:sz="0" w:space="0" w:color="auto"/>
      </w:divBdr>
    </w:div>
    <w:div w:id="581641992">
      <w:bodyDiv w:val="1"/>
      <w:marLeft w:val="0"/>
      <w:marRight w:val="0"/>
      <w:marTop w:val="0"/>
      <w:marBottom w:val="0"/>
      <w:divBdr>
        <w:top w:val="none" w:sz="0" w:space="0" w:color="auto"/>
        <w:left w:val="none" w:sz="0" w:space="0" w:color="auto"/>
        <w:bottom w:val="none" w:sz="0" w:space="0" w:color="auto"/>
        <w:right w:val="none" w:sz="0" w:space="0" w:color="auto"/>
      </w:divBdr>
    </w:div>
    <w:div w:id="592250632">
      <w:bodyDiv w:val="1"/>
      <w:marLeft w:val="0"/>
      <w:marRight w:val="0"/>
      <w:marTop w:val="0"/>
      <w:marBottom w:val="0"/>
      <w:divBdr>
        <w:top w:val="none" w:sz="0" w:space="0" w:color="auto"/>
        <w:left w:val="none" w:sz="0" w:space="0" w:color="auto"/>
        <w:bottom w:val="none" w:sz="0" w:space="0" w:color="auto"/>
        <w:right w:val="none" w:sz="0" w:space="0" w:color="auto"/>
      </w:divBdr>
    </w:div>
    <w:div w:id="604964204">
      <w:bodyDiv w:val="1"/>
      <w:marLeft w:val="0"/>
      <w:marRight w:val="0"/>
      <w:marTop w:val="0"/>
      <w:marBottom w:val="0"/>
      <w:divBdr>
        <w:top w:val="none" w:sz="0" w:space="0" w:color="auto"/>
        <w:left w:val="none" w:sz="0" w:space="0" w:color="auto"/>
        <w:bottom w:val="none" w:sz="0" w:space="0" w:color="auto"/>
        <w:right w:val="none" w:sz="0" w:space="0" w:color="auto"/>
      </w:divBdr>
    </w:div>
    <w:div w:id="680208001">
      <w:bodyDiv w:val="1"/>
      <w:marLeft w:val="0"/>
      <w:marRight w:val="0"/>
      <w:marTop w:val="0"/>
      <w:marBottom w:val="0"/>
      <w:divBdr>
        <w:top w:val="none" w:sz="0" w:space="0" w:color="auto"/>
        <w:left w:val="none" w:sz="0" w:space="0" w:color="auto"/>
        <w:bottom w:val="none" w:sz="0" w:space="0" w:color="auto"/>
        <w:right w:val="none" w:sz="0" w:space="0" w:color="auto"/>
      </w:divBdr>
    </w:div>
    <w:div w:id="704793263">
      <w:bodyDiv w:val="1"/>
      <w:marLeft w:val="0"/>
      <w:marRight w:val="0"/>
      <w:marTop w:val="0"/>
      <w:marBottom w:val="0"/>
      <w:divBdr>
        <w:top w:val="none" w:sz="0" w:space="0" w:color="auto"/>
        <w:left w:val="none" w:sz="0" w:space="0" w:color="auto"/>
        <w:bottom w:val="none" w:sz="0" w:space="0" w:color="auto"/>
        <w:right w:val="none" w:sz="0" w:space="0" w:color="auto"/>
      </w:divBdr>
    </w:div>
    <w:div w:id="752704404">
      <w:bodyDiv w:val="1"/>
      <w:marLeft w:val="0"/>
      <w:marRight w:val="0"/>
      <w:marTop w:val="0"/>
      <w:marBottom w:val="0"/>
      <w:divBdr>
        <w:top w:val="none" w:sz="0" w:space="0" w:color="auto"/>
        <w:left w:val="none" w:sz="0" w:space="0" w:color="auto"/>
        <w:bottom w:val="none" w:sz="0" w:space="0" w:color="auto"/>
        <w:right w:val="none" w:sz="0" w:space="0" w:color="auto"/>
      </w:divBdr>
    </w:div>
    <w:div w:id="753547694">
      <w:bodyDiv w:val="1"/>
      <w:marLeft w:val="0"/>
      <w:marRight w:val="0"/>
      <w:marTop w:val="0"/>
      <w:marBottom w:val="0"/>
      <w:divBdr>
        <w:top w:val="none" w:sz="0" w:space="0" w:color="auto"/>
        <w:left w:val="none" w:sz="0" w:space="0" w:color="auto"/>
        <w:bottom w:val="none" w:sz="0" w:space="0" w:color="auto"/>
        <w:right w:val="none" w:sz="0" w:space="0" w:color="auto"/>
      </w:divBdr>
    </w:div>
    <w:div w:id="770585036">
      <w:bodyDiv w:val="1"/>
      <w:marLeft w:val="0"/>
      <w:marRight w:val="0"/>
      <w:marTop w:val="0"/>
      <w:marBottom w:val="0"/>
      <w:divBdr>
        <w:top w:val="none" w:sz="0" w:space="0" w:color="auto"/>
        <w:left w:val="none" w:sz="0" w:space="0" w:color="auto"/>
        <w:bottom w:val="none" w:sz="0" w:space="0" w:color="auto"/>
        <w:right w:val="none" w:sz="0" w:space="0" w:color="auto"/>
      </w:divBdr>
    </w:div>
    <w:div w:id="773133332">
      <w:bodyDiv w:val="1"/>
      <w:marLeft w:val="0"/>
      <w:marRight w:val="0"/>
      <w:marTop w:val="0"/>
      <w:marBottom w:val="0"/>
      <w:divBdr>
        <w:top w:val="none" w:sz="0" w:space="0" w:color="auto"/>
        <w:left w:val="none" w:sz="0" w:space="0" w:color="auto"/>
        <w:bottom w:val="none" w:sz="0" w:space="0" w:color="auto"/>
        <w:right w:val="none" w:sz="0" w:space="0" w:color="auto"/>
      </w:divBdr>
    </w:div>
    <w:div w:id="786436137">
      <w:bodyDiv w:val="1"/>
      <w:marLeft w:val="0"/>
      <w:marRight w:val="0"/>
      <w:marTop w:val="0"/>
      <w:marBottom w:val="0"/>
      <w:divBdr>
        <w:top w:val="none" w:sz="0" w:space="0" w:color="auto"/>
        <w:left w:val="none" w:sz="0" w:space="0" w:color="auto"/>
        <w:bottom w:val="none" w:sz="0" w:space="0" w:color="auto"/>
        <w:right w:val="none" w:sz="0" w:space="0" w:color="auto"/>
      </w:divBdr>
    </w:div>
    <w:div w:id="792096550">
      <w:bodyDiv w:val="1"/>
      <w:marLeft w:val="0"/>
      <w:marRight w:val="0"/>
      <w:marTop w:val="0"/>
      <w:marBottom w:val="0"/>
      <w:divBdr>
        <w:top w:val="none" w:sz="0" w:space="0" w:color="auto"/>
        <w:left w:val="none" w:sz="0" w:space="0" w:color="auto"/>
        <w:bottom w:val="none" w:sz="0" w:space="0" w:color="auto"/>
        <w:right w:val="none" w:sz="0" w:space="0" w:color="auto"/>
      </w:divBdr>
    </w:div>
    <w:div w:id="795098210">
      <w:bodyDiv w:val="1"/>
      <w:marLeft w:val="0"/>
      <w:marRight w:val="0"/>
      <w:marTop w:val="0"/>
      <w:marBottom w:val="0"/>
      <w:divBdr>
        <w:top w:val="none" w:sz="0" w:space="0" w:color="auto"/>
        <w:left w:val="none" w:sz="0" w:space="0" w:color="auto"/>
        <w:bottom w:val="none" w:sz="0" w:space="0" w:color="auto"/>
        <w:right w:val="none" w:sz="0" w:space="0" w:color="auto"/>
      </w:divBdr>
    </w:div>
    <w:div w:id="808983569">
      <w:bodyDiv w:val="1"/>
      <w:marLeft w:val="0"/>
      <w:marRight w:val="0"/>
      <w:marTop w:val="0"/>
      <w:marBottom w:val="0"/>
      <w:divBdr>
        <w:top w:val="none" w:sz="0" w:space="0" w:color="auto"/>
        <w:left w:val="none" w:sz="0" w:space="0" w:color="auto"/>
        <w:bottom w:val="none" w:sz="0" w:space="0" w:color="auto"/>
        <w:right w:val="none" w:sz="0" w:space="0" w:color="auto"/>
      </w:divBdr>
    </w:div>
    <w:div w:id="817579276">
      <w:bodyDiv w:val="1"/>
      <w:marLeft w:val="0"/>
      <w:marRight w:val="0"/>
      <w:marTop w:val="0"/>
      <w:marBottom w:val="0"/>
      <w:divBdr>
        <w:top w:val="none" w:sz="0" w:space="0" w:color="auto"/>
        <w:left w:val="none" w:sz="0" w:space="0" w:color="auto"/>
        <w:bottom w:val="none" w:sz="0" w:space="0" w:color="auto"/>
        <w:right w:val="none" w:sz="0" w:space="0" w:color="auto"/>
      </w:divBdr>
    </w:div>
    <w:div w:id="825629655">
      <w:bodyDiv w:val="1"/>
      <w:marLeft w:val="0"/>
      <w:marRight w:val="0"/>
      <w:marTop w:val="0"/>
      <w:marBottom w:val="0"/>
      <w:divBdr>
        <w:top w:val="none" w:sz="0" w:space="0" w:color="auto"/>
        <w:left w:val="none" w:sz="0" w:space="0" w:color="auto"/>
        <w:bottom w:val="none" w:sz="0" w:space="0" w:color="auto"/>
        <w:right w:val="none" w:sz="0" w:space="0" w:color="auto"/>
      </w:divBdr>
    </w:div>
    <w:div w:id="831414860">
      <w:bodyDiv w:val="1"/>
      <w:marLeft w:val="0"/>
      <w:marRight w:val="0"/>
      <w:marTop w:val="0"/>
      <w:marBottom w:val="0"/>
      <w:divBdr>
        <w:top w:val="none" w:sz="0" w:space="0" w:color="auto"/>
        <w:left w:val="none" w:sz="0" w:space="0" w:color="auto"/>
        <w:bottom w:val="none" w:sz="0" w:space="0" w:color="auto"/>
        <w:right w:val="none" w:sz="0" w:space="0" w:color="auto"/>
      </w:divBdr>
    </w:div>
    <w:div w:id="833689226">
      <w:bodyDiv w:val="1"/>
      <w:marLeft w:val="0"/>
      <w:marRight w:val="0"/>
      <w:marTop w:val="0"/>
      <w:marBottom w:val="0"/>
      <w:divBdr>
        <w:top w:val="none" w:sz="0" w:space="0" w:color="auto"/>
        <w:left w:val="none" w:sz="0" w:space="0" w:color="auto"/>
        <w:bottom w:val="none" w:sz="0" w:space="0" w:color="auto"/>
        <w:right w:val="none" w:sz="0" w:space="0" w:color="auto"/>
      </w:divBdr>
    </w:div>
    <w:div w:id="838428647">
      <w:bodyDiv w:val="1"/>
      <w:marLeft w:val="0"/>
      <w:marRight w:val="0"/>
      <w:marTop w:val="0"/>
      <w:marBottom w:val="0"/>
      <w:divBdr>
        <w:top w:val="none" w:sz="0" w:space="0" w:color="auto"/>
        <w:left w:val="none" w:sz="0" w:space="0" w:color="auto"/>
        <w:bottom w:val="none" w:sz="0" w:space="0" w:color="auto"/>
        <w:right w:val="none" w:sz="0" w:space="0" w:color="auto"/>
      </w:divBdr>
    </w:div>
    <w:div w:id="849177071">
      <w:bodyDiv w:val="1"/>
      <w:marLeft w:val="0"/>
      <w:marRight w:val="0"/>
      <w:marTop w:val="0"/>
      <w:marBottom w:val="0"/>
      <w:divBdr>
        <w:top w:val="none" w:sz="0" w:space="0" w:color="auto"/>
        <w:left w:val="none" w:sz="0" w:space="0" w:color="auto"/>
        <w:bottom w:val="none" w:sz="0" w:space="0" w:color="auto"/>
        <w:right w:val="none" w:sz="0" w:space="0" w:color="auto"/>
      </w:divBdr>
    </w:div>
    <w:div w:id="852034642">
      <w:bodyDiv w:val="1"/>
      <w:marLeft w:val="0"/>
      <w:marRight w:val="0"/>
      <w:marTop w:val="0"/>
      <w:marBottom w:val="0"/>
      <w:divBdr>
        <w:top w:val="none" w:sz="0" w:space="0" w:color="auto"/>
        <w:left w:val="none" w:sz="0" w:space="0" w:color="auto"/>
        <w:bottom w:val="none" w:sz="0" w:space="0" w:color="auto"/>
        <w:right w:val="none" w:sz="0" w:space="0" w:color="auto"/>
      </w:divBdr>
      <w:divsChild>
        <w:div w:id="379280065">
          <w:marLeft w:val="0"/>
          <w:marRight w:val="0"/>
          <w:marTop w:val="0"/>
          <w:marBottom w:val="0"/>
          <w:divBdr>
            <w:top w:val="none" w:sz="0" w:space="0" w:color="auto"/>
            <w:left w:val="none" w:sz="0" w:space="0" w:color="auto"/>
            <w:bottom w:val="none" w:sz="0" w:space="0" w:color="auto"/>
            <w:right w:val="none" w:sz="0" w:space="0" w:color="auto"/>
          </w:divBdr>
        </w:div>
      </w:divsChild>
    </w:div>
    <w:div w:id="858541740">
      <w:bodyDiv w:val="1"/>
      <w:marLeft w:val="0"/>
      <w:marRight w:val="0"/>
      <w:marTop w:val="0"/>
      <w:marBottom w:val="0"/>
      <w:divBdr>
        <w:top w:val="none" w:sz="0" w:space="0" w:color="auto"/>
        <w:left w:val="none" w:sz="0" w:space="0" w:color="auto"/>
        <w:bottom w:val="none" w:sz="0" w:space="0" w:color="auto"/>
        <w:right w:val="none" w:sz="0" w:space="0" w:color="auto"/>
      </w:divBdr>
      <w:divsChild>
        <w:div w:id="1539973831">
          <w:marLeft w:val="0"/>
          <w:marRight w:val="0"/>
          <w:marTop w:val="0"/>
          <w:marBottom w:val="0"/>
          <w:divBdr>
            <w:top w:val="none" w:sz="0" w:space="0" w:color="auto"/>
            <w:left w:val="none" w:sz="0" w:space="0" w:color="auto"/>
            <w:bottom w:val="none" w:sz="0" w:space="0" w:color="auto"/>
            <w:right w:val="none" w:sz="0" w:space="0" w:color="auto"/>
          </w:divBdr>
        </w:div>
      </w:divsChild>
    </w:div>
    <w:div w:id="865289827">
      <w:bodyDiv w:val="1"/>
      <w:marLeft w:val="0"/>
      <w:marRight w:val="0"/>
      <w:marTop w:val="0"/>
      <w:marBottom w:val="0"/>
      <w:divBdr>
        <w:top w:val="none" w:sz="0" w:space="0" w:color="auto"/>
        <w:left w:val="none" w:sz="0" w:space="0" w:color="auto"/>
        <w:bottom w:val="none" w:sz="0" w:space="0" w:color="auto"/>
        <w:right w:val="none" w:sz="0" w:space="0" w:color="auto"/>
      </w:divBdr>
    </w:div>
    <w:div w:id="874347743">
      <w:bodyDiv w:val="1"/>
      <w:marLeft w:val="0"/>
      <w:marRight w:val="0"/>
      <w:marTop w:val="0"/>
      <w:marBottom w:val="0"/>
      <w:divBdr>
        <w:top w:val="none" w:sz="0" w:space="0" w:color="auto"/>
        <w:left w:val="none" w:sz="0" w:space="0" w:color="auto"/>
        <w:bottom w:val="none" w:sz="0" w:space="0" w:color="auto"/>
        <w:right w:val="none" w:sz="0" w:space="0" w:color="auto"/>
      </w:divBdr>
    </w:div>
    <w:div w:id="927151569">
      <w:bodyDiv w:val="1"/>
      <w:marLeft w:val="0"/>
      <w:marRight w:val="0"/>
      <w:marTop w:val="0"/>
      <w:marBottom w:val="0"/>
      <w:divBdr>
        <w:top w:val="none" w:sz="0" w:space="0" w:color="auto"/>
        <w:left w:val="none" w:sz="0" w:space="0" w:color="auto"/>
        <w:bottom w:val="none" w:sz="0" w:space="0" w:color="auto"/>
        <w:right w:val="none" w:sz="0" w:space="0" w:color="auto"/>
      </w:divBdr>
    </w:div>
    <w:div w:id="946080300">
      <w:bodyDiv w:val="1"/>
      <w:marLeft w:val="0"/>
      <w:marRight w:val="0"/>
      <w:marTop w:val="0"/>
      <w:marBottom w:val="0"/>
      <w:divBdr>
        <w:top w:val="none" w:sz="0" w:space="0" w:color="auto"/>
        <w:left w:val="none" w:sz="0" w:space="0" w:color="auto"/>
        <w:bottom w:val="none" w:sz="0" w:space="0" w:color="auto"/>
        <w:right w:val="none" w:sz="0" w:space="0" w:color="auto"/>
      </w:divBdr>
    </w:div>
    <w:div w:id="975570325">
      <w:bodyDiv w:val="1"/>
      <w:marLeft w:val="0"/>
      <w:marRight w:val="0"/>
      <w:marTop w:val="0"/>
      <w:marBottom w:val="0"/>
      <w:divBdr>
        <w:top w:val="none" w:sz="0" w:space="0" w:color="auto"/>
        <w:left w:val="none" w:sz="0" w:space="0" w:color="auto"/>
        <w:bottom w:val="none" w:sz="0" w:space="0" w:color="auto"/>
        <w:right w:val="none" w:sz="0" w:space="0" w:color="auto"/>
      </w:divBdr>
    </w:div>
    <w:div w:id="990908409">
      <w:bodyDiv w:val="1"/>
      <w:marLeft w:val="0"/>
      <w:marRight w:val="0"/>
      <w:marTop w:val="0"/>
      <w:marBottom w:val="0"/>
      <w:divBdr>
        <w:top w:val="none" w:sz="0" w:space="0" w:color="auto"/>
        <w:left w:val="none" w:sz="0" w:space="0" w:color="auto"/>
        <w:bottom w:val="none" w:sz="0" w:space="0" w:color="auto"/>
        <w:right w:val="none" w:sz="0" w:space="0" w:color="auto"/>
      </w:divBdr>
    </w:div>
    <w:div w:id="1005473107">
      <w:bodyDiv w:val="1"/>
      <w:marLeft w:val="0"/>
      <w:marRight w:val="0"/>
      <w:marTop w:val="0"/>
      <w:marBottom w:val="0"/>
      <w:divBdr>
        <w:top w:val="none" w:sz="0" w:space="0" w:color="auto"/>
        <w:left w:val="none" w:sz="0" w:space="0" w:color="auto"/>
        <w:bottom w:val="none" w:sz="0" w:space="0" w:color="auto"/>
        <w:right w:val="none" w:sz="0" w:space="0" w:color="auto"/>
      </w:divBdr>
    </w:div>
    <w:div w:id="1022050601">
      <w:bodyDiv w:val="1"/>
      <w:marLeft w:val="0"/>
      <w:marRight w:val="0"/>
      <w:marTop w:val="0"/>
      <w:marBottom w:val="0"/>
      <w:divBdr>
        <w:top w:val="none" w:sz="0" w:space="0" w:color="auto"/>
        <w:left w:val="none" w:sz="0" w:space="0" w:color="auto"/>
        <w:bottom w:val="none" w:sz="0" w:space="0" w:color="auto"/>
        <w:right w:val="none" w:sz="0" w:space="0" w:color="auto"/>
      </w:divBdr>
    </w:div>
    <w:div w:id="1073356371">
      <w:bodyDiv w:val="1"/>
      <w:marLeft w:val="0"/>
      <w:marRight w:val="0"/>
      <w:marTop w:val="0"/>
      <w:marBottom w:val="0"/>
      <w:divBdr>
        <w:top w:val="none" w:sz="0" w:space="0" w:color="auto"/>
        <w:left w:val="none" w:sz="0" w:space="0" w:color="auto"/>
        <w:bottom w:val="none" w:sz="0" w:space="0" w:color="auto"/>
        <w:right w:val="none" w:sz="0" w:space="0" w:color="auto"/>
      </w:divBdr>
    </w:div>
    <w:div w:id="1100875271">
      <w:bodyDiv w:val="1"/>
      <w:marLeft w:val="0"/>
      <w:marRight w:val="0"/>
      <w:marTop w:val="0"/>
      <w:marBottom w:val="0"/>
      <w:divBdr>
        <w:top w:val="none" w:sz="0" w:space="0" w:color="auto"/>
        <w:left w:val="none" w:sz="0" w:space="0" w:color="auto"/>
        <w:bottom w:val="none" w:sz="0" w:space="0" w:color="auto"/>
        <w:right w:val="none" w:sz="0" w:space="0" w:color="auto"/>
      </w:divBdr>
    </w:div>
    <w:div w:id="1101071222">
      <w:bodyDiv w:val="1"/>
      <w:marLeft w:val="0"/>
      <w:marRight w:val="0"/>
      <w:marTop w:val="0"/>
      <w:marBottom w:val="0"/>
      <w:divBdr>
        <w:top w:val="none" w:sz="0" w:space="0" w:color="auto"/>
        <w:left w:val="none" w:sz="0" w:space="0" w:color="auto"/>
        <w:bottom w:val="none" w:sz="0" w:space="0" w:color="auto"/>
        <w:right w:val="none" w:sz="0" w:space="0" w:color="auto"/>
      </w:divBdr>
    </w:div>
    <w:div w:id="1126774208">
      <w:bodyDiv w:val="1"/>
      <w:marLeft w:val="0"/>
      <w:marRight w:val="0"/>
      <w:marTop w:val="0"/>
      <w:marBottom w:val="0"/>
      <w:divBdr>
        <w:top w:val="none" w:sz="0" w:space="0" w:color="auto"/>
        <w:left w:val="none" w:sz="0" w:space="0" w:color="auto"/>
        <w:bottom w:val="none" w:sz="0" w:space="0" w:color="auto"/>
        <w:right w:val="none" w:sz="0" w:space="0" w:color="auto"/>
      </w:divBdr>
    </w:div>
    <w:div w:id="1131439408">
      <w:bodyDiv w:val="1"/>
      <w:marLeft w:val="0"/>
      <w:marRight w:val="0"/>
      <w:marTop w:val="0"/>
      <w:marBottom w:val="0"/>
      <w:divBdr>
        <w:top w:val="none" w:sz="0" w:space="0" w:color="auto"/>
        <w:left w:val="none" w:sz="0" w:space="0" w:color="auto"/>
        <w:bottom w:val="none" w:sz="0" w:space="0" w:color="auto"/>
        <w:right w:val="none" w:sz="0" w:space="0" w:color="auto"/>
      </w:divBdr>
    </w:div>
    <w:div w:id="1139686490">
      <w:bodyDiv w:val="1"/>
      <w:marLeft w:val="0"/>
      <w:marRight w:val="0"/>
      <w:marTop w:val="0"/>
      <w:marBottom w:val="0"/>
      <w:divBdr>
        <w:top w:val="none" w:sz="0" w:space="0" w:color="auto"/>
        <w:left w:val="none" w:sz="0" w:space="0" w:color="auto"/>
        <w:bottom w:val="none" w:sz="0" w:space="0" w:color="auto"/>
        <w:right w:val="none" w:sz="0" w:space="0" w:color="auto"/>
      </w:divBdr>
    </w:div>
    <w:div w:id="1155879749">
      <w:bodyDiv w:val="1"/>
      <w:marLeft w:val="0"/>
      <w:marRight w:val="0"/>
      <w:marTop w:val="0"/>
      <w:marBottom w:val="0"/>
      <w:divBdr>
        <w:top w:val="none" w:sz="0" w:space="0" w:color="auto"/>
        <w:left w:val="none" w:sz="0" w:space="0" w:color="auto"/>
        <w:bottom w:val="none" w:sz="0" w:space="0" w:color="auto"/>
        <w:right w:val="none" w:sz="0" w:space="0" w:color="auto"/>
      </w:divBdr>
    </w:div>
    <w:div w:id="1158306387">
      <w:bodyDiv w:val="1"/>
      <w:marLeft w:val="0"/>
      <w:marRight w:val="0"/>
      <w:marTop w:val="0"/>
      <w:marBottom w:val="0"/>
      <w:divBdr>
        <w:top w:val="none" w:sz="0" w:space="0" w:color="auto"/>
        <w:left w:val="none" w:sz="0" w:space="0" w:color="auto"/>
        <w:bottom w:val="none" w:sz="0" w:space="0" w:color="auto"/>
        <w:right w:val="none" w:sz="0" w:space="0" w:color="auto"/>
      </w:divBdr>
    </w:div>
    <w:div w:id="1165585477">
      <w:bodyDiv w:val="1"/>
      <w:marLeft w:val="0"/>
      <w:marRight w:val="0"/>
      <w:marTop w:val="0"/>
      <w:marBottom w:val="0"/>
      <w:divBdr>
        <w:top w:val="none" w:sz="0" w:space="0" w:color="auto"/>
        <w:left w:val="none" w:sz="0" w:space="0" w:color="auto"/>
        <w:bottom w:val="none" w:sz="0" w:space="0" w:color="auto"/>
        <w:right w:val="none" w:sz="0" w:space="0" w:color="auto"/>
      </w:divBdr>
    </w:div>
    <w:div w:id="1217619497">
      <w:bodyDiv w:val="1"/>
      <w:marLeft w:val="0"/>
      <w:marRight w:val="0"/>
      <w:marTop w:val="0"/>
      <w:marBottom w:val="0"/>
      <w:divBdr>
        <w:top w:val="none" w:sz="0" w:space="0" w:color="auto"/>
        <w:left w:val="none" w:sz="0" w:space="0" w:color="auto"/>
        <w:bottom w:val="none" w:sz="0" w:space="0" w:color="auto"/>
        <w:right w:val="none" w:sz="0" w:space="0" w:color="auto"/>
      </w:divBdr>
    </w:div>
    <w:div w:id="1239246059">
      <w:bodyDiv w:val="1"/>
      <w:marLeft w:val="0"/>
      <w:marRight w:val="0"/>
      <w:marTop w:val="0"/>
      <w:marBottom w:val="0"/>
      <w:divBdr>
        <w:top w:val="none" w:sz="0" w:space="0" w:color="auto"/>
        <w:left w:val="none" w:sz="0" w:space="0" w:color="auto"/>
        <w:bottom w:val="none" w:sz="0" w:space="0" w:color="auto"/>
        <w:right w:val="none" w:sz="0" w:space="0" w:color="auto"/>
      </w:divBdr>
    </w:div>
    <w:div w:id="1248341404">
      <w:bodyDiv w:val="1"/>
      <w:marLeft w:val="0"/>
      <w:marRight w:val="0"/>
      <w:marTop w:val="0"/>
      <w:marBottom w:val="0"/>
      <w:divBdr>
        <w:top w:val="none" w:sz="0" w:space="0" w:color="auto"/>
        <w:left w:val="none" w:sz="0" w:space="0" w:color="auto"/>
        <w:bottom w:val="none" w:sz="0" w:space="0" w:color="auto"/>
        <w:right w:val="none" w:sz="0" w:space="0" w:color="auto"/>
      </w:divBdr>
    </w:div>
    <w:div w:id="1249344243">
      <w:bodyDiv w:val="1"/>
      <w:marLeft w:val="0"/>
      <w:marRight w:val="0"/>
      <w:marTop w:val="0"/>
      <w:marBottom w:val="0"/>
      <w:divBdr>
        <w:top w:val="none" w:sz="0" w:space="0" w:color="auto"/>
        <w:left w:val="none" w:sz="0" w:space="0" w:color="auto"/>
        <w:bottom w:val="none" w:sz="0" w:space="0" w:color="auto"/>
        <w:right w:val="none" w:sz="0" w:space="0" w:color="auto"/>
      </w:divBdr>
    </w:div>
    <w:div w:id="1251351448">
      <w:bodyDiv w:val="1"/>
      <w:marLeft w:val="0"/>
      <w:marRight w:val="0"/>
      <w:marTop w:val="0"/>
      <w:marBottom w:val="0"/>
      <w:divBdr>
        <w:top w:val="none" w:sz="0" w:space="0" w:color="auto"/>
        <w:left w:val="none" w:sz="0" w:space="0" w:color="auto"/>
        <w:bottom w:val="none" w:sz="0" w:space="0" w:color="auto"/>
        <w:right w:val="none" w:sz="0" w:space="0" w:color="auto"/>
      </w:divBdr>
    </w:div>
    <w:div w:id="1309440579">
      <w:bodyDiv w:val="1"/>
      <w:marLeft w:val="0"/>
      <w:marRight w:val="0"/>
      <w:marTop w:val="0"/>
      <w:marBottom w:val="0"/>
      <w:divBdr>
        <w:top w:val="none" w:sz="0" w:space="0" w:color="auto"/>
        <w:left w:val="none" w:sz="0" w:space="0" w:color="auto"/>
        <w:bottom w:val="none" w:sz="0" w:space="0" w:color="auto"/>
        <w:right w:val="none" w:sz="0" w:space="0" w:color="auto"/>
      </w:divBdr>
    </w:div>
    <w:div w:id="1309751546">
      <w:bodyDiv w:val="1"/>
      <w:marLeft w:val="0"/>
      <w:marRight w:val="0"/>
      <w:marTop w:val="0"/>
      <w:marBottom w:val="0"/>
      <w:divBdr>
        <w:top w:val="none" w:sz="0" w:space="0" w:color="auto"/>
        <w:left w:val="none" w:sz="0" w:space="0" w:color="auto"/>
        <w:bottom w:val="none" w:sz="0" w:space="0" w:color="auto"/>
        <w:right w:val="none" w:sz="0" w:space="0" w:color="auto"/>
      </w:divBdr>
    </w:div>
    <w:div w:id="1325010233">
      <w:bodyDiv w:val="1"/>
      <w:marLeft w:val="0"/>
      <w:marRight w:val="0"/>
      <w:marTop w:val="0"/>
      <w:marBottom w:val="0"/>
      <w:divBdr>
        <w:top w:val="none" w:sz="0" w:space="0" w:color="auto"/>
        <w:left w:val="none" w:sz="0" w:space="0" w:color="auto"/>
        <w:bottom w:val="none" w:sz="0" w:space="0" w:color="auto"/>
        <w:right w:val="none" w:sz="0" w:space="0" w:color="auto"/>
      </w:divBdr>
    </w:div>
    <w:div w:id="1338575530">
      <w:bodyDiv w:val="1"/>
      <w:marLeft w:val="0"/>
      <w:marRight w:val="0"/>
      <w:marTop w:val="0"/>
      <w:marBottom w:val="0"/>
      <w:divBdr>
        <w:top w:val="none" w:sz="0" w:space="0" w:color="auto"/>
        <w:left w:val="none" w:sz="0" w:space="0" w:color="auto"/>
        <w:bottom w:val="none" w:sz="0" w:space="0" w:color="auto"/>
        <w:right w:val="none" w:sz="0" w:space="0" w:color="auto"/>
      </w:divBdr>
    </w:div>
    <w:div w:id="1344866768">
      <w:bodyDiv w:val="1"/>
      <w:marLeft w:val="0"/>
      <w:marRight w:val="0"/>
      <w:marTop w:val="0"/>
      <w:marBottom w:val="0"/>
      <w:divBdr>
        <w:top w:val="none" w:sz="0" w:space="0" w:color="auto"/>
        <w:left w:val="none" w:sz="0" w:space="0" w:color="auto"/>
        <w:bottom w:val="none" w:sz="0" w:space="0" w:color="auto"/>
        <w:right w:val="none" w:sz="0" w:space="0" w:color="auto"/>
      </w:divBdr>
    </w:div>
    <w:div w:id="1386754501">
      <w:bodyDiv w:val="1"/>
      <w:marLeft w:val="0"/>
      <w:marRight w:val="0"/>
      <w:marTop w:val="0"/>
      <w:marBottom w:val="0"/>
      <w:divBdr>
        <w:top w:val="none" w:sz="0" w:space="0" w:color="auto"/>
        <w:left w:val="none" w:sz="0" w:space="0" w:color="auto"/>
        <w:bottom w:val="none" w:sz="0" w:space="0" w:color="auto"/>
        <w:right w:val="none" w:sz="0" w:space="0" w:color="auto"/>
      </w:divBdr>
    </w:div>
    <w:div w:id="1391222723">
      <w:bodyDiv w:val="1"/>
      <w:marLeft w:val="0"/>
      <w:marRight w:val="0"/>
      <w:marTop w:val="0"/>
      <w:marBottom w:val="0"/>
      <w:divBdr>
        <w:top w:val="none" w:sz="0" w:space="0" w:color="auto"/>
        <w:left w:val="none" w:sz="0" w:space="0" w:color="auto"/>
        <w:bottom w:val="none" w:sz="0" w:space="0" w:color="auto"/>
        <w:right w:val="none" w:sz="0" w:space="0" w:color="auto"/>
      </w:divBdr>
    </w:div>
    <w:div w:id="1393121766">
      <w:bodyDiv w:val="1"/>
      <w:marLeft w:val="0"/>
      <w:marRight w:val="0"/>
      <w:marTop w:val="0"/>
      <w:marBottom w:val="0"/>
      <w:divBdr>
        <w:top w:val="none" w:sz="0" w:space="0" w:color="auto"/>
        <w:left w:val="none" w:sz="0" w:space="0" w:color="auto"/>
        <w:bottom w:val="none" w:sz="0" w:space="0" w:color="auto"/>
        <w:right w:val="none" w:sz="0" w:space="0" w:color="auto"/>
      </w:divBdr>
    </w:div>
    <w:div w:id="1399741441">
      <w:bodyDiv w:val="1"/>
      <w:marLeft w:val="0"/>
      <w:marRight w:val="0"/>
      <w:marTop w:val="0"/>
      <w:marBottom w:val="0"/>
      <w:divBdr>
        <w:top w:val="none" w:sz="0" w:space="0" w:color="auto"/>
        <w:left w:val="none" w:sz="0" w:space="0" w:color="auto"/>
        <w:bottom w:val="none" w:sz="0" w:space="0" w:color="auto"/>
        <w:right w:val="none" w:sz="0" w:space="0" w:color="auto"/>
      </w:divBdr>
    </w:div>
    <w:div w:id="1425493208">
      <w:bodyDiv w:val="1"/>
      <w:marLeft w:val="0"/>
      <w:marRight w:val="0"/>
      <w:marTop w:val="0"/>
      <w:marBottom w:val="0"/>
      <w:divBdr>
        <w:top w:val="none" w:sz="0" w:space="0" w:color="auto"/>
        <w:left w:val="none" w:sz="0" w:space="0" w:color="auto"/>
        <w:bottom w:val="none" w:sz="0" w:space="0" w:color="auto"/>
        <w:right w:val="none" w:sz="0" w:space="0" w:color="auto"/>
      </w:divBdr>
    </w:div>
    <w:div w:id="1442607215">
      <w:bodyDiv w:val="1"/>
      <w:marLeft w:val="0"/>
      <w:marRight w:val="0"/>
      <w:marTop w:val="0"/>
      <w:marBottom w:val="0"/>
      <w:divBdr>
        <w:top w:val="none" w:sz="0" w:space="0" w:color="auto"/>
        <w:left w:val="none" w:sz="0" w:space="0" w:color="auto"/>
        <w:bottom w:val="none" w:sz="0" w:space="0" w:color="auto"/>
        <w:right w:val="none" w:sz="0" w:space="0" w:color="auto"/>
      </w:divBdr>
    </w:div>
    <w:div w:id="1453788915">
      <w:bodyDiv w:val="1"/>
      <w:marLeft w:val="0"/>
      <w:marRight w:val="0"/>
      <w:marTop w:val="0"/>
      <w:marBottom w:val="0"/>
      <w:divBdr>
        <w:top w:val="none" w:sz="0" w:space="0" w:color="auto"/>
        <w:left w:val="none" w:sz="0" w:space="0" w:color="auto"/>
        <w:bottom w:val="none" w:sz="0" w:space="0" w:color="auto"/>
        <w:right w:val="none" w:sz="0" w:space="0" w:color="auto"/>
      </w:divBdr>
    </w:div>
    <w:div w:id="1491865613">
      <w:bodyDiv w:val="1"/>
      <w:marLeft w:val="0"/>
      <w:marRight w:val="0"/>
      <w:marTop w:val="0"/>
      <w:marBottom w:val="0"/>
      <w:divBdr>
        <w:top w:val="none" w:sz="0" w:space="0" w:color="auto"/>
        <w:left w:val="none" w:sz="0" w:space="0" w:color="auto"/>
        <w:bottom w:val="none" w:sz="0" w:space="0" w:color="auto"/>
        <w:right w:val="none" w:sz="0" w:space="0" w:color="auto"/>
      </w:divBdr>
    </w:div>
    <w:div w:id="1514689039">
      <w:bodyDiv w:val="1"/>
      <w:marLeft w:val="0"/>
      <w:marRight w:val="0"/>
      <w:marTop w:val="0"/>
      <w:marBottom w:val="0"/>
      <w:divBdr>
        <w:top w:val="none" w:sz="0" w:space="0" w:color="auto"/>
        <w:left w:val="none" w:sz="0" w:space="0" w:color="auto"/>
        <w:bottom w:val="none" w:sz="0" w:space="0" w:color="auto"/>
        <w:right w:val="none" w:sz="0" w:space="0" w:color="auto"/>
      </w:divBdr>
    </w:div>
    <w:div w:id="1518233863">
      <w:bodyDiv w:val="1"/>
      <w:marLeft w:val="0"/>
      <w:marRight w:val="0"/>
      <w:marTop w:val="0"/>
      <w:marBottom w:val="0"/>
      <w:divBdr>
        <w:top w:val="none" w:sz="0" w:space="0" w:color="auto"/>
        <w:left w:val="none" w:sz="0" w:space="0" w:color="auto"/>
        <w:bottom w:val="none" w:sz="0" w:space="0" w:color="auto"/>
        <w:right w:val="none" w:sz="0" w:space="0" w:color="auto"/>
      </w:divBdr>
    </w:div>
    <w:div w:id="1528905729">
      <w:bodyDiv w:val="1"/>
      <w:marLeft w:val="0"/>
      <w:marRight w:val="0"/>
      <w:marTop w:val="0"/>
      <w:marBottom w:val="0"/>
      <w:divBdr>
        <w:top w:val="none" w:sz="0" w:space="0" w:color="auto"/>
        <w:left w:val="none" w:sz="0" w:space="0" w:color="auto"/>
        <w:bottom w:val="none" w:sz="0" w:space="0" w:color="auto"/>
        <w:right w:val="none" w:sz="0" w:space="0" w:color="auto"/>
      </w:divBdr>
    </w:div>
    <w:div w:id="1530794355">
      <w:bodyDiv w:val="1"/>
      <w:marLeft w:val="0"/>
      <w:marRight w:val="0"/>
      <w:marTop w:val="0"/>
      <w:marBottom w:val="0"/>
      <w:divBdr>
        <w:top w:val="none" w:sz="0" w:space="0" w:color="auto"/>
        <w:left w:val="none" w:sz="0" w:space="0" w:color="auto"/>
        <w:bottom w:val="none" w:sz="0" w:space="0" w:color="auto"/>
        <w:right w:val="none" w:sz="0" w:space="0" w:color="auto"/>
      </w:divBdr>
    </w:div>
    <w:div w:id="1575552099">
      <w:bodyDiv w:val="1"/>
      <w:marLeft w:val="0"/>
      <w:marRight w:val="0"/>
      <w:marTop w:val="0"/>
      <w:marBottom w:val="0"/>
      <w:divBdr>
        <w:top w:val="none" w:sz="0" w:space="0" w:color="auto"/>
        <w:left w:val="none" w:sz="0" w:space="0" w:color="auto"/>
        <w:bottom w:val="none" w:sz="0" w:space="0" w:color="auto"/>
        <w:right w:val="none" w:sz="0" w:space="0" w:color="auto"/>
      </w:divBdr>
    </w:div>
    <w:div w:id="1593858365">
      <w:bodyDiv w:val="1"/>
      <w:marLeft w:val="0"/>
      <w:marRight w:val="0"/>
      <w:marTop w:val="0"/>
      <w:marBottom w:val="0"/>
      <w:divBdr>
        <w:top w:val="none" w:sz="0" w:space="0" w:color="auto"/>
        <w:left w:val="none" w:sz="0" w:space="0" w:color="auto"/>
        <w:bottom w:val="none" w:sz="0" w:space="0" w:color="auto"/>
        <w:right w:val="none" w:sz="0" w:space="0" w:color="auto"/>
      </w:divBdr>
    </w:div>
    <w:div w:id="1620184355">
      <w:bodyDiv w:val="1"/>
      <w:marLeft w:val="0"/>
      <w:marRight w:val="0"/>
      <w:marTop w:val="0"/>
      <w:marBottom w:val="0"/>
      <w:divBdr>
        <w:top w:val="none" w:sz="0" w:space="0" w:color="auto"/>
        <w:left w:val="none" w:sz="0" w:space="0" w:color="auto"/>
        <w:bottom w:val="none" w:sz="0" w:space="0" w:color="auto"/>
        <w:right w:val="none" w:sz="0" w:space="0" w:color="auto"/>
      </w:divBdr>
    </w:div>
    <w:div w:id="1651666688">
      <w:bodyDiv w:val="1"/>
      <w:marLeft w:val="0"/>
      <w:marRight w:val="0"/>
      <w:marTop w:val="0"/>
      <w:marBottom w:val="0"/>
      <w:divBdr>
        <w:top w:val="none" w:sz="0" w:space="0" w:color="auto"/>
        <w:left w:val="none" w:sz="0" w:space="0" w:color="auto"/>
        <w:bottom w:val="none" w:sz="0" w:space="0" w:color="auto"/>
        <w:right w:val="none" w:sz="0" w:space="0" w:color="auto"/>
      </w:divBdr>
      <w:divsChild>
        <w:div w:id="1813325172">
          <w:marLeft w:val="0"/>
          <w:marRight w:val="0"/>
          <w:marTop w:val="0"/>
          <w:marBottom w:val="0"/>
          <w:divBdr>
            <w:top w:val="none" w:sz="0" w:space="0" w:color="auto"/>
            <w:left w:val="none" w:sz="0" w:space="0" w:color="auto"/>
            <w:bottom w:val="none" w:sz="0" w:space="0" w:color="auto"/>
            <w:right w:val="none" w:sz="0" w:space="0" w:color="auto"/>
          </w:divBdr>
        </w:div>
      </w:divsChild>
    </w:div>
    <w:div w:id="1694990111">
      <w:bodyDiv w:val="1"/>
      <w:marLeft w:val="0"/>
      <w:marRight w:val="0"/>
      <w:marTop w:val="0"/>
      <w:marBottom w:val="0"/>
      <w:divBdr>
        <w:top w:val="none" w:sz="0" w:space="0" w:color="auto"/>
        <w:left w:val="none" w:sz="0" w:space="0" w:color="auto"/>
        <w:bottom w:val="none" w:sz="0" w:space="0" w:color="auto"/>
        <w:right w:val="none" w:sz="0" w:space="0" w:color="auto"/>
      </w:divBdr>
    </w:div>
    <w:div w:id="1721127285">
      <w:bodyDiv w:val="1"/>
      <w:marLeft w:val="0"/>
      <w:marRight w:val="0"/>
      <w:marTop w:val="0"/>
      <w:marBottom w:val="0"/>
      <w:divBdr>
        <w:top w:val="none" w:sz="0" w:space="0" w:color="auto"/>
        <w:left w:val="none" w:sz="0" w:space="0" w:color="auto"/>
        <w:bottom w:val="none" w:sz="0" w:space="0" w:color="auto"/>
        <w:right w:val="none" w:sz="0" w:space="0" w:color="auto"/>
      </w:divBdr>
    </w:div>
    <w:div w:id="1755545480">
      <w:bodyDiv w:val="1"/>
      <w:marLeft w:val="0"/>
      <w:marRight w:val="0"/>
      <w:marTop w:val="0"/>
      <w:marBottom w:val="0"/>
      <w:divBdr>
        <w:top w:val="none" w:sz="0" w:space="0" w:color="auto"/>
        <w:left w:val="none" w:sz="0" w:space="0" w:color="auto"/>
        <w:bottom w:val="none" w:sz="0" w:space="0" w:color="auto"/>
        <w:right w:val="none" w:sz="0" w:space="0" w:color="auto"/>
      </w:divBdr>
    </w:div>
    <w:div w:id="1758405636">
      <w:bodyDiv w:val="1"/>
      <w:marLeft w:val="0"/>
      <w:marRight w:val="0"/>
      <w:marTop w:val="0"/>
      <w:marBottom w:val="0"/>
      <w:divBdr>
        <w:top w:val="none" w:sz="0" w:space="0" w:color="auto"/>
        <w:left w:val="none" w:sz="0" w:space="0" w:color="auto"/>
        <w:bottom w:val="none" w:sz="0" w:space="0" w:color="auto"/>
        <w:right w:val="none" w:sz="0" w:space="0" w:color="auto"/>
      </w:divBdr>
    </w:div>
    <w:div w:id="1762141845">
      <w:bodyDiv w:val="1"/>
      <w:marLeft w:val="0"/>
      <w:marRight w:val="0"/>
      <w:marTop w:val="0"/>
      <w:marBottom w:val="0"/>
      <w:divBdr>
        <w:top w:val="none" w:sz="0" w:space="0" w:color="auto"/>
        <w:left w:val="none" w:sz="0" w:space="0" w:color="auto"/>
        <w:bottom w:val="none" w:sz="0" w:space="0" w:color="auto"/>
        <w:right w:val="none" w:sz="0" w:space="0" w:color="auto"/>
      </w:divBdr>
    </w:div>
    <w:div w:id="1778403810">
      <w:bodyDiv w:val="1"/>
      <w:marLeft w:val="0"/>
      <w:marRight w:val="0"/>
      <w:marTop w:val="0"/>
      <w:marBottom w:val="0"/>
      <w:divBdr>
        <w:top w:val="none" w:sz="0" w:space="0" w:color="auto"/>
        <w:left w:val="none" w:sz="0" w:space="0" w:color="auto"/>
        <w:bottom w:val="none" w:sz="0" w:space="0" w:color="auto"/>
        <w:right w:val="none" w:sz="0" w:space="0" w:color="auto"/>
      </w:divBdr>
    </w:div>
    <w:div w:id="1789662900">
      <w:bodyDiv w:val="1"/>
      <w:marLeft w:val="0"/>
      <w:marRight w:val="0"/>
      <w:marTop w:val="0"/>
      <w:marBottom w:val="0"/>
      <w:divBdr>
        <w:top w:val="none" w:sz="0" w:space="0" w:color="auto"/>
        <w:left w:val="none" w:sz="0" w:space="0" w:color="auto"/>
        <w:bottom w:val="none" w:sz="0" w:space="0" w:color="auto"/>
        <w:right w:val="none" w:sz="0" w:space="0" w:color="auto"/>
      </w:divBdr>
    </w:div>
    <w:div w:id="1802648161">
      <w:bodyDiv w:val="1"/>
      <w:marLeft w:val="0"/>
      <w:marRight w:val="0"/>
      <w:marTop w:val="0"/>
      <w:marBottom w:val="0"/>
      <w:divBdr>
        <w:top w:val="none" w:sz="0" w:space="0" w:color="auto"/>
        <w:left w:val="none" w:sz="0" w:space="0" w:color="auto"/>
        <w:bottom w:val="none" w:sz="0" w:space="0" w:color="auto"/>
        <w:right w:val="none" w:sz="0" w:space="0" w:color="auto"/>
      </w:divBdr>
    </w:div>
    <w:div w:id="1806925166">
      <w:bodyDiv w:val="1"/>
      <w:marLeft w:val="0"/>
      <w:marRight w:val="0"/>
      <w:marTop w:val="0"/>
      <w:marBottom w:val="0"/>
      <w:divBdr>
        <w:top w:val="none" w:sz="0" w:space="0" w:color="auto"/>
        <w:left w:val="none" w:sz="0" w:space="0" w:color="auto"/>
        <w:bottom w:val="none" w:sz="0" w:space="0" w:color="auto"/>
        <w:right w:val="none" w:sz="0" w:space="0" w:color="auto"/>
      </w:divBdr>
    </w:div>
    <w:div w:id="1819220608">
      <w:bodyDiv w:val="1"/>
      <w:marLeft w:val="0"/>
      <w:marRight w:val="0"/>
      <w:marTop w:val="0"/>
      <w:marBottom w:val="0"/>
      <w:divBdr>
        <w:top w:val="none" w:sz="0" w:space="0" w:color="auto"/>
        <w:left w:val="none" w:sz="0" w:space="0" w:color="auto"/>
        <w:bottom w:val="none" w:sz="0" w:space="0" w:color="auto"/>
        <w:right w:val="none" w:sz="0" w:space="0" w:color="auto"/>
      </w:divBdr>
    </w:div>
    <w:div w:id="1824347218">
      <w:bodyDiv w:val="1"/>
      <w:marLeft w:val="0"/>
      <w:marRight w:val="0"/>
      <w:marTop w:val="0"/>
      <w:marBottom w:val="0"/>
      <w:divBdr>
        <w:top w:val="none" w:sz="0" w:space="0" w:color="auto"/>
        <w:left w:val="none" w:sz="0" w:space="0" w:color="auto"/>
        <w:bottom w:val="none" w:sz="0" w:space="0" w:color="auto"/>
        <w:right w:val="none" w:sz="0" w:space="0" w:color="auto"/>
      </w:divBdr>
    </w:div>
    <w:div w:id="1826579570">
      <w:bodyDiv w:val="1"/>
      <w:marLeft w:val="0"/>
      <w:marRight w:val="0"/>
      <w:marTop w:val="0"/>
      <w:marBottom w:val="0"/>
      <w:divBdr>
        <w:top w:val="none" w:sz="0" w:space="0" w:color="auto"/>
        <w:left w:val="none" w:sz="0" w:space="0" w:color="auto"/>
        <w:bottom w:val="none" w:sz="0" w:space="0" w:color="auto"/>
        <w:right w:val="none" w:sz="0" w:space="0" w:color="auto"/>
      </w:divBdr>
    </w:div>
    <w:div w:id="1830753432">
      <w:bodyDiv w:val="1"/>
      <w:marLeft w:val="0"/>
      <w:marRight w:val="0"/>
      <w:marTop w:val="0"/>
      <w:marBottom w:val="0"/>
      <w:divBdr>
        <w:top w:val="none" w:sz="0" w:space="0" w:color="auto"/>
        <w:left w:val="none" w:sz="0" w:space="0" w:color="auto"/>
        <w:bottom w:val="none" w:sz="0" w:space="0" w:color="auto"/>
        <w:right w:val="none" w:sz="0" w:space="0" w:color="auto"/>
      </w:divBdr>
    </w:div>
    <w:div w:id="1836188423">
      <w:bodyDiv w:val="1"/>
      <w:marLeft w:val="0"/>
      <w:marRight w:val="0"/>
      <w:marTop w:val="0"/>
      <w:marBottom w:val="0"/>
      <w:divBdr>
        <w:top w:val="none" w:sz="0" w:space="0" w:color="auto"/>
        <w:left w:val="none" w:sz="0" w:space="0" w:color="auto"/>
        <w:bottom w:val="none" w:sz="0" w:space="0" w:color="auto"/>
        <w:right w:val="none" w:sz="0" w:space="0" w:color="auto"/>
      </w:divBdr>
    </w:div>
    <w:div w:id="1839617243">
      <w:bodyDiv w:val="1"/>
      <w:marLeft w:val="0"/>
      <w:marRight w:val="0"/>
      <w:marTop w:val="0"/>
      <w:marBottom w:val="0"/>
      <w:divBdr>
        <w:top w:val="none" w:sz="0" w:space="0" w:color="auto"/>
        <w:left w:val="none" w:sz="0" w:space="0" w:color="auto"/>
        <w:bottom w:val="none" w:sz="0" w:space="0" w:color="auto"/>
        <w:right w:val="none" w:sz="0" w:space="0" w:color="auto"/>
      </w:divBdr>
    </w:div>
    <w:div w:id="1843811402">
      <w:bodyDiv w:val="1"/>
      <w:marLeft w:val="0"/>
      <w:marRight w:val="0"/>
      <w:marTop w:val="0"/>
      <w:marBottom w:val="0"/>
      <w:divBdr>
        <w:top w:val="none" w:sz="0" w:space="0" w:color="auto"/>
        <w:left w:val="none" w:sz="0" w:space="0" w:color="auto"/>
        <w:bottom w:val="none" w:sz="0" w:space="0" w:color="auto"/>
        <w:right w:val="none" w:sz="0" w:space="0" w:color="auto"/>
      </w:divBdr>
    </w:div>
    <w:div w:id="1845239965">
      <w:bodyDiv w:val="1"/>
      <w:marLeft w:val="0"/>
      <w:marRight w:val="0"/>
      <w:marTop w:val="0"/>
      <w:marBottom w:val="0"/>
      <w:divBdr>
        <w:top w:val="none" w:sz="0" w:space="0" w:color="auto"/>
        <w:left w:val="none" w:sz="0" w:space="0" w:color="auto"/>
        <w:bottom w:val="none" w:sz="0" w:space="0" w:color="auto"/>
        <w:right w:val="none" w:sz="0" w:space="0" w:color="auto"/>
      </w:divBdr>
    </w:div>
    <w:div w:id="1854800326">
      <w:bodyDiv w:val="1"/>
      <w:marLeft w:val="0"/>
      <w:marRight w:val="0"/>
      <w:marTop w:val="0"/>
      <w:marBottom w:val="0"/>
      <w:divBdr>
        <w:top w:val="none" w:sz="0" w:space="0" w:color="auto"/>
        <w:left w:val="none" w:sz="0" w:space="0" w:color="auto"/>
        <w:bottom w:val="none" w:sz="0" w:space="0" w:color="auto"/>
        <w:right w:val="none" w:sz="0" w:space="0" w:color="auto"/>
      </w:divBdr>
    </w:div>
    <w:div w:id="1862013490">
      <w:bodyDiv w:val="1"/>
      <w:marLeft w:val="0"/>
      <w:marRight w:val="0"/>
      <w:marTop w:val="0"/>
      <w:marBottom w:val="0"/>
      <w:divBdr>
        <w:top w:val="none" w:sz="0" w:space="0" w:color="auto"/>
        <w:left w:val="none" w:sz="0" w:space="0" w:color="auto"/>
        <w:bottom w:val="none" w:sz="0" w:space="0" w:color="auto"/>
        <w:right w:val="none" w:sz="0" w:space="0" w:color="auto"/>
      </w:divBdr>
    </w:div>
    <w:div w:id="1877695558">
      <w:bodyDiv w:val="1"/>
      <w:marLeft w:val="0"/>
      <w:marRight w:val="0"/>
      <w:marTop w:val="0"/>
      <w:marBottom w:val="0"/>
      <w:divBdr>
        <w:top w:val="none" w:sz="0" w:space="0" w:color="auto"/>
        <w:left w:val="none" w:sz="0" w:space="0" w:color="auto"/>
        <w:bottom w:val="none" w:sz="0" w:space="0" w:color="auto"/>
        <w:right w:val="none" w:sz="0" w:space="0" w:color="auto"/>
      </w:divBdr>
    </w:div>
    <w:div w:id="1938713912">
      <w:bodyDiv w:val="1"/>
      <w:marLeft w:val="0"/>
      <w:marRight w:val="0"/>
      <w:marTop w:val="0"/>
      <w:marBottom w:val="0"/>
      <w:divBdr>
        <w:top w:val="none" w:sz="0" w:space="0" w:color="auto"/>
        <w:left w:val="none" w:sz="0" w:space="0" w:color="auto"/>
        <w:bottom w:val="none" w:sz="0" w:space="0" w:color="auto"/>
        <w:right w:val="none" w:sz="0" w:space="0" w:color="auto"/>
      </w:divBdr>
    </w:div>
    <w:div w:id="1940137730">
      <w:bodyDiv w:val="1"/>
      <w:marLeft w:val="0"/>
      <w:marRight w:val="0"/>
      <w:marTop w:val="0"/>
      <w:marBottom w:val="0"/>
      <w:divBdr>
        <w:top w:val="none" w:sz="0" w:space="0" w:color="auto"/>
        <w:left w:val="none" w:sz="0" w:space="0" w:color="auto"/>
        <w:bottom w:val="none" w:sz="0" w:space="0" w:color="auto"/>
        <w:right w:val="none" w:sz="0" w:space="0" w:color="auto"/>
      </w:divBdr>
    </w:div>
    <w:div w:id="1956327722">
      <w:bodyDiv w:val="1"/>
      <w:marLeft w:val="0"/>
      <w:marRight w:val="0"/>
      <w:marTop w:val="0"/>
      <w:marBottom w:val="0"/>
      <w:divBdr>
        <w:top w:val="none" w:sz="0" w:space="0" w:color="auto"/>
        <w:left w:val="none" w:sz="0" w:space="0" w:color="auto"/>
        <w:bottom w:val="none" w:sz="0" w:space="0" w:color="auto"/>
        <w:right w:val="none" w:sz="0" w:space="0" w:color="auto"/>
      </w:divBdr>
    </w:div>
    <w:div w:id="1963723708">
      <w:bodyDiv w:val="1"/>
      <w:marLeft w:val="0"/>
      <w:marRight w:val="0"/>
      <w:marTop w:val="0"/>
      <w:marBottom w:val="0"/>
      <w:divBdr>
        <w:top w:val="none" w:sz="0" w:space="0" w:color="auto"/>
        <w:left w:val="none" w:sz="0" w:space="0" w:color="auto"/>
        <w:bottom w:val="none" w:sz="0" w:space="0" w:color="auto"/>
        <w:right w:val="none" w:sz="0" w:space="0" w:color="auto"/>
      </w:divBdr>
    </w:div>
    <w:div w:id="1971478335">
      <w:bodyDiv w:val="1"/>
      <w:marLeft w:val="0"/>
      <w:marRight w:val="0"/>
      <w:marTop w:val="0"/>
      <w:marBottom w:val="0"/>
      <w:divBdr>
        <w:top w:val="none" w:sz="0" w:space="0" w:color="auto"/>
        <w:left w:val="none" w:sz="0" w:space="0" w:color="auto"/>
        <w:bottom w:val="none" w:sz="0" w:space="0" w:color="auto"/>
        <w:right w:val="none" w:sz="0" w:space="0" w:color="auto"/>
      </w:divBdr>
    </w:div>
    <w:div w:id="1992169271">
      <w:bodyDiv w:val="1"/>
      <w:marLeft w:val="0"/>
      <w:marRight w:val="0"/>
      <w:marTop w:val="0"/>
      <w:marBottom w:val="0"/>
      <w:divBdr>
        <w:top w:val="none" w:sz="0" w:space="0" w:color="auto"/>
        <w:left w:val="none" w:sz="0" w:space="0" w:color="auto"/>
        <w:bottom w:val="none" w:sz="0" w:space="0" w:color="auto"/>
        <w:right w:val="none" w:sz="0" w:space="0" w:color="auto"/>
      </w:divBdr>
    </w:div>
    <w:div w:id="1997882635">
      <w:bodyDiv w:val="1"/>
      <w:marLeft w:val="0"/>
      <w:marRight w:val="0"/>
      <w:marTop w:val="0"/>
      <w:marBottom w:val="0"/>
      <w:divBdr>
        <w:top w:val="none" w:sz="0" w:space="0" w:color="auto"/>
        <w:left w:val="none" w:sz="0" w:space="0" w:color="auto"/>
        <w:bottom w:val="none" w:sz="0" w:space="0" w:color="auto"/>
        <w:right w:val="none" w:sz="0" w:space="0" w:color="auto"/>
      </w:divBdr>
    </w:div>
    <w:div w:id="2005282098">
      <w:bodyDiv w:val="1"/>
      <w:marLeft w:val="0"/>
      <w:marRight w:val="0"/>
      <w:marTop w:val="0"/>
      <w:marBottom w:val="0"/>
      <w:divBdr>
        <w:top w:val="none" w:sz="0" w:space="0" w:color="auto"/>
        <w:left w:val="none" w:sz="0" w:space="0" w:color="auto"/>
        <w:bottom w:val="none" w:sz="0" w:space="0" w:color="auto"/>
        <w:right w:val="none" w:sz="0" w:space="0" w:color="auto"/>
      </w:divBdr>
    </w:div>
    <w:div w:id="2022780263">
      <w:bodyDiv w:val="1"/>
      <w:marLeft w:val="0"/>
      <w:marRight w:val="0"/>
      <w:marTop w:val="0"/>
      <w:marBottom w:val="0"/>
      <w:divBdr>
        <w:top w:val="none" w:sz="0" w:space="0" w:color="auto"/>
        <w:left w:val="none" w:sz="0" w:space="0" w:color="auto"/>
        <w:bottom w:val="none" w:sz="0" w:space="0" w:color="auto"/>
        <w:right w:val="none" w:sz="0" w:space="0" w:color="auto"/>
      </w:divBdr>
    </w:div>
    <w:div w:id="2042052202">
      <w:bodyDiv w:val="1"/>
      <w:marLeft w:val="0"/>
      <w:marRight w:val="0"/>
      <w:marTop w:val="0"/>
      <w:marBottom w:val="0"/>
      <w:divBdr>
        <w:top w:val="none" w:sz="0" w:space="0" w:color="auto"/>
        <w:left w:val="none" w:sz="0" w:space="0" w:color="auto"/>
        <w:bottom w:val="none" w:sz="0" w:space="0" w:color="auto"/>
        <w:right w:val="none" w:sz="0" w:space="0" w:color="auto"/>
      </w:divBdr>
    </w:div>
    <w:div w:id="2044404376">
      <w:bodyDiv w:val="1"/>
      <w:marLeft w:val="0"/>
      <w:marRight w:val="0"/>
      <w:marTop w:val="0"/>
      <w:marBottom w:val="0"/>
      <w:divBdr>
        <w:top w:val="none" w:sz="0" w:space="0" w:color="auto"/>
        <w:left w:val="none" w:sz="0" w:space="0" w:color="auto"/>
        <w:bottom w:val="none" w:sz="0" w:space="0" w:color="auto"/>
        <w:right w:val="none" w:sz="0" w:space="0" w:color="auto"/>
      </w:divBdr>
    </w:div>
    <w:div w:id="2050177928">
      <w:bodyDiv w:val="1"/>
      <w:marLeft w:val="0"/>
      <w:marRight w:val="0"/>
      <w:marTop w:val="0"/>
      <w:marBottom w:val="0"/>
      <w:divBdr>
        <w:top w:val="none" w:sz="0" w:space="0" w:color="auto"/>
        <w:left w:val="none" w:sz="0" w:space="0" w:color="auto"/>
        <w:bottom w:val="none" w:sz="0" w:space="0" w:color="auto"/>
        <w:right w:val="none" w:sz="0" w:space="0" w:color="auto"/>
      </w:divBdr>
    </w:div>
    <w:div w:id="2052610769">
      <w:bodyDiv w:val="1"/>
      <w:marLeft w:val="0"/>
      <w:marRight w:val="0"/>
      <w:marTop w:val="0"/>
      <w:marBottom w:val="0"/>
      <w:divBdr>
        <w:top w:val="none" w:sz="0" w:space="0" w:color="auto"/>
        <w:left w:val="none" w:sz="0" w:space="0" w:color="auto"/>
        <w:bottom w:val="none" w:sz="0" w:space="0" w:color="auto"/>
        <w:right w:val="none" w:sz="0" w:space="0" w:color="auto"/>
      </w:divBdr>
    </w:div>
    <w:div w:id="2058048081">
      <w:bodyDiv w:val="1"/>
      <w:marLeft w:val="0"/>
      <w:marRight w:val="0"/>
      <w:marTop w:val="0"/>
      <w:marBottom w:val="0"/>
      <w:divBdr>
        <w:top w:val="none" w:sz="0" w:space="0" w:color="auto"/>
        <w:left w:val="none" w:sz="0" w:space="0" w:color="auto"/>
        <w:bottom w:val="none" w:sz="0" w:space="0" w:color="auto"/>
        <w:right w:val="none" w:sz="0" w:space="0" w:color="auto"/>
      </w:divBdr>
    </w:div>
    <w:div w:id="2066440947">
      <w:bodyDiv w:val="1"/>
      <w:marLeft w:val="0"/>
      <w:marRight w:val="0"/>
      <w:marTop w:val="0"/>
      <w:marBottom w:val="0"/>
      <w:divBdr>
        <w:top w:val="none" w:sz="0" w:space="0" w:color="auto"/>
        <w:left w:val="none" w:sz="0" w:space="0" w:color="auto"/>
        <w:bottom w:val="none" w:sz="0" w:space="0" w:color="auto"/>
        <w:right w:val="none" w:sz="0" w:space="0" w:color="auto"/>
      </w:divBdr>
    </w:div>
    <w:div w:id="2066643207">
      <w:bodyDiv w:val="1"/>
      <w:marLeft w:val="0"/>
      <w:marRight w:val="0"/>
      <w:marTop w:val="0"/>
      <w:marBottom w:val="0"/>
      <w:divBdr>
        <w:top w:val="none" w:sz="0" w:space="0" w:color="auto"/>
        <w:left w:val="none" w:sz="0" w:space="0" w:color="auto"/>
        <w:bottom w:val="none" w:sz="0" w:space="0" w:color="auto"/>
        <w:right w:val="none" w:sz="0" w:space="0" w:color="auto"/>
      </w:divBdr>
    </w:div>
    <w:div w:id="2070641020">
      <w:bodyDiv w:val="1"/>
      <w:marLeft w:val="0"/>
      <w:marRight w:val="0"/>
      <w:marTop w:val="0"/>
      <w:marBottom w:val="0"/>
      <w:divBdr>
        <w:top w:val="none" w:sz="0" w:space="0" w:color="auto"/>
        <w:left w:val="none" w:sz="0" w:space="0" w:color="auto"/>
        <w:bottom w:val="none" w:sz="0" w:space="0" w:color="auto"/>
        <w:right w:val="none" w:sz="0" w:space="0" w:color="auto"/>
      </w:divBdr>
    </w:div>
    <w:div w:id="2085297897">
      <w:bodyDiv w:val="1"/>
      <w:marLeft w:val="0"/>
      <w:marRight w:val="0"/>
      <w:marTop w:val="0"/>
      <w:marBottom w:val="0"/>
      <w:divBdr>
        <w:top w:val="none" w:sz="0" w:space="0" w:color="auto"/>
        <w:left w:val="none" w:sz="0" w:space="0" w:color="auto"/>
        <w:bottom w:val="none" w:sz="0" w:space="0" w:color="auto"/>
        <w:right w:val="none" w:sz="0" w:space="0" w:color="auto"/>
      </w:divBdr>
    </w:div>
    <w:div w:id="2090080458">
      <w:bodyDiv w:val="1"/>
      <w:marLeft w:val="0"/>
      <w:marRight w:val="0"/>
      <w:marTop w:val="0"/>
      <w:marBottom w:val="0"/>
      <w:divBdr>
        <w:top w:val="none" w:sz="0" w:space="0" w:color="auto"/>
        <w:left w:val="none" w:sz="0" w:space="0" w:color="auto"/>
        <w:bottom w:val="none" w:sz="0" w:space="0" w:color="auto"/>
        <w:right w:val="none" w:sz="0" w:space="0" w:color="auto"/>
      </w:divBdr>
    </w:div>
    <w:div w:id="2091924794">
      <w:bodyDiv w:val="1"/>
      <w:marLeft w:val="0"/>
      <w:marRight w:val="0"/>
      <w:marTop w:val="0"/>
      <w:marBottom w:val="0"/>
      <w:divBdr>
        <w:top w:val="none" w:sz="0" w:space="0" w:color="auto"/>
        <w:left w:val="none" w:sz="0" w:space="0" w:color="auto"/>
        <w:bottom w:val="none" w:sz="0" w:space="0" w:color="auto"/>
        <w:right w:val="none" w:sz="0" w:space="0" w:color="auto"/>
      </w:divBdr>
    </w:div>
    <w:div w:id="2132479714">
      <w:bodyDiv w:val="1"/>
      <w:marLeft w:val="0"/>
      <w:marRight w:val="0"/>
      <w:marTop w:val="0"/>
      <w:marBottom w:val="0"/>
      <w:divBdr>
        <w:top w:val="none" w:sz="0" w:space="0" w:color="auto"/>
        <w:left w:val="none" w:sz="0" w:space="0" w:color="auto"/>
        <w:bottom w:val="none" w:sz="0" w:space="0" w:color="auto"/>
        <w:right w:val="none" w:sz="0" w:space="0" w:color="auto"/>
      </w:divBdr>
    </w:div>
    <w:div w:id="2134588561">
      <w:bodyDiv w:val="1"/>
      <w:marLeft w:val="0"/>
      <w:marRight w:val="0"/>
      <w:marTop w:val="0"/>
      <w:marBottom w:val="0"/>
      <w:divBdr>
        <w:top w:val="none" w:sz="0" w:space="0" w:color="auto"/>
        <w:left w:val="none" w:sz="0" w:space="0" w:color="auto"/>
        <w:bottom w:val="none" w:sz="0" w:space="0" w:color="auto"/>
        <w:right w:val="none" w:sz="0" w:space="0" w:color="auto"/>
      </w:divBdr>
    </w:div>
    <w:div w:id="214488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image001.jpg@01CD0DB9.47B92800" TargetMode="External"/><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2016-key-stage-2-science-sampling-sample-questions-mark-scheme-and-commentary"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769CDBBFE575B4D84D505F90C7EF5DA" ma:contentTypeVersion="10" ma:contentTypeDescription="Create a new document." ma:contentTypeScope="" ma:versionID="77aad3f1e9347c524d5a00c16a67157a">
  <xsd:schema xmlns:xsd="http://www.w3.org/2001/XMLSchema" xmlns:xs="http://www.w3.org/2001/XMLSchema" xmlns:p="http://schemas.microsoft.com/office/2006/metadata/properties" xmlns:ns3="218561d3-87bc-4567-b886-84387b9c742c" xmlns:ns4="6b9c38c7-c263-4b3f-9d8c-59186042b3b4" targetNamespace="http://schemas.microsoft.com/office/2006/metadata/properties" ma:root="true" ma:fieldsID="1bcbe358dc4406554e7d43e91c3cfa0b" ns3:_="" ns4:_="">
    <xsd:import namespace="218561d3-87bc-4567-b886-84387b9c742c"/>
    <xsd:import namespace="6b9c38c7-c263-4b3f-9d8c-59186042b3b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8561d3-87bc-4567-b886-84387b9c742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9c38c7-c263-4b3f-9d8c-59186042b3b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081EE-0E00-48F6-8AD5-8E68811F7BC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CED1BE8-CA43-456E-B7F5-B900125C76C4}">
  <ds:schemaRefs>
    <ds:schemaRef ds:uri="http://schemas.microsoft.com/office/2006/metadata/longProperties"/>
  </ds:schemaRefs>
</ds:datastoreItem>
</file>

<file path=customXml/itemProps3.xml><?xml version="1.0" encoding="utf-8"?>
<ds:datastoreItem xmlns:ds="http://schemas.openxmlformats.org/officeDocument/2006/customXml" ds:itemID="{34FAD976-674E-4708-870B-038880B96727}">
  <ds:schemaRefs>
    <ds:schemaRef ds:uri="http://schemas.microsoft.com/sharepoint/v3/contenttype/forms"/>
  </ds:schemaRefs>
</ds:datastoreItem>
</file>

<file path=customXml/itemProps4.xml><?xml version="1.0" encoding="utf-8"?>
<ds:datastoreItem xmlns:ds="http://schemas.openxmlformats.org/officeDocument/2006/customXml" ds:itemID="{1576B871-67FA-47AA-A7D0-D21C1F2793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8561d3-87bc-4567-b886-84387b9c742c"/>
    <ds:schemaRef ds:uri="6b9c38c7-c263-4b3f-9d8c-59186042b3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C3BD7D6-869A-4133-9E1A-1593D455F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2015</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STA-0090-Call-off-29_Clarifications</vt:lpstr>
    </vt:vector>
  </TitlesOfParts>
  <Company>QCA</Company>
  <LinksUpToDate>false</LinksUpToDate>
  <CharactersWithSpaces>13481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STA-0090-Call-off-29_Clarifications</dc:title>
  <dc:creator>bayleya</dc:creator>
  <cp:lastModifiedBy>SIMPSON, Hamish</cp:lastModifiedBy>
  <cp:revision>1</cp:revision>
  <cp:lastPrinted>2013-04-17T08:50:00Z</cp:lastPrinted>
  <dcterms:created xsi:type="dcterms:W3CDTF">2019-10-07T11:13:00Z</dcterms:created>
  <dcterms:modified xsi:type="dcterms:W3CDTF">2019-10-07T11:13:00Z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Programme and Project Management</vt:lpwstr>
  </property>
  <property fmtid="{D5CDD505-2E9C-101B-9397-08002B2CF9AE}" pid="3" name="IsLink">
    <vt:lpwstr/>
  </property>
  <property fmtid="{D5CDD505-2E9C-101B-9397-08002B2CF9AE}" pid="4" name="ContentTypeId">
    <vt:lpwstr>0x0101009769CDBBFE575B4D84D505F90C7EF5DA</vt:lpwstr>
  </property>
  <property fmtid="{D5CDD505-2E9C-101B-9397-08002B2CF9AE}" pid="5" name="IWPOrganisationalUnit">
    <vt:lpwstr>2;#NCTA|50b03fc4-9596-44c0-8ddf-78c55856c7ae</vt:lpwstr>
  </property>
  <property fmtid="{D5CDD505-2E9C-101B-9397-08002B2CF9AE}" pid="6" name="_dlc_policyId">
    <vt:lpwstr>0x0101007F645D6FBA204A029FECB8BFC6578C39005279853530254253B886E13194843F8A003AA4A7828D8545A79A93568021812356|-1092243152</vt:lpwstr>
  </property>
  <property fmtid="{D5CDD505-2E9C-101B-9397-08002B2CF9AE}" pid="7" name="IWPOwner">
    <vt:lpwstr>3;#NCTA|8a55f59b-7d94-44dd-a344-986d47acf947</vt:lpwstr>
  </property>
  <property fmtid="{D5CDD505-2E9C-101B-9397-08002B2CF9AE}" pid="8" name="IWPFunction">
    <vt:lpwstr/>
  </property>
  <property fmtid="{D5CDD505-2E9C-101B-9397-08002B2CF9AE}" pid="9" name="ItemRetentionFormula">
    <vt:lpwstr/>
  </property>
  <property fmtid="{D5CDD505-2E9C-101B-9397-08002B2CF9AE}" pid="10" name="IWPRightsProtectiveMarking">
    <vt:lpwstr>1;#Official|0884c477-2e62-47ea-b19c-5af6e91124c5</vt:lpwstr>
  </property>
  <property fmtid="{D5CDD505-2E9C-101B-9397-08002B2CF9AE}" pid="11" name="_dlc_DocIdItemGuid">
    <vt:lpwstr>3cffc271-b042-4dc3-b458-1fd44e31b42c</vt:lpwstr>
  </property>
  <property fmtid="{D5CDD505-2E9C-101B-9397-08002B2CF9AE}" pid="12" name="IWPSubject">
    <vt:lpwstr>24;#Standards and Testing Agency|e5b34a06-baa6-4d3f-80b6-d87386410c25</vt:lpwstr>
  </property>
  <property fmtid="{D5CDD505-2E9C-101B-9397-08002B2CF9AE}" pid="13" name="IWPSiteType">
    <vt:lpwstr/>
  </property>
  <property fmtid="{D5CDD505-2E9C-101B-9397-08002B2CF9AE}" pid="14" name="Rights:ProtectiveMarking">
    <vt:lpwstr>3;#Official|0884c477-2e62-47ea-b19c-5af6e91124c5</vt:lpwstr>
  </property>
  <property fmtid="{D5CDD505-2E9C-101B-9397-08002B2CF9AE}" pid="15" name="OrganisationalUnit">
    <vt:lpwstr>1;#STA|66576609-c685-49b2-8de0-b806a5dc4789</vt:lpwstr>
  </property>
  <property fmtid="{D5CDD505-2E9C-101B-9397-08002B2CF9AE}" pid="16" name="Owner">
    <vt:lpwstr>2;#STA|c8765260-e14a-4cab-860c-a8f6854ef79c</vt:lpwstr>
  </property>
  <property fmtid="{D5CDD505-2E9C-101B-9397-08002B2CF9AE}" pid="17" name="c02f73938b5741d4934b358b31a1b80f">
    <vt:lpwstr>Official|0884c477-2e62-47ea-b19c-5af6e91124c5</vt:lpwstr>
  </property>
  <property fmtid="{D5CDD505-2E9C-101B-9397-08002B2CF9AE}" pid="18" name="p6919dbb65844893b164c5f63a6f0eeb">
    <vt:lpwstr>DfE|a484111e-5b24-4ad9-9778-c536c8c88985</vt:lpwstr>
  </property>
  <property fmtid="{D5CDD505-2E9C-101B-9397-08002B2CF9AE}" pid="19" name="f6ec388a6d534bab86a259abd1bfa088">
    <vt:lpwstr>DfE|cc08a6d4-dfde-4d0f-bd85-069ebcef80d5</vt:lpwstr>
  </property>
  <property fmtid="{D5CDD505-2E9C-101B-9397-08002B2CF9AE}" pid="20" name="DfeOwner">
    <vt:lpwstr>4;#DfE|a484111e-5b24-4ad9-9778-c536c8c88985</vt:lpwstr>
  </property>
  <property fmtid="{D5CDD505-2E9C-101B-9397-08002B2CF9AE}" pid="21" name="DfeOrganisationalUnit">
    <vt:lpwstr>5;#DfE|cc08a6d4-dfde-4d0f-bd85-069ebcef80d5</vt:lpwstr>
  </property>
  <property fmtid="{D5CDD505-2E9C-101B-9397-08002B2CF9AE}" pid="22" name="DfeRights:ProtectiveMarking">
    <vt:lpwstr>1;#Official|0884c477-2e62-47ea-b19c-5af6e91124c5</vt:lpwstr>
  </property>
</Properties>
</file>