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A72F7" w14:textId="667F4E54" w:rsidR="00E47C5A" w:rsidRPr="00C64F53" w:rsidRDefault="003A2BD7" w:rsidP="003A2BD7">
      <w:pPr>
        <w:jc w:val="center"/>
        <w:rPr>
          <w:rFonts w:ascii="Arial" w:hAnsi="Arial" w:cs="Arial"/>
          <w:b/>
          <w:caps/>
        </w:rPr>
      </w:pPr>
      <w:bookmarkStart w:id="0" w:name="_GoBack"/>
      <w:bookmarkEnd w:id="0"/>
      <w:r w:rsidRPr="00C64F53">
        <w:rPr>
          <w:rFonts w:ascii="Arial" w:hAnsi="Arial" w:cs="Arial"/>
          <w:b/>
          <w:caps/>
        </w:rPr>
        <w:t>modification notice</w:t>
      </w:r>
      <w:r w:rsidR="00DA12D2">
        <w:rPr>
          <w:rFonts w:ascii="Arial" w:hAnsi="Arial" w:cs="Arial"/>
          <w:b/>
          <w:caps/>
        </w:rPr>
        <w:t xml:space="preserve">: </w:t>
      </w:r>
      <w:r w:rsidR="00CE55BF">
        <w:rPr>
          <w:rFonts w:ascii="Arial" w:hAnsi="Arial" w:cs="Arial"/>
          <w:b/>
          <w:caps/>
        </w:rPr>
        <w:t>2</w:t>
      </w:r>
      <w:r w:rsidR="00185F7C">
        <w:rPr>
          <w:rFonts w:ascii="Arial" w:hAnsi="Arial" w:cs="Arial"/>
          <w:b/>
          <w:caps/>
        </w:rPr>
        <w:t>9</w:t>
      </w:r>
      <w:r w:rsidR="00592F35">
        <w:rPr>
          <w:rFonts w:ascii="Arial" w:hAnsi="Arial" w:cs="Arial"/>
          <w:b/>
          <w:caps/>
        </w:rPr>
        <w:t>.0</w:t>
      </w:r>
      <w:r w:rsidR="00CE55BF">
        <w:rPr>
          <w:rFonts w:ascii="Arial" w:hAnsi="Arial" w:cs="Arial"/>
          <w:b/>
          <w:caps/>
        </w:rPr>
        <w:t>9</w:t>
      </w:r>
      <w:r w:rsidR="00592F35">
        <w:rPr>
          <w:rFonts w:ascii="Arial" w:hAnsi="Arial" w:cs="Arial"/>
          <w:b/>
          <w:caps/>
        </w:rPr>
        <w:t>.21</w:t>
      </w:r>
    </w:p>
    <w:p w14:paraId="102A72F9" w14:textId="1AB64776" w:rsidR="003A2BD7" w:rsidRPr="003A0F44" w:rsidRDefault="003A2BD7" w:rsidP="00CE55BF">
      <w:pPr>
        <w:rPr>
          <w:rFonts w:ascii="Arial" w:hAnsi="Arial" w:cs="Arial"/>
          <w:b/>
          <w:bCs/>
        </w:rPr>
      </w:pP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6095"/>
      </w:tblGrid>
      <w:tr w:rsidR="003A2BD7" w:rsidRPr="00C64F53" w14:paraId="102A72FC" w14:textId="77777777" w:rsidTr="00A5408D">
        <w:trPr>
          <w:tblHeader/>
        </w:trPr>
        <w:tc>
          <w:tcPr>
            <w:tcW w:w="3998" w:type="dxa"/>
            <w:shd w:val="clear" w:color="auto" w:fill="D9D9D9"/>
          </w:tcPr>
          <w:p w14:paraId="102A72FA" w14:textId="77777777" w:rsidR="003A2BD7" w:rsidRPr="00C64F53" w:rsidRDefault="003A2BD7" w:rsidP="0003234E">
            <w:pPr>
              <w:keepLines/>
              <w:spacing w:before="240" w:line="360" w:lineRule="auto"/>
              <w:jc w:val="both"/>
              <w:rPr>
                <w:rFonts w:ascii="Arial" w:hAnsi="Arial" w:cs="Arial"/>
                <w:b/>
              </w:rPr>
            </w:pPr>
            <w:r w:rsidRPr="00C64F53">
              <w:rPr>
                <w:rFonts w:ascii="Arial" w:hAnsi="Arial" w:cs="Arial"/>
                <w:b/>
              </w:rPr>
              <w:t>OJEU Section</w:t>
            </w:r>
          </w:p>
        </w:tc>
        <w:tc>
          <w:tcPr>
            <w:tcW w:w="6095" w:type="dxa"/>
            <w:shd w:val="clear" w:color="auto" w:fill="D9D9D9"/>
          </w:tcPr>
          <w:p w14:paraId="102A72FB" w14:textId="77777777" w:rsidR="003A2BD7" w:rsidRPr="00C64F53" w:rsidRDefault="003A2BD7" w:rsidP="0003234E">
            <w:pPr>
              <w:keepLines/>
              <w:spacing w:before="240" w:line="360" w:lineRule="auto"/>
              <w:jc w:val="both"/>
              <w:rPr>
                <w:rFonts w:ascii="Arial" w:hAnsi="Arial" w:cs="Arial"/>
                <w:b/>
              </w:rPr>
            </w:pPr>
          </w:p>
        </w:tc>
      </w:tr>
      <w:tr w:rsidR="00C64F53" w:rsidRPr="00C64F53" w14:paraId="102A72FE" w14:textId="77777777" w:rsidTr="00A5408D">
        <w:tc>
          <w:tcPr>
            <w:tcW w:w="10093" w:type="dxa"/>
            <w:gridSpan w:val="2"/>
            <w:shd w:val="clear" w:color="auto" w:fill="BFBFBF" w:themeFill="background1" w:themeFillShade="BF"/>
          </w:tcPr>
          <w:p w14:paraId="102A72FD" w14:textId="77777777" w:rsidR="00C64F53" w:rsidRPr="00C64F53" w:rsidRDefault="00C64F53" w:rsidP="00C64F53">
            <w:pPr>
              <w:keepLines/>
              <w:spacing w:line="360" w:lineRule="auto"/>
              <w:rPr>
                <w:rFonts w:ascii="Arial" w:hAnsi="Arial" w:cs="Arial"/>
              </w:rPr>
            </w:pPr>
            <w:r w:rsidRPr="00C64F53">
              <w:rPr>
                <w:rFonts w:ascii="Arial" w:hAnsi="Arial" w:cs="Arial"/>
                <w:b/>
              </w:rPr>
              <w:t>Section I: Contracting authority/entity</w:t>
            </w:r>
          </w:p>
        </w:tc>
      </w:tr>
      <w:tr w:rsidR="003A2BD7" w:rsidRPr="00C64F53" w14:paraId="102A7301" w14:textId="77777777" w:rsidTr="00A5408D">
        <w:tc>
          <w:tcPr>
            <w:tcW w:w="3998" w:type="dxa"/>
            <w:shd w:val="clear" w:color="auto" w:fill="auto"/>
          </w:tcPr>
          <w:p w14:paraId="102A72FF" w14:textId="77777777" w:rsidR="003A2BD7" w:rsidRPr="00C64F53" w:rsidRDefault="003A2BD7" w:rsidP="00A5408D">
            <w:pPr>
              <w:keepLines/>
              <w:spacing w:after="0" w:line="240" w:lineRule="auto"/>
              <w:rPr>
                <w:rFonts w:ascii="Arial" w:hAnsi="Arial" w:cs="Arial"/>
                <w:b/>
              </w:rPr>
            </w:pPr>
            <w:r w:rsidRPr="00C64F53">
              <w:rPr>
                <w:rFonts w:ascii="Arial" w:hAnsi="Arial" w:cs="Arial"/>
                <w:b/>
              </w:rPr>
              <w:t>I.1:  Name, addresses and contact point(s)</w:t>
            </w:r>
          </w:p>
        </w:tc>
        <w:tc>
          <w:tcPr>
            <w:tcW w:w="6095" w:type="dxa"/>
            <w:shd w:val="clear" w:color="auto" w:fill="auto"/>
          </w:tcPr>
          <w:p w14:paraId="102A7300" w14:textId="12381DB0" w:rsidR="003A2BD7" w:rsidRPr="00081B98" w:rsidRDefault="003A2BD7" w:rsidP="004A179A">
            <w:pPr>
              <w:keepLines/>
              <w:spacing w:after="0" w:line="240" w:lineRule="auto"/>
              <w:rPr>
                <w:rFonts w:ascii="Arial" w:hAnsi="Arial" w:cs="Arial"/>
                <w:color w:val="000000"/>
                <w:sz w:val="20"/>
                <w:szCs w:val="20"/>
                <w:shd w:val="clear" w:color="auto" w:fill="FFFFFF"/>
              </w:rPr>
            </w:pPr>
            <w:r w:rsidRPr="00A1617D">
              <w:rPr>
                <w:rFonts w:ascii="Arial" w:hAnsi="Arial" w:cs="Arial"/>
                <w:color w:val="000000"/>
                <w:sz w:val="20"/>
                <w:szCs w:val="20"/>
                <w:shd w:val="clear" w:color="auto" w:fill="FFFFFF"/>
              </w:rPr>
              <w:t xml:space="preserve">Official name: </w:t>
            </w:r>
            <w:r w:rsidR="00081B98">
              <w:rPr>
                <w:rFonts w:ascii="Arial" w:hAnsi="Arial" w:cs="Arial"/>
                <w:color w:val="000000"/>
                <w:sz w:val="20"/>
                <w:szCs w:val="20"/>
                <w:shd w:val="clear" w:color="auto" w:fill="FFFFFF"/>
              </w:rPr>
              <w:t xml:space="preserve">Social Mobility Commission </w:t>
            </w:r>
            <w:r w:rsidRPr="00A1617D">
              <w:rPr>
                <w:rFonts w:ascii="Arial" w:hAnsi="Arial" w:cs="Arial"/>
                <w:color w:val="000000"/>
                <w:sz w:val="20"/>
                <w:szCs w:val="20"/>
              </w:rPr>
              <w:br/>
            </w:r>
            <w:r w:rsidRPr="00A1617D">
              <w:rPr>
                <w:rFonts w:ascii="Arial" w:hAnsi="Arial" w:cs="Arial"/>
                <w:color w:val="000000"/>
                <w:sz w:val="20"/>
                <w:szCs w:val="20"/>
                <w:shd w:val="clear" w:color="auto" w:fill="FFFFFF"/>
              </w:rPr>
              <w:t xml:space="preserve">Postal address: </w:t>
            </w:r>
            <w:r w:rsidR="00081B98">
              <w:rPr>
                <w:rFonts w:ascii="Arial" w:hAnsi="Arial" w:cs="Arial"/>
                <w:color w:val="000000"/>
                <w:sz w:val="20"/>
                <w:szCs w:val="20"/>
                <w:shd w:val="clear" w:color="auto" w:fill="FFFFFF"/>
              </w:rPr>
              <w:t xml:space="preserve">Sanctuary Buildings, </w:t>
            </w:r>
            <w:r w:rsidR="00081B98" w:rsidRPr="00081B98">
              <w:rPr>
                <w:rFonts w:ascii="Arial" w:hAnsi="Arial" w:cs="Arial"/>
                <w:color w:val="000000"/>
                <w:sz w:val="20"/>
                <w:szCs w:val="20"/>
                <w:shd w:val="clear" w:color="auto" w:fill="FFFFFF"/>
              </w:rPr>
              <w:t>Great Smith Street</w:t>
            </w:r>
            <w:r w:rsidRPr="00A1617D">
              <w:rPr>
                <w:rFonts w:ascii="Arial" w:hAnsi="Arial" w:cs="Arial"/>
                <w:color w:val="000000"/>
                <w:sz w:val="20"/>
                <w:szCs w:val="20"/>
              </w:rPr>
              <w:br/>
            </w:r>
            <w:r w:rsidRPr="00A1617D">
              <w:rPr>
                <w:rFonts w:ascii="Arial" w:hAnsi="Arial" w:cs="Arial"/>
                <w:color w:val="000000"/>
                <w:sz w:val="20"/>
                <w:szCs w:val="20"/>
                <w:shd w:val="clear" w:color="auto" w:fill="FFFFFF"/>
              </w:rPr>
              <w:t>Town: London</w:t>
            </w:r>
            <w:r w:rsidRPr="00A1617D">
              <w:rPr>
                <w:rFonts w:ascii="Arial" w:hAnsi="Arial" w:cs="Arial"/>
                <w:color w:val="000000"/>
                <w:sz w:val="20"/>
                <w:szCs w:val="20"/>
              </w:rPr>
              <w:br/>
            </w:r>
            <w:r w:rsidRPr="00A1617D">
              <w:rPr>
                <w:rFonts w:ascii="Arial" w:hAnsi="Arial" w:cs="Arial"/>
                <w:color w:val="000000"/>
                <w:sz w:val="20"/>
                <w:szCs w:val="20"/>
                <w:shd w:val="clear" w:color="auto" w:fill="FFFFFF"/>
              </w:rPr>
              <w:t>NUTS code: </w:t>
            </w:r>
            <w:r w:rsidRPr="00A1617D">
              <w:rPr>
                <w:rStyle w:val="nutscode"/>
                <w:rFonts w:ascii="Arial" w:hAnsi="Arial" w:cs="Arial"/>
                <w:color w:val="000000"/>
                <w:sz w:val="20"/>
                <w:szCs w:val="20"/>
                <w:shd w:val="clear" w:color="auto" w:fill="FFFFFF"/>
              </w:rPr>
              <w:t>UKI32 Westminster</w:t>
            </w:r>
            <w:r w:rsidRPr="00A1617D">
              <w:rPr>
                <w:rFonts w:ascii="Arial" w:hAnsi="Arial" w:cs="Arial"/>
                <w:color w:val="000000"/>
                <w:sz w:val="20"/>
                <w:szCs w:val="20"/>
              </w:rPr>
              <w:br/>
            </w:r>
            <w:r w:rsidR="00081B98">
              <w:rPr>
                <w:rFonts w:ascii="Arial" w:hAnsi="Arial" w:cs="Arial"/>
                <w:color w:val="000000"/>
                <w:sz w:val="20"/>
                <w:szCs w:val="20"/>
                <w:shd w:val="clear" w:color="auto" w:fill="FFFFFF"/>
              </w:rPr>
              <w:t xml:space="preserve">Postal </w:t>
            </w:r>
            <w:r w:rsidR="00081B98" w:rsidRPr="00A95F18">
              <w:rPr>
                <w:rFonts w:ascii="Arial" w:hAnsi="Arial" w:cs="Arial"/>
                <w:color w:val="000000"/>
                <w:sz w:val="20"/>
                <w:szCs w:val="20"/>
                <w:shd w:val="clear" w:color="auto" w:fill="FFFFFF"/>
              </w:rPr>
              <w:t>code: SW1P 3BT</w:t>
            </w:r>
            <w:r w:rsidRPr="00A95F18">
              <w:rPr>
                <w:rFonts w:ascii="Arial" w:hAnsi="Arial" w:cs="Arial"/>
                <w:color w:val="000000"/>
                <w:sz w:val="20"/>
                <w:szCs w:val="20"/>
              </w:rPr>
              <w:br/>
            </w:r>
            <w:r w:rsidRPr="00A95F18">
              <w:rPr>
                <w:rFonts w:ascii="Arial" w:hAnsi="Arial" w:cs="Arial"/>
                <w:color w:val="000000"/>
                <w:sz w:val="20"/>
                <w:szCs w:val="20"/>
                <w:shd w:val="clear" w:color="auto" w:fill="FFFFFF"/>
              </w:rPr>
              <w:t>Country: United Kingdom</w:t>
            </w:r>
            <w:r w:rsidRPr="00A95F18">
              <w:rPr>
                <w:rFonts w:ascii="Arial" w:hAnsi="Arial" w:cs="Arial"/>
                <w:color w:val="000000"/>
                <w:sz w:val="20"/>
                <w:szCs w:val="20"/>
              </w:rPr>
              <w:br/>
            </w:r>
            <w:r w:rsidRPr="00A95F18">
              <w:rPr>
                <w:rFonts w:ascii="Arial" w:hAnsi="Arial" w:cs="Arial"/>
                <w:color w:val="000000"/>
                <w:sz w:val="20"/>
                <w:szCs w:val="20"/>
                <w:shd w:val="clear" w:color="auto" w:fill="FFFFFF"/>
              </w:rPr>
              <w:t>E-mail: </w:t>
            </w:r>
            <w:hyperlink r:id="rId7" w:history="1">
              <w:r w:rsidR="00597E0D" w:rsidRPr="00A95F18">
                <w:rPr>
                  <w:rStyle w:val="Hyperlink"/>
                  <w:rFonts w:ascii="Arial" w:hAnsi="Arial" w:cs="Arial"/>
                  <w:sz w:val="20"/>
                  <w:szCs w:val="20"/>
                </w:rPr>
                <w:t>colin.seymour@cabinetoffice.gov.uk</w:t>
              </w:r>
            </w:hyperlink>
            <w:r w:rsidR="00597E0D">
              <w:t xml:space="preserve"> </w:t>
            </w:r>
          </w:p>
        </w:tc>
      </w:tr>
      <w:tr w:rsidR="00C64F53" w:rsidRPr="00C64F53" w14:paraId="102A7303" w14:textId="77777777" w:rsidTr="00A5408D">
        <w:tc>
          <w:tcPr>
            <w:tcW w:w="10093" w:type="dxa"/>
            <w:gridSpan w:val="2"/>
            <w:shd w:val="clear" w:color="auto" w:fill="BFBFBF" w:themeFill="background1" w:themeFillShade="BF"/>
          </w:tcPr>
          <w:p w14:paraId="102A7302" w14:textId="77777777" w:rsidR="00C64F53" w:rsidRPr="00A1617D" w:rsidRDefault="00C64F53" w:rsidP="00A5408D">
            <w:pPr>
              <w:keepLines/>
              <w:spacing w:after="0" w:line="240" w:lineRule="auto"/>
              <w:rPr>
                <w:rFonts w:ascii="Arial" w:hAnsi="Arial" w:cs="Arial"/>
                <w:sz w:val="20"/>
                <w:szCs w:val="20"/>
              </w:rPr>
            </w:pPr>
            <w:r w:rsidRPr="00A1617D">
              <w:rPr>
                <w:rFonts w:ascii="Arial" w:hAnsi="Arial" w:cs="Arial"/>
                <w:b/>
                <w:sz w:val="20"/>
                <w:szCs w:val="20"/>
              </w:rPr>
              <w:t>Section II: Object</w:t>
            </w:r>
          </w:p>
        </w:tc>
      </w:tr>
      <w:tr w:rsidR="003A2BD7" w:rsidRPr="00C64F53" w14:paraId="102A7306" w14:textId="77777777" w:rsidTr="00A5408D">
        <w:tc>
          <w:tcPr>
            <w:tcW w:w="3998" w:type="dxa"/>
            <w:shd w:val="clear" w:color="auto" w:fill="auto"/>
          </w:tcPr>
          <w:p w14:paraId="102A7304" w14:textId="77777777" w:rsidR="003A2BD7" w:rsidRPr="00C64F53" w:rsidRDefault="003A2BD7" w:rsidP="00A5408D">
            <w:pPr>
              <w:keepLines/>
              <w:spacing w:after="0" w:line="240" w:lineRule="auto"/>
              <w:rPr>
                <w:rFonts w:ascii="Arial" w:hAnsi="Arial" w:cs="Arial"/>
                <w:b/>
              </w:rPr>
            </w:pPr>
            <w:r w:rsidRPr="00C64F53">
              <w:rPr>
                <w:rFonts w:ascii="Arial" w:hAnsi="Arial" w:cs="Arial"/>
                <w:b/>
              </w:rPr>
              <w:t xml:space="preserve">II.1.1:  Title </w:t>
            </w:r>
          </w:p>
        </w:tc>
        <w:tc>
          <w:tcPr>
            <w:tcW w:w="6095" w:type="dxa"/>
            <w:shd w:val="clear" w:color="auto" w:fill="auto"/>
          </w:tcPr>
          <w:p w14:paraId="102A7305" w14:textId="38A2A789" w:rsidR="003A2BD7" w:rsidRPr="00A1617D" w:rsidRDefault="00081B98" w:rsidP="00A5408D">
            <w:pPr>
              <w:keepLines/>
              <w:spacing w:after="0" w:line="240" w:lineRule="auto"/>
              <w:rPr>
                <w:rFonts w:ascii="Arial" w:hAnsi="Arial" w:cs="Arial"/>
                <w:color w:val="000000"/>
                <w:sz w:val="20"/>
                <w:szCs w:val="20"/>
              </w:rPr>
            </w:pPr>
            <w:r>
              <w:rPr>
                <w:rFonts w:ascii="Arial" w:hAnsi="Arial" w:cs="Arial"/>
                <w:color w:val="000000"/>
                <w:sz w:val="20"/>
                <w:szCs w:val="20"/>
                <w:shd w:val="clear" w:color="auto" w:fill="FFFFFF"/>
              </w:rPr>
              <w:t>Contract for the Next Generation:30 Years P</w:t>
            </w:r>
            <w:r w:rsidRPr="00081B98">
              <w:rPr>
                <w:rFonts w:ascii="Arial" w:hAnsi="Arial" w:cs="Arial"/>
                <w:color w:val="000000"/>
                <w:sz w:val="20"/>
                <w:szCs w:val="20"/>
                <w:shd w:val="clear" w:color="auto" w:fill="FFFFFF"/>
              </w:rPr>
              <w:t>rojects</w:t>
            </w:r>
          </w:p>
        </w:tc>
      </w:tr>
      <w:tr w:rsidR="003A2BD7" w:rsidRPr="00C64F53" w14:paraId="102A7309" w14:textId="77777777" w:rsidTr="00A5408D">
        <w:tc>
          <w:tcPr>
            <w:tcW w:w="3998" w:type="dxa"/>
            <w:shd w:val="clear" w:color="auto" w:fill="auto"/>
          </w:tcPr>
          <w:p w14:paraId="102A7307" w14:textId="77777777" w:rsidR="003A2BD7" w:rsidRPr="00C64F53" w:rsidRDefault="003A2BD7" w:rsidP="00A5408D">
            <w:pPr>
              <w:keepLines/>
              <w:spacing w:after="0" w:line="240" w:lineRule="auto"/>
              <w:rPr>
                <w:rFonts w:ascii="Arial" w:hAnsi="Arial" w:cs="Arial"/>
                <w:b/>
              </w:rPr>
            </w:pPr>
            <w:r w:rsidRPr="00C64F53">
              <w:rPr>
                <w:rFonts w:ascii="Arial" w:hAnsi="Arial" w:cs="Arial"/>
                <w:b/>
              </w:rPr>
              <w:t>II.1.2: Main CPV code</w:t>
            </w:r>
          </w:p>
        </w:tc>
        <w:tc>
          <w:tcPr>
            <w:tcW w:w="6095" w:type="dxa"/>
            <w:shd w:val="clear" w:color="auto" w:fill="auto"/>
          </w:tcPr>
          <w:p w14:paraId="1C0A0FA8" w14:textId="3CECEA78" w:rsidR="003A2BD7" w:rsidRDefault="004A179A" w:rsidP="004A179A">
            <w:pPr>
              <w:keepLines/>
              <w:spacing w:after="0" w:line="240" w:lineRule="auto"/>
              <w:rPr>
                <w:rFonts w:ascii="Arial" w:hAnsi="Arial" w:cs="Arial"/>
                <w:color w:val="000000"/>
                <w:sz w:val="20"/>
                <w:szCs w:val="20"/>
                <w:shd w:val="clear" w:color="auto" w:fill="FFFFFF"/>
              </w:rPr>
            </w:pPr>
            <w:r w:rsidRPr="004A179A">
              <w:rPr>
                <w:rFonts w:ascii="Arial" w:hAnsi="Arial" w:cs="Arial"/>
                <w:color w:val="000000"/>
                <w:sz w:val="20"/>
                <w:szCs w:val="20"/>
                <w:shd w:val="clear" w:color="auto" w:fill="FFFFFF"/>
              </w:rPr>
              <w:t xml:space="preserve">Social research services </w:t>
            </w:r>
            <w:r w:rsidR="005B16B4">
              <w:rPr>
                <w:rFonts w:ascii="Arial" w:hAnsi="Arial" w:cs="Arial"/>
                <w:color w:val="000000"/>
                <w:sz w:val="20"/>
                <w:szCs w:val="20"/>
                <w:shd w:val="clear" w:color="auto" w:fill="FFFFFF"/>
              </w:rPr>
              <w:t>–</w:t>
            </w:r>
            <w:r w:rsidRPr="004A179A">
              <w:rPr>
                <w:rFonts w:ascii="Arial" w:hAnsi="Arial" w:cs="Arial"/>
                <w:color w:val="000000"/>
                <w:sz w:val="20"/>
                <w:szCs w:val="20"/>
                <w:shd w:val="clear" w:color="auto" w:fill="FFFFFF"/>
              </w:rPr>
              <w:t xml:space="preserve"> 79315000</w:t>
            </w:r>
          </w:p>
          <w:p w14:paraId="35D1119F" w14:textId="77777777" w:rsidR="005B16B4" w:rsidRDefault="005B16B4" w:rsidP="004A179A">
            <w:pPr>
              <w:keepLines/>
              <w:spacing w:after="0" w:line="240" w:lineRule="auto"/>
              <w:rPr>
                <w:rFonts w:ascii="Arial" w:hAnsi="Arial" w:cs="Arial"/>
                <w:color w:val="000000"/>
                <w:sz w:val="20"/>
                <w:szCs w:val="20"/>
                <w:shd w:val="clear" w:color="auto" w:fill="FFFFFF"/>
              </w:rPr>
            </w:pPr>
          </w:p>
          <w:p w14:paraId="102A7308" w14:textId="005AC337" w:rsidR="005B16B4" w:rsidRPr="003A0F44" w:rsidRDefault="005B16B4" w:rsidP="004A179A">
            <w:pPr>
              <w:keepLines/>
              <w:spacing w:after="0" w:line="240" w:lineRule="auto"/>
              <w:rPr>
                <w:rFonts w:ascii="Arial" w:hAnsi="Arial" w:cs="Arial"/>
                <w:sz w:val="20"/>
                <w:szCs w:val="20"/>
              </w:rPr>
            </w:pPr>
            <w:r>
              <w:rPr>
                <w:rFonts w:ascii="Arial" w:hAnsi="Arial" w:cs="Arial"/>
                <w:color w:val="000000"/>
                <w:sz w:val="20"/>
                <w:szCs w:val="20"/>
                <w:shd w:val="clear" w:color="auto" w:fill="FFFFFF"/>
              </w:rPr>
              <w:t xml:space="preserve">Supplementary CPV code: </w:t>
            </w:r>
            <w:r w:rsidRPr="005B16B4">
              <w:rPr>
                <w:rFonts w:ascii="Arial" w:hAnsi="Arial" w:cs="Arial"/>
                <w:color w:val="000000"/>
                <w:sz w:val="20"/>
                <w:szCs w:val="20"/>
                <w:shd w:val="clear" w:color="auto" w:fill="FFFFFF"/>
              </w:rPr>
              <w:t>RD07: In social sciences</w:t>
            </w:r>
          </w:p>
        </w:tc>
      </w:tr>
      <w:tr w:rsidR="003A2BD7" w:rsidRPr="00C64F53" w14:paraId="102A730C" w14:textId="77777777" w:rsidTr="00A5408D">
        <w:trPr>
          <w:trHeight w:val="270"/>
        </w:trPr>
        <w:tc>
          <w:tcPr>
            <w:tcW w:w="3998" w:type="dxa"/>
            <w:shd w:val="clear" w:color="auto" w:fill="auto"/>
          </w:tcPr>
          <w:p w14:paraId="102A730A" w14:textId="77777777" w:rsidR="003A2BD7" w:rsidRPr="00C64F53" w:rsidRDefault="003A2BD7" w:rsidP="00A5408D">
            <w:pPr>
              <w:keepLines/>
              <w:widowControl w:val="0"/>
              <w:spacing w:after="0" w:line="240" w:lineRule="auto"/>
              <w:rPr>
                <w:rFonts w:ascii="Arial" w:hAnsi="Arial" w:cs="Arial"/>
                <w:b/>
              </w:rPr>
            </w:pPr>
            <w:r w:rsidRPr="00C64F53">
              <w:rPr>
                <w:rFonts w:ascii="Arial" w:hAnsi="Arial" w:cs="Arial"/>
                <w:b/>
              </w:rPr>
              <w:t xml:space="preserve">II.1.3:  Type of contract </w:t>
            </w:r>
          </w:p>
        </w:tc>
        <w:tc>
          <w:tcPr>
            <w:tcW w:w="6095" w:type="dxa"/>
            <w:shd w:val="clear" w:color="auto" w:fill="auto"/>
          </w:tcPr>
          <w:p w14:paraId="102A730B" w14:textId="065EEFA7" w:rsidR="00C57868" w:rsidRPr="00A1617D" w:rsidRDefault="003536C7" w:rsidP="00A5408D">
            <w:pPr>
              <w:keepLines/>
              <w:spacing w:after="0" w:line="240" w:lineRule="auto"/>
              <w:rPr>
                <w:rFonts w:ascii="Arial" w:hAnsi="Arial" w:cs="Arial"/>
                <w:sz w:val="20"/>
                <w:szCs w:val="20"/>
              </w:rPr>
            </w:pPr>
            <w:r>
              <w:rPr>
                <w:rFonts w:ascii="Arial" w:hAnsi="Arial" w:cs="Arial"/>
                <w:sz w:val="20"/>
                <w:szCs w:val="20"/>
              </w:rPr>
              <w:t xml:space="preserve">Services </w:t>
            </w:r>
          </w:p>
        </w:tc>
      </w:tr>
      <w:tr w:rsidR="00A1617D" w:rsidRPr="00C64F53" w14:paraId="102A7312" w14:textId="77777777" w:rsidTr="00A5408D">
        <w:tc>
          <w:tcPr>
            <w:tcW w:w="3998" w:type="dxa"/>
            <w:shd w:val="clear" w:color="auto" w:fill="auto"/>
          </w:tcPr>
          <w:p w14:paraId="102A7310" w14:textId="77777777" w:rsidR="00A1617D" w:rsidRPr="00C64F53" w:rsidRDefault="00A1617D" w:rsidP="00A1617D">
            <w:pPr>
              <w:keepLines/>
              <w:spacing w:after="0" w:line="240" w:lineRule="auto"/>
              <w:rPr>
                <w:rFonts w:ascii="Arial" w:hAnsi="Arial" w:cs="Arial"/>
                <w:b/>
              </w:rPr>
            </w:pPr>
            <w:r w:rsidRPr="00C64F53">
              <w:rPr>
                <w:rFonts w:ascii="Arial" w:hAnsi="Arial" w:cs="Arial"/>
                <w:b/>
              </w:rPr>
              <w:t>II.2.2: Additional CPV codes</w:t>
            </w:r>
          </w:p>
        </w:tc>
        <w:tc>
          <w:tcPr>
            <w:tcW w:w="6095" w:type="dxa"/>
            <w:shd w:val="clear" w:color="auto" w:fill="auto"/>
          </w:tcPr>
          <w:p w14:paraId="2F18D3C1" w14:textId="0D55E5A4" w:rsidR="00A1617D" w:rsidRDefault="004A179A" w:rsidP="004A179A">
            <w:pPr>
              <w:keepLines/>
              <w:spacing w:after="0" w:line="240" w:lineRule="auto"/>
              <w:rPr>
                <w:rFonts w:ascii="Arial" w:hAnsi="Arial" w:cs="Arial"/>
                <w:sz w:val="20"/>
                <w:szCs w:val="20"/>
              </w:rPr>
            </w:pPr>
            <w:r w:rsidRPr="004A179A">
              <w:rPr>
                <w:rFonts w:ascii="Arial" w:hAnsi="Arial" w:cs="Arial"/>
                <w:sz w:val="20"/>
                <w:szCs w:val="20"/>
              </w:rPr>
              <w:t>73210000-7 Research consultancy services</w:t>
            </w:r>
          </w:p>
          <w:p w14:paraId="062E2356" w14:textId="13863279" w:rsidR="00185F7C" w:rsidRDefault="004A179A" w:rsidP="004A179A">
            <w:pPr>
              <w:keepLines/>
              <w:spacing w:after="0" w:line="240" w:lineRule="auto"/>
              <w:rPr>
                <w:rFonts w:ascii="Arial" w:hAnsi="Arial" w:cs="Arial"/>
                <w:sz w:val="20"/>
                <w:szCs w:val="20"/>
              </w:rPr>
            </w:pPr>
            <w:r w:rsidRPr="004A179A">
              <w:rPr>
                <w:rFonts w:ascii="Arial" w:hAnsi="Arial" w:cs="Arial"/>
                <w:sz w:val="20"/>
                <w:szCs w:val="20"/>
              </w:rPr>
              <w:t>98200000-5 Equal opportunities consultancy services</w:t>
            </w:r>
          </w:p>
          <w:p w14:paraId="1E4B0ECC" w14:textId="03B615CB" w:rsidR="00185F7C" w:rsidRDefault="00185F7C" w:rsidP="004A179A">
            <w:pPr>
              <w:keepLines/>
              <w:spacing w:after="0" w:line="240" w:lineRule="auto"/>
              <w:rPr>
                <w:rFonts w:ascii="Arial" w:hAnsi="Arial" w:cs="Arial"/>
                <w:sz w:val="20"/>
                <w:szCs w:val="20"/>
              </w:rPr>
            </w:pPr>
            <w:r w:rsidRPr="00185F7C">
              <w:rPr>
                <w:rFonts w:ascii="Arial" w:hAnsi="Arial" w:cs="Arial"/>
                <w:sz w:val="20"/>
                <w:szCs w:val="20"/>
              </w:rPr>
              <w:t>Research and development services and related consultancy services - 73000000</w:t>
            </w:r>
          </w:p>
          <w:p w14:paraId="102A7311" w14:textId="0811D4AE" w:rsidR="004A179A" w:rsidRPr="00A1617D" w:rsidRDefault="004A179A" w:rsidP="004A179A">
            <w:pPr>
              <w:keepLines/>
              <w:spacing w:after="0" w:line="240" w:lineRule="auto"/>
              <w:rPr>
                <w:rFonts w:ascii="Arial" w:hAnsi="Arial" w:cs="Arial"/>
                <w:sz w:val="20"/>
                <w:szCs w:val="20"/>
              </w:rPr>
            </w:pPr>
          </w:p>
        </w:tc>
      </w:tr>
      <w:tr w:rsidR="00A1617D" w:rsidRPr="00C64F53" w14:paraId="102A7315" w14:textId="77777777" w:rsidTr="00A5408D">
        <w:tc>
          <w:tcPr>
            <w:tcW w:w="3998" w:type="dxa"/>
            <w:shd w:val="clear" w:color="auto" w:fill="auto"/>
          </w:tcPr>
          <w:p w14:paraId="102A7313" w14:textId="77777777" w:rsidR="00A1617D" w:rsidRPr="00C64F53" w:rsidRDefault="00A1617D" w:rsidP="00A1617D">
            <w:pPr>
              <w:keepLines/>
              <w:spacing w:after="0" w:line="240" w:lineRule="auto"/>
              <w:rPr>
                <w:rFonts w:ascii="Arial" w:hAnsi="Arial" w:cs="Arial"/>
                <w:b/>
              </w:rPr>
            </w:pPr>
            <w:r w:rsidRPr="00C64F53">
              <w:rPr>
                <w:rFonts w:ascii="Arial" w:hAnsi="Arial" w:cs="Arial"/>
                <w:b/>
              </w:rPr>
              <w:t>II.2.3: Place of performance</w:t>
            </w:r>
          </w:p>
        </w:tc>
        <w:tc>
          <w:tcPr>
            <w:tcW w:w="6095" w:type="dxa"/>
            <w:shd w:val="clear" w:color="auto" w:fill="auto"/>
          </w:tcPr>
          <w:p w14:paraId="102A7314" w14:textId="6057F60B" w:rsidR="00A1617D" w:rsidRPr="00A1617D" w:rsidRDefault="00A1617D" w:rsidP="00A1617D">
            <w:pPr>
              <w:keepLines/>
              <w:spacing w:after="0" w:line="240" w:lineRule="auto"/>
              <w:rPr>
                <w:rFonts w:ascii="Arial" w:hAnsi="Arial" w:cs="Arial"/>
                <w:sz w:val="20"/>
                <w:szCs w:val="20"/>
              </w:rPr>
            </w:pPr>
            <w:r w:rsidRPr="00A1617D">
              <w:rPr>
                <w:rFonts w:ascii="Arial" w:hAnsi="Arial" w:cs="Arial"/>
                <w:sz w:val="20"/>
                <w:szCs w:val="20"/>
              </w:rPr>
              <w:t>UK</w:t>
            </w:r>
            <w:r w:rsidR="003A0F44">
              <w:rPr>
                <w:rFonts w:ascii="Arial" w:hAnsi="Arial" w:cs="Arial"/>
                <w:sz w:val="20"/>
                <w:szCs w:val="20"/>
              </w:rPr>
              <w:t xml:space="preserve"> wide </w:t>
            </w:r>
          </w:p>
        </w:tc>
      </w:tr>
      <w:tr w:rsidR="00A1617D" w:rsidRPr="00C64F53" w14:paraId="102A7318" w14:textId="77777777" w:rsidTr="00A5408D">
        <w:tc>
          <w:tcPr>
            <w:tcW w:w="3998" w:type="dxa"/>
            <w:shd w:val="clear" w:color="auto" w:fill="auto"/>
          </w:tcPr>
          <w:p w14:paraId="102A7316" w14:textId="77777777" w:rsidR="00A1617D" w:rsidRPr="00C64F53" w:rsidRDefault="00A1617D" w:rsidP="00A1617D">
            <w:pPr>
              <w:keepLines/>
              <w:spacing w:after="0" w:line="240" w:lineRule="auto"/>
              <w:rPr>
                <w:rFonts w:ascii="Arial" w:hAnsi="Arial" w:cs="Arial"/>
                <w:b/>
              </w:rPr>
            </w:pPr>
            <w:r w:rsidRPr="00C64F53">
              <w:rPr>
                <w:rFonts w:ascii="Arial" w:hAnsi="Arial" w:cs="Arial"/>
                <w:b/>
              </w:rPr>
              <w:t>II.2.4: Description of the procurement at the time of conclusion of the contract</w:t>
            </w:r>
          </w:p>
        </w:tc>
        <w:tc>
          <w:tcPr>
            <w:tcW w:w="6095" w:type="dxa"/>
            <w:shd w:val="clear" w:color="auto" w:fill="auto"/>
          </w:tcPr>
          <w:p w14:paraId="7184B7D1" w14:textId="0636367E" w:rsidR="00BE7FDC" w:rsidRDefault="00BE7FDC" w:rsidP="00BE7FDC">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At the time the contract was concluded (i.e. 20 January 2020), its </w:t>
            </w:r>
            <w:r w:rsidR="004747EF">
              <w:rPr>
                <w:rFonts w:ascii="Arial" w:hAnsi="Arial" w:cs="Arial"/>
                <w:color w:val="000000"/>
                <w:sz w:val="20"/>
                <w:szCs w:val="20"/>
                <w:shd w:val="clear" w:color="auto" w:fill="FFFFFF"/>
              </w:rPr>
              <w:t xml:space="preserve">estimated </w:t>
            </w:r>
            <w:r w:rsidR="00081B98">
              <w:rPr>
                <w:rFonts w:ascii="Arial" w:hAnsi="Arial" w:cs="Arial"/>
                <w:color w:val="000000"/>
                <w:sz w:val="20"/>
                <w:szCs w:val="20"/>
                <w:shd w:val="clear" w:color="auto" w:fill="FFFFFF"/>
              </w:rPr>
              <w:t xml:space="preserve">value </w:t>
            </w:r>
            <w:r w:rsidR="004747EF">
              <w:rPr>
                <w:rFonts w:ascii="Arial" w:hAnsi="Arial" w:cs="Arial"/>
                <w:color w:val="000000"/>
                <w:sz w:val="20"/>
                <w:szCs w:val="20"/>
                <w:shd w:val="clear" w:color="auto" w:fill="FFFFFF"/>
              </w:rPr>
              <w:t>fell</w:t>
            </w:r>
            <w:r w:rsidR="00081B98">
              <w:rPr>
                <w:rFonts w:ascii="Arial" w:hAnsi="Arial" w:cs="Arial"/>
                <w:color w:val="000000"/>
                <w:sz w:val="20"/>
                <w:szCs w:val="20"/>
                <w:shd w:val="clear" w:color="auto" w:fill="FFFFFF"/>
              </w:rPr>
              <w:t xml:space="preserve"> below the </w:t>
            </w:r>
            <w:r w:rsidR="004747EF">
              <w:rPr>
                <w:rFonts w:ascii="Arial" w:hAnsi="Arial" w:cs="Arial"/>
                <w:color w:val="000000"/>
                <w:sz w:val="20"/>
                <w:szCs w:val="20"/>
                <w:shd w:val="clear" w:color="auto" w:fill="FFFFFF"/>
              </w:rPr>
              <w:t xml:space="preserve">relevant </w:t>
            </w:r>
            <w:r w:rsidR="00081B98">
              <w:rPr>
                <w:rFonts w:ascii="Arial" w:hAnsi="Arial" w:cs="Arial"/>
                <w:color w:val="000000"/>
                <w:sz w:val="20"/>
                <w:szCs w:val="20"/>
                <w:shd w:val="clear" w:color="auto" w:fill="FFFFFF"/>
              </w:rPr>
              <w:t xml:space="preserve">threshold </w:t>
            </w:r>
            <w:r w:rsidR="00C6442F">
              <w:rPr>
                <w:rFonts w:ascii="Arial" w:hAnsi="Arial" w:cs="Arial"/>
                <w:color w:val="000000"/>
                <w:sz w:val="20"/>
                <w:szCs w:val="20"/>
                <w:shd w:val="clear" w:color="auto" w:fill="FFFFFF"/>
              </w:rPr>
              <w:t>stated in Regulation 5.1(b)</w:t>
            </w:r>
            <w:r>
              <w:rPr>
                <w:rFonts w:ascii="Arial" w:hAnsi="Arial" w:cs="Arial"/>
                <w:color w:val="000000"/>
                <w:sz w:val="20"/>
                <w:szCs w:val="20"/>
                <w:shd w:val="clear" w:color="auto" w:fill="FFFFFF"/>
              </w:rPr>
              <w:t xml:space="preserve"> of the</w:t>
            </w:r>
            <w:r w:rsidR="00C6442F">
              <w:rPr>
                <w:rFonts w:ascii="Arial" w:hAnsi="Arial" w:cs="Arial"/>
                <w:color w:val="000000"/>
                <w:sz w:val="20"/>
                <w:szCs w:val="20"/>
                <w:shd w:val="clear" w:color="auto" w:fill="FFFFFF"/>
              </w:rPr>
              <w:t xml:space="preserve"> Public Contract Regulations 2015 and as such</w:t>
            </w:r>
            <w:r>
              <w:rPr>
                <w:rFonts w:ascii="Arial" w:hAnsi="Arial" w:cs="Arial"/>
                <w:color w:val="000000"/>
                <w:sz w:val="20"/>
                <w:szCs w:val="20"/>
                <w:shd w:val="clear" w:color="auto" w:fill="FFFFFF"/>
              </w:rPr>
              <w:t xml:space="preserve">, </w:t>
            </w:r>
            <w:r w:rsidR="00C6442F">
              <w:rPr>
                <w:rFonts w:ascii="Arial" w:hAnsi="Arial" w:cs="Arial"/>
                <w:color w:val="000000"/>
                <w:sz w:val="20"/>
                <w:szCs w:val="20"/>
                <w:shd w:val="clear" w:color="auto" w:fill="FFFFFF"/>
              </w:rPr>
              <w:t xml:space="preserve">was </w:t>
            </w:r>
            <w:r>
              <w:rPr>
                <w:rFonts w:ascii="Arial" w:hAnsi="Arial" w:cs="Arial"/>
                <w:color w:val="000000"/>
                <w:sz w:val="20"/>
                <w:szCs w:val="20"/>
                <w:shd w:val="clear" w:color="auto" w:fill="FFFFFF"/>
              </w:rPr>
              <w:t xml:space="preserve">not advertised in the Official Journal of the European Union.  However, the opportunity was advertised in Contracts Finder on </w:t>
            </w:r>
            <w:r w:rsidRPr="00BE7FDC">
              <w:rPr>
                <w:rFonts w:ascii="Arial" w:hAnsi="Arial" w:cs="Arial"/>
                <w:color w:val="000000"/>
                <w:sz w:val="20"/>
                <w:szCs w:val="20"/>
                <w:shd w:val="clear" w:color="auto" w:fill="FFFFFF"/>
              </w:rPr>
              <w:t>28 October 2019</w:t>
            </w:r>
            <w:r>
              <w:rPr>
                <w:rFonts w:ascii="Arial" w:hAnsi="Arial" w:cs="Arial"/>
                <w:color w:val="000000"/>
                <w:sz w:val="20"/>
                <w:szCs w:val="20"/>
                <w:shd w:val="clear" w:color="auto" w:fill="FFFFFF"/>
              </w:rPr>
              <w:t xml:space="preserve"> and a description of the original contract can be found at </w:t>
            </w:r>
            <w:hyperlink r:id="rId8" w:history="1">
              <w:r w:rsidR="00716B93" w:rsidRPr="007B49E7">
                <w:rPr>
                  <w:rStyle w:val="Hyperlink"/>
                  <w:rFonts w:ascii="Arial" w:hAnsi="Arial" w:cs="Arial"/>
                  <w:sz w:val="20"/>
                  <w:szCs w:val="20"/>
                  <w:shd w:val="clear" w:color="auto" w:fill="FFFFFF"/>
                </w:rPr>
                <w:t>https://www.contractsfinder.service.gov.uk/notice/56582a9d-e819-4b88-a881-f61f450c2a25?origin=SearchResults&amp;p=1</w:t>
              </w:r>
            </w:hyperlink>
            <w:r w:rsidR="004747EF">
              <w:rPr>
                <w:rFonts w:ascii="Arial" w:hAnsi="Arial" w:cs="Arial"/>
                <w:color w:val="000000"/>
                <w:sz w:val="20"/>
                <w:szCs w:val="20"/>
                <w:shd w:val="clear" w:color="auto" w:fill="FFFFFF"/>
              </w:rPr>
              <w:t xml:space="preserve"> (</w:t>
            </w:r>
            <w:r w:rsidR="00FB6947">
              <w:rPr>
                <w:rFonts w:ascii="Arial" w:hAnsi="Arial" w:cs="Arial"/>
                <w:color w:val="000000"/>
                <w:sz w:val="20"/>
                <w:szCs w:val="20"/>
                <w:shd w:val="clear" w:color="auto" w:fill="FFFFFF"/>
              </w:rPr>
              <w:t>the “</w:t>
            </w:r>
            <w:r w:rsidR="004747EF" w:rsidRPr="004747EF">
              <w:rPr>
                <w:rFonts w:ascii="Arial" w:hAnsi="Arial" w:cs="Arial"/>
                <w:color w:val="000000"/>
                <w:sz w:val="20"/>
                <w:szCs w:val="20"/>
                <w:shd w:val="clear" w:color="auto" w:fill="FFFFFF"/>
              </w:rPr>
              <w:t>Contract</w:t>
            </w:r>
            <w:r w:rsidR="00FB6947">
              <w:rPr>
                <w:rFonts w:ascii="Arial" w:hAnsi="Arial" w:cs="Arial"/>
                <w:color w:val="000000"/>
                <w:sz w:val="20"/>
                <w:szCs w:val="20"/>
                <w:shd w:val="clear" w:color="auto" w:fill="FFFFFF"/>
              </w:rPr>
              <w:t>”</w:t>
            </w:r>
            <w:r w:rsidR="004747EF">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14:paraId="0FFBF2A2" w14:textId="083E38D6" w:rsidR="00716B93" w:rsidRDefault="00716B93" w:rsidP="00BE7FDC">
            <w:pPr>
              <w:keepLines/>
              <w:spacing w:after="0" w:line="240" w:lineRule="auto"/>
              <w:rPr>
                <w:rFonts w:ascii="Arial" w:hAnsi="Arial" w:cs="Arial"/>
                <w:color w:val="000000"/>
                <w:sz w:val="20"/>
                <w:szCs w:val="20"/>
                <w:shd w:val="clear" w:color="auto" w:fill="FFFFFF"/>
              </w:rPr>
            </w:pPr>
          </w:p>
          <w:p w14:paraId="6777FB1D" w14:textId="4AF0E985" w:rsidR="004747EF" w:rsidRDefault="004747EF" w:rsidP="004747EF">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Contract required the supplier (Nuffield College) to perform a number of </w:t>
            </w:r>
            <w:r w:rsidRPr="004747EF">
              <w:rPr>
                <w:rFonts w:ascii="Arial" w:hAnsi="Arial" w:cs="Arial"/>
                <w:color w:val="000000"/>
                <w:sz w:val="20"/>
                <w:szCs w:val="20"/>
                <w:shd w:val="clear" w:color="auto" w:fill="FFFFFF"/>
              </w:rPr>
              <w:t xml:space="preserve">tasks </w:t>
            </w:r>
            <w:r>
              <w:rPr>
                <w:rFonts w:ascii="Arial" w:hAnsi="Arial" w:cs="Arial"/>
                <w:color w:val="000000"/>
                <w:sz w:val="20"/>
                <w:szCs w:val="20"/>
                <w:shd w:val="clear" w:color="auto" w:fill="FFFFFF"/>
              </w:rPr>
              <w:t>(to be delivered in the form of ‘outputs’) for the benefit of the Social Mobility Commission (</w:t>
            </w:r>
            <w:r w:rsidR="00FB6947">
              <w:rPr>
                <w:rFonts w:ascii="Arial" w:hAnsi="Arial" w:cs="Arial"/>
                <w:color w:val="000000"/>
                <w:sz w:val="20"/>
                <w:szCs w:val="20"/>
                <w:shd w:val="clear" w:color="auto" w:fill="FFFFFF"/>
              </w:rPr>
              <w:t>“</w:t>
            </w:r>
            <w:r>
              <w:rPr>
                <w:rFonts w:ascii="Arial" w:hAnsi="Arial" w:cs="Arial"/>
                <w:color w:val="000000"/>
                <w:sz w:val="20"/>
                <w:szCs w:val="20"/>
                <w:shd w:val="clear" w:color="auto" w:fill="FFFFFF"/>
              </w:rPr>
              <w:t>SMC</w:t>
            </w:r>
            <w:r w:rsidR="00FB6947">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including: </w:t>
            </w:r>
          </w:p>
          <w:p w14:paraId="65E8BEB2" w14:textId="40CEFCCA" w:rsidR="004747EF" w:rsidRDefault="004747EF" w:rsidP="00A95F18">
            <w:pPr>
              <w:pStyle w:val="ListParagraph"/>
              <w:keepLines/>
              <w:numPr>
                <w:ilvl w:val="0"/>
                <w:numId w:val="6"/>
              </w:numPr>
              <w:spacing w:after="0" w:line="240" w:lineRule="auto"/>
              <w:rPr>
                <w:rFonts w:ascii="Arial" w:hAnsi="Arial" w:cs="Arial"/>
                <w:color w:val="000000"/>
                <w:sz w:val="20"/>
                <w:szCs w:val="20"/>
                <w:shd w:val="clear" w:color="auto" w:fill="FFFFFF"/>
              </w:rPr>
            </w:pPr>
            <w:r w:rsidRPr="00A95F18">
              <w:rPr>
                <w:rFonts w:ascii="Arial" w:hAnsi="Arial" w:cs="Arial"/>
                <w:color w:val="000000"/>
                <w:sz w:val="20"/>
                <w:szCs w:val="20"/>
                <w:shd w:val="clear" w:color="auto" w:fill="FFFFFF"/>
              </w:rPr>
              <w:t>a short report</w:t>
            </w:r>
            <w:r w:rsidRPr="004747EF">
              <w:rPr>
                <w:rFonts w:ascii="Arial" w:hAnsi="Arial" w:cs="Arial"/>
                <w:color w:val="000000"/>
                <w:sz w:val="20"/>
                <w:szCs w:val="20"/>
                <w:shd w:val="clear" w:color="auto" w:fill="FFFFFF"/>
              </w:rPr>
              <w:t xml:space="preserve"> detailing the literature on social mobility over the last 30 years and future trends, including key policy areas that affect social mobility</w:t>
            </w:r>
            <w:r>
              <w:rPr>
                <w:rFonts w:ascii="Arial" w:hAnsi="Arial" w:cs="Arial"/>
                <w:color w:val="000000"/>
                <w:sz w:val="20"/>
                <w:szCs w:val="20"/>
                <w:shd w:val="clear" w:color="auto" w:fill="FFFFFF"/>
              </w:rPr>
              <w:t>;</w:t>
            </w:r>
          </w:p>
          <w:p w14:paraId="5FA8D8D8" w14:textId="1F4B43FA" w:rsidR="004747EF" w:rsidRDefault="004747EF">
            <w:pPr>
              <w:pStyle w:val="ListParagraph"/>
              <w:keepLines/>
              <w:numPr>
                <w:ilvl w:val="0"/>
                <w:numId w:val="6"/>
              </w:num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s</w:t>
            </w:r>
            <w:r w:rsidRPr="004747EF">
              <w:rPr>
                <w:rFonts w:ascii="Arial" w:hAnsi="Arial" w:cs="Arial"/>
                <w:color w:val="000000"/>
                <w:sz w:val="20"/>
                <w:szCs w:val="20"/>
                <w:shd w:val="clear" w:color="auto" w:fill="FFFFFF"/>
              </w:rPr>
              <w:t xml:space="preserve">tatistical work on projections of </w:t>
            </w:r>
            <w:r>
              <w:rPr>
                <w:rFonts w:ascii="Arial" w:hAnsi="Arial" w:cs="Arial"/>
                <w:color w:val="000000"/>
                <w:sz w:val="20"/>
                <w:szCs w:val="20"/>
                <w:shd w:val="clear" w:color="auto" w:fill="FFFFFF"/>
              </w:rPr>
              <w:t>future trends and revise d</w:t>
            </w:r>
            <w:r w:rsidRPr="004747EF">
              <w:rPr>
                <w:rFonts w:ascii="Arial" w:hAnsi="Arial" w:cs="Arial"/>
                <w:color w:val="000000"/>
                <w:sz w:val="20"/>
                <w:szCs w:val="20"/>
                <w:shd w:val="clear" w:color="auto" w:fill="FFFFFF"/>
              </w:rPr>
              <w:t xml:space="preserve">raft </w:t>
            </w:r>
            <w:r>
              <w:rPr>
                <w:rFonts w:ascii="Arial" w:hAnsi="Arial" w:cs="Arial"/>
                <w:color w:val="000000"/>
                <w:sz w:val="20"/>
                <w:szCs w:val="20"/>
                <w:shd w:val="clear" w:color="auto" w:fill="FFFFFF"/>
              </w:rPr>
              <w:t>literature review as required;</w:t>
            </w:r>
          </w:p>
          <w:p w14:paraId="75DDC36C" w14:textId="1A3326F2" w:rsidR="004747EF" w:rsidRDefault="004747EF" w:rsidP="00A95F18">
            <w:pPr>
              <w:pStyle w:val="ListParagraph"/>
              <w:keepLines/>
              <w:numPr>
                <w:ilvl w:val="0"/>
                <w:numId w:val="6"/>
              </w:num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d</w:t>
            </w:r>
            <w:r w:rsidRPr="004747EF">
              <w:rPr>
                <w:rFonts w:ascii="Arial" w:hAnsi="Arial" w:cs="Arial"/>
                <w:color w:val="000000"/>
                <w:sz w:val="20"/>
                <w:szCs w:val="20"/>
                <w:shd w:val="clear" w:color="auto" w:fill="FFFFFF"/>
              </w:rPr>
              <w:t xml:space="preserve">evelopment </w:t>
            </w:r>
            <w:r>
              <w:rPr>
                <w:rFonts w:ascii="Arial" w:hAnsi="Arial" w:cs="Arial"/>
                <w:color w:val="000000"/>
                <w:sz w:val="20"/>
                <w:szCs w:val="20"/>
                <w:shd w:val="clear" w:color="auto" w:fill="FFFFFF"/>
              </w:rPr>
              <w:t>of theory of change and accompanying visuals;</w:t>
            </w:r>
          </w:p>
          <w:p w14:paraId="507DADF7" w14:textId="3D65816C" w:rsidR="004747EF" w:rsidRDefault="004747EF" w:rsidP="00A95F18">
            <w:pPr>
              <w:pStyle w:val="ListParagraph"/>
              <w:keepLines/>
              <w:numPr>
                <w:ilvl w:val="0"/>
                <w:numId w:val="6"/>
              </w:num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p</w:t>
            </w:r>
            <w:r w:rsidRPr="004747EF">
              <w:rPr>
                <w:rFonts w:ascii="Arial" w:hAnsi="Arial" w:cs="Arial"/>
                <w:color w:val="000000"/>
                <w:sz w:val="20"/>
                <w:szCs w:val="20"/>
                <w:shd w:val="clear" w:color="auto" w:fill="FFFFFF"/>
              </w:rPr>
              <w:t>repar</w:t>
            </w:r>
            <w:r>
              <w:rPr>
                <w:rFonts w:ascii="Arial" w:hAnsi="Arial" w:cs="Arial"/>
                <w:color w:val="000000"/>
                <w:sz w:val="20"/>
                <w:szCs w:val="20"/>
                <w:shd w:val="clear" w:color="auto" w:fill="FFFFFF"/>
              </w:rPr>
              <w:t>e/provide</w:t>
            </w:r>
            <w:r w:rsidRPr="004747EF">
              <w:rPr>
                <w:rFonts w:ascii="Arial" w:hAnsi="Arial" w:cs="Arial"/>
                <w:color w:val="000000"/>
                <w:sz w:val="20"/>
                <w:szCs w:val="20"/>
                <w:shd w:val="clear" w:color="auto" w:fill="FFFFFF"/>
              </w:rPr>
              <w:t xml:space="preserve"> four workshops</w:t>
            </w:r>
            <w:r>
              <w:rPr>
                <w:rFonts w:ascii="Arial" w:hAnsi="Arial" w:cs="Arial"/>
                <w:color w:val="000000"/>
                <w:sz w:val="20"/>
                <w:szCs w:val="20"/>
                <w:shd w:val="clear" w:color="auto" w:fill="FFFFFF"/>
              </w:rPr>
              <w:t>/</w:t>
            </w:r>
            <w:r w:rsidRPr="004747EF">
              <w:rPr>
                <w:rFonts w:ascii="Arial" w:hAnsi="Arial" w:cs="Arial"/>
                <w:color w:val="000000"/>
                <w:sz w:val="20"/>
                <w:szCs w:val="20"/>
                <w:shd w:val="clear" w:color="auto" w:fill="FFFFFF"/>
              </w:rPr>
              <w:t>webinars with academics, practitioners/stakeholders, policymakers and ‘wash-up’</w:t>
            </w:r>
            <w:r>
              <w:rPr>
                <w:rFonts w:ascii="Arial" w:hAnsi="Arial" w:cs="Arial"/>
                <w:color w:val="000000"/>
                <w:sz w:val="20"/>
                <w:szCs w:val="20"/>
                <w:shd w:val="clear" w:color="auto" w:fill="FFFFFF"/>
              </w:rPr>
              <w:t>;</w:t>
            </w:r>
          </w:p>
          <w:p w14:paraId="27D6F750" w14:textId="4CF0E87A" w:rsidR="004747EF" w:rsidRDefault="004747EF" w:rsidP="00A95F18">
            <w:pPr>
              <w:pStyle w:val="ListParagraph"/>
              <w:keepLines/>
              <w:numPr>
                <w:ilvl w:val="0"/>
                <w:numId w:val="6"/>
              </w:num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s</w:t>
            </w:r>
            <w:r w:rsidRPr="004747EF">
              <w:rPr>
                <w:rFonts w:ascii="Arial" w:hAnsi="Arial" w:cs="Arial"/>
                <w:color w:val="000000"/>
                <w:sz w:val="20"/>
                <w:szCs w:val="20"/>
                <w:shd w:val="clear" w:color="auto" w:fill="FFFFFF"/>
              </w:rPr>
              <w:t>tatistical analysis to provide a longitudinal assessment of</w:t>
            </w:r>
            <w:r>
              <w:rPr>
                <w:rFonts w:ascii="Arial" w:hAnsi="Arial" w:cs="Arial"/>
                <w:color w:val="000000"/>
                <w:sz w:val="20"/>
                <w:szCs w:val="20"/>
                <w:shd w:val="clear" w:color="auto" w:fill="FFFFFF"/>
              </w:rPr>
              <w:t xml:space="preserve"> </w:t>
            </w:r>
            <w:r w:rsidRPr="004747EF">
              <w:rPr>
                <w:rFonts w:ascii="Arial" w:hAnsi="Arial" w:cs="Arial"/>
                <w:color w:val="000000"/>
                <w:sz w:val="20"/>
                <w:szCs w:val="20"/>
                <w:shd w:val="clear" w:color="auto" w:fill="FFFFFF"/>
              </w:rPr>
              <w:t>annual and interim measures o</w:t>
            </w:r>
            <w:r>
              <w:rPr>
                <w:rFonts w:ascii="Arial" w:hAnsi="Arial" w:cs="Arial"/>
                <w:color w:val="000000"/>
                <w:sz w:val="20"/>
                <w:szCs w:val="20"/>
                <w:shd w:val="clear" w:color="auto" w:fill="FFFFFF"/>
              </w:rPr>
              <w:t>ver the last 10-20 years;</w:t>
            </w:r>
          </w:p>
          <w:p w14:paraId="4019BBD2" w14:textId="32CD7AA2" w:rsidR="004747EF" w:rsidRDefault="004747EF" w:rsidP="00A95F18">
            <w:pPr>
              <w:pStyle w:val="ListParagraph"/>
              <w:keepLines/>
              <w:numPr>
                <w:ilvl w:val="0"/>
                <w:numId w:val="6"/>
              </w:num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d</w:t>
            </w:r>
            <w:r w:rsidRPr="004747EF">
              <w:rPr>
                <w:rFonts w:ascii="Arial" w:hAnsi="Arial" w:cs="Arial"/>
                <w:color w:val="000000"/>
                <w:sz w:val="20"/>
                <w:szCs w:val="20"/>
                <w:shd w:val="clear" w:color="auto" w:fill="FFFFFF"/>
              </w:rPr>
              <w:t>evelop additional long</w:t>
            </w:r>
            <w:r>
              <w:rPr>
                <w:rFonts w:ascii="Arial" w:hAnsi="Arial" w:cs="Arial"/>
                <w:color w:val="000000"/>
                <w:sz w:val="20"/>
                <w:szCs w:val="20"/>
                <w:shd w:val="clear" w:color="auto" w:fill="FFFFFF"/>
              </w:rPr>
              <w:t>-</w:t>
            </w:r>
            <w:r w:rsidRPr="004747EF">
              <w:rPr>
                <w:rFonts w:ascii="Arial" w:hAnsi="Arial" w:cs="Arial"/>
                <w:color w:val="000000"/>
                <w:sz w:val="20"/>
                <w:szCs w:val="20"/>
                <w:shd w:val="clear" w:color="auto" w:fill="FFFFFF"/>
              </w:rPr>
              <w:t xml:space="preserve">term metrics, subject to the findings of the longitudinal </w:t>
            </w:r>
            <w:r>
              <w:rPr>
                <w:rFonts w:ascii="Arial" w:hAnsi="Arial" w:cs="Arial"/>
                <w:color w:val="000000"/>
                <w:sz w:val="20"/>
                <w:szCs w:val="20"/>
                <w:shd w:val="clear" w:color="auto" w:fill="FFFFFF"/>
              </w:rPr>
              <w:t>assessment;</w:t>
            </w:r>
          </w:p>
          <w:p w14:paraId="228E41DB" w14:textId="1EEC8FF5" w:rsidR="004747EF" w:rsidRDefault="004747EF">
            <w:pPr>
              <w:pStyle w:val="ListParagraph"/>
              <w:keepLines/>
              <w:numPr>
                <w:ilvl w:val="0"/>
                <w:numId w:val="6"/>
              </w:num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p</w:t>
            </w:r>
            <w:r w:rsidRPr="004747EF">
              <w:rPr>
                <w:rFonts w:ascii="Arial" w:hAnsi="Arial" w:cs="Arial"/>
                <w:color w:val="000000"/>
                <w:sz w:val="20"/>
                <w:szCs w:val="20"/>
                <w:shd w:val="clear" w:color="auto" w:fill="FFFFFF"/>
              </w:rPr>
              <w:t>repar</w:t>
            </w:r>
            <w:r>
              <w:rPr>
                <w:rFonts w:ascii="Arial" w:hAnsi="Arial" w:cs="Arial"/>
                <w:color w:val="000000"/>
                <w:sz w:val="20"/>
                <w:szCs w:val="20"/>
                <w:shd w:val="clear" w:color="auto" w:fill="FFFFFF"/>
              </w:rPr>
              <w:t>e</w:t>
            </w:r>
            <w:r w:rsidRPr="004747EF">
              <w:rPr>
                <w:rFonts w:ascii="Arial" w:hAnsi="Arial" w:cs="Arial"/>
                <w:color w:val="000000"/>
                <w:sz w:val="20"/>
                <w:szCs w:val="20"/>
                <w:shd w:val="clear" w:color="auto" w:fill="FFFFFF"/>
              </w:rPr>
              <w:t xml:space="preserve">, in collaboration with SMC staff, a short report detailing the long-term vision of </w:t>
            </w:r>
            <w:r>
              <w:rPr>
                <w:rFonts w:ascii="Arial" w:hAnsi="Arial" w:cs="Arial"/>
                <w:color w:val="000000"/>
                <w:sz w:val="20"/>
                <w:szCs w:val="20"/>
                <w:shd w:val="clear" w:color="auto" w:fill="FFFFFF"/>
              </w:rPr>
              <w:t>the SMC;</w:t>
            </w:r>
            <w:r w:rsidRPr="004747EF">
              <w:rPr>
                <w:rFonts w:ascii="Arial" w:hAnsi="Arial" w:cs="Arial"/>
                <w:color w:val="000000"/>
                <w:sz w:val="20"/>
                <w:szCs w:val="20"/>
                <w:shd w:val="clear" w:color="auto" w:fill="FFFFFF"/>
              </w:rPr>
              <w:t xml:space="preserve"> </w:t>
            </w:r>
          </w:p>
          <w:p w14:paraId="15766FC3" w14:textId="2038CEA9" w:rsidR="004747EF" w:rsidRDefault="004747EF" w:rsidP="00A95F18">
            <w:pPr>
              <w:pStyle w:val="ListParagraph"/>
              <w:keepLines/>
              <w:numPr>
                <w:ilvl w:val="0"/>
                <w:numId w:val="6"/>
              </w:num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prepare a</w:t>
            </w:r>
            <w:r w:rsidRPr="004747EF">
              <w:rPr>
                <w:rFonts w:ascii="Arial" w:hAnsi="Arial" w:cs="Arial"/>
                <w:color w:val="000000"/>
                <w:sz w:val="20"/>
                <w:szCs w:val="20"/>
                <w:shd w:val="clear" w:color="auto" w:fill="FFFFFF"/>
              </w:rPr>
              <w:t xml:space="preserve"> final report, including the literature review, theory of change, and new metrics for the measurement framework, a concise and newsworthy summary of findings, plus the full details of the methodology, data and analysis</w:t>
            </w:r>
            <w:r>
              <w:rPr>
                <w:rFonts w:ascii="Arial" w:hAnsi="Arial" w:cs="Arial"/>
                <w:color w:val="000000"/>
                <w:sz w:val="20"/>
                <w:szCs w:val="20"/>
                <w:shd w:val="clear" w:color="auto" w:fill="FFFFFF"/>
              </w:rPr>
              <w:t>.</w:t>
            </w:r>
          </w:p>
          <w:p w14:paraId="77435678" w14:textId="5C74AD68" w:rsidR="004747EF" w:rsidRDefault="004747EF">
            <w:pPr>
              <w:keepLines/>
              <w:spacing w:after="0" w:line="240" w:lineRule="auto"/>
              <w:rPr>
                <w:rFonts w:ascii="Arial" w:hAnsi="Arial" w:cs="Arial"/>
                <w:color w:val="000000"/>
                <w:sz w:val="20"/>
                <w:szCs w:val="20"/>
                <w:shd w:val="clear" w:color="auto" w:fill="FFFFFF"/>
              </w:rPr>
            </w:pPr>
          </w:p>
          <w:p w14:paraId="77457162" w14:textId="777DD199" w:rsidR="00BE7FDC" w:rsidRDefault="00716B93" w:rsidP="00BE7FDC">
            <w:pPr>
              <w:keepLines/>
              <w:spacing w:after="0" w:line="240" w:lineRule="auto"/>
              <w:rPr>
                <w:rFonts w:ascii="Arial" w:hAnsi="Arial" w:cs="Arial"/>
                <w:color w:val="000000"/>
                <w:sz w:val="20"/>
                <w:szCs w:val="20"/>
              </w:rPr>
            </w:pPr>
            <w:r>
              <w:rPr>
                <w:rFonts w:ascii="Arial" w:hAnsi="Arial" w:cs="Arial"/>
                <w:color w:val="000000"/>
                <w:sz w:val="20"/>
                <w:szCs w:val="20"/>
                <w:shd w:val="clear" w:color="auto" w:fill="FFFFFF"/>
              </w:rPr>
              <w:lastRenderedPageBreak/>
              <w:t>The contract w</w:t>
            </w:r>
            <w:r w:rsidR="001E2936">
              <w:rPr>
                <w:rFonts w:ascii="Arial" w:hAnsi="Arial" w:cs="Arial"/>
                <w:color w:val="000000"/>
                <w:sz w:val="20"/>
                <w:szCs w:val="20"/>
                <w:shd w:val="clear" w:color="auto" w:fill="FFFFFF"/>
              </w:rPr>
              <w:t>as originally intended to expire</w:t>
            </w:r>
            <w:r>
              <w:rPr>
                <w:rFonts w:ascii="Arial" w:hAnsi="Arial" w:cs="Arial"/>
                <w:color w:val="000000"/>
                <w:sz w:val="20"/>
                <w:szCs w:val="20"/>
                <w:shd w:val="clear" w:color="auto" w:fill="FFFFFF"/>
              </w:rPr>
              <w:t xml:space="preserve"> on 31 January 2021, </w:t>
            </w:r>
            <w:r w:rsidR="001E2936">
              <w:rPr>
                <w:rFonts w:ascii="Arial" w:hAnsi="Arial" w:cs="Arial"/>
                <w:color w:val="000000"/>
                <w:sz w:val="20"/>
                <w:szCs w:val="20"/>
                <w:shd w:val="clear" w:color="auto" w:fill="FFFFFF"/>
              </w:rPr>
              <w:t xml:space="preserve">unless the SMC exercised an </w:t>
            </w:r>
            <w:r>
              <w:rPr>
                <w:rFonts w:ascii="Arial" w:hAnsi="Arial" w:cs="Arial"/>
                <w:color w:val="000000"/>
                <w:sz w:val="20"/>
                <w:szCs w:val="20"/>
                <w:shd w:val="clear" w:color="auto" w:fill="FFFFFF"/>
              </w:rPr>
              <w:t>option to extend the contract for a further two months subject to satisfactory performance</w:t>
            </w:r>
            <w:r w:rsidR="001E2936">
              <w:rPr>
                <w:rFonts w:ascii="Arial" w:hAnsi="Arial" w:cs="Arial"/>
                <w:color w:val="000000"/>
                <w:sz w:val="20"/>
                <w:szCs w:val="20"/>
                <w:shd w:val="clear" w:color="auto" w:fill="FFFFFF"/>
              </w:rPr>
              <w:t xml:space="preserve"> (which the SMC subsequently exercised)</w:t>
            </w:r>
            <w:r>
              <w:rPr>
                <w:rFonts w:ascii="Arial" w:hAnsi="Arial" w:cs="Arial"/>
                <w:color w:val="000000"/>
                <w:sz w:val="20"/>
                <w:szCs w:val="20"/>
                <w:shd w:val="clear" w:color="auto" w:fill="FFFFFF"/>
              </w:rPr>
              <w:t xml:space="preserve">.  The contract was further extended on 25 March 2021 for a further 7 months to provide additional </w:t>
            </w:r>
            <w:r w:rsidRPr="00716B93">
              <w:rPr>
                <w:rFonts w:ascii="Arial" w:hAnsi="Arial" w:cs="Arial"/>
                <w:color w:val="000000"/>
                <w:sz w:val="20"/>
                <w:szCs w:val="20"/>
                <w:shd w:val="clear" w:color="auto" w:fill="FFFFFF"/>
              </w:rPr>
              <w:t xml:space="preserve">time to complete </w:t>
            </w:r>
            <w:r>
              <w:rPr>
                <w:rFonts w:ascii="Arial" w:hAnsi="Arial" w:cs="Arial"/>
                <w:color w:val="000000"/>
                <w:sz w:val="20"/>
                <w:szCs w:val="20"/>
                <w:shd w:val="clear" w:color="auto" w:fill="FFFFFF"/>
              </w:rPr>
              <w:t xml:space="preserve">‘output 8’ (i.e. </w:t>
            </w:r>
            <w:r w:rsidRPr="00716B93">
              <w:rPr>
                <w:rFonts w:ascii="Arial" w:hAnsi="Arial" w:cs="Arial"/>
                <w:color w:val="000000"/>
                <w:sz w:val="20"/>
                <w:szCs w:val="20"/>
                <w:shd w:val="clear" w:color="auto" w:fill="FFFFFF"/>
              </w:rPr>
              <w:t xml:space="preserve">the </w:t>
            </w:r>
            <w:r>
              <w:rPr>
                <w:rFonts w:ascii="Arial" w:hAnsi="Arial" w:cs="Arial"/>
                <w:color w:val="000000"/>
                <w:sz w:val="20"/>
                <w:szCs w:val="20"/>
                <w:shd w:val="clear" w:color="auto" w:fill="FFFFFF"/>
              </w:rPr>
              <w:t>preparation of the final report).</w:t>
            </w:r>
          </w:p>
          <w:p w14:paraId="102A7317" w14:textId="04A98AFB" w:rsidR="00BE7FDC" w:rsidRPr="00344FFD" w:rsidRDefault="00BE7FDC" w:rsidP="004E21FD">
            <w:pPr>
              <w:keepLines/>
              <w:spacing w:after="0" w:line="240" w:lineRule="auto"/>
              <w:rPr>
                <w:rFonts w:ascii="Arial" w:hAnsi="Arial" w:cs="Arial"/>
                <w:color w:val="000000"/>
                <w:sz w:val="20"/>
                <w:szCs w:val="20"/>
              </w:rPr>
            </w:pPr>
          </w:p>
        </w:tc>
      </w:tr>
      <w:tr w:rsidR="00A1617D" w:rsidRPr="00C64F53" w14:paraId="102A731B" w14:textId="77777777" w:rsidTr="00A5408D">
        <w:tc>
          <w:tcPr>
            <w:tcW w:w="3998" w:type="dxa"/>
            <w:shd w:val="clear" w:color="auto" w:fill="auto"/>
          </w:tcPr>
          <w:p w14:paraId="102A7319" w14:textId="77777777" w:rsidR="00A1617D" w:rsidRPr="00C64F53" w:rsidRDefault="00A1617D" w:rsidP="00A1617D">
            <w:pPr>
              <w:keepLines/>
              <w:spacing w:after="0" w:line="240" w:lineRule="auto"/>
              <w:rPr>
                <w:rFonts w:ascii="Arial" w:hAnsi="Arial" w:cs="Arial"/>
                <w:b/>
              </w:rPr>
            </w:pPr>
            <w:r w:rsidRPr="00C64F53">
              <w:rPr>
                <w:rFonts w:ascii="Arial" w:hAnsi="Arial" w:cs="Arial"/>
                <w:b/>
              </w:rPr>
              <w:lastRenderedPageBreak/>
              <w:t>II.2.7: Duration of the contract, framework agreement, dynamic purchasing system or concession</w:t>
            </w:r>
          </w:p>
        </w:tc>
        <w:tc>
          <w:tcPr>
            <w:tcW w:w="6095" w:type="dxa"/>
            <w:shd w:val="clear" w:color="auto" w:fill="auto"/>
          </w:tcPr>
          <w:p w14:paraId="1DD04986" w14:textId="3387170C" w:rsidR="003963CD" w:rsidRDefault="00BF1030" w:rsidP="00A1617D">
            <w:pPr>
              <w:keepLines/>
              <w:spacing w:after="0" w:line="240" w:lineRule="auto"/>
              <w:rPr>
                <w:rFonts w:ascii="Arial" w:hAnsi="Arial" w:cs="Arial"/>
                <w:color w:val="000000"/>
                <w:sz w:val="20"/>
                <w:szCs w:val="20"/>
              </w:rPr>
            </w:pPr>
            <w:r w:rsidRPr="00344FFD">
              <w:rPr>
                <w:rFonts w:ascii="Arial" w:hAnsi="Arial" w:cs="Arial"/>
                <w:color w:val="000000"/>
                <w:sz w:val="20"/>
                <w:szCs w:val="20"/>
              </w:rPr>
              <w:t>12</w:t>
            </w:r>
            <w:r w:rsidR="003963CD" w:rsidRPr="00344FFD">
              <w:rPr>
                <w:rFonts w:ascii="Arial" w:hAnsi="Arial" w:cs="Arial"/>
                <w:color w:val="000000"/>
                <w:sz w:val="20"/>
                <w:szCs w:val="20"/>
              </w:rPr>
              <w:t xml:space="preserve"> months</w:t>
            </w:r>
            <w:r w:rsidR="003963CD">
              <w:rPr>
                <w:rFonts w:ascii="Arial" w:hAnsi="Arial" w:cs="Arial"/>
                <w:color w:val="000000"/>
                <w:sz w:val="20"/>
                <w:szCs w:val="20"/>
              </w:rPr>
              <w:t xml:space="preserve"> </w:t>
            </w:r>
            <w:r w:rsidR="0024411C">
              <w:rPr>
                <w:rFonts w:ascii="Arial" w:hAnsi="Arial" w:cs="Arial"/>
                <w:color w:val="000000"/>
                <w:sz w:val="20"/>
                <w:szCs w:val="20"/>
              </w:rPr>
              <w:t xml:space="preserve">originally, was subsequently extended by an additional 7 months </w:t>
            </w:r>
          </w:p>
          <w:p w14:paraId="102A731A" w14:textId="5BCB26C5" w:rsidR="003F4C8A" w:rsidRPr="00A1617D" w:rsidRDefault="003F4C8A" w:rsidP="00A1617D">
            <w:pPr>
              <w:keepLines/>
              <w:spacing w:after="0" w:line="240" w:lineRule="auto"/>
              <w:rPr>
                <w:rFonts w:ascii="Arial" w:hAnsi="Arial" w:cs="Arial"/>
                <w:i/>
                <w:sz w:val="20"/>
                <w:szCs w:val="20"/>
              </w:rPr>
            </w:pPr>
          </w:p>
        </w:tc>
      </w:tr>
      <w:tr w:rsidR="00A1617D" w:rsidRPr="00C64F53" w14:paraId="102A731E" w14:textId="77777777" w:rsidTr="00A5408D">
        <w:tc>
          <w:tcPr>
            <w:tcW w:w="3998" w:type="dxa"/>
            <w:shd w:val="clear" w:color="auto" w:fill="auto"/>
          </w:tcPr>
          <w:p w14:paraId="102A731C" w14:textId="77777777" w:rsidR="00A1617D" w:rsidRPr="00C64F53" w:rsidRDefault="00A1617D" w:rsidP="00A1617D">
            <w:pPr>
              <w:keepLines/>
              <w:spacing w:after="0" w:line="240" w:lineRule="auto"/>
              <w:rPr>
                <w:rFonts w:ascii="Arial" w:hAnsi="Arial" w:cs="Arial"/>
                <w:b/>
              </w:rPr>
            </w:pPr>
            <w:r w:rsidRPr="00C64F53">
              <w:rPr>
                <w:rFonts w:ascii="Arial" w:hAnsi="Arial" w:cs="Arial"/>
                <w:b/>
              </w:rPr>
              <w:t>II.2.13: Information about European union Funds</w:t>
            </w:r>
          </w:p>
        </w:tc>
        <w:tc>
          <w:tcPr>
            <w:tcW w:w="6095" w:type="dxa"/>
            <w:shd w:val="clear" w:color="auto" w:fill="auto"/>
          </w:tcPr>
          <w:p w14:paraId="102A731D" w14:textId="36E7E881" w:rsidR="00A1617D" w:rsidRPr="00A1617D" w:rsidRDefault="00C6442F" w:rsidP="003F4C8A">
            <w:pPr>
              <w:jc w:val="both"/>
              <w:rPr>
                <w:rFonts w:ascii="Arial" w:hAnsi="Arial" w:cs="Arial"/>
                <w:sz w:val="20"/>
                <w:szCs w:val="20"/>
              </w:rPr>
            </w:pPr>
            <w:r>
              <w:rPr>
                <w:rFonts w:ascii="Arial" w:hAnsi="Arial" w:cs="Arial"/>
                <w:sz w:val="20"/>
                <w:szCs w:val="20"/>
              </w:rPr>
              <w:t>N/A</w:t>
            </w:r>
            <w:r w:rsidR="00417F92">
              <w:rPr>
                <w:rFonts w:ascii="Arial" w:hAnsi="Arial" w:cs="Arial"/>
                <w:sz w:val="20"/>
                <w:szCs w:val="20"/>
              </w:rPr>
              <w:t xml:space="preserve"> </w:t>
            </w:r>
          </w:p>
        </w:tc>
      </w:tr>
      <w:tr w:rsidR="00A1617D" w:rsidRPr="00C64F53" w14:paraId="102A7320" w14:textId="77777777" w:rsidTr="00A5408D">
        <w:tc>
          <w:tcPr>
            <w:tcW w:w="10093" w:type="dxa"/>
            <w:gridSpan w:val="2"/>
            <w:shd w:val="clear" w:color="auto" w:fill="BFBFBF" w:themeFill="background1" w:themeFillShade="BF"/>
          </w:tcPr>
          <w:p w14:paraId="102A731F" w14:textId="77777777" w:rsidR="00A1617D" w:rsidRPr="00A1617D" w:rsidRDefault="00A1617D" w:rsidP="00A1617D">
            <w:pPr>
              <w:keepLines/>
              <w:spacing w:after="0" w:line="240" w:lineRule="auto"/>
              <w:jc w:val="both"/>
              <w:rPr>
                <w:rFonts w:ascii="Arial" w:hAnsi="Arial" w:cs="Arial"/>
                <w:bCs/>
                <w:sz w:val="20"/>
                <w:szCs w:val="20"/>
              </w:rPr>
            </w:pPr>
            <w:r w:rsidRPr="00A1617D">
              <w:rPr>
                <w:rFonts w:ascii="Arial" w:hAnsi="Arial" w:cs="Arial"/>
                <w:b/>
                <w:sz w:val="20"/>
                <w:szCs w:val="20"/>
              </w:rPr>
              <w:t>Section IV: Procedure</w:t>
            </w:r>
          </w:p>
        </w:tc>
      </w:tr>
      <w:tr w:rsidR="00A1617D" w:rsidRPr="00185F7C" w14:paraId="102A7323" w14:textId="77777777" w:rsidTr="00A5408D">
        <w:tc>
          <w:tcPr>
            <w:tcW w:w="3998" w:type="dxa"/>
            <w:shd w:val="clear" w:color="auto" w:fill="auto"/>
          </w:tcPr>
          <w:p w14:paraId="102A7321" w14:textId="77777777" w:rsidR="00A1617D" w:rsidRPr="00C64F53" w:rsidRDefault="00A1617D" w:rsidP="00A1617D">
            <w:pPr>
              <w:keepLines/>
              <w:spacing w:after="0" w:line="240" w:lineRule="auto"/>
              <w:rPr>
                <w:rFonts w:ascii="Arial" w:hAnsi="Arial" w:cs="Arial"/>
                <w:b/>
              </w:rPr>
            </w:pPr>
            <w:r w:rsidRPr="00C64F53">
              <w:rPr>
                <w:rFonts w:ascii="Arial" w:hAnsi="Arial" w:cs="Arial"/>
                <w:b/>
              </w:rPr>
              <w:t xml:space="preserve">IV.2.1: </w:t>
            </w:r>
            <w:r w:rsidRPr="00C64F53">
              <w:rPr>
                <w:rFonts w:ascii="Arial" w:hAnsi="Arial" w:cs="Arial"/>
                <w:b/>
                <w:bCs/>
              </w:rPr>
              <w:t xml:space="preserve"> Contract award notice concerning this contract</w:t>
            </w:r>
          </w:p>
        </w:tc>
        <w:tc>
          <w:tcPr>
            <w:tcW w:w="6095" w:type="dxa"/>
            <w:shd w:val="clear" w:color="auto" w:fill="auto"/>
          </w:tcPr>
          <w:p w14:paraId="102A7322" w14:textId="771D9180" w:rsidR="00A1617D" w:rsidRPr="00185F7C" w:rsidRDefault="00185F7C" w:rsidP="00185F7C">
            <w:pPr>
              <w:rPr>
                <w:rFonts w:ascii="Arial" w:hAnsi="Arial" w:cs="Arial"/>
                <w:iCs/>
                <w:sz w:val="20"/>
                <w:szCs w:val="20"/>
                <w:highlight w:val="yellow"/>
              </w:rPr>
            </w:pPr>
            <w:r w:rsidRPr="003B04A8">
              <w:rPr>
                <w:rFonts w:ascii="Arial" w:hAnsi="Arial" w:cs="Arial"/>
              </w:rPr>
              <w:t>https://www.contractsfinder.service.gov.uk/notice/e6e518ef-f977-45af-899d-1ee62c6bb78b?origin=SearchResults&amp;p=1</w:t>
            </w:r>
          </w:p>
        </w:tc>
      </w:tr>
      <w:tr w:rsidR="00A1617D" w:rsidRPr="00185F7C" w14:paraId="102A7325" w14:textId="77777777" w:rsidTr="00A5408D">
        <w:tc>
          <w:tcPr>
            <w:tcW w:w="10093" w:type="dxa"/>
            <w:gridSpan w:val="2"/>
            <w:shd w:val="clear" w:color="auto" w:fill="BFBFBF" w:themeFill="background1" w:themeFillShade="BF"/>
          </w:tcPr>
          <w:p w14:paraId="102A7324" w14:textId="77777777" w:rsidR="00A1617D" w:rsidRPr="00185F7C" w:rsidRDefault="00A1617D" w:rsidP="00185F7C">
            <w:pPr>
              <w:rPr>
                <w:rFonts w:ascii="Arial" w:hAnsi="Arial" w:cs="Arial"/>
                <w:iCs/>
                <w:sz w:val="20"/>
                <w:szCs w:val="20"/>
              </w:rPr>
            </w:pPr>
            <w:r w:rsidRPr="00185F7C">
              <w:rPr>
                <w:rFonts w:ascii="Arial" w:hAnsi="Arial" w:cs="Arial"/>
                <w:iCs/>
                <w:sz w:val="20"/>
                <w:szCs w:val="20"/>
              </w:rPr>
              <w:t>Section V: Award of contract/concession</w:t>
            </w:r>
          </w:p>
        </w:tc>
      </w:tr>
      <w:tr w:rsidR="00A1617D" w:rsidRPr="00C64F53" w14:paraId="102A7328" w14:textId="77777777" w:rsidTr="00A5408D">
        <w:tc>
          <w:tcPr>
            <w:tcW w:w="3998" w:type="dxa"/>
            <w:shd w:val="clear" w:color="auto" w:fill="auto"/>
          </w:tcPr>
          <w:p w14:paraId="102A7326" w14:textId="2E339CF2" w:rsidR="00A1617D" w:rsidRPr="00185F7C" w:rsidRDefault="00A1617D" w:rsidP="00185F7C">
            <w:pPr>
              <w:rPr>
                <w:rFonts w:ascii="Arial" w:hAnsi="Arial" w:cs="Arial"/>
                <w:iCs/>
                <w:sz w:val="20"/>
                <w:szCs w:val="20"/>
              </w:rPr>
            </w:pPr>
            <w:r w:rsidRPr="00185F7C">
              <w:rPr>
                <w:rFonts w:ascii="Arial" w:hAnsi="Arial" w:cs="Arial"/>
                <w:iCs/>
                <w:sz w:val="20"/>
                <w:szCs w:val="20"/>
              </w:rPr>
              <w:t>Contract No:</w:t>
            </w:r>
            <w:r w:rsidRPr="00185F7C">
              <w:rPr>
                <w:rFonts w:ascii="Arial" w:hAnsi="Arial" w:cs="Arial"/>
                <w:iCs/>
                <w:sz w:val="20"/>
                <w:szCs w:val="20"/>
              </w:rPr>
              <w:br/>
              <w:t>Lot No:</w:t>
            </w:r>
            <w:r w:rsidRPr="00185F7C">
              <w:rPr>
                <w:rFonts w:ascii="Arial" w:hAnsi="Arial" w:cs="Arial"/>
                <w:iCs/>
                <w:sz w:val="20"/>
                <w:szCs w:val="20"/>
              </w:rPr>
              <w:br/>
              <w:t>Title:</w:t>
            </w:r>
          </w:p>
        </w:tc>
        <w:tc>
          <w:tcPr>
            <w:tcW w:w="6095" w:type="dxa"/>
            <w:shd w:val="clear" w:color="auto" w:fill="auto"/>
          </w:tcPr>
          <w:p w14:paraId="5443D592" w14:textId="5FA5D89F" w:rsidR="005B5C76" w:rsidRPr="00185F7C" w:rsidRDefault="00185F7C" w:rsidP="00185F7C">
            <w:pPr>
              <w:rPr>
                <w:rFonts w:ascii="Arial" w:hAnsi="Arial" w:cs="Arial"/>
                <w:iCs/>
                <w:sz w:val="20"/>
                <w:szCs w:val="20"/>
              </w:rPr>
            </w:pPr>
            <w:r>
              <w:rPr>
                <w:rFonts w:ascii="Arial" w:hAnsi="Arial" w:cs="Arial"/>
                <w:iCs/>
                <w:sz w:val="20"/>
                <w:szCs w:val="20"/>
              </w:rPr>
              <w:t>con_6123</w:t>
            </w:r>
          </w:p>
          <w:p w14:paraId="47D14E10" w14:textId="1D265BD9" w:rsidR="005B5C76" w:rsidRDefault="00185F7C" w:rsidP="00185F7C">
            <w:pPr>
              <w:keepLines/>
              <w:spacing w:after="0" w:line="240" w:lineRule="auto"/>
              <w:rPr>
                <w:rFonts w:ascii="Arial" w:hAnsi="Arial" w:cs="Arial"/>
                <w:bCs/>
                <w:iCs/>
                <w:sz w:val="20"/>
                <w:szCs w:val="20"/>
              </w:rPr>
            </w:pPr>
            <w:r w:rsidRPr="00185F7C">
              <w:rPr>
                <w:rFonts w:ascii="Arial" w:hAnsi="Arial" w:cs="Arial"/>
                <w:iCs/>
                <w:sz w:val="20"/>
                <w:szCs w:val="20"/>
              </w:rPr>
              <w:t xml:space="preserve">Contract for the Next Generation:30 Years Projects </w:t>
            </w:r>
          </w:p>
          <w:p w14:paraId="0B98E31C" w14:textId="77777777" w:rsidR="005B5C76" w:rsidRDefault="005B5C76" w:rsidP="00A1617D">
            <w:pPr>
              <w:keepLines/>
              <w:spacing w:after="0" w:line="240" w:lineRule="auto"/>
              <w:rPr>
                <w:rFonts w:ascii="Arial" w:hAnsi="Arial" w:cs="Arial"/>
                <w:bCs/>
                <w:iCs/>
                <w:sz w:val="20"/>
                <w:szCs w:val="20"/>
              </w:rPr>
            </w:pPr>
          </w:p>
          <w:p w14:paraId="102A7327" w14:textId="5E3753DB" w:rsidR="005B5C76" w:rsidRPr="004E21FD" w:rsidRDefault="005B5C76" w:rsidP="00A1617D">
            <w:pPr>
              <w:keepLines/>
              <w:spacing w:after="0" w:line="240" w:lineRule="auto"/>
              <w:rPr>
                <w:rFonts w:ascii="Arial" w:hAnsi="Arial" w:cs="Arial"/>
                <w:bCs/>
                <w:iCs/>
                <w:sz w:val="20"/>
                <w:szCs w:val="20"/>
                <w:highlight w:val="yellow"/>
              </w:rPr>
            </w:pPr>
          </w:p>
        </w:tc>
      </w:tr>
      <w:tr w:rsidR="00A1617D" w:rsidRPr="00C64F53" w14:paraId="102A732C" w14:textId="77777777" w:rsidTr="00A5408D">
        <w:tc>
          <w:tcPr>
            <w:tcW w:w="3998" w:type="dxa"/>
            <w:shd w:val="clear" w:color="auto" w:fill="auto"/>
          </w:tcPr>
          <w:p w14:paraId="102A7329" w14:textId="77777777" w:rsidR="00A1617D" w:rsidRPr="00C64F53" w:rsidRDefault="00A1617D" w:rsidP="00A1617D">
            <w:pPr>
              <w:keepLines/>
              <w:spacing w:after="0" w:line="240" w:lineRule="auto"/>
              <w:rPr>
                <w:rFonts w:ascii="Arial" w:hAnsi="Arial" w:cs="Arial"/>
                <w:b/>
              </w:rPr>
            </w:pPr>
            <w:r w:rsidRPr="00C64F53">
              <w:rPr>
                <w:rFonts w:ascii="Arial" w:hAnsi="Arial" w:cs="Arial"/>
                <w:b/>
              </w:rPr>
              <w:t xml:space="preserve">V.2.1:  Date of conclusion of the contract </w:t>
            </w:r>
          </w:p>
        </w:tc>
        <w:tc>
          <w:tcPr>
            <w:tcW w:w="6095" w:type="dxa"/>
            <w:shd w:val="clear" w:color="auto" w:fill="auto"/>
          </w:tcPr>
          <w:p w14:paraId="102A732B" w14:textId="7462CA15" w:rsidR="00A1617D" w:rsidRPr="00A1617D" w:rsidRDefault="005B5C76" w:rsidP="005B5C76">
            <w:pPr>
              <w:keepLines/>
              <w:spacing w:after="0" w:line="240" w:lineRule="auto"/>
              <w:rPr>
                <w:rFonts w:ascii="Arial" w:hAnsi="Arial" w:cs="Arial"/>
                <w:bCs/>
                <w:sz w:val="20"/>
                <w:szCs w:val="20"/>
              </w:rPr>
            </w:pPr>
            <w:r>
              <w:rPr>
                <w:rFonts w:ascii="Arial" w:hAnsi="Arial" w:cs="Arial"/>
                <w:color w:val="000000"/>
                <w:sz w:val="20"/>
                <w:szCs w:val="20"/>
              </w:rPr>
              <w:t>20 January 2021</w:t>
            </w:r>
          </w:p>
        </w:tc>
      </w:tr>
      <w:tr w:rsidR="00A1617D" w:rsidRPr="00C64F53" w14:paraId="102A7331" w14:textId="77777777" w:rsidTr="00A5408D">
        <w:tc>
          <w:tcPr>
            <w:tcW w:w="3998" w:type="dxa"/>
            <w:tcBorders>
              <w:bottom w:val="single" w:sz="4" w:space="0" w:color="auto"/>
            </w:tcBorders>
            <w:shd w:val="clear" w:color="auto" w:fill="auto"/>
          </w:tcPr>
          <w:p w14:paraId="102A732D" w14:textId="77777777" w:rsidR="00A1617D" w:rsidRPr="00C64F53" w:rsidRDefault="00A1617D" w:rsidP="00A1617D">
            <w:pPr>
              <w:keepLines/>
              <w:spacing w:after="0" w:line="240" w:lineRule="auto"/>
              <w:rPr>
                <w:rFonts w:ascii="Arial" w:hAnsi="Arial" w:cs="Arial"/>
                <w:b/>
              </w:rPr>
            </w:pPr>
            <w:r w:rsidRPr="00C64F53">
              <w:rPr>
                <w:rFonts w:ascii="Arial" w:hAnsi="Arial" w:cs="Arial"/>
                <w:b/>
              </w:rPr>
              <w:t>V.2.2:  Information about tenders</w:t>
            </w:r>
          </w:p>
        </w:tc>
        <w:tc>
          <w:tcPr>
            <w:tcW w:w="6095" w:type="dxa"/>
            <w:tcBorders>
              <w:bottom w:val="single" w:sz="4" w:space="0" w:color="auto"/>
            </w:tcBorders>
            <w:shd w:val="clear" w:color="auto" w:fill="auto"/>
          </w:tcPr>
          <w:p w14:paraId="102A7330" w14:textId="40C862BA" w:rsidR="00A1617D" w:rsidRPr="00A1617D" w:rsidRDefault="001417AB" w:rsidP="00A1617D">
            <w:pPr>
              <w:keepLines/>
              <w:shd w:val="clear" w:color="auto" w:fill="FFFFFF"/>
              <w:spacing w:after="0" w:line="240" w:lineRule="auto"/>
              <w:rPr>
                <w:rFonts w:ascii="Arial" w:hAnsi="Arial" w:cs="Arial"/>
                <w:bCs/>
                <w:sz w:val="20"/>
                <w:szCs w:val="20"/>
              </w:rPr>
            </w:pPr>
            <w:r>
              <w:rPr>
                <w:rFonts w:ascii="Arial" w:hAnsi="Arial" w:cs="Arial"/>
                <w:bCs/>
                <w:sz w:val="20"/>
                <w:szCs w:val="20"/>
              </w:rPr>
              <w:t>N/A</w:t>
            </w:r>
            <w:r w:rsidR="00CE55BF">
              <w:rPr>
                <w:rFonts w:ascii="Arial" w:hAnsi="Arial" w:cs="Arial"/>
                <w:bCs/>
                <w:sz w:val="20"/>
                <w:szCs w:val="20"/>
              </w:rPr>
              <w:t xml:space="preserve"> </w:t>
            </w:r>
          </w:p>
        </w:tc>
      </w:tr>
      <w:tr w:rsidR="00A1617D" w:rsidRPr="00C64F53" w14:paraId="102A7335" w14:textId="77777777" w:rsidTr="00A5408D">
        <w:tc>
          <w:tcPr>
            <w:tcW w:w="3998" w:type="dxa"/>
            <w:tcBorders>
              <w:bottom w:val="single" w:sz="4" w:space="0" w:color="auto"/>
            </w:tcBorders>
            <w:shd w:val="clear" w:color="auto" w:fill="auto"/>
          </w:tcPr>
          <w:p w14:paraId="102A7332" w14:textId="77777777" w:rsidR="00A1617D" w:rsidRPr="00C64F53" w:rsidRDefault="00A1617D" w:rsidP="00A1617D">
            <w:pPr>
              <w:keepLines/>
              <w:spacing w:after="0" w:line="240" w:lineRule="auto"/>
              <w:rPr>
                <w:rFonts w:ascii="Arial" w:hAnsi="Arial" w:cs="Arial"/>
                <w:b/>
              </w:rPr>
            </w:pPr>
            <w:r w:rsidRPr="00C64F53">
              <w:rPr>
                <w:rFonts w:ascii="Arial" w:hAnsi="Arial" w:cs="Arial"/>
                <w:b/>
              </w:rPr>
              <w:t>V.2.3:  Name and address of the contractor</w:t>
            </w:r>
          </w:p>
        </w:tc>
        <w:tc>
          <w:tcPr>
            <w:tcW w:w="6095" w:type="dxa"/>
            <w:tcBorders>
              <w:bottom w:val="single" w:sz="4" w:space="0" w:color="auto"/>
            </w:tcBorders>
            <w:shd w:val="clear" w:color="auto" w:fill="auto"/>
          </w:tcPr>
          <w:p w14:paraId="3955F675" w14:textId="0DC0F3EE" w:rsidR="00C6442F" w:rsidRPr="00C6442F" w:rsidRDefault="00C6442F" w:rsidP="00C6442F">
            <w:pPr>
              <w:keepLines/>
              <w:shd w:val="clear" w:color="auto" w:fill="FFFFFF"/>
              <w:spacing w:after="0" w:line="240" w:lineRule="auto"/>
              <w:rPr>
                <w:rFonts w:ascii="Arial" w:hAnsi="Arial" w:cs="Arial"/>
                <w:color w:val="000000"/>
                <w:sz w:val="20"/>
              </w:rPr>
            </w:pPr>
            <w:r w:rsidRPr="00C6442F">
              <w:rPr>
                <w:rFonts w:ascii="Arial" w:hAnsi="Arial" w:cs="Arial"/>
                <w:color w:val="000000"/>
                <w:sz w:val="20"/>
              </w:rPr>
              <w:t xml:space="preserve">The Warden and Fellows of Nuffield College in the University of Oxford, </w:t>
            </w:r>
          </w:p>
          <w:p w14:paraId="39F174C5" w14:textId="77777777" w:rsidR="00C6442F" w:rsidRPr="00C6442F" w:rsidRDefault="00C6442F" w:rsidP="00C6442F">
            <w:pPr>
              <w:keepLines/>
              <w:shd w:val="clear" w:color="auto" w:fill="FFFFFF"/>
              <w:spacing w:after="0" w:line="240" w:lineRule="auto"/>
              <w:rPr>
                <w:rFonts w:ascii="Arial" w:hAnsi="Arial" w:cs="Arial"/>
                <w:color w:val="000000"/>
                <w:sz w:val="20"/>
              </w:rPr>
            </w:pPr>
            <w:r w:rsidRPr="00C6442F">
              <w:rPr>
                <w:rFonts w:ascii="Arial" w:hAnsi="Arial" w:cs="Arial"/>
                <w:color w:val="000000"/>
                <w:sz w:val="20"/>
              </w:rPr>
              <w:t xml:space="preserve">New Road, </w:t>
            </w:r>
          </w:p>
          <w:p w14:paraId="0F071326" w14:textId="77777777" w:rsidR="00C6442F" w:rsidRPr="00C6442F" w:rsidRDefault="00C6442F" w:rsidP="00C6442F">
            <w:pPr>
              <w:keepLines/>
              <w:shd w:val="clear" w:color="auto" w:fill="FFFFFF"/>
              <w:spacing w:after="0" w:line="240" w:lineRule="auto"/>
              <w:rPr>
                <w:rFonts w:ascii="Arial" w:hAnsi="Arial" w:cs="Arial"/>
                <w:color w:val="000000"/>
                <w:sz w:val="20"/>
              </w:rPr>
            </w:pPr>
            <w:r w:rsidRPr="00C6442F">
              <w:rPr>
                <w:rFonts w:ascii="Arial" w:hAnsi="Arial" w:cs="Arial"/>
                <w:color w:val="000000"/>
                <w:sz w:val="20"/>
              </w:rPr>
              <w:t xml:space="preserve">Oxford, </w:t>
            </w:r>
          </w:p>
          <w:p w14:paraId="3641CFA5" w14:textId="77777777" w:rsidR="00417F92" w:rsidRPr="00C6442F" w:rsidRDefault="00C6442F" w:rsidP="00C6442F">
            <w:pPr>
              <w:keepLines/>
              <w:shd w:val="clear" w:color="auto" w:fill="FFFFFF"/>
              <w:spacing w:after="0" w:line="240" w:lineRule="auto"/>
              <w:rPr>
                <w:rFonts w:ascii="Arial" w:hAnsi="Arial" w:cs="Arial"/>
                <w:color w:val="000000"/>
                <w:sz w:val="20"/>
                <w:shd w:val="clear" w:color="auto" w:fill="FFFFFF"/>
              </w:rPr>
            </w:pPr>
            <w:r w:rsidRPr="00C6442F">
              <w:rPr>
                <w:rFonts w:ascii="Arial" w:hAnsi="Arial" w:cs="Arial"/>
                <w:color w:val="000000"/>
                <w:sz w:val="20"/>
              </w:rPr>
              <w:t>OX1 1NF</w:t>
            </w:r>
            <w:r w:rsidRPr="00C6442F">
              <w:rPr>
                <w:rFonts w:ascii="Arial" w:hAnsi="Arial" w:cs="Arial"/>
                <w:color w:val="000000"/>
                <w:sz w:val="20"/>
                <w:shd w:val="clear" w:color="auto" w:fill="FFFFFF"/>
              </w:rPr>
              <w:t xml:space="preserve"> </w:t>
            </w:r>
          </w:p>
          <w:p w14:paraId="102A7334" w14:textId="75A3EB28" w:rsidR="00C6442F" w:rsidRPr="00A1617D" w:rsidRDefault="00C6442F" w:rsidP="00C6442F">
            <w:pPr>
              <w:keepLines/>
              <w:shd w:val="clear" w:color="auto" w:fill="FFFFFF"/>
              <w:spacing w:after="0" w:line="240" w:lineRule="auto"/>
              <w:rPr>
                <w:rFonts w:ascii="Arial" w:hAnsi="Arial" w:cs="Arial"/>
                <w:color w:val="000000"/>
                <w:sz w:val="20"/>
                <w:szCs w:val="20"/>
              </w:rPr>
            </w:pPr>
            <w:r w:rsidRPr="00C6442F">
              <w:rPr>
                <w:rFonts w:ascii="Arial" w:hAnsi="Arial" w:cs="Arial"/>
                <w:color w:val="000000"/>
                <w:sz w:val="20"/>
                <w:shd w:val="clear" w:color="auto" w:fill="FFFFFF"/>
              </w:rPr>
              <w:t>United Kingdom</w:t>
            </w:r>
          </w:p>
        </w:tc>
      </w:tr>
      <w:tr w:rsidR="00A1617D" w:rsidRPr="00C64F53" w14:paraId="102A733B" w14:textId="77777777" w:rsidTr="00A5408D">
        <w:tc>
          <w:tcPr>
            <w:tcW w:w="3998" w:type="dxa"/>
            <w:tcBorders>
              <w:bottom w:val="single" w:sz="4" w:space="0" w:color="auto"/>
            </w:tcBorders>
            <w:shd w:val="clear" w:color="auto" w:fill="auto"/>
          </w:tcPr>
          <w:p w14:paraId="102A7336" w14:textId="2D997BEA" w:rsidR="00A1617D" w:rsidRPr="00C64F53" w:rsidRDefault="00A1617D" w:rsidP="00A1617D">
            <w:pPr>
              <w:keepLines/>
              <w:spacing w:after="0" w:line="240" w:lineRule="auto"/>
              <w:rPr>
                <w:rFonts w:ascii="Arial" w:hAnsi="Arial" w:cs="Arial"/>
                <w:b/>
              </w:rPr>
            </w:pPr>
            <w:r w:rsidRPr="00C64F53">
              <w:rPr>
                <w:rFonts w:ascii="Arial" w:hAnsi="Arial" w:cs="Arial"/>
                <w:b/>
              </w:rPr>
              <w:t>V.2.4:  Information on value of contract/lot</w:t>
            </w:r>
            <w:r w:rsidR="005B5C76">
              <w:rPr>
                <w:rFonts w:ascii="Arial" w:hAnsi="Arial" w:cs="Arial"/>
                <w:b/>
              </w:rPr>
              <w:t>/concession (at the time of conclusion of the contract;</w:t>
            </w:r>
            <w:r w:rsidRPr="00C64F53">
              <w:rPr>
                <w:rFonts w:ascii="Arial" w:hAnsi="Arial" w:cs="Arial"/>
                <w:b/>
              </w:rPr>
              <w:t xml:space="preserve"> </w:t>
            </w:r>
            <w:r w:rsidRPr="00C64F53">
              <w:rPr>
                <w:rFonts w:ascii="Arial" w:hAnsi="Arial" w:cs="Arial"/>
              </w:rPr>
              <w:t>(excluding VAT)</w:t>
            </w:r>
          </w:p>
        </w:tc>
        <w:tc>
          <w:tcPr>
            <w:tcW w:w="6095" w:type="dxa"/>
            <w:tcBorders>
              <w:bottom w:val="single" w:sz="4" w:space="0" w:color="auto"/>
            </w:tcBorders>
            <w:shd w:val="clear" w:color="auto" w:fill="auto"/>
          </w:tcPr>
          <w:p w14:paraId="102A733A" w14:textId="1D33A3F5" w:rsidR="00A1617D" w:rsidRPr="00A1617D" w:rsidRDefault="00C6442F" w:rsidP="003A2151">
            <w:pPr>
              <w:keepLines/>
              <w:spacing w:after="0" w:line="240" w:lineRule="auto"/>
              <w:rPr>
                <w:rFonts w:ascii="Arial" w:hAnsi="Arial" w:cs="Arial"/>
                <w:bCs/>
                <w:sz w:val="20"/>
                <w:szCs w:val="20"/>
              </w:rPr>
            </w:pPr>
            <w:r w:rsidRPr="00C6442F">
              <w:rPr>
                <w:rFonts w:ascii="Arial" w:hAnsi="Arial" w:cs="Arial"/>
                <w:color w:val="000000"/>
                <w:sz w:val="20"/>
                <w:szCs w:val="20"/>
                <w:shd w:val="clear" w:color="auto" w:fill="FFFFFF"/>
              </w:rPr>
              <w:t xml:space="preserve">£93,966.66 </w:t>
            </w:r>
          </w:p>
        </w:tc>
      </w:tr>
      <w:tr w:rsidR="00A1617D" w:rsidRPr="00C64F53" w14:paraId="102A733D" w14:textId="77777777" w:rsidTr="00A5408D">
        <w:tc>
          <w:tcPr>
            <w:tcW w:w="10093" w:type="dxa"/>
            <w:gridSpan w:val="2"/>
            <w:shd w:val="clear" w:color="auto" w:fill="BFBFBF" w:themeFill="background1" w:themeFillShade="BF"/>
          </w:tcPr>
          <w:p w14:paraId="102A733C" w14:textId="77777777" w:rsidR="00A1617D" w:rsidRPr="00A1617D" w:rsidRDefault="00A1617D" w:rsidP="00A1617D">
            <w:pPr>
              <w:keepLines/>
              <w:spacing w:after="0" w:line="240" w:lineRule="auto"/>
              <w:jc w:val="both"/>
              <w:rPr>
                <w:rFonts w:ascii="Arial" w:hAnsi="Arial" w:cs="Arial"/>
                <w:b/>
                <w:bCs/>
                <w:color w:val="444444"/>
                <w:sz w:val="20"/>
                <w:szCs w:val="20"/>
                <w:shd w:val="clear" w:color="auto" w:fill="FFFFFF"/>
              </w:rPr>
            </w:pPr>
            <w:r w:rsidRPr="00A1617D">
              <w:rPr>
                <w:rFonts w:ascii="Arial" w:hAnsi="Arial" w:cs="Arial"/>
                <w:b/>
                <w:sz w:val="20"/>
                <w:szCs w:val="20"/>
              </w:rPr>
              <w:t>Section VI: complementary information</w:t>
            </w:r>
          </w:p>
        </w:tc>
      </w:tr>
      <w:tr w:rsidR="00A1617D" w:rsidRPr="00C64F53" w14:paraId="102A7340" w14:textId="77777777" w:rsidTr="00A5408D">
        <w:tc>
          <w:tcPr>
            <w:tcW w:w="3998" w:type="dxa"/>
            <w:shd w:val="clear" w:color="auto" w:fill="auto"/>
          </w:tcPr>
          <w:p w14:paraId="102A733E" w14:textId="77777777" w:rsidR="00A1617D" w:rsidRPr="00C64F53" w:rsidRDefault="00A1617D" w:rsidP="00A1617D">
            <w:pPr>
              <w:keepLines/>
              <w:spacing w:after="0" w:line="240" w:lineRule="auto"/>
              <w:rPr>
                <w:rFonts w:ascii="Arial" w:hAnsi="Arial" w:cs="Arial"/>
                <w:b/>
              </w:rPr>
            </w:pPr>
            <w:r w:rsidRPr="00C64F53">
              <w:rPr>
                <w:rFonts w:ascii="Arial" w:hAnsi="Arial" w:cs="Arial"/>
                <w:b/>
              </w:rPr>
              <w:t xml:space="preserve">VI.3: </w:t>
            </w:r>
            <w:r w:rsidRPr="00C64F53">
              <w:rPr>
                <w:rFonts w:ascii="Arial" w:hAnsi="Arial" w:cs="Arial"/>
                <w:b/>
                <w:bCs/>
              </w:rPr>
              <w:t xml:space="preserve"> Additional information</w:t>
            </w:r>
          </w:p>
        </w:tc>
        <w:tc>
          <w:tcPr>
            <w:tcW w:w="6095" w:type="dxa"/>
            <w:shd w:val="clear" w:color="auto" w:fill="auto"/>
          </w:tcPr>
          <w:p w14:paraId="102A733F" w14:textId="36FE8C05" w:rsidR="00A1617D" w:rsidRPr="00A1617D" w:rsidRDefault="00A1617D" w:rsidP="00A1617D">
            <w:pPr>
              <w:keepLines/>
              <w:spacing w:after="0" w:line="240" w:lineRule="auto"/>
              <w:rPr>
                <w:rFonts w:ascii="Arial" w:hAnsi="Arial" w:cs="Arial"/>
                <w:i/>
                <w:sz w:val="20"/>
                <w:szCs w:val="20"/>
              </w:rPr>
            </w:pPr>
          </w:p>
        </w:tc>
      </w:tr>
      <w:tr w:rsidR="00A1617D" w:rsidRPr="00C64F53" w14:paraId="102A7343" w14:textId="77777777" w:rsidTr="00A5408D">
        <w:tc>
          <w:tcPr>
            <w:tcW w:w="3998" w:type="dxa"/>
            <w:shd w:val="clear" w:color="auto" w:fill="auto"/>
          </w:tcPr>
          <w:p w14:paraId="102A7341" w14:textId="77777777" w:rsidR="00A1617D" w:rsidRPr="00C64F53" w:rsidRDefault="00A1617D" w:rsidP="00A1617D">
            <w:pPr>
              <w:keepLines/>
              <w:spacing w:after="0" w:line="240" w:lineRule="auto"/>
              <w:rPr>
                <w:rFonts w:ascii="Arial" w:hAnsi="Arial" w:cs="Arial"/>
                <w:b/>
              </w:rPr>
            </w:pPr>
            <w:r w:rsidRPr="00C64F53">
              <w:rPr>
                <w:rFonts w:ascii="Arial" w:hAnsi="Arial" w:cs="Arial"/>
                <w:b/>
              </w:rPr>
              <w:t>VI.4.1:</w:t>
            </w:r>
            <w:r w:rsidRPr="00C64F53">
              <w:rPr>
                <w:rFonts w:ascii="Arial" w:hAnsi="Arial" w:cs="Arial"/>
                <w:b/>
                <w:bCs/>
              </w:rPr>
              <w:t xml:space="preserve">  Review body</w:t>
            </w:r>
          </w:p>
        </w:tc>
        <w:tc>
          <w:tcPr>
            <w:tcW w:w="6095" w:type="dxa"/>
            <w:shd w:val="clear" w:color="auto" w:fill="auto"/>
          </w:tcPr>
          <w:p w14:paraId="102A7342" w14:textId="4B74BFE3" w:rsidR="00A1617D" w:rsidRPr="00A1617D" w:rsidRDefault="00A1617D" w:rsidP="00A1617D">
            <w:pPr>
              <w:keepLines/>
              <w:spacing w:after="0" w:line="240" w:lineRule="auto"/>
              <w:rPr>
                <w:rFonts w:ascii="Arial" w:hAnsi="Arial" w:cs="Arial"/>
                <w:sz w:val="20"/>
                <w:szCs w:val="20"/>
              </w:rPr>
            </w:pPr>
            <w:r w:rsidRPr="00A95F18">
              <w:rPr>
                <w:rFonts w:ascii="Arial" w:hAnsi="Arial" w:cs="Arial"/>
                <w:color w:val="000000"/>
                <w:sz w:val="20"/>
                <w:szCs w:val="20"/>
                <w:shd w:val="clear" w:color="auto" w:fill="FFFFFF"/>
              </w:rPr>
              <w:t>Official name: The High Court</w:t>
            </w:r>
            <w:r w:rsidRPr="00A95F18">
              <w:rPr>
                <w:rFonts w:ascii="Arial" w:hAnsi="Arial" w:cs="Arial"/>
                <w:color w:val="000000"/>
                <w:sz w:val="20"/>
                <w:szCs w:val="20"/>
              </w:rPr>
              <w:br/>
            </w:r>
            <w:r w:rsidRPr="00A95F18">
              <w:rPr>
                <w:rFonts w:ascii="Arial" w:hAnsi="Arial" w:cs="Arial"/>
                <w:color w:val="000000"/>
                <w:sz w:val="20"/>
                <w:szCs w:val="20"/>
                <w:shd w:val="clear" w:color="auto" w:fill="FFFFFF"/>
              </w:rPr>
              <w:t>Postal address: Strand</w:t>
            </w:r>
            <w:r w:rsidRPr="00A95F18">
              <w:rPr>
                <w:rFonts w:ascii="Arial" w:hAnsi="Arial" w:cs="Arial"/>
                <w:color w:val="000000"/>
                <w:sz w:val="20"/>
                <w:szCs w:val="20"/>
              </w:rPr>
              <w:br/>
            </w:r>
            <w:r w:rsidRPr="00A95F18">
              <w:rPr>
                <w:rFonts w:ascii="Arial" w:hAnsi="Arial" w:cs="Arial"/>
                <w:color w:val="000000"/>
                <w:sz w:val="20"/>
                <w:szCs w:val="20"/>
                <w:shd w:val="clear" w:color="auto" w:fill="FFFFFF"/>
              </w:rPr>
              <w:t>Town: London</w:t>
            </w:r>
            <w:r w:rsidRPr="00A95F18">
              <w:rPr>
                <w:rFonts w:ascii="Arial" w:hAnsi="Arial" w:cs="Arial"/>
                <w:color w:val="000000"/>
                <w:sz w:val="20"/>
                <w:szCs w:val="20"/>
              </w:rPr>
              <w:br/>
            </w:r>
            <w:r w:rsidRPr="00A95F18">
              <w:rPr>
                <w:rFonts w:ascii="Arial" w:hAnsi="Arial" w:cs="Arial"/>
                <w:color w:val="000000"/>
                <w:sz w:val="20"/>
                <w:szCs w:val="20"/>
                <w:shd w:val="clear" w:color="auto" w:fill="FFFFFF"/>
              </w:rPr>
              <w:t>Postal code: WC2A 2LL</w:t>
            </w:r>
            <w:r w:rsidRPr="00A95F18">
              <w:rPr>
                <w:rFonts w:ascii="Arial" w:hAnsi="Arial" w:cs="Arial"/>
                <w:color w:val="000000"/>
                <w:sz w:val="20"/>
                <w:szCs w:val="20"/>
              </w:rPr>
              <w:br/>
            </w:r>
            <w:r w:rsidRPr="00A95F18">
              <w:rPr>
                <w:rFonts w:ascii="Arial" w:hAnsi="Arial" w:cs="Arial"/>
                <w:color w:val="000000"/>
                <w:sz w:val="20"/>
                <w:szCs w:val="20"/>
                <w:shd w:val="clear" w:color="auto" w:fill="FFFFFF"/>
              </w:rPr>
              <w:t>Country: United Kingdom</w:t>
            </w:r>
            <w:r w:rsidRPr="00A95F18">
              <w:rPr>
                <w:rFonts w:ascii="Arial" w:hAnsi="Arial" w:cs="Arial"/>
                <w:color w:val="000000"/>
                <w:sz w:val="20"/>
                <w:szCs w:val="20"/>
              </w:rPr>
              <w:br/>
            </w:r>
            <w:r w:rsidRPr="00A95F18">
              <w:rPr>
                <w:rFonts w:ascii="Arial" w:hAnsi="Arial" w:cs="Arial"/>
                <w:color w:val="000000"/>
                <w:sz w:val="20"/>
                <w:szCs w:val="20"/>
                <w:shd w:val="clear" w:color="auto" w:fill="FFFFFF"/>
              </w:rPr>
              <w:t>Internet address: </w:t>
            </w:r>
            <w:hyperlink r:id="rId9" w:tgtFrame="_blank" w:history="1">
              <w:r w:rsidRPr="00A95F18">
                <w:rPr>
                  <w:rStyle w:val="Hyperlink"/>
                  <w:rFonts w:ascii="Arial" w:hAnsi="Arial" w:cs="Arial"/>
                  <w:color w:val="3366CC"/>
                  <w:sz w:val="20"/>
                  <w:szCs w:val="20"/>
                  <w:shd w:val="clear" w:color="auto" w:fill="FFFFFF"/>
                </w:rPr>
                <w:t>https://www.gov.uk/courts-tribunals</w:t>
              </w:r>
            </w:hyperlink>
          </w:p>
        </w:tc>
      </w:tr>
      <w:tr w:rsidR="00A1617D" w:rsidRPr="00C64F53" w14:paraId="102A7346" w14:textId="77777777" w:rsidTr="00A5408D">
        <w:tc>
          <w:tcPr>
            <w:tcW w:w="3998" w:type="dxa"/>
            <w:shd w:val="clear" w:color="auto" w:fill="auto"/>
          </w:tcPr>
          <w:p w14:paraId="102A7344" w14:textId="77777777" w:rsidR="00A1617D" w:rsidRPr="00C64F53" w:rsidRDefault="00A1617D" w:rsidP="00A1617D">
            <w:pPr>
              <w:keepLines/>
              <w:spacing w:after="0" w:line="240" w:lineRule="auto"/>
              <w:rPr>
                <w:rFonts w:ascii="Arial" w:hAnsi="Arial" w:cs="Arial"/>
                <w:b/>
              </w:rPr>
            </w:pPr>
            <w:r w:rsidRPr="00C64F53">
              <w:rPr>
                <w:rFonts w:ascii="Arial" w:hAnsi="Arial" w:cs="Arial"/>
                <w:b/>
              </w:rPr>
              <w:t>VI.4.2: Body responsible for mediation procedures</w:t>
            </w:r>
          </w:p>
        </w:tc>
        <w:tc>
          <w:tcPr>
            <w:tcW w:w="6095" w:type="dxa"/>
            <w:shd w:val="clear" w:color="auto" w:fill="auto"/>
          </w:tcPr>
          <w:p w14:paraId="102A7345" w14:textId="724D8DE9" w:rsidR="00A1617D" w:rsidRPr="00B91D40" w:rsidRDefault="001417AB" w:rsidP="00A1617D">
            <w:pPr>
              <w:keepLines/>
              <w:spacing w:after="0" w:line="240" w:lineRule="auto"/>
              <w:rPr>
                <w:rFonts w:ascii="Arial" w:hAnsi="Arial" w:cs="Arial"/>
                <w:bCs/>
                <w:iCs/>
                <w:sz w:val="20"/>
                <w:szCs w:val="20"/>
              </w:rPr>
            </w:pPr>
            <w:r>
              <w:rPr>
                <w:rFonts w:ascii="Arial" w:hAnsi="Arial" w:cs="Arial"/>
                <w:bCs/>
                <w:iCs/>
                <w:sz w:val="20"/>
                <w:szCs w:val="20"/>
              </w:rPr>
              <w:t>N/A</w:t>
            </w:r>
          </w:p>
        </w:tc>
      </w:tr>
      <w:tr w:rsidR="00A1617D" w:rsidRPr="00C64F53" w14:paraId="102A734A" w14:textId="77777777" w:rsidTr="00A5408D">
        <w:tc>
          <w:tcPr>
            <w:tcW w:w="3998" w:type="dxa"/>
            <w:shd w:val="clear" w:color="auto" w:fill="auto"/>
          </w:tcPr>
          <w:p w14:paraId="102A7347" w14:textId="77777777" w:rsidR="00A1617D" w:rsidRPr="00C64F53" w:rsidRDefault="00A1617D" w:rsidP="00A1617D">
            <w:pPr>
              <w:keepLines/>
              <w:spacing w:after="0" w:line="240" w:lineRule="auto"/>
              <w:rPr>
                <w:rFonts w:ascii="Arial" w:hAnsi="Arial" w:cs="Arial"/>
                <w:b/>
              </w:rPr>
            </w:pPr>
            <w:r w:rsidRPr="00C64F53">
              <w:rPr>
                <w:rFonts w:ascii="Arial" w:hAnsi="Arial" w:cs="Arial"/>
                <w:b/>
              </w:rPr>
              <w:t>VI.4.3: Review procedure</w:t>
            </w:r>
          </w:p>
        </w:tc>
        <w:tc>
          <w:tcPr>
            <w:tcW w:w="6095" w:type="dxa"/>
            <w:shd w:val="clear" w:color="auto" w:fill="auto"/>
          </w:tcPr>
          <w:p w14:paraId="102A7349" w14:textId="5E1F45F8" w:rsidR="00A1617D" w:rsidRPr="00A1617D" w:rsidRDefault="00A1617D" w:rsidP="00A1617D">
            <w:pPr>
              <w:keepLines/>
              <w:spacing w:after="0" w:line="240" w:lineRule="auto"/>
              <w:rPr>
                <w:rFonts w:ascii="Arial" w:hAnsi="Arial" w:cs="Arial"/>
                <w:sz w:val="20"/>
                <w:szCs w:val="20"/>
              </w:rPr>
            </w:pPr>
          </w:p>
        </w:tc>
      </w:tr>
      <w:tr w:rsidR="00A1617D" w:rsidRPr="00C64F53" w14:paraId="102A734D" w14:textId="77777777" w:rsidTr="00A5408D">
        <w:tc>
          <w:tcPr>
            <w:tcW w:w="3998" w:type="dxa"/>
            <w:shd w:val="clear" w:color="auto" w:fill="auto"/>
          </w:tcPr>
          <w:p w14:paraId="102A734B" w14:textId="77777777" w:rsidR="00A1617D" w:rsidRPr="00C64F53" w:rsidRDefault="00A1617D" w:rsidP="00A1617D">
            <w:pPr>
              <w:keepLines/>
              <w:spacing w:after="0" w:line="240" w:lineRule="auto"/>
              <w:rPr>
                <w:rFonts w:ascii="Arial" w:hAnsi="Arial" w:cs="Arial"/>
                <w:b/>
              </w:rPr>
            </w:pPr>
            <w:r w:rsidRPr="00C64F53">
              <w:rPr>
                <w:rFonts w:ascii="Arial" w:hAnsi="Arial" w:cs="Arial"/>
                <w:b/>
              </w:rPr>
              <w:t xml:space="preserve">VI.4.4: </w:t>
            </w:r>
            <w:r w:rsidRPr="00C64F53">
              <w:rPr>
                <w:rFonts w:ascii="Arial" w:hAnsi="Arial" w:cs="Arial"/>
                <w:b/>
                <w:bCs/>
              </w:rPr>
              <w:t xml:space="preserve"> Service from which information about the review procedure may be obtained</w:t>
            </w:r>
          </w:p>
        </w:tc>
        <w:tc>
          <w:tcPr>
            <w:tcW w:w="6095" w:type="dxa"/>
            <w:shd w:val="clear" w:color="auto" w:fill="auto"/>
          </w:tcPr>
          <w:p w14:paraId="102A734C" w14:textId="0CEF813E" w:rsidR="001417AB" w:rsidRPr="00A1617D" w:rsidRDefault="005B5C76" w:rsidP="00A1617D">
            <w:pPr>
              <w:keepLines/>
              <w:spacing w:after="0" w:line="240" w:lineRule="auto"/>
              <w:rPr>
                <w:rFonts w:ascii="Arial" w:hAnsi="Arial" w:cs="Arial"/>
                <w:bCs/>
                <w:sz w:val="20"/>
                <w:szCs w:val="20"/>
              </w:rPr>
            </w:pPr>
            <w:r>
              <w:rPr>
                <w:rFonts w:ascii="Arial" w:hAnsi="Arial" w:cs="Arial"/>
                <w:bCs/>
                <w:sz w:val="20"/>
                <w:szCs w:val="20"/>
              </w:rPr>
              <w:t>See Section I.1 above</w:t>
            </w:r>
          </w:p>
        </w:tc>
      </w:tr>
      <w:tr w:rsidR="00A1617D" w:rsidRPr="00C64F53" w14:paraId="102A7350" w14:textId="77777777" w:rsidTr="00A5408D">
        <w:tc>
          <w:tcPr>
            <w:tcW w:w="3998" w:type="dxa"/>
            <w:shd w:val="clear" w:color="auto" w:fill="auto"/>
          </w:tcPr>
          <w:p w14:paraId="102A734E" w14:textId="77777777" w:rsidR="00A1617D" w:rsidRPr="00C64F53" w:rsidRDefault="00A1617D" w:rsidP="00A1617D">
            <w:pPr>
              <w:keepLines/>
              <w:spacing w:after="0" w:line="240" w:lineRule="auto"/>
              <w:rPr>
                <w:rFonts w:ascii="Arial" w:hAnsi="Arial" w:cs="Arial"/>
                <w:b/>
              </w:rPr>
            </w:pPr>
            <w:r w:rsidRPr="00C64F53">
              <w:rPr>
                <w:rFonts w:ascii="Arial" w:hAnsi="Arial" w:cs="Arial"/>
                <w:b/>
                <w:bCs/>
              </w:rPr>
              <w:t>VI.5:  Date of dispatch of this notice</w:t>
            </w:r>
          </w:p>
        </w:tc>
        <w:tc>
          <w:tcPr>
            <w:tcW w:w="6095" w:type="dxa"/>
            <w:shd w:val="clear" w:color="auto" w:fill="auto"/>
          </w:tcPr>
          <w:p w14:paraId="102A734F" w14:textId="6CDC86B2" w:rsidR="00A1617D" w:rsidRPr="00A1617D" w:rsidRDefault="00BE7EBF" w:rsidP="00A1617D">
            <w:pPr>
              <w:keepLines/>
              <w:spacing w:after="0" w:line="240" w:lineRule="auto"/>
              <w:rPr>
                <w:rFonts w:ascii="Arial" w:hAnsi="Arial" w:cs="Arial"/>
                <w:i/>
                <w:sz w:val="20"/>
                <w:szCs w:val="20"/>
              </w:rPr>
            </w:pPr>
            <w:r>
              <w:rPr>
                <w:rFonts w:ascii="Arial" w:hAnsi="Arial" w:cs="Arial"/>
                <w:sz w:val="20"/>
                <w:szCs w:val="20"/>
              </w:rPr>
              <w:t>1 October 2021</w:t>
            </w:r>
          </w:p>
        </w:tc>
      </w:tr>
      <w:tr w:rsidR="00A1617D" w:rsidRPr="00C64F53" w14:paraId="102A7352" w14:textId="77777777" w:rsidTr="00A5408D">
        <w:tc>
          <w:tcPr>
            <w:tcW w:w="10093" w:type="dxa"/>
            <w:gridSpan w:val="2"/>
            <w:shd w:val="clear" w:color="auto" w:fill="BFBFBF" w:themeFill="background1" w:themeFillShade="BF"/>
          </w:tcPr>
          <w:p w14:paraId="102A7351" w14:textId="77777777" w:rsidR="00A1617D" w:rsidRPr="00A1617D" w:rsidRDefault="00A1617D" w:rsidP="00A1617D">
            <w:pPr>
              <w:keepLines/>
              <w:spacing w:after="0" w:line="240" w:lineRule="auto"/>
              <w:jc w:val="both"/>
              <w:rPr>
                <w:rFonts w:ascii="Arial" w:hAnsi="Arial" w:cs="Arial"/>
                <w:sz w:val="20"/>
                <w:szCs w:val="20"/>
              </w:rPr>
            </w:pPr>
            <w:r w:rsidRPr="00A1617D">
              <w:rPr>
                <w:rFonts w:ascii="Arial" w:hAnsi="Arial" w:cs="Arial"/>
                <w:b/>
                <w:bCs/>
                <w:sz w:val="20"/>
                <w:szCs w:val="20"/>
              </w:rPr>
              <w:t>Section VII: modifications to the contract</w:t>
            </w:r>
          </w:p>
        </w:tc>
      </w:tr>
      <w:tr w:rsidR="00A1617D" w:rsidRPr="00C64F53" w14:paraId="102A7355" w14:textId="77777777" w:rsidTr="00A5408D">
        <w:tc>
          <w:tcPr>
            <w:tcW w:w="3998" w:type="dxa"/>
            <w:shd w:val="clear" w:color="auto" w:fill="auto"/>
          </w:tcPr>
          <w:p w14:paraId="102A7353" w14:textId="77777777" w:rsidR="00A1617D" w:rsidRPr="00C64F53" w:rsidRDefault="00A1617D" w:rsidP="00A1617D">
            <w:pPr>
              <w:keepLines/>
              <w:spacing w:after="0" w:line="240" w:lineRule="auto"/>
              <w:rPr>
                <w:rFonts w:ascii="Arial" w:hAnsi="Arial" w:cs="Arial"/>
                <w:b/>
                <w:bCs/>
              </w:rPr>
            </w:pPr>
            <w:r w:rsidRPr="00C64F53">
              <w:rPr>
                <w:rFonts w:ascii="Arial" w:hAnsi="Arial" w:cs="Arial"/>
                <w:b/>
                <w:bCs/>
              </w:rPr>
              <w:t>VII.1.1 Main CPV code</w:t>
            </w:r>
          </w:p>
        </w:tc>
        <w:tc>
          <w:tcPr>
            <w:tcW w:w="6095" w:type="dxa"/>
            <w:shd w:val="clear" w:color="auto" w:fill="auto"/>
          </w:tcPr>
          <w:p w14:paraId="102A7354" w14:textId="0F382BF8" w:rsidR="00A1617D" w:rsidRPr="00CE55BF" w:rsidRDefault="00CE55BF" w:rsidP="00A1617D">
            <w:pPr>
              <w:keepLines/>
              <w:spacing w:after="0" w:line="240" w:lineRule="auto"/>
              <w:rPr>
                <w:rFonts w:ascii="Arial" w:hAnsi="Arial" w:cs="Arial"/>
                <w:sz w:val="20"/>
              </w:rPr>
            </w:pPr>
            <w:r w:rsidRPr="00CE55BF">
              <w:rPr>
                <w:rFonts w:ascii="Arial" w:hAnsi="Arial" w:cs="Arial"/>
                <w:color w:val="000000"/>
                <w:sz w:val="20"/>
                <w:shd w:val="clear" w:color="auto" w:fill="FFFFFF"/>
              </w:rPr>
              <w:t>793150000-5</w:t>
            </w:r>
            <w:r w:rsidR="00417F92" w:rsidRPr="00CE55BF">
              <w:rPr>
                <w:rFonts w:ascii="Arial" w:hAnsi="Arial" w:cs="Arial"/>
                <w:color w:val="000000"/>
                <w:sz w:val="20"/>
                <w:shd w:val="clear" w:color="auto" w:fill="FFFFFF"/>
              </w:rPr>
              <w:t xml:space="preserve"> - </w:t>
            </w:r>
            <w:r w:rsidRPr="00CE55BF">
              <w:rPr>
                <w:rFonts w:ascii="Arial" w:hAnsi="Arial" w:cs="Arial"/>
                <w:color w:val="000000"/>
                <w:sz w:val="20"/>
                <w:shd w:val="clear" w:color="auto" w:fill="FFFFFF"/>
              </w:rPr>
              <w:t>Social research services</w:t>
            </w:r>
          </w:p>
        </w:tc>
      </w:tr>
      <w:tr w:rsidR="00A1617D" w:rsidRPr="00C64F53" w14:paraId="102A7358" w14:textId="77777777" w:rsidTr="00A5408D">
        <w:tc>
          <w:tcPr>
            <w:tcW w:w="3998" w:type="dxa"/>
            <w:shd w:val="clear" w:color="auto" w:fill="auto"/>
          </w:tcPr>
          <w:p w14:paraId="102A7356" w14:textId="77777777" w:rsidR="00A1617D" w:rsidRPr="00C64F53" w:rsidRDefault="00A1617D" w:rsidP="00A1617D">
            <w:pPr>
              <w:keepLines/>
              <w:spacing w:after="0" w:line="240" w:lineRule="auto"/>
              <w:rPr>
                <w:rFonts w:ascii="Arial" w:hAnsi="Arial" w:cs="Arial"/>
                <w:b/>
                <w:bCs/>
              </w:rPr>
            </w:pPr>
            <w:r w:rsidRPr="00C64F53">
              <w:rPr>
                <w:rFonts w:ascii="Arial" w:hAnsi="Arial" w:cs="Arial"/>
                <w:b/>
                <w:bCs/>
              </w:rPr>
              <w:t>VII.1.2 Additional CPV code(s)</w:t>
            </w:r>
          </w:p>
        </w:tc>
        <w:tc>
          <w:tcPr>
            <w:tcW w:w="6095" w:type="dxa"/>
            <w:shd w:val="clear" w:color="auto" w:fill="auto"/>
          </w:tcPr>
          <w:p w14:paraId="6D44E56D" w14:textId="77777777" w:rsidR="005B5C76" w:rsidRDefault="005B5C76" w:rsidP="005B5C76">
            <w:pPr>
              <w:keepLines/>
              <w:spacing w:after="0" w:line="240" w:lineRule="auto"/>
              <w:rPr>
                <w:rFonts w:ascii="Arial" w:hAnsi="Arial" w:cs="Arial"/>
                <w:sz w:val="20"/>
                <w:szCs w:val="20"/>
              </w:rPr>
            </w:pPr>
            <w:r w:rsidRPr="004A179A">
              <w:rPr>
                <w:rFonts w:ascii="Arial" w:hAnsi="Arial" w:cs="Arial"/>
                <w:sz w:val="20"/>
                <w:szCs w:val="20"/>
              </w:rPr>
              <w:t>73210000-7 Research consultancy services</w:t>
            </w:r>
          </w:p>
          <w:p w14:paraId="49591596" w14:textId="4B6410A6" w:rsidR="00185F7C" w:rsidRDefault="005B5C76" w:rsidP="005B5C76">
            <w:pPr>
              <w:keepLines/>
              <w:spacing w:after="0" w:line="240" w:lineRule="auto"/>
              <w:rPr>
                <w:rFonts w:ascii="Arial" w:hAnsi="Arial" w:cs="Arial"/>
                <w:sz w:val="20"/>
                <w:szCs w:val="20"/>
              </w:rPr>
            </w:pPr>
            <w:r w:rsidRPr="004A179A">
              <w:rPr>
                <w:rFonts w:ascii="Arial" w:hAnsi="Arial" w:cs="Arial"/>
                <w:sz w:val="20"/>
                <w:szCs w:val="20"/>
              </w:rPr>
              <w:t>98200000-5 Equal opportunities consultancy services</w:t>
            </w:r>
          </w:p>
          <w:p w14:paraId="07227A37" w14:textId="02153F22" w:rsidR="005B5C76" w:rsidRDefault="00185F7C" w:rsidP="005B5C76">
            <w:pPr>
              <w:keepLines/>
              <w:spacing w:after="0" w:line="240" w:lineRule="auto"/>
              <w:rPr>
                <w:rFonts w:ascii="Arial" w:hAnsi="Arial" w:cs="Arial"/>
                <w:sz w:val="20"/>
                <w:szCs w:val="20"/>
              </w:rPr>
            </w:pPr>
            <w:r>
              <w:rPr>
                <w:rFonts w:ascii="Arial" w:hAnsi="Arial" w:cs="Arial"/>
                <w:sz w:val="20"/>
                <w:szCs w:val="20"/>
              </w:rPr>
              <w:t>73000000 – Research and development services and related consultancy services</w:t>
            </w:r>
          </w:p>
          <w:p w14:paraId="102A7357" w14:textId="42CADB1F" w:rsidR="00A1617D" w:rsidRPr="00A1617D" w:rsidRDefault="00A1617D" w:rsidP="00A1617D">
            <w:pPr>
              <w:keepLines/>
              <w:spacing w:after="0" w:line="240" w:lineRule="auto"/>
              <w:rPr>
                <w:rFonts w:ascii="Arial" w:hAnsi="Arial" w:cs="Arial"/>
                <w:sz w:val="20"/>
                <w:szCs w:val="20"/>
              </w:rPr>
            </w:pPr>
          </w:p>
        </w:tc>
      </w:tr>
      <w:tr w:rsidR="00A1617D" w:rsidRPr="00C64F53" w14:paraId="102A735B" w14:textId="77777777" w:rsidTr="00A5408D">
        <w:tc>
          <w:tcPr>
            <w:tcW w:w="3998" w:type="dxa"/>
            <w:shd w:val="clear" w:color="auto" w:fill="auto"/>
          </w:tcPr>
          <w:p w14:paraId="102A7359" w14:textId="77777777" w:rsidR="00A1617D" w:rsidRPr="00C64F53" w:rsidRDefault="00A1617D" w:rsidP="00A1617D">
            <w:pPr>
              <w:keepLines/>
              <w:spacing w:after="0" w:line="240" w:lineRule="auto"/>
              <w:rPr>
                <w:rFonts w:ascii="Arial" w:hAnsi="Arial" w:cs="Arial"/>
                <w:b/>
                <w:bCs/>
              </w:rPr>
            </w:pPr>
            <w:r w:rsidRPr="00C64F53">
              <w:rPr>
                <w:rFonts w:ascii="Arial" w:hAnsi="Arial" w:cs="Arial"/>
                <w:b/>
                <w:bCs/>
              </w:rPr>
              <w:t>VII.1.3 Place of performance</w:t>
            </w:r>
          </w:p>
        </w:tc>
        <w:tc>
          <w:tcPr>
            <w:tcW w:w="6095" w:type="dxa"/>
            <w:shd w:val="clear" w:color="auto" w:fill="auto"/>
          </w:tcPr>
          <w:p w14:paraId="102A735A" w14:textId="6341658D" w:rsidR="00A1617D" w:rsidRPr="00A1617D" w:rsidRDefault="008B52C5" w:rsidP="00A1617D">
            <w:pPr>
              <w:keepLines/>
              <w:spacing w:after="0" w:line="240" w:lineRule="auto"/>
              <w:rPr>
                <w:rFonts w:ascii="Arial" w:hAnsi="Arial" w:cs="Arial"/>
                <w:sz w:val="20"/>
                <w:szCs w:val="20"/>
              </w:rPr>
            </w:pPr>
            <w:r>
              <w:rPr>
                <w:rFonts w:ascii="Arial" w:hAnsi="Arial" w:cs="Arial"/>
                <w:sz w:val="20"/>
                <w:szCs w:val="20"/>
              </w:rPr>
              <w:t>UK</w:t>
            </w:r>
            <w:r w:rsidR="00417F92">
              <w:rPr>
                <w:rFonts w:ascii="Arial" w:hAnsi="Arial" w:cs="Arial"/>
                <w:sz w:val="20"/>
                <w:szCs w:val="20"/>
              </w:rPr>
              <w:t xml:space="preserve"> wide </w:t>
            </w:r>
          </w:p>
        </w:tc>
      </w:tr>
      <w:tr w:rsidR="00417F92" w:rsidRPr="00C64F53" w14:paraId="102A735E" w14:textId="77777777" w:rsidTr="00A5408D">
        <w:tc>
          <w:tcPr>
            <w:tcW w:w="3998" w:type="dxa"/>
            <w:shd w:val="clear" w:color="auto" w:fill="auto"/>
          </w:tcPr>
          <w:p w14:paraId="102A735C" w14:textId="584326D2" w:rsidR="00417F92" w:rsidRPr="00C64F53" w:rsidRDefault="00417F92" w:rsidP="00417F92">
            <w:pPr>
              <w:keepLines/>
              <w:spacing w:after="0" w:line="240" w:lineRule="auto"/>
              <w:rPr>
                <w:rFonts w:ascii="Arial" w:hAnsi="Arial" w:cs="Arial"/>
                <w:b/>
                <w:bCs/>
              </w:rPr>
            </w:pPr>
            <w:r w:rsidRPr="00C64F53">
              <w:rPr>
                <w:rFonts w:ascii="Arial" w:hAnsi="Arial" w:cs="Arial"/>
                <w:b/>
                <w:bCs/>
              </w:rPr>
              <w:lastRenderedPageBreak/>
              <w:t>VII.1.4 Description of the procurement</w:t>
            </w:r>
          </w:p>
        </w:tc>
        <w:tc>
          <w:tcPr>
            <w:tcW w:w="6095" w:type="dxa"/>
            <w:shd w:val="clear" w:color="auto" w:fill="auto"/>
          </w:tcPr>
          <w:p w14:paraId="4D53157C" w14:textId="115CD351" w:rsidR="001E2936" w:rsidRDefault="001E2936" w:rsidP="00A2556F">
            <w:pPr>
              <w:keepLines/>
              <w:spacing w:after="0" w:line="240" w:lineRule="auto"/>
              <w:rPr>
                <w:rFonts w:ascii="Arial" w:hAnsi="Arial" w:cs="Arial"/>
                <w:sz w:val="20"/>
                <w:szCs w:val="20"/>
              </w:rPr>
            </w:pPr>
            <w:r>
              <w:rPr>
                <w:rFonts w:ascii="Arial" w:hAnsi="Arial" w:cs="Arial"/>
                <w:sz w:val="20"/>
                <w:szCs w:val="20"/>
              </w:rPr>
              <w:t>As explained in Section II.2.4 above, the SMC advertised the Contract in</w:t>
            </w:r>
            <w:r w:rsidR="00D32753">
              <w:rPr>
                <w:rFonts w:ascii="Arial" w:hAnsi="Arial" w:cs="Arial"/>
                <w:sz w:val="20"/>
                <w:szCs w:val="20"/>
              </w:rPr>
              <w:t xml:space="preserve"> Contracts Finder and undertook a competitive process</w:t>
            </w:r>
            <w:r w:rsidR="00AE44B5">
              <w:rPr>
                <w:rFonts w:ascii="Arial" w:hAnsi="Arial" w:cs="Arial"/>
                <w:sz w:val="20"/>
                <w:szCs w:val="20"/>
              </w:rPr>
              <w:t xml:space="preserve">.  As the estimated value of the procurement fell below the threshold for the Public Contracts Regulations 2015 to apply, the SMC was not obliged to observe a process </w:t>
            </w:r>
            <w:r w:rsidR="00FB6947">
              <w:rPr>
                <w:rFonts w:ascii="Arial" w:hAnsi="Arial" w:cs="Arial"/>
                <w:sz w:val="20"/>
                <w:szCs w:val="20"/>
              </w:rPr>
              <w:t>pursuant to</w:t>
            </w:r>
            <w:r w:rsidR="00AE44B5">
              <w:rPr>
                <w:rFonts w:ascii="Arial" w:hAnsi="Arial" w:cs="Arial"/>
                <w:sz w:val="20"/>
                <w:szCs w:val="20"/>
              </w:rPr>
              <w:t xml:space="preserve"> the Regulations.</w:t>
            </w:r>
          </w:p>
          <w:p w14:paraId="102A735D" w14:textId="624188F8" w:rsidR="004C2781" w:rsidRPr="00B91D40" w:rsidRDefault="004C2781">
            <w:pPr>
              <w:keepLines/>
              <w:spacing w:after="0" w:line="240" w:lineRule="auto"/>
              <w:rPr>
                <w:rFonts w:ascii="Arial" w:hAnsi="Arial" w:cs="Arial"/>
                <w:sz w:val="20"/>
                <w:szCs w:val="20"/>
                <w:highlight w:val="yellow"/>
              </w:rPr>
            </w:pPr>
          </w:p>
        </w:tc>
      </w:tr>
      <w:tr w:rsidR="00417F92" w:rsidRPr="00C64F53" w14:paraId="102A7362" w14:textId="77777777" w:rsidTr="00A5408D">
        <w:tc>
          <w:tcPr>
            <w:tcW w:w="3998" w:type="dxa"/>
            <w:shd w:val="clear" w:color="auto" w:fill="auto"/>
          </w:tcPr>
          <w:p w14:paraId="102A735F" w14:textId="77777777" w:rsidR="00417F92" w:rsidRPr="00C64F53" w:rsidRDefault="00417F92" w:rsidP="00417F92">
            <w:pPr>
              <w:keepLines/>
              <w:spacing w:after="0" w:line="240" w:lineRule="auto"/>
              <w:rPr>
                <w:rFonts w:ascii="Arial" w:hAnsi="Arial" w:cs="Arial"/>
                <w:b/>
                <w:bCs/>
              </w:rPr>
            </w:pPr>
            <w:r w:rsidRPr="00C64F53">
              <w:rPr>
                <w:rFonts w:ascii="Arial" w:hAnsi="Arial" w:cs="Arial"/>
                <w:b/>
                <w:bCs/>
              </w:rPr>
              <w:t>VII.1.5 Duration of the contract, framework agreement, dynamic purchase system or concession</w:t>
            </w:r>
          </w:p>
        </w:tc>
        <w:tc>
          <w:tcPr>
            <w:tcW w:w="6095" w:type="dxa"/>
            <w:shd w:val="clear" w:color="auto" w:fill="auto"/>
          </w:tcPr>
          <w:p w14:paraId="102A7361" w14:textId="14564991" w:rsidR="00611DB3" w:rsidRPr="001274E8" w:rsidRDefault="001E2936">
            <w:pPr>
              <w:keepLines/>
              <w:spacing w:after="0" w:line="240" w:lineRule="auto"/>
              <w:rPr>
                <w:rFonts w:ascii="Arial" w:hAnsi="Arial" w:cs="Arial"/>
                <w:sz w:val="20"/>
                <w:szCs w:val="20"/>
              </w:rPr>
            </w:pPr>
            <w:r>
              <w:rPr>
                <w:rFonts w:ascii="Arial" w:hAnsi="Arial" w:cs="Arial"/>
                <w:sz w:val="20"/>
                <w:szCs w:val="20"/>
              </w:rPr>
              <w:t>24 [</w:t>
            </w:r>
            <w:r w:rsidRPr="00A95F18">
              <w:rPr>
                <w:rFonts w:ascii="Arial" w:hAnsi="Arial" w:cs="Arial"/>
                <w:i/>
                <w:sz w:val="20"/>
                <w:szCs w:val="20"/>
              </w:rPr>
              <w:t>months, i.e. January 2020 – December 2021</w:t>
            </w:r>
            <w:r>
              <w:rPr>
                <w:rFonts w:ascii="Arial" w:hAnsi="Arial" w:cs="Arial"/>
                <w:sz w:val="20"/>
                <w:szCs w:val="20"/>
              </w:rPr>
              <w:t>]</w:t>
            </w:r>
          </w:p>
        </w:tc>
      </w:tr>
      <w:tr w:rsidR="00417F92" w:rsidRPr="00C64F53" w14:paraId="102A7365" w14:textId="77777777" w:rsidTr="00A5408D">
        <w:tc>
          <w:tcPr>
            <w:tcW w:w="3998" w:type="dxa"/>
            <w:shd w:val="clear" w:color="auto" w:fill="auto"/>
          </w:tcPr>
          <w:p w14:paraId="102A7363" w14:textId="77777777" w:rsidR="00417F92" w:rsidRPr="00C64F53" w:rsidRDefault="00417F92" w:rsidP="00417F92">
            <w:pPr>
              <w:keepLines/>
              <w:spacing w:after="0" w:line="240" w:lineRule="auto"/>
              <w:rPr>
                <w:rFonts w:ascii="Arial" w:hAnsi="Arial" w:cs="Arial"/>
                <w:b/>
                <w:bCs/>
              </w:rPr>
            </w:pPr>
            <w:r w:rsidRPr="00C64F53">
              <w:rPr>
                <w:rFonts w:ascii="Arial" w:hAnsi="Arial" w:cs="Arial"/>
                <w:b/>
                <w:bCs/>
              </w:rPr>
              <w:t xml:space="preserve">VII.1.6 Information on value of the contract/lot/concession (excluding </w:t>
            </w:r>
            <w:r w:rsidRPr="006E3121">
              <w:rPr>
                <w:rFonts w:ascii="Arial" w:hAnsi="Arial" w:cs="Arial"/>
                <w:b/>
                <w:bCs/>
                <w:color w:val="000000" w:themeColor="text1"/>
              </w:rPr>
              <w:t>VAT)</w:t>
            </w:r>
          </w:p>
        </w:tc>
        <w:tc>
          <w:tcPr>
            <w:tcW w:w="6095" w:type="dxa"/>
            <w:shd w:val="clear" w:color="auto" w:fill="auto"/>
          </w:tcPr>
          <w:p w14:paraId="102A7364" w14:textId="4D9338C1" w:rsidR="00417F92" w:rsidRPr="001274E8" w:rsidRDefault="001E2936" w:rsidP="004C2781">
            <w:pPr>
              <w:keepLines/>
              <w:shd w:val="clear" w:color="auto" w:fill="FFFFFF"/>
              <w:spacing w:after="0" w:line="240" w:lineRule="auto"/>
              <w:rPr>
                <w:rFonts w:ascii="Arial" w:hAnsi="Arial" w:cs="Arial"/>
                <w:sz w:val="20"/>
                <w:szCs w:val="20"/>
              </w:rPr>
            </w:pPr>
            <w:r>
              <w:rPr>
                <w:rFonts w:ascii="Arial" w:hAnsi="Arial" w:cs="Arial"/>
                <w:color w:val="000000"/>
                <w:sz w:val="20"/>
                <w:szCs w:val="20"/>
              </w:rPr>
              <w:t>140 000 GBP</w:t>
            </w:r>
          </w:p>
        </w:tc>
      </w:tr>
      <w:tr w:rsidR="00417F92" w:rsidRPr="00C64F53" w14:paraId="102A736A" w14:textId="77777777" w:rsidTr="00A5408D">
        <w:tc>
          <w:tcPr>
            <w:tcW w:w="3998" w:type="dxa"/>
            <w:shd w:val="clear" w:color="auto" w:fill="auto"/>
          </w:tcPr>
          <w:p w14:paraId="102A7366" w14:textId="77777777" w:rsidR="00417F92" w:rsidRPr="00C64F53" w:rsidRDefault="00417F92" w:rsidP="00417F92">
            <w:pPr>
              <w:keepLines/>
              <w:spacing w:after="0" w:line="240" w:lineRule="auto"/>
              <w:rPr>
                <w:rFonts w:ascii="Arial" w:hAnsi="Arial" w:cs="Arial"/>
                <w:b/>
                <w:bCs/>
              </w:rPr>
            </w:pPr>
            <w:r w:rsidRPr="00C64F53">
              <w:rPr>
                <w:rFonts w:ascii="Arial" w:hAnsi="Arial" w:cs="Arial"/>
                <w:b/>
                <w:bCs/>
              </w:rPr>
              <w:t>VII.1.7 Name and address of the contractor/concessionaire 1</w:t>
            </w:r>
          </w:p>
        </w:tc>
        <w:tc>
          <w:tcPr>
            <w:tcW w:w="6095" w:type="dxa"/>
            <w:tcBorders>
              <w:bottom w:val="single" w:sz="4" w:space="0" w:color="auto"/>
            </w:tcBorders>
            <w:shd w:val="clear" w:color="auto" w:fill="auto"/>
          </w:tcPr>
          <w:p w14:paraId="3DC2F07B" w14:textId="77777777" w:rsidR="00C6442F" w:rsidRPr="00C6442F" w:rsidRDefault="00C6442F" w:rsidP="00C6442F">
            <w:pPr>
              <w:keepLines/>
              <w:shd w:val="clear" w:color="auto" w:fill="FFFFFF"/>
              <w:spacing w:after="0" w:line="240" w:lineRule="auto"/>
              <w:rPr>
                <w:rFonts w:ascii="Arial" w:hAnsi="Arial" w:cs="Arial"/>
                <w:color w:val="000000"/>
                <w:sz w:val="20"/>
              </w:rPr>
            </w:pPr>
            <w:r w:rsidRPr="00C6442F">
              <w:rPr>
                <w:rFonts w:ascii="Arial" w:hAnsi="Arial" w:cs="Arial"/>
                <w:color w:val="000000"/>
                <w:sz w:val="20"/>
              </w:rPr>
              <w:t xml:space="preserve">The Warden and Fellows of Nuffield College in the University of Oxford, </w:t>
            </w:r>
          </w:p>
          <w:p w14:paraId="7A90736D" w14:textId="77777777" w:rsidR="00C6442F" w:rsidRPr="00C6442F" w:rsidRDefault="00C6442F" w:rsidP="00C6442F">
            <w:pPr>
              <w:keepLines/>
              <w:shd w:val="clear" w:color="auto" w:fill="FFFFFF"/>
              <w:spacing w:after="0" w:line="240" w:lineRule="auto"/>
              <w:rPr>
                <w:rFonts w:ascii="Arial" w:hAnsi="Arial" w:cs="Arial"/>
                <w:color w:val="000000"/>
                <w:sz w:val="20"/>
              </w:rPr>
            </w:pPr>
            <w:r w:rsidRPr="00C6442F">
              <w:rPr>
                <w:rFonts w:ascii="Arial" w:hAnsi="Arial" w:cs="Arial"/>
                <w:color w:val="000000"/>
                <w:sz w:val="20"/>
              </w:rPr>
              <w:t xml:space="preserve">New Road, </w:t>
            </w:r>
          </w:p>
          <w:p w14:paraId="12A90726" w14:textId="77777777" w:rsidR="00C6442F" w:rsidRPr="00C6442F" w:rsidRDefault="00C6442F" w:rsidP="00C6442F">
            <w:pPr>
              <w:keepLines/>
              <w:shd w:val="clear" w:color="auto" w:fill="FFFFFF"/>
              <w:spacing w:after="0" w:line="240" w:lineRule="auto"/>
              <w:rPr>
                <w:rFonts w:ascii="Arial" w:hAnsi="Arial" w:cs="Arial"/>
                <w:color w:val="000000"/>
                <w:sz w:val="20"/>
              </w:rPr>
            </w:pPr>
            <w:r w:rsidRPr="00C6442F">
              <w:rPr>
                <w:rFonts w:ascii="Arial" w:hAnsi="Arial" w:cs="Arial"/>
                <w:color w:val="000000"/>
                <w:sz w:val="20"/>
              </w:rPr>
              <w:t xml:space="preserve">Oxford, </w:t>
            </w:r>
          </w:p>
          <w:p w14:paraId="7983FBAB" w14:textId="77777777" w:rsidR="00C6442F" w:rsidRPr="00C6442F" w:rsidRDefault="00C6442F" w:rsidP="00C6442F">
            <w:pPr>
              <w:keepLines/>
              <w:shd w:val="clear" w:color="auto" w:fill="FFFFFF"/>
              <w:spacing w:after="0" w:line="240" w:lineRule="auto"/>
              <w:rPr>
                <w:rFonts w:ascii="Arial" w:hAnsi="Arial" w:cs="Arial"/>
                <w:color w:val="000000"/>
                <w:sz w:val="20"/>
              </w:rPr>
            </w:pPr>
            <w:r w:rsidRPr="00C6442F">
              <w:rPr>
                <w:rFonts w:ascii="Arial" w:hAnsi="Arial" w:cs="Arial"/>
                <w:color w:val="000000"/>
                <w:sz w:val="20"/>
              </w:rPr>
              <w:t xml:space="preserve">OX1 1NF </w:t>
            </w:r>
          </w:p>
          <w:p w14:paraId="102A7369" w14:textId="575AB82B" w:rsidR="00417F92" w:rsidRPr="00611DB3" w:rsidRDefault="00C6442F" w:rsidP="00C6442F">
            <w:pPr>
              <w:keepLines/>
              <w:shd w:val="clear" w:color="auto" w:fill="FFFFFF"/>
              <w:spacing w:after="0" w:line="240" w:lineRule="auto"/>
              <w:rPr>
                <w:rFonts w:ascii="Arial" w:hAnsi="Arial" w:cs="Arial"/>
                <w:sz w:val="20"/>
                <w:szCs w:val="20"/>
              </w:rPr>
            </w:pPr>
            <w:r w:rsidRPr="00C6442F">
              <w:rPr>
                <w:rFonts w:ascii="Arial" w:hAnsi="Arial" w:cs="Arial"/>
                <w:color w:val="000000"/>
                <w:sz w:val="20"/>
              </w:rPr>
              <w:t>United Kingdom</w:t>
            </w:r>
          </w:p>
        </w:tc>
      </w:tr>
      <w:tr w:rsidR="00417F92" w:rsidRPr="00C64F53" w14:paraId="102A736D" w14:textId="77777777" w:rsidTr="00A5408D">
        <w:tc>
          <w:tcPr>
            <w:tcW w:w="3998" w:type="dxa"/>
            <w:shd w:val="clear" w:color="auto" w:fill="auto"/>
          </w:tcPr>
          <w:p w14:paraId="102A736B" w14:textId="77777777" w:rsidR="00417F92" w:rsidRPr="00152196" w:rsidRDefault="00417F92" w:rsidP="00417F92">
            <w:pPr>
              <w:keepLines/>
              <w:spacing w:after="0" w:line="240" w:lineRule="auto"/>
              <w:rPr>
                <w:rFonts w:ascii="Arial" w:hAnsi="Arial" w:cs="Arial"/>
                <w:b/>
                <w:bCs/>
              </w:rPr>
            </w:pPr>
            <w:r w:rsidRPr="00152196">
              <w:rPr>
                <w:rFonts w:ascii="Arial" w:hAnsi="Arial" w:cs="Arial"/>
                <w:b/>
                <w:bCs/>
              </w:rPr>
              <w:t>VII.2.1 Description of the modifications</w:t>
            </w:r>
          </w:p>
        </w:tc>
        <w:tc>
          <w:tcPr>
            <w:tcW w:w="6095" w:type="dxa"/>
            <w:shd w:val="clear" w:color="auto" w:fill="auto"/>
          </w:tcPr>
          <w:p w14:paraId="621535C8" w14:textId="77777777" w:rsidR="001E2936" w:rsidRDefault="001E2936" w:rsidP="001E2936">
            <w:pPr>
              <w:keepLines/>
              <w:spacing w:after="0" w:line="240" w:lineRule="auto"/>
              <w:rPr>
                <w:rFonts w:ascii="Arial" w:hAnsi="Arial" w:cs="Arial"/>
                <w:sz w:val="20"/>
                <w:szCs w:val="20"/>
              </w:rPr>
            </w:pPr>
            <w:r>
              <w:rPr>
                <w:rFonts w:ascii="Arial" w:hAnsi="Arial" w:cs="Arial"/>
                <w:sz w:val="20"/>
                <w:szCs w:val="20"/>
              </w:rPr>
              <w:t>The original Contract has been modified to:</w:t>
            </w:r>
          </w:p>
          <w:p w14:paraId="62BD1332" w14:textId="77777777" w:rsidR="001E2936" w:rsidRDefault="001E2936" w:rsidP="001E2936">
            <w:pPr>
              <w:keepLines/>
              <w:spacing w:after="0" w:line="240" w:lineRule="auto"/>
              <w:rPr>
                <w:rFonts w:ascii="Arial" w:hAnsi="Arial" w:cs="Arial"/>
                <w:sz w:val="20"/>
                <w:szCs w:val="20"/>
              </w:rPr>
            </w:pPr>
          </w:p>
          <w:p w14:paraId="0A964154" w14:textId="77777777" w:rsidR="001E2936" w:rsidRDefault="001E2936" w:rsidP="001E2936">
            <w:pPr>
              <w:pStyle w:val="ListParagraph"/>
              <w:keepLines/>
              <w:numPr>
                <w:ilvl w:val="0"/>
                <w:numId w:val="4"/>
              </w:numPr>
              <w:spacing w:after="0" w:line="240" w:lineRule="auto"/>
              <w:rPr>
                <w:rFonts w:ascii="Arial" w:hAnsi="Arial" w:cs="Arial"/>
                <w:sz w:val="20"/>
                <w:szCs w:val="20"/>
              </w:rPr>
            </w:pPr>
            <w:r>
              <w:rPr>
                <w:rFonts w:ascii="Arial" w:hAnsi="Arial" w:cs="Arial"/>
                <w:sz w:val="20"/>
                <w:szCs w:val="20"/>
              </w:rPr>
              <w:t>e</w:t>
            </w:r>
            <w:r w:rsidRPr="004C2781">
              <w:rPr>
                <w:rFonts w:ascii="Arial" w:hAnsi="Arial" w:cs="Arial"/>
                <w:sz w:val="20"/>
                <w:szCs w:val="20"/>
              </w:rPr>
              <w:t>xtend the end date to 31</w:t>
            </w:r>
            <w:r w:rsidRPr="004C2781">
              <w:rPr>
                <w:rFonts w:ascii="Arial" w:hAnsi="Arial" w:cs="Arial"/>
                <w:sz w:val="20"/>
                <w:szCs w:val="20"/>
                <w:vertAlign w:val="superscript"/>
              </w:rPr>
              <w:t>st</w:t>
            </w:r>
            <w:r w:rsidRPr="004C2781">
              <w:rPr>
                <w:rFonts w:ascii="Arial" w:hAnsi="Arial" w:cs="Arial"/>
                <w:sz w:val="20"/>
                <w:szCs w:val="20"/>
              </w:rPr>
              <w:t xml:space="preserve"> October 2021 with an option to extend</w:t>
            </w:r>
            <w:r>
              <w:rPr>
                <w:rFonts w:ascii="Arial" w:hAnsi="Arial" w:cs="Arial"/>
                <w:sz w:val="20"/>
                <w:szCs w:val="20"/>
              </w:rPr>
              <w:t xml:space="preserve"> the contract</w:t>
            </w:r>
            <w:r w:rsidRPr="004C2781">
              <w:rPr>
                <w:rFonts w:ascii="Arial" w:hAnsi="Arial" w:cs="Arial"/>
                <w:sz w:val="20"/>
                <w:szCs w:val="20"/>
              </w:rPr>
              <w:t xml:space="preserve"> for an additional 2 months if required</w:t>
            </w:r>
            <w:r>
              <w:rPr>
                <w:rFonts w:ascii="Arial" w:hAnsi="Arial" w:cs="Arial"/>
                <w:sz w:val="20"/>
                <w:szCs w:val="20"/>
              </w:rPr>
              <w:t>;</w:t>
            </w:r>
          </w:p>
          <w:p w14:paraId="4154F707" w14:textId="77777777" w:rsidR="001E2936" w:rsidRDefault="001E2936" w:rsidP="001E2936">
            <w:pPr>
              <w:pStyle w:val="ListParagraph"/>
              <w:keepLines/>
              <w:numPr>
                <w:ilvl w:val="0"/>
                <w:numId w:val="4"/>
              </w:numPr>
              <w:spacing w:after="0" w:line="240" w:lineRule="auto"/>
              <w:rPr>
                <w:rFonts w:ascii="Arial" w:hAnsi="Arial" w:cs="Arial"/>
                <w:sz w:val="20"/>
                <w:szCs w:val="20"/>
              </w:rPr>
            </w:pPr>
            <w:r>
              <w:rPr>
                <w:rFonts w:ascii="Arial" w:hAnsi="Arial" w:cs="Arial"/>
                <w:sz w:val="20"/>
                <w:szCs w:val="20"/>
              </w:rPr>
              <w:t>extend the deadline for the delivery of the final report to 31 October 2021;</w:t>
            </w:r>
          </w:p>
          <w:p w14:paraId="73959444" w14:textId="77777777" w:rsidR="001E2936" w:rsidRDefault="001E2936" w:rsidP="001E2936">
            <w:pPr>
              <w:pStyle w:val="ListParagraph"/>
              <w:keepLines/>
              <w:numPr>
                <w:ilvl w:val="0"/>
                <w:numId w:val="4"/>
              </w:numPr>
              <w:spacing w:after="0" w:line="240" w:lineRule="auto"/>
              <w:rPr>
                <w:rFonts w:ascii="Arial" w:hAnsi="Arial" w:cs="Arial"/>
                <w:sz w:val="20"/>
                <w:szCs w:val="20"/>
              </w:rPr>
            </w:pPr>
            <w:r>
              <w:rPr>
                <w:rFonts w:ascii="Arial" w:hAnsi="Arial" w:cs="Arial"/>
                <w:sz w:val="20"/>
                <w:szCs w:val="20"/>
              </w:rPr>
              <w:t>a</w:t>
            </w:r>
            <w:r w:rsidRPr="00412336">
              <w:rPr>
                <w:rFonts w:ascii="Arial" w:hAnsi="Arial" w:cs="Arial"/>
                <w:sz w:val="20"/>
                <w:szCs w:val="20"/>
              </w:rPr>
              <w:t>ccommodate additional services which have become necessary to be performed by the Contractor including:</w:t>
            </w:r>
          </w:p>
          <w:p w14:paraId="4C65F4E8" w14:textId="77777777" w:rsidR="001E2936" w:rsidRDefault="001E2936" w:rsidP="001E2936">
            <w:pPr>
              <w:pStyle w:val="ListParagraph"/>
              <w:keepLines/>
              <w:numPr>
                <w:ilvl w:val="0"/>
                <w:numId w:val="7"/>
              </w:numPr>
              <w:spacing w:after="0" w:line="240" w:lineRule="auto"/>
              <w:rPr>
                <w:rFonts w:ascii="Arial" w:hAnsi="Arial" w:cs="Arial"/>
                <w:sz w:val="20"/>
                <w:szCs w:val="20"/>
              </w:rPr>
            </w:pPr>
            <w:r w:rsidRPr="00412336">
              <w:rPr>
                <w:rFonts w:ascii="Arial" w:hAnsi="Arial" w:cs="Arial"/>
                <w:sz w:val="20"/>
                <w:szCs w:val="20"/>
              </w:rPr>
              <w:t>an additional set of workshops with stakeholders to test reactions to the proposed measurement framework;</w:t>
            </w:r>
          </w:p>
          <w:p w14:paraId="7E713A06" w14:textId="77777777" w:rsidR="001E2936" w:rsidRDefault="001E2936" w:rsidP="001E2936">
            <w:pPr>
              <w:pStyle w:val="ListParagraph"/>
              <w:keepLines/>
              <w:numPr>
                <w:ilvl w:val="0"/>
                <w:numId w:val="7"/>
              </w:numPr>
              <w:spacing w:after="0" w:line="240" w:lineRule="auto"/>
              <w:rPr>
                <w:rFonts w:ascii="Arial" w:hAnsi="Arial" w:cs="Arial"/>
                <w:sz w:val="20"/>
                <w:szCs w:val="20"/>
              </w:rPr>
            </w:pPr>
            <w:r w:rsidRPr="00412336">
              <w:rPr>
                <w:rFonts w:ascii="Arial" w:hAnsi="Arial" w:cs="Arial"/>
                <w:sz w:val="20"/>
                <w:szCs w:val="20"/>
              </w:rPr>
              <w:t>develop metrics for the 'drivers' which were not mentioned in the original contract in addition to developing additional new short-term metrics as well as developing the long-term metrics mentioned in the original contract;</w:t>
            </w:r>
          </w:p>
          <w:p w14:paraId="58CBFEE6" w14:textId="77777777" w:rsidR="001E2936" w:rsidRDefault="001E2936" w:rsidP="001E2936">
            <w:pPr>
              <w:pStyle w:val="ListParagraph"/>
              <w:keepLines/>
              <w:numPr>
                <w:ilvl w:val="0"/>
                <w:numId w:val="7"/>
              </w:numPr>
              <w:spacing w:after="0" w:line="240" w:lineRule="auto"/>
              <w:rPr>
                <w:rFonts w:ascii="Arial" w:hAnsi="Arial" w:cs="Arial"/>
                <w:sz w:val="20"/>
                <w:szCs w:val="20"/>
              </w:rPr>
            </w:pPr>
            <w:r>
              <w:rPr>
                <w:rFonts w:ascii="Arial" w:hAnsi="Arial" w:cs="Arial"/>
                <w:sz w:val="20"/>
                <w:szCs w:val="20"/>
              </w:rPr>
              <w:t>conducting</w:t>
            </w:r>
            <w:r w:rsidRPr="00412336">
              <w:rPr>
                <w:rFonts w:ascii="Arial" w:hAnsi="Arial" w:cs="Arial"/>
                <w:sz w:val="20"/>
                <w:szCs w:val="20"/>
              </w:rPr>
              <w:t xml:space="preserve"> a longitudinal assessment of all the new metrics, in addition to the existing/original metrics;</w:t>
            </w:r>
          </w:p>
          <w:p w14:paraId="24FEAE2D" w14:textId="77777777" w:rsidR="001E2936" w:rsidRDefault="001E2936" w:rsidP="001E2936">
            <w:pPr>
              <w:pStyle w:val="ListParagraph"/>
              <w:keepLines/>
              <w:numPr>
                <w:ilvl w:val="0"/>
                <w:numId w:val="7"/>
              </w:numPr>
              <w:spacing w:after="0" w:line="240" w:lineRule="auto"/>
              <w:rPr>
                <w:rFonts w:ascii="Arial" w:hAnsi="Arial" w:cs="Arial"/>
                <w:sz w:val="20"/>
                <w:szCs w:val="20"/>
              </w:rPr>
            </w:pPr>
            <w:r w:rsidRPr="00412336">
              <w:rPr>
                <w:rFonts w:ascii="Arial" w:hAnsi="Arial" w:cs="Arial"/>
                <w:sz w:val="20"/>
                <w:szCs w:val="20"/>
              </w:rPr>
              <w:t>produce an expanded, updated and publishable Literature Review on social mobility;</w:t>
            </w:r>
          </w:p>
          <w:p w14:paraId="596CA80C" w14:textId="77777777" w:rsidR="001E2936" w:rsidRDefault="001E2936" w:rsidP="001E2936">
            <w:pPr>
              <w:pStyle w:val="ListParagraph"/>
              <w:keepLines/>
              <w:numPr>
                <w:ilvl w:val="0"/>
                <w:numId w:val="7"/>
              </w:numPr>
              <w:spacing w:after="0" w:line="240" w:lineRule="auto"/>
              <w:rPr>
                <w:rFonts w:ascii="Arial" w:hAnsi="Arial" w:cs="Arial"/>
                <w:sz w:val="20"/>
                <w:szCs w:val="20"/>
              </w:rPr>
            </w:pPr>
            <w:r w:rsidRPr="00412336">
              <w:rPr>
                <w:rFonts w:ascii="Arial" w:hAnsi="Arial" w:cs="Arial"/>
                <w:sz w:val="20"/>
                <w:szCs w:val="20"/>
              </w:rPr>
              <w:t>further editing and assistance with a project question and answer (Q&amp;A) exercise due to take place in October 2021 to incorporate comments from Commissioners; and</w:t>
            </w:r>
          </w:p>
          <w:p w14:paraId="3877BAF0" w14:textId="77777777" w:rsidR="001E2936" w:rsidRPr="00412336" w:rsidRDefault="001E2936" w:rsidP="001E2936">
            <w:pPr>
              <w:pStyle w:val="ListParagraph"/>
              <w:keepLines/>
              <w:numPr>
                <w:ilvl w:val="0"/>
                <w:numId w:val="7"/>
              </w:numPr>
              <w:spacing w:after="0" w:line="240" w:lineRule="auto"/>
              <w:rPr>
                <w:rFonts w:ascii="Arial" w:hAnsi="Arial" w:cs="Arial"/>
                <w:sz w:val="20"/>
                <w:szCs w:val="20"/>
              </w:rPr>
            </w:pPr>
            <w:r w:rsidRPr="00412336">
              <w:rPr>
                <w:rFonts w:ascii="Arial" w:hAnsi="Arial" w:cs="Arial"/>
                <w:sz w:val="20"/>
                <w:szCs w:val="20"/>
              </w:rPr>
              <w:t xml:space="preserve">to provide the SMC with </w:t>
            </w:r>
            <w:r>
              <w:rPr>
                <w:rFonts w:ascii="Arial" w:hAnsi="Arial" w:cs="Arial"/>
                <w:sz w:val="20"/>
                <w:szCs w:val="20"/>
              </w:rPr>
              <w:t>a database evidencing</w:t>
            </w:r>
            <w:r w:rsidRPr="00412336">
              <w:rPr>
                <w:rFonts w:ascii="Arial" w:hAnsi="Arial" w:cs="Arial"/>
                <w:sz w:val="20"/>
                <w:szCs w:val="20"/>
              </w:rPr>
              <w:t xml:space="preserve"> </w:t>
            </w:r>
            <w:r>
              <w:rPr>
                <w:rFonts w:ascii="Arial" w:hAnsi="Arial" w:cs="Arial"/>
                <w:sz w:val="20"/>
                <w:szCs w:val="20"/>
              </w:rPr>
              <w:t>the source of the u</w:t>
            </w:r>
            <w:r w:rsidRPr="00412336">
              <w:rPr>
                <w:rFonts w:ascii="Arial" w:hAnsi="Arial" w:cs="Arial"/>
                <w:sz w:val="20"/>
                <w:szCs w:val="20"/>
              </w:rPr>
              <w:t xml:space="preserve">nderlying data for each figure or chart used in the final report, </w:t>
            </w:r>
            <w:r>
              <w:rPr>
                <w:rFonts w:ascii="Arial" w:hAnsi="Arial" w:cs="Arial"/>
                <w:sz w:val="20"/>
                <w:szCs w:val="20"/>
              </w:rPr>
              <w:t>and</w:t>
            </w:r>
          </w:p>
          <w:p w14:paraId="644B5636" w14:textId="77777777" w:rsidR="001E2936" w:rsidRDefault="001E2936" w:rsidP="001E2936">
            <w:pPr>
              <w:pStyle w:val="ListParagraph"/>
              <w:keepLines/>
              <w:numPr>
                <w:ilvl w:val="0"/>
                <w:numId w:val="4"/>
              </w:numPr>
              <w:spacing w:after="0" w:line="240" w:lineRule="auto"/>
              <w:rPr>
                <w:rFonts w:ascii="Arial" w:hAnsi="Arial" w:cs="Arial"/>
                <w:sz w:val="20"/>
                <w:szCs w:val="20"/>
              </w:rPr>
            </w:pPr>
            <w:r>
              <w:rPr>
                <w:rFonts w:ascii="Arial" w:hAnsi="Arial" w:cs="Arial"/>
                <w:sz w:val="20"/>
                <w:szCs w:val="20"/>
              </w:rPr>
              <w:t>include additional payment provisions in light of the additional work required as outlined above, which increases the original contract value by £40,000.</w:t>
            </w:r>
          </w:p>
          <w:p w14:paraId="102A736C" w14:textId="643019B9" w:rsidR="004C2781" w:rsidRPr="004C2781" w:rsidRDefault="004C2781" w:rsidP="00FB6947">
            <w:pPr>
              <w:keepLines/>
              <w:spacing w:after="0" w:line="240" w:lineRule="auto"/>
              <w:rPr>
                <w:rFonts w:ascii="Arial" w:hAnsi="Arial" w:cs="Arial"/>
                <w:color w:val="000000"/>
                <w:sz w:val="20"/>
                <w:szCs w:val="20"/>
              </w:rPr>
            </w:pPr>
          </w:p>
        </w:tc>
      </w:tr>
      <w:tr w:rsidR="00417F92" w:rsidRPr="00C64F53" w14:paraId="102A7370" w14:textId="77777777" w:rsidTr="00A5408D">
        <w:tc>
          <w:tcPr>
            <w:tcW w:w="3998" w:type="dxa"/>
            <w:shd w:val="clear" w:color="auto" w:fill="auto"/>
          </w:tcPr>
          <w:p w14:paraId="102A736E" w14:textId="77777777" w:rsidR="00417F92" w:rsidRPr="00152196" w:rsidRDefault="00417F92" w:rsidP="00417F92">
            <w:pPr>
              <w:keepLines/>
              <w:spacing w:after="0" w:line="240" w:lineRule="auto"/>
              <w:rPr>
                <w:rFonts w:ascii="Arial" w:hAnsi="Arial" w:cs="Arial"/>
                <w:b/>
                <w:bCs/>
              </w:rPr>
            </w:pPr>
            <w:r w:rsidRPr="00152196">
              <w:rPr>
                <w:rFonts w:ascii="Arial" w:hAnsi="Arial" w:cs="Arial"/>
                <w:b/>
                <w:bCs/>
              </w:rPr>
              <w:t>VII.2.2 Reasons for modification</w:t>
            </w:r>
          </w:p>
        </w:tc>
        <w:tc>
          <w:tcPr>
            <w:tcW w:w="6095" w:type="dxa"/>
            <w:shd w:val="clear" w:color="auto" w:fill="auto"/>
          </w:tcPr>
          <w:p w14:paraId="39D1F068" w14:textId="1611BA23" w:rsidR="00D32753" w:rsidRDefault="00D32753" w:rsidP="00372A95">
            <w:pPr>
              <w:keepLines/>
              <w:spacing w:after="0" w:line="240" w:lineRule="auto"/>
              <w:rPr>
                <w:rFonts w:ascii="Arial" w:hAnsi="Arial" w:cs="Arial"/>
                <w:sz w:val="20"/>
                <w:szCs w:val="20"/>
              </w:rPr>
            </w:pPr>
            <w:r>
              <w:rPr>
                <w:rFonts w:ascii="Arial" w:hAnsi="Arial" w:cs="Arial"/>
                <w:sz w:val="20"/>
                <w:szCs w:val="20"/>
              </w:rPr>
              <w:t>Additional services from the original contractor are required, which have become necessary and were not included in the initial procurement as further described in Regulation 72(1)</w:t>
            </w:r>
            <w:r w:rsidR="00371C6F">
              <w:rPr>
                <w:rFonts w:ascii="Arial" w:hAnsi="Arial" w:cs="Arial"/>
                <w:sz w:val="20"/>
                <w:szCs w:val="20"/>
              </w:rPr>
              <w:t>(b)</w:t>
            </w:r>
            <w:r>
              <w:rPr>
                <w:rFonts w:ascii="Arial" w:hAnsi="Arial" w:cs="Arial"/>
                <w:sz w:val="20"/>
                <w:szCs w:val="20"/>
              </w:rPr>
              <w:t xml:space="preserve"> of the Public Contracts Regulations 2015.</w:t>
            </w:r>
          </w:p>
          <w:p w14:paraId="5938E436" w14:textId="77777777" w:rsidR="00D32753" w:rsidRDefault="00D32753" w:rsidP="00372A95">
            <w:pPr>
              <w:keepLines/>
              <w:spacing w:after="0" w:line="240" w:lineRule="auto"/>
              <w:rPr>
                <w:rFonts w:ascii="Arial" w:hAnsi="Arial" w:cs="Arial"/>
                <w:sz w:val="20"/>
                <w:szCs w:val="20"/>
              </w:rPr>
            </w:pPr>
          </w:p>
          <w:p w14:paraId="3A27DDF5" w14:textId="5CD32AF4" w:rsidR="008C5FDC" w:rsidRDefault="00372A95" w:rsidP="00372A95">
            <w:pPr>
              <w:keepLines/>
              <w:spacing w:after="0" w:line="240" w:lineRule="auto"/>
              <w:rPr>
                <w:rFonts w:ascii="Arial" w:hAnsi="Arial" w:cs="Arial"/>
                <w:sz w:val="20"/>
                <w:szCs w:val="20"/>
              </w:rPr>
            </w:pPr>
            <w:r>
              <w:rPr>
                <w:rFonts w:ascii="Arial" w:hAnsi="Arial" w:cs="Arial"/>
                <w:sz w:val="20"/>
                <w:szCs w:val="20"/>
              </w:rPr>
              <w:t xml:space="preserve">The </w:t>
            </w:r>
            <w:r w:rsidR="00D32753">
              <w:rPr>
                <w:rFonts w:ascii="Arial" w:hAnsi="Arial" w:cs="Arial"/>
                <w:sz w:val="20"/>
                <w:szCs w:val="20"/>
              </w:rPr>
              <w:t>additional services are necessary because:</w:t>
            </w:r>
          </w:p>
          <w:p w14:paraId="6678AC67" w14:textId="56D91077" w:rsidR="00597E0D" w:rsidRDefault="00597E0D" w:rsidP="00597E0D">
            <w:pPr>
              <w:keepLines/>
              <w:spacing w:after="0" w:line="240" w:lineRule="auto"/>
              <w:rPr>
                <w:rFonts w:ascii="Arial" w:hAnsi="Arial" w:cs="Arial"/>
                <w:sz w:val="20"/>
                <w:szCs w:val="20"/>
              </w:rPr>
            </w:pPr>
            <w:r w:rsidRPr="00A95F18">
              <w:rPr>
                <w:rFonts w:ascii="Arial" w:hAnsi="Arial" w:cs="Arial"/>
                <w:b/>
                <w:sz w:val="20"/>
                <w:szCs w:val="20"/>
              </w:rPr>
              <w:lastRenderedPageBreak/>
              <w:t>Additional set of workshops with stakeholders (Output 9)</w:t>
            </w:r>
            <w:r w:rsidR="00D32753">
              <w:rPr>
                <w:rFonts w:ascii="Arial" w:hAnsi="Arial" w:cs="Arial"/>
                <w:b/>
                <w:sz w:val="20"/>
                <w:szCs w:val="20"/>
              </w:rPr>
              <w:t xml:space="preserve"> - </w:t>
            </w:r>
            <w:r w:rsidR="00D32753">
              <w:rPr>
                <w:rFonts w:ascii="Arial" w:hAnsi="Arial" w:cs="Arial"/>
                <w:sz w:val="20"/>
                <w:szCs w:val="20"/>
              </w:rPr>
              <w:t>as</w:t>
            </w:r>
            <w:r w:rsidRPr="00A95F18">
              <w:rPr>
                <w:rFonts w:ascii="Arial" w:hAnsi="Arial" w:cs="Arial"/>
                <w:sz w:val="20"/>
                <w:szCs w:val="20"/>
              </w:rPr>
              <w:t xml:space="preserve"> the Project made progress on developing the measures that would form part of the framework, it became clear that many of the measures that the SMC would ideally have liked, were not available and also that further measures (deliverables/outputs) needed to be added due to unforeseen ministerial interest, particularly in measures related to business and enterprise. </w:t>
            </w:r>
            <w:r w:rsidRPr="00597E0D">
              <w:rPr>
                <w:rFonts w:ascii="Arial" w:hAnsi="Arial" w:cs="Arial"/>
                <w:sz w:val="20"/>
                <w:szCs w:val="20"/>
              </w:rPr>
              <w:t>This meant that the SMC also</w:t>
            </w:r>
            <w:r>
              <w:rPr>
                <w:rFonts w:ascii="Arial" w:hAnsi="Arial" w:cs="Arial"/>
                <w:sz w:val="20"/>
                <w:szCs w:val="20"/>
              </w:rPr>
              <w:t xml:space="preserve"> had to ensure that the Contractor</w:t>
            </w:r>
            <w:r w:rsidRPr="00597E0D">
              <w:rPr>
                <w:rFonts w:ascii="Arial" w:hAnsi="Arial" w:cs="Arial"/>
                <w:sz w:val="20"/>
                <w:szCs w:val="20"/>
              </w:rPr>
              <w:t xml:space="preserve"> tests new potential measures with expert stakeholders, to guarantee that nothing has been missed. </w:t>
            </w:r>
            <w:r w:rsidR="00D32753">
              <w:rPr>
                <w:rFonts w:ascii="Arial" w:hAnsi="Arial" w:cs="Arial"/>
                <w:sz w:val="20"/>
                <w:szCs w:val="20"/>
              </w:rPr>
              <w:t xml:space="preserve"> </w:t>
            </w:r>
            <w:r w:rsidRPr="00597E0D">
              <w:rPr>
                <w:rFonts w:ascii="Arial" w:hAnsi="Arial" w:cs="Arial"/>
                <w:sz w:val="20"/>
                <w:szCs w:val="20"/>
              </w:rPr>
              <w:t>The alternative (of not including these necessary new outputs), would have been a very incomplete framework document, which would have gone against the original project objectives.</w:t>
            </w:r>
          </w:p>
          <w:p w14:paraId="7C89E183" w14:textId="77777777" w:rsidR="00597E0D" w:rsidRPr="00597E0D" w:rsidRDefault="00597E0D" w:rsidP="00597E0D">
            <w:pPr>
              <w:keepLines/>
              <w:spacing w:after="0" w:line="240" w:lineRule="auto"/>
              <w:rPr>
                <w:rFonts w:ascii="Arial" w:hAnsi="Arial" w:cs="Arial"/>
                <w:sz w:val="20"/>
                <w:szCs w:val="20"/>
              </w:rPr>
            </w:pPr>
          </w:p>
          <w:p w14:paraId="072AA3F0" w14:textId="65B73856" w:rsidR="00597E0D" w:rsidRDefault="00597E0D" w:rsidP="00597E0D">
            <w:pPr>
              <w:keepLines/>
              <w:spacing w:after="0" w:line="240" w:lineRule="auto"/>
              <w:rPr>
                <w:rFonts w:ascii="Arial" w:hAnsi="Arial" w:cs="Arial"/>
                <w:sz w:val="20"/>
                <w:szCs w:val="20"/>
              </w:rPr>
            </w:pPr>
            <w:r w:rsidRPr="00597E0D">
              <w:rPr>
                <w:rFonts w:ascii="Arial" w:hAnsi="Arial" w:cs="Arial"/>
                <w:b/>
                <w:sz w:val="20"/>
                <w:szCs w:val="20"/>
              </w:rPr>
              <w:t>Final draft of additional metrics and metric</w:t>
            </w:r>
            <w:r>
              <w:rPr>
                <w:rFonts w:ascii="Arial" w:hAnsi="Arial" w:cs="Arial"/>
                <w:b/>
                <w:sz w:val="20"/>
                <w:szCs w:val="20"/>
              </w:rPr>
              <w:t>s for the ‘drivers’ (Output 10)</w:t>
            </w:r>
            <w:r w:rsidR="00D32753">
              <w:rPr>
                <w:rFonts w:ascii="Arial" w:hAnsi="Arial" w:cs="Arial"/>
                <w:b/>
                <w:sz w:val="20"/>
                <w:szCs w:val="20"/>
              </w:rPr>
              <w:t xml:space="preserve"> - </w:t>
            </w:r>
            <w:r w:rsidRPr="00597E0D">
              <w:rPr>
                <w:rFonts w:ascii="Arial" w:hAnsi="Arial" w:cs="Arial"/>
                <w:sz w:val="20"/>
                <w:szCs w:val="20"/>
              </w:rPr>
              <w:t>Related to the above rationale for Output 9, the final set of measures needed to be calculated and commented on.</w:t>
            </w:r>
          </w:p>
          <w:p w14:paraId="016A6B90" w14:textId="77777777" w:rsidR="00597E0D" w:rsidRPr="00597E0D" w:rsidRDefault="00597E0D" w:rsidP="00597E0D">
            <w:pPr>
              <w:keepLines/>
              <w:spacing w:after="0" w:line="240" w:lineRule="auto"/>
              <w:rPr>
                <w:rFonts w:ascii="Arial" w:hAnsi="Arial" w:cs="Arial"/>
                <w:sz w:val="20"/>
                <w:szCs w:val="20"/>
              </w:rPr>
            </w:pPr>
          </w:p>
          <w:p w14:paraId="6B573A25" w14:textId="610609D3" w:rsidR="00597E0D" w:rsidRDefault="00597E0D" w:rsidP="00597E0D">
            <w:pPr>
              <w:keepLines/>
              <w:spacing w:after="0" w:line="240" w:lineRule="auto"/>
              <w:rPr>
                <w:rFonts w:ascii="Arial" w:hAnsi="Arial" w:cs="Arial"/>
                <w:sz w:val="20"/>
                <w:szCs w:val="20"/>
              </w:rPr>
            </w:pPr>
            <w:r w:rsidRPr="00597E0D">
              <w:rPr>
                <w:rFonts w:ascii="Arial" w:hAnsi="Arial" w:cs="Arial"/>
                <w:b/>
                <w:sz w:val="20"/>
                <w:szCs w:val="20"/>
              </w:rPr>
              <w:t>Final draft of longitudinal assessment of all the new metrics (Output 11)</w:t>
            </w:r>
            <w:r w:rsidR="00D32753">
              <w:rPr>
                <w:rFonts w:ascii="Arial" w:hAnsi="Arial" w:cs="Arial"/>
                <w:b/>
                <w:sz w:val="20"/>
                <w:szCs w:val="20"/>
              </w:rPr>
              <w:t xml:space="preserve"> - </w:t>
            </w:r>
            <w:r w:rsidR="00D32753">
              <w:rPr>
                <w:rFonts w:ascii="Arial" w:hAnsi="Arial" w:cs="Arial"/>
                <w:sz w:val="20"/>
                <w:szCs w:val="20"/>
              </w:rPr>
              <w:t>a</w:t>
            </w:r>
            <w:r w:rsidRPr="00597E0D">
              <w:rPr>
                <w:rFonts w:ascii="Arial" w:hAnsi="Arial" w:cs="Arial"/>
                <w:sz w:val="20"/>
                <w:szCs w:val="20"/>
              </w:rPr>
              <w:t>gain, related to the above rationale for Output 9, the final set of measures needed to be calculated and commented on.</w:t>
            </w:r>
          </w:p>
          <w:p w14:paraId="36270FF2" w14:textId="77777777" w:rsidR="00597E0D" w:rsidRPr="00597E0D" w:rsidRDefault="00597E0D" w:rsidP="00597E0D">
            <w:pPr>
              <w:keepLines/>
              <w:spacing w:after="0" w:line="240" w:lineRule="auto"/>
              <w:rPr>
                <w:rFonts w:ascii="Arial" w:hAnsi="Arial" w:cs="Arial"/>
                <w:sz w:val="20"/>
                <w:szCs w:val="20"/>
              </w:rPr>
            </w:pPr>
          </w:p>
          <w:p w14:paraId="3213AEF0" w14:textId="3E49CB03" w:rsidR="00597E0D" w:rsidRDefault="00597E0D" w:rsidP="00597E0D">
            <w:pPr>
              <w:keepLines/>
              <w:spacing w:after="0" w:line="240" w:lineRule="auto"/>
              <w:rPr>
                <w:rFonts w:ascii="Arial" w:hAnsi="Arial" w:cs="Arial"/>
                <w:sz w:val="20"/>
                <w:szCs w:val="20"/>
              </w:rPr>
            </w:pPr>
            <w:r w:rsidRPr="00597E0D">
              <w:rPr>
                <w:rFonts w:ascii="Arial" w:hAnsi="Arial" w:cs="Arial"/>
                <w:b/>
                <w:sz w:val="20"/>
                <w:szCs w:val="20"/>
              </w:rPr>
              <w:t>Final draft of Literature Review (Output 12)</w:t>
            </w:r>
            <w:r w:rsidR="00D32753">
              <w:rPr>
                <w:rFonts w:ascii="Arial" w:hAnsi="Arial" w:cs="Arial"/>
                <w:sz w:val="20"/>
                <w:szCs w:val="20"/>
              </w:rPr>
              <w:t xml:space="preserve"> - s</w:t>
            </w:r>
            <w:r w:rsidRPr="00597E0D">
              <w:rPr>
                <w:rFonts w:ascii="Arial" w:hAnsi="Arial" w:cs="Arial"/>
                <w:sz w:val="20"/>
                <w:szCs w:val="20"/>
              </w:rPr>
              <w:t>ince the framework has become more complex than was originally expected, it's become necessary to publish a literature review explaining the theory of change behind the measures.</w:t>
            </w:r>
            <w:r w:rsidR="00D32753">
              <w:rPr>
                <w:rFonts w:ascii="Arial" w:hAnsi="Arial" w:cs="Arial"/>
                <w:sz w:val="20"/>
                <w:szCs w:val="20"/>
              </w:rPr>
              <w:t xml:space="preserve"> </w:t>
            </w:r>
            <w:r w:rsidRPr="00597E0D">
              <w:rPr>
                <w:rFonts w:ascii="Arial" w:hAnsi="Arial" w:cs="Arial"/>
                <w:sz w:val="20"/>
                <w:szCs w:val="20"/>
              </w:rPr>
              <w:t xml:space="preserve">A Theory of Change describes how change is assumed to come about through intervention in a prevailing situation. The theory is usually laid out in a diagram showing the connections between interventions and outcomes – the causal pathways or results chains. But more than this, it makes clear that these causal pathways rest on a set of assumptions. And these assumptions have varying degrees of evidence to support them. It makes all three things explicit: causal pathways, assumptions, and evidence. </w:t>
            </w:r>
          </w:p>
          <w:p w14:paraId="24FEBD86" w14:textId="77777777" w:rsidR="00597E0D" w:rsidRPr="00597E0D" w:rsidRDefault="00597E0D" w:rsidP="00597E0D">
            <w:pPr>
              <w:keepLines/>
              <w:spacing w:after="0" w:line="240" w:lineRule="auto"/>
              <w:rPr>
                <w:rFonts w:ascii="Arial" w:hAnsi="Arial" w:cs="Arial"/>
                <w:sz w:val="20"/>
                <w:szCs w:val="20"/>
              </w:rPr>
            </w:pPr>
          </w:p>
          <w:p w14:paraId="73D369A2" w14:textId="3247B4E6" w:rsidR="00597E0D" w:rsidRDefault="00D32753" w:rsidP="00597E0D">
            <w:pPr>
              <w:keepLines/>
              <w:spacing w:after="0" w:line="240" w:lineRule="auto"/>
              <w:rPr>
                <w:rFonts w:ascii="Arial" w:hAnsi="Arial" w:cs="Arial"/>
                <w:sz w:val="20"/>
                <w:szCs w:val="20"/>
              </w:rPr>
            </w:pPr>
            <w:r>
              <w:rPr>
                <w:rFonts w:ascii="Arial" w:hAnsi="Arial" w:cs="Arial"/>
                <w:b/>
                <w:sz w:val="20"/>
                <w:szCs w:val="20"/>
              </w:rPr>
              <w:t>Database of</w:t>
            </w:r>
            <w:r w:rsidR="00597E0D" w:rsidRPr="00597E0D">
              <w:rPr>
                <w:rFonts w:ascii="Arial" w:hAnsi="Arial" w:cs="Arial"/>
                <w:b/>
                <w:sz w:val="20"/>
                <w:szCs w:val="20"/>
              </w:rPr>
              <w:t xml:space="preserve"> underlying data (Output </w:t>
            </w:r>
            <w:r w:rsidR="00597E0D">
              <w:rPr>
                <w:rFonts w:ascii="Arial" w:hAnsi="Arial" w:cs="Arial"/>
                <w:b/>
                <w:sz w:val="20"/>
                <w:szCs w:val="20"/>
              </w:rPr>
              <w:t>13)</w:t>
            </w:r>
            <w:r>
              <w:rPr>
                <w:rFonts w:ascii="Arial" w:hAnsi="Arial" w:cs="Arial"/>
                <w:b/>
                <w:sz w:val="20"/>
                <w:szCs w:val="20"/>
              </w:rPr>
              <w:t xml:space="preserve"> - </w:t>
            </w:r>
            <w:r>
              <w:rPr>
                <w:rFonts w:ascii="Arial" w:hAnsi="Arial" w:cs="Arial"/>
                <w:sz w:val="20"/>
                <w:szCs w:val="20"/>
              </w:rPr>
              <w:t>t</w:t>
            </w:r>
            <w:r w:rsidR="00597E0D" w:rsidRPr="00597E0D">
              <w:rPr>
                <w:rFonts w:ascii="Arial" w:hAnsi="Arial" w:cs="Arial"/>
                <w:sz w:val="20"/>
                <w:szCs w:val="20"/>
              </w:rPr>
              <w:t>he accessibility regulations came into force for public sector bodies on 23 September 2018. They say that government bodies like the SMC must make websites or mobile apps more accessible by making them ‘perceivable, operable, understandable and robust’.</w:t>
            </w:r>
            <w:r>
              <w:rPr>
                <w:rFonts w:ascii="Arial" w:hAnsi="Arial" w:cs="Arial"/>
                <w:sz w:val="20"/>
                <w:szCs w:val="20"/>
              </w:rPr>
              <w:t xml:space="preserve"> </w:t>
            </w:r>
            <w:r w:rsidR="00597E0D" w:rsidRPr="00597E0D">
              <w:rPr>
                <w:rFonts w:ascii="Arial" w:hAnsi="Arial" w:cs="Arial"/>
                <w:sz w:val="20"/>
                <w:szCs w:val="20"/>
              </w:rPr>
              <w:t>All newly published SMC reports must be compliant with the accessibility regulations.</w:t>
            </w:r>
          </w:p>
          <w:p w14:paraId="61440E29" w14:textId="0AE02C1D" w:rsidR="00597E0D" w:rsidRDefault="00597E0D" w:rsidP="00597E0D">
            <w:pPr>
              <w:keepLines/>
              <w:spacing w:after="0" w:line="240" w:lineRule="auto"/>
              <w:rPr>
                <w:rFonts w:ascii="Arial" w:hAnsi="Arial" w:cs="Arial"/>
                <w:sz w:val="20"/>
                <w:szCs w:val="20"/>
              </w:rPr>
            </w:pPr>
          </w:p>
          <w:p w14:paraId="203C2F2D" w14:textId="502D6EDA" w:rsidR="00597E0D" w:rsidRDefault="00597E0D" w:rsidP="00597E0D">
            <w:pPr>
              <w:keepLines/>
              <w:spacing w:after="0" w:line="240" w:lineRule="auto"/>
              <w:rPr>
                <w:rFonts w:ascii="Arial" w:hAnsi="Arial" w:cs="Arial"/>
                <w:sz w:val="20"/>
                <w:szCs w:val="20"/>
              </w:rPr>
            </w:pPr>
            <w:r w:rsidRPr="00597E0D">
              <w:rPr>
                <w:rFonts w:ascii="Arial" w:hAnsi="Arial" w:cs="Arial"/>
                <w:b/>
                <w:sz w:val="20"/>
                <w:szCs w:val="20"/>
              </w:rPr>
              <w:t xml:space="preserve">Extension of </w:t>
            </w:r>
            <w:r w:rsidR="00D32753">
              <w:rPr>
                <w:rFonts w:ascii="Arial" w:hAnsi="Arial" w:cs="Arial"/>
                <w:b/>
                <w:sz w:val="20"/>
                <w:szCs w:val="20"/>
              </w:rPr>
              <w:t>t</w:t>
            </w:r>
            <w:r w:rsidRPr="00597E0D">
              <w:rPr>
                <w:rFonts w:ascii="Arial" w:hAnsi="Arial" w:cs="Arial"/>
                <w:b/>
                <w:sz w:val="20"/>
                <w:szCs w:val="20"/>
              </w:rPr>
              <w:t xml:space="preserve">ime and </w:t>
            </w:r>
            <w:r w:rsidR="00D32753">
              <w:rPr>
                <w:rFonts w:ascii="Arial" w:hAnsi="Arial" w:cs="Arial"/>
                <w:b/>
                <w:sz w:val="20"/>
                <w:szCs w:val="20"/>
              </w:rPr>
              <w:t>increased p</w:t>
            </w:r>
            <w:r w:rsidRPr="00597E0D">
              <w:rPr>
                <w:rFonts w:ascii="Arial" w:hAnsi="Arial" w:cs="Arial"/>
                <w:b/>
                <w:sz w:val="20"/>
                <w:szCs w:val="20"/>
              </w:rPr>
              <w:t>rice</w:t>
            </w:r>
            <w:r w:rsidR="00D32753">
              <w:rPr>
                <w:rFonts w:ascii="Arial" w:hAnsi="Arial" w:cs="Arial"/>
                <w:b/>
                <w:sz w:val="20"/>
                <w:szCs w:val="20"/>
              </w:rPr>
              <w:t xml:space="preserve"> – </w:t>
            </w:r>
            <w:r w:rsidR="00D32753">
              <w:rPr>
                <w:rFonts w:ascii="Arial" w:hAnsi="Arial" w:cs="Arial"/>
                <w:sz w:val="20"/>
                <w:szCs w:val="20"/>
              </w:rPr>
              <w:t xml:space="preserve">it </w:t>
            </w:r>
            <w:r>
              <w:rPr>
                <w:rFonts w:ascii="Arial" w:hAnsi="Arial" w:cs="Arial"/>
                <w:sz w:val="20"/>
                <w:szCs w:val="20"/>
              </w:rPr>
              <w:t xml:space="preserve">would not be possible to provide the above additional outputs without an extension of time. In </w:t>
            </w:r>
            <w:proofErr w:type="gramStart"/>
            <w:r>
              <w:rPr>
                <w:rFonts w:ascii="Arial" w:hAnsi="Arial" w:cs="Arial"/>
                <w:sz w:val="20"/>
                <w:szCs w:val="20"/>
              </w:rPr>
              <w:t>addition</w:t>
            </w:r>
            <w:proofErr w:type="gramEnd"/>
            <w:r>
              <w:rPr>
                <w:rFonts w:ascii="Arial" w:hAnsi="Arial" w:cs="Arial"/>
                <w:sz w:val="20"/>
                <w:szCs w:val="20"/>
              </w:rPr>
              <w:t xml:space="preserve"> as these are additional services</w:t>
            </w:r>
            <w:r w:rsidR="00D32753">
              <w:rPr>
                <w:rFonts w:ascii="Arial" w:hAnsi="Arial" w:cs="Arial"/>
                <w:sz w:val="20"/>
                <w:szCs w:val="20"/>
              </w:rPr>
              <w:t xml:space="preserve">, the SMC is required to remunerate </w:t>
            </w:r>
            <w:r>
              <w:rPr>
                <w:rFonts w:ascii="Arial" w:hAnsi="Arial" w:cs="Arial"/>
                <w:sz w:val="20"/>
                <w:szCs w:val="20"/>
              </w:rPr>
              <w:t xml:space="preserve">the Contractor </w:t>
            </w:r>
            <w:r w:rsidR="00D32753">
              <w:rPr>
                <w:rFonts w:ascii="Arial" w:hAnsi="Arial" w:cs="Arial"/>
                <w:sz w:val="20"/>
                <w:szCs w:val="20"/>
              </w:rPr>
              <w:t>for those services</w:t>
            </w:r>
            <w:r>
              <w:rPr>
                <w:rFonts w:ascii="Arial" w:hAnsi="Arial" w:cs="Arial"/>
                <w:sz w:val="20"/>
                <w:szCs w:val="20"/>
              </w:rPr>
              <w:t>.</w:t>
            </w:r>
          </w:p>
          <w:p w14:paraId="494B2AF0" w14:textId="63BB1892" w:rsidR="00D32753" w:rsidRDefault="00D32753" w:rsidP="00597E0D">
            <w:pPr>
              <w:keepLines/>
              <w:spacing w:after="0" w:line="240" w:lineRule="auto"/>
              <w:rPr>
                <w:rFonts w:ascii="Arial" w:hAnsi="Arial" w:cs="Arial"/>
                <w:sz w:val="20"/>
                <w:szCs w:val="20"/>
              </w:rPr>
            </w:pPr>
          </w:p>
          <w:p w14:paraId="4057EB46" w14:textId="12E2389A" w:rsidR="00FB6947" w:rsidRDefault="00D32753" w:rsidP="00597E0D">
            <w:pPr>
              <w:keepLines/>
              <w:spacing w:after="0" w:line="240" w:lineRule="auto"/>
              <w:rPr>
                <w:rFonts w:ascii="Arial" w:hAnsi="Arial" w:cs="Arial"/>
                <w:sz w:val="20"/>
                <w:szCs w:val="20"/>
              </w:rPr>
            </w:pPr>
            <w:r>
              <w:rPr>
                <w:rFonts w:ascii="Arial" w:hAnsi="Arial" w:cs="Arial"/>
                <w:sz w:val="20"/>
                <w:szCs w:val="20"/>
              </w:rPr>
              <w:t>A change of Contractor cannot be made as the additional services require the unique knowledge, research and ways of working established by the Contractor during the course of the original contract.  Further, it would cause significant inconvenience and/or substantial duplication of costs, if the SMC appointed an alternative Contractor to undertake the additional works, which would undoubtedly require a significant transition period which would result in significant delays to the delivery of the project.</w:t>
            </w:r>
          </w:p>
          <w:p w14:paraId="2D6F5651" w14:textId="77777777" w:rsidR="00FB6947" w:rsidRDefault="00FB6947" w:rsidP="00597E0D">
            <w:pPr>
              <w:keepLines/>
              <w:spacing w:after="0" w:line="240" w:lineRule="auto"/>
              <w:rPr>
                <w:rFonts w:ascii="Arial" w:hAnsi="Arial" w:cs="Arial"/>
                <w:sz w:val="20"/>
                <w:szCs w:val="20"/>
              </w:rPr>
            </w:pPr>
          </w:p>
          <w:p w14:paraId="102A736F" w14:textId="72256C7A" w:rsidR="00372A95" w:rsidRPr="00FB6947" w:rsidRDefault="00D32753" w:rsidP="00FB6947">
            <w:pPr>
              <w:keepLines/>
              <w:spacing w:after="0" w:line="240" w:lineRule="auto"/>
              <w:rPr>
                <w:rFonts w:ascii="Arial" w:hAnsi="Arial" w:cs="Arial"/>
                <w:sz w:val="20"/>
                <w:szCs w:val="20"/>
              </w:rPr>
            </w:pPr>
            <w:r>
              <w:rPr>
                <w:rFonts w:ascii="Arial" w:hAnsi="Arial" w:cs="Arial"/>
                <w:sz w:val="20"/>
                <w:szCs w:val="20"/>
              </w:rPr>
              <w:lastRenderedPageBreak/>
              <w:t>Many of the circumstances leading to the requirement to extend the timeframe of the contract relate to delays experienced due to the COVID-19 pandemic, which delayed the process of the Contractor from undertaking</w:t>
            </w:r>
            <w:r w:rsidR="00FB6947">
              <w:rPr>
                <w:rFonts w:ascii="Arial" w:hAnsi="Arial" w:cs="Arial"/>
                <w:sz w:val="20"/>
                <w:szCs w:val="20"/>
              </w:rPr>
              <w:t xml:space="preserve"> their duties which required direct interaction with SMC staff.  Certain of those staff were redeployed to other parts of government as part of the government’s overall response to the </w:t>
            </w:r>
            <w:r w:rsidR="001A24D2" w:rsidRPr="00A95F18">
              <w:rPr>
                <w:rFonts w:ascii="Arial" w:hAnsi="Arial" w:cs="Arial"/>
                <w:sz w:val="20"/>
                <w:szCs w:val="20"/>
              </w:rPr>
              <w:t>crisis. The SMC</w:t>
            </w:r>
            <w:r w:rsidR="00426E79" w:rsidRPr="00A95F18">
              <w:rPr>
                <w:rFonts w:ascii="Arial" w:hAnsi="Arial" w:cs="Arial"/>
                <w:sz w:val="20"/>
                <w:szCs w:val="20"/>
              </w:rPr>
              <w:t xml:space="preserve"> </w:t>
            </w:r>
            <w:r w:rsidR="00FB6947">
              <w:rPr>
                <w:rFonts w:ascii="Arial" w:hAnsi="Arial" w:cs="Arial"/>
                <w:sz w:val="20"/>
                <w:szCs w:val="20"/>
              </w:rPr>
              <w:t>also relocated from t</w:t>
            </w:r>
            <w:r w:rsidR="00426E79" w:rsidRPr="00A95F18">
              <w:rPr>
                <w:rFonts w:ascii="Arial" w:hAnsi="Arial" w:cs="Arial"/>
                <w:sz w:val="20"/>
                <w:szCs w:val="20"/>
              </w:rPr>
              <w:t xml:space="preserve">he Department of Education to the </w:t>
            </w:r>
            <w:r w:rsidR="00FB6947">
              <w:rPr>
                <w:rFonts w:ascii="Arial" w:hAnsi="Arial" w:cs="Arial"/>
                <w:sz w:val="20"/>
                <w:szCs w:val="20"/>
              </w:rPr>
              <w:t xml:space="preserve">Cabinet </w:t>
            </w:r>
            <w:r w:rsidR="00426E79" w:rsidRPr="00A95F18">
              <w:rPr>
                <w:rFonts w:ascii="Arial" w:hAnsi="Arial" w:cs="Arial"/>
                <w:sz w:val="20"/>
                <w:szCs w:val="20"/>
              </w:rPr>
              <w:t>Office. The significant change in working practices and the transfer of records and equipment</w:t>
            </w:r>
            <w:r w:rsidR="00FB6947">
              <w:rPr>
                <w:rFonts w:ascii="Arial" w:hAnsi="Arial" w:cs="Arial"/>
                <w:sz w:val="20"/>
                <w:szCs w:val="20"/>
              </w:rPr>
              <w:t xml:space="preserve"> further</w:t>
            </w:r>
            <w:r w:rsidR="00426E79" w:rsidRPr="00A95F18">
              <w:rPr>
                <w:rFonts w:ascii="Arial" w:hAnsi="Arial" w:cs="Arial"/>
                <w:sz w:val="20"/>
                <w:szCs w:val="20"/>
              </w:rPr>
              <w:t xml:space="preserve"> limited the ability of the SMC staff to engage with the Contractor.</w:t>
            </w:r>
          </w:p>
        </w:tc>
      </w:tr>
      <w:tr w:rsidR="00417F92" w:rsidRPr="00C64F53" w14:paraId="102A7374" w14:textId="77777777" w:rsidTr="00A5408D">
        <w:tc>
          <w:tcPr>
            <w:tcW w:w="3998" w:type="dxa"/>
            <w:shd w:val="clear" w:color="auto" w:fill="auto"/>
          </w:tcPr>
          <w:p w14:paraId="102A7371" w14:textId="77777777" w:rsidR="00417F92" w:rsidRPr="00C64F53" w:rsidRDefault="00417F92" w:rsidP="00417F92">
            <w:pPr>
              <w:keepLines/>
              <w:spacing w:after="0" w:line="240" w:lineRule="auto"/>
              <w:rPr>
                <w:rFonts w:ascii="Arial" w:hAnsi="Arial" w:cs="Arial"/>
                <w:b/>
                <w:bCs/>
              </w:rPr>
            </w:pPr>
            <w:r w:rsidRPr="00C64F53">
              <w:rPr>
                <w:rFonts w:ascii="Arial" w:hAnsi="Arial" w:cs="Arial"/>
                <w:b/>
                <w:bCs/>
              </w:rPr>
              <w:lastRenderedPageBreak/>
              <w:t>VII.2.3 Increase in price</w:t>
            </w:r>
          </w:p>
        </w:tc>
        <w:tc>
          <w:tcPr>
            <w:tcW w:w="6095" w:type="dxa"/>
            <w:shd w:val="clear" w:color="auto" w:fill="auto"/>
          </w:tcPr>
          <w:p w14:paraId="102A7372" w14:textId="3343219F" w:rsidR="00417F92" w:rsidRPr="00C6442F" w:rsidRDefault="00417F92" w:rsidP="00417F92">
            <w:pPr>
              <w:keepLines/>
              <w:spacing w:before="240" w:line="360" w:lineRule="auto"/>
              <w:jc w:val="both"/>
              <w:rPr>
                <w:rFonts w:ascii="Arial" w:hAnsi="Arial" w:cs="Arial"/>
                <w:b/>
                <w:color w:val="000000"/>
                <w:sz w:val="20"/>
                <w:szCs w:val="20"/>
                <w:shd w:val="clear" w:color="auto" w:fill="FFFFFF"/>
              </w:rPr>
            </w:pPr>
            <w:r w:rsidRPr="006E3121">
              <w:rPr>
                <w:rFonts w:ascii="Arial" w:hAnsi="Arial" w:cs="Arial"/>
                <w:color w:val="000000"/>
                <w:sz w:val="20"/>
                <w:szCs w:val="20"/>
                <w:shd w:val="clear" w:color="auto" w:fill="FFFFFF"/>
              </w:rPr>
              <w:t xml:space="preserve">Before the modification: </w:t>
            </w:r>
            <w:r w:rsidR="00C6442F" w:rsidRPr="00C6442F">
              <w:rPr>
                <w:rFonts w:ascii="Arial" w:hAnsi="Arial" w:cs="Arial"/>
                <w:b/>
                <w:color w:val="000000"/>
                <w:sz w:val="20"/>
                <w:szCs w:val="20"/>
                <w:shd w:val="clear" w:color="auto" w:fill="FFFFFF"/>
              </w:rPr>
              <w:t>£93,966.66 (excluding VAT)</w:t>
            </w:r>
          </w:p>
          <w:p w14:paraId="102A7373" w14:textId="17A55C18" w:rsidR="00417F92" w:rsidRPr="00A1617D" w:rsidRDefault="00417F92" w:rsidP="00417F92">
            <w:pPr>
              <w:keepLines/>
              <w:spacing w:before="240" w:line="360" w:lineRule="auto"/>
              <w:jc w:val="both"/>
              <w:rPr>
                <w:rFonts w:ascii="Arial" w:hAnsi="Arial" w:cs="Arial"/>
                <w:sz w:val="20"/>
                <w:szCs w:val="20"/>
              </w:rPr>
            </w:pPr>
            <w:r w:rsidRPr="006E3121">
              <w:rPr>
                <w:rFonts w:ascii="Arial" w:hAnsi="Arial" w:cs="Arial"/>
                <w:sz w:val="20"/>
                <w:szCs w:val="20"/>
              </w:rPr>
              <w:t xml:space="preserve">After the modification: </w:t>
            </w:r>
            <w:r w:rsidR="00C6442F" w:rsidRPr="00C6442F">
              <w:rPr>
                <w:rFonts w:ascii="Arial" w:hAnsi="Arial" w:cs="Arial"/>
                <w:b/>
                <w:sz w:val="20"/>
                <w:szCs w:val="20"/>
              </w:rPr>
              <w:t>£133,966.66 (excluding VAT)</w:t>
            </w:r>
          </w:p>
        </w:tc>
      </w:tr>
    </w:tbl>
    <w:p w14:paraId="102A7375" w14:textId="77777777" w:rsidR="003A2BD7" w:rsidRPr="00C64F53" w:rsidRDefault="003A2BD7" w:rsidP="003A2BD7">
      <w:pPr>
        <w:rPr>
          <w:rFonts w:ascii="Arial" w:hAnsi="Arial" w:cs="Arial"/>
        </w:rPr>
      </w:pPr>
    </w:p>
    <w:sectPr w:rsidR="003A2BD7" w:rsidRPr="00C64F53" w:rsidSect="0046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6F83D" w14:textId="77777777" w:rsidR="00A8458A" w:rsidRDefault="00A8458A" w:rsidP="00372A95">
      <w:pPr>
        <w:spacing w:after="0" w:line="240" w:lineRule="auto"/>
      </w:pPr>
      <w:r>
        <w:separator/>
      </w:r>
    </w:p>
  </w:endnote>
  <w:endnote w:type="continuationSeparator" w:id="0">
    <w:p w14:paraId="26F5AD9B" w14:textId="77777777" w:rsidR="00A8458A" w:rsidRDefault="00A8458A" w:rsidP="003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9E393" w14:textId="77777777" w:rsidR="00A8458A" w:rsidRDefault="00A8458A" w:rsidP="00372A95">
      <w:pPr>
        <w:spacing w:after="0" w:line="240" w:lineRule="auto"/>
      </w:pPr>
      <w:r>
        <w:separator/>
      </w:r>
    </w:p>
  </w:footnote>
  <w:footnote w:type="continuationSeparator" w:id="0">
    <w:p w14:paraId="6B538514" w14:textId="77777777" w:rsidR="00A8458A" w:rsidRDefault="00A8458A" w:rsidP="00372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344E1"/>
    <w:multiLevelType w:val="hybridMultilevel"/>
    <w:tmpl w:val="B38203A4"/>
    <w:lvl w:ilvl="0" w:tplc="5C42BB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4D4FA3"/>
    <w:multiLevelType w:val="hybridMultilevel"/>
    <w:tmpl w:val="E3E6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E46827"/>
    <w:multiLevelType w:val="hybridMultilevel"/>
    <w:tmpl w:val="9B0EF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C5155"/>
    <w:multiLevelType w:val="hybridMultilevel"/>
    <w:tmpl w:val="D6ECA4E4"/>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55D05CDA"/>
    <w:multiLevelType w:val="hybridMultilevel"/>
    <w:tmpl w:val="1E32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0289E"/>
    <w:multiLevelType w:val="hybridMultilevel"/>
    <w:tmpl w:val="EB70DC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F70C12"/>
    <w:multiLevelType w:val="hybridMultilevel"/>
    <w:tmpl w:val="A288E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F92"/>
    <w:rsid w:val="0000230B"/>
    <w:rsid w:val="00011BBE"/>
    <w:rsid w:val="00014CEF"/>
    <w:rsid w:val="00017E30"/>
    <w:rsid w:val="00023369"/>
    <w:rsid w:val="00031A2A"/>
    <w:rsid w:val="00040488"/>
    <w:rsid w:val="000407BC"/>
    <w:rsid w:val="0004603F"/>
    <w:rsid w:val="00050341"/>
    <w:rsid w:val="00056D04"/>
    <w:rsid w:val="00060CFD"/>
    <w:rsid w:val="00071388"/>
    <w:rsid w:val="000749EF"/>
    <w:rsid w:val="00081AA6"/>
    <w:rsid w:val="00081B98"/>
    <w:rsid w:val="00086BAB"/>
    <w:rsid w:val="0008748E"/>
    <w:rsid w:val="0009710D"/>
    <w:rsid w:val="0009796F"/>
    <w:rsid w:val="000A17A3"/>
    <w:rsid w:val="000A79D9"/>
    <w:rsid w:val="000B283D"/>
    <w:rsid w:val="000C3E69"/>
    <w:rsid w:val="000E0B9F"/>
    <w:rsid w:val="000E69BF"/>
    <w:rsid w:val="000F4D1A"/>
    <w:rsid w:val="000F6202"/>
    <w:rsid w:val="000F6704"/>
    <w:rsid w:val="00100BF5"/>
    <w:rsid w:val="00106DE0"/>
    <w:rsid w:val="001108D6"/>
    <w:rsid w:val="00114826"/>
    <w:rsid w:val="0012006E"/>
    <w:rsid w:val="00120799"/>
    <w:rsid w:val="001274E8"/>
    <w:rsid w:val="00135DFD"/>
    <w:rsid w:val="001417AB"/>
    <w:rsid w:val="00152196"/>
    <w:rsid w:val="001653D1"/>
    <w:rsid w:val="00173576"/>
    <w:rsid w:val="00176E85"/>
    <w:rsid w:val="00177ACA"/>
    <w:rsid w:val="00182BFD"/>
    <w:rsid w:val="00184DD0"/>
    <w:rsid w:val="00185F7C"/>
    <w:rsid w:val="001901C8"/>
    <w:rsid w:val="001A1EC0"/>
    <w:rsid w:val="001A24D2"/>
    <w:rsid w:val="001A5720"/>
    <w:rsid w:val="001B29A4"/>
    <w:rsid w:val="001C2508"/>
    <w:rsid w:val="001C4B8F"/>
    <w:rsid w:val="001C5427"/>
    <w:rsid w:val="001C69EF"/>
    <w:rsid w:val="001D1991"/>
    <w:rsid w:val="001D289F"/>
    <w:rsid w:val="001D553B"/>
    <w:rsid w:val="001D775D"/>
    <w:rsid w:val="001E18A4"/>
    <w:rsid w:val="001E207B"/>
    <w:rsid w:val="001E2936"/>
    <w:rsid w:val="001E629C"/>
    <w:rsid w:val="00210F4F"/>
    <w:rsid w:val="0022302E"/>
    <w:rsid w:val="00232E45"/>
    <w:rsid w:val="00242E94"/>
    <w:rsid w:val="0024411C"/>
    <w:rsid w:val="00274648"/>
    <w:rsid w:val="002773C6"/>
    <w:rsid w:val="00281269"/>
    <w:rsid w:val="00281EED"/>
    <w:rsid w:val="00285DC9"/>
    <w:rsid w:val="00295026"/>
    <w:rsid w:val="002A68FF"/>
    <w:rsid w:val="002B0307"/>
    <w:rsid w:val="002B4B5F"/>
    <w:rsid w:val="002B4FE6"/>
    <w:rsid w:val="002B5908"/>
    <w:rsid w:val="002C7854"/>
    <w:rsid w:val="002D1749"/>
    <w:rsid w:val="002D343E"/>
    <w:rsid w:val="002F013D"/>
    <w:rsid w:val="002F34CE"/>
    <w:rsid w:val="002F79B3"/>
    <w:rsid w:val="003143A5"/>
    <w:rsid w:val="003275F0"/>
    <w:rsid w:val="00336399"/>
    <w:rsid w:val="003368F2"/>
    <w:rsid w:val="00343322"/>
    <w:rsid w:val="00344FFD"/>
    <w:rsid w:val="00350329"/>
    <w:rsid w:val="003536C7"/>
    <w:rsid w:val="00353AB5"/>
    <w:rsid w:val="003719C7"/>
    <w:rsid w:val="00371C6F"/>
    <w:rsid w:val="00372A95"/>
    <w:rsid w:val="00377EB4"/>
    <w:rsid w:val="00384BE2"/>
    <w:rsid w:val="00393B1F"/>
    <w:rsid w:val="003963CD"/>
    <w:rsid w:val="00396AAB"/>
    <w:rsid w:val="003A0F44"/>
    <w:rsid w:val="003A2151"/>
    <w:rsid w:val="003A2BD7"/>
    <w:rsid w:val="003A6887"/>
    <w:rsid w:val="003B04A8"/>
    <w:rsid w:val="003B7B13"/>
    <w:rsid w:val="003C3912"/>
    <w:rsid w:val="003C3B5C"/>
    <w:rsid w:val="003D230E"/>
    <w:rsid w:val="003D2DC5"/>
    <w:rsid w:val="003D47C9"/>
    <w:rsid w:val="003D6C62"/>
    <w:rsid w:val="003D75C4"/>
    <w:rsid w:val="003E0FF5"/>
    <w:rsid w:val="003E671B"/>
    <w:rsid w:val="003F0D01"/>
    <w:rsid w:val="003F404C"/>
    <w:rsid w:val="003F4C8A"/>
    <w:rsid w:val="00401C9C"/>
    <w:rsid w:val="00401EF8"/>
    <w:rsid w:val="0040726A"/>
    <w:rsid w:val="004074A0"/>
    <w:rsid w:val="004112BF"/>
    <w:rsid w:val="00413A17"/>
    <w:rsid w:val="00414645"/>
    <w:rsid w:val="004163AD"/>
    <w:rsid w:val="00417F92"/>
    <w:rsid w:val="00426E79"/>
    <w:rsid w:val="00431474"/>
    <w:rsid w:val="00441789"/>
    <w:rsid w:val="004473E0"/>
    <w:rsid w:val="0044796F"/>
    <w:rsid w:val="00450120"/>
    <w:rsid w:val="0046279D"/>
    <w:rsid w:val="00464F92"/>
    <w:rsid w:val="00472C5D"/>
    <w:rsid w:val="004747EF"/>
    <w:rsid w:val="00477DDF"/>
    <w:rsid w:val="00480EB8"/>
    <w:rsid w:val="00494BCD"/>
    <w:rsid w:val="004A179A"/>
    <w:rsid w:val="004A2924"/>
    <w:rsid w:val="004B25B7"/>
    <w:rsid w:val="004B3691"/>
    <w:rsid w:val="004B715C"/>
    <w:rsid w:val="004C2781"/>
    <w:rsid w:val="004D6BE3"/>
    <w:rsid w:val="004E03E1"/>
    <w:rsid w:val="004E21FD"/>
    <w:rsid w:val="004E71B9"/>
    <w:rsid w:val="004F00CF"/>
    <w:rsid w:val="004F19F0"/>
    <w:rsid w:val="005003E6"/>
    <w:rsid w:val="00501F44"/>
    <w:rsid w:val="005115B3"/>
    <w:rsid w:val="00513F10"/>
    <w:rsid w:val="00521B8D"/>
    <w:rsid w:val="00523FF6"/>
    <w:rsid w:val="00575E8E"/>
    <w:rsid w:val="005770C9"/>
    <w:rsid w:val="00577F85"/>
    <w:rsid w:val="00580653"/>
    <w:rsid w:val="005836DA"/>
    <w:rsid w:val="00592F35"/>
    <w:rsid w:val="00595F6D"/>
    <w:rsid w:val="00597E0D"/>
    <w:rsid w:val="005A283A"/>
    <w:rsid w:val="005A4CEB"/>
    <w:rsid w:val="005A4F5E"/>
    <w:rsid w:val="005A6673"/>
    <w:rsid w:val="005B16B4"/>
    <w:rsid w:val="005B380C"/>
    <w:rsid w:val="005B5C76"/>
    <w:rsid w:val="005B652C"/>
    <w:rsid w:val="005C2CC9"/>
    <w:rsid w:val="005C34EE"/>
    <w:rsid w:val="005C4044"/>
    <w:rsid w:val="005C7385"/>
    <w:rsid w:val="005C7CC2"/>
    <w:rsid w:val="005C7FE2"/>
    <w:rsid w:val="005D4B3B"/>
    <w:rsid w:val="005D59FD"/>
    <w:rsid w:val="005D5B63"/>
    <w:rsid w:val="005D610D"/>
    <w:rsid w:val="005E28D6"/>
    <w:rsid w:val="005E5B7D"/>
    <w:rsid w:val="005E6985"/>
    <w:rsid w:val="00601605"/>
    <w:rsid w:val="0060216D"/>
    <w:rsid w:val="00605B66"/>
    <w:rsid w:val="00611DB3"/>
    <w:rsid w:val="006131AA"/>
    <w:rsid w:val="00613A70"/>
    <w:rsid w:val="00615234"/>
    <w:rsid w:val="00626788"/>
    <w:rsid w:val="0063296E"/>
    <w:rsid w:val="00647D23"/>
    <w:rsid w:val="00651A3B"/>
    <w:rsid w:val="006557B7"/>
    <w:rsid w:val="00656C47"/>
    <w:rsid w:val="00656E30"/>
    <w:rsid w:val="00662FDF"/>
    <w:rsid w:val="00665E18"/>
    <w:rsid w:val="006745B7"/>
    <w:rsid w:val="00685825"/>
    <w:rsid w:val="00693066"/>
    <w:rsid w:val="006931BD"/>
    <w:rsid w:val="006970DD"/>
    <w:rsid w:val="006A233D"/>
    <w:rsid w:val="006A439C"/>
    <w:rsid w:val="006B15EF"/>
    <w:rsid w:val="006C1BA2"/>
    <w:rsid w:val="006C1BE8"/>
    <w:rsid w:val="006C5112"/>
    <w:rsid w:val="006C6CC7"/>
    <w:rsid w:val="006E3121"/>
    <w:rsid w:val="006E575A"/>
    <w:rsid w:val="006F07B4"/>
    <w:rsid w:val="00703700"/>
    <w:rsid w:val="007052F3"/>
    <w:rsid w:val="00716B93"/>
    <w:rsid w:val="007230B6"/>
    <w:rsid w:val="00725524"/>
    <w:rsid w:val="0073193D"/>
    <w:rsid w:val="007329DE"/>
    <w:rsid w:val="007349F9"/>
    <w:rsid w:val="007375A3"/>
    <w:rsid w:val="007375D6"/>
    <w:rsid w:val="00747CF8"/>
    <w:rsid w:val="0075257A"/>
    <w:rsid w:val="00754896"/>
    <w:rsid w:val="007553BE"/>
    <w:rsid w:val="0075570D"/>
    <w:rsid w:val="007652B0"/>
    <w:rsid w:val="00770C74"/>
    <w:rsid w:val="007811F5"/>
    <w:rsid w:val="00783B66"/>
    <w:rsid w:val="00785A81"/>
    <w:rsid w:val="00796953"/>
    <w:rsid w:val="007A34CD"/>
    <w:rsid w:val="007B2996"/>
    <w:rsid w:val="007C0504"/>
    <w:rsid w:val="007C547A"/>
    <w:rsid w:val="007C5FB9"/>
    <w:rsid w:val="007D19EE"/>
    <w:rsid w:val="007D3697"/>
    <w:rsid w:val="007D392B"/>
    <w:rsid w:val="007D4AD2"/>
    <w:rsid w:val="007D6748"/>
    <w:rsid w:val="007E18E8"/>
    <w:rsid w:val="007E6F0D"/>
    <w:rsid w:val="007E7A6E"/>
    <w:rsid w:val="007F260D"/>
    <w:rsid w:val="00802D02"/>
    <w:rsid w:val="0080540B"/>
    <w:rsid w:val="00805AED"/>
    <w:rsid w:val="00812C60"/>
    <w:rsid w:val="00816BB5"/>
    <w:rsid w:val="0082022E"/>
    <w:rsid w:val="00837071"/>
    <w:rsid w:val="008430AA"/>
    <w:rsid w:val="008437D1"/>
    <w:rsid w:val="00843B2A"/>
    <w:rsid w:val="00862AFC"/>
    <w:rsid w:val="00865F15"/>
    <w:rsid w:val="00867B93"/>
    <w:rsid w:val="0087280B"/>
    <w:rsid w:val="00872B1C"/>
    <w:rsid w:val="00881F72"/>
    <w:rsid w:val="008905B2"/>
    <w:rsid w:val="008920E0"/>
    <w:rsid w:val="008A0FE8"/>
    <w:rsid w:val="008A1E44"/>
    <w:rsid w:val="008A21FA"/>
    <w:rsid w:val="008B3511"/>
    <w:rsid w:val="008B3CC5"/>
    <w:rsid w:val="008B52C5"/>
    <w:rsid w:val="008B72EB"/>
    <w:rsid w:val="008C5FDC"/>
    <w:rsid w:val="008D4309"/>
    <w:rsid w:val="008E5BD4"/>
    <w:rsid w:val="008E5F91"/>
    <w:rsid w:val="008F5221"/>
    <w:rsid w:val="00905A46"/>
    <w:rsid w:val="009122D0"/>
    <w:rsid w:val="00924059"/>
    <w:rsid w:val="009240B9"/>
    <w:rsid w:val="00926D4F"/>
    <w:rsid w:val="0093654F"/>
    <w:rsid w:val="00937BB8"/>
    <w:rsid w:val="0094402C"/>
    <w:rsid w:val="009556FD"/>
    <w:rsid w:val="0095588E"/>
    <w:rsid w:val="009567C6"/>
    <w:rsid w:val="00960B87"/>
    <w:rsid w:val="009660A2"/>
    <w:rsid w:val="0097533C"/>
    <w:rsid w:val="009B24D7"/>
    <w:rsid w:val="009C49FB"/>
    <w:rsid w:val="009C5ACB"/>
    <w:rsid w:val="009D7CA0"/>
    <w:rsid w:val="009E3C6D"/>
    <w:rsid w:val="009F79CC"/>
    <w:rsid w:val="00A01CCA"/>
    <w:rsid w:val="00A02FF1"/>
    <w:rsid w:val="00A04F77"/>
    <w:rsid w:val="00A1617D"/>
    <w:rsid w:val="00A2371A"/>
    <w:rsid w:val="00A23B8B"/>
    <w:rsid w:val="00A2556F"/>
    <w:rsid w:val="00A32A9D"/>
    <w:rsid w:val="00A4032A"/>
    <w:rsid w:val="00A415E8"/>
    <w:rsid w:val="00A4185B"/>
    <w:rsid w:val="00A426FB"/>
    <w:rsid w:val="00A44F26"/>
    <w:rsid w:val="00A47E25"/>
    <w:rsid w:val="00A5408D"/>
    <w:rsid w:val="00A549B0"/>
    <w:rsid w:val="00A61677"/>
    <w:rsid w:val="00A82FDC"/>
    <w:rsid w:val="00A8458A"/>
    <w:rsid w:val="00A873C3"/>
    <w:rsid w:val="00A95F18"/>
    <w:rsid w:val="00AA016E"/>
    <w:rsid w:val="00AA32B2"/>
    <w:rsid w:val="00AA671C"/>
    <w:rsid w:val="00AB2F6E"/>
    <w:rsid w:val="00AB7B24"/>
    <w:rsid w:val="00AC1F5D"/>
    <w:rsid w:val="00AC2250"/>
    <w:rsid w:val="00AC31A5"/>
    <w:rsid w:val="00AC63CF"/>
    <w:rsid w:val="00AC677D"/>
    <w:rsid w:val="00AD1A86"/>
    <w:rsid w:val="00AD5EC0"/>
    <w:rsid w:val="00AE1970"/>
    <w:rsid w:val="00AE44B5"/>
    <w:rsid w:val="00AF7F8D"/>
    <w:rsid w:val="00B11D24"/>
    <w:rsid w:val="00B13FA7"/>
    <w:rsid w:val="00B14BF0"/>
    <w:rsid w:val="00B1616A"/>
    <w:rsid w:val="00B22E61"/>
    <w:rsid w:val="00B27213"/>
    <w:rsid w:val="00B3258C"/>
    <w:rsid w:val="00B33AD4"/>
    <w:rsid w:val="00B43AF8"/>
    <w:rsid w:val="00B44329"/>
    <w:rsid w:val="00B456F7"/>
    <w:rsid w:val="00B4761F"/>
    <w:rsid w:val="00B513DF"/>
    <w:rsid w:val="00B522FB"/>
    <w:rsid w:val="00B57C39"/>
    <w:rsid w:val="00B60184"/>
    <w:rsid w:val="00B67D22"/>
    <w:rsid w:val="00B705E8"/>
    <w:rsid w:val="00B70FEC"/>
    <w:rsid w:val="00B91D40"/>
    <w:rsid w:val="00B93832"/>
    <w:rsid w:val="00BB1C33"/>
    <w:rsid w:val="00BB3452"/>
    <w:rsid w:val="00BB3C5B"/>
    <w:rsid w:val="00BD35AF"/>
    <w:rsid w:val="00BE01EC"/>
    <w:rsid w:val="00BE0C6D"/>
    <w:rsid w:val="00BE10B8"/>
    <w:rsid w:val="00BE37E2"/>
    <w:rsid w:val="00BE671C"/>
    <w:rsid w:val="00BE7EBF"/>
    <w:rsid w:val="00BE7FDC"/>
    <w:rsid w:val="00BF1030"/>
    <w:rsid w:val="00BF452D"/>
    <w:rsid w:val="00C0062E"/>
    <w:rsid w:val="00C050CD"/>
    <w:rsid w:val="00C17837"/>
    <w:rsid w:val="00C208E0"/>
    <w:rsid w:val="00C2645B"/>
    <w:rsid w:val="00C41503"/>
    <w:rsid w:val="00C57868"/>
    <w:rsid w:val="00C6442F"/>
    <w:rsid w:val="00C64F53"/>
    <w:rsid w:val="00C7361A"/>
    <w:rsid w:val="00C73AC9"/>
    <w:rsid w:val="00C73E82"/>
    <w:rsid w:val="00C76300"/>
    <w:rsid w:val="00C853D4"/>
    <w:rsid w:val="00CA2A16"/>
    <w:rsid w:val="00CB0F8E"/>
    <w:rsid w:val="00CE28BA"/>
    <w:rsid w:val="00CE55BF"/>
    <w:rsid w:val="00CF0447"/>
    <w:rsid w:val="00CF2A5B"/>
    <w:rsid w:val="00D0484F"/>
    <w:rsid w:val="00D06AD7"/>
    <w:rsid w:val="00D0704D"/>
    <w:rsid w:val="00D1394A"/>
    <w:rsid w:val="00D140B6"/>
    <w:rsid w:val="00D21A10"/>
    <w:rsid w:val="00D32753"/>
    <w:rsid w:val="00D37FA5"/>
    <w:rsid w:val="00D41EB7"/>
    <w:rsid w:val="00D42720"/>
    <w:rsid w:val="00D503AF"/>
    <w:rsid w:val="00D510E1"/>
    <w:rsid w:val="00D57FBD"/>
    <w:rsid w:val="00D7157B"/>
    <w:rsid w:val="00D728B0"/>
    <w:rsid w:val="00D90D0D"/>
    <w:rsid w:val="00D96C6C"/>
    <w:rsid w:val="00D974AB"/>
    <w:rsid w:val="00DA12D2"/>
    <w:rsid w:val="00DA1B09"/>
    <w:rsid w:val="00DD50B7"/>
    <w:rsid w:val="00DE1CC1"/>
    <w:rsid w:val="00DE3136"/>
    <w:rsid w:val="00DF0B25"/>
    <w:rsid w:val="00DF238B"/>
    <w:rsid w:val="00E001FC"/>
    <w:rsid w:val="00E01C28"/>
    <w:rsid w:val="00E023F1"/>
    <w:rsid w:val="00E061D5"/>
    <w:rsid w:val="00E25092"/>
    <w:rsid w:val="00E427E9"/>
    <w:rsid w:val="00E43562"/>
    <w:rsid w:val="00E4447D"/>
    <w:rsid w:val="00E47C5A"/>
    <w:rsid w:val="00E55E2D"/>
    <w:rsid w:val="00E60477"/>
    <w:rsid w:val="00E65FD1"/>
    <w:rsid w:val="00E6749C"/>
    <w:rsid w:val="00E67E33"/>
    <w:rsid w:val="00E7787F"/>
    <w:rsid w:val="00E842D2"/>
    <w:rsid w:val="00E8688F"/>
    <w:rsid w:val="00E876E9"/>
    <w:rsid w:val="00E9205E"/>
    <w:rsid w:val="00E957A6"/>
    <w:rsid w:val="00E96421"/>
    <w:rsid w:val="00E96967"/>
    <w:rsid w:val="00EB1768"/>
    <w:rsid w:val="00EB5D22"/>
    <w:rsid w:val="00EB6F4D"/>
    <w:rsid w:val="00EC114C"/>
    <w:rsid w:val="00EC4CB2"/>
    <w:rsid w:val="00ED0A52"/>
    <w:rsid w:val="00EE3639"/>
    <w:rsid w:val="00EE43A3"/>
    <w:rsid w:val="00EE4C5E"/>
    <w:rsid w:val="00EF1819"/>
    <w:rsid w:val="00EF3F76"/>
    <w:rsid w:val="00EF4C27"/>
    <w:rsid w:val="00EF67BF"/>
    <w:rsid w:val="00F0105E"/>
    <w:rsid w:val="00F1135C"/>
    <w:rsid w:val="00F1596A"/>
    <w:rsid w:val="00F2794D"/>
    <w:rsid w:val="00F32A9F"/>
    <w:rsid w:val="00F33619"/>
    <w:rsid w:val="00F43439"/>
    <w:rsid w:val="00F4614A"/>
    <w:rsid w:val="00F55D76"/>
    <w:rsid w:val="00F77124"/>
    <w:rsid w:val="00F80A32"/>
    <w:rsid w:val="00F90D02"/>
    <w:rsid w:val="00F937BB"/>
    <w:rsid w:val="00F95113"/>
    <w:rsid w:val="00F95D57"/>
    <w:rsid w:val="00FA58A2"/>
    <w:rsid w:val="00FB5634"/>
    <w:rsid w:val="00FB5F08"/>
    <w:rsid w:val="00FB6947"/>
    <w:rsid w:val="00FB69D5"/>
    <w:rsid w:val="00FF018D"/>
    <w:rsid w:val="00FF3046"/>
    <w:rsid w:val="00FF531A"/>
    <w:rsid w:val="00FF6D4F"/>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72F7"/>
  <w15:chartTrackingRefBased/>
  <w15:docId w15:val="{32C62151-5402-41D7-9AE5-C18792C5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F92"/>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tscode">
    <w:name w:val="nutscode"/>
    <w:basedOn w:val="DefaultParagraphFont"/>
    <w:rsid w:val="003A2BD7"/>
  </w:style>
  <w:style w:type="character" w:styleId="Hyperlink">
    <w:name w:val="Hyperlink"/>
    <w:basedOn w:val="DefaultParagraphFont"/>
    <w:uiPriority w:val="99"/>
    <w:unhideWhenUsed/>
    <w:rsid w:val="003A2BD7"/>
    <w:rPr>
      <w:color w:val="0000FF"/>
      <w:u w:val="single"/>
    </w:rPr>
  </w:style>
  <w:style w:type="character" w:styleId="CommentReference">
    <w:name w:val="annotation reference"/>
    <w:basedOn w:val="DefaultParagraphFont"/>
    <w:uiPriority w:val="99"/>
    <w:semiHidden/>
    <w:unhideWhenUsed/>
    <w:rsid w:val="006B15EF"/>
    <w:rPr>
      <w:sz w:val="16"/>
      <w:szCs w:val="16"/>
    </w:rPr>
  </w:style>
  <w:style w:type="paragraph" w:styleId="CommentText">
    <w:name w:val="annotation text"/>
    <w:basedOn w:val="Normal"/>
    <w:link w:val="CommentTextChar"/>
    <w:uiPriority w:val="99"/>
    <w:semiHidden/>
    <w:unhideWhenUsed/>
    <w:rsid w:val="006B15EF"/>
    <w:pPr>
      <w:spacing w:line="240" w:lineRule="auto"/>
    </w:pPr>
    <w:rPr>
      <w:sz w:val="20"/>
      <w:szCs w:val="20"/>
    </w:rPr>
  </w:style>
  <w:style w:type="character" w:customStyle="1" w:styleId="CommentTextChar">
    <w:name w:val="Comment Text Char"/>
    <w:basedOn w:val="DefaultParagraphFont"/>
    <w:link w:val="CommentText"/>
    <w:uiPriority w:val="99"/>
    <w:semiHidden/>
    <w:rsid w:val="006B15EF"/>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B15EF"/>
    <w:rPr>
      <w:b/>
      <w:bCs/>
    </w:rPr>
  </w:style>
  <w:style w:type="character" w:customStyle="1" w:styleId="CommentSubjectChar">
    <w:name w:val="Comment Subject Char"/>
    <w:basedOn w:val="CommentTextChar"/>
    <w:link w:val="CommentSubject"/>
    <w:uiPriority w:val="99"/>
    <w:semiHidden/>
    <w:rsid w:val="006B15EF"/>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semiHidden/>
    <w:unhideWhenUsed/>
    <w:rsid w:val="006B1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5EF"/>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081B98"/>
    <w:rPr>
      <w:color w:val="954F72" w:themeColor="followedHyperlink"/>
      <w:u w:val="single"/>
    </w:rPr>
  </w:style>
  <w:style w:type="paragraph" w:styleId="ListParagraph">
    <w:name w:val="List Paragraph"/>
    <w:basedOn w:val="Normal"/>
    <w:uiPriority w:val="34"/>
    <w:qFormat/>
    <w:rsid w:val="004C2781"/>
    <w:pPr>
      <w:ind w:left="720"/>
      <w:contextualSpacing/>
    </w:pPr>
  </w:style>
  <w:style w:type="paragraph" w:styleId="Header">
    <w:name w:val="header"/>
    <w:basedOn w:val="Normal"/>
    <w:link w:val="HeaderChar"/>
    <w:uiPriority w:val="99"/>
    <w:unhideWhenUsed/>
    <w:rsid w:val="0037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A95"/>
    <w:rPr>
      <w:rFonts w:ascii="Calibri" w:eastAsia="Times New Roman" w:hAnsi="Calibri" w:cs="Times New Roman"/>
      <w:lang w:eastAsia="en-GB"/>
    </w:rPr>
  </w:style>
  <w:style w:type="paragraph" w:styleId="Footer">
    <w:name w:val="footer"/>
    <w:basedOn w:val="Normal"/>
    <w:link w:val="FooterChar"/>
    <w:uiPriority w:val="99"/>
    <w:unhideWhenUsed/>
    <w:rsid w:val="0037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A95"/>
    <w:rPr>
      <w:rFonts w:ascii="Calibri" w:eastAsia="Times New Roman" w:hAnsi="Calibri" w:cs="Times New Roman"/>
      <w:lang w:eastAsia="en-GB"/>
    </w:rPr>
  </w:style>
  <w:style w:type="character" w:customStyle="1" w:styleId="UnresolvedMention1">
    <w:name w:val="Unresolved Mention1"/>
    <w:basedOn w:val="DefaultParagraphFont"/>
    <w:uiPriority w:val="99"/>
    <w:semiHidden/>
    <w:unhideWhenUsed/>
    <w:rsid w:val="0091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2655">
      <w:bodyDiv w:val="1"/>
      <w:marLeft w:val="0"/>
      <w:marRight w:val="0"/>
      <w:marTop w:val="0"/>
      <w:marBottom w:val="0"/>
      <w:divBdr>
        <w:top w:val="none" w:sz="0" w:space="0" w:color="auto"/>
        <w:left w:val="none" w:sz="0" w:space="0" w:color="auto"/>
        <w:bottom w:val="none" w:sz="0" w:space="0" w:color="auto"/>
        <w:right w:val="none" w:sz="0" w:space="0" w:color="auto"/>
      </w:divBdr>
    </w:div>
    <w:div w:id="103623729">
      <w:bodyDiv w:val="1"/>
      <w:marLeft w:val="0"/>
      <w:marRight w:val="0"/>
      <w:marTop w:val="0"/>
      <w:marBottom w:val="0"/>
      <w:divBdr>
        <w:top w:val="none" w:sz="0" w:space="0" w:color="auto"/>
        <w:left w:val="none" w:sz="0" w:space="0" w:color="auto"/>
        <w:bottom w:val="none" w:sz="0" w:space="0" w:color="auto"/>
        <w:right w:val="none" w:sz="0" w:space="0" w:color="auto"/>
      </w:divBdr>
    </w:div>
    <w:div w:id="507990193">
      <w:bodyDiv w:val="1"/>
      <w:marLeft w:val="0"/>
      <w:marRight w:val="0"/>
      <w:marTop w:val="0"/>
      <w:marBottom w:val="0"/>
      <w:divBdr>
        <w:top w:val="none" w:sz="0" w:space="0" w:color="auto"/>
        <w:left w:val="none" w:sz="0" w:space="0" w:color="auto"/>
        <w:bottom w:val="none" w:sz="0" w:space="0" w:color="auto"/>
        <w:right w:val="none" w:sz="0" w:space="0" w:color="auto"/>
      </w:divBdr>
    </w:div>
    <w:div w:id="534005412">
      <w:bodyDiv w:val="1"/>
      <w:marLeft w:val="0"/>
      <w:marRight w:val="0"/>
      <w:marTop w:val="0"/>
      <w:marBottom w:val="0"/>
      <w:divBdr>
        <w:top w:val="none" w:sz="0" w:space="0" w:color="auto"/>
        <w:left w:val="none" w:sz="0" w:space="0" w:color="auto"/>
        <w:bottom w:val="none" w:sz="0" w:space="0" w:color="auto"/>
        <w:right w:val="none" w:sz="0" w:space="0" w:color="auto"/>
      </w:divBdr>
      <w:divsChild>
        <w:div w:id="2140420023">
          <w:marLeft w:val="750"/>
          <w:marRight w:val="0"/>
          <w:marTop w:val="0"/>
          <w:marBottom w:val="0"/>
          <w:divBdr>
            <w:top w:val="none" w:sz="0" w:space="0" w:color="auto"/>
            <w:left w:val="none" w:sz="0" w:space="0" w:color="auto"/>
            <w:bottom w:val="none" w:sz="0" w:space="0" w:color="auto"/>
            <w:right w:val="none" w:sz="0" w:space="0" w:color="auto"/>
          </w:divBdr>
        </w:div>
        <w:div w:id="162403076">
          <w:marLeft w:val="750"/>
          <w:marRight w:val="0"/>
          <w:marTop w:val="0"/>
          <w:marBottom w:val="0"/>
          <w:divBdr>
            <w:top w:val="none" w:sz="0" w:space="0" w:color="auto"/>
            <w:left w:val="none" w:sz="0" w:space="0" w:color="auto"/>
            <w:bottom w:val="none" w:sz="0" w:space="0" w:color="auto"/>
            <w:right w:val="none" w:sz="0" w:space="0" w:color="auto"/>
          </w:divBdr>
        </w:div>
      </w:divsChild>
    </w:div>
    <w:div w:id="678123369">
      <w:bodyDiv w:val="1"/>
      <w:marLeft w:val="0"/>
      <w:marRight w:val="0"/>
      <w:marTop w:val="0"/>
      <w:marBottom w:val="0"/>
      <w:divBdr>
        <w:top w:val="none" w:sz="0" w:space="0" w:color="auto"/>
        <w:left w:val="none" w:sz="0" w:space="0" w:color="auto"/>
        <w:bottom w:val="none" w:sz="0" w:space="0" w:color="auto"/>
        <w:right w:val="none" w:sz="0" w:space="0" w:color="auto"/>
      </w:divBdr>
    </w:div>
    <w:div w:id="747772783">
      <w:bodyDiv w:val="1"/>
      <w:marLeft w:val="0"/>
      <w:marRight w:val="0"/>
      <w:marTop w:val="0"/>
      <w:marBottom w:val="0"/>
      <w:divBdr>
        <w:top w:val="none" w:sz="0" w:space="0" w:color="auto"/>
        <w:left w:val="none" w:sz="0" w:space="0" w:color="auto"/>
        <w:bottom w:val="none" w:sz="0" w:space="0" w:color="auto"/>
        <w:right w:val="none" w:sz="0" w:space="0" w:color="auto"/>
      </w:divBdr>
    </w:div>
    <w:div w:id="786776463">
      <w:bodyDiv w:val="1"/>
      <w:marLeft w:val="0"/>
      <w:marRight w:val="0"/>
      <w:marTop w:val="0"/>
      <w:marBottom w:val="0"/>
      <w:divBdr>
        <w:top w:val="none" w:sz="0" w:space="0" w:color="auto"/>
        <w:left w:val="none" w:sz="0" w:space="0" w:color="auto"/>
        <w:bottom w:val="none" w:sz="0" w:space="0" w:color="auto"/>
        <w:right w:val="none" w:sz="0" w:space="0" w:color="auto"/>
      </w:divBdr>
    </w:div>
    <w:div w:id="831485646">
      <w:bodyDiv w:val="1"/>
      <w:marLeft w:val="0"/>
      <w:marRight w:val="0"/>
      <w:marTop w:val="0"/>
      <w:marBottom w:val="0"/>
      <w:divBdr>
        <w:top w:val="none" w:sz="0" w:space="0" w:color="auto"/>
        <w:left w:val="none" w:sz="0" w:space="0" w:color="auto"/>
        <w:bottom w:val="none" w:sz="0" w:space="0" w:color="auto"/>
        <w:right w:val="none" w:sz="0" w:space="0" w:color="auto"/>
      </w:divBdr>
    </w:div>
    <w:div w:id="1165629530">
      <w:bodyDiv w:val="1"/>
      <w:marLeft w:val="0"/>
      <w:marRight w:val="0"/>
      <w:marTop w:val="0"/>
      <w:marBottom w:val="0"/>
      <w:divBdr>
        <w:top w:val="none" w:sz="0" w:space="0" w:color="auto"/>
        <w:left w:val="none" w:sz="0" w:space="0" w:color="auto"/>
        <w:bottom w:val="none" w:sz="0" w:space="0" w:color="auto"/>
        <w:right w:val="none" w:sz="0" w:space="0" w:color="auto"/>
      </w:divBdr>
    </w:div>
    <w:div w:id="1352798952">
      <w:bodyDiv w:val="1"/>
      <w:marLeft w:val="0"/>
      <w:marRight w:val="0"/>
      <w:marTop w:val="0"/>
      <w:marBottom w:val="0"/>
      <w:divBdr>
        <w:top w:val="none" w:sz="0" w:space="0" w:color="auto"/>
        <w:left w:val="none" w:sz="0" w:space="0" w:color="auto"/>
        <w:bottom w:val="none" w:sz="0" w:space="0" w:color="auto"/>
        <w:right w:val="none" w:sz="0" w:space="0" w:color="auto"/>
      </w:divBdr>
    </w:div>
    <w:div w:id="1462647486">
      <w:bodyDiv w:val="1"/>
      <w:marLeft w:val="0"/>
      <w:marRight w:val="0"/>
      <w:marTop w:val="0"/>
      <w:marBottom w:val="0"/>
      <w:divBdr>
        <w:top w:val="none" w:sz="0" w:space="0" w:color="auto"/>
        <w:left w:val="none" w:sz="0" w:space="0" w:color="auto"/>
        <w:bottom w:val="none" w:sz="0" w:space="0" w:color="auto"/>
        <w:right w:val="none" w:sz="0" w:space="0" w:color="auto"/>
      </w:divBdr>
      <w:divsChild>
        <w:div w:id="737509062">
          <w:marLeft w:val="750"/>
          <w:marRight w:val="0"/>
          <w:marTop w:val="0"/>
          <w:marBottom w:val="0"/>
          <w:divBdr>
            <w:top w:val="none" w:sz="0" w:space="0" w:color="auto"/>
            <w:left w:val="none" w:sz="0" w:space="0" w:color="auto"/>
            <w:bottom w:val="none" w:sz="0" w:space="0" w:color="auto"/>
            <w:right w:val="none" w:sz="0" w:space="0" w:color="auto"/>
          </w:divBdr>
        </w:div>
        <w:div w:id="502819836">
          <w:marLeft w:val="750"/>
          <w:marRight w:val="0"/>
          <w:marTop w:val="0"/>
          <w:marBottom w:val="0"/>
          <w:divBdr>
            <w:top w:val="none" w:sz="0" w:space="0" w:color="auto"/>
            <w:left w:val="none" w:sz="0" w:space="0" w:color="auto"/>
            <w:bottom w:val="none" w:sz="0" w:space="0" w:color="auto"/>
            <w:right w:val="none" w:sz="0" w:space="0" w:color="auto"/>
          </w:divBdr>
        </w:div>
      </w:divsChild>
    </w:div>
    <w:div w:id="1525363572">
      <w:bodyDiv w:val="1"/>
      <w:marLeft w:val="0"/>
      <w:marRight w:val="0"/>
      <w:marTop w:val="0"/>
      <w:marBottom w:val="0"/>
      <w:divBdr>
        <w:top w:val="none" w:sz="0" w:space="0" w:color="auto"/>
        <w:left w:val="none" w:sz="0" w:space="0" w:color="auto"/>
        <w:bottom w:val="none" w:sz="0" w:space="0" w:color="auto"/>
        <w:right w:val="none" w:sz="0" w:space="0" w:color="auto"/>
      </w:divBdr>
    </w:div>
    <w:div w:id="1649092775">
      <w:bodyDiv w:val="1"/>
      <w:marLeft w:val="0"/>
      <w:marRight w:val="0"/>
      <w:marTop w:val="0"/>
      <w:marBottom w:val="0"/>
      <w:divBdr>
        <w:top w:val="none" w:sz="0" w:space="0" w:color="auto"/>
        <w:left w:val="none" w:sz="0" w:space="0" w:color="auto"/>
        <w:bottom w:val="none" w:sz="0" w:space="0" w:color="auto"/>
        <w:right w:val="none" w:sz="0" w:space="0" w:color="auto"/>
      </w:divBdr>
    </w:div>
    <w:div w:id="1810397108">
      <w:bodyDiv w:val="1"/>
      <w:marLeft w:val="0"/>
      <w:marRight w:val="0"/>
      <w:marTop w:val="0"/>
      <w:marBottom w:val="0"/>
      <w:divBdr>
        <w:top w:val="none" w:sz="0" w:space="0" w:color="auto"/>
        <w:left w:val="none" w:sz="0" w:space="0" w:color="auto"/>
        <w:bottom w:val="none" w:sz="0" w:space="0" w:color="auto"/>
        <w:right w:val="none" w:sz="0" w:space="0" w:color="auto"/>
      </w:divBdr>
    </w:div>
    <w:div w:id="1834182875">
      <w:bodyDiv w:val="1"/>
      <w:marLeft w:val="0"/>
      <w:marRight w:val="0"/>
      <w:marTop w:val="0"/>
      <w:marBottom w:val="0"/>
      <w:divBdr>
        <w:top w:val="none" w:sz="0" w:space="0" w:color="auto"/>
        <w:left w:val="none" w:sz="0" w:space="0" w:color="auto"/>
        <w:bottom w:val="none" w:sz="0" w:space="0" w:color="auto"/>
        <w:right w:val="none" w:sz="0" w:space="0" w:color="auto"/>
      </w:divBdr>
    </w:div>
    <w:div w:id="2064939152">
      <w:bodyDiv w:val="1"/>
      <w:marLeft w:val="0"/>
      <w:marRight w:val="0"/>
      <w:marTop w:val="0"/>
      <w:marBottom w:val="0"/>
      <w:divBdr>
        <w:top w:val="none" w:sz="0" w:space="0" w:color="auto"/>
        <w:left w:val="none" w:sz="0" w:space="0" w:color="auto"/>
        <w:bottom w:val="none" w:sz="0" w:space="0" w:color="auto"/>
        <w:right w:val="none" w:sz="0" w:space="0" w:color="auto"/>
      </w:divBdr>
      <w:divsChild>
        <w:div w:id="696779488">
          <w:marLeft w:val="750"/>
          <w:marRight w:val="0"/>
          <w:marTop w:val="0"/>
          <w:marBottom w:val="0"/>
          <w:divBdr>
            <w:top w:val="none" w:sz="0" w:space="0" w:color="auto"/>
            <w:left w:val="none" w:sz="0" w:space="0" w:color="auto"/>
            <w:bottom w:val="none" w:sz="0" w:space="0" w:color="auto"/>
            <w:right w:val="none" w:sz="0" w:space="0" w:color="auto"/>
          </w:divBdr>
        </w:div>
        <w:div w:id="1689866372">
          <w:marLeft w:val="750"/>
          <w:marRight w:val="0"/>
          <w:marTop w:val="0"/>
          <w:marBottom w:val="0"/>
          <w:divBdr>
            <w:top w:val="none" w:sz="0" w:space="0" w:color="auto"/>
            <w:left w:val="none" w:sz="0" w:space="0" w:color="auto"/>
            <w:bottom w:val="none" w:sz="0" w:space="0" w:color="auto"/>
            <w:right w:val="none" w:sz="0" w:space="0" w:color="auto"/>
          </w:divBdr>
        </w:div>
      </w:divsChild>
    </w:div>
    <w:div w:id="2065788782">
      <w:bodyDiv w:val="1"/>
      <w:marLeft w:val="0"/>
      <w:marRight w:val="0"/>
      <w:marTop w:val="0"/>
      <w:marBottom w:val="0"/>
      <w:divBdr>
        <w:top w:val="none" w:sz="0" w:space="0" w:color="auto"/>
        <w:left w:val="none" w:sz="0" w:space="0" w:color="auto"/>
        <w:bottom w:val="none" w:sz="0" w:space="0" w:color="auto"/>
        <w:right w:val="none" w:sz="0" w:space="0" w:color="auto"/>
      </w:divBdr>
    </w:div>
    <w:div w:id="2137944123">
      <w:bodyDiv w:val="1"/>
      <w:marLeft w:val="0"/>
      <w:marRight w:val="0"/>
      <w:marTop w:val="0"/>
      <w:marBottom w:val="0"/>
      <w:divBdr>
        <w:top w:val="none" w:sz="0" w:space="0" w:color="auto"/>
        <w:left w:val="none" w:sz="0" w:space="0" w:color="auto"/>
        <w:bottom w:val="none" w:sz="0" w:space="0" w:color="auto"/>
        <w:right w:val="none" w:sz="0" w:space="0" w:color="auto"/>
      </w:divBdr>
      <w:divsChild>
        <w:div w:id="2122920742">
          <w:marLeft w:val="750"/>
          <w:marRight w:val="0"/>
          <w:marTop w:val="0"/>
          <w:marBottom w:val="0"/>
          <w:divBdr>
            <w:top w:val="none" w:sz="0" w:space="0" w:color="auto"/>
            <w:left w:val="none" w:sz="0" w:space="0" w:color="auto"/>
            <w:bottom w:val="none" w:sz="0" w:space="0" w:color="auto"/>
            <w:right w:val="none" w:sz="0" w:space="0" w:color="auto"/>
          </w:divBdr>
        </w:div>
        <w:div w:id="1099987529">
          <w:marLeft w:val="7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56582a9d-e819-4b88-a881-f61f450c2a25?origin=SearchResults&amp;p=1" TargetMode="External"/><Relationship Id="rId3" Type="http://schemas.openxmlformats.org/officeDocument/2006/relationships/settings" Target="settings.xml"/><Relationship Id="rId7" Type="http://schemas.openxmlformats.org/officeDocument/2006/relationships/hyperlink" Target="mailto:colin.seymour@cabinetoff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courts-tribu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Seymour</dc:creator>
  <cp:keywords/>
  <dc:description/>
  <cp:lastModifiedBy>Colin Seymour</cp:lastModifiedBy>
  <cp:revision>5</cp:revision>
  <dcterms:created xsi:type="dcterms:W3CDTF">2021-10-01T07:50:00Z</dcterms:created>
  <dcterms:modified xsi:type="dcterms:W3CDTF">2021-10-01T09:14:00Z</dcterms:modified>
</cp:coreProperties>
</file>