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4E1294C5" w:rsidR="0095659E" w:rsidRDefault="00E52B87" w:rsidP="00235AFD">
      <w:pPr>
        <w:pStyle w:val="CoverSub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235AFD">
        <w:t>RSSB2724 -T1132 Development of Supplementary Freight Container Gauges</w:t>
      </w:r>
    </w:p>
    <w:p w14:paraId="367CB7EE" w14:textId="73683531" w:rsidR="00E52B87" w:rsidRPr="00E52B87" w:rsidRDefault="00E52B87" w:rsidP="00E52B87">
      <w:pPr>
        <w:pStyle w:val="CoverTitle"/>
      </w:pPr>
    </w:p>
    <w:p w14:paraId="69A8EB25" w14:textId="379B15AE" w:rsidR="00E52B87" w:rsidRPr="00E52B87" w:rsidRDefault="00E52B87" w:rsidP="00E52B87">
      <w:pPr>
        <w:pStyle w:val="CoverSubTitle"/>
      </w:pPr>
      <w:r w:rsidRPr="00E52B87">
        <w:t xml:space="preserve">Deadline: </w:t>
      </w:r>
      <w:r w:rsidR="00235AFD">
        <w:t>Monday 10</w:t>
      </w:r>
      <w:r w:rsidR="00235AFD" w:rsidRPr="00235AFD">
        <w:rPr>
          <w:vertAlign w:val="superscript"/>
        </w:rPr>
        <w:t>th</w:t>
      </w:r>
      <w:r w:rsidR="00235AFD">
        <w:t xml:space="preserve"> December 2018</w:t>
      </w:r>
    </w:p>
    <w:p w14:paraId="1051D870" w14:textId="2F1E2188" w:rsidR="00E52B87" w:rsidRPr="00E52B87" w:rsidRDefault="00E52B87" w:rsidP="00E52B87">
      <w:pPr>
        <w:pStyle w:val="CoverSubTitle"/>
      </w:pPr>
      <w:r w:rsidRPr="00E52B87">
        <w:t xml:space="preserve">ITT Reference: </w:t>
      </w:r>
      <w:r w:rsidR="0095659E">
        <w:t xml:space="preserve"> </w:t>
      </w:r>
      <w:r w:rsidR="00235AFD">
        <w:t>RSSB2724 -T1132 Development of Supplementary Freight Container Gauges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235AFD" w:rsidRPr="00EB323B" w14:paraId="15AE61D0" w14:textId="77777777" w:rsidTr="00235AFD">
        <w:trPr>
          <w:trHeight w:val="504"/>
        </w:trPr>
        <w:tc>
          <w:tcPr>
            <w:tcW w:w="3095" w:type="pct"/>
            <w:shd w:val="clear" w:color="auto" w:fill="99CC00"/>
          </w:tcPr>
          <w:p w14:paraId="0EB1AAFF" w14:textId="77777777" w:rsidR="00235AFD" w:rsidRPr="00EB323B" w:rsidRDefault="00235AFD" w:rsidP="00235AFD">
            <w:pPr>
              <w:spacing w:before="120" w:after="120"/>
              <w:rPr>
                <w:rFonts w:asciiTheme="minorHAnsi" w:hAnsiTheme="minorHAnsi" w:cs="Arial"/>
                <w:b/>
              </w:rPr>
            </w:pPr>
            <w:r>
              <w:rPr>
                <w:rFonts w:asciiTheme="minorHAnsi" w:hAnsiTheme="minorHAnsi" w:cs="Arial"/>
                <w:b/>
              </w:rPr>
              <w:t>Activity</w:t>
            </w:r>
          </w:p>
        </w:tc>
        <w:tc>
          <w:tcPr>
            <w:tcW w:w="1905" w:type="pct"/>
            <w:shd w:val="clear" w:color="auto" w:fill="99CC00"/>
          </w:tcPr>
          <w:p w14:paraId="50F9AEA9" w14:textId="77777777" w:rsidR="00235AFD" w:rsidRPr="00EB323B" w:rsidRDefault="00235AFD" w:rsidP="00235AFD">
            <w:pPr>
              <w:spacing w:before="120" w:after="120"/>
              <w:jc w:val="center"/>
              <w:rPr>
                <w:rFonts w:asciiTheme="minorHAnsi" w:hAnsiTheme="minorHAnsi" w:cs="Arial"/>
                <w:b/>
              </w:rPr>
            </w:pPr>
            <w:r w:rsidRPr="00EB323B">
              <w:rPr>
                <w:rFonts w:asciiTheme="minorHAnsi" w:hAnsiTheme="minorHAnsi" w:cs="Arial"/>
                <w:b/>
              </w:rPr>
              <w:t>Date</w:t>
            </w:r>
          </w:p>
        </w:tc>
      </w:tr>
      <w:tr w:rsidR="00235AFD" w:rsidRPr="00EB323B" w14:paraId="5BE617EB" w14:textId="77777777" w:rsidTr="00235AFD">
        <w:trPr>
          <w:trHeight w:val="504"/>
        </w:trPr>
        <w:tc>
          <w:tcPr>
            <w:tcW w:w="3095" w:type="pct"/>
          </w:tcPr>
          <w:p w14:paraId="5DEB28ED" w14:textId="77777777" w:rsidR="00235AFD" w:rsidRDefault="00235AFD" w:rsidP="00235AFD">
            <w:pPr>
              <w:spacing w:before="120" w:after="120"/>
              <w:jc w:val="both"/>
              <w:rPr>
                <w:rFonts w:asciiTheme="minorHAnsi" w:hAnsiTheme="minorHAnsi" w:cs="Arial"/>
              </w:rPr>
            </w:pPr>
            <w:r>
              <w:rPr>
                <w:rFonts w:asciiTheme="minorHAnsi" w:hAnsiTheme="minorHAnsi" w:cs="Arial"/>
              </w:rPr>
              <w:t xml:space="preserve">Expression of interest meeting </w:t>
            </w:r>
          </w:p>
        </w:tc>
        <w:tc>
          <w:tcPr>
            <w:tcW w:w="1905" w:type="pct"/>
          </w:tcPr>
          <w:p w14:paraId="218DE710" w14:textId="77777777" w:rsidR="00235AFD" w:rsidRDefault="00235AFD" w:rsidP="00235AFD">
            <w:pPr>
              <w:spacing w:before="120" w:after="120"/>
              <w:rPr>
                <w:rFonts w:asciiTheme="minorHAnsi" w:hAnsiTheme="minorHAnsi" w:cs="Arial"/>
              </w:rPr>
            </w:pPr>
            <w:r>
              <w:rPr>
                <w:rFonts w:asciiTheme="minorHAnsi" w:hAnsiTheme="minorHAnsi" w:cs="Arial"/>
              </w:rPr>
              <w:t>15</w:t>
            </w:r>
            <w:r w:rsidRPr="00476E23">
              <w:rPr>
                <w:rFonts w:asciiTheme="minorHAnsi" w:hAnsiTheme="minorHAnsi" w:cs="Arial"/>
              </w:rPr>
              <w:t xml:space="preserve"> Aug</w:t>
            </w:r>
            <w:r w:rsidRPr="00B14691">
              <w:rPr>
                <w:rFonts w:asciiTheme="minorHAnsi" w:hAnsiTheme="minorHAnsi" w:cs="Arial"/>
              </w:rPr>
              <w:t xml:space="preserve"> </w:t>
            </w:r>
            <w:r>
              <w:rPr>
                <w:rFonts w:asciiTheme="minorHAnsi" w:hAnsiTheme="minorHAnsi" w:cs="Arial"/>
              </w:rPr>
              <w:t>2018</w:t>
            </w:r>
          </w:p>
        </w:tc>
      </w:tr>
      <w:tr w:rsidR="00235AFD" w:rsidRPr="00EB323B" w14:paraId="361D362C" w14:textId="77777777" w:rsidTr="00235AFD">
        <w:trPr>
          <w:trHeight w:val="504"/>
        </w:trPr>
        <w:tc>
          <w:tcPr>
            <w:tcW w:w="3095" w:type="pct"/>
          </w:tcPr>
          <w:p w14:paraId="25307AAC" w14:textId="77777777" w:rsidR="00235AFD" w:rsidRPr="00EB323B" w:rsidRDefault="00235AFD" w:rsidP="00235AFD">
            <w:pPr>
              <w:spacing w:before="120" w:after="120"/>
              <w:jc w:val="both"/>
              <w:rPr>
                <w:rFonts w:asciiTheme="minorHAnsi" w:hAnsiTheme="minorHAnsi" w:cs="Arial"/>
              </w:rPr>
            </w:pPr>
            <w:r>
              <w:rPr>
                <w:rFonts w:asciiTheme="minorHAnsi" w:hAnsiTheme="minorHAnsi" w:cs="Arial"/>
              </w:rPr>
              <w:t>ITT</w:t>
            </w:r>
            <w:r w:rsidRPr="00EB323B">
              <w:rPr>
                <w:rFonts w:asciiTheme="minorHAnsi" w:hAnsiTheme="minorHAnsi" w:cs="Arial"/>
              </w:rPr>
              <w:t xml:space="preserve"> issued</w:t>
            </w:r>
          </w:p>
        </w:tc>
        <w:tc>
          <w:tcPr>
            <w:tcW w:w="1905" w:type="pct"/>
          </w:tcPr>
          <w:p w14:paraId="4FDEEC54" w14:textId="77777777" w:rsidR="00235AFD" w:rsidRPr="00E411E9" w:rsidRDefault="00235AFD" w:rsidP="00235AFD">
            <w:pPr>
              <w:spacing w:before="120" w:after="120"/>
              <w:rPr>
                <w:rFonts w:asciiTheme="minorHAnsi" w:hAnsiTheme="minorHAnsi" w:cs="Arial"/>
              </w:rPr>
            </w:pPr>
            <w:r>
              <w:rPr>
                <w:rFonts w:asciiTheme="minorHAnsi" w:hAnsiTheme="minorHAnsi" w:cs="Arial"/>
              </w:rPr>
              <w:t>12</w:t>
            </w:r>
            <w:r w:rsidRPr="00E411E9">
              <w:rPr>
                <w:rFonts w:asciiTheme="minorHAnsi" w:hAnsiTheme="minorHAnsi" w:cs="Arial"/>
              </w:rPr>
              <w:t xml:space="preserve"> </w:t>
            </w:r>
            <w:r>
              <w:rPr>
                <w:rFonts w:asciiTheme="minorHAnsi" w:hAnsiTheme="minorHAnsi" w:cs="Arial"/>
              </w:rPr>
              <w:t xml:space="preserve">Nov </w:t>
            </w:r>
            <w:r w:rsidRPr="00E411E9">
              <w:rPr>
                <w:rFonts w:asciiTheme="minorHAnsi" w:hAnsiTheme="minorHAnsi" w:cs="Arial"/>
              </w:rPr>
              <w:t>2018</w:t>
            </w:r>
          </w:p>
        </w:tc>
      </w:tr>
      <w:tr w:rsidR="00235AFD" w:rsidRPr="00EB323B" w14:paraId="32743BF1" w14:textId="77777777" w:rsidTr="00235AFD">
        <w:trPr>
          <w:trHeight w:val="516"/>
        </w:trPr>
        <w:tc>
          <w:tcPr>
            <w:tcW w:w="3095" w:type="pct"/>
          </w:tcPr>
          <w:p w14:paraId="19B3FFCB" w14:textId="77777777" w:rsidR="00235AFD" w:rsidRPr="00EB323B" w:rsidRDefault="00235AFD" w:rsidP="00235AFD">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2968BF00" w14:textId="77777777" w:rsidR="00235AFD" w:rsidRPr="00E411E9" w:rsidRDefault="00235AFD" w:rsidP="00235AFD">
            <w:pPr>
              <w:spacing w:before="120" w:after="120"/>
              <w:rPr>
                <w:rFonts w:asciiTheme="minorHAnsi" w:hAnsiTheme="minorHAnsi" w:cs="Arial"/>
              </w:rPr>
            </w:pPr>
            <w:r>
              <w:rPr>
                <w:rFonts w:asciiTheme="minorHAnsi" w:hAnsiTheme="minorHAnsi" w:cs="Arial"/>
              </w:rPr>
              <w:t>3 Dec</w:t>
            </w:r>
            <w:r w:rsidRPr="00E411E9">
              <w:rPr>
                <w:rFonts w:asciiTheme="minorHAnsi" w:hAnsiTheme="minorHAnsi" w:cs="Arial"/>
              </w:rPr>
              <w:t xml:space="preserve"> 2018; 12:00 hours</w:t>
            </w:r>
          </w:p>
        </w:tc>
      </w:tr>
      <w:tr w:rsidR="00235AFD" w:rsidRPr="00EB323B" w14:paraId="339BA15E" w14:textId="77777777" w:rsidTr="00235AFD">
        <w:trPr>
          <w:trHeight w:val="280"/>
        </w:trPr>
        <w:tc>
          <w:tcPr>
            <w:tcW w:w="3095" w:type="pct"/>
          </w:tcPr>
          <w:p w14:paraId="302C5755" w14:textId="77777777" w:rsidR="00235AFD" w:rsidRPr="00EB323B" w:rsidRDefault="00235AFD" w:rsidP="00235AFD">
            <w:pPr>
              <w:spacing w:before="120" w:after="120"/>
              <w:jc w:val="both"/>
              <w:rPr>
                <w:rFonts w:asciiTheme="minorHAnsi" w:hAnsiTheme="minorHAnsi" w:cs="Arial"/>
                <w:b/>
                <w:color w:val="FF0000"/>
              </w:rPr>
            </w:pPr>
            <w:r w:rsidRPr="00EB323B">
              <w:rPr>
                <w:rFonts w:asciiTheme="minorHAnsi" w:hAnsiTheme="minorHAnsi" w:cs="Arial"/>
                <w:b/>
                <w:color w:val="FF0000"/>
              </w:rPr>
              <w:t>Deadline for Submitting Tenders</w:t>
            </w:r>
          </w:p>
        </w:tc>
        <w:tc>
          <w:tcPr>
            <w:tcW w:w="1905" w:type="pct"/>
          </w:tcPr>
          <w:p w14:paraId="301F15FF" w14:textId="77777777" w:rsidR="00235AFD" w:rsidRPr="00E411E9" w:rsidRDefault="00235AFD" w:rsidP="00235AFD">
            <w:pPr>
              <w:spacing w:before="120" w:after="120"/>
              <w:rPr>
                <w:rFonts w:asciiTheme="minorHAnsi" w:hAnsiTheme="minorHAnsi" w:cs="Arial"/>
                <w:b/>
                <w:color w:val="FF0000"/>
              </w:rPr>
            </w:pPr>
            <w:r w:rsidRPr="00E411E9">
              <w:rPr>
                <w:rFonts w:asciiTheme="minorHAnsi" w:hAnsiTheme="minorHAnsi" w:cs="Arial"/>
                <w:b/>
                <w:color w:val="FF0000"/>
              </w:rPr>
              <w:t>1</w:t>
            </w:r>
            <w:r>
              <w:rPr>
                <w:rFonts w:asciiTheme="minorHAnsi" w:hAnsiTheme="minorHAnsi" w:cs="Arial"/>
                <w:b/>
                <w:color w:val="FF0000"/>
              </w:rPr>
              <w:t>0</w:t>
            </w:r>
            <w:r w:rsidRPr="00E411E9">
              <w:rPr>
                <w:rFonts w:asciiTheme="minorHAnsi" w:hAnsiTheme="minorHAnsi" w:cs="Arial"/>
                <w:b/>
                <w:color w:val="FF0000"/>
              </w:rPr>
              <w:t xml:space="preserve"> </w:t>
            </w:r>
            <w:r>
              <w:rPr>
                <w:rFonts w:asciiTheme="minorHAnsi" w:hAnsiTheme="minorHAnsi" w:cs="Arial"/>
                <w:b/>
                <w:color w:val="FF0000"/>
              </w:rPr>
              <w:t>Dec</w:t>
            </w:r>
            <w:r w:rsidRPr="00E411E9">
              <w:rPr>
                <w:rFonts w:asciiTheme="minorHAnsi" w:hAnsiTheme="minorHAnsi" w:cs="Arial"/>
                <w:b/>
                <w:color w:val="FF0000"/>
              </w:rPr>
              <w:t xml:space="preserve"> 2018; 12:00 hours</w:t>
            </w:r>
          </w:p>
        </w:tc>
      </w:tr>
      <w:tr w:rsidR="00235AFD" w:rsidRPr="00EB323B" w14:paraId="3555A78A" w14:textId="77777777" w:rsidTr="00235AFD">
        <w:trPr>
          <w:trHeight w:val="624"/>
        </w:trPr>
        <w:tc>
          <w:tcPr>
            <w:tcW w:w="3095" w:type="pct"/>
          </w:tcPr>
          <w:p w14:paraId="748A62CB" w14:textId="41B233D5" w:rsidR="00235AFD" w:rsidRPr="00EB323B" w:rsidRDefault="00235AFD" w:rsidP="00235AFD">
            <w:pPr>
              <w:spacing w:before="120" w:after="120"/>
              <w:jc w:val="both"/>
              <w:rPr>
                <w:rFonts w:asciiTheme="minorHAnsi" w:hAnsiTheme="minorHAnsi" w:cs="Arial"/>
              </w:rPr>
            </w:pPr>
            <w:r w:rsidRPr="00EB323B">
              <w:rPr>
                <w:rFonts w:asciiTheme="minorHAnsi" w:hAnsiTheme="minorHAnsi" w:cs="Arial"/>
              </w:rPr>
              <w:t>Post Tender</w:t>
            </w:r>
            <w:r>
              <w:rPr>
                <w:rFonts w:asciiTheme="minorHAnsi" w:hAnsiTheme="minorHAnsi" w:cs="Arial"/>
              </w:rPr>
              <w:t xml:space="preserve"> &amp; Evaluation</w:t>
            </w:r>
            <w:r w:rsidRPr="00EB323B">
              <w:rPr>
                <w:rFonts w:asciiTheme="minorHAnsi" w:hAnsiTheme="minorHAnsi" w:cs="Arial"/>
              </w:rPr>
              <w:t xml:space="preserve"> Clarification </w:t>
            </w:r>
          </w:p>
        </w:tc>
        <w:tc>
          <w:tcPr>
            <w:tcW w:w="1905" w:type="pct"/>
          </w:tcPr>
          <w:p w14:paraId="7BFD092B" w14:textId="4C679B53" w:rsidR="00235AFD" w:rsidRPr="00E411E9" w:rsidRDefault="00235AFD" w:rsidP="00235AFD">
            <w:pPr>
              <w:spacing w:before="120" w:after="120"/>
              <w:rPr>
                <w:rFonts w:asciiTheme="minorHAnsi" w:hAnsiTheme="minorHAnsi" w:cs="Arial"/>
              </w:rPr>
            </w:pPr>
            <w:r>
              <w:rPr>
                <w:rFonts w:asciiTheme="minorHAnsi" w:hAnsiTheme="minorHAnsi" w:cs="Arial"/>
              </w:rPr>
              <w:t>W/C 10 Dec 2018</w:t>
            </w:r>
          </w:p>
        </w:tc>
      </w:tr>
      <w:tr w:rsidR="00235AFD" w:rsidRPr="00EB323B" w14:paraId="390E2640" w14:textId="77777777" w:rsidTr="00235AFD">
        <w:trPr>
          <w:trHeight w:val="504"/>
        </w:trPr>
        <w:tc>
          <w:tcPr>
            <w:tcW w:w="3095" w:type="pct"/>
          </w:tcPr>
          <w:p w14:paraId="320928C8" w14:textId="77777777" w:rsidR="00235AFD" w:rsidRPr="00EB323B" w:rsidRDefault="00235AFD" w:rsidP="00235AFD">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246E5DB8" w14:textId="77777777" w:rsidR="00235AFD" w:rsidRPr="00E411E9" w:rsidRDefault="00235AFD" w:rsidP="00235AFD">
            <w:pPr>
              <w:spacing w:before="120" w:after="120"/>
              <w:rPr>
                <w:rFonts w:asciiTheme="minorHAnsi" w:hAnsiTheme="minorHAnsi" w:cs="Arial"/>
              </w:rPr>
            </w:pPr>
            <w:r>
              <w:rPr>
                <w:rFonts w:asciiTheme="minorHAnsi" w:hAnsiTheme="minorHAnsi" w:cs="Arial"/>
              </w:rPr>
              <w:t>24</w:t>
            </w:r>
            <w:r w:rsidRPr="00E411E9">
              <w:rPr>
                <w:rFonts w:asciiTheme="minorHAnsi" w:hAnsiTheme="minorHAnsi" w:cs="Arial"/>
              </w:rPr>
              <w:t xml:space="preserve"> Dec 2018</w:t>
            </w:r>
          </w:p>
        </w:tc>
      </w:tr>
      <w:tr w:rsidR="00235AFD" w:rsidRPr="00EB323B" w14:paraId="59397652" w14:textId="77777777" w:rsidTr="00235AFD">
        <w:trPr>
          <w:trHeight w:val="504"/>
        </w:trPr>
        <w:tc>
          <w:tcPr>
            <w:tcW w:w="3095" w:type="pct"/>
          </w:tcPr>
          <w:p w14:paraId="6EDE26E2" w14:textId="77777777" w:rsidR="00235AFD" w:rsidRPr="00EB323B" w:rsidRDefault="00235AFD" w:rsidP="00235AFD">
            <w:pPr>
              <w:spacing w:before="120" w:after="120"/>
              <w:jc w:val="both"/>
              <w:rPr>
                <w:rFonts w:asciiTheme="minorHAnsi" w:hAnsiTheme="minorHAnsi" w:cs="Arial"/>
              </w:rPr>
            </w:pPr>
            <w:r w:rsidRPr="00EB323B">
              <w:rPr>
                <w:rFonts w:asciiTheme="minorHAnsi" w:hAnsiTheme="minorHAnsi" w:cs="Arial"/>
              </w:rPr>
              <w:t>Target contract commencement date</w:t>
            </w:r>
          </w:p>
        </w:tc>
        <w:tc>
          <w:tcPr>
            <w:tcW w:w="1905" w:type="pct"/>
          </w:tcPr>
          <w:p w14:paraId="5B86B0CC" w14:textId="064EBAD7" w:rsidR="00235AFD" w:rsidRPr="00E411E9" w:rsidRDefault="00235AFD" w:rsidP="00235AFD">
            <w:pPr>
              <w:spacing w:before="120" w:after="120"/>
              <w:rPr>
                <w:rFonts w:asciiTheme="minorHAnsi" w:hAnsiTheme="minorHAnsi" w:cs="Arial"/>
              </w:rPr>
            </w:pPr>
            <w:r>
              <w:rPr>
                <w:rFonts w:asciiTheme="minorHAnsi" w:hAnsiTheme="minorHAnsi" w:cs="Arial"/>
              </w:rPr>
              <w:t>W/C</w:t>
            </w:r>
            <w:r w:rsidRPr="00E411E9">
              <w:rPr>
                <w:rFonts w:asciiTheme="minorHAnsi" w:hAnsiTheme="minorHAnsi" w:cs="Arial"/>
              </w:rPr>
              <w:t xml:space="preserve"> </w:t>
            </w:r>
            <w:r>
              <w:rPr>
                <w:rFonts w:asciiTheme="minorHAnsi" w:hAnsiTheme="minorHAnsi" w:cs="Arial"/>
              </w:rPr>
              <w:t>7</w:t>
            </w:r>
            <w:r w:rsidRPr="00E411E9">
              <w:rPr>
                <w:rFonts w:asciiTheme="minorHAnsi" w:hAnsiTheme="minorHAnsi" w:cs="Arial"/>
              </w:rPr>
              <w:t xml:space="preserve"> </w:t>
            </w:r>
            <w:r>
              <w:rPr>
                <w:rFonts w:asciiTheme="minorHAnsi" w:hAnsiTheme="minorHAnsi" w:cs="Arial"/>
              </w:rPr>
              <w:t>Jan</w:t>
            </w:r>
            <w:r w:rsidRPr="00E411E9">
              <w:rPr>
                <w:rFonts w:asciiTheme="minorHAnsi" w:hAnsiTheme="minorHAnsi" w:cs="Arial"/>
              </w:rPr>
              <w:t xml:space="preserve"> 201</w:t>
            </w:r>
            <w:r>
              <w:rPr>
                <w:rFonts w:asciiTheme="minorHAnsi" w:hAnsiTheme="minorHAnsi" w:cs="Arial"/>
              </w:rPr>
              <w:t>9</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52821181" w14:textId="5835CBF3" w:rsidR="00902E89" w:rsidRPr="003605A6" w:rsidRDefault="0072709F" w:rsidP="003605A6">
      <w:pPr>
        <w:numPr>
          <w:ilvl w:val="0"/>
          <w:numId w:val="38"/>
        </w:numPr>
        <w:tabs>
          <w:tab w:val="left" w:pos="227"/>
        </w:tabs>
        <w:spacing w:after="80" w:line="300" w:lineRule="exact"/>
        <w:contextualSpacing/>
        <w:rPr>
          <w:rFonts w:asciiTheme="minorHAnsi" w:eastAsia="Times New Roman" w:hAnsiTheme="minorHAnsi" w:cs="Times New Roman"/>
          <w:lang w:eastAsia="en-GB"/>
        </w:rPr>
        <w:sectPr w:rsidR="00902E89" w:rsidRPr="003605A6"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r w:rsidRPr="0072709F">
        <w:rPr>
          <w:rFonts w:asciiTheme="minorHAnsi" w:eastAsia="Times New Roman" w:hAnsiTheme="minorHAnsi" w:cs="Times New Roman"/>
          <w:lang w:eastAsia="en-GB"/>
        </w:rPr>
        <w:t>Further reading on how to complete the tender is av</w:t>
      </w:r>
      <w:r w:rsidRPr="003605A6">
        <w:rPr>
          <w:rFonts w:asciiTheme="minorHAnsi" w:eastAsia="Times New Roman" w:hAnsiTheme="minorHAnsi" w:cs="Times New Roman"/>
          <w:lang w:eastAsia="en-GB"/>
        </w:rPr>
        <w:t>ailable in section 10</w:t>
      </w:r>
    </w:p>
    <w:p w14:paraId="576B5B83" w14:textId="3A3A3886" w:rsidR="003605A6" w:rsidRDefault="000140D4" w:rsidP="003605A6">
      <w:pPr>
        <w:pStyle w:val="Heading1"/>
        <w:numPr>
          <w:ilvl w:val="0"/>
          <w:numId w:val="0"/>
        </w:numPr>
      </w:pPr>
      <w:r>
        <w:lastRenderedPageBreak/>
        <w:t>7.0 TENDER EV</w:t>
      </w:r>
      <w:r w:rsidR="003605A6">
        <w:t>A</w:t>
      </w:r>
      <w:r>
        <w:t xml:space="preserve">LUATION </w:t>
      </w:r>
      <w:r w:rsidRPr="00E52B87">
        <w:t>(</w:t>
      </w:r>
      <w:r>
        <w:t>SELECTION CRITERIA</w:t>
      </w:r>
      <w:r w:rsidR="003605A6">
        <w:t>)</w:t>
      </w:r>
    </w:p>
    <w:p w14:paraId="66973AFA" w14:textId="52BE81E7" w:rsidR="00774BAC" w:rsidRDefault="00774BAC" w:rsidP="00774BAC">
      <w:pPr>
        <w:pStyle w:val="Body"/>
      </w:pPr>
    </w:p>
    <w:tbl>
      <w:tblPr>
        <w:tblStyle w:val="TableGrid"/>
        <w:tblW w:w="4890"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81"/>
        <w:gridCol w:w="4353"/>
        <w:gridCol w:w="4486"/>
      </w:tblGrid>
      <w:tr w:rsidR="00774BAC" w:rsidRPr="00A073A1" w14:paraId="0B0F373B" w14:textId="77777777" w:rsidTr="00774BAC">
        <w:trPr>
          <w:trHeight w:val="1047"/>
          <w:tblHead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9CC00"/>
            <w:vAlign w:val="center"/>
            <w:hideMark/>
          </w:tcPr>
          <w:p w14:paraId="65F044F8" w14:textId="77777777" w:rsidR="00774BAC" w:rsidRPr="00A073A1" w:rsidRDefault="00774BAC" w:rsidP="00574572">
            <w:pPr>
              <w:spacing w:after="120" w:line="300" w:lineRule="exact"/>
              <w:jc w:val="center"/>
              <w:rPr>
                <w:rFonts w:asciiTheme="minorHAnsi" w:hAnsiTheme="minorHAnsi" w:cs="Arial"/>
                <w:b/>
              </w:rPr>
            </w:pPr>
            <w:r>
              <w:rPr>
                <w:rFonts w:asciiTheme="minorHAnsi" w:hAnsiTheme="minorHAnsi" w:cs="Arial"/>
                <w:b/>
              </w:rPr>
              <w:t>Heading</w:t>
            </w:r>
          </w:p>
        </w:tc>
        <w:tc>
          <w:tcPr>
            <w:tcW w:w="19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9CC00"/>
            <w:vAlign w:val="center"/>
            <w:hideMark/>
          </w:tcPr>
          <w:p w14:paraId="4D92D59B" w14:textId="77777777" w:rsidR="00774BAC" w:rsidRPr="00A073A1" w:rsidRDefault="00774BAC" w:rsidP="00574572">
            <w:pPr>
              <w:spacing w:after="120" w:line="300" w:lineRule="exact"/>
              <w:jc w:val="center"/>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19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9CC00"/>
            <w:vAlign w:val="center"/>
            <w:hideMark/>
          </w:tcPr>
          <w:p w14:paraId="15196A49" w14:textId="77777777" w:rsidR="00774BAC" w:rsidRPr="00A073A1" w:rsidRDefault="00774BAC" w:rsidP="00574572">
            <w:pPr>
              <w:spacing w:after="120" w:line="300" w:lineRule="exact"/>
              <w:jc w:val="center"/>
              <w:rPr>
                <w:rFonts w:asciiTheme="minorHAnsi" w:hAnsiTheme="minorHAnsi" w:cs="Arial"/>
                <w:b/>
              </w:rPr>
            </w:pPr>
            <w:r w:rsidRPr="00A073A1">
              <w:rPr>
                <w:rFonts w:asciiTheme="minorHAnsi" w:hAnsiTheme="minorHAnsi" w:cs="Arial"/>
                <w:b/>
              </w:rPr>
              <w:t>Evaluation Criteria</w:t>
            </w:r>
          </w:p>
        </w:tc>
      </w:tr>
      <w:tr w:rsidR="00774BAC" w:rsidRPr="00A073A1" w14:paraId="154C91AD" w14:textId="77777777" w:rsidTr="00774BAC">
        <w:trPr>
          <w:trHeight w:val="864"/>
          <w:tblHead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C69B90" w14:textId="77777777" w:rsidR="00774BAC" w:rsidRDefault="00774BAC" w:rsidP="00574572">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Tenderer in</w:t>
            </w:r>
            <w:r w:rsidRPr="00A073A1">
              <w:rPr>
                <w:rFonts w:asciiTheme="minorHAnsi" w:hAnsiTheme="minorHAnsi" w:cs="Arial"/>
              </w:rPr>
              <w:t xml:space="preserve"> </w:t>
            </w:r>
            <w:r>
              <w:rPr>
                <w:rFonts w:asciiTheme="minorHAnsi" w:hAnsiTheme="minorHAnsi" w:cs="Arial"/>
              </w:rPr>
              <w:t>gauging analysis projects</w:t>
            </w:r>
          </w:p>
          <w:p w14:paraId="1B4AC7F2" w14:textId="77777777" w:rsidR="00774BAC" w:rsidRPr="00A073A1" w:rsidRDefault="00774BAC" w:rsidP="00574572">
            <w:pPr>
              <w:spacing w:after="120" w:line="300" w:lineRule="exact"/>
              <w:rPr>
                <w:rFonts w:asciiTheme="minorHAnsi" w:hAnsiTheme="minorHAnsi" w:cs="Arial"/>
              </w:rPr>
            </w:pPr>
            <w:r>
              <w:rPr>
                <w:rFonts w:asciiTheme="minorHAnsi" w:hAnsiTheme="minorHAnsi" w:cs="Arial"/>
              </w:rPr>
              <w:t>[Max 1 page]</w:t>
            </w:r>
          </w:p>
        </w:tc>
        <w:tc>
          <w:tcPr>
            <w:tcW w:w="19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E54038" w14:textId="77777777" w:rsidR="00774BAC" w:rsidRPr="00A073A1" w:rsidRDefault="00774BAC" w:rsidP="00574572">
            <w:pPr>
              <w:spacing w:after="120" w:line="300" w:lineRule="exact"/>
              <w:rPr>
                <w:rFonts w:asciiTheme="minorHAnsi" w:hAnsiTheme="minorHAnsi" w:cs="Arial"/>
              </w:rPr>
            </w:pPr>
            <w:r>
              <w:rPr>
                <w:rFonts w:asciiTheme="minorHAnsi" w:hAnsiTheme="minorHAnsi" w:cs="Arial"/>
              </w:rPr>
              <w:t>The Tenderer must provide a short description of two</w:t>
            </w:r>
            <w:r w:rsidRPr="00A073A1">
              <w:rPr>
                <w:rFonts w:asciiTheme="minorHAnsi" w:hAnsiTheme="minorHAnsi" w:cs="Arial"/>
              </w:rPr>
              <w:t xml:space="preserve"> projects</w:t>
            </w:r>
            <w:r>
              <w:rPr>
                <w:rFonts w:asciiTheme="minorHAnsi" w:hAnsiTheme="minorHAnsi" w:cs="Arial"/>
              </w:rPr>
              <w:t xml:space="preserve"> involving the analysis of gauges. Please provide a short explanation of why they are relevant to this project.</w:t>
            </w:r>
          </w:p>
        </w:tc>
        <w:tc>
          <w:tcPr>
            <w:tcW w:w="19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E1C860" w14:textId="6CE70FBF" w:rsidR="00774BAC" w:rsidRPr="00003EEC" w:rsidRDefault="00774BAC" w:rsidP="00574572">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T</w:t>
            </w:r>
            <w:r>
              <w:rPr>
                <w:rFonts w:asciiTheme="minorHAnsi" w:hAnsiTheme="minorHAnsi" w:cs="Arial"/>
              </w:rPr>
              <w:t xml:space="preserve">he tenderer provides a short description of two projects involving the analysis of gauges. Further the tenderer provides a short explanation as to “Why?” the </w:t>
            </w:r>
            <w:proofErr w:type="gramStart"/>
            <w:r>
              <w:rPr>
                <w:rFonts w:asciiTheme="minorHAnsi" w:hAnsiTheme="minorHAnsi" w:cs="Arial"/>
              </w:rPr>
              <w:t>aforementioned are</w:t>
            </w:r>
            <w:proofErr w:type="gramEnd"/>
            <w:r>
              <w:rPr>
                <w:rFonts w:asciiTheme="minorHAnsi" w:hAnsiTheme="minorHAnsi" w:cs="Arial"/>
              </w:rPr>
              <w:t xml:space="preserve"> relevant to this project. Additionally, the tenderer through the above provides RSSB with </w:t>
            </w:r>
            <w:proofErr w:type="gramStart"/>
            <w:r>
              <w:rPr>
                <w:rFonts w:asciiTheme="minorHAnsi" w:hAnsiTheme="minorHAnsi" w:cs="Arial"/>
              </w:rPr>
              <w:t>sufficient</w:t>
            </w:r>
            <w:proofErr w:type="gramEnd"/>
            <w:r>
              <w:rPr>
                <w:rFonts w:asciiTheme="minorHAnsi" w:hAnsiTheme="minorHAnsi" w:cs="Arial"/>
              </w:rPr>
              <w:t xml:space="preserve"> confidence in its experience.</w:t>
            </w:r>
          </w:p>
          <w:p w14:paraId="587B828F" w14:textId="2F18A8B4" w:rsidR="00774BAC" w:rsidRPr="00A073A1" w:rsidRDefault="00774BAC" w:rsidP="00574572">
            <w:pPr>
              <w:spacing w:after="120" w:line="300" w:lineRule="exact"/>
              <w:rPr>
                <w:rFonts w:asciiTheme="minorHAnsi" w:hAnsiTheme="minorHAnsi" w:cs="Arial"/>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w:t>
            </w:r>
            <w:r w:rsidR="00785C8D">
              <w:rPr>
                <w:rFonts w:asciiTheme="minorHAnsi" w:hAnsiTheme="minorHAnsi" w:cs="Arial"/>
              </w:rPr>
              <w:t xml:space="preserve">fails to provide a short description of two projects involving the analysis of gauges or the tenderers fails to provide a short explanation as to “Why?” the </w:t>
            </w:r>
            <w:proofErr w:type="gramStart"/>
            <w:r w:rsidR="00785C8D">
              <w:rPr>
                <w:rFonts w:asciiTheme="minorHAnsi" w:hAnsiTheme="minorHAnsi" w:cs="Arial"/>
              </w:rPr>
              <w:t>aforementioned are</w:t>
            </w:r>
            <w:proofErr w:type="gramEnd"/>
            <w:r w:rsidR="00785C8D">
              <w:rPr>
                <w:rFonts w:asciiTheme="minorHAnsi" w:hAnsiTheme="minorHAnsi" w:cs="Arial"/>
              </w:rPr>
              <w:t xml:space="preserve"> relevant to this project or the tenderer fails to provide RSSB with sufficient confidence in its experience.</w:t>
            </w:r>
          </w:p>
        </w:tc>
      </w:tr>
      <w:tr w:rsidR="00774BAC" w:rsidRPr="00A073A1" w14:paraId="3CE0F5B8" w14:textId="77777777" w:rsidTr="00774BAC">
        <w:trPr>
          <w:trHeight w:val="864"/>
          <w:tblHead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7D58A3" w14:textId="77777777" w:rsidR="00774BAC" w:rsidRDefault="00774BAC" w:rsidP="00574572">
            <w:pPr>
              <w:spacing w:after="120" w:line="300" w:lineRule="exact"/>
              <w:rPr>
                <w:rFonts w:asciiTheme="minorHAnsi" w:hAnsiTheme="minorHAnsi" w:cs="Arial"/>
              </w:rPr>
            </w:pPr>
            <w:r w:rsidRPr="00A073A1">
              <w:rPr>
                <w:rFonts w:asciiTheme="minorHAnsi" w:hAnsiTheme="minorHAnsi" w:cs="Arial"/>
              </w:rPr>
              <w:t xml:space="preserve">S2 Experience of the </w:t>
            </w:r>
            <w:r>
              <w:rPr>
                <w:rFonts w:asciiTheme="minorHAnsi" w:hAnsiTheme="minorHAnsi" w:cs="Arial"/>
              </w:rPr>
              <w:t>Tenderer in economic assessments</w:t>
            </w:r>
          </w:p>
          <w:p w14:paraId="24BE474C" w14:textId="77777777" w:rsidR="00774BAC" w:rsidRPr="00A073A1" w:rsidRDefault="00774BAC" w:rsidP="00574572">
            <w:pPr>
              <w:spacing w:after="120" w:line="300" w:lineRule="exact"/>
              <w:rPr>
                <w:rFonts w:asciiTheme="minorHAnsi" w:hAnsiTheme="minorHAnsi" w:cs="Arial"/>
              </w:rPr>
            </w:pPr>
            <w:r>
              <w:rPr>
                <w:rFonts w:asciiTheme="minorHAnsi" w:hAnsiTheme="minorHAnsi" w:cs="Arial"/>
              </w:rPr>
              <w:t>[Max 1 page]</w:t>
            </w:r>
          </w:p>
        </w:tc>
        <w:tc>
          <w:tcPr>
            <w:tcW w:w="19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C1FF88" w14:textId="77777777" w:rsidR="00774BAC" w:rsidRPr="00A073A1" w:rsidRDefault="00774BAC" w:rsidP="00574572">
            <w:pPr>
              <w:spacing w:after="120" w:line="300" w:lineRule="exact"/>
              <w:rPr>
                <w:rFonts w:asciiTheme="minorHAnsi" w:hAnsiTheme="minorHAnsi" w:cs="Arial"/>
              </w:rPr>
            </w:pPr>
            <w:r>
              <w:rPr>
                <w:rFonts w:asciiTheme="minorHAnsi" w:hAnsiTheme="minorHAnsi" w:cs="Arial"/>
              </w:rPr>
              <w:t>The Tenderer must provide a short description of two projects developing economic analysis for clients over the last five years. Please provide a short explanation on why they are relevant to our needs.</w:t>
            </w:r>
          </w:p>
        </w:tc>
        <w:tc>
          <w:tcPr>
            <w:tcW w:w="19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5AB53D" w14:textId="354FC1FD" w:rsidR="00785C8D" w:rsidRPr="00003EEC" w:rsidRDefault="00774BAC" w:rsidP="00574572">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w:t>
            </w:r>
            <w:r w:rsidR="00785C8D">
              <w:rPr>
                <w:rFonts w:asciiTheme="minorHAnsi" w:hAnsiTheme="minorHAnsi" w:cs="Arial"/>
              </w:rPr>
              <w:t xml:space="preserve"> a short description of two projects developing economic analysis for clients over the last five years. Further the tenderer provided a short explanation as to “Why?” the </w:t>
            </w:r>
            <w:proofErr w:type="gramStart"/>
            <w:r w:rsidR="00785C8D">
              <w:rPr>
                <w:rFonts w:asciiTheme="minorHAnsi" w:hAnsiTheme="minorHAnsi" w:cs="Arial"/>
              </w:rPr>
              <w:t>aforementioned are</w:t>
            </w:r>
            <w:proofErr w:type="gramEnd"/>
            <w:r w:rsidR="00785C8D">
              <w:rPr>
                <w:rFonts w:asciiTheme="minorHAnsi" w:hAnsiTheme="minorHAnsi" w:cs="Arial"/>
              </w:rPr>
              <w:t xml:space="preserve"> relevant to RSSB’s needs. Additionally, through the above the tenderer provides RSSB with a strong degree of confidence in the tenderers experience.</w:t>
            </w:r>
          </w:p>
          <w:p w14:paraId="3A7BDD2E" w14:textId="159FFA3D" w:rsidR="00774BAC" w:rsidRPr="00A073A1" w:rsidRDefault="00774BAC" w:rsidP="00574572">
            <w:pPr>
              <w:spacing w:after="120" w:line="300" w:lineRule="exact"/>
              <w:rPr>
                <w:rFonts w:asciiTheme="minorHAnsi" w:hAnsiTheme="minorHAnsi" w:cs="Arial"/>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fails to</w:t>
            </w:r>
            <w:r w:rsidR="00FE6EED">
              <w:rPr>
                <w:rFonts w:asciiTheme="minorHAnsi" w:hAnsiTheme="minorHAnsi" w:cs="Arial"/>
              </w:rPr>
              <w:t xml:space="preserve"> provide a short description of two projects developing economic analysis for clients over the last five years</w:t>
            </w:r>
            <w:r w:rsidR="00E96B2F">
              <w:rPr>
                <w:rFonts w:asciiTheme="minorHAnsi" w:hAnsiTheme="minorHAnsi" w:cs="Arial"/>
              </w:rPr>
              <w:t xml:space="preserve"> or the tenderers has failed to provide a short explanation as to “Why?” the </w:t>
            </w:r>
            <w:proofErr w:type="gramStart"/>
            <w:r w:rsidR="00E96B2F">
              <w:rPr>
                <w:rFonts w:asciiTheme="minorHAnsi" w:hAnsiTheme="minorHAnsi" w:cs="Arial"/>
              </w:rPr>
              <w:t>aforementioned is</w:t>
            </w:r>
            <w:proofErr w:type="gramEnd"/>
            <w:r w:rsidR="00E96B2F">
              <w:rPr>
                <w:rFonts w:asciiTheme="minorHAnsi" w:hAnsiTheme="minorHAnsi" w:cs="Arial"/>
              </w:rPr>
              <w:t xml:space="preserve"> relevant to RSSB’s need or the tenderer fails to provide RSSB with sufficient confidence in its experience.</w:t>
            </w:r>
          </w:p>
        </w:tc>
      </w:tr>
      <w:tr w:rsidR="00774BAC" w:rsidRPr="00A073A1" w14:paraId="4EE5B041" w14:textId="77777777" w:rsidTr="00774BAC">
        <w:trPr>
          <w:trHeight w:val="864"/>
          <w:tblHead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3F5CAD" w14:textId="77777777" w:rsidR="00774BAC" w:rsidRPr="009873F2" w:rsidRDefault="00774BAC" w:rsidP="00574572">
            <w:pPr>
              <w:spacing w:after="120" w:line="300" w:lineRule="exact"/>
              <w:rPr>
                <w:rFonts w:asciiTheme="minorHAnsi" w:hAnsiTheme="minorHAnsi" w:cs="Arial"/>
              </w:rPr>
            </w:pPr>
            <w:r w:rsidRPr="009873F2">
              <w:rPr>
                <w:rFonts w:asciiTheme="minorHAnsi" w:hAnsiTheme="minorHAnsi" w:cs="Arial"/>
              </w:rPr>
              <w:t xml:space="preserve">S3 </w:t>
            </w:r>
            <w:bookmarkStart w:id="10" w:name="_Hlk481491241"/>
            <w:r w:rsidRPr="009873F2">
              <w:rPr>
                <w:rFonts w:asciiTheme="minorHAnsi" w:hAnsiTheme="minorHAnsi" w:cs="Arial"/>
              </w:rPr>
              <w:t>Summary of the Proposal</w:t>
            </w:r>
            <w:bookmarkEnd w:id="10"/>
          </w:p>
          <w:p w14:paraId="22D3219B" w14:textId="77777777" w:rsidR="00774BAC" w:rsidRPr="00A073A1" w:rsidRDefault="00774BAC" w:rsidP="00574572">
            <w:pPr>
              <w:spacing w:after="120" w:line="300" w:lineRule="exact"/>
              <w:rPr>
                <w:rFonts w:asciiTheme="minorHAnsi" w:hAnsiTheme="minorHAnsi" w:cs="Arial"/>
              </w:rPr>
            </w:pPr>
            <w:r>
              <w:rPr>
                <w:rFonts w:asciiTheme="minorHAnsi" w:hAnsiTheme="minorHAnsi" w:cs="Arial"/>
              </w:rPr>
              <w:t>[</w:t>
            </w:r>
            <w:r w:rsidRPr="009873F2">
              <w:rPr>
                <w:rFonts w:asciiTheme="minorHAnsi" w:hAnsiTheme="minorHAnsi" w:cs="Arial"/>
              </w:rPr>
              <w:t>Max 1 page</w:t>
            </w:r>
            <w:r>
              <w:rPr>
                <w:rFonts w:asciiTheme="minorHAnsi" w:hAnsiTheme="minorHAnsi" w:cs="Arial"/>
              </w:rPr>
              <w:t>]</w:t>
            </w:r>
          </w:p>
        </w:tc>
        <w:tc>
          <w:tcPr>
            <w:tcW w:w="19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BCF919" w14:textId="427DB5AF" w:rsidR="00774BAC" w:rsidRDefault="00774BAC" w:rsidP="00574572">
            <w:pPr>
              <w:spacing w:after="120" w:line="300" w:lineRule="exact"/>
              <w:rPr>
                <w:rFonts w:asciiTheme="minorHAnsi" w:hAnsiTheme="minorHAnsi" w:cs="Arial"/>
              </w:rPr>
            </w:pPr>
            <w:r w:rsidRPr="009873F2">
              <w:rPr>
                <w:rFonts w:asciiTheme="minorHAnsi" w:hAnsiTheme="minorHAnsi" w:cs="Arial"/>
              </w:rPr>
              <w:t xml:space="preserve">The </w:t>
            </w:r>
            <w:r>
              <w:rPr>
                <w:rFonts w:asciiTheme="minorHAnsi" w:hAnsiTheme="minorHAnsi" w:cs="Arial"/>
              </w:rPr>
              <w:t>Tenderer</w:t>
            </w:r>
            <w:r w:rsidRPr="009873F2">
              <w:rPr>
                <w:rFonts w:asciiTheme="minorHAnsi" w:hAnsiTheme="minorHAnsi" w:cs="Arial"/>
              </w:rPr>
              <w:t xml:space="preserve"> must provide a concise summary highlighting the key aspects of the proposal</w:t>
            </w:r>
            <w:r w:rsidR="00E96B2F">
              <w:rPr>
                <w:rFonts w:asciiTheme="minorHAnsi" w:hAnsiTheme="minorHAnsi" w:cs="Arial"/>
              </w:rPr>
              <w:t>.</w:t>
            </w:r>
          </w:p>
        </w:tc>
        <w:tc>
          <w:tcPr>
            <w:tcW w:w="19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CF9FE" w14:textId="77777777" w:rsidR="00774BAC" w:rsidRPr="009873F2" w:rsidRDefault="00774BAC" w:rsidP="00574572">
            <w:pPr>
              <w:spacing w:before="120" w:after="120" w:line="276" w:lineRule="auto"/>
              <w:rPr>
                <w:rFonts w:asciiTheme="minorHAnsi" w:hAnsiTheme="minorHAnsi" w:cs="Arial"/>
              </w:rPr>
            </w:pPr>
            <w:r w:rsidRPr="009873F2">
              <w:rPr>
                <w:rFonts w:asciiTheme="minorHAnsi" w:hAnsiTheme="minorHAnsi" w:cs="Arial"/>
                <w:color w:val="00B050"/>
              </w:rPr>
              <w:t>Pass</w:t>
            </w:r>
            <w:r w:rsidRPr="009873F2">
              <w:rPr>
                <w:rFonts w:asciiTheme="minorHAnsi" w:hAnsiTheme="minorHAnsi" w:cs="Arial"/>
              </w:rPr>
              <w:t xml:space="preserve">: The </w:t>
            </w:r>
            <w:r>
              <w:rPr>
                <w:rFonts w:asciiTheme="minorHAnsi" w:hAnsiTheme="minorHAnsi" w:cs="Arial"/>
              </w:rPr>
              <w:t>Tenderer</w:t>
            </w:r>
            <w:r w:rsidRPr="009873F2">
              <w:rPr>
                <w:rFonts w:asciiTheme="minorHAnsi" w:hAnsiTheme="minorHAnsi" w:cs="Arial"/>
              </w:rPr>
              <w:t xml:space="preserve"> has provided a concise summary highlighting the key aspects of the proposal of the supplier.</w:t>
            </w:r>
          </w:p>
          <w:p w14:paraId="1AFF4ACF" w14:textId="77777777" w:rsidR="00774BAC" w:rsidRPr="00A073A1" w:rsidRDefault="00774BAC" w:rsidP="00574572">
            <w:pPr>
              <w:spacing w:after="120" w:line="300" w:lineRule="exact"/>
              <w:rPr>
                <w:rFonts w:asciiTheme="minorHAnsi" w:hAnsiTheme="minorHAnsi" w:cs="Arial"/>
              </w:rPr>
            </w:pPr>
            <w:r w:rsidRPr="009873F2">
              <w:rPr>
                <w:rFonts w:asciiTheme="minorHAnsi" w:hAnsiTheme="minorHAnsi" w:cs="Arial"/>
                <w:color w:val="FF0000"/>
              </w:rPr>
              <w:t>Fail</w:t>
            </w:r>
            <w:r w:rsidRPr="009873F2">
              <w:rPr>
                <w:rFonts w:asciiTheme="minorHAnsi" w:hAnsiTheme="minorHAnsi" w:cs="Arial"/>
              </w:rPr>
              <w:t xml:space="preserve">: The </w:t>
            </w:r>
            <w:r>
              <w:rPr>
                <w:rFonts w:asciiTheme="minorHAnsi" w:hAnsiTheme="minorHAnsi" w:cs="Arial"/>
              </w:rPr>
              <w:t>Tenderer</w:t>
            </w:r>
            <w:r w:rsidRPr="009873F2">
              <w:rPr>
                <w:rFonts w:asciiTheme="minorHAnsi" w:hAnsiTheme="minorHAnsi" w:cs="Arial"/>
              </w:rPr>
              <w:t xml:space="preserve"> has not provided a concise summary or has not provided a summary highlighting the key aspects of the proposal of the supplier.</w:t>
            </w:r>
          </w:p>
        </w:tc>
      </w:tr>
    </w:tbl>
    <w:p w14:paraId="4165A0C6" w14:textId="3175A2A6" w:rsidR="009437FF" w:rsidRDefault="009437FF" w:rsidP="009437FF">
      <w:pPr>
        <w:pStyle w:val="Body"/>
        <w:rPr>
          <w:rFonts w:asciiTheme="minorHAnsi" w:hAnsiTheme="minorHAnsi"/>
        </w:rPr>
        <w:sectPr w:rsidR="009437FF" w:rsidSect="003605A6">
          <w:pgSz w:w="11906" w:h="16838"/>
          <w:pgMar w:top="426" w:right="140" w:bottom="1560" w:left="284" w:header="708" w:footer="708" w:gutter="0"/>
          <w:cols w:space="708"/>
          <w:docGrid w:linePitch="360"/>
        </w:sect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47985679"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774BAC">
        <w:rPr>
          <w:rFonts w:asciiTheme="minorHAnsi" w:hAnsiTheme="minorHAnsi"/>
          <w:bCs/>
          <w:kern w:val="28"/>
          <w:lang w:eastAsia="en-GB"/>
        </w:rPr>
        <w:t>75</w:t>
      </w:r>
      <w:r w:rsidR="00DF020E">
        <w:rPr>
          <w:rFonts w:asciiTheme="minorHAnsi" w:hAnsiTheme="minorHAnsi"/>
          <w:bCs/>
          <w:kern w:val="28"/>
          <w:lang w:eastAsia="en-GB"/>
        </w:rPr>
        <w:t xml:space="preserve">%: Price </w:t>
      </w:r>
      <w:r w:rsidR="00A121D7">
        <w:rPr>
          <w:rFonts w:asciiTheme="minorHAnsi" w:hAnsiTheme="minorHAnsi"/>
          <w:bCs/>
          <w:kern w:val="28"/>
          <w:lang w:eastAsia="en-GB"/>
        </w:rPr>
        <w:t>2</w:t>
      </w:r>
      <w:r w:rsidR="00774BAC">
        <w:rPr>
          <w:rFonts w:asciiTheme="minorHAnsi" w:hAnsiTheme="minorHAnsi"/>
          <w:bCs/>
          <w:kern w:val="28"/>
          <w:lang w:eastAsia="en-GB"/>
        </w:rPr>
        <w:t>5</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Does not offer </w:t>
            </w:r>
            <w:proofErr w:type="gramStart"/>
            <w:r w:rsidRPr="00E52B87">
              <w:rPr>
                <w:rFonts w:asciiTheme="minorHAnsi" w:hAnsiTheme="minorHAnsi"/>
              </w:rPr>
              <w:t>sufficient</w:t>
            </w:r>
            <w:proofErr w:type="gramEnd"/>
            <w:r w:rsidRPr="00E52B87">
              <w:rPr>
                <w:rFonts w:asciiTheme="minorHAnsi" w:hAnsiTheme="minorHAnsi"/>
              </w:rPr>
              <w:t xml:space="preserve">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1D4A01C6"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90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1"/>
        <w:gridCol w:w="4035"/>
        <w:gridCol w:w="2673"/>
        <w:gridCol w:w="1009"/>
      </w:tblGrid>
      <w:tr w:rsidR="00A15362" w:rsidRPr="00A073A1" w14:paraId="7FD09960" w14:textId="77777777" w:rsidTr="00574572">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9CC00"/>
            <w:vAlign w:val="center"/>
            <w:hideMark/>
          </w:tcPr>
          <w:p w14:paraId="2D4EFEE0" w14:textId="77777777" w:rsidR="00A15362" w:rsidRPr="00A073A1" w:rsidRDefault="00A15362" w:rsidP="00574572">
            <w:pPr>
              <w:spacing w:after="120" w:line="300" w:lineRule="exact"/>
              <w:jc w:val="center"/>
              <w:rPr>
                <w:rFonts w:asciiTheme="minorHAnsi" w:hAnsiTheme="minorHAnsi" w:cs="Arial"/>
                <w:b/>
              </w:rPr>
            </w:pPr>
            <w:r>
              <w:rPr>
                <w:rFonts w:asciiTheme="minorHAnsi" w:hAnsiTheme="minorHAnsi" w:cs="Arial"/>
                <w:b/>
              </w:rPr>
              <w:t>Heading</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9CC00"/>
            <w:vAlign w:val="center"/>
            <w:hideMark/>
          </w:tcPr>
          <w:p w14:paraId="4A94938B" w14:textId="77777777" w:rsidR="00A15362" w:rsidRPr="00A073A1" w:rsidRDefault="00A15362" w:rsidP="00574572">
            <w:pPr>
              <w:spacing w:after="120" w:line="300" w:lineRule="exact"/>
              <w:jc w:val="center"/>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9CC00"/>
            <w:vAlign w:val="center"/>
            <w:hideMark/>
          </w:tcPr>
          <w:p w14:paraId="40ED0FDE" w14:textId="77777777" w:rsidR="00A15362" w:rsidRPr="00A073A1" w:rsidRDefault="00A15362" w:rsidP="00574572">
            <w:pPr>
              <w:spacing w:after="120" w:line="300" w:lineRule="exact"/>
              <w:jc w:val="center"/>
              <w:rPr>
                <w:rFonts w:asciiTheme="minorHAnsi" w:hAnsiTheme="minorHAnsi" w:cs="Arial"/>
                <w:b/>
              </w:rPr>
            </w:pPr>
            <w:r w:rsidRPr="00A073A1">
              <w:rPr>
                <w:rFonts w:asciiTheme="minorHAnsi" w:hAnsiTheme="minorHAnsi" w:cs="Arial"/>
                <w:b/>
              </w:rPr>
              <w:t>Evaluation Criteria</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9CC00"/>
            <w:vAlign w:val="center"/>
            <w:hideMark/>
          </w:tcPr>
          <w:p w14:paraId="61867F5A" w14:textId="77777777" w:rsidR="00A15362" w:rsidRPr="00A073A1" w:rsidRDefault="00A15362" w:rsidP="00574572">
            <w:pPr>
              <w:spacing w:after="120" w:line="300" w:lineRule="exact"/>
              <w:jc w:val="center"/>
              <w:rPr>
                <w:rFonts w:asciiTheme="minorHAnsi" w:hAnsiTheme="minorHAnsi" w:cs="Arial"/>
                <w:b/>
              </w:rPr>
            </w:pPr>
            <w:r w:rsidRPr="00A073A1">
              <w:rPr>
                <w:rFonts w:asciiTheme="minorHAnsi" w:hAnsiTheme="minorHAnsi" w:cs="Arial"/>
                <w:b/>
              </w:rPr>
              <w:t>Weight</w:t>
            </w:r>
          </w:p>
        </w:tc>
      </w:tr>
      <w:tr w:rsidR="00A15362" w:rsidRPr="00A073A1" w14:paraId="36B9570F" w14:textId="77777777" w:rsidTr="00574572">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98F77B" w14:textId="77777777" w:rsidR="00A15362" w:rsidRDefault="00A15362" w:rsidP="00574572">
            <w:pPr>
              <w:spacing w:after="120" w:line="300" w:lineRule="exact"/>
              <w:rPr>
                <w:rFonts w:asciiTheme="minorHAnsi" w:hAnsiTheme="minorHAnsi" w:cs="Arial"/>
              </w:rPr>
            </w:pPr>
            <w:r w:rsidRPr="00A073A1">
              <w:rPr>
                <w:rFonts w:asciiTheme="minorHAnsi" w:hAnsiTheme="minorHAnsi" w:cs="Arial"/>
              </w:rPr>
              <w:t xml:space="preserve">A1 </w:t>
            </w:r>
            <w:r>
              <w:rPr>
                <w:rFonts w:asciiTheme="minorHAnsi" w:hAnsiTheme="minorHAnsi" w:cs="Arial"/>
              </w:rPr>
              <w:t>Method statement: Evidence of the Tenderer’s ability to meet the specified deliverables through a robust methodology</w:t>
            </w:r>
          </w:p>
          <w:p w14:paraId="075AEA0D" w14:textId="77777777" w:rsidR="00A15362" w:rsidRPr="00A073A1" w:rsidRDefault="00A15362" w:rsidP="00574572">
            <w:pPr>
              <w:spacing w:after="120" w:line="300" w:lineRule="exact"/>
              <w:rPr>
                <w:rFonts w:asciiTheme="minorHAnsi" w:hAnsiTheme="minorHAnsi" w:cs="Arial"/>
              </w:rPr>
            </w:pPr>
            <w:r>
              <w:rPr>
                <w:rFonts w:asciiTheme="minorHAnsi" w:hAnsiTheme="minorHAnsi" w:cs="Arial"/>
              </w:rPr>
              <w:t>[Max 5 pages]</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D1A953" w14:textId="77777777" w:rsidR="00A15362" w:rsidRPr="00B915D2" w:rsidRDefault="00A15362" w:rsidP="00574572">
            <w:pPr>
              <w:spacing w:after="120" w:line="300" w:lineRule="exact"/>
              <w:rPr>
                <w:rFonts w:asciiTheme="minorHAnsi" w:hAnsiTheme="minorHAnsi" w:cs="Arial"/>
              </w:rPr>
            </w:pPr>
            <w:r w:rsidRPr="003D448D">
              <w:rPr>
                <w:rFonts w:asciiTheme="minorHAnsi" w:hAnsiTheme="minorHAnsi" w:cs="Arial"/>
              </w:rPr>
              <w:t xml:space="preserve">The </w:t>
            </w:r>
            <w:r>
              <w:rPr>
                <w:rFonts w:asciiTheme="minorHAnsi" w:hAnsiTheme="minorHAnsi" w:cs="Arial"/>
              </w:rPr>
              <w:t>Tenderer</w:t>
            </w:r>
            <w:r w:rsidRPr="003D448D">
              <w:rPr>
                <w:rFonts w:asciiTheme="minorHAnsi" w:hAnsiTheme="minorHAnsi" w:cs="Arial"/>
              </w:rPr>
              <w:t xml:space="preserve"> should</w:t>
            </w:r>
            <w:r>
              <w:rPr>
                <w:rFonts w:asciiTheme="minorHAnsi" w:hAnsiTheme="minorHAnsi" w:cs="Arial"/>
              </w:rPr>
              <w:t xml:space="preserve"> p</w:t>
            </w:r>
            <w:r w:rsidRPr="0048429F">
              <w:rPr>
                <w:rFonts w:asciiTheme="minorHAnsi" w:hAnsiTheme="minorHAnsi" w:cs="Arial"/>
              </w:rPr>
              <w:t>rovide</w:t>
            </w:r>
            <w:r>
              <w:rPr>
                <w:rFonts w:asciiTheme="minorHAnsi" w:hAnsiTheme="minorHAnsi" w:cs="Arial"/>
              </w:rPr>
              <w:t xml:space="preserve"> evidence of their expertise to deliver this project in the form of</w:t>
            </w:r>
            <w:r w:rsidRPr="0048429F">
              <w:rPr>
                <w:rFonts w:asciiTheme="minorHAnsi" w:hAnsiTheme="minorHAnsi" w:cs="Arial"/>
              </w:rPr>
              <w:t xml:space="preserve"> a method statement</w:t>
            </w:r>
            <w:r>
              <w:rPr>
                <w:rFonts w:asciiTheme="minorHAnsi" w:hAnsiTheme="minorHAnsi" w:cs="Arial"/>
              </w:rPr>
              <w:t xml:space="preserve">. This should </w:t>
            </w:r>
            <w:r w:rsidRPr="0048429F">
              <w:rPr>
                <w:rFonts w:asciiTheme="minorHAnsi" w:hAnsiTheme="minorHAnsi" w:cs="Arial"/>
              </w:rPr>
              <w:t>set out</w:t>
            </w:r>
            <w:r>
              <w:rPr>
                <w:rFonts w:asciiTheme="minorHAnsi" w:hAnsiTheme="minorHAnsi" w:cs="Arial"/>
              </w:rPr>
              <w:t xml:space="preserve"> h</w:t>
            </w:r>
            <w:r w:rsidRPr="00B915D2">
              <w:rPr>
                <w:rFonts w:asciiTheme="minorHAnsi" w:hAnsiTheme="minorHAnsi" w:cs="Arial"/>
              </w:rPr>
              <w:t>ow it will fully meet the objectives and scope of the project, adding value where possible.</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59A7C3" w14:textId="77777777" w:rsidR="00A15362" w:rsidRDefault="00A15362" w:rsidP="00574572">
            <w:pPr>
              <w:spacing w:after="120" w:line="300" w:lineRule="exact"/>
              <w:rPr>
                <w:rFonts w:asciiTheme="minorHAnsi" w:hAnsiTheme="minorHAnsi" w:cs="Arial"/>
              </w:rPr>
            </w:pPr>
            <w:r>
              <w:rPr>
                <w:rFonts w:asciiTheme="minorHAnsi" w:hAnsiTheme="minorHAnsi" w:cs="Arial"/>
              </w:rPr>
              <w:t>The Tenderer’s response</w:t>
            </w:r>
            <w:r w:rsidRPr="003D448D">
              <w:rPr>
                <w:rFonts w:asciiTheme="minorHAnsi" w:hAnsiTheme="minorHAnsi" w:cs="Arial"/>
              </w:rPr>
              <w:t>:</w:t>
            </w:r>
          </w:p>
          <w:p w14:paraId="6585B476" w14:textId="77777777" w:rsidR="00A15362" w:rsidRDefault="00A15362" w:rsidP="00A15362">
            <w:pPr>
              <w:pStyle w:val="ListParagraph"/>
              <w:numPr>
                <w:ilvl w:val="0"/>
                <w:numId w:val="58"/>
              </w:numPr>
              <w:spacing w:after="120" w:line="300" w:lineRule="exact"/>
              <w:rPr>
                <w:rFonts w:asciiTheme="minorHAnsi" w:hAnsiTheme="minorHAnsi"/>
                <w:sz w:val="22"/>
                <w:szCs w:val="22"/>
              </w:rPr>
            </w:pPr>
            <w:r w:rsidRPr="00B915D2">
              <w:rPr>
                <w:rFonts w:asciiTheme="minorHAnsi" w:hAnsiTheme="minorHAnsi"/>
                <w:sz w:val="22"/>
                <w:szCs w:val="22"/>
              </w:rPr>
              <w:t>Explains how they would apply their expertise to meet the specification, including how they would conduct the study</w:t>
            </w:r>
          </w:p>
          <w:p w14:paraId="2A9FD692" w14:textId="77777777" w:rsidR="00A15362" w:rsidRDefault="00A15362" w:rsidP="00A15362">
            <w:pPr>
              <w:pStyle w:val="ListParagraph"/>
              <w:numPr>
                <w:ilvl w:val="0"/>
                <w:numId w:val="58"/>
              </w:numPr>
              <w:spacing w:after="120" w:line="300" w:lineRule="exact"/>
              <w:rPr>
                <w:rFonts w:asciiTheme="minorHAnsi" w:hAnsiTheme="minorHAnsi"/>
                <w:sz w:val="22"/>
                <w:szCs w:val="22"/>
              </w:rPr>
            </w:pPr>
            <w:r w:rsidRPr="00B915D2">
              <w:rPr>
                <w:rFonts w:asciiTheme="minorHAnsi" w:hAnsiTheme="minorHAnsi"/>
                <w:sz w:val="22"/>
                <w:szCs w:val="22"/>
              </w:rPr>
              <w:t>Demonstrates their understanding of the objectives</w:t>
            </w:r>
          </w:p>
          <w:p w14:paraId="5568FDCA" w14:textId="668D7975" w:rsidR="00A15362" w:rsidRPr="00B915D2" w:rsidRDefault="00A15362" w:rsidP="00A15362">
            <w:pPr>
              <w:pStyle w:val="ListParagraph"/>
              <w:numPr>
                <w:ilvl w:val="0"/>
                <w:numId w:val="58"/>
              </w:numPr>
              <w:spacing w:after="120" w:line="300" w:lineRule="exact"/>
              <w:rPr>
                <w:rFonts w:asciiTheme="minorHAnsi" w:hAnsiTheme="minorHAnsi"/>
                <w:sz w:val="22"/>
                <w:szCs w:val="22"/>
              </w:rPr>
            </w:pPr>
            <w:r>
              <w:rPr>
                <w:rFonts w:asciiTheme="minorHAnsi" w:hAnsiTheme="minorHAnsi"/>
                <w:sz w:val="22"/>
                <w:szCs w:val="22"/>
              </w:rPr>
              <w:t>P</w:t>
            </w:r>
            <w:r w:rsidRPr="00B915D2">
              <w:rPr>
                <w:rFonts w:asciiTheme="minorHAnsi" w:hAnsiTheme="minorHAnsi"/>
                <w:sz w:val="22"/>
                <w:szCs w:val="22"/>
              </w:rPr>
              <w:t>rovide a coherent and systematic approach to meet these objectives.</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DD0FF1" w14:textId="77777777" w:rsidR="00A15362" w:rsidRPr="00A073A1" w:rsidRDefault="00A15362" w:rsidP="00574572">
            <w:pPr>
              <w:spacing w:after="120" w:line="300" w:lineRule="exact"/>
              <w:rPr>
                <w:rFonts w:asciiTheme="minorHAnsi" w:hAnsiTheme="minorHAnsi" w:cs="Arial"/>
              </w:rPr>
            </w:pPr>
            <w:r>
              <w:rPr>
                <w:rFonts w:asciiTheme="minorHAnsi" w:hAnsiTheme="minorHAnsi" w:cs="Arial"/>
              </w:rPr>
              <w:t>25</w:t>
            </w:r>
            <w:r w:rsidRPr="00A073A1">
              <w:rPr>
                <w:rFonts w:asciiTheme="minorHAnsi" w:hAnsiTheme="minorHAnsi" w:cs="Arial"/>
              </w:rPr>
              <w:t>%</w:t>
            </w:r>
          </w:p>
        </w:tc>
      </w:tr>
      <w:tr w:rsidR="00A15362" w:rsidRPr="00A073A1" w14:paraId="76AF5500" w14:textId="77777777" w:rsidTr="00574572">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4DB15D" w14:textId="77777777" w:rsidR="00A15362" w:rsidRPr="00A073A1" w:rsidRDefault="00A15362" w:rsidP="00574572">
            <w:pPr>
              <w:spacing w:after="120" w:line="300" w:lineRule="exact"/>
              <w:rPr>
                <w:rFonts w:asciiTheme="minorHAnsi" w:hAnsiTheme="minorHAnsi" w:cs="Arial"/>
              </w:rPr>
            </w:pPr>
            <w:r w:rsidRPr="00A073A1">
              <w:rPr>
                <w:rFonts w:asciiTheme="minorHAnsi" w:hAnsiTheme="minorHAnsi" w:cs="Arial"/>
              </w:rPr>
              <w:t xml:space="preserve">A2 </w:t>
            </w:r>
            <w:r>
              <w:rPr>
                <w:rFonts w:asciiTheme="minorHAnsi" w:hAnsiTheme="minorHAnsi" w:cs="Arial"/>
              </w:rPr>
              <w:t>Evidence of the Tenderer’s technical ability [Max 3 pages]</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9A3199" w14:textId="77777777" w:rsidR="00A15362" w:rsidRDefault="00A15362" w:rsidP="00574572">
            <w:pPr>
              <w:spacing w:after="120" w:line="300" w:lineRule="exact"/>
              <w:rPr>
                <w:rFonts w:asciiTheme="minorHAnsi" w:hAnsiTheme="minorHAnsi" w:cs="Arial"/>
              </w:rPr>
            </w:pPr>
            <w:r>
              <w:rPr>
                <w:rFonts w:asciiTheme="minorHAnsi" w:hAnsiTheme="minorHAnsi" w:cs="Arial"/>
              </w:rPr>
              <w:t>The Tenderer should:</w:t>
            </w:r>
          </w:p>
          <w:p w14:paraId="506D9B50" w14:textId="77777777" w:rsidR="00A15362" w:rsidRDefault="00A15362" w:rsidP="00A15362">
            <w:pPr>
              <w:pStyle w:val="ListParagraph"/>
              <w:numPr>
                <w:ilvl w:val="0"/>
                <w:numId w:val="43"/>
              </w:numPr>
              <w:spacing w:line="300" w:lineRule="exact"/>
              <w:rPr>
                <w:rFonts w:asciiTheme="minorHAnsi" w:hAnsiTheme="minorHAnsi"/>
                <w:sz w:val="22"/>
                <w:szCs w:val="22"/>
              </w:rPr>
            </w:pPr>
            <w:r>
              <w:rPr>
                <w:rFonts w:asciiTheme="minorHAnsi" w:hAnsiTheme="minorHAnsi"/>
                <w:sz w:val="22"/>
                <w:szCs w:val="22"/>
              </w:rPr>
              <w:t>P</w:t>
            </w:r>
            <w:r w:rsidRPr="0078283A">
              <w:rPr>
                <w:rFonts w:asciiTheme="minorHAnsi" w:hAnsiTheme="minorHAnsi"/>
                <w:sz w:val="22"/>
                <w:szCs w:val="22"/>
              </w:rPr>
              <w:t>rovide evidence of</w:t>
            </w:r>
            <w:r>
              <w:rPr>
                <w:rFonts w:asciiTheme="minorHAnsi" w:hAnsiTheme="minorHAnsi"/>
                <w:sz w:val="22"/>
                <w:szCs w:val="22"/>
              </w:rPr>
              <w:t xml:space="preserve"> relevant</w:t>
            </w:r>
            <w:r w:rsidRPr="0078283A">
              <w:rPr>
                <w:rFonts w:asciiTheme="minorHAnsi" w:hAnsiTheme="minorHAnsi"/>
                <w:sz w:val="22"/>
                <w:szCs w:val="22"/>
              </w:rPr>
              <w:t xml:space="preserve"> </w:t>
            </w:r>
            <w:r>
              <w:rPr>
                <w:rFonts w:asciiTheme="minorHAnsi" w:hAnsiTheme="minorHAnsi"/>
                <w:sz w:val="22"/>
                <w:szCs w:val="22"/>
              </w:rPr>
              <w:t>previous projects</w:t>
            </w:r>
            <w:r w:rsidRPr="0078283A">
              <w:rPr>
                <w:rFonts w:asciiTheme="minorHAnsi" w:hAnsiTheme="minorHAnsi"/>
                <w:sz w:val="22"/>
                <w:szCs w:val="22"/>
              </w:rPr>
              <w:t xml:space="preserve"> </w:t>
            </w:r>
            <w:r>
              <w:rPr>
                <w:rFonts w:asciiTheme="minorHAnsi" w:hAnsiTheme="minorHAnsi"/>
                <w:sz w:val="22"/>
                <w:szCs w:val="22"/>
              </w:rPr>
              <w:t>from the bidding organisation(s).</w:t>
            </w:r>
          </w:p>
          <w:p w14:paraId="17EC3903" w14:textId="77777777" w:rsidR="00A15362" w:rsidRPr="004C4FEB" w:rsidRDefault="00A15362" w:rsidP="00A15362">
            <w:pPr>
              <w:pStyle w:val="ListParagraph"/>
              <w:numPr>
                <w:ilvl w:val="0"/>
                <w:numId w:val="43"/>
              </w:numPr>
              <w:spacing w:line="300" w:lineRule="exact"/>
              <w:rPr>
                <w:rFonts w:asciiTheme="minorHAnsi" w:hAnsiTheme="minorHAnsi"/>
                <w:sz w:val="22"/>
                <w:szCs w:val="22"/>
              </w:rPr>
            </w:pPr>
            <w:r w:rsidRPr="009873F2">
              <w:rPr>
                <w:rFonts w:asciiTheme="minorHAnsi" w:eastAsiaTheme="minorHAnsi" w:hAnsiTheme="minorHAnsi"/>
                <w:sz w:val="22"/>
                <w:szCs w:val="22"/>
              </w:rPr>
              <w:t>Provide detail of relevant experience and knowledge of the project team.</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53DF9C" w14:textId="77777777" w:rsidR="00A15362" w:rsidRPr="00A073A1" w:rsidRDefault="00A15362" w:rsidP="00574572">
            <w:pPr>
              <w:spacing w:after="120" w:line="300" w:lineRule="exact"/>
              <w:rPr>
                <w:rFonts w:asciiTheme="minorHAnsi" w:hAnsiTheme="minorHAnsi" w:cs="Arial"/>
              </w:rPr>
            </w:pPr>
            <w:r w:rsidRPr="00A073A1">
              <w:rPr>
                <w:rFonts w:asciiTheme="minorHAnsi" w:hAnsiTheme="minorHAnsi" w:cs="Arial"/>
              </w:rPr>
              <w:t xml:space="preserve">The </w:t>
            </w:r>
            <w:r>
              <w:rPr>
                <w:rFonts w:asciiTheme="minorHAnsi" w:hAnsiTheme="minorHAnsi" w:cs="Arial"/>
              </w:rPr>
              <w:t>Tenderer</w:t>
            </w:r>
            <w:r w:rsidRPr="00A073A1">
              <w:rPr>
                <w:rFonts w:asciiTheme="minorHAnsi" w:hAnsiTheme="minorHAnsi" w:cs="Arial"/>
              </w:rPr>
              <w:t xml:space="preserve">’s response </w:t>
            </w:r>
            <w:r>
              <w:rPr>
                <w:rFonts w:asciiTheme="minorHAnsi" w:hAnsiTheme="minorHAnsi" w:cs="Arial"/>
              </w:rPr>
              <w:t>demonstrates</w:t>
            </w:r>
            <w:r w:rsidRPr="00A073A1">
              <w:rPr>
                <w:rFonts w:asciiTheme="minorHAnsi" w:hAnsiTheme="minorHAnsi" w:cs="Arial"/>
              </w:rPr>
              <w:t xml:space="preserve"> that it:</w:t>
            </w:r>
          </w:p>
          <w:p w14:paraId="112E7322" w14:textId="2C60A6F4" w:rsidR="00A15362" w:rsidRDefault="00A15362" w:rsidP="00A15362">
            <w:pPr>
              <w:pStyle w:val="ListParagraph"/>
              <w:numPr>
                <w:ilvl w:val="0"/>
                <w:numId w:val="57"/>
              </w:numPr>
              <w:spacing w:line="300" w:lineRule="exact"/>
              <w:rPr>
                <w:rFonts w:asciiTheme="minorHAnsi" w:hAnsiTheme="minorHAnsi"/>
                <w:sz w:val="22"/>
                <w:szCs w:val="22"/>
              </w:rPr>
            </w:pPr>
            <w:r w:rsidRPr="00A073A1">
              <w:rPr>
                <w:rFonts w:asciiTheme="minorHAnsi" w:hAnsiTheme="minorHAnsi"/>
                <w:sz w:val="22"/>
                <w:szCs w:val="22"/>
              </w:rPr>
              <w:t xml:space="preserve">Has identified relevant </w:t>
            </w:r>
            <w:r>
              <w:rPr>
                <w:rFonts w:asciiTheme="minorHAnsi" w:hAnsiTheme="minorHAnsi"/>
                <w:sz w:val="22"/>
                <w:szCs w:val="22"/>
              </w:rPr>
              <w:t xml:space="preserve">projects as experience </w:t>
            </w:r>
          </w:p>
          <w:p w14:paraId="18B6545E" w14:textId="3E03A1BD" w:rsidR="00A15362" w:rsidRDefault="00A15362" w:rsidP="00A15362">
            <w:pPr>
              <w:pStyle w:val="ListParagraph"/>
              <w:numPr>
                <w:ilvl w:val="0"/>
                <w:numId w:val="57"/>
              </w:numPr>
              <w:spacing w:line="300" w:lineRule="exact"/>
              <w:rPr>
                <w:rFonts w:asciiTheme="minorHAnsi" w:hAnsiTheme="minorHAnsi"/>
                <w:sz w:val="22"/>
                <w:szCs w:val="22"/>
              </w:rPr>
            </w:pPr>
            <w:r w:rsidRPr="00A073A1">
              <w:rPr>
                <w:rFonts w:asciiTheme="minorHAnsi" w:hAnsiTheme="minorHAnsi"/>
                <w:sz w:val="22"/>
                <w:szCs w:val="22"/>
              </w:rPr>
              <w:t>Has identified relevant</w:t>
            </w:r>
            <w:r>
              <w:rPr>
                <w:rFonts w:asciiTheme="minorHAnsi" w:hAnsiTheme="minorHAnsi"/>
                <w:sz w:val="22"/>
                <w:szCs w:val="22"/>
              </w:rPr>
              <w:t xml:space="preserve"> </w:t>
            </w:r>
            <w:r w:rsidRPr="00A073A1">
              <w:rPr>
                <w:rFonts w:asciiTheme="minorHAnsi" w:hAnsiTheme="minorHAnsi"/>
                <w:sz w:val="22"/>
                <w:szCs w:val="22"/>
              </w:rPr>
              <w:t>individuals to deliver the work</w:t>
            </w:r>
            <w:r>
              <w:rPr>
                <w:rFonts w:asciiTheme="minorHAnsi" w:hAnsiTheme="minorHAnsi"/>
                <w:sz w:val="22"/>
                <w:szCs w:val="22"/>
              </w:rPr>
              <w:t xml:space="preserve"> and that t</w:t>
            </w:r>
            <w:r w:rsidRPr="00955D34">
              <w:rPr>
                <w:rFonts w:asciiTheme="minorHAnsi" w:hAnsiTheme="minorHAnsi"/>
                <w:sz w:val="22"/>
                <w:szCs w:val="22"/>
              </w:rPr>
              <w:t>he overall skill</w:t>
            </w:r>
            <w:r>
              <w:rPr>
                <w:rFonts w:asciiTheme="minorHAnsi" w:hAnsiTheme="minorHAnsi"/>
                <w:sz w:val="22"/>
                <w:szCs w:val="22"/>
              </w:rPr>
              <w:t>s</w:t>
            </w:r>
            <w:r w:rsidRPr="00955D34">
              <w:rPr>
                <w:rFonts w:asciiTheme="minorHAnsi" w:hAnsiTheme="minorHAnsi"/>
                <w:sz w:val="22"/>
                <w:szCs w:val="22"/>
              </w:rPr>
              <w:t xml:space="preserve"> cover</w:t>
            </w:r>
            <w:r>
              <w:rPr>
                <w:rFonts w:asciiTheme="minorHAnsi" w:hAnsiTheme="minorHAnsi"/>
                <w:sz w:val="22"/>
                <w:szCs w:val="22"/>
              </w:rPr>
              <w:t>ed</w:t>
            </w:r>
            <w:r w:rsidRPr="00955D34">
              <w:rPr>
                <w:rFonts w:asciiTheme="minorHAnsi" w:hAnsiTheme="minorHAnsi"/>
                <w:sz w:val="22"/>
                <w:szCs w:val="22"/>
              </w:rPr>
              <w:t xml:space="preserve"> </w:t>
            </w:r>
            <w:r>
              <w:rPr>
                <w:rFonts w:asciiTheme="minorHAnsi" w:hAnsiTheme="minorHAnsi"/>
                <w:sz w:val="22"/>
                <w:szCs w:val="22"/>
              </w:rPr>
              <w:t xml:space="preserve">is </w:t>
            </w:r>
            <w:r>
              <w:rPr>
                <w:rFonts w:asciiTheme="minorHAnsi" w:hAnsiTheme="minorHAnsi"/>
                <w:sz w:val="22"/>
                <w:szCs w:val="22"/>
              </w:rPr>
              <w:t>of a high degree of quality</w:t>
            </w:r>
            <w:r>
              <w:rPr>
                <w:rFonts w:asciiTheme="minorHAnsi" w:hAnsiTheme="minorHAnsi"/>
                <w:sz w:val="22"/>
                <w:szCs w:val="22"/>
              </w:rPr>
              <w:t xml:space="preserve"> </w:t>
            </w:r>
          </w:p>
          <w:p w14:paraId="25CF54D2" w14:textId="77777777" w:rsidR="00A15362" w:rsidRPr="00A073A1" w:rsidRDefault="00A15362" w:rsidP="00A15362">
            <w:pPr>
              <w:pStyle w:val="ListParagraph"/>
              <w:numPr>
                <w:ilvl w:val="0"/>
                <w:numId w:val="57"/>
              </w:numPr>
              <w:spacing w:after="120" w:line="300" w:lineRule="exact"/>
              <w:rPr>
                <w:rFonts w:asciiTheme="minorHAnsi" w:hAnsiTheme="minorHAnsi"/>
                <w:sz w:val="22"/>
                <w:szCs w:val="22"/>
              </w:rPr>
            </w:pPr>
            <w:r>
              <w:rPr>
                <w:rFonts w:asciiTheme="minorHAnsi" w:eastAsiaTheme="minorHAnsi" w:hAnsiTheme="minorHAnsi"/>
                <w:sz w:val="22"/>
                <w:szCs w:val="22"/>
              </w:rPr>
              <w:t>Ha</w:t>
            </w:r>
            <w:r w:rsidRPr="009873F2">
              <w:rPr>
                <w:rFonts w:asciiTheme="minorHAnsi" w:eastAsiaTheme="minorHAnsi" w:hAnsiTheme="minorHAnsi"/>
                <w:sz w:val="22"/>
                <w:szCs w:val="22"/>
              </w:rPr>
              <w:t>s displayed how it will access the required industry experience and knowledge</w:t>
            </w:r>
            <w:r>
              <w:rPr>
                <w:rFonts w:asciiTheme="minorHAnsi" w:eastAsiaTheme="minorHAnsi" w:hAnsiTheme="minorHAnsi"/>
                <w:sz w:val="22"/>
                <w:szCs w:val="22"/>
              </w:rPr>
              <w:t xml:space="preserve"> (if expertise is not in-house)</w:t>
            </w:r>
            <w:r w:rsidRPr="009873F2">
              <w:rPr>
                <w:rFonts w:asciiTheme="minorHAnsi" w:eastAsiaTheme="minorHAnsi" w:hAnsiTheme="minorHAnsi"/>
                <w:sz w:val="22"/>
                <w:szCs w:val="22"/>
              </w:rPr>
              <w:t>.</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F5B862" w14:textId="77777777" w:rsidR="00A15362" w:rsidRPr="00A073A1" w:rsidRDefault="00A15362" w:rsidP="00574572">
            <w:pPr>
              <w:spacing w:after="120" w:line="300" w:lineRule="exact"/>
              <w:rPr>
                <w:rFonts w:asciiTheme="minorHAnsi" w:hAnsiTheme="minorHAnsi" w:cs="Arial"/>
              </w:rPr>
            </w:pPr>
            <w:r>
              <w:rPr>
                <w:rFonts w:asciiTheme="minorHAnsi" w:hAnsiTheme="minorHAnsi" w:cs="Arial"/>
              </w:rPr>
              <w:t>25</w:t>
            </w:r>
            <w:r w:rsidRPr="00A073A1">
              <w:rPr>
                <w:rFonts w:asciiTheme="minorHAnsi" w:hAnsiTheme="minorHAnsi" w:cs="Arial"/>
              </w:rPr>
              <w:t>%</w:t>
            </w:r>
          </w:p>
        </w:tc>
      </w:tr>
      <w:tr w:rsidR="00A15362" w:rsidRPr="00A073A1" w14:paraId="29C1DBA3" w14:textId="77777777" w:rsidTr="00574572">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5CD331" w14:textId="77777777" w:rsidR="00A15362" w:rsidRDefault="00A15362" w:rsidP="00574572">
            <w:pPr>
              <w:spacing w:after="120" w:line="300" w:lineRule="exact"/>
              <w:rPr>
                <w:rFonts w:asciiTheme="minorHAnsi" w:hAnsiTheme="minorHAnsi" w:cs="Arial"/>
              </w:rPr>
            </w:pPr>
            <w:r w:rsidRPr="00A073A1">
              <w:rPr>
                <w:rFonts w:asciiTheme="minorHAnsi" w:hAnsiTheme="minorHAnsi" w:cs="Arial"/>
              </w:rPr>
              <w:t>A</w:t>
            </w:r>
            <w:r>
              <w:rPr>
                <w:rFonts w:asciiTheme="minorHAnsi" w:hAnsiTheme="minorHAnsi" w:cs="Arial"/>
              </w:rPr>
              <w:t>3</w:t>
            </w:r>
            <w:r w:rsidRPr="00A073A1">
              <w:rPr>
                <w:rFonts w:asciiTheme="minorHAnsi" w:hAnsiTheme="minorHAnsi" w:cs="Arial"/>
              </w:rPr>
              <w:t xml:space="preserve"> Project Delivery</w:t>
            </w:r>
            <w:r>
              <w:rPr>
                <w:rFonts w:asciiTheme="minorHAnsi" w:hAnsiTheme="minorHAnsi" w:cs="Arial"/>
              </w:rPr>
              <w:t>: resources, b</w:t>
            </w:r>
            <w:r w:rsidRPr="00A073A1">
              <w:rPr>
                <w:rFonts w:asciiTheme="minorHAnsi" w:hAnsiTheme="minorHAnsi" w:cs="Arial"/>
              </w:rPr>
              <w:t>udget</w:t>
            </w:r>
            <w:r>
              <w:rPr>
                <w:rFonts w:asciiTheme="minorHAnsi" w:hAnsiTheme="minorHAnsi" w:cs="Arial"/>
              </w:rPr>
              <w:t>, communication and management</w:t>
            </w:r>
            <w:r w:rsidRPr="00A073A1">
              <w:rPr>
                <w:rFonts w:asciiTheme="minorHAnsi" w:hAnsiTheme="minorHAnsi" w:cs="Arial"/>
              </w:rPr>
              <w:t xml:space="preserve"> </w:t>
            </w:r>
          </w:p>
          <w:p w14:paraId="671ED1BF" w14:textId="77777777" w:rsidR="00A15362" w:rsidRPr="00A073A1" w:rsidRDefault="00A15362" w:rsidP="00574572">
            <w:pPr>
              <w:spacing w:after="120" w:line="300" w:lineRule="exact"/>
              <w:rPr>
                <w:rFonts w:asciiTheme="minorHAnsi" w:hAnsiTheme="minorHAnsi" w:cs="Arial"/>
              </w:rPr>
            </w:pPr>
            <w:r>
              <w:rPr>
                <w:rFonts w:asciiTheme="minorHAnsi" w:hAnsiTheme="minorHAnsi" w:cs="Arial"/>
              </w:rPr>
              <w:t>[Max 6 pages]</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616926" w14:textId="77777777" w:rsidR="00A15362" w:rsidRDefault="00A15362" w:rsidP="00574572">
            <w:pPr>
              <w:spacing w:after="120" w:line="300" w:lineRule="exact"/>
              <w:rPr>
                <w:rFonts w:asciiTheme="minorHAnsi" w:hAnsiTheme="minorHAnsi" w:cs="Arial"/>
              </w:rPr>
            </w:pPr>
            <w:r>
              <w:rPr>
                <w:rFonts w:asciiTheme="minorHAnsi" w:hAnsiTheme="minorHAnsi" w:cs="Arial"/>
              </w:rPr>
              <w:t>The Tenderer should:</w:t>
            </w:r>
          </w:p>
          <w:p w14:paraId="480BABB3" w14:textId="77777777" w:rsidR="00A15362" w:rsidRDefault="00A15362" w:rsidP="00A15362">
            <w:pPr>
              <w:pStyle w:val="ListParagraph"/>
              <w:numPr>
                <w:ilvl w:val="0"/>
                <w:numId w:val="44"/>
              </w:numPr>
              <w:spacing w:line="300" w:lineRule="exact"/>
              <w:rPr>
                <w:rFonts w:asciiTheme="minorHAnsi" w:hAnsiTheme="minorHAnsi"/>
                <w:sz w:val="22"/>
                <w:szCs w:val="22"/>
              </w:rPr>
            </w:pPr>
            <w:r w:rsidRPr="0078283A">
              <w:rPr>
                <w:rFonts w:asciiTheme="minorHAnsi" w:hAnsiTheme="minorHAnsi"/>
                <w:sz w:val="22"/>
                <w:szCs w:val="22"/>
              </w:rPr>
              <w:t>Provide adequate allocation of appropriate resources against deliverables</w:t>
            </w:r>
            <w:r>
              <w:rPr>
                <w:rFonts w:asciiTheme="minorHAnsi" w:hAnsiTheme="minorHAnsi"/>
                <w:sz w:val="22"/>
                <w:szCs w:val="22"/>
              </w:rPr>
              <w:t>. This includes team members’ roles, their relevant experience and contribution to the delivery.</w:t>
            </w:r>
          </w:p>
          <w:p w14:paraId="02C6C427" w14:textId="77777777" w:rsidR="00A15362" w:rsidRPr="0078283A" w:rsidRDefault="00A15362" w:rsidP="00A15362">
            <w:pPr>
              <w:pStyle w:val="ListParagraph"/>
              <w:numPr>
                <w:ilvl w:val="0"/>
                <w:numId w:val="44"/>
              </w:numPr>
              <w:spacing w:line="300" w:lineRule="exact"/>
              <w:rPr>
                <w:rFonts w:asciiTheme="minorHAnsi" w:hAnsiTheme="minorHAnsi"/>
                <w:sz w:val="22"/>
                <w:szCs w:val="22"/>
              </w:rPr>
            </w:pPr>
            <w:r>
              <w:rPr>
                <w:rFonts w:asciiTheme="minorHAnsi" w:hAnsiTheme="minorHAnsi"/>
                <w:sz w:val="22"/>
                <w:szCs w:val="22"/>
              </w:rPr>
              <w:lastRenderedPageBreak/>
              <w:t xml:space="preserve">Provide </w:t>
            </w:r>
            <w:r w:rsidRPr="0078283A">
              <w:rPr>
                <w:rFonts w:asciiTheme="minorHAnsi" w:hAnsiTheme="minorHAnsi"/>
                <w:sz w:val="22"/>
                <w:szCs w:val="22"/>
              </w:rPr>
              <w:t>a well-structured plan for completion</w:t>
            </w:r>
            <w:r>
              <w:rPr>
                <w:rFonts w:asciiTheme="minorHAnsi" w:hAnsiTheme="minorHAnsi"/>
                <w:sz w:val="22"/>
                <w:szCs w:val="22"/>
              </w:rPr>
              <w:t xml:space="preserve">, including a </w:t>
            </w:r>
            <w:r w:rsidRPr="0078283A">
              <w:rPr>
                <w:rFonts w:asciiTheme="minorHAnsi" w:hAnsiTheme="minorHAnsi"/>
                <w:sz w:val="22"/>
                <w:szCs w:val="22"/>
              </w:rPr>
              <w:t xml:space="preserve">clear deadline for the delivery of </w:t>
            </w:r>
            <w:r>
              <w:rPr>
                <w:rFonts w:asciiTheme="minorHAnsi" w:hAnsiTheme="minorHAnsi"/>
                <w:sz w:val="22"/>
                <w:szCs w:val="22"/>
              </w:rPr>
              <w:t>each deliverable</w:t>
            </w:r>
            <w:r w:rsidRPr="0078283A">
              <w:rPr>
                <w:rFonts w:asciiTheme="minorHAnsi" w:hAnsiTheme="minorHAnsi"/>
                <w:sz w:val="22"/>
                <w:szCs w:val="22"/>
              </w:rPr>
              <w:t xml:space="preserve">. </w:t>
            </w:r>
          </w:p>
          <w:p w14:paraId="1E5FC2A5" w14:textId="77777777" w:rsidR="00A15362" w:rsidRPr="008A7684" w:rsidRDefault="00A15362" w:rsidP="00A15362">
            <w:pPr>
              <w:pStyle w:val="ListParagraph"/>
              <w:numPr>
                <w:ilvl w:val="0"/>
                <w:numId w:val="44"/>
              </w:numPr>
              <w:spacing w:after="120" w:line="300" w:lineRule="exact"/>
              <w:rPr>
                <w:rFonts w:asciiTheme="minorHAnsi" w:eastAsiaTheme="minorHAnsi" w:hAnsiTheme="minorHAnsi"/>
                <w:sz w:val="22"/>
                <w:szCs w:val="22"/>
              </w:rPr>
            </w:pPr>
            <w:r w:rsidRPr="006C504D">
              <w:rPr>
                <w:rFonts w:asciiTheme="minorHAnsi" w:hAnsiTheme="minorHAnsi"/>
                <w:sz w:val="22"/>
                <w:szCs w:val="22"/>
              </w:rPr>
              <w:t>Identify how they will work with RSSB to ensure the quality and the content of the deliverables is fit for purpose</w:t>
            </w:r>
            <w:r>
              <w:rPr>
                <w:rFonts w:asciiTheme="minorHAnsi" w:hAnsiTheme="minorHAnsi"/>
                <w:sz w:val="22"/>
                <w:szCs w:val="22"/>
              </w:rPr>
              <w:t>.</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BAE971" w14:textId="77777777" w:rsidR="00A15362" w:rsidRPr="00A073A1" w:rsidRDefault="00A15362" w:rsidP="00574572">
            <w:pPr>
              <w:spacing w:after="120" w:line="300" w:lineRule="exact"/>
              <w:rPr>
                <w:rFonts w:asciiTheme="minorHAnsi" w:hAnsiTheme="minorHAnsi" w:cs="Arial"/>
              </w:rPr>
            </w:pPr>
            <w:r w:rsidRPr="00A073A1">
              <w:rPr>
                <w:rFonts w:asciiTheme="minorHAnsi" w:hAnsiTheme="minorHAnsi" w:cs="Arial"/>
              </w:rPr>
              <w:lastRenderedPageBreak/>
              <w:t xml:space="preserve">The </w:t>
            </w:r>
            <w:r>
              <w:rPr>
                <w:rFonts w:asciiTheme="minorHAnsi" w:hAnsiTheme="minorHAnsi" w:cs="Arial"/>
              </w:rPr>
              <w:t>Tenderer</w:t>
            </w:r>
            <w:r w:rsidRPr="00A073A1">
              <w:rPr>
                <w:rFonts w:asciiTheme="minorHAnsi" w:hAnsiTheme="minorHAnsi" w:cs="Arial"/>
              </w:rPr>
              <w:t>’s response shows that it</w:t>
            </w:r>
            <w:r>
              <w:rPr>
                <w:rFonts w:asciiTheme="minorHAnsi" w:hAnsiTheme="minorHAnsi" w:cs="Arial"/>
              </w:rPr>
              <w:t>:</w:t>
            </w:r>
          </w:p>
          <w:p w14:paraId="4F9A790E" w14:textId="3474B333" w:rsidR="00A15362" w:rsidRPr="00955D34" w:rsidRDefault="00A15362" w:rsidP="00A15362">
            <w:pPr>
              <w:pStyle w:val="ListParagraph"/>
              <w:numPr>
                <w:ilvl w:val="0"/>
                <w:numId w:val="42"/>
              </w:numPr>
              <w:spacing w:line="300" w:lineRule="exact"/>
              <w:rPr>
                <w:rFonts w:asciiTheme="minorHAnsi" w:hAnsiTheme="minorHAnsi"/>
                <w:sz w:val="22"/>
                <w:szCs w:val="22"/>
              </w:rPr>
            </w:pPr>
            <w:r w:rsidRPr="00A073A1">
              <w:rPr>
                <w:rFonts w:asciiTheme="minorHAnsi" w:hAnsiTheme="minorHAnsi"/>
                <w:sz w:val="22"/>
                <w:szCs w:val="22"/>
              </w:rPr>
              <w:t>Has provided</w:t>
            </w:r>
            <w:r>
              <w:rPr>
                <w:rFonts w:asciiTheme="minorHAnsi" w:hAnsiTheme="minorHAnsi"/>
                <w:sz w:val="22"/>
                <w:szCs w:val="22"/>
              </w:rPr>
              <w:t xml:space="preserve"> </w:t>
            </w:r>
            <w:r w:rsidRPr="00A073A1">
              <w:rPr>
                <w:rFonts w:asciiTheme="minorHAnsi" w:hAnsiTheme="minorHAnsi"/>
                <w:sz w:val="22"/>
                <w:szCs w:val="22"/>
              </w:rPr>
              <w:t>a credible plan for delivering successful outcomes</w:t>
            </w:r>
            <w:r>
              <w:rPr>
                <w:rFonts w:asciiTheme="minorHAnsi" w:hAnsiTheme="minorHAnsi"/>
                <w:sz w:val="22"/>
                <w:szCs w:val="22"/>
              </w:rPr>
              <w:t xml:space="preserve"> to time</w:t>
            </w:r>
            <w:r>
              <w:rPr>
                <w:rFonts w:asciiTheme="minorHAnsi" w:hAnsiTheme="minorHAnsi"/>
                <w:sz w:val="22"/>
                <w:szCs w:val="22"/>
              </w:rPr>
              <w:t xml:space="preserve"> and quality</w:t>
            </w:r>
          </w:p>
          <w:p w14:paraId="7422E23A" w14:textId="77777777" w:rsidR="00A15362" w:rsidRDefault="00A15362" w:rsidP="00A15362">
            <w:pPr>
              <w:pStyle w:val="ListParagraph"/>
              <w:numPr>
                <w:ilvl w:val="0"/>
                <w:numId w:val="42"/>
              </w:numPr>
              <w:spacing w:line="300" w:lineRule="exact"/>
              <w:rPr>
                <w:rFonts w:asciiTheme="minorHAnsi" w:hAnsiTheme="minorHAnsi"/>
                <w:sz w:val="22"/>
                <w:szCs w:val="22"/>
              </w:rPr>
            </w:pPr>
            <w:r w:rsidRPr="00A073A1">
              <w:rPr>
                <w:rFonts w:asciiTheme="minorHAnsi" w:hAnsiTheme="minorHAnsi"/>
                <w:sz w:val="22"/>
                <w:szCs w:val="22"/>
              </w:rPr>
              <w:t xml:space="preserve">Has identified relevant individuals to deliver </w:t>
            </w:r>
            <w:r w:rsidRPr="00A073A1">
              <w:rPr>
                <w:rFonts w:asciiTheme="minorHAnsi" w:hAnsiTheme="minorHAnsi"/>
                <w:sz w:val="22"/>
                <w:szCs w:val="22"/>
              </w:rPr>
              <w:lastRenderedPageBreak/>
              <w:t>the work</w:t>
            </w:r>
            <w:r>
              <w:rPr>
                <w:rFonts w:asciiTheme="minorHAnsi" w:hAnsiTheme="minorHAnsi"/>
                <w:sz w:val="22"/>
                <w:szCs w:val="22"/>
              </w:rPr>
              <w:t xml:space="preserve"> and that t</w:t>
            </w:r>
            <w:r w:rsidRPr="00955D34">
              <w:rPr>
                <w:rFonts w:asciiTheme="minorHAnsi" w:hAnsiTheme="minorHAnsi"/>
                <w:sz w:val="22"/>
                <w:szCs w:val="22"/>
              </w:rPr>
              <w:t>he overall mix of skills cover</w:t>
            </w:r>
            <w:r>
              <w:rPr>
                <w:rFonts w:asciiTheme="minorHAnsi" w:hAnsiTheme="minorHAnsi"/>
                <w:sz w:val="22"/>
                <w:szCs w:val="22"/>
              </w:rPr>
              <w:t>ed</w:t>
            </w:r>
            <w:r w:rsidRPr="00955D34">
              <w:rPr>
                <w:rFonts w:asciiTheme="minorHAnsi" w:hAnsiTheme="minorHAnsi"/>
                <w:sz w:val="22"/>
                <w:szCs w:val="22"/>
              </w:rPr>
              <w:t xml:space="preserve"> </w:t>
            </w:r>
            <w:r>
              <w:rPr>
                <w:rFonts w:asciiTheme="minorHAnsi" w:hAnsiTheme="minorHAnsi"/>
                <w:sz w:val="22"/>
                <w:szCs w:val="22"/>
              </w:rPr>
              <w:t>is adequate</w:t>
            </w:r>
          </w:p>
          <w:p w14:paraId="794DCA98" w14:textId="77777777" w:rsidR="00A15362" w:rsidRPr="008A7684" w:rsidRDefault="00A15362" w:rsidP="00A15362">
            <w:pPr>
              <w:pStyle w:val="ListParagraph"/>
              <w:numPr>
                <w:ilvl w:val="0"/>
                <w:numId w:val="42"/>
              </w:numPr>
              <w:spacing w:line="300" w:lineRule="exact"/>
              <w:rPr>
                <w:rFonts w:asciiTheme="minorHAnsi" w:hAnsiTheme="minorHAnsi"/>
                <w:sz w:val="22"/>
                <w:szCs w:val="22"/>
              </w:rPr>
            </w:pPr>
            <w:r w:rsidRPr="00A073A1">
              <w:rPr>
                <w:rFonts w:asciiTheme="minorHAnsi" w:hAnsiTheme="minorHAnsi"/>
                <w:sz w:val="22"/>
                <w:szCs w:val="22"/>
              </w:rPr>
              <w:t xml:space="preserve">Has identified appropriate </w:t>
            </w:r>
            <w:r>
              <w:rPr>
                <w:rFonts w:asciiTheme="minorHAnsi" w:hAnsiTheme="minorHAnsi"/>
                <w:sz w:val="22"/>
                <w:szCs w:val="22"/>
              </w:rPr>
              <w:t>ways to engage with RSSB</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622F6B" w14:textId="77777777" w:rsidR="00A15362" w:rsidRPr="00A073A1" w:rsidRDefault="00A15362" w:rsidP="00574572">
            <w:pPr>
              <w:spacing w:after="120" w:line="300" w:lineRule="exact"/>
              <w:rPr>
                <w:rFonts w:asciiTheme="minorHAnsi" w:hAnsiTheme="minorHAnsi" w:cs="Arial"/>
              </w:rPr>
            </w:pPr>
            <w:r>
              <w:rPr>
                <w:rFonts w:asciiTheme="minorHAnsi" w:hAnsiTheme="minorHAnsi" w:cs="Arial"/>
              </w:rPr>
              <w:lastRenderedPageBreak/>
              <w:t>2</w:t>
            </w:r>
            <w:r w:rsidRPr="00A073A1">
              <w:rPr>
                <w:rFonts w:asciiTheme="minorHAnsi" w:hAnsiTheme="minorHAnsi" w:cs="Arial"/>
              </w:rPr>
              <w:t>0%</w:t>
            </w:r>
          </w:p>
        </w:tc>
      </w:tr>
      <w:tr w:rsidR="00A15362" w:rsidRPr="00A073A1" w14:paraId="36C0B145" w14:textId="77777777" w:rsidTr="00574572">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13C5CC" w14:textId="77777777" w:rsidR="00A15362" w:rsidRDefault="00A15362" w:rsidP="00574572">
            <w:pPr>
              <w:spacing w:after="120" w:line="300" w:lineRule="exact"/>
              <w:rPr>
                <w:rFonts w:asciiTheme="minorHAnsi" w:hAnsiTheme="minorHAnsi" w:cs="Arial"/>
              </w:rPr>
            </w:pPr>
            <w:r>
              <w:rPr>
                <w:rFonts w:asciiTheme="minorHAnsi" w:hAnsiTheme="minorHAnsi" w:cs="Arial"/>
              </w:rPr>
              <w:t>A4 Risk and opportunity management</w:t>
            </w:r>
          </w:p>
          <w:p w14:paraId="4A97E4D2" w14:textId="77777777" w:rsidR="00A15362" w:rsidRDefault="00A15362" w:rsidP="00574572">
            <w:pPr>
              <w:spacing w:after="120" w:line="300" w:lineRule="exact"/>
              <w:rPr>
                <w:rFonts w:asciiTheme="minorHAnsi" w:hAnsiTheme="minorHAnsi" w:cs="Arial"/>
              </w:rPr>
            </w:pPr>
            <w:r>
              <w:rPr>
                <w:rFonts w:asciiTheme="minorHAnsi" w:hAnsiTheme="minorHAnsi" w:cs="Arial"/>
              </w:rPr>
              <w:t>[Max 2 pages]</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323198" w14:textId="77777777" w:rsidR="00A15362" w:rsidRDefault="00A15362" w:rsidP="00574572">
            <w:pPr>
              <w:tabs>
                <w:tab w:val="left" w:pos="113"/>
              </w:tabs>
              <w:spacing w:after="40" w:line="280" w:lineRule="exact"/>
              <w:rPr>
                <w:rFonts w:asciiTheme="minorHAnsi" w:hAnsiTheme="minorHAnsi" w:cs="Arial"/>
              </w:rPr>
            </w:pPr>
            <w:r>
              <w:rPr>
                <w:rFonts w:asciiTheme="minorHAnsi" w:hAnsiTheme="minorHAnsi" w:cs="Arial"/>
              </w:rPr>
              <w:t>The tenderer will identify and propose mitigations and responses to key risks and opportunities</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A55DDF" w14:textId="77777777" w:rsidR="00A15362" w:rsidRPr="008F22C7" w:rsidRDefault="00A15362" w:rsidP="00A15362">
            <w:pPr>
              <w:pStyle w:val="ListParagraph"/>
              <w:numPr>
                <w:ilvl w:val="0"/>
                <w:numId w:val="41"/>
              </w:numPr>
              <w:spacing w:after="120" w:line="300" w:lineRule="exact"/>
              <w:rPr>
                <w:rFonts w:asciiTheme="minorHAnsi" w:hAnsiTheme="minorHAnsi"/>
                <w:sz w:val="22"/>
                <w:szCs w:val="22"/>
              </w:rPr>
            </w:pPr>
            <w:r w:rsidRPr="004F4EF9">
              <w:rPr>
                <w:rFonts w:asciiTheme="minorHAnsi" w:hAnsiTheme="minorHAnsi"/>
                <w:sz w:val="22"/>
                <w:szCs w:val="22"/>
              </w:rPr>
              <w:t>Has identified risks and proposed to effective management and mitigation</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0F230E" w14:textId="77777777" w:rsidR="00A15362" w:rsidRDefault="00A15362" w:rsidP="00574572">
            <w:pPr>
              <w:spacing w:after="120" w:line="300" w:lineRule="exact"/>
              <w:rPr>
                <w:rFonts w:asciiTheme="minorHAnsi" w:hAnsiTheme="minorHAnsi" w:cs="Arial"/>
              </w:rPr>
            </w:pPr>
          </w:p>
        </w:tc>
      </w:tr>
      <w:tr w:rsidR="00A15362" w:rsidRPr="00A073A1" w14:paraId="068D7289" w14:textId="77777777" w:rsidTr="00574572">
        <w:trPr>
          <w:trHeight w:val="724"/>
        </w:trPr>
        <w:tc>
          <w:tcPr>
            <w:tcW w:w="10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5D6E19" w14:textId="77777777" w:rsidR="00A15362" w:rsidRPr="00A073A1" w:rsidRDefault="00A15362" w:rsidP="00574572">
            <w:pPr>
              <w:spacing w:after="120" w:line="300" w:lineRule="exact"/>
              <w:rPr>
                <w:rFonts w:asciiTheme="minorHAnsi" w:hAnsiTheme="minorHAnsi" w:cs="Arial"/>
              </w:rPr>
            </w:pPr>
            <w:r>
              <w:rPr>
                <w:rFonts w:asciiTheme="minorHAnsi" w:hAnsiTheme="minorHAnsi" w:cs="Arial"/>
              </w:rPr>
              <w:t>A5 Cost of project</w:t>
            </w:r>
          </w:p>
        </w:tc>
        <w:tc>
          <w:tcPr>
            <w:tcW w:w="20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557A3E" w14:textId="77777777" w:rsidR="00A15362" w:rsidRPr="003E603F" w:rsidRDefault="00A15362" w:rsidP="00574572">
            <w:pPr>
              <w:tabs>
                <w:tab w:val="left" w:pos="113"/>
              </w:tabs>
              <w:spacing w:after="40" w:line="280" w:lineRule="exact"/>
              <w:rPr>
                <w:rFonts w:asciiTheme="minorHAnsi" w:hAnsiTheme="minorHAnsi" w:cs="Arial"/>
              </w:rPr>
            </w:pPr>
            <w:r>
              <w:rPr>
                <w:rFonts w:asciiTheme="minorHAnsi" w:hAnsiTheme="minorHAnsi" w:cs="Arial"/>
              </w:rPr>
              <w:t>The Tenderer</w:t>
            </w:r>
            <w:r w:rsidRPr="000C5A5D">
              <w:rPr>
                <w:rFonts w:asciiTheme="minorHAnsi" w:hAnsiTheme="minorHAnsi" w:cs="Arial"/>
              </w:rPr>
              <w:t xml:space="preserve"> should</w:t>
            </w:r>
            <w:r>
              <w:rPr>
                <w:rFonts w:asciiTheme="minorHAnsi" w:hAnsiTheme="minorHAnsi" w:cs="Arial"/>
              </w:rPr>
              <w:t xml:space="preserve"> p</w:t>
            </w:r>
            <w:r w:rsidRPr="000C5A5D">
              <w:rPr>
                <w:rFonts w:asciiTheme="minorHAnsi" w:hAnsiTheme="minorHAnsi" w:cs="Arial"/>
              </w:rPr>
              <w:t>rovide a fixed cost for the project and the associated cost break down.</w:t>
            </w:r>
            <w:r>
              <w:rPr>
                <w:rFonts w:asciiTheme="minorHAnsi" w:hAnsiTheme="minorHAnsi" w:cs="Arial"/>
              </w:rPr>
              <w:t xml:space="preserve"> </w:t>
            </w:r>
            <w:r w:rsidRPr="003E603F">
              <w:rPr>
                <w:rFonts w:asciiTheme="minorHAnsi" w:hAnsiTheme="minorHAnsi" w:cs="Arial"/>
              </w:rPr>
              <w:t xml:space="preserve">This should cover both phases of work and assume </w:t>
            </w:r>
            <w:r>
              <w:rPr>
                <w:rFonts w:asciiTheme="minorHAnsi" w:hAnsiTheme="minorHAnsi" w:cs="Arial"/>
              </w:rPr>
              <w:t xml:space="preserve">6 </w:t>
            </w:r>
            <w:r w:rsidRPr="003E603F">
              <w:rPr>
                <w:rFonts w:asciiTheme="minorHAnsi" w:hAnsiTheme="minorHAnsi" w:cs="Arial"/>
              </w:rPr>
              <w:t xml:space="preserve">supplementary gauges </w:t>
            </w:r>
            <w:r>
              <w:rPr>
                <w:rFonts w:asciiTheme="minorHAnsi" w:hAnsiTheme="minorHAnsi" w:cs="Arial"/>
              </w:rPr>
              <w:t xml:space="preserve">are </w:t>
            </w:r>
            <w:r w:rsidRPr="003E603F">
              <w:rPr>
                <w:rFonts w:asciiTheme="minorHAnsi" w:hAnsiTheme="minorHAnsi" w:cs="Arial"/>
              </w:rPr>
              <w:t>developed.</w:t>
            </w:r>
          </w:p>
          <w:p w14:paraId="5A3F6919" w14:textId="77777777" w:rsidR="00A15362" w:rsidRPr="006C504D" w:rsidRDefault="00A15362" w:rsidP="00574572">
            <w:pPr>
              <w:tabs>
                <w:tab w:val="left" w:pos="113"/>
              </w:tabs>
              <w:spacing w:after="40" w:line="280" w:lineRule="exact"/>
              <w:rPr>
                <w:rFonts w:asciiTheme="minorHAnsi" w:hAnsiTheme="minorHAnsi" w:cs="Arial"/>
              </w:rPr>
            </w:pPr>
            <w:r w:rsidRPr="003E603F">
              <w:rPr>
                <w:rFonts w:asciiTheme="minorHAnsi" w:hAnsiTheme="minorHAnsi" w:cs="Arial"/>
              </w:rPr>
              <w:t xml:space="preserve">While unmarked, the </w:t>
            </w:r>
            <w:r>
              <w:rPr>
                <w:rFonts w:asciiTheme="minorHAnsi" w:hAnsiTheme="minorHAnsi" w:cs="Arial"/>
              </w:rPr>
              <w:t>Tenderer</w:t>
            </w:r>
            <w:r w:rsidRPr="003E603F">
              <w:rPr>
                <w:rFonts w:asciiTheme="minorHAnsi" w:hAnsiTheme="minorHAnsi" w:cs="Arial"/>
              </w:rPr>
              <w:t xml:space="preserve"> should also provide a breakdown of the cost should the project develop</w:t>
            </w:r>
            <w:r>
              <w:rPr>
                <w:rFonts w:asciiTheme="minorHAnsi" w:hAnsiTheme="minorHAnsi" w:cs="Arial"/>
              </w:rPr>
              <w:t xml:space="preserve"> more or </w:t>
            </w:r>
            <w:r w:rsidRPr="003E603F">
              <w:rPr>
                <w:rFonts w:asciiTheme="minorHAnsi" w:hAnsiTheme="minorHAnsi" w:cs="Arial"/>
              </w:rPr>
              <w:t>fewer supplementary gauges.</w:t>
            </w:r>
          </w:p>
        </w:tc>
        <w:tc>
          <w:tcPr>
            <w:tcW w:w="1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AFD659" w14:textId="77777777" w:rsidR="00A15362" w:rsidRPr="008F22C7" w:rsidRDefault="00A15362" w:rsidP="00A15362">
            <w:pPr>
              <w:pStyle w:val="ListParagraph"/>
              <w:numPr>
                <w:ilvl w:val="0"/>
                <w:numId w:val="41"/>
              </w:numPr>
              <w:spacing w:after="120" w:line="300" w:lineRule="exact"/>
              <w:rPr>
                <w:rFonts w:asciiTheme="minorHAnsi" w:hAnsiTheme="minorHAnsi"/>
                <w:sz w:val="22"/>
                <w:szCs w:val="22"/>
              </w:rPr>
            </w:pPr>
            <w:r w:rsidRPr="008F22C7">
              <w:rPr>
                <w:rFonts w:asciiTheme="minorHAnsi" w:hAnsiTheme="minorHAnsi"/>
                <w:sz w:val="22"/>
                <w:szCs w:val="22"/>
              </w:rPr>
              <w:t>The tender with the lowest total cost will receive 100% of the available weighted score (</w:t>
            </w:r>
            <w:r>
              <w:rPr>
                <w:rFonts w:asciiTheme="minorHAnsi" w:hAnsiTheme="minorHAnsi"/>
                <w:sz w:val="22"/>
                <w:szCs w:val="22"/>
              </w:rPr>
              <w:t>25</w:t>
            </w:r>
            <w:r w:rsidRPr="008F22C7">
              <w:rPr>
                <w:rFonts w:asciiTheme="minorHAnsi" w:hAnsiTheme="minorHAnsi"/>
                <w:sz w:val="22"/>
                <w:szCs w:val="22"/>
              </w:rPr>
              <w:t>%).</w:t>
            </w:r>
          </w:p>
          <w:p w14:paraId="6DBEEE3E" w14:textId="77777777" w:rsidR="00A15362" w:rsidRPr="008F22C7" w:rsidRDefault="00A15362" w:rsidP="00574572">
            <w:pPr>
              <w:spacing w:after="120" w:line="300" w:lineRule="exact"/>
              <w:ind w:left="360"/>
              <w:rPr>
                <w:rFonts w:asciiTheme="minorHAnsi" w:hAnsiTheme="minorHAnsi" w:cs="Arial"/>
              </w:rPr>
            </w:pPr>
            <w:r w:rsidRPr="008F22C7">
              <w:rPr>
                <w:rFonts w:asciiTheme="minorHAnsi" w:hAnsiTheme="minorHAnsi" w:cs="Arial"/>
              </w:rPr>
              <w:t>Other Tenderer’s tenders will receive a pro-rated relative to the lowest cost according to the following formula:</w:t>
            </w:r>
          </w:p>
          <w:p w14:paraId="50C6BF87" w14:textId="77777777" w:rsidR="00A15362" w:rsidRPr="00A073A1" w:rsidRDefault="00A15362" w:rsidP="00574572">
            <w:pPr>
              <w:spacing w:after="120" w:line="300" w:lineRule="exact"/>
              <w:ind w:left="360"/>
              <w:rPr>
                <w:rFonts w:asciiTheme="minorHAnsi" w:hAnsiTheme="minorHAnsi" w:cs="Arial"/>
              </w:rPr>
            </w:pPr>
            <w:r w:rsidRPr="008F22C7">
              <w:rPr>
                <w:rFonts w:asciiTheme="minorHAnsi" w:hAnsiTheme="minorHAnsi" w:cs="Arial"/>
              </w:rPr>
              <w:t xml:space="preserve">Score of other </w:t>
            </w:r>
            <w:proofErr w:type="gramStart"/>
            <w:r w:rsidRPr="008F22C7">
              <w:rPr>
                <w:rFonts w:asciiTheme="minorHAnsi" w:hAnsiTheme="minorHAnsi" w:cs="Arial"/>
              </w:rPr>
              <w:t>tender</w:t>
            </w:r>
            <w:proofErr w:type="gramEnd"/>
            <w:r w:rsidRPr="008F22C7">
              <w:rPr>
                <w:rFonts w:asciiTheme="minorHAnsi" w:hAnsiTheme="minorHAnsi" w:cs="Arial"/>
              </w:rPr>
              <w:t xml:space="preserve"> = lowest tender total cost / other tender total cost x 100%.</w:t>
            </w:r>
          </w:p>
        </w:tc>
        <w:tc>
          <w:tcPr>
            <w:tcW w:w="5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AE7362" w14:textId="77777777" w:rsidR="00A15362" w:rsidRDefault="00A15362" w:rsidP="00574572">
            <w:pPr>
              <w:spacing w:after="120" w:line="300" w:lineRule="exact"/>
              <w:rPr>
                <w:rFonts w:asciiTheme="minorHAnsi" w:hAnsiTheme="minorHAnsi" w:cs="Arial"/>
              </w:rPr>
            </w:pPr>
            <w:r>
              <w:rPr>
                <w:rFonts w:asciiTheme="minorHAnsi" w:hAnsiTheme="minorHAnsi" w:cs="Arial"/>
              </w:rPr>
              <w:t>25%</w:t>
            </w:r>
          </w:p>
        </w:tc>
      </w:tr>
    </w:tbl>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w:t>
      </w:r>
      <w:r>
        <w:lastRenderedPageBreak/>
        <w:t xml:space="preserve">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51CCA834" w:rsidR="00823AFA" w:rsidRDefault="00823AFA" w:rsidP="005356EB">
      <w:pPr>
        <w:pStyle w:val="Body"/>
        <w:rPr>
          <w:b/>
          <w:sz w:val="36"/>
          <w:szCs w:val="36"/>
          <w:u w:val="single"/>
        </w:rPr>
      </w:pPr>
    </w:p>
    <w:p w14:paraId="65EA5583" w14:textId="77777777" w:rsidR="00447CEE" w:rsidRDefault="00447CEE" w:rsidP="00A121D7">
      <w:pPr>
        <w:pStyle w:val="CoverTitle"/>
        <w:rPr>
          <w:b/>
        </w:rPr>
      </w:pPr>
    </w:p>
    <w:p w14:paraId="39D28F28" w14:textId="77777777" w:rsidR="00447CEE" w:rsidRDefault="00447CEE" w:rsidP="00A121D7">
      <w:pPr>
        <w:pStyle w:val="CoverTitle"/>
        <w:rPr>
          <w:b/>
        </w:rPr>
      </w:pPr>
    </w:p>
    <w:p w14:paraId="498F5A2C" w14:textId="77777777" w:rsidR="00447CEE" w:rsidRDefault="00447CEE" w:rsidP="00A121D7">
      <w:pPr>
        <w:pStyle w:val="CoverTitle"/>
        <w:rPr>
          <w:b/>
        </w:rPr>
      </w:pPr>
    </w:p>
    <w:p w14:paraId="20D578E6" w14:textId="77777777" w:rsidR="00447CEE" w:rsidRDefault="00447CEE" w:rsidP="00A121D7">
      <w:pPr>
        <w:pStyle w:val="CoverTitle"/>
        <w:rPr>
          <w:b/>
        </w:rPr>
      </w:pPr>
    </w:p>
    <w:p w14:paraId="68A3C61E" w14:textId="23236B3B" w:rsidR="00A121D7" w:rsidRPr="0041419B" w:rsidRDefault="00A121D7" w:rsidP="00A121D7">
      <w:pPr>
        <w:pStyle w:val="CoverTitle"/>
        <w:rPr>
          <w:b/>
        </w:rPr>
      </w:pPr>
      <w:r w:rsidRPr="0041419B">
        <w:rPr>
          <w:b/>
        </w:rPr>
        <w:lastRenderedPageBreak/>
        <w:t>Specification for research project</w:t>
      </w:r>
    </w:p>
    <w:p w14:paraId="743A6EF2" w14:textId="77777777" w:rsidR="00C577A6" w:rsidRDefault="00C577A6" w:rsidP="00E52B87">
      <w:pPr>
        <w:pStyle w:val="NoSpacing"/>
        <w:rPr>
          <w:rFonts w:asciiTheme="minorHAnsi" w:hAnsiTheme="minorHAnsi" w:cs="Arial"/>
        </w:rPr>
      </w:pPr>
    </w:p>
    <w:p w14:paraId="33EE4520" w14:textId="77777777" w:rsidR="00B30DDC" w:rsidRDefault="00B30DDC" w:rsidP="00B30DDC">
      <w:pPr>
        <w:pStyle w:val="CoverSubTitle"/>
      </w:pPr>
      <w:bookmarkStart w:id="11" w:name="_Hlk482610200"/>
      <w:bookmarkEnd w:id="11"/>
      <w:r>
        <w:t xml:space="preserve">T1132 </w:t>
      </w:r>
      <w:r w:rsidRPr="00156B89">
        <w:t xml:space="preserve">Development of </w:t>
      </w:r>
      <w:r>
        <w:t xml:space="preserve">Supplementary </w:t>
      </w:r>
      <w:r w:rsidRPr="00156B89">
        <w:t>Freight Container Gauges</w:t>
      </w:r>
    </w:p>
    <w:p w14:paraId="56DE9B90" w14:textId="77777777" w:rsidR="00B30DDC" w:rsidRDefault="00B30DDC" w:rsidP="00B30DDC">
      <w:pPr>
        <w:pStyle w:val="CoverTitle"/>
      </w:pPr>
    </w:p>
    <w:p w14:paraId="3502D355" w14:textId="77777777" w:rsidR="00B30DDC" w:rsidRDefault="00B30DDC" w:rsidP="00B30DDC">
      <w:pPr>
        <w:pStyle w:val="CoverTitle"/>
      </w:pPr>
    </w:p>
    <w:p w14:paraId="48722C8F" w14:textId="77777777" w:rsidR="00B30DDC" w:rsidRDefault="00B30DDC" w:rsidP="00B30DDC">
      <w:pPr>
        <w:pStyle w:val="CoverTitle"/>
      </w:pPr>
    </w:p>
    <w:p w14:paraId="5F244B21" w14:textId="77777777" w:rsidR="00B30DDC" w:rsidRDefault="00B30DDC" w:rsidP="00B30DDC">
      <w:pPr>
        <w:pStyle w:val="CoverTitle"/>
      </w:pPr>
    </w:p>
    <w:p w14:paraId="0E632162" w14:textId="77777777" w:rsidR="00B30DDC" w:rsidRDefault="00B30DDC" w:rsidP="00B30DDC">
      <w:pPr>
        <w:pStyle w:val="CoverTitle"/>
      </w:pPr>
    </w:p>
    <w:p w14:paraId="0C0471C4" w14:textId="77777777" w:rsidR="00B30DDC" w:rsidRDefault="00B30DDC" w:rsidP="00B30DDC">
      <w:pPr>
        <w:pStyle w:val="CoverTitle"/>
      </w:pPr>
    </w:p>
    <w:p w14:paraId="6E2776CA" w14:textId="77777777" w:rsidR="00B30DDC" w:rsidRDefault="00B30DDC" w:rsidP="00B30DDC">
      <w:pPr>
        <w:pStyle w:val="Heading1"/>
        <w:numPr>
          <w:ilvl w:val="0"/>
          <w:numId w:val="0"/>
        </w:numPr>
      </w:pPr>
      <w:bookmarkStart w:id="12" w:name="_GoBack"/>
      <w:bookmarkEnd w:id="12"/>
    </w:p>
    <w:p w14:paraId="7B0509A9" w14:textId="77777777" w:rsidR="00B30DDC" w:rsidRDefault="00B30DDC" w:rsidP="00B30DDC">
      <w:pPr>
        <w:rPr>
          <w:rFonts w:ascii="Calibri" w:hAnsi="Calibri" w:cs="Arial"/>
          <w:color w:val="00968E"/>
          <w:sz w:val="36"/>
          <w:lang w:eastAsia="en-GB"/>
        </w:rPr>
      </w:pPr>
      <w:r>
        <w:br w:type="page"/>
      </w:r>
    </w:p>
    <w:p w14:paraId="0B5086EB" w14:textId="77777777" w:rsidR="00B30DDC" w:rsidRDefault="00B30DDC" w:rsidP="00B30DDC">
      <w:pPr>
        <w:pStyle w:val="Heading1"/>
        <w:spacing w:after="0"/>
      </w:pPr>
      <w:r>
        <w:lastRenderedPageBreak/>
        <w:t>Background</w:t>
      </w:r>
    </w:p>
    <w:p w14:paraId="2B5495DA" w14:textId="77777777" w:rsidR="00B30DDC" w:rsidRPr="00E411E9" w:rsidRDefault="00B30DDC" w:rsidP="00B30DDC">
      <w:pPr>
        <w:pStyle w:val="Body"/>
      </w:pPr>
    </w:p>
    <w:p w14:paraId="670593AD" w14:textId="77777777" w:rsidR="00B30DDC" w:rsidRDefault="00B30DDC" w:rsidP="00B30DDC">
      <w:pPr>
        <w:pStyle w:val="Body"/>
        <w:jc w:val="both"/>
      </w:pPr>
      <w:r>
        <w:rPr>
          <w:sz w:val="23"/>
          <w:szCs w:val="23"/>
        </w:rPr>
        <w:t>The total amount of freight in 2017-18 fell to 75m tonnes, the lowest since 1984-85, a 5.6% decrease on 2016-17.</w:t>
      </w:r>
      <w:r>
        <w:rPr>
          <w:rStyle w:val="FootnoteReference"/>
          <w:sz w:val="23"/>
          <w:szCs w:val="23"/>
        </w:rPr>
        <w:footnoteReference w:id="1"/>
      </w:r>
      <w:r>
        <w:rPr>
          <w:sz w:val="23"/>
          <w:szCs w:val="23"/>
        </w:rPr>
        <w:t xml:space="preserve"> Additionally, s</w:t>
      </w:r>
      <w:r>
        <w:t>ince a ten-year high of 22.71b net tonne km in 2013-14, the amount of freight moved</w:t>
      </w:r>
      <w:r>
        <w:rPr>
          <w:rStyle w:val="FootnoteReference"/>
        </w:rPr>
        <w:footnoteReference w:id="2"/>
      </w:r>
      <w:r>
        <w:t xml:space="preserve"> on the rail network has steadily declined by 25% to 16.95b net tonne km in 2017-18</w:t>
      </w:r>
      <w:r>
        <w:rPr>
          <w:rStyle w:val="FootnoteReference"/>
        </w:rPr>
        <w:footnoteReference w:id="3"/>
      </w:r>
      <w:r>
        <w:t>. In part, this can be attributed to declining coal usage</w:t>
      </w:r>
      <w:r>
        <w:rPr>
          <w:rStyle w:val="FootnoteReference"/>
        </w:rPr>
        <w:footnoteReference w:id="4"/>
      </w:r>
      <w:r>
        <w:t>, which accounted for approx. 35% of the total amount of freight moved in 2013-14. Despite the overall decline, international, domestic intermodal and other commodities grew by approx. 21%, 4%, 8% and 25% between 2013-14 and 2017-18, respectively, and represent almost 80% of the total freight moved in 2017-18. Therefore, it can be observed that the landscape of the freight market is shifting from its traditional composition and a response is needed for the community to retain its competitiveness in comparison to other transport modes.</w:t>
      </w:r>
    </w:p>
    <w:p w14:paraId="5BFF38A0" w14:textId="77777777" w:rsidR="00B30DDC" w:rsidRDefault="00B30DDC" w:rsidP="00B30DDC">
      <w:pPr>
        <w:pStyle w:val="Body"/>
        <w:jc w:val="both"/>
      </w:pPr>
      <w:r>
        <w:t>W7, W8, W9 (including W9Plus), W10 (including W10A) &amp; W12 are the standard gauges used for container/ wagon combinations. However, it has been observed that these do not align with some common Load Unit/Wagon combinations that are used in various, and in some cases, expanding markets within the industry e.g. international and domestic intermodal. Consequently, many emerging traffic opportunities can only be authorised through the ‘out of gauge loads’ process. This entails the analysis of the Load Unit/Wagon combination against every structure along the route where the traffic is deemed to be out-of-gauge and can take several weeks to undertake.</w:t>
      </w:r>
      <w:r w:rsidRPr="00CC58DD">
        <w:t xml:space="preserve"> </w:t>
      </w:r>
      <w:r>
        <w:t>Furthermore, an out-of-gauge load can only be authorised for a maximum of one year, so the analysis must be repeated annually, regardless of whether the underlying data has changed. An assessment has identified that the existing container gauges could allow more traffic to use routes cleared to the gauge if they were defined differently.</w:t>
      </w:r>
    </w:p>
    <w:p w14:paraId="692C37BA" w14:textId="77777777" w:rsidR="00B30DDC" w:rsidRDefault="00B30DDC" w:rsidP="00B30DDC">
      <w:pPr>
        <w:pStyle w:val="Body"/>
        <w:jc w:val="both"/>
      </w:pPr>
      <w:r>
        <w:t>Structures on the route are generally cleared to the top corner of the gauge, potentially leaving additional space adjacent to that corner unused. It is therefore possible that revised container gauges could be developed to make use of this additional space. In turn, this could facilitate a significant increase in the number of existing Load Unit/Wagon combinations that can be used on routes without needing to modify infrastructure.</w:t>
      </w:r>
    </w:p>
    <w:p w14:paraId="6062C019" w14:textId="77777777" w:rsidR="00B30DDC" w:rsidRDefault="00B30DDC" w:rsidP="00B30DDC">
      <w:pPr>
        <w:pStyle w:val="Body"/>
        <w:jc w:val="both"/>
      </w:pPr>
      <w:r>
        <w:t>For instance, it is estimated that there are about 200 Load Unit/Wagon (5 load unit widths, about 40 wagon types) combinations available in the current W7 Gauge which provides for only 14 of those 200 combinations (7% of all total combinations utilised). Revising the gauge would potentially provide for 146 combinations (73% of all total combinations utilised), that does not require infrastructure clearance work.</w:t>
      </w:r>
    </w:p>
    <w:p w14:paraId="47705DA4" w14:textId="77777777" w:rsidR="00B30DDC" w:rsidRDefault="00B30DDC" w:rsidP="00B30DDC">
      <w:pPr>
        <w:pStyle w:val="Body"/>
        <w:jc w:val="both"/>
      </w:pPr>
      <w:r>
        <w:lastRenderedPageBreak/>
        <w:t>Therefore, there is an opportunity to create a set of ‘supplementary’ container gauges that allow for the dynamic movements of all common bogie types, common box sizes and fastening systems, over a range of suitable deck heights and bogie centres.</w:t>
      </w:r>
      <w:r>
        <w:rPr>
          <w:noProof/>
        </w:rPr>
        <w:t xml:space="preserve"> </w:t>
      </w:r>
      <w:r>
        <w:t>These supplementary container gauges could allow more wagon types and more container sizes to be carried on existing cleared routes, without costly infrastructure work.</w:t>
      </w:r>
    </w:p>
    <w:p w14:paraId="3CC53F42" w14:textId="77777777" w:rsidR="00B30DDC" w:rsidRDefault="00B30DDC" w:rsidP="00B30DDC">
      <w:pPr>
        <w:pStyle w:val="Body"/>
        <w:jc w:val="both"/>
        <w:rPr>
          <w:noProof/>
        </w:rPr>
      </w:pPr>
      <w:r>
        <w:rPr>
          <w:noProof/>
        </w:rPr>
        <w:t>RSSB project T1132 will assess the technical and economic feasibility of possible options, before developing suitable supplementary container gauges for inclusion in the revised gauging standard (GERT8073). In turn, the outputs from this project should allow the freight community to respond to changing market demands, enhancing its competitiveness against other modes of transport.</w:t>
      </w:r>
    </w:p>
    <w:p w14:paraId="7618A948" w14:textId="77777777" w:rsidR="00B30DDC" w:rsidRPr="00AE61AA" w:rsidRDefault="00B30DDC" w:rsidP="00B30DDC">
      <w:pPr>
        <w:pStyle w:val="Body"/>
        <w:jc w:val="both"/>
        <w:rPr>
          <w:rFonts w:asciiTheme="minorHAnsi" w:hAnsiTheme="minorHAnsi" w:cstheme="minorHAnsi"/>
          <w:sz w:val="16"/>
        </w:rPr>
      </w:pPr>
    </w:p>
    <w:p w14:paraId="2B2314FC" w14:textId="77777777" w:rsidR="00B30DDC" w:rsidRDefault="00B30DDC" w:rsidP="00B30DDC">
      <w:pPr>
        <w:pStyle w:val="Heading1"/>
        <w:spacing w:after="0"/>
      </w:pPr>
      <w:r>
        <w:t>Overall Project Objectives</w:t>
      </w:r>
    </w:p>
    <w:p w14:paraId="7BE8DBB0" w14:textId="77777777" w:rsidR="00B30DDC" w:rsidRPr="00E411E9" w:rsidRDefault="00B30DDC" w:rsidP="00B30DDC">
      <w:pPr>
        <w:pStyle w:val="Body"/>
      </w:pPr>
    </w:p>
    <w:p w14:paraId="2F40EE78" w14:textId="77777777" w:rsidR="00B30DDC" w:rsidRDefault="00B30DDC" w:rsidP="00B30DDC">
      <w:pPr>
        <w:pStyle w:val="BodyIndent1"/>
        <w:ind w:left="0"/>
        <w:jc w:val="both"/>
      </w:pPr>
      <w:r>
        <w:t xml:space="preserve">The project aims to </w:t>
      </w:r>
      <w:bookmarkStart w:id="13" w:name="_Hlk520745761"/>
      <w:r>
        <w:t>create a set of supplementary freight container gauges</w:t>
      </w:r>
      <w:bookmarkEnd w:id="13"/>
      <w:r>
        <w:t xml:space="preserve"> that allow for the dynamic movements of all common bogie types, common box sizes and fastening systems, over a range of suitable deck heights and bogie centres. By assessing the technical and financial feasibility of the possible container gauge options, and then defining the supplementary container gauges, this project should provide </w:t>
      </w:r>
      <w:r>
        <w:rPr>
          <w:rFonts w:asciiTheme="minorHAnsi" w:hAnsiTheme="minorHAnsi"/>
        </w:rPr>
        <w:t xml:space="preserve">suitable options for incorporation into the revised </w:t>
      </w:r>
      <w:r>
        <w:t>GERT8073 and Network Rail’s Sectional Appendix. Thus, allowing the industry to seize more traffic opportunities in dynamic markets such as the short-sea and the domestic intermodal.</w:t>
      </w:r>
    </w:p>
    <w:p w14:paraId="69092B10" w14:textId="77777777" w:rsidR="00B30DDC" w:rsidRDefault="00B30DDC" w:rsidP="00B30DDC">
      <w:pPr>
        <w:pStyle w:val="Body"/>
        <w:jc w:val="both"/>
      </w:pPr>
      <w:r>
        <w:t>It is proposed that the aims of the project should be achieved using the Work Package structure detailed below</w:t>
      </w:r>
      <w:r>
        <w:rPr>
          <w:rStyle w:val="FootnoteReference"/>
        </w:rPr>
        <w:footnoteReference w:id="5"/>
      </w:r>
      <w:r>
        <w:t>. W</w:t>
      </w:r>
      <w:r w:rsidRPr="00243C64">
        <w:t>ork</w:t>
      </w:r>
      <w:r>
        <w:t xml:space="preserve"> P</w:t>
      </w:r>
      <w:r w:rsidRPr="00243C64">
        <w:t xml:space="preserve">ackage </w:t>
      </w:r>
      <w:r>
        <w:t xml:space="preserve">2.1 </w:t>
      </w:r>
      <w:r w:rsidRPr="00243C64">
        <w:t xml:space="preserve">requires the </w:t>
      </w:r>
      <w:r>
        <w:t>supplie</w:t>
      </w:r>
      <w:r w:rsidRPr="00243C64">
        <w:t xml:space="preserve">r to make an economic assessment of the gauges to identify the needs and potential benefits of creating supplementary gauges. Based on these findings the subsequent </w:t>
      </w:r>
      <w:r>
        <w:t>W</w:t>
      </w:r>
      <w:r w:rsidRPr="00243C64">
        <w:t>ork</w:t>
      </w:r>
      <w:r>
        <w:t xml:space="preserve"> P</w:t>
      </w:r>
      <w:r w:rsidRPr="00243C64">
        <w:t>a</w:t>
      </w:r>
      <w:r>
        <w:t>ck</w:t>
      </w:r>
      <w:r w:rsidRPr="00243C64">
        <w:t>age</w:t>
      </w:r>
      <w:r>
        <w:t xml:space="preserve"> (2.2)</w:t>
      </w:r>
      <w:r w:rsidRPr="00243C64">
        <w:t xml:space="preserve"> will develop those gauges that have a positive cost benefit case.</w:t>
      </w:r>
    </w:p>
    <w:p w14:paraId="1FC5EADE" w14:textId="77777777" w:rsidR="00B30DDC" w:rsidRDefault="00B30DDC" w:rsidP="00B30DDC">
      <w:pPr>
        <w:pStyle w:val="Body"/>
      </w:pPr>
    </w:p>
    <w:p w14:paraId="06D00943" w14:textId="77777777" w:rsidR="00B30DDC" w:rsidRDefault="00B30DDC" w:rsidP="00B30DDC">
      <w:pPr>
        <w:pStyle w:val="Heading2"/>
        <w:numPr>
          <w:ilvl w:val="0"/>
          <w:numId w:val="0"/>
        </w:numPr>
        <w:spacing w:after="0"/>
        <w:ind w:left="360" w:hanging="360"/>
      </w:pPr>
      <w:r w:rsidRPr="00372F31">
        <w:t>Work</w:t>
      </w:r>
      <w:r>
        <w:t xml:space="preserve"> Package 2.1 Objectives</w:t>
      </w:r>
    </w:p>
    <w:p w14:paraId="7600152C" w14:textId="77777777" w:rsidR="00B30DDC" w:rsidRDefault="00B30DDC" w:rsidP="00B30DDC">
      <w:pPr>
        <w:pStyle w:val="BodyIndent1"/>
        <w:ind w:left="0"/>
        <w:jc w:val="both"/>
        <w:rPr>
          <w:b/>
          <w:i/>
        </w:rPr>
      </w:pPr>
      <w:bookmarkStart w:id="14" w:name="_Hlk520807945"/>
      <w:r>
        <w:rPr>
          <w:b/>
          <w:i/>
        </w:rPr>
        <w:t>Evaluation</w:t>
      </w:r>
      <w:r w:rsidRPr="001B5B24">
        <w:rPr>
          <w:b/>
          <w:i/>
        </w:rPr>
        <w:t xml:space="preserve"> of</w:t>
      </w:r>
      <w:r>
        <w:rPr>
          <w:b/>
          <w:i/>
        </w:rPr>
        <w:t xml:space="preserve"> potential container </w:t>
      </w:r>
      <w:r w:rsidRPr="001B5B24">
        <w:rPr>
          <w:b/>
          <w:i/>
        </w:rPr>
        <w:t>gauge</w:t>
      </w:r>
      <w:bookmarkEnd w:id="14"/>
      <w:r>
        <w:rPr>
          <w:b/>
          <w:i/>
        </w:rPr>
        <w:t xml:space="preserve"> options</w:t>
      </w:r>
    </w:p>
    <w:p w14:paraId="7C391DE9" w14:textId="77777777" w:rsidR="00B30DDC" w:rsidRDefault="00B30DDC" w:rsidP="00B30DDC">
      <w:pPr>
        <w:pStyle w:val="Body"/>
        <w:jc w:val="both"/>
      </w:pPr>
      <w:r>
        <w:t xml:space="preserve">It is expected that suppliers will </w:t>
      </w:r>
      <w:bookmarkStart w:id="15" w:name="_Hlk520808003"/>
      <w:r>
        <w:t>evaluate the possible container gauge options that are feasible to implement and demonstrate a significant financial benefit to the industry. Evaluation of the identified container gauges is essential in order to determine the appropriate container gauges to develop.</w:t>
      </w:r>
    </w:p>
    <w:bookmarkEnd w:id="15"/>
    <w:p w14:paraId="363D6743" w14:textId="77777777" w:rsidR="00B30DDC" w:rsidRDefault="00B30DDC" w:rsidP="00B30DDC">
      <w:pPr>
        <w:pStyle w:val="Body"/>
        <w:jc w:val="both"/>
      </w:pPr>
      <w:r>
        <w:t>Work on each container gauge should include, but is not limited to:</w:t>
      </w:r>
    </w:p>
    <w:p w14:paraId="6CAF334E" w14:textId="77777777" w:rsidR="00B30DDC" w:rsidRDefault="00B30DDC" w:rsidP="00B30DDC">
      <w:pPr>
        <w:pStyle w:val="Body"/>
        <w:numPr>
          <w:ilvl w:val="0"/>
          <w:numId w:val="65"/>
        </w:numPr>
        <w:jc w:val="both"/>
      </w:pPr>
      <w:bookmarkStart w:id="16" w:name="_Hlk520808138"/>
      <w:r>
        <w:t>A workshop with key stakeholders within the industry to gain an understanding of their requirements from the potential container gauges. Follow-up at the end of WP2.1 would be beneficial to ensure that industry is aware of the potential changes.</w:t>
      </w:r>
    </w:p>
    <w:p w14:paraId="1850197F" w14:textId="77777777" w:rsidR="00B30DDC" w:rsidRDefault="00B30DDC" w:rsidP="00B30DDC">
      <w:pPr>
        <w:pStyle w:val="Body"/>
        <w:numPr>
          <w:ilvl w:val="0"/>
          <w:numId w:val="65"/>
        </w:numPr>
        <w:jc w:val="both"/>
      </w:pPr>
      <w:r>
        <w:lastRenderedPageBreak/>
        <w:t xml:space="preserve">An economic assessment of the current and potential demand from high-growth areas (e.g. short-sea and domestic swap body market). The assessment of each supplementary gauge should estimate </w:t>
      </w:r>
      <w:r w:rsidRPr="00C45886">
        <w:t xml:space="preserve">costs, benefits, </w:t>
      </w:r>
      <w:r>
        <w:t xml:space="preserve">and give a </w:t>
      </w:r>
      <w:r w:rsidRPr="00C45886">
        <w:t>consideration of</w:t>
      </w:r>
      <w:r>
        <w:t xml:space="preserve"> </w:t>
      </w:r>
      <w:r w:rsidRPr="00C45886">
        <w:t>estimated implementation timeframe</w:t>
      </w:r>
      <w:r>
        <w:t>s</w:t>
      </w:r>
      <w:r w:rsidRPr="00C45886">
        <w:t>.</w:t>
      </w:r>
    </w:p>
    <w:p w14:paraId="53EECED0" w14:textId="77777777" w:rsidR="00B30DDC" w:rsidRDefault="00B30DDC" w:rsidP="00B30DDC">
      <w:pPr>
        <w:pStyle w:val="Body"/>
        <w:numPr>
          <w:ilvl w:val="0"/>
          <w:numId w:val="65"/>
        </w:numPr>
        <w:jc w:val="both"/>
      </w:pPr>
      <w:r>
        <w:t>A technical feasibility study, including</w:t>
      </w:r>
    </w:p>
    <w:p w14:paraId="0B80EBD0" w14:textId="77777777" w:rsidR="00B30DDC" w:rsidRPr="003F2F33" w:rsidRDefault="00B30DDC" w:rsidP="00B30DDC">
      <w:pPr>
        <w:pStyle w:val="ListParagraph"/>
        <w:numPr>
          <w:ilvl w:val="1"/>
          <w:numId w:val="65"/>
        </w:numPr>
        <w:rPr>
          <w:rFonts w:ascii="Calibri" w:hAnsi="Calibri"/>
          <w:sz w:val="22"/>
          <w:szCs w:val="22"/>
        </w:rPr>
      </w:pPr>
      <w:r w:rsidRPr="003F2F33">
        <w:rPr>
          <w:rFonts w:ascii="Calibri" w:hAnsi="Calibri"/>
          <w:sz w:val="22"/>
          <w:szCs w:val="22"/>
        </w:rPr>
        <w:t>Defining the tallest practical container top corner to fit the 3990mm ARL set in the W6A gauge and/or to fit under the Overhead Line Equipment on electrified routes.</w:t>
      </w:r>
    </w:p>
    <w:p w14:paraId="6BE353C4" w14:textId="77777777" w:rsidR="00B30DDC" w:rsidRDefault="00B30DDC" w:rsidP="00B30DDC">
      <w:pPr>
        <w:pStyle w:val="Body"/>
        <w:numPr>
          <w:ilvl w:val="1"/>
          <w:numId w:val="65"/>
        </w:numPr>
        <w:jc w:val="both"/>
      </w:pPr>
      <w:r>
        <w:t>A comparison between the proposed supplementary container gauge(s)</w:t>
      </w:r>
      <w:r>
        <w:rPr>
          <w:rStyle w:val="FootnoteReference"/>
        </w:rPr>
        <w:footnoteReference w:id="6"/>
      </w:r>
      <w:r>
        <w:t xml:space="preserve"> and existing gauge(s). Similarity in size would mean that implementing the supplementary gauge(s) would likely be simpler.</w:t>
      </w:r>
    </w:p>
    <w:p w14:paraId="0B1171CE" w14:textId="77777777" w:rsidR="00B30DDC" w:rsidRDefault="00B30DDC" w:rsidP="00B30DDC">
      <w:pPr>
        <w:pStyle w:val="Body"/>
        <w:numPr>
          <w:ilvl w:val="1"/>
          <w:numId w:val="65"/>
        </w:numPr>
        <w:jc w:val="both"/>
      </w:pPr>
      <w:r>
        <w:t>A consideration of infrastructure on the routes that the existing standard gauge is cleared for.</w:t>
      </w:r>
    </w:p>
    <w:p w14:paraId="37479905" w14:textId="77777777" w:rsidR="00B30DDC" w:rsidRDefault="00B30DDC" w:rsidP="00B30DDC">
      <w:pPr>
        <w:pStyle w:val="Body"/>
        <w:numPr>
          <w:ilvl w:val="1"/>
          <w:numId w:val="65"/>
        </w:numPr>
        <w:jc w:val="both"/>
      </w:pPr>
      <w:r>
        <w:t>An assessment of the Load Unit/Wagon combinations, and a consideration of the lifespan of assets.</w:t>
      </w:r>
    </w:p>
    <w:bookmarkEnd w:id="16"/>
    <w:p w14:paraId="50C61C99" w14:textId="77777777" w:rsidR="00B30DDC" w:rsidRDefault="00B30DDC" w:rsidP="00B30DDC">
      <w:pPr>
        <w:pStyle w:val="Body"/>
        <w:jc w:val="both"/>
      </w:pPr>
      <w:r>
        <w:t xml:space="preserve">Based on the economic assessment and technical feasibility study, a subsequent review and comparison of each container gauge should be undertaken. Upon completion of Work Package 2.1, the most beneficial supplementary gauges will be developed. If the case arises whereby the assessment demonstrates little to no economic benefit to the freight community from any of the supplementary gauges, no further work will be required, and the project will </w:t>
      </w:r>
      <w:proofErr w:type="gramStart"/>
      <w:r>
        <w:t>come to a close</w:t>
      </w:r>
      <w:proofErr w:type="gramEnd"/>
      <w:r>
        <w:t>.</w:t>
      </w:r>
    </w:p>
    <w:p w14:paraId="5B43F3DF" w14:textId="77777777" w:rsidR="00B30DDC" w:rsidRDefault="00B30DDC" w:rsidP="00B30DDC">
      <w:pPr>
        <w:pStyle w:val="Body"/>
        <w:jc w:val="both"/>
      </w:pPr>
    </w:p>
    <w:p w14:paraId="58EF8721" w14:textId="77777777" w:rsidR="00B30DDC" w:rsidRDefault="00B30DDC" w:rsidP="00B30DDC">
      <w:pPr>
        <w:pStyle w:val="Heading2"/>
        <w:numPr>
          <w:ilvl w:val="0"/>
          <w:numId w:val="0"/>
        </w:numPr>
        <w:spacing w:after="0"/>
      </w:pPr>
      <w:r>
        <w:t>Work Package 2.2 Objectives</w:t>
      </w:r>
    </w:p>
    <w:p w14:paraId="781FE403" w14:textId="77777777" w:rsidR="00B30DDC" w:rsidRDefault="00B30DDC" w:rsidP="00B30DDC">
      <w:pPr>
        <w:pStyle w:val="Body"/>
        <w:rPr>
          <w:b/>
          <w:i/>
        </w:rPr>
      </w:pPr>
      <w:r>
        <w:rPr>
          <w:b/>
          <w:i/>
        </w:rPr>
        <w:t>D</w:t>
      </w:r>
      <w:bookmarkStart w:id="17" w:name="_Hlk520808191"/>
      <w:r>
        <w:rPr>
          <w:b/>
          <w:i/>
        </w:rPr>
        <w:t>evelopment</w:t>
      </w:r>
      <w:r w:rsidRPr="00001DA5">
        <w:rPr>
          <w:b/>
          <w:i/>
        </w:rPr>
        <w:t xml:space="preserve"> of the optimised </w:t>
      </w:r>
      <w:r>
        <w:rPr>
          <w:b/>
          <w:i/>
        </w:rPr>
        <w:t xml:space="preserve">‘supplementary’ </w:t>
      </w:r>
      <w:r w:rsidRPr="00001DA5">
        <w:rPr>
          <w:b/>
          <w:i/>
        </w:rPr>
        <w:t>gauge profiles</w:t>
      </w:r>
    </w:p>
    <w:p w14:paraId="7A7B3DEC" w14:textId="77777777" w:rsidR="00B30DDC" w:rsidRDefault="00B30DDC" w:rsidP="00B30DDC">
      <w:pPr>
        <w:pStyle w:val="Body"/>
        <w:jc w:val="both"/>
      </w:pPr>
      <w:bookmarkStart w:id="18" w:name="_Hlk520808302"/>
      <w:bookmarkEnd w:id="17"/>
      <w:r>
        <w:t>This Work Package will take the findings from WP 2.1 in order to define the beneficial supplementary container gauges. This should include, but is not limited to:</w:t>
      </w:r>
    </w:p>
    <w:p w14:paraId="65038A3B" w14:textId="77777777" w:rsidR="00B30DDC" w:rsidRDefault="00B30DDC" w:rsidP="00B30DDC">
      <w:pPr>
        <w:pStyle w:val="Body"/>
        <w:numPr>
          <w:ilvl w:val="0"/>
          <w:numId w:val="60"/>
        </w:numPr>
        <w:jc w:val="both"/>
      </w:pPr>
      <w:r>
        <w:t xml:space="preserve">Defining an </w:t>
      </w:r>
      <w:proofErr w:type="gramStart"/>
      <w:r>
        <w:t>appropriate criteria</w:t>
      </w:r>
      <w:proofErr w:type="gramEnd"/>
      <w:r>
        <w:t xml:space="preserve"> for the optimisation of the supplementary gauges.</w:t>
      </w:r>
    </w:p>
    <w:p w14:paraId="53DAF13E" w14:textId="77777777" w:rsidR="00B30DDC" w:rsidRDefault="00B30DDC" w:rsidP="00B30DDC">
      <w:pPr>
        <w:pStyle w:val="Body"/>
        <w:numPr>
          <w:ilvl w:val="0"/>
          <w:numId w:val="60"/>
        </w:numPr>
        <w:jc w:val="both"/>
      </w:pPr>
      <w:r>
        <w:t>Modelling the supplementary container gauges in the RSSB J Table spreadsheet to determine the sizes of Load Units available</w:t>
      </w:r>
    </w:p>
    <w:p w14:paraId="1165C260" w14:textId="77777777" w:rsidR="00B30DDC" w:rsidRDefault="00B30DDC" w:rsidP="00B30DDC">
      <w:pPr>
        <w:pStyle w:val="Body"/>
        <w:numPr>
          <w:ilvl w:val="0"/>
          <w:numId w:val="60"/>
        </w:numPr>
        <w:jc w:val="both"/>
      </w:pPr>
      <w:r>
        <w:t>Confirming the viability through modelling the container gauges through the infrastructure on the routes that the existing standard gauge is cleared for.</w:t>
      </w:r>
      <w:r w:rsidRPr="00804D64">
        <w:t xml:space="preserve"> </w:t>
      </w:r>
      <w:r>
        <w:t xml:space="preserve">In order to ensure the viability of the container gauges, it is anticipated that there will be </w:t>
      </w:r>
      <w:proofErr w:type="gramStart"/>
      <w:r>
        <w:t>a large number of</w:t>
      </w:r>
      <w:proofErr w:type="gramEnd"/>
      <w:r>
        <w:t xml:space="preserve"> structures that would need to be cleared. Therefore, it is likely that some iteration of the defined container gauges would be required at this stage. – Exploring optimal trade-off between being able to transport the most amount of container combinations and maximising the route capability.</w:t>
      </w:r>
    </w:p>
    <w:p w14:paraId="07DE911B" w14:textId="77777777" w:rsidR="00B30DDC" w:rsidRDefault="00B30DDC" w:rsidP="00B30DDC">
      <w:pPr>
        <w:pStyle w:val="Body"/>
        <w:numPr>
          <w:ilvl w:val="0"/>
          <w:numId w:val="60"/>
        </w:numPr>
        <w:jc w:val="both"/>
      </w:pPr>
      <w:r>
        <w:lastRenderedPageBreak/>
        <w:t>Proposing the text for inclusion in GERT8073, eventually leading to publication in the Sectional Appendix.</w:t>
      </w:r>
      <w:bookmarkEnd w:id="18"/>
    </w:p>
    <w:p w14:paraId="00715D14" w14:textId="77777777" w:rsidR="00B30DDC" w:rsidRDefault="00B30DDC" w:rsidP="00B30DDC">
      <w:pPr>
        <w:pStyle w:val="Body"/>
      </w:pPr>
    </w:p>
    <w:p w14:paraId="180C7873" w14:textId="77777777" w:rsidR="00B30DDC" w:rsidRDefault="00B30DDC" w:rsidP="00B30DDC">
      <w:pPr>
        <w:pStyle w:val="Heading1"/>
        <w:spacing w:after="0"/>
      </w:pPr>
      <w:r>
        <w:t>Phasing</w:t>
      </w:r>
    </w:p>
    <w:p w14:paraId="31757F63" w14:textId="77777777" w:rsidR="00B30DDC" w:rsidRPr="00E411E9" w:rsidRDefault="00B30DDC" w:rsidP="00B30DDC">
      <w:pPr>
        <w:pStyle w:val="Body"/>
      </w:pPr>
    </w:p>
    <w:p w14:paraId="03A4D35F" w14:textId="77777777" w:rsidR="00B30DDC" w:rsidRPr="00842B5D" w:rsidRDefault="00B30DDC" w:rsidP="00B30DDC">
      <w:pPr>
        <w:pStyle w:val="Body"/>
        <w:jc w:val="both"/>
      </w:pPr>
      <w:bookmarkStart w:id="19" w:name="_Hlk518550163"/>
      <w:r w:rsidRPr="00C14AC1">
        <w:t xml:space="preserve">The project should be completed by </w:t>
      </w:r>
      <w:r>
        <w:t>October</w:t>
      </w:r>
      <w:r w:rsidRPr="00C14AC1">
        <w:t xml:space="preserve"> 2019 to ensure that the </w:t>
      </w:r>
      <w:r>
        <w:t>supplementary</w:t>
      </w:r>
      <w:r w:rsidRPr="00C14AC1">
        <w:t xml:space="preserve"> Gauges will be </w:t>
      </w:r>
      <w:r w:rsidRPr="00842B5D">
        <w:t>included in GERT8073 by the end of 2020. A report and presentation of the findings associated with Work Package 2.1 should be delivered by February 2019 to key stakeholders; however, suppliers may propose a different interim deadline which may be considered. This deliverable is expected to encompass the following:</w:t>
      </w:r>
    </w:p>
    <w:p w14:paraId="654D8989" w14:textId="77777777" w:rsidR="00B30DDC" w:rsidRPr="00842B5D" w:rsidRDefault="00B30DDC" w:rsidP="00B30DDC">
      <w:pPr>
        <w:pStyle w:val="Body"/>
        <w:numPr>
          <w:ilvl w:val="0"/>
          <w:numId w:val="63"/>
        </w:numPr>
        <w:jc w:val="both"/>
      </w:pPr>
      <w:r w:rsidRPr="00842B5D">
        <w:t xml:space="preserve">Presentation of Work Package 2.1 findings </w:t>
      </w:r>
    </w:p>
    <w:p w14:paraId="6AA240CB" w14:textId="77777777" w:rsidR="00B30DDC" w:rsidRDefault="00B30DDC" w:rsidP="00B30DDC">
      <w:pPr>
        <w:pStyle w:val="Body"/>
        <w:numPr>
          <w:ilvl w:val="0"/>
          <w:numId w:val="63"/>
        </w:numPr>
        <w:spacing w:after="0"/>
        <w:jc w:val="both"/>
      </w:pPr>
      <w:r>
        <w:t>Delivery of report outlining key findings (above), in addition to methodology and reasoning behind approach</w:t>
      </w:r>
    </w:p>
    <w:p w14:paraId="6D9CA32E" w14:textId="77777777" w:rsidR="00B30DDC" w:rsidRDefault="00B30DDC" w:rsidP="00B30DDC">
      <w:pPr>
        <w:pStyle w:val="Body"/>
        <w:spacing w:after="0"/>
        <w:jc w:val="both"/>
      </w:pPr>
    </w:p>
    <w:p w14:paraId="2D2D0A15" w14:textId="77777777" w:rsidR="00B30DDC" w:rsidRDefault="00B30DDC" w:rsidP="00B30DDC">
      <w:pPr>
        <w:pStyle w:val="Body"/>
        <w:spacing w:after="0"/>
        <w:jc w:val="both"/>
      </w:pPr>
      <w:r>
        <w:t xml:space="preserve">Through frequent communication and coordination during the project, the outcome should eventually lead to supplementary gauges that the industry can agree upon. Upon completion of the project, the current Standard Gauges must remain in GERT8073 whilst they continue to be required for freight </w:t>
      </w:r>
      <w:proofErr w:type="gramStart"/>
      <w:r>
        <w:t>traffic..</w:t>
      </w:r>
      <w:proofErr w:type="gramEnd"/>
      <w:r>
        <w:t xml:space="preserve"> </w:t>
      </w:r>
    </w:p>
    <w:p w14:paraId="33E89089" w14:textId="77777777" w:rsidR="00B30DDC" w:rsidRDefault="00B30DDC" w:rsidP="00B30DDC">
      <w:pPr>
        <w:pStyle w:val="BodyIndent1"/>
        <w:spacing w:after="0"/>
        <w:ind w:left="0"/>
        <w:jc w:val="both"/>
      </w:pPr>
    </w:p>
    <w:p w14:paraId="7BFDA77D" w14:textId="77777777" w:rsidR="00B30DDC" w:rsidRDefault="00B30DDC" w:rsidP="00B30DDC">
      <w:pPr>
        <w:pStyle w:val="BodyIndent1"/>
        <w:ind w:left="0"/>
        <w:jc w:val="both"/>
      </w:pPr>
      <w:r w:rsidRPr="00B90DA0">
        <w:t xml:space="preserve">Success </w:t>
      </w:r>
      <w:r>
        <w:t>at the end of the project will be:</w:t>
      </w:r>
    </w:p>
    <w:bookmarkEnd w:id="19"/>
    <w:p w14:paraId="4D0F70CD" w14:textId="77777777" w:rsidR="00B30DDC" w:rsidRDefault="00B30DDC" w:rsidP="00B30DDC">
      <w:pPr>
        <w:pStyle w:val="Bullet1"/>
        <w:ind w:left="227" w:hanging="227"/>
        <w:jc w:val="both"/>
      </w:pPr>
      <w:r>
        <w:t>Several supplementary container gauges that define the dynamic envelope of freight wagons (of different deck heights) running on a range of bogies including track-friendly types. The material will be presented in a manner that is immediately appropriate for incorporation into GERT8073. Inclusion of the supplementary container gauges in the Sectional Appendix can be achieved via engagement with Network Rail throughout the project.</w:t>
      </w:r>
    </w:p>
    <w:p w14:paraId="64675531" w14:textId="77777777" w:rsidR="00B30DDC" w:rsidRPr="00C14AC1" w:rsidRDefault="00B30DDC" w:rsidP="00B30DDC">
      <w:pPr>
        <w:pStyle w:val="Bullet1"/>
        <w:ind w:left="227" w:hanging="227"/>
        <w:jc w:val="both"/>
      </w:pPr>
      <w:r>
        <w:t xml:space="preserve">A comprehensive economic assessment of the potential financial benefits to freight </w:t>
      </w:r>
      <w:r w:rsidRPr="00C14AC1">
        <w:t>operators of the new gauges.</w:t>
      </w:r>
    </w:p>
    <w:p w14:paraId="6B3C2824" w14:textId="77777777" w:rsidR="00B30DDC" w:rsidRPr="00E411E9" w:rsidRDefault="00B30DDC" w:rsidP="00B30DDC">
      <w:pPr>
        <w:pStyle w:val="Bullet1"/>
        <w:ind w:left="227" w:hanging="227"/>
        <w:jc w:val="both"/>
      </w:pPr>
      <w:r w:rsidRPr="00C14AC1">
        <w:t xml:space="preserve">A compelling presentation, aimed at </w:t>
      </w:r>
      <w:r>
        <w:t xml:space="preserve">Freight Operating Company (FOC) </w:t>
      </w:r>
      <w:r w:rsidRPr="00C14AC1">
        <w:t xml:space="preserve">decision-makers, detailing the quantified technical and economic advantages of the proposed </w:t>
      </w:r>
      <w:r>
        <w:t>supplementary</w:t>
      </w:r>
      <w:r w:rsidRPr="00C14AC1">
        <w:t xml:space="preserve"> gauges.</w:t>
      </w:r>
    </w:p>
    <w:p w14:paraId="7DDCEA21" w14:textId="77777777" w:rsidR="00B30DDC" w:rsidRDefault="00B30DDC" w:rsidP="00B30DDC">
      <w:pPr>
        <w:pStyle w:val="Heading1"/>
        <w:numPr>
          <w:ilvl w:val="0"/>
          <w:numId w:val="0"/>
        </w:numPr>
        <w:spacing w:after="0"/>
      </w:pPr>
      <w:r w:rsidRPr="008C6A3B">
        <w:t>Scope</w:t>
      </w:r>
    </w:p>
    <w:p w14:paraId="1F0EFA56" w14:textId="77777777" w:rsidR="00B30DDC" w:rsidRPr="00E411E9" w:rsidRDefault="00B30DDC" w:rsidP="00B30DDC">
      <w:pPr>
        <w:pStyle w:val="Body"/>
      </w:pPr>
    </w:p>
    <w:tbl>
      <w:tblPr>
        <w:tblStyle w:val="TableGrid"/>
        <w:tblW w:w="7938" w:type="dxa"/>
        <w:tblInd w:w="-5" w:type="dxa"/>
        <w:tblLook w:val="04A0" w:firstRow="1" w:lastRow="0" w:firstColumn="1" w:lastColumn="0" w:noHBand="0" w:noVBand="1"/>
      </w:tblPr>
      <w:tblGrid>
        <w:gridCol w:w="3969"/>
        <w:gridCol w:w="3969"/>
      </w:tblGrid>
      <w:tr w:rsidR="00B30DDC" w14:paraId="2D596313" w14:textId="77777777" w:rsidTr="00574572">
        <w:tc>
          <w:tcPr>
            <w:tcW w:w="3969" w:type="dxa"/>
            <w:shd w:val="clear" w:color="auto" w:fill="99CC00"/>
            <w:vAlign w:val="center"/>
          </w:tcPr>
          <w:p w14:paraId="1CA682F2" w14:textId="77777777" w:rsidR="00B30DDC" w:rsidRPr="007617B6" w:rsidRDefault="00B30DDC" w:rsidP="00574572">
            <w:pPr>
              <w:pStyle w:val="BodyIndent1"/>
              <w:ind w:left="0"/>
              <w:jc w:val="center"/>
              <w:rPr>
                <w:b/>
              </w:rPr>
            </w:pPr>
            <w:r w:rsidRPr="007617B6">
              <w:rPr>
                <w:b/>
              </w:rPr>
              <w:t>In scope</w:t>
            </w:r>
          </w:p>
        </w:tc>
        <w:tc>
          <w:tcPr>
            <w:tcW w:w="3969" w:type="dxa"/>
            <w:shd w:val="clear" w:color="auto" w:fill="99CC00"/>
            <w:vAlign w:val="center"/>
          </w:tcPr>
          <w:p w14:paraId="3AFA3F41" w14:textId="77777777" w:rsidR="00B30DDC" w:rsidRPr="007617B6" w:rsidRDefault="00B30DDC" w:rsidP="00574572">
            <w:pPr>
              <w:pStyle w:val="BodyIndent1"/>
              <w:ind w:left="0"/>
              <w:jc w:val="center"/>
              <w:rPr>
                <w:b/>
              </w:rPr>
            </w:pPr>
            <w:r w:rsidRPr="007617B6">
              <w:rPr>
                <w:b/>
              </w:rPr>
              <w:t>Out of scope</w:t>
            </w:r>
          </w:p>
        </w:tc>
      </w:tr>
      <w:tr w:rsidR="00B30DDC" w14:paraId="770049C9" w14:textId="77777777" w:rsidTr="00574572">
        <w:tc>
          <w:tcPr>
            <w:tcW w:w="3969" w:type="dxa"/>
          </w:tcPr>
          <w:p w14:paraId="593AAE29" w14:textId="77777777" w:rsidR="00B30DDC" w:rsidRDefault="00B30DDC" w:rsidP="00B30DDC">
            <w:pPr>
              <w:pStyle w:val="Bullet1"/>
              <w:ind w:left="227" w:hanging="227"/>
            </w:pPr>
            <w:r>
              <w:t>Freight traffic and operators</w:t>
            </w:r>
          </w:p>
          <w:p w14:paraId="3B384811" w14:textId="77777777" w:rsidR="00B30DDC" w:rsidRDefault="00B30DDC" w:rsidP="00B30DDC">
            <w:pPr>
              <w:pStyle w:val="Bullet1"/>
              <w:ind w:left="227" w:hanging="227"/>
            </w:pPr>
            <w:r>
              <w:t xml:space="preserve">Current standard container sizes and </w:t>
            </w:r>
            <w:proofErr w:type="spellStart"/>
            <w:r>
              <w:t>swapbodies</w:t>
            </w:r>
            <w:proofErr w:type="spellEnd"/>
          </w:p>
          <w:p w14:paraId="79318099" w14:textId="77777777" w:rsidR="00B30DDC" w:rsidRDefault="00B30DDC" w:rsidP="00B30DDC">
            <w:pPr>
              <w:pStyle w:val="Bullet1"/>
              <w:ind w:left="227" w:hanging="227"/>
            </w:pPr>
            <w:r>
              <w:t>Refinement of existing freight gauges</w:t>
            </w:r>
          </w:p>
          <w:p w14:paraId="7B1F7845" w14:textId="77777777" w:rsidR="00B30DDC" w:rsidRDefault="00B30DDC" w:rsidP="00B30DDC">
            <w:pPr>
              <w:pStyle w:val="Bullet1"/>
              <w:ind w:left="227" w:hanging="227"/>
            </w:pPr>
            <w:r>
              <w:t>All current suspension/bogie types</w:t>
            </w:r>
          </w:p>
          <w:p w14:paraId="0155F7AA" w14:textId="77777777" w:rsidR="00B30DDC" w:rsidRPr="004E0FFB" w:rsidRDefault="00B30DDC" w:rsidP="00B30DDC">
            <w:pPr>
              <w:pStyle w:val="Bullet1"/>
              <w:ind w:left="227" w:hanging="227"/>
            </w:pPr>
            <w:r>
              <w:lastRenderedPageBreak/>
              <w:t>15-year time horizon for freight demand</w:t>
            </w:r>
          </w:p>
        </w:tc>
        <w:tc>
          <w:tcPr>
            <w:tcW w:w="3969" w:type="dxa"/>
          </w:tcPr>
          <w:p w14:paraId="5A0AED54" w14:textId="77777777" w:rsidR="00B30DDC" w:rsidRDefault="00B30DDC" w:rsidP="00B30DDC">
            <w:pPr>
              <w:pStyle w:val="Bullet1"/>
              <w:ind w:left="227" w:hanging="227"/>
            </w:pPr>
            <w:r>
              <w:lastRenderedPageBreak/>
              <w:t>Passenger traffic and operators</w:t>
            </w:r>
          </w:p>
          <w:p w14:paraId="703F8EAC" w14:textId="77777777" w:rsidR="00B30DDC" w:rsidRDefault="00B30DDC" w:rsidP="00B30DDC">
            <w:pPr>
              <w:pStyle w:val="Bullet1"/>
              <w:ind w:left="227" w:hanging="227"/>
            </w:pPr>
            <w:r>
              <w:t xml:space="preserve">Consideration of the Lower Sector Vehicle Gauge </w:t>
            </w:r>
          </w:p>
          <w:p w14:paraId="51515C03" w14:textId="77777777" w:rsidR="00B30DDC" w:rsidRDefault="00B30DDC" w:rsidP="00B30DDC">
            <w:pPr>
              <w:pStyle w:val="Bullet1"/>
              <w:ind w:left="227" w:hanging="227"/>
            </w:pPr>
            <w:r>
              <w:t>Development of new gauge(s)</w:t>
            </w:r>
          </w:p>
          <w:p w14:paraId="3943BEED" w14:textId="77777777" w:rsidR="00B30DDC" w:rsidRDefault="00B30DDC" w:rsidP="00B30DDC">
            <w:pPr>
              <w:pStyle w:val="Bullet1"/>
              <w:ind w:left="227" w:hanging="227"/>
            </w:pPr>
            <w:r>
              <w:t>Consideration of novel bogies</w:t>
            </w:r>
          </w:p>
        </w:tc>
      </w:tr>
    </w:tbl>
    <w:p w14:paraId="611B8CFE" w14:textId="77777777" w:rsidR="00B30DDC" w:rsidRPr="00BD6778" w:rsidRDefault="00B30DDC" w:rsidP="00B30DDC">
      <w:pPr>
        <w:pStyle w:val="Body"/>
      </w:pPr>
    </w:p>
    <w:p w14:paraId="78FCD88B" w14:textId="77777777" w:rsidR="00B30DDC" w:rsidRDefault="00B30DDC" w:rsidP="00B30DDC">
      <w:pPr>
        <w:pStyle w:val="Heading1"/>
        <w:numPr>
          <w:ilvl w:val="0"/>
          <w:numId w:val="0"/>
        </w:numPr>
        <w:spacing w:after="0"/>
      </w:pPr>
      <w:r>
        <w:t>Methodology</w:t>
      </w:r>
    </w:p>
    <w:p w14:paraId="170C3865" w14:textId="77777777" w:rsidR="00B30DDC" w:rsidRPr="00E411E9" w:rsidRDefault="00B30DDC" w:rsidP="00B30DDC">
      <w:pPr>
        <w:pStyle w:val="Body"/>
      </w:pPr>
    </w:p>
    <w:p w14:paraId="4ADC43BF" w14:textId="77777777" w:rsidR="00B30DDC" w:rsidRDefault="00B30DDC" w:rsidP="00B30DDC">
      <w:pPr>
        <w:jc w:val="both"/>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expected to develop and explain the methodology that they are intending to use to successfully meet the project objectives and cover the scope. This includes clarity on risks and mitigations, with reference to those that could impact the delivery timeframe. We welcome suppliers to consider where additional value can be provided beyond the outlined objectives and scope. They can draw on lessons learnt from previous research</w:t>
      </w:r>
      <w:r w:rsidRPr="00E4115B">
        <w:rPr>
          <w:rFonts w:ascii="Calibri" w:hAnsi="Calibri" w:cs="Arial"/>
          <w:lang w:eastAsia="en-GB"/>
        </w:rPr>
        <w:t>.</w:t>
      </w:r>
    </w:p>
    <w:p w14:paraId="7F1FD40B" w14:textId="77777777" w:rsidR="00B30DDC" w:rsidRDefault="00B30DDC" w:rsidP="00B30DDC">
      <w:pPr>
        <w:jc w:val="both"/>
        <w:rPr>
          <w:rFonts w:ascii="Calibri" w:hAnsi="Calibri" w:cs="Arial"/>
          <w:lang w:eastAsia="en-GB"/>
        </w:rPr>
      </w:pPr>
      <w:r>
        <w:rPr>
          <w:rFonts w:ascii="Calibri" w:hAnsi="Calibri" w:cs="Arial"/>
          <w:lang w:eastAsia="en-GB"/>
        </w:rPr>
        <w:t>It is likely that the work will involve the following activities:</w:t>
      </w:r>
    </w:p>
    <w:p w14:paraId="0316AC27" w14:textId="77777777" w:rsidR="00B30DDC" w:rsidRPr="00DF5232" w:rsidRDefault="00B30DDC" w:rsidP="00B30DDC">
      <w:pPr>
        <w:pStyle w:val="ListParagraph"/>
        <w:numPr>
          <w:ilvl w:val="0"/>
          <w:numId w:val="59"/>
        </w:numPr>
        <w:spacing w:line="300" w:lineRule="exact"/>
        <w:jc w:val="both"/>
        <w:rPr>
          <w:rFonts w:ascii="Calibri" w:hAnsi="Calibri"/>
          <w:sz w:val="22"/>
        </w:rPr>
      </w:pPr>
      <w:r w:rsidRPr="00DF5232">
        <w:rPr>
          <w:rFonts w:ascii="Calibri" w:hAnsi="Calibri"/>
          <w:sz w:val="22"/>
        </w:rPr>
        <w:t>Validation process whereby the appropriateness of the selected gauges would be verified</w:t>
      </w:r>
    </w:p>
    <w:p w14:paraId="17D6F4EA" w14:textId="77777777" w:rsidR="00B30DDC" w:rsidRPr="00DF5232" w:rsidRDefault="00B30DDC" w:rsidP="00B30DDC">
      <w:pPr>
        <w:pStyle w:val="ListParagraph"/>
        <w:numPr>
          <w:ilvl w:val="0"/>
          <w:numId w:val="59"/>
        </w:numPr>
        <w:spacing w:after="120" w:line="300" w:lineRule="exact"/>
        <w:jc w:val="both"/>
        <w:rPr>
          <w:rFonts w:ascii="Calibri" w:hAnsi="Calibri"/>
          <w:sz w:val="22"/>
        </w:rPr>
      </w:pPr>
      <w:r w:rsidRPr="00DF5232">
        <w:rPr>
          <w:rFonts w:ascii="Calibri" w:hAnsi="Calibri"/>
          <w:sz w:val="22"/>
        </w:rPr>
        <w:t>Determination of optimised gauge profiles and creation of the modified gauges</w:t>
      </w:r>
    </w:p>
    <w:p w14:paraId="2C7E76F3" w14:textId="77777777" w:rsidR="00B30DDC" w:rsidRDefault="00B30DDC" w:rsidP="00B30DDC">
      <w:pPr>
        <w:rPr>
          <w:rFonts w:ascii="Calibri" w:hAnsi="Calibri" w:cs="Arial"/>
          <w:lang w:eastAsia="en-GB"/>
        </w:rPr>
      </w:pPr>
    </w:p>
    <w:p w14:paraId="0AA60CC4" w14:textId="77777777" w:rsidR="00B30DDC" w:rsidRDefault="00B30DDC" w:rsidP="00B30DDC">
      <w:pPr>
        <w:rPr>
          <w:rFonts w:ascii="Calibri" w:hAnsi="Calibri" w:cs="Arial"/>
          <w:color w:val="00968E"/>
          <w:sz w:val="36"/>
          <w:lang w:eastAsia="en-GB"/>
        </w:rPr>
      </w:pPr>
      <w:r>
        <w:br w:type="page"/>
      </w:r>
    </w:p>
    <w:p w14:paraId="1F446F6E" w14:textId="77777777" w:rsidR="00B30DDC" w:rsidRDefault="00B30DDC" w:rsidP="00B30DDC">
      <w:pPr>
        <w:pStyle w:val="Heading1"/>
        <w:spacing w:after="0"/>
      </w:pPr>
      <w:r>
        <w:lastRenderedPageBreak/>
        <w:t>Deliverables</w:t>
      </w:r>
    </w:p>
    <w:p w14:paraId="1F739998" w14:textId="77777777" w:rsidR="00B30DDC" w:rsidRPr="00E411E9" w:rsidRDefault="00B30DDC" w:rsidP="00B30DDC">
      <w:pPr>
        <w:pStyle w:val="Body"/>
      </w:pPr>
    </w:p>
    <w:p w14:paraId="30D80C66" w14:textId="77777777" w:rsidR="00B30DDC" w:rsidRPr="002B11D7" w:rsidRDefault="00B30DDC" w:rsidP="00B30DDC">
      <w:pPr>
        <w:pStyle w:val="Body"/>
        <w:jc w:val="both"/>
      </w:pPr>
      <w:r>
        <w:t>All deliverables must</w:t>
      </w:r>
      <w:r w:rsidRPr="008164E3">
        <w:t xml:space="preserve"> use an RSSB template and </w:t>
      </w:r>
      <w:r>
        <w:t xml:space="preserve">will </w:t>
      </w:r>
      <w:r w:rsidRPr="008164E3">
        <w:t xml:space="preserve">be publicly available to RSSB members </w:t>
      </w:r>
      <w:r>
        <w:t>online via SPARK.</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B30DDC" w14:paraId="4D40D13B" w14:textId="77777777" w:rsidTr="00574572">
        <w:trPr>
          <w:cantSplit/>
        </w:trPr>
        <w:tc>
          <w:tcPr>
            <w:tcW w:w="5307" w:type="dxa"/>
            <w:shd w:val="clear" w:color="auto" w:fill="99CC00"/>
          </w:tcPr>
          <w:p w14:paraId="6B607706" w14:textId="77777777" w:rsidR="00B30DDC" w:rsidRDefault="00B30DDC" w:rsidP="00574572">
            <w:pPr>
              <w:pStyle w:val="BodyIndent1"/>
              <w:rPr>
                <w:b/>
              </w:rPr>
            </w:pPr>
            <w:r>
              <w:rPr>
                <w:b/>
              </w:rPr>
              <w:t>Deliverable Name</w:t>
            </w:r>
          </w:p>
        </w:tc>
        <w:tc>
          <w:tcPr>
            <w:tcW w:w="2694" w:type="dxa"/>
            <w:shd w:val="clear" w:color="auto" w:fill="99CC00"/>
          </w:tcPr>
          <w:p w14:paraId="6EC31671" w14:textId="77777777" w:rsidR="00B30DDC" w:rsidRDefault="00B30DDC" w:rsidP="00574572">
            <w:pPr>
              <w:pStyle w:val="BodyIndent1"/>
              <w:rPr>
                <w:b/>
              </w:rPr>
            </w:pPr>
            <w:r>
              <w:rPr>
                <w:b/>
              </w:rPr>
              <w:t>Type</w:t>
            </w:r>
          </w:p>
        </w:tc>
      </w:tr>
      <w:tr w:rsidR="00B30DDC" w14:paraId="4728E3ED" w14:textId="77777777" w:rsidTr="00574572">
        <w:trPr>
          <w:cantSplit/>
          <w:tblHeader/>
        </w:trPr>
        <w:tc>
          <w:tcPr>
            <w:tcW w:w="5307" w:type="dxa"/>
            <w:shd w:val="clear" w:color="auto" w:fill="FFFFFF"/>
          </w:tcPr>
          <w:p w14:paraId="4AA798BA" w14:textId="77777777" w:rsidR="00B30DDC" w:rsidRDefault="00B30DDC" w:rsidP="00574572">
            <w:pPr>
              <w:pStyle w:val="BodyIndent1"/>
            </w:pPr>
            <w:r>
              <w:t>Gauging Analysis</w:t>
            </w:r>
          </w:p>
        </w:tc>
        <w:tc>
          <w:tcPr>
            <w:tcW w:w="2694" w:type="dxa"/>
            <w:shd w:val="clear" w:color="auto" w:fill="FFFFFF"/>
          </w:tcPr>
          <w:p w14:paraId="1A9AFEAD" w14:textId="77777777" w:rsidR="00B30DDC" w:rsidRDefault="00B30DDC" w:rsidP="00574572">
            <w:pPr>
              <w:pStyle w:val="BodyIndent1"/>
            </w:pPr>
            <w:r>
              <w:t>Report</w:t>
            </w:r>
          </w:p>
        </w:tc>
      </w:tr>
      <w:tr w:rsidR="00B30DDC" w:rsidRPr="0057078B" w14:paraId="151C6E8B" w14:textId="77777777" w:rsidTr="00574572">
        <w:trPr>
          <w:cantSplit/>
          <w:tblHeader/>
        </w:trPr>
        <w:tc>
          <w:tcPr>
            <w:tcW w:w="8001" w:type="dxa"/>
            <w:gridSpan w:val="2"/>
            <w:shd w:val="clear" w:color="auto" w:fill="99CC00"/>
          </w:tcPr>
          <w:p w14:paraId="06BCD3F7" w14:textId="77777777" w:rsidR="00B30DDC" w:rsidRPr="0057078B" w:rsidRDefault="00B30DDC" w:rsidP="00574572">
            <w:pPr>
              <w:pStyle w:val="BodyIndent1"/>
              <w:rPr>
                <w:b/>
              </w:rPr>
            </w:pPr>
            <w:r w:rsidRPr="0057078B">
              <w:rPr>
                <w:b/>
              </w:rPr>
              <w:t>Description</w:t>
            </w:r>
          </w:p>
        </w:tc>
      </w:tr>
      <w:tr w:rsidR="00B30DDC" w:rsidRPr="00887F90" w14:paraId="574DAE97" w14:textId="77777777" w:rsidTr="00574572">
        <w:trPr>
          <w:cantSplit/>
          <w:tblHeader/>
        </w:trPr>
        <w:tc>
          <w:tcPr>
            <w:tcW w:w="8001" w:type="dxa"/>
            <w:gridSpan w:val="2"/>
            <w:shd w:val="clear" w:color="auto" w:fill="FFFFFF"/>
          </w:tcPr>
          <w:p w14:paraId="7EC98CBB" w14:textId="77777777" w:rsidR="00B30DDC" w:rsidRDefault="00B30DDC" w:rsidP="00574572">
            <w:pPr>
              <w:pStyle w:val="BodyIndent1"/>
              <w:jc w:val="both"/>
              <w:rPr>
                <w:strike/>
              </w:rPr>
            </w:pPr>
            <w:r>
              <w:t xml:space="preserve">This report describes the background to the research, the methods used, and the project findings. </w:t>
            </w:r>
          </w:p>
          <w:p w14:paraId="1528D1A8" w14:textId="77777777" w:rsidR="00B30DDC" w:rsidRPr="00E411E9" w:rsidRDefault="00B30DDC" w:rsidP="00574572">
            <w:pPr>
              <w:rPr>
                <w:rFonts w:ascii="Calibri" w:hAnsi="Calibri" w:cs="Calibri"/>
                <w:lang w:eastAsia="en-GB"/>
              </w:rPr>
            </w:pPr>
            <w:r>
              <w:rPr>
                <w:rFonts w:ascii="Calibri" w:hAnsi="Calibri" w:cs="Calibri"/>
              </w:rPr>
              <w:t xml:space="preserve">    </w:t>
            </w:r>
            <w:r w:rsidRPr="00E411E9">
              <w:rPr>
                <w:rFonts w:ascii="Calibri" w:hAnsi="Calibri" w:cs="Calibri"/>
              </w:rPr>
              <w:t>The report will include:</w:t>
            </w:r>
          </w:p>
          <w:p w14:paraId="59FFC6E9" w14:textId="77777777" w:rsidR="00B30DDC" w:rsidRPr="00E411E9" w:rsidRDefault="00B30DDC" w:rsidP="00B30DDC">
            <w:pPr>
              <w:pStyle w:val="ListParagraph"/>
              <w:numPr>
                <w:ilvl w:val="0"/>
                <w:numId w:val="66"/>
              </w:numPr>
              <w:contextualSpacing w:val="0"/>
              <w:rPr>
                <w:rFonts w:ascii="Calibri" w:hAnsi="Calibri" w:cs="Calibri"/>
                <w:sz w:val="22"/>
                <w:szCs w:val="22"/>
              </w:rPr>
            </w:pPr>
            <w:r w:rsidRPr="00E411E9">
              <w:rPr>
                <w:rFonts w:ascii="Calibri" w:hAnsi="Calibri" w:cs="Calibri"/>
                <w:sz w:val="22"/>
                <w:szCs w:val="22"/>
              </w:rPr>
              <w:t>Proposed draft requirements, rationale and guidance for GERT8073.</w:t>
            </w:r>
          </w:p>
          <w:p w14:paraId="447ED147" w14:textId="77777777" w:rsidR="00B30DDC" w:rsidRPr="00E411E9" w:rsidRDefault="00B30DDC" w:rsidP="00B30DDC">
            <w:pPr>
              <w:pStyle w:val="ListParagraph"/>
              <w:numPr>
                <w:ilvl w:val="0"/>
                <w:numId w:val="66"/>
              </w:numPr>
              <w:contextualSpacing w:val="0"/>
              <w:rPr>
                <w:rFonts w:ascii="Calibri" w:hAnsi="Calibri" w:cs="Calibri"/>
                <w:sz w:val="22"/>
                <w:szCs w:val="22"/>
              </w:rPr>
            </w:pPr>
            <w:r w:rsidRPr="00E411E9">
              <w:rPr>
                <w:rFonts w:ascii="Calibri" w:hAnsi="Calibri" w:cs="Calibri"/>
                <w:sz w:val="22"/>
                <w:szCs w:val="22"/>
              </w:rPr>
              <w:t>Completed RIS-2773-RST vehicle gauging data sheets</w:t>
            </w:r>
          </w:p>
          <w:p w14:paraId="502F7B91" w14:textId="77777777" w:rsidR="00B30DDC" w:rsidRPr="00E411E9" w:rsidRDefault="00B30DDC" w:rsidP="00B30DDC">
            <w:pPr>
              <w:pStyle w:val="ListParagraph"/>
              <w:numPr>
                <w:ilvl w:val="0"/>
                <w:numId w:val="66"/>
              </w:numPr>
              <w:contextualSpacing w:val="0"/>
              <w:rPr>
                <w:rFonts w:ascii="Calibri" w:hAnsi="Calibri" w:cs="Calibri"/>
                <w:sz w:val="22"/>
                <w:szCs w:val="22"/>
              </w:rPr>
            </w:pPr>
            <w:r w:rsidRPr="00E411E9">
              <w:rPr>
                <w:rFonts w:ascii="Calibri" w:hAnsi="Calibri" w:cs="Calibri"/>
                <w:sz w:val="22"/>
                <w:szCs w:val="22"/>
              </w:rPr>
              <w:t>GORT 3056 J Tables of wagons/suspensions/containers conforming to the new gauges.</w:t>
            </w:r>
          </w:p>
          <w:p w14:paraId="48A43D4C" w14:textId="77777777" w:rsidR="00B30DDC" w:rsidRPr="00E411E9" w:rsidRDefault="00B30DDC" w:rsidP="00B30DDC">
            <w:pPr>
              <w:pStyle w:val="ListParagraph"/>
              <w:numPr>
                <w:ilvl w:val="0"/>
                <w:numId w:val="66"/>
              </w:numPr>
              <w:contextualSpacing w:val="0"/>
              <w:rPr>
                <w:rFonts w:ascii="Calibri" w:hAnsi="Calibri" w:cs="Calibri"/>
                <w:sz w:val="22"/>
                <w:szCs w:val="22"/>
              </w:rPr>
            </w:pPr>
            <w:r w:rsidRPr="00E411E9">
              <w:rPr>
                <w:rFonts w:ascii="Calibri" w:hAnsi="Calibri" w:cs="Calibri"/>
                <w:sz w:val="22"/>
                <w:szCs w:val="22"/>
              </w:rPr>
              <w:t>Route section compatibility for the new gauges.</w:t>
            </w:r>
          </w:p>
          <w:p w14:paraId="5FD05B5B" w14:textId="77777777" w:rsidR="00B30DDC" w:rsidRPr="00ED750B" w:rsidRDefault="00B30DDC" w:rsidP="00574572">
            <w:pPr>
              <w:pStyle w:val="BodyIndent1"/>
              <w:jc w:val="both"/>
            </w:pPr>
            <w:r w:rsidRPr="00E411E9">
              <w:t>The report will be in standard RSSB format and will be made available on SPARK.</w:t>
            </w:r>
          </w:p>
        </w:tc>
      </w:tr>
    </w:tbl>
    <w:p w14:paraId="5A2FAC59" w14:textId="77777777" w:rsidR="00B30DDC" w:rsidRPr="001E2EFA" w:rsidRDefault="00B30DDC" w:rsidP="00B30DDC">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B30DDC" w14:paraId="16929365" w14:textId="77777777" w:rsidTr="00574572">
        <w:trPr>
          <w:cantSplit/>
        </w:trPr>
        <w:tc>
          <w:tcPr>
            <w:tcW w:w="5307" w:type="dxa"/>
            <w:shd w:val="clear" w:color="auto" w:fill="99CC00"/>
          </w:tcPr>
          <w:p w14:paraId="71F3B5D6" w14:textId="77777777" w:rsidR="00B30DDC" w:rsidRPr="00476615" w:rsidRDefault="00B30DDC" w:rsidP="00574572">
            <w:pPr>
              <w:pStyle w:val="BodyIndent1"/>
            </w:pPr>
            <w:r>
              <w:rPr>
                <w:b/>
              </w:rPr>
              <w:t>Deliverable Name</w:t>
            </w:r>
          </w:p>
        </w:tc>
        <w:tc>
          <w:tcPr>
            <w:tcW w:w="2694" w:type="dxa"/>
            <w:shd w:val="clear" w:color="auto" w:fill="99CC00"/>
          </w:tcPr>
          <w:p w14:paraId="2D93B4FA" w14:textId="77777777" w:rsidR="00B30DDC" w:rsidRDefault="00B30DDC" w:rsidP="00574572">
            <w:pPr>
              <w:pStyle w:val="BodyIndent1"/>
              <w:rPr>
                <w:b/>
              </w:rPr>
            </w:pPr>
            <w:r>
              <w:rPr>
                <w:b/>
              </w:rPr>
              <w:t>Type</w:t>
            </w:r>
          </w:p>
        </w:tc>
      </w:tr>
      <w:tr w:rsidR="00B30DDC" w14:paraId="7F1EB0DE" w14:textId="77777777" w:rsidTr="00574572">
        <w:trPr>
          <w:cantSplit/>
          <w:tblHeader/>
        </w:trPr>
        <w:tc>
          <w:tcPr>
            <w:tcW w:w="5307" w:type="dxa"/>
            <w:shd w:val="clear" w:color="auto" w:fill="FFFFFF"/>
          </w:tcPr>
          <w:p w14:paraId="102D427E" w14:textId="77777777" w:rsidR="00B30DDC" w:rsidRDefault="00B30DDC" w:rsidP="00574572">
            <w:pPr>
              <w:pStyle w:val="BodyIndent1"/>
            </w:pPr>
            <w:r>
              <w:t>Economic Analysis</w:t>
            </w:r>
          </w:p>
        </w:tc>
        <w:tc>
          <w:tcPr>
            <w:tcW w:w="2694" w:type="dxa"/>
            <w:shd w:val="clear" w:color="auto" w:fill="FFFFFF"/>
          </w:tcPr>
          <w:p w14:paraId="335C831D" w14:textId="77777777" w:rsidR="00B30DDC" w:rsidRDefault="00B30DDC" w:rsidP="00574572">
            <w:pPr>
              <w:pStyle w:val="BodyIndent1"/>
            </w:pPr>
            <w:r>
              <w:t>Presentation</w:t>
            </w:r>
          </w:p>
        </w:tc>
      </w:tr>
      <w:tr w:rsidR="00B30DDC" w:rsidRPr="0057078B" w14:paraId="225B4714" w14:textId="77777777" w:rsidTr="00574572">
        <w:trPr>
          <w:cantSplit/>
          <w:tblHeader/>
        </w:trPr>
        <w:tc>
          <w:tcPr>
            <w:tcW w:w="8001" w:type="dxa"/>
            <w:gridSpan w:val="2"/>
            <w:shd w:val="clear" w:color="auto" w:fill="99CC00"/>
          </w:tcPr>
          <w:p w14:paraId="577443D6" w14:textId="77777777" w:rsidR="00B30DDC" w:rsidRPr="0057078B" w:rsidRDefault="00B30DDC" w:rsidP="00574572">
            <w:pPr>
              <w:pStyle w:val="BodyIndent1"/>
              <w:rPr>
                <w:b/>
              </w:rPr>
            </w:pPr>
            <w:r w:rsidRPr="0057078B">
              <w:rPr>
                <w:b/>
              </w:rPr>
              <w:t>Description</w:t>
            </w:r>
          </w:p>
        </w:tc>
      </w:tr>
      <w:tr w:rsidR="00B30DDC" w:rsidRPr="00887F90" w14:paraId="70ABBCAC" w14:textId="77777777" w:rsidTr="00574572">
        <w:trPr>
          <w:cantSplit/>
          <w:tblHeader/>
        </w:trPr>
        <w:tc>
          <w:tcPr>
            <w:tcW w:w="8001" w:type="dxa"/>
            <w:gridSpan w:val="2"/>
            <w:shd w:val="clear" w:color="auto" w:fill="FFFFFF"/>
          </w:tcPr>
          <w:p w14:paraId="22C2980B" w14:textId="77777777" w:rsidR="00B30DDC" w:rsidRDefault="00B30DDC" w:rsidP="00574572">
            <w:pPr>
              <w:pStyle w:val="BodyIndent1"/>
              <w:jc w:val="both"/>
            </w:pPr>
            <w:r>
              <w:t>F</w:t>
            </w:r>
            <w:r w:rsidRPr="0054388C">
              <w:t xml:space="preserve">indings from </w:t>
            </w:r>
            <w:r>
              <w:t>the economic analysis undertaken will be presented to a panel of key stakeholders and industry representatives. This should include an overview of the project, the developed supplementary container gauges and their benefits to FOCs. The presentation will also provide the supplier with the opportunity to engage with industry and share their justification behind key decisions made throughout the project.</w:t>
            </w:r>
          </w:p>
          <w:p w14:paraId="1E4FA64E" w14:textId="77777777" w:rsidR="00B30DDC" w:rsidRPr="00887F90" w:rsidRDefault="00B30DDC" w:rsidP="00574572">
            <w:pPr>
              <w:pStyle w:val="BodyIndent1"/>
              <w:jc w:val="both"/>
              <w:rPr>
                <w:color w:val="C45911" w:themeColor="accent2" w:themeShade="BF"/>
              </w:rPr>
            </w:pPr>
            <w:r>
              <w:t>The presentation</w:t>
            </w:r>
            <w:r w:rsidRPr="0054388C">
              <w:t xml:space="preserve"> will be in standard RSSB format and made available on SPARK.</w:t>
            </w:r>
          </w:p>
        </w:tc>
      </w:tr>
    </w:tbl>
    <w:p w14:paraId="0772177C" w14:textId="77777777" w:rsidR="00B30DDC" w:rsidRDefault="00B30DDC" w:rsidP="00B30DDC">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B30DDC" w14:paraId="026B8FE9" w14:textId="77777777" w:rsidTr="00574572">
        <w:trPr>
          <w:cantSplit/>
        </w:trPr>
        <w:tc>
          <w:tcPr>
            <w:tcW w:w="5307" w:type="dxa"/>
            <w:shd w:val="clear" w:color="auto" w:fill="99CC00"/>
          </w:tcPr>
          <w:p w14:paraId="3EFBB368" w14:textId="77777777" w:rsidR="00B30DDC" w:rsidRDefault="00B30DDC" w:rsidP="00574572">
            <w:pPr>
              <w:pStyle w:val="BodyIndent1"/>
              <w:rPr>
                <w:b/>
              </w:rPr>
            </w:pPr>
            <w:r>
              <w:rPr>
                <w:b/>
              </w:rPr>
              <w:t>Deliverable Name</w:t>
            </w:r>
          </w:p>
        </w:tc>
        <w:tc>
          <w:tcPr>
            <w:tcW w:w="2694" w:type="dxa"/>
            <w:shd w:val="clear" w:color="auto" w:fill="99CC00"/>
          </w:tcPr>
          <w:p w14:paraId="591E81EF" w14:textId="77777777" w:rsidR="00B30DDC" w:rsidRDefault="00B30DDC" w:rsidP="00574572">
            <w:pPr>
              <w:pStyle w:val="BodyIndent1"/>
              <w:rPr>
                <w:b/>
              </w:rPr>
            </w:pPr>
            <w:r>
              <w:rPr>
                <w:b/>
              </w:rPr>
              <w:t>Type</w:t>
            </w:r>
          </w:p>
        </w:tc>
      </w:tr>
      <w:tr w:rsidR="00B30DDC" w14:paraId="182C3F3B" w14:textId="77777777" w:rsidTr="00574572">
        <w:trPr>
          <w:cantSplit/>
          <w:tblHeader/>
        </w:trPr>
        <w:tc>
          <w:tcPr>
            <w:tcW w:w="5307" w:type="dxa"/>
            <w:shd w:val="clear" w:color="auto" w:fill="FFFFFF"/>
          </w:tcPr>
          <w:p w14:paraId="737C8833" w14:textId="77777777" w:rsidR="00B30DDC" w:rsidRDefault="00B30DDC" w:rsidP="00574572">
            <w:pPr>
              <w:pStyle w:val="BodyIndent1"/>
            </w:pPr>
            <w:r>
              <w:t xml:space="preserve">Research Brief </w:t>
            </w:r>
          </w:p>
        </w:tc>
        <w:tc>
          <w:tcPr>
            <w:tcW w:w="2694" w:type="dxa"/>
            <w:shd w:val="clear" w:color="auto" w:fill="FFFFFF"/>
          </w:tcPr>
          <w:p w14:paraId="0B821354" w14:textId="77777777" w:rsidR="00B30DDC" w:rsidRDefault="00B30DDC" w:rsidP="00574572">
            <w:pPr>
              <w:pStyle w:val="BodyIndent1"/>
            </w:pPr>
            <w:r>
              <w:t>Report</w:t>
            </w:r>
          </w:p>
        </w:tc>
      </w:tr>
      <w:tr w:rsidR="00B30DDC" w:rsidRPr="00260E7C" w14:paraId="4C772187" w14:textId="77777777" w:rsidTr="00574572">
        <w:trPr>
          <w:cantSplit/>
          <w:tblHeader/>
        </w:trPr>
        <w:tc>
          <w:tcPr>
            <w:tcW w:w="8001" w:type="dxa"/>
            <w:gridSpan w:val="2"/>
            <w:shd w:val="clear" w:color="auto" w:fill="99CC00"/>
          </w:tcPr>
          <w:p w14:paraId="7482795F" w14:textId="77777777" w:rsidR="00B30DDC" w:rsidRPr="00260E7C" w:rsidRDefault="00B30DDC" w:rsidP="00574572">
            <w:pPr>
              <w:pStyle w:val="BodyIndent1"/>
              <w:rPr>
                <w:b/>
              </w:rPr>
            </w:pPr>
            <w:r w:rsidRPr="00260E7C">
              <w:rPr>
                <w:b/>
              </w:rPr>
              <w:t>Description</w:t>
            </w:r>
          </w:p>
        </w:tc>
      </w:tr>
      <w:tr w:rsidR="00B30DDC" w:rsidRPr="006F7745" w14:paraId="270FEA45" w14:textId="77777777" w:rsidTr="00574572">
        <w:trPr>
          <w:cantSplit/>
          <w:tblHeader/>
        </w:trPr>
        <w:tc>
          <w:tcPr>
            <w:tcW w:w="8001" w:type="dxa"/>
            <w:gridSpan w:val="2"/>
            <w:shd w:val="clear" w:color="auto" w:fill="FFFFFF"/>
          </w:tcPr>
          <w:p w14:paraId="114E272A" w14:textId="77777777" w:rsidR="00B30DDC" w:rsidRDefault="00B30DDC" w:rsidP="00574572">
            <w:pPr>
              <w:pStyle w:val="BodyIndent1"/>
            </w:pPr>
            <w:r>
              <w:t>A four-page document summarising the research, key findings, and the potential benefits generated.</w:t>
            </w:r>
          </w:p>
          <w:p w14:paraId="7E41380B" w14:textId="77777777" w:rsidR="00B30DDC" w:rsidRPr="006F7745" w:rsidRDefault="00B30DDC" w:rsidP="00574572">
            <w:pPr>
              <w:pStyle w:val="Body"/>
              <w:ind w:left="243"/>
            </w:pPr>
            <w:r>
              <w:t>This report will be in standard RSSB format and will be made available on SPARK.</w:t>
            </w:r>
          </w:p>
        </w:tc>
      </w:tr>
    </w:tbl>
    <w:p w14:paraId="289B1EAD" w14:textId="77777777" w:rsidR="00B30DDC" w:rsidRDefault="00B30DDC" w:rsidP="00B30DDC">
      <w:pPr>
        <w:pStyle w:val="Heading1"/>
        <w:numPr>
          <w:ilvl w:val="0"/>
          <w:numId w:val="0"/>
        </w:numPr>
        <w:spacing w:after="0"/>
      </w:pPr>
      <w:r>
        <w:t>Stakeholders’ Roles &amp; Responsibilities</w:t>
      </w:r>
    </w:p>
    <w:p w14:paraId="61F4A2DF" w14:textId="77777777" w:rsidR="00B30DDC" w:rsidRPr="00E411E9" w:rsidRDefault="00B30DDC" w:rsidP="00B30DDC">
      <w:pPr>
        <w:pStyle w:val="Body"/>
      </w:pPr>
    </w:p>
    <w:tbl>
      <w:tblPr>
        <w:tblStyle w:val="TableGrid"/>
        <w:tblW w:w="8359" w:type="dxa"/>
        <w:tblLook w:val="04A0" w:firstRow="1" w:lastRow="0" w:firstColumn="1" w:lastColumn="0" w:noHBand="0" w:noVBand="1"/>
      </w:tblPr>
      <w:tblGrid>
        <w:gridCol w:w="1816"/>
        <w:gridCol w:w="3849"/>
        <w:gridCol w:w="2694"/>
      </w:tblGrid>
      <w:tr w:rsidR="00B30DDC" w14:paraId="1441F084" w14:textId="77777777" w:rsidTr="00574572">
        <w:tc>
          <w:tcPr>
            <w:tcW w:w="1816" w:type="dxa"/>
            <w:shd w:val="clear" w:color="auto" w:fill="99CC00"/>
            <w:vAlign w:val="center"/>
          </w:tcPr>
          <w:p w14:paraId="01191E8E" w14:textId="77777777" w:rsidR="00B30DDC" w:rsidRPr="00325F01" w:rsidRDefault="00B30DDC" w:rsidP="00574572">
            <w:pPr>
              <w:pStyle w:val="Body"/>
              <w:rPr>
                <w:rFonts w:asciiTheme="minorHAnsi" w:hAnsiTheme="minorHAnsi"/>
              </w:rPr>
            </w:pPr>
          </w:p>
        </w:tc>
        <w:tc>
          <w:tcPr>
            <w:tcW w:w="3849" w:type="dxa"/>
            <w:shd w:val="clear" w:color="auto" w:fill="99CC00"/>
            <w:vAlign w:val="center"/>
          </w:tcPr>
          <w:p w14:paraId="3BB5E363" w14:textId="77777777" w:rsidR="00B30DDC" w:rsidRPr="00325F01" w:rsidRDefault="00B30DDC" w:rsidP="00574572">
            <w:pPr>
              <w:rPr>
                <w:rFonts w:asciiTheme="minorHAnsi" w:hAnsiTheme="minorHAnsi" w:cs="Arial"/>
              </w:rPr>
            </w:pPr>
            <w:r w:rsidRPr="00325F01">
              <w:rPr>
                <w:rFonts w:asciiTheme="minorHAnsi" w:hAnsiTheme="minorHAnsi" w:cs="Arial"/>
                <w:b/>
                <w:bCs/>
                <w:kern w:val="28"/>
              </w:rPr>
              <w:t>General role in project</w:t>
            </w:r>
          </w:p>
        </w:tc>
        <w:tc>
          <w:tcPr>
            <w:tcW w:w="2694" w:type="dxa"/>
            <w:shd w:val="clear" w:color="auto" w:fill="99CC00"/>
            <w:vAlign w:val="center"/>
          </w:tcPr>
          <w:p w14:paraId="4BE1107A" w14:textId="77777777" w:rsidR="00B30DDC" w:rsidRPr="00325F01" w:rsidRDefault="00B30DDC" w:rsidP="00574572">
            <w:pPr>
              <w:rPr>
                <w:rFonts w:asciiTheme="minorHAnsi" w:hAnsiTheme="minorHAnsi" w:cs="Arial"/>
              </w:rPr>
            </w:pPr>
            <w:r w:rsidRPr="00325F01">
              <w:rPr>
                <w:rFonts w:asciiTheme="minorHAnsi" w:hAnsiTheme="minorHAnsi" w:cs="Arial"/>
                <w:b/>
                <w:bCs/>
                <w:kern w:val="28"/>
              </w:rPr>
              <w:t>Specific role in acceptance of deliverables</w:t>
            </w:r>
          </w:p>
        </w:tc>
      </w:tr>
      <w:tr w:rsidR="00B30DDC" w14:paraId="545940D6" w14:textId="77777777" w:rsidTr="00574572">
        <w:tc>
          <w:tcPr>
            <w:tcW w:w="1816" w:type="dxa"/>
            <w:vAlign w:val="center"/>
          </w:tcPr>
          <w:p w14:paraId="40B4A369" w14:textId="77777777" w:rsidR="00B30DDC" w:rsidRPr="006B076F" w:rsidRDefault="00B30DDC" w:rsidP="00574572">
            <w:pPr>
              <w:rPr>
                <w:rFonts w:asciiTheme="minorHAnsi" w:hAnsiTheme="minorHAnsi" w:cs="Arial"/>
                <w:color w:val="000000" w:themeColor="dark1"/>
                <w:kern w:val="28"/>
              </w:rPr>
            </w:pPr>
            <w:r>
              <w:rPr>
                <w:rFonts w:asciiTheme="minorHAnsi" w:hAnsiTheme="minorHAnsi" w:cs="Arial"/>
                <w:color w:val="000000" w:themeColor="dark1"/>
                <w:kern w:val="28"/>
              </w:rPr>
              <w:t>Project</w:t>
            </w:r>
            <w:r w:rsidRPr="006B076F">
              <w:rPr>
                <w:rFonts w:asciiTheme="minorHAnsi" w:hAnsiTheme="minorHAnsi" w:cs="Arial"/>
                <w:color w:val="000000" w:themeColor="dark1"/>
                <w:kern w:val="28"/>
              </w:rPr>
              <w:t xml:space="preserve"> manager</w:t>
            </w:r>
          </w:p>
        </w:tc>
        <w:tc>
          <w:tcPr>
            <w:tcW w:w="3849" w:type="dxa"/>
            <w:vAlign w:val="center"/>
          </w:tcPr>
          <w:p w14:paraId="6CEDDA78" w14:textId="77777777" w:rsidR="00B30DDC" w:rsidRPr="006B076F" w:rsidRDefault="00B30DDC" w:rsidP="00574572">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w:t>
            </w:r>
            <w:r>
              <w:rPr>
                <w:rFonts w:asciiTheme="minorHAnsi" w:hAnsiTheme="minorHAnsi" w:cs="Arial"/>
                <w:color w:val="000000" w:themeColor="dark1"/>
                <w:kern w:val="28"/>
                <w:sz w:val="22"/>
                <w:szCs w:val="22"/>
                <w:lang w:eastAsia="en-US"/>
              </w:rPr>
              <w:t>project</w:t>
            </w:r>
            <w:r w:rsidRPr="006B076F">
              <w:rPr>
                <w:rFonts w:asciiTheme="minorHAnsi" w:hAnsiTheme="minorHAnsi" w:cs="Arial"/>
                <w:color w:val="000000" w:themeColor="dark1"/>
                <w:kern w:val="28"/>
                <w:sz w:val="22"/>
                <w:szCs w:val="22"/>
                <w:lang w:eastAsia="en-US"/>
              </w:rPr>
              <w:t xml:space="preserve"> manager is </w:t>
            </w:r>
            <w:r>
              <w:rPr>
                <w:rFonts w:asciiTheme="minorHAnsi" w:hAnsiTheme="minorHAnsi" w:cs="Arial"/>
                <w:color w:val="000000" w:themeColor="dark1"/>
                <w:kern w:val="28"/>
                <w:sz w:val="22"/>
                <w:szCs w:val="22"/>
                <w:lang w:eastAsia="en-US"/>
              </w:rPr>
              <w:t>the first point of contact during project delivery. The RSSB project manager r</w:t>
            </w:r>
            <w:r w:rsidRPr="006B076F">
              <w:rPr>
                <w:rFonts w:asciiTheme="minorHAnsi" w:hAnsiTheme="minorHAnsi" w:cs="Arial"/>
                <w:color w:val="000000" w:themeColor="dark1"/>
                <w:kern w:val="28"/>
                <w:sz w:val="22"/>
                <w:szCs w:val="22"/>
                <w:lang w:eastAsia="en-US"/>
              </w:rPr>
              <w:t xml:space="preserve">esponsible for the </w:t>
            </w:r>
            <w:r>
              <w:rPr>
                <w:rFonts w:asciiTheme="minorHAnsi" w:hAnsiTheme="minorHAnsi" w:cs="Arial"/>
                <w:color w:val="000000" w:themeColor="dark1"/>
                <w:kern w:val="28"/>
                <w:sz w:val="22"/>
                <w:szCs w:val="22"/>
                <w:lang w:eastAsia="en-US"/>
              </w:rPr>
              <w:t xml:space="preserve">coordination of RSSB activities to support the supplier delivery and reviews </w:t>
            </w:r>
            <w:r w:rsidRPr="006B076F">
              <w:rPr>
                <w:rFonts w:asciiTheme="minorHAnsi" w:hAnsiTheme="minorHAnsi" w:cs="Arial"/>
                <w:color w:val="000000" w:themeColor="dark1"/>
                <w:kern w:val="28"/>
                <w:sz w:val="22"/>
                <w:szCs w:val="22"/>
                <w:lang w:eastAsia="en-US"/>
              </w:rPr>
              <w:t xml:space="preserve">project schedules, cost reporting and other relevant project management tasks. </w:t>
            </w:r>
          </w:p>
          <w:p w14:paraId="7BE319F0" w14:textId="77777777" w:rsidR="00B30DDC" w:rsidRPr="006B076F" w:rsidRDefault="00B30DDC" w:rsidP="00574572">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The </w:t>
            </w:r>
            <w:r>
              <w:rPr>
                <w:rFonts w:asciiTheme="minorHAnsi" w:hAnsiTheme="minorHAnsi" w:cs="Arial"/>
                <w:color w:val="000000" w:themeColor="dark1"/>
                <w:kern w:val="28"/>
              </w:rPr>
              <w:t xml:space="preserve">RSSB project </w:t>
            </w:r>
            <w:r w:rsidRPr="006B076F">
              <w:rPr>
                <w:rFonts w:asciiTheme="minorHAnsi" w:hAnsiTheme="minorHAnsi" w:cs="Arial"/>
                <w:color w:val="000000" w:themeColor="dark1"/>
                <w:kern w:val="28"/>
              </w:rPr>
              <w:t xml:space="preserve">manager leads the project in organising meetings, etc and </w:t>
            </w:r>
            <w:r>
              <w:rPr>
                <w:rFonts w:asciiTheme="minorHAnsi" w:hAnsiTheme="minorHAnsi" w:cs="Arial"/>
                <w:color w:val="000000" w:themeColor="dark1"/>
                <w:kern w:val="28"/>
              </w:rPr>
              <w:t>supports</w:t>
            </w:r>
            <w:r w:rsidRPr="006B076F">
              <w:rPr>
                <w:rFonts w:asciiTheme="minorHAnsi" w:hAnsiTheme="minorHAnsi" w:cs="Arial"/>
                <w:color w:val="000000" w:themeColor="dark1"/>
                <w:kern w:val="28"/>
              </w:rPr>
              <w:t xml:space="preserve"> timely and effective delivery towards project objectives.</w:t>
            </w:r>
          </w:p>
        </w:tc>
        <w:tc>
          <w:tcPr>
            <w:tcW w:w="2694" w:type="dxa"/>
          </w:tcPr>
          <w:p w14:paraId="5266FF34" w14:textId="77777777" w:rsidR="00B30DDC" w:rsidRPr="006B076F" w:rsidRDefault="00B30DDC" w:rsidP="00574572">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B30DDC" w14:paraId="2A510FA0" w14:textId="77777777" w:rsidTr="00574572">
        <w:tc>
          <w:tcPr>
            <w:tcW w:w="1816" w:type="dxa"/>
            <w:vAlign w:val="center"/>
          </w:tcPr>
          <w:p w14:paraId="7F192E80" w14:textId="77777777" w:rsidR="00B30DDC" w:rsidRPr="007715AE" w:rsidRDefault="00B30DDC" w:rsidP="00574572">
            <w:pPr>
              <w:rPr>
                <w:rFonts w:asciiTheme="minorHAnsi" w:hAnsiTheme="minorHAnsi" w:cs="Arial"/>
              </w:rPr>
            </w:pPr>
            <w:r w:rsidRPr="007715AE">
              <w:rPr>
                <w:rFonts w:asciiTheme="minorHAnsi" w:hAnsiTheme="minorHAnsi" w:cs="Arial"/>
                <w:color w:val="000000" w:themeColor="dark1"/>
                <w:kern w:val="28"/>
              </w:rPr>
              <w:t>Technical expert</w:t>
            </w:r>
          </w:p>
        </w:tc>
        <w:tc>
          <w:tcPr>
            <w:tcW w:w="3849" w:type="dxa"/>
            <w:vAlign w:val="center"/>
          </w:tcPr>
          <w:p w14:paraId="0419DFC3" w14:textId="77777777" w:rsidR="00B30DDC" w:rsidRPr="007715AE" w:rsidRDefault="00B30DDC" w:rsidP="00574572">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6FA9E7AC" w14:textId="77777777" w:rsidR="00B30DDC" w:rsidRPr="007715AE" w:rsidRDefault="00B30DDC" w:rsidP="00574572">
            <w:pPr>
              <w:rPr>
                <w:rFonts w:asciiTheme="minorHAnsi" w:hAnsiTheme="minorHAnsi" w:cs="Arial"/>
              </w:rPr>
            </w:pPr>
            <w:r w:rsidRPr="007715AE">
              <w:rPr>
                <w:rFonts w:asciiTheme="minorHAnsi" w:hAnsiTheme="minorHAnsi" w:cs="Arial"/>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64299549" w14:textId="77777777" w:rsidR="00B30DDC" w:rsidRPr="007715AE" w:rsidRDefault="00B30DDC" w:rsidP="00574572">
            <w:pPr>
              <w:rPr>
                <w:rFonts w:asciiTheme="minorHAnsi" w:hAnsiTheme="minorHAnsi" w:cs="Arial"/>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B30DDC" w14:paraId="306E6031" w14:textId="77777777" w:rsidTr="00574572">
        <w:tc>
          <w:tcPr>
            <w:tcW w:w="1816" w:type="dxa"/>
            <w:vAlign w:val="center"/>
          </w:tcPr>
          <w:p w14:paraId="02D13B81" w14:textId="77777777" w:rsidR="00B30DDC" w:rsidRPr="00420F8C" w:rsidRDefault="00B30DDC" w:rsidP="00574572">
            <w:pPr>
              <w:rPr>
                <w:rFonts w:asciiTheme="minorHAnsi" w:hAnsiTheme="minorHAnsi" w:cs="Arial"/>
              </w:rPr>
            </w:pPr>
            <w:r>
              <w:rPr>
                <w:rFonts w:asciiTheme="minorHAnsi" w:hAnsiTheme="minorHAnsi" w:cs="Arial"/>
                <w:color w:val="000000" w:themeColor="dark1"/>
                <w:kern w:val="28"/>
              </w:rPr>
              <w:t>Industry and RSSB sponsor</w:t>
            </w:r>
          </w:p>
        </w:tc>
        <w:tc>
          <w:tcPr>
            <w:tcW w:w="3849" w:type="dxa"/>
            <w:vAlign w:val="center"/>
          </w:tcPr>
          <w:p w14:paraId="2FE47731" w14:textId="77777777" w:rsidR="00B30DDC" w:rsidRPr="00420F8C" w:rsidRDefault="00B30DDC" w:rsidP="00574572">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figurehead</w:t>
            </w:r>
            <w:r>
              <w:rPr>
                <w:rFonts w:asciiTheme="minorHAnsi" w:hAnsiTheme="minorHAnsi" w:cs="Arial"/>
                <w:color w:val="000000" w:themeColor="dark1"/>
                <w:kern w:val="28"/>
                <w:sz w:val="22"/>
                <w:szCs w:val="22"/>
              </w:rPr>
              <w:t>s</w:t>
            </w:r>
            <w:r w:rsidRPr="00420F8C">
              <w:rPr>
                <w:rFonts w:asciiTheme="minorHAnsi" w:hAnsiTheme="minorHAnsi" w:cs="Arial"/>
                <w:color w:val="000000" w:themeColor="dark1"/>
                <w:kern w:val="28"/>
                <w:sz w:val="22"/>
                <w:szCs w:val="22"/>
              </w:rPr>
              <w:t xml:space="preserve"> for the research, championing its importance and its outputs. </w:t>
            </w:r>
          </w:p>
          <w:p w14:paraId="6ABD5689" w14:textId="77777777" w:rsidR="00B30DDC" w:rsidRPr="00420F8C" w:rsidRDefault="00B30DDC" w:rsidP="00574572">
            <w:pPr>
              <w:rPr>
                <w:rFonts w:asciiTheme="minorHAnsi" w:hAnsiTheme="minorHAnsi" w:cs="Arial"/>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7CADBE67" w14:textId="77777777" w:rsidR="00B30DDC" w:rsidRPr="00325F01" w:rsidRDefault="00B30DDC" w:rsidP="00574572">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B30DDC" w14:paraId="22D1032E" w14:textId="77777777" w:rsidTr="00574572">
        <w:tc>
          <w:tcPr>
            <w:tcW w:w="1816" w:type="dxa"/>
            <w:vAlign w:val="center"/>
          </w:tcPr>
          <w:p w14:paraId="156D0B80" w14:textId="77777777" w:rsidR="00B30DDC" w:rsidRPr="00420F8C" w:rsidRDefault="00B30DDC" w:rsidP="00574572">
            <w:pPr>
              <w:rPr>
                <w:rFonts w:asciiTheme="minorHAnsi" w:hAnsiTheme="minorHAnsi" w:cs="Arial"/>
              </w:rPr>
            </w:pPr>
            <w:r w:rsidRPr="00420F8C">
              <w:rPr>
                <w:rFonts w:asciiTheme="minorHAnsi" w:hAnsiTheme="minorHAnsi" w:cs="Arial"/>
                <w:color w:val="000000" w:themeColor="dark1"/>
                <w:kern w:val="28"/>
              </w:rPr>
              <w:t>Project supporters</w:t>
            </w:r>
          </w:p>
        </w:tc>
        <w:tc>
          <w:tcPr>
            <w:tcW w:w="3849" w:type="dxa"/>
            <w:vAlign w:val="center"/>
          </w:tcPr>
          <w:p w14:paraId="135EDCDC" w14:textId="77777777" w:rsidR="00B30DDC" w:rsidRPr="00420F8C" w:rsidRDefault="00B30DDC" w:rsidP="00574572">
            <w:pPr>
              <w:rPr>
                <w:rFonts w:asciiTheme="minorHAnsi" w:hAnsiTheme="minorHAnsi" w:cs="Arial"/>
              </w:rPr>
            </w:pPr>
            <w:r w:rsidRPr="00420F8C">
              <w:rPr>
                <w:rFonts w:asciiTheme="minorHAnsi" w:hAnsiTheme="minorHAnsi" w:cs="Arial"/>
                <w:color w:val="000000" w:themeColor="dark1"/>
                <w:kern w:val="28"/>
              </w:rPr>
              <w:t xml:space="preserve">The project supporters represent parts of industry complementary to the </w:t>
            </w:r>
            <w:r>
              <w:rPr>
                <w:rFonts w:asciiTheme="minorHAnsi" w:hAnsiTheme="minorHAnsi" w:cs="Arial"/>
                <w:color w:val="000000" w:themeColor="dark1"/>
                <w:kern w:val="28"/>
              </w:rPr>
              <w:t>sponsor</w:t>
            </w:r>
            <w:r w:rsidRPr="00420F8C">
              <w:rPr>
                <w:rFonts w:asciiTheme="minorHAnsi" w:hAnsiTheme="minorHAnsi" w:cs="Arial"/>
                <w:color w:val="000000" w:themeColor="dark1"/>
                <w:kern w:val="28"/>
              </w:rPr>
              <w:t>’s organisation. They offer expertise for effective project delivery and support the implementation of findings led by the champion through networking, advice and other support.</w:t>
            </w:r>
          </w:p>
        </w:tc>
        <w:tc>
          <w:tcPr>
            <w:tcW w:w="2694" w:type="dxa"/>
          </w:tcPr>
          <w:p w14:paraId="394B8F9B" w14:textId="77777777" w:rsidR="00B30DDC" w:rsidRPr="00325F01" w:rsidRDefault="00B30DDC" w:rsidP="00574572">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B30DDC" w14:paraId="1EC7A125" w14:textId="77777777" w:rsidTr="00574572">
        <w:tc>
          <w:tcPr>
            <w:tcW w:w="1816" w:type="dxa"/>
            <w:vAlign w:val="center"/>
          </w:tcPr>
          <w:p w14:paraId="4773B555" w14:textId="77777777" w:rsidR="00B30DDC" w:rsidRPr="00420F8C" w:rsidRDefault="00B30DDC" w:rsidP="00574572">
            <w:pPr>
              <w:rPr>
                <w:rFonts w:asciiTheme="minorHAnsi" w:hAnsiTheme="minorHAnsi" w:cs="Arial"/>
              </w:rPr>
            </w:pPr>
            <w:r w:rsidRPr="00420F8C">
              <w:rPr>
                <w:rFonts w:asciiTheme="minorHAnsi" w:hAnsiTheme="minorHAnsi" w:cs="Arial"/>
                <w:color w:val="000000" w:themeColor="dark1"/>
                <w:kern w:val="28"/>
              </w:rPr>
              <w:t>Project steering group</w:t>
            </w:r>
          </w:p>
        </w:tc>
        <w:tc>
          <w:tcPr>
            <w:tcW w:w="3849" w:type="dxa"/>
            <w:vAlign w:val="center"/>
          </w:tcPr>
          <w:p w14:paraId="3D004B81" w14:textId="77777777" w:rsidR="00B30DDC" w:rsidRPr="00420F8C" w:rsidRDefault="00B30DDC" w:rsidP="00574572">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4F5D7498" w14:textId="77777777" w:rsidR="00B30DDC" w:rsidRPr="00420F8C" w:rsidRDefault="00B30DDC" w:rsidP="00574572">
            <w:pPr>
              <w:rPr>
                <w:rFonts w:asciiTheme="minorHAnsi" w:hAnsiTheme="minorHAnsi" w:cs="Arial"/>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4F4ED82A" w14:textId="77777777" w:rsidR="00B30DDC" w:rsidRPr="00420F8C" w:rsidRDefault="00B30DDC" w:rsidP="00574572">
            <w:pPr>
              <w:rPr>
                <w:rFonts w:asciiTheme="minorHAnsi" w:hAnsiTheme="minorHAnsi" w:cs="Arial"/>
              </w:rPr>
            </w:pPr>
            <w:r w:rsidRPr="00420F8C">
              <w:rPr>
                <w:rFonts w:asciiTheme="minorHAnsi" w:hAnsiTheme="minorHAnsi" w:cs="Arial"/>
                <w:color w:val="000000" w:themeColor="dark1"/>
                <w:kern w:val="28"/>
              </w:rPr>
              <w:t xml:space="preserve">Formally accepts deliverables </w:t>
            </w:r>
          </w:p>
        </w:tc>
      </w:tr>
    </w:tbl>
    <w:p w14:paraId="6B7DD2C5" w14:textId="6688D6A1" w:rsidR="00B30DDC" w:rsidRDefault="00B30DDC" w:rsidP="00B30DDC">
      <w:pPr>
        <w:rPr>
          <w:rFonts w:ascii="Calibri" w:hAnsi="Calibri" w:cs="Arial"/>
          <w:color w:val="00968E"/>
          <w:sz w:val="36"/>
          <w:lang w:eastAsia="en-GB"/>
        </w:rPr>
      </w:pPr>
    </w:p>
    <w:p w14:paraId="550BB099" w14:textId="77777777" w:rsidR="00B30DDC" w:rsidRDefault="00B30DDC" w:rsidP="00B30DDC">
      <w:pPr>
        <w:pStyle w:val="Heading1"/>
        <w:numPr>
          <w:ilvl w:val="0"/>
          <w:numId w:val="0"/>
        </w:numPr>
        <w:spacing w:after="0"/>
      </w:pPr>
      <w:r>
        <w:t>Budget, Timescales &amp; Dependencies</w:t>
      </w:r>
    </w:p>
    <w:p w14:paraId="3C82C01D" w14:textId="77777777" w:rsidR="00B30DDC" w:rsidRDefault="00B30DDC" w:rsidP="00B30DDC">
      <w:pPr>
        <w:jc w:val="both"/>
        <w:rPr>
          <w:rFonts w:ascii="Calibri" w:hAnsi="Calibri" w:cs="Arial"/>
          <w:lang w:eastAsia="en-GB"/>
        </w:rPr>
      </w:pPr>
    </w:p>
    <w:p w14:paraId="7F10ECE7" w14:textId="77777777" w:rsidR="00B30DDC" w:rsidRDefault="00B30DDC" w:rsidP="00B30DDC">
      <w:pPr>
        <w:jc w:val="both"/>
        <w:rPr>
          <w:rFonts w:ascii="Calibri" w:hAnsi="Calibri" w:cs="Arial"/>
          <w:lang w:eastAsia="en-GB"/>
        </w:rPr>
      </w:pPr>
      <w:r>
        <w:rPr>
          <w:rFonts w:ascii="Calibri" w:hAnsi="Calibri" w:cs="Arial"/>
          <w:lang w:eastAsia="en-GB"/>
        </w:rPr>
        <w:t xml:space="preserve">The indicative budget for this work is up to </w:t>
      </w:r>
      <w:r w:rsidRPr="00EE5E7B">
        <w:rPr>
          <w:rFonts w:ascii="Calibri" w:hAnsi="Calibri" w:cs="Arial"/>
          <w:lang w:eastAsia="en-GB"/>
        </w:rPr>
        <w:t>£</w:t>
      </w:r>
      <w:r>
        <w:rPr>
          <w:rFonts w:ascii="Calibri" w:hAnsi="Calibri" w:cs="Arial"/>
          <w:lang w:eastAsia="en-GB"/>
        </w:rPr>
        <w:t>120,000. Any bid exceeding this value will need to provide detailed explanation on why the supplier doesn’t feel that the budget is adequate, and in such case, we strongly encourage suppliers to provide costed options for RSSB to consider.</w:t>
      </w:r>
    </w:p>
    <w:p w14:paraId="475D47FD" w14:textId="77777777" w:rsidR="00B30DDC" w:rsidRDefault="00B30DDC" w:rsidP="00B30DDC">
      <w:pPr>
        <w:jc w:val="both"/>
        <w:rPr>
          <w:rFonts w:ascii="Calibri" w:hAnsi="Calibri" w:cs="Arial"/>
          <w:lang w:eastAsia="en-GB"/>
        </w:rPr>
      </w:pPr>
    </w:p>
    <w:p w14:paraId="609F884E" w14:textId="77777777" w:rsidR="00B30DDC" w:rsidRDefault="00B30DDC" w:rsidP="00B30DDC">
      <w:pPr>
        <w:jc w:val="both"/>
        <w:rPr>
          <w:rFonts w:ascii="Calibri" w:hAnsi="Calibri" w:cs="Arial"/>
          <w:lang w:eastAsia="en-GB"/>
        </w:rPr>
      </w:pPr>
      <w:r w:rsidRPr="00842B5D">
        <w:rPr>
          <w:rFonts w:ascii="Calibri" w:hAnsi="Calibri" w:cs="Arial"/>
          <w:lang w:eastAsia="en-GB"/>
        </w:rPr>
        <w:t xml:space="preserve">RSSB expects the work to commence in </w:t>
      </w:r>
      <w:r>
        <w:rPr>
          <w:rFonts w:ascii="Calibri" w:hAnsi="Calibri" w:cs="Arial"/>
          <w:lang w:eastAsia="en-GB"/>
        </w:rPr>
        <w:t>December</w:t>
      </w:r>
      <w:r w:rsidRPr="00842B5D">
        <w:rPr>
          <w:rFonts w:ascii="Calibri" w:hAnsi="Calibri" w:cs="Arial"/>
          <w:lang w:eastAsia="en-GB"/>
        </w:rPr>
        <w:t xml:space="preserve"> 2018 and to be completed by </w:t>
      </w:r>
      <w:r>
        <w:rPr>
          <w:rFonts w:ascii="Calibri" w:hAnsi="Calibri" w:cs="Arial"/>
          <w:lang w:eastAsia="en-GB"/>
        </w:rPr>
        <w:t>November</w:t>
      </w:r>
      <w:r w:rsidRPr="00842B5D">
        <w:rPr>
          <w:rFonts w:ascii="Calibri" w:hAnsi="Calibri" w:cs="Arial"/>
          <w:lang w:eastAsia="en-GB"/>
        </w:rPr>
        <w:t xml:space="preserve"> 2019. </w:t>
      </w:r>
    </w:p>
    <w:p w14:paraId="633CF88B" w14:textId="77777777" w:rsidR="00B30DDC" w:rsidRDefault="00B30DDC" w:rsidP="00B30DDC">
      <w:pPr>
        <w:jc w:val="both"/>
        <w:rPr>
          <w:rFonts w:ascii="Calibri" w:hAnsi="Calibri" w:cs="Arial"/>
          <w:lang w:eastAsia="en-GB"/>
        </w:rPr>
      </w:pPr>
    </w:p>
    <w:p w14:paraId="3517CF07" w14:textId="77777777" w:rsidR="00B30DDC" w:rsidRDefault="00B30DDC" w:rsidP="00B30DDC">
      <w:pPr>
        <w:jc w:val="both"/>
        <w:rPr>
          <w:rFonts w:ascii="Calibri" w:hAnsi="Calibri" w:cs="Arial"/>
          <w:lang w:eastAsia="en-GB"/>
        </w:rPr>
      </w:pPr>
      <w:r>
        <w:rPr>
          <w:rFonts w:ascii="Calibri" w:hAnsi="Calibri" w:cs="Arial"/>
          <w:lang w:eastAsia="en-GB"/>
        </w:rPr>
        <w:t>This work should be delivered to facilitate updates to relevant gauging standards.</w:t>
      </w:r>
    </w:p>
    <w:p w14:paraId="6D6E13E9" w14:textId="77777777" w:rsidR="00B30DDC" w:rsidRPr="00206FB1" w:rsidRDefault="00B30DDC" w:rsidP="00B30DDC">
      <w:pPr>
        <w:rPr>
          <w:rFonts w:ascii="Calibri" w:hAnsi="Calibri" w:cs="Arial"/>
          <w:lang w:eastAsia="en-GB"/>
        </w:rPr>
      </w:pPr>
    </w:p>
    <w:p w14:paraId="32FEBFB7" w14:textId="77777777" w:rsidR="00B30DDC" w:rsidRDefault="00B30DDC" w:rsidP="00B30DDC">
      <w:pPr>
        <w:pStyle w:val="Heading1"/>
        <w:numPr>
          <w:ilvl w:val="0"/>
          <w:numId w:val="0"/>
        </w:numPr>
        <w:spacing w:after="0"/>
      </w:pPr>
      <w:r>
        <w:t>Critical Success Factors &amp; Risk Management</w:t>
      </w:r>
    </w:p>
    <w:p w14:paraId="720DA2DF" w14:textId="77777777" w:rsidR="00B30DDC" w:rsidRDefault="00B30DDC" w:rsidP="00B30DDC">
      <w:pPr>
        <w:autoSpaceDE w:val="0"/>
        <w:autoSpaceDN w:val="0"/>
        <w:adjustRightInd w:val="0"/>
        <w:jc w:val="both"/>
        <w:rPr>
          <w:rFonts w:ascii="Calibri" w:hAnsi="Calibri" w:cs="Calibri"/>
          <w:color w:val="000000"/>
        </w:rPr>
      </w:pPr>
    </w:p>
    <w:p w14:paraId="102E4B96" w14:textId="77777777" w:rsidR="00B30DDC" w:rsidRPr="009F03B8" w:rsidRDefault="00B30DDC" w:rsidP="00B30DDC">
      <w:pPr>
        <w:autoSpaceDE w:val="0"/>
        <w:autoSpaceDN w:val="0"/>
        <w:adjustRightInd w:val="0"/>
        <w:jc w:val="both"/>
        <w:rPr>
          <w:rFonts w:ascii="Calibri" w:hAnsi="Calibri" w:cs="Calibri"/>
          <w:color w:val="000000"/>
        </w:rPr>
      </w:pPr>
      <w:r w:rsidRPr="009F03B8">
        <w:rPr>
          <w:rFonts w:ascii="Calibri" w:hAnsi="Calibri" w:cs="Calibri"/>
          <w:color w:val="000000"/>
        </w:rPr>
        <w:t>The following critical success factors define what RSSB consider to be the key outcomes</w:t>
      </w:r>
    </w:p>
    <w:p w14:paraId="5B1675A9" w14:textId="77777777" w:rsidR="00B30DDC" w:rsidRPr="009F03B8" w:rsidRDefault="00B30DDC" w:rsidP="00B30DDC">
      <w:pPr>
        <w:autoSpaceDE w:val="0"/>
        <w:autoSpaceDN w:val="0"/>
        <w:adjustRightInd w:val="0"/>
        <w:jc w:val="both"/>
        <w:rPr>
          <w:rFonts w:ascii="Calibri" w:hAnsi="Calibri" w:cs="Calibri"/>
          <w:color w:val="000000"/>
        </w:rPr>
      </w:pPr>
      <w:r w:rsidRPr="009F03B8">
        <w:rPr>
          <w:rFonts w:ascii="Calibri" w:hAnsi="Calibri" w:cs="Calibri"/>
          <w:color w:val="000000"/>
        </w:rPr>
        <w:t>at the end of this project:</w:t>
      </w:r>
    </w:p>
    <w:p w14:paraId="07ACA8C4" w14:textId="77777777" w:rsidR="00B30DDC" w:rsidRDefault="00B30DDC" w:rsidP="00B30DDC">
      <w:pPr>
        <w:pStyle w:val="ListParagraph"/>
        <w:numPr>
          <w:ilvl w:val="0"/>
          <w:numId w:val="61"/>
        </w:numPr>
        <w:autoSpaceDE w:val="0"/>
        <w:autoSpaceDN w:val="0"/>
        <w:adjustRightInd w:val="0"/>
        <w:spacing w:after="120" w:line="300" w:lineRule="exact"/>
        <w:jc w:val="both"/>
        <w:rPr>
          <w:rFonts w:ascii="Calibri" w:hAnsi="Calibri" w:cs="Calibri"/>
          <w:color w:val="000000"/>
          <w:sz w:val="22"/>
          <w:szCs w:val="22"/>
        </w:rPr>
      </w:pPr>
      <w:r>
        <w:rPr>
          <w:rFonts w:ascii="Calibri" w:hAnsi="Calibri" w:cs="Calibri"/>
          <w:color w:val="000000"/>
          <w:sz w:val="22"/>
          <w:szCs w:val="22"/>
        </w:rPr>
        <w:t>Definition of the supplementary container gauges in the form of proposed text to be included in the relevant standard(s)</w:t>
      </w:r>
    </w:p>
    <w:p w14:paraId="05D32EEA" w14:textId="77777777" w:rsidR="00B30DDC" w:rsidRPr="003B21FC" w:rsidRDefault="00B30DDC" w:rsidP="00B30DDC">
      <w:pPr>
        <w:pStyle w:val="ListParagraph"/>
        <w:numPr>
          <w:ilvl w:val="0"/>
          <w:numId w:val="61"/>
        </w:numPr>
        <w:autoSpaceDE w:val="0"/>
        <w:autoSpaceDN w:val="0"/>
        <w:adjustRightInd w:val="0"/>
        <w:spacing w:after="120" w:line="300" w:lineRule="exact"/>
        <w:jc w:val="both"/>
        <w:rPr>
          <w:rFonts w:ascii="Calibri" w:hAnsi="Calibri" w:cs="Calibri"/>
          <w:color w:val="000000"/>
          <w:sz w:val="22"/>
          <w:szCs w:val="22"/>
        </w:rPr>
      </w:pPr>
      <w:r w:rsidRPr="003B21FC">
        <w:rPr>
          <w:rFonts w:ascii="Calibri" w:hAnsi="Calibri" w:cs="Calibri"/>
          <w:color w:val="000000"/>
          <w:sz w:val="22"/>
          <w:szCs w:val="22"/>
        </w:rPr>
        <w:t xml:space="preserve">The </w:t>
      </w:r>
      <w:r>
        <w:rPr>
          <w:rFonts w:ascii="Calibri" w:hAnsi="Calibri" w:cs="Calibri"/>
          <w:color w:val="000000"/>
          <w:sz w:val="22"/>
          <w:szCs w:val="22"/>
        </w:rPr>
        <w:t>supplementary</w:t>
      </w:r>
      <w:r w:rsidRPr="003B21FC">
        <w:rPr>
          <w:rFonts w:ascii="Calibri" w:hAnsi="Calibri" w:cs="Calibri"/>
          <w:color w:val="000000"/>
          <w:sz w:val="22"/>
          <w:szCs w:val="22"/>
        </w:rPr>
        <w:t xml:space="preserve"> container gauges open new freight pathways</w:t>
      </w:r>
    </w:p>
    <w:p w14:paraId="11BB73F8" w14:textId="77777777" w:rsidR="00B30DDC" w:rsidRDefault="00B30DDC" w:rsidP="00B30DDC">
      <w:pPr>
        <w:pStyle w:val="Bullet1"/>
        <w:numPr>
          <w:ilvl w:val="0"/>
          <w:numId w:val="61"/>
        </w:numPr>
        <w:jc w:val="both"/>
      </w:pPr>
      <w:r>
        <w:t>There is a net positive economic impact to FOCs in the adoption of the supplementary container gauges.</w:t>
      </w:r>
    </w:p>
    <w:p w14:paraId="5F5CA3F8" w14:textId="77777777" w:rsidR="00B30DDC" w:rsidRPr="009F03B8" w:rsidRDefault="00B30DDC" w:rsidP="00B30DDC">
      <w:pPr>
        <w:pStyle w:val="ListParagraph"/>
        <w:numPr>
          <w:ilvl w:val="0"/>
          <w:numId w:val="61"/>
        </w:numPr>
        <w:autoSpaceDE w:val="0"/>
        <w:autoSpaceDN w:val="0"/>
        <w:adjustRightInd w:val="0"/>
        <w:spacing w:after="120" w:line="300" w:lineRule="exact"/>
        <w:jc w:val="both"/>
        <w:rPr>
          <w:rFonts w:ascii="Calibri" w:hAnsi="Calibri" w:cs="Calibri"/>
          <w:color w:val="000000"/>
          <w:sz w:val="22"/>
          <w:szCs w:val="22"/>
        </w:rPr>
      </w:pPr>
      <w:r w:rsidRPr="009F03B8">
        <w:rPr>
          <w:rFonts w:ascii="Calibri" w:hAnsi="Calibri" w:cs="Calibri"/>
          <w:color w:val="000000"/>
          <w:sz w:val="22"/>
          <w:szCs w:val="22"/>
        </w:rPr>
        <w:t xml:space="preserve">Gaining industry buy-in </w:t>
      </w:r>
      <w:r>
        <w:rPr>
          <w:rFonts w:ascii="Calibri" w:hAnsi="Calibri" w:cs="Calibri"/>
          <w:color w:val="000000"/>
          <w:sz w:val="22"/>
          <w:szCs w:val="22"/>
        </w:rPr>
        <w:t>(</w:t>
      </w:r>
      <w:r w:rsidRPr="009F03B8">
        <w:rPr>
          <w:rFonts w:ascii="Calibri" w:hAnsi="Calibri" w:cs="Calibri"/>
          <w:color w:val="000000"/>
          <w:sz w:val="22"/>
          <w:szCs w:val="22"/>
        </w:rPr>
        <w:t xml:space="preserve">e.g. on the economic </w:t>
      </w:r>
      <w:r>
        <w:rPr>
          <w:rFonts w:ascii="Calibri" w:hAnsi="Calibri" w:cs="Calibri"/>
          <w:color w:val="000000"/>
          <w:sz w:val="22"/>
          <w:szCs w:val="22"/>
        </w:rPr>
        <w:t>benefits) by</w:t>
      </w:r>
      <w:r w:rsidRPr="009F03B8">
        <w:rPr>
          <w:rFonts w:ascii="Calibri" w:hAnsi="Calibri" w:cs="Calibri"/>
          <w:color w:val="000000"/>
          <w:sz w:val="22"/>
          <w:szCs w:val="22"/>
        </w:rPr>
        <w:t xml:space="preserve"> establishing appropriate channels to communicate the results to industry members</w:t>
      </w:r>
    </w:p>
    <w:p w14:paraId="000B47C0" w14:textId="77777777" w:rsidR="00B30DDC" w:rsidRPr="009F03B8" w:rsidRDefault="00B30DDC" w:rsidP="00B30DDC">
      <w:pPr>
        <w:pStyle w:val="ListParagraph"/>
        <w:numPr>
          <w:ilvl w:val="0"/>
          <w:numId w:val="61"/>
        </w:numPr>
        <w:autoSpaceDE w:val="0"/>
        <w:autoSpaceDN w:val="0"/>
        <w:adjustRightInd w:val="0"/>
        <w:spacing w:after="120" w:line="300" w:lineRule="exact"/>
        <w:jc w:val="both"/>
        <w:rPr>
          <w:rFonts w:ascii="Calibri" w:hAnsi="Calibri" w:cs="Calibri"/>
          <w:color w:val="000000"/>
          <w:sz w:val="22"/>
          <w:szCs w:val="22"/>
        </w:rPr>
      </w:pPr>
      <w:r w:rsidRPr="009F03B8">
        <w:rPr>
          <w:rFonts w:ascii="Calibri" w:hAnsi="Calibri" w:cs="Calibri"/>
          <w:color w:val="000000"/>
          <w:sz w:val="22"/>
          <w:szCs w:val="22"/>
        </w:rPr>
        <w:t>The</w:t>
      </w:r>
      <w:r>
        <w:rPr>
          <w:rFonts w:ascii="Calibri" w:hAnsi="Calibri" w:cs="Calibri"/>
          <w:color w:val="000000"/>
          <w:sz w:val="22"/>
          <w:szCs w:val="22"/>
        </w:rPr>
        <w:t xml:space="preserve"> supplementary</w:t>
      </w:r>
      <w:r w:rsidRPr="009F03B8">
        <w:rPr>
          <w:rFonts w:ascii="Calibri" w:hAnsi="Calibri" w:cs="Calibri"/>
          <w:color w:val="000000"/>
          <w:sz w:val="22"/>
          <w:szCs w:val="22"/>
        </w:rPr>
        <w:t xml:space="preserve"> </w:t>
      </w:r>
      <w:r>
        <w:rPr>
          <w:rFonts w:ascii="Calibri" w:hAnsi="Calibri" w:cs="Calibri"/>
          <w:color w:val="000000"/>
          <w:sz w:val="22"/>
          <w:szCs w:val="22"/>
        </w:rPr>
        <w:t>gauge</w:t>
      </w:r>
      <w:r w:rsidRPr="009F03B8">
        <w:rPr>
          <w:rFonts w:ascii="Calibri" w:hAnsi="Calibri" w:cs="Calibri"/>
          <w:color w:val="000000"/>
          <w:sz w:val="22"/>
          <w:szCs w:val="22"/>
        </w:rPr>
        <w:t>s are future-proof and adaptable to changes in demand on the rail network</w:t>
      </w:r>
    </w:p>
    <w:p w14:paraId="4BCC3E62" w14:textId="77777777" w:rsidR="00B30DDC" w:rsidRPr="009F03B8" w:rsidRDefault="00B30DDC" w:rsidP="00B30DDC">
      <w:pPr>
        <w:pStyle w:val="ListParagraph"/>
        <w:numPr>
          <w:ilvl w:val="0"/>
          <w:numId w:val="61"/>
        </w:numPr>
        <w:autoSpaceDE w:val="0"/>
        <w:autoSpaceDN w:val="0"/>
        <w:adjustRightInd w:val="0"/>
        <w:spacing w:after="120" w:line="300" w:lineRule="exact"/>
        <w:jc w:val="both"/>
        <w:rPr>
          <w:rFonts w:ascii="Calibri" w:hAnsi="Calibri" w:cs="Calibri"/>
          <w:color w:val="000000"/>
          <w:sz w:val="22"/>
          <w:szCs w:val="22"/>
        </w:rPr>
      </w:pPr>
      <w:r w:rsidRPr="009F03B8">
        <w:rPr>
          <w:rFonts w:ascii="Calibri" w:hAnsi="Calibri" w:cs="Calibri"/>
          <w:color w:val="000000"/>
          <w:sz w:val="22"/>
          <w:szCs w:val="22"/>
        </w:rPr>
        <w:t xml:space="preserve">The recommended solutions can be implemented and are considered feasible by </w:t>
      </w:r>
      <w:r>
        <w:rPr>
          <w:rFonts w:ascii="Calibri" w:hAnsi="Calibri" w:cs="Calibri"/>
          <w:color w:val="000000"/>
          <w:sz w:val="22"/>
          <w:szCs w:val="22"/>
        </w:rPr>
        <w:t>FOCs</w:t>
      </w:r>
      <w:r w:rsidRPr="009F03B8">
        <w:rPr>
          <w:rFonts w:ascii="Calibri" w:hAnsi="Calibri" w:cs="Calibri"/>
          <w:color w:val="000000"/>
          <w:sz w:val="22"/>
          <w:szCs w:val="22"/>
        </w:rPr>
        <w:t xml:space="preserve"> and suppliers</w:t>
      </w:r>
    </w:p>
    <w:p w14:paraId="758200D4" w14:textId="77777777" w:rsidR="00B30DDC" w:rsidRDefault="00B30DDC" w:rsidP="00B30DDC">
      <w:pPr>
        <w:pStyle w:val="Bullet1"/>
        <w:numPr>
          <w:ilvl w:val="0"/>
          <w:numId w:val="0"/>
        </w:numPr>
        <w:jc w:val="both"/>
      </w:pPr>
    </w:p>
    <w:p w14:paraId="1766BA95" w14:textId="77777777" w:rsidR="00B30DDC" w:rsidRDefault="00B30DDC" w:rsidP="00B30DDC">
      <w:pPr>
        <w:autoSpaceDE w:val="0"/>
        <w:autoSpaceDN w:val="0"/>
        <w:adjustRightInd w:val="0"/>
        <w:jc w:val="both"/>
        <w:rPr>
          <w:rFonts w:ascii="Calibri" w:hAnsi="Calibri" w:cs="Calibri"/>
          <w:color w:val="000000"/>
        </w:rPr>
      </w:pPr>
      <w:r>
        <w:rPr>
          <w:rFonts w:ascii="Calibri" w:hAnsi="Calibri" w:cs="Calibri"/>
          <w:color w:val="000000"/>
        </w:rPr>
        <w:t>The project risks identify potential threats to the supplier’s successful delivery of the project. RSSB expects the supplier to identify risks, propose effective management and</w:t>
      </w:r>
    </w:p>
    <w:p w14:paraId="5B109974" w14:textId="77777777" w:rsidR="00B30DDC" w:rsidRDefault="00B30DDC" w:rsidP="00B30DDC">
      <w:pPr>
        <w:autoSpaceDE w:val="0"/>
        <w:autoSpaceDN w:val="0"/>
        <w:adjustRightInd w:val="0"/>
        <w:jc w:val="both"/>
        <w:rPr>
          <w:rFonts w:ascii="Calibri" w:hAnsi="Calibri" w:cs="Calibri"/>
          <w:color w:val="000000"/>
        </w:rPr>
      </w:pPr>
      <w:r>
        <w:rPr>
          <w:rFonts w:ascii="Calibri" w:hAnsi="Calibri" w:cs="Calibri"/>
          <w:color w:val="000000"/>
        </w:rPr>
        <w:t>mitigation measures, and regularly review these risks as the project progresses. RSSB</w:t>
      </w:r>
    </w:p>
    <w:p w14:paraId="26DBE13E" w14:textId="77777777" w:rsidR="00B30DDC" w:rsidRDefault="00B30DDC" w:rsidP="00B30DDC">
      <w:pPr>
        <w:autoSpaceDE w:val="0"/>
        <w:autoSpaceDN w:val="0"/>
        <w:adjustRightInd w:val="0"/>
        <w:jc w:val="both"/>
        <w:rPr>
          <w:rFonts w:ascii="Calibri" w:hAnsi="Calibri" w:cs="Calibri"/>
          <w:color w:val="000000"/>
        </w:rPr>
      </w:pPr>
      <w:r>
        <w:rPr>
          <w:rFonts w:ascii="Calibri" w:hAnsi="Calibri" w:cs="Calibri"/>
          <w:color w:val="000000"/>
        </w:rPr>
        <w:t>have identified the following initial risks:</w:t>
      </w:r>
    </w:p>
    <w:p w14:paraId="5C5CC2CA" w14:textId="77777777" w:rsidR="00B30DDC" w:rsidRPr="009F03B8" w:rsidRDefault="00B30DDC" w:rsidP="00B30DDC">
      <w:pPr>
        <w:pStyle w:val="ListParagraph"/>
        <w:numPr>
          <w:ilvl w:val="0"/>
          <w:numId w:val="62"/>
        </w:numPr>
        <w:autoSpaceDE w:val="0"/>
        <w:autoSpaceDN w:val="0"/>
        <w:adjustRightInd w:val="0"/>
        <w:spacing w:after="120" w:line="300" w:lineRule="exact"/>
        <w:jc w:val="both"/>
        <w:rPr>
          <w:rFonts w:ascii="Calibri" w:hAnsi="Calibri" w:cs="Calibri"/>
          <w:color w:val="000000"/>
          <w:sz w:val="22"/>
        </w:rPr>
      </w:pPr>
      <w:r w:rsidRPr="009F03B8">
        <w:rPr>
          <w:rFonts w:ascii="Calibri" w:hAnsi="Calibri" w:cs="Calibri"/>
          <w:color w:val="000000"/>
          <w:sz w:val="22"/>
        </w:rPr>
        <w:t xml:space="preserve">The duration of the project will span the </w:t>
      </w:r>
      <w:r>
        <w:rPr>
          <w:rFonts w:ascii="Calibri" w:hAnsi="Calibri" w:cs="Calibri"/>
          <w:color w:val="000000"/>
          <w:sz w:val="22"/>
        </w:rPr>
        <w:t>Christmas</w:t>
      </w:r>
      <w:r w:rsidRPr="009F03B8">
        <w:rPr>
          <w:rFonts w:ascii="Calibri" w:hAnsi="Calibri" w:cs="Calibri"/>
          <w:color w:val="000000"/>
          <w:sz w:val="22"/>
        </w:rPr>
        <w:t xml:space="preserve"> </w:t>
      </w:r>
      <w:r>
        <w:rPr>
          <w:rFonts w:ascii="Calibri" w:hAnsi="Calibri" w:cs="Calibri"/>
          <w:color w:val="000000"/>
          <w:sz w:val="22"/>
        </w:rPr>
        <w:t>and</w:t>
      </w:r>
      <w:r w:rsidRPr="009F03B8">
        <w:rPr>
          <w:rFonts w:ascii="Calibri" w:hAnsi="Calibri" w:cs="Calibri"/>
          <w:color w:val="000000"/>
          <w:sz w:val="22"/>
        </w:rPr>
        <w:t xml:space="preserve"> </w:t>
      </w:r>
      <w:r>
        <w:rPr>
          <w:rFonts w:ascii="Calibri" w:hAnsi="Calibri" w:cs="Calibri"/>
          <w:color w:val="000000"/>
          <w:sz w:val="22"/>
        </w:rPr>
        <w:t>Summer</w:t>
      </w:r>
      <w:r w:rsidRPr="009F03B8">
        <w:rPr>
          <w:rFonts w:ascii="Calibri" w:hAnsi="Calibri" w:cs="Calibri"/>
          <w:color w:val="000000"/>
          <w:sz w:val="22"/>
        </w:rPr>
        <w:t xml:space="preserve"> periods, thereby incurring a risk in limited staff availability. To mitigate this, the supplier should detail a robust project strategy.</w:t>
      </w:r>
    </w:p>
    <w:p w14:paraId="6DA9B338" w14:textId="77777777" w:rsidR="00B30DDC" w:rsidRDefault="00B30DDC" w:rsidP="00B30DDC">
      <w:pPr>
        <w:pStyle w:val="ListParagraph"/>
        <w:numPr>
          <w:ilvl w:val="0"/>
          <w:numId w:val="62"/>
        </w:numPr>
        <w:autoSpaceDE w:val="0"/>
        <w:autoSpaceDN w:val="0"/>
        <w:adjustRightInd w:val="0"/>
        <w:spacing w:after="120" w:line="300" w:lineRule="exact"/>
        <w:jc w:val="both"/>
        <w:rPr>
          <w:rFonts w:ascii="Calibri" w:hAnsi="Calibri" w:cs="Calibri"/>
          <w:color w:val="000000"/>
          <w:sz w:val="22"/>
        </w:rPr>
      </w:pPr>
      <w:r w:rsidRPr="009F03B8">
        <w:rPr>
          <w:rFonts w:ascii="Calibri" w:hAnsi="Calibri" w:cs="Calibri"/>
          <w:color w:val="000000"/>
          <w:sz w:val="22"/>
        </w:rPr>
        <w:lastRenderedPageBreak/>
        <w:t xml:space="preserve">Securing </w:t>
      </w:r>
      <w:r>
        <w:rPr>
          <w:rFonts w:ascii="Calibri" w:hAnsi="Calibri" w:cs="Calibri"/>
          <w:color w:val="000000"/>
          <w:sz w:val="22"/>
        </w:rPr>
        <w:t>access to vehicle models and wagon design information</w:t>
      </w:r>
      <w:r w:rsidRPr="009F03B8">
        <w:rPr>
          <w:rFonts w:ascii="Calibri" w:hAnsi="Calibri" w:cs="Calibri"/>
          <w:color w:val="000000"/>
          <w:sz w:val="22"/>
        </w:rPr>
        <w:t xml:space="preserve"> may be difficult but can be mitigated through engaging with industry contacts and the project steering group. RSSB will facilitate with the provision of </w:t>
      </w:r>
      <w:r>
        <w:rPr>
          <w:rFonts w:ascii="Calibri" w:hAnsi="Calibri" w:cs="Calibri"/>
          <w:color w:val="000000"/>
          <w:sz w:val="22"/>
        </w:rPr>
        <w:t>information</w:t>
      </w:r>
      <w:r w:rsidRPr="009F03B8">
        <w:rPr>
          <w:rFonts w:ascii="Calibri" w:hAnsi="Calibri" w:cs="Calibri"/>
          <w:color w:val="000000"/>
          <w:sz w:val="22"/>
        </w:rPr>
        <w:t xml:space="preserve"> but cannot guarantee access. </w:t>
      </w:r>
      <w:r>
        <w:rPr>
          <w:rFonts w:ascii="Calibri" w:hAnsi="Calibri" w:cs="Calibri"/>
          <w:color w:val="000000"/>
          <w:sz w:val="22"/>
        </w:rPr>
        <w:t>Suppliers are expected to identify information and communicate with RSSB in advance, if it is anticipated that additional</w:t>
      </w:r>
      <w:r w:rsidRPr="009F03B8">
        <w:rPr>
          <w:rFonts w:ascii="Calibri" w:hAnsi="Calibri" w:cs="Calibri"/>
          <w:color w:val="000000"/>
          <w:sz w:val="22"/>
        </w:rPr>
        <w:t xml:space="preserve"> support would be required.</w:t>
      </w:r>
    </w:p>
    <w:p w14:paraId="224D6481" w14:textId="77777777" w:rsidR="00B30DDC" w:rsidRPr="003B21FC" w:rsidRDefault="00B30DDC" w:rsidP="00B30DDC">
      <w:pPr>
        <w:pStyle w:val="ListParagraph"/>
        <w:numPr>
          <w:ilvl w:val="0"/>
          <w:numId w:val="62"/>
        </w:numPr>
        <w:autoSpaceDE w:val="0"/>
        <w:autoSpaceDN w:val="0"/>
        <w:adjustRightInd w:val="0"/>
        <w:spacing w:after="120" w:line="300" w:lineRule="exact"/>
        <w:jc w:val="both"/>
        <w:rPr>
          <w:rFonts w:ascii="Calibri" w:eastAsiaTheme="minorHAnsi" w:hAnsi="Calibri" w:cs="Calibri"/>
          <w:sz w:val="22"/>
          <w:szCs w:val="22"/>
        </w:rPr>
      </w:pPr>
      <w:r w:rsidRPr="003B21FC">
        <w:rPr>
          <w:rFonts w:ascii="Calibri" w:hAnsi="Calibri" w:cs="Calibri"/>
          <w:color w:val="000000"/>
          <w:sz w:val="22"/>
        </w:rPr>
        <w:t>The suggested timeframe assumes that one iteration per gauge is likely to occur in Work Package 2.2. Should the number of iterations per gauge exceed this, the time of the project may increase, resulting in a greater risk that the findings may not be ready in time for the planned review of gauging standards.</w:t>
      </w:r>
    </w:p>
    <w:p w14:paraId="0E1577C4" w14:textId="77777777" w:rsidR="00B30DDC" w:rsidRPr="003B21FC" w:rsidRDefault="00B30DDC" w:rsidP="00B30DDC">
      <w:pPr>
        <w:autoSpaceDE w:val="0"/>
        <w:autoSpaceDN w:val="0"/>
        <w:adjustRightInd w:val="0"/>
        <w:spacing w:after="120" w:line="300" w:lineRule="exact"/>
        <w:jc w:val="both"/>
        <w:rPr>
          <w:rFonts w:ascii="Calibri" w:hAnsi="Calibri" w:cs="Calibri"/>
        </w:rPr>
      </w:pPr>
    </w:p>
    <w:p w14:paraId="68A057F1" w14:textId="77777777" w:rsidR="00B30DDC" w:rsidRDefault="00B30DDC" w:rsidP="00B30DDC">
      <w:pPr>
        <w:autoSpaceDE w:val="0"/>
        <w:autoSpaceDN w:val="0"/>
        <w:adjustRightInd w:val="0"/>
        <w:jc w:val="both"/>
        <w:rPr>
          <w:rFonts w:ascii="Calibri" w:hAnsi="Calibri" w:cs="Calibri"/>
        </w:rPr>
      </w:pPr>
      <w:r>
        <w:rPr>
          <w:rFonts w:ascii="Calibri" w:hAnsi="Calibri" w:cs="Calibri"/>
        </w:rPr>
        <w:t>A detailed risk assessment/register and assumptions register should be provided</w:t>
      </w:r>
    </w:p>
    <w:p w14:paraId="6A5AAC2A" w14:textId="77777777" w:rsidR="00B30DDC" w:rsidRDefault="00B30DDC" w:rsidP="00B30DDC">
      <w:pPr>
        <w:autoSpaceDE w:val="0"/>
        <w:autoSpaceDN w:val="0"/>
        <w:adjustRightInd w:val="0"/>
        <w:jc w:val="both"/>
        <w:rPr>
          <w:rFonts w:ascii="Calibri" w:hAnsi="Calibri" w:cs="Calibri"/>
        </w:rPr>
      </w:pPr>
      <w:r>
        <w:rPr>
          <w:rFonts w:ascii="Calibri" w:hAnsi="Calibri" w:cs="Calibri"/>
        </w:rPr>
        <w:t>highlighting areas where greater attention may be required to ensure success of the</w:t>
      </w:r>
    </w:p>
    <w:p w14:paraId="338BAB83" w14:textId="77777777" w:rsidR="00B30DDC" w:rsidRDefault="00B30DDC" w:rsidP="00B30DDC">
      <w:pPr>
        <w:autoSpaceDE w:val="0"/>
        <w:autoSpaceDN w:val="0"/>
        <w:adjustRightInd w:val="0"/>
        <w:jc w:val="both"/>
        <w:rPr>
          <w:rFonts w:ascii="Calibri" w:hAnsi="Calibri" w:cs="Calibri"/>
        </w:rPr>
      </w:pPr>
      <w:r>
        <w:rPr>
          <w:rFonts w:ascii="Calibri" w:hAnsi="Calibri" w:cs="Calibri"/>
        </w:rPr>
        <w:t>project.</w:t>
      </w:r>
    </w:p>
    <w:p w14:paraId="4E3A9C4E" w14:textId="77777777" w:rsidR="00447CEE" w:rsidRDefault="00447CEE" w:rsidP="00447CEE">
      <w:pPr>
        <w:rPr>
          <w:rFonts w:ascii="Calibri" w:hAnsi="Calibri" w:cs="Arial"/>
          <w:color w:val="00968E"/>
          <w:sz w:val="36"/>
          <w:lang w:eastAsia="en-GB"/>
        </w:rPr>
      </w:pPr>
      <w:r>
        <w:br w:type="page"/>
      </w:r>
    </w:p>
    <w:p w14:paraId="4F58B9E8" w14:textId="26C1CF4C" w:rsidR="00447CEE" w:rsidRPr="00E52B87" w:rsidRDefault="00447CEE" w:rsidP="00E52B87">
      <w:pPr>
        <w:pStyle w:val="NoSpacing"/>
        <w:rPr>
          <w:rFonts w:asciiTheme="minorHAnsi" w:hAnsiTheme="minorHAnsi" w:cs="Arial"/>
        </w:rPr>
        <w:sectPr w:rsidR="00447CEE" w:rsidRPr="00E52B87" w:rsidSect="0024761A">
          <w:headerReference w:type="even" r:id="rId19"/>
          <w:headerReference w:type="default" r:id="rId20"/>
          <w:footerReference w:type="even" r:id="rId21"/>
          <w:footerReference w:type="default" r:id="rId22"/>
          <w:headerReference w:type="first" r:id="rId23"/>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20"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7"/>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235AFD">
        <w:rPr>
          <w:rFonts w:asciiTheme="minorHAnsi" w:hAnsiTheme="minorHAnsi" w:cs="Arial"/>
          <w:b/>
          <w:bCs/>
          <w:sz w:val="22"/>
          <w:szCs w:val="22"/>
        </w:rPr>
      </w:r>
      <w:r w:rsidR="00235AFD">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235AFD"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20"/>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4"/>
      <w:footerReference w:type="even" r:id="rId25"/>
      <w:footerReference w:type="default" r:id="rId26"/>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87FB7" w14:textId="77777777" w:rsidR="0075608F" w:rsidRDefault="0075608F" w:rsidP="0003785D">
      <w:r>
        <w:separator/>
      </w:r>
    </w:p>
  </w:endnote>
  <w:endnote w:type="continuationSeparator" w:id="0">
    <w:p w14:paraId="59293C52" w14:textId="77777777" w:rsidR="0075608F" w:rsidRDefault="0075608F"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235AFD" w:rsidRDefault="00235A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235AFD" w:rsidRDefault="00235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235AFD" w:rsidRPr="00F735CB" w:rsidRDefault="00235AFD"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235AFD" w:rsidRDefault="00235AF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235AFD" w:rsidRDefault="00235A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9149" w14:textId="5A93401B" w:rsidR="00235AFD" w:rsidRDefault="00235AFD" w:rsidP="00674166">
    <w:pPr>
      <w:pStyle w:val="FooterLeft"/>
    </w:pPr>
    <w:r>
      <w:fldChar w:fldCharType="begin"/>
    </w:r>
    <w:r>
      <w:instrText xml:space="preserve"> PAGE   \* MERGEFORMAT </w:instrText>
    </w:r>
    <w:r>
      <w:fldChar w:fldCharType="separate"/>
    </w:r>
    <w:r>
      <w:rPr>
        <w:noProof/>
      </w:rPr>
      <w:t>20</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Pr>
        <w:noProof/>
      </w:rPr>
      <w:t>12-Nov-18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479" w14:textId="78BBBA49" w:rsidR="00235AFD" w:rsidRDefault="00235AFD" w:rsidP="00674166">
    <w:pPr>
      <w:pStyle w:val="FooterRight"/>
    </w:pPr>
    <w:r>
      <w:fldChar w:fldCharType="begin"/>
    </w:r>
    <w:r>
      <w:instrText xml:space="preserve"> PAGE   \* MERGEFORMAT </w:instrText>
    </w:r>
    <w:r>
      <w:fldChar w:fldCharType="separate"/>
    </w:r>
    <w:r>
      <w:rPr>
        <w:noProof/>
      </w:rPr>
      <w:t>19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235AFD" w:rsidRDefault="00235AFD"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235AFD" w:rsidRDefault="00235AFD"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98DAE" w14:textId="77777777" w:rsidR="0075608F" w:rsidRDefault="0075608F" w:rsidP="0003785D">
      <w:r>
        <w:separator/>
      </w:r>
    </w:p>
  </w:footnote>
  <w:footnote w:type="continuationSeparator" w:id="0">
    <w:p w14:paraId="163A50FE" w14:textId="77777777" w:rsidR="0075608F" w:rsidRDefault="0075608F" w:rsidP="0003785D">
      <w:r>
        <w:continuationSeparator/>
      </w:r>
    </w:p>
  </w:footnote>
  <w:footnote w:id="1">
    <w:p w14:paraId="103F9BC8" w14:textId="77777777" w:rsidR="00B30DDC" w:rsidRDefault="00B30DDC" w:rsidP="00B30DDC">
      <w:pPr>
        <w:pStyle w:val="FootnoteText"/>
      </w:pPr>
      <w:r>
        <w:rPr>
          <w:rStyle w:val="FootnoteReference"/>
        </w:rPr>
        <w:footnoteRef/>
      </w:r>
      <w:r>
        <w:t xml:space="preserve"> </w:t>
      </w:r>
      <w:r w:rsidRPr="00021601">
        <w:rPr>
          <w:rFonts w:cs="Arial"/>
          <w:sz w:val="16"/>
          <w:szCs w:val="16"/>
        </w:rPr>
        <w:t xml:space="preserve">ORR Freight Rail Usage Statistical Release – 2017-18 Q4 </w:t>
      </w:r>
      <w:hyperlink r:id="rId1" w:history="1">
        <w:r w:rsidRPr="00021601">
          <w:rPr>
            <w:rStyle w:val="Hyperlink"/>
            <w:rFonts w:cs="Arial"/>
            <w:sz w:val="16"/>
            <w:szCs w:val="16"/>
            <w:shd w:val="clear" w:color="auto" w:fill="FFFFFF"/>
          </w:rPr>
          <w:t>orr.gov.uk/__data/assets/pdf_file/0010/.../freight-rail-usage-2017-18-quarter-4.pdf</w:t>
        </w:r>
      </w:hyperlink>
    </w:p>
  </w:footnote>
  <w:footnote w:id="2">
    <w:p w14:paraId="7347FD4D" w14:textId="77777777" w:rsidR="00B30DDC" w:rsidRDefault="00B30DDC" w:rsidP="00B30DDC">
      <w:pPr>
        <w:pStyle w:val="FootnoteText"/>
      </w:pPr>
      <w:r>
        <w:rPr>
          <w:rStyle w:val="FootnoteReference"/>
        </w:rPr>
        <w:footnoteRef/>
      </w:r>
      <w:r>
        <w:t xml:space="preserve"> </w:t>
      </w:r>
      <w:r w:rsidRPr="00F40C70">
        <w:rPr>
          <w:sz w:val="16"/>
          <w:szCs w:val="16"/>
        </w:rPr>
        <w:t xml:space="preserve">Unlike freight </w:t>
      </w:r>
      <w:r>
        <w:rPr>
          <w:sz w:val="16"/>
          <w:szCs w:val="16"/>
        </w:rPr>
        <w:t>lift</w:t>
      </w:r>
      <w:r w:rsidRPr="00F40C70">
        <w:rPr>
          <w:sz w:val="16"/>
          <w:szCs w:val="16"/>
        </w:rPr>
        <w:t xml:space="preserve">ed, freight </w:t>
      </w:r>
      <w:r>
        <w:rPr>
          <w:sz w:val="16"/>
          <w:szCs w:val="16"/>
        </w:rPr>
        <w:t>move</w:t>
      </w:r>
      <w:r w:rsidRPr="00F40C70">
        <w:rPr>
          <w:sz w:val="16"/>
          <w:szCs w:val="16"/>
        </w:rPr>
        <w:t>d account</w:t>
      </w:r>
      <w:r>
        <w:rPr>
          <w:sz w:val="16"/>
          <w:szCs w:val="16"/>
        </w:rPr>
        <w:t>s</w:t>
      </w:r>
      <w:r w:rsidRPr="00F40C70">
        <w:rPr>
          <w:sz w:val="16"/>
          <w:szCs w:val="16"/>
        </w:rPr>
        <w:t xml:space="preserve"> for the distance travelled</w:t>
      </w:r>
    </w:p>
  </w:footnote>
  <w:footnote w:id="3">
    <w:p w14:paraId="2BCD7546" w14:textId="77777777" w:rsidR="00B30DDC" w:rsidRDefault="00B30DDC" w:rsidP="00B30DDC">
      <w:pPr>
        <w:pStyle w:val="FootnoteText"/>
      </w:pPr>
      <w:r>
        <w:rPr>
          <w:rStyle w:val="FootnoteReference"/>
        </w:rPr>
        <w:footnoteRef/>
      </w:r>
      <w:r>
        <w:t xml:space="preserve"> </w:t>
      </w:r>
      <w:r w:rsidRPr="00021601">
        <w:rPr>
          <w:sz w:val="16"/>
        </w:rPr>
        <w:t xml:space="preserve">ORR Freight moved – Table 13.7 </w:t>
      </w:r>
      <w:hyperlink r:id="rId2" w:history="1">
        <w:r w:rsidRPr="00021601">
          <w:rPr>
            <w:rStyle w:val="Hyperlink"/>
            <w:sz w:val="16"/>
          </w:rPr>
          <w:t>http://dataportal.orr.gov.uk/displayreport/report/html/a201ed45-23cf-4785-8d71-881f93592314#</w:t>
        </w:r>
      </w:hyperlink>
    </w:p>
  </w:footnote>
  <w:footnote w:id="4">
    <w:p w14:paraId="0418D37A" w14:textId="77777777" w:rsidR="00B30DDC" w:rsidRDefault="00B30DDC" w:rsidP="00B30DDC">
      <w:pPr>
        <w:pStyle w:val="FootnoteText"/>
      </w:pPr>
      <w:r w:rsidRPr="00F40C70">
        <w:rPr>
          <w:rStyle w:val="FootnoteReference"/>
          <w:sz w:val="16"/>
        </w:rPr>
        <w:footnoteRef/>
      </w:r>
      <w:r w:rsidRPr="00F40C70">
        <w:rPr>
          <w:sz w:val="16"/>
        </w:rPr>
        <w:t xml:space="preserve"> </w:t>
      </w:r>
      <w:proofErr w:type="spellStart"/>
      <w:r w:rsidRPr="00F40C70">
        <w:rPr>
          <w:sz w:val="16"/>
        </w:rPr>
        <w:t>Rail</w:t>
      </w:r>
      <w:r>
        <w:rPr>
          <w:sz w:val="16"/>
        </w:rPr>
        <w:t>f</w:t>
      </w:r>
      <w:r w:rsidRPr="00F40C70">
        <w:rPr>
          <w:sz w:val="16"/>
        </w:rPr>
        <w:t>reight</w:t>
      </w:r>
      <w:proofErr w:type="spellEnd"/>
      <w:r w:rsidRPr="00F40C70">
        <w:rPr>
          <w:sz w:val="16"/>
        </w:rPr>
        <w:t>: ‘</w:t>
      </w:r>
      <w:r w:rsidRPr="00F40C70">
        <w:rPr>
          <w:i/>
          <w:sz w:val="16"/>
        </w:rPr>
        <w:t>Steep decline in coal demand sees UK rail freight down’</w:t>
      </w:r>
      <w:r w:rsidRPr="00F40C70">
        <w:rPr>
          <w:sz w:val="16"/>
        </w:rPr>
        <w:t xml:space="preserve"> </w:t>
      </w:r>
      <w:hyperlink r:id="rId3" w:history="1">
        <w:r w:rsidRPr="00F40C70">
          <w:rPr>
            <w:rStyle w:val="Hyperlink"/>
            <w:sz w:val="16"/>
          </w:rPr>
          <w:t>https://www.railfreight.com/business/2017/06/09/steep-decline-in-coal-demand-sees-uk-rail-freight-plummet/</w:t>
        </w:r>
      </w:hyperlink>
    </w:p>
  </w:footnote>
  <w:footnote w:id="5">
    <w:p w14:paraId="4775A904" w14:textId="77777777" w:rsidR="00B30DDC" w:rsidRDefault="00B30DDC" w:rsidP="00B30DDC">
      <w:pPr>
        <w:pStyle w:val="FootnoteText"/>
      </w:pPr>
      <w:r>
        <w:rPr>
          <w:rStyle w:val="FootnoteReference"/>
        </w:rPr>
        <w:footnoteRef/>
      </w:r>
      <w:r>
        <w:t xml:space="preserve"> </w:t>
      </w:r>
      <w:r>
        <w:rPr>
          <w:sz w:val="16"/>
        </w:rPr>
        <w:t>Th</w:t>
      </w:r>
      <w:r w:rsidRPr="00DE4C6F">
        <w:rPr>
          <w:sz w:val="16"/>
        </w:rPr>
        <w:t>is specification is for Work Package 2 as Work Package 1 refers to the development of the project carried out by RSSB</w:t>
      </w:r>
    </w:p>
  </w:footnote>
  <w:footnote w:id="6">
    <w:p w14:paraId="07E1D30D" w14:textId="77777777" w:rsidR="00B30DDC" w:rsidRDefault="00B30DDC" w:rsidP="00B30DDC">
      <w:pPr>
        <w:pStyle w:val="FootnoteText"/>
      </w:pPr>
      <w:r>
        <w:rPr>
          <w:rStyle w:val="FootnoteReference"/>
        </w:rPr>
        <w:footnoteRef/>
      </w:r>
      <w:r>
        <w:t xml:space="preserve"> </w:t>
      </w:r>
      <w:r w:rsidRPr="00A919B9">
        <w:rPr>
          <w:rFonts w:cs="Arial"/>
          <w:sz w:val="16"/>
        </w:rPr>
        <w:t>The new gauge could be narrower and taller, shorter and wider, or recommend utilising both.</w:t>
      </w:r>
    </w:p>
  </w:footnote>
  <w:footnote w:id="7">
    <w:p w14:paraId="383B7734" w14:textId="77777777" w:rsidR="00235AFD" w:rsidRPr="00B13B50" w:rsidRDefault="00235AFD"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235AFD" w:rsidRDefault="00235AFD">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235AFD" w:rsidRDefault="00235AFD" w:rsidP="00D2105A">
                          <w:r w:rsidRPr="00FD024D">
                            <w:rPr>
                              <w:noProof/>
                              <w:lang w:eastAsia="en-GB"/>
                            </w:rPr>
                            <w:drawing>
                              <wp:inline distT="0" distB="0" distL="0" distR="0" wp14:anchorId="01F826B5" wp14:editId="27F1ADBF">
                                <wp:extent cx="1104900" cy="769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235AFD" w:rsidRDefault="00235AFD" w:rsidP="00D2105A">
                    <w:r w:rsidRPr="00FD024D">
                      <w:rPr>
                        <w:noProof/>
                        <w:lang w:eastAsia="en-GB"/>
                      </w:rPr>
                      <w:drawing>
                        <wp:inline distT="0" distB="0" distL="0" distR="0" wp14:anchorId="01F826B5" wp14:editId="27F1ADBF">
                          <wp:extent cx="1104900" cy="769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96C7" w14:textId="77777777" w:rsidR="00235AFD" w:rsidRDefault="00235A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344D" w14:textId="77777777" w:rsidR="00235AFD" w:rsidRPr="0003785D" w:rsidRDefault="00235AFD" w:rsidP="0003785D">
    <w:pPr>
      <w:pStyle w:val="Image"/>
    </w:pPr>
    <w:r>
      <w:rPr>
        <w:noProof/>
        <w:lang w:eastAsia="en-GB"/>
      </w:rPr>
      <w:drawing>
        <wp:inline distT="0" distB="0" distL="0" distR="0" wp14:anchorId="40B1F8DA" wp14:editId="06A49865">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51E" w14:textId="77777777" w:rsidR="00235AFD" w:rsidRDefault="00235A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235AFD" w:rsidRPr="0003785D" w:rsidRDefault="00235AFD"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1A6113"/>
    <w:multiLevelType w:val="hybridMultilevel"/>
    <w:tmpl w:val="BF6C3B36"/>
    <w:lvl w:ilvl="0" w:tplc="D188F704">
      <w:start w:val="1"/>
      <w:numFmt w:val="bullet"/>
      <w:lvlText w:val=""/>
      <w:lvlJc w:val="left"/>
      <w:pPr>
        <w:ind w:left="360" w:hanging="360"/>
      </w:pPr>
      <w:rPr>
        <w:rFonts w:ascii="Symbol" w:hAnsi="Symbol" w:hint="default"/>
        <w:color w:val="00968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4B63D0"/>
    <w:multiLevelType w:val="hybridMultilevel"/>
    <w:tmpl w:val="DD3CEE8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DE24A55"/>
    <w:multiLevelType w:val="hybridMultilevel"/>
    <w:tmpl w:val="A7168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0F20701E"/>
    <w:multiLevelType w:val="hybridMultilevel"/>
    <w:tmpl w:val="F55EA978"/>
    <w:lvl w:ilvl="0" w:tplc="D188F704">
      <w:start w:val="1"/>
      <w:numFmt w:val="bullet"/>
      <w:lvlText w:val=""/>
      <w:lvlJc w:val="left"/>
      <w:pPr>
        <w:ind w:left="360" w:hanging="360"/>
      </w:pPr>
      <w:rPr>
        <w:rFonts w:ascii="Symbol" w:hAnsi="Symbol" w:hint="default"/>
        <w:color w:val="00968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4B1841"/>
    <w:multiLevelType w:val="hybridMultilevel"/>
    <w:tmpl w:val="C742C6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F148DE"/>
    <w:multiLevelType w:val="hybridMultilevel"/>
    <w:tmpl w:val="497C7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06366A"/>
    <w:multiLevelType w:val="hybridMultilevel"/>
    <w:tmpl w:val="176A9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00818B6"/>
    <w:multiLevelType w:val="hybridMultilevel"/>
    <w:tmpl w:val="628A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4E0058"/>
    <w:multiLevelType w:val="multilevel"/>
    <w:tmpl w:val="C174357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A3610DB"/>
    <w:multiLevelType w:val="hybridMultilevel"/>
    <w:tmpl w:val="C6400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990AAA"/>
    <w:multiLevelType w:val="hybridMultilevel"/>
    <w:tmpl w:val="597A00C6"/>
    <w:name w:val="OutlineNumbered3"/>
    <w:lvl w:ilvl="0" w:tplc="7C1C9EAA">
      <w:start w:val="1"/>
      <w:numFmt w:val="decimal"/>
      <w:pStyle w:val="Heading2"/>
      <w:lvlText w:val="%1.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611FFD"/>
    <w:multiLevelType w:val="hybridMultilevel"/>
    <w:tmpl w:val="CC74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5B5501"/>
    <w:multiLevelType w:val="hybridMultilevel"/>
    <w:tmpl w:val="DA709C7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5" w15:restartNumberingAfterBreak="0">
    <w:nsid w:val="429C1032"/>
    <w:multiLevelType w:val="multilevel"/>
    <w:tmpl w:val="689228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4905FF"/>
    <w:multiLevelType w:val="hybridMultilevel"/>
    <w:tmpl w:val="8AF0C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7100235"/>
    <w:multiLevelType w:val="hybridMultilevel"/>
    <w:tmpl w:val="C5A8435A"/>
    <w:lvl w:ilvl="0" w:tplc="D188F704">
      <w:start w:val="1"/>
      <w:numFmt w:val="bullet"/>
      <w:lvlText w:val=""/>
      <w:lvlJc w:val="left"/>
      <w:pPr>
        <w:ind w:left="360" w:hanging="360"/>
      </w:pPr>
      <w:rPr>
        <w:rFonts w:ascii="Symbol" w:hAnsi="Symbol" w:hint="default"/>
        <w:color w:val="00968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5B0D95"/>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15:restartNumberingAfterBreak="0">
    <w:nsid w:val="5FCF6118"/>
    <w:multiLevelType w:val="multilevel"/>
    <w:tmpl w:val="6360EEA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106009A"/>
    <w:multiLevelType w:val="hybridMultilevel"/>
    <w:tmpl w:val="8372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090BC0"/>
    <w:multiLevelType w:val="hybridMultilevel"/>
    <w:tmpl w:val="CC86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68277FF7"/>
    <w:multiLevelType w:val="hybridMultilevel"/>
    <w:tmpl w:val="FBF80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6" w15:restartNumberingAfterBreak="0">
    <w:nsid w:val="717D114B"/>
    <w:multiLevelType w:val="hybridMultilevel"/>
    <w:tmpl w:val="3D52C8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4E6B03"/>
    <w:multiLevelType w:val="multilevel"/>
    <w:tmpl w:val="763A33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7"/>
  </w:num>
  <w:num w:numId="3">
    <w:abstractNumId w:val="21"/>
  </w:num>
  <w:num w:numId="4">
    <w:abstractNumId w:val="33"/>
  </w:num>
  <w:num w:numId="5">
    <w:abstractNumId w:val="54"/>
  </w:num>
  <w:num w:numId="6">
    <w:abstractNumId w:val="0"/>
  </w:num>
  <w:num w:numId="7">
    <w:abstractNumId w:val="60"/>
  </w:num>
  <w:num w:numId="8">
    <w:abstractNumId w:val="53"/>
  </w:num>
  <w:num w:numId="9">
    <w:abstractNumId w:val="1"/>
  </w:num>
  <w:num w:numId="10">
    <w:abstractNumId w:val="34"/>
  </w:num>
  <w:num w:numId="11">
    <w:abstractNumId w:val="62"/>
  </w:num>
  <w:num w:numId="12">
    <w:abstractNumId w:val="3"/>
  </w:num>
  <w:num w:numId="13">
    <w:abstractNumId w:val="61"/>
  </w:num>
  <w:num w:numId="14">
    <w:abstractNumId w:val="42"/>
  </w:num>
  <w:num w:numId="15">
    <w:abstractNumId w:val="39"/>
  </w:num>
  <w:num w:numId="16">
    <w:abstractNumId w:val="8"/>
  </w:num>
  <w:num w:numId="17">
    <w:abstractNumId w:val="10"/>
  </w:num>
  <w:num w:numId="18">
    <w:abstractNumId w:val="50"/>
  </w:num>
  <w:num w:numId="19">
    <w:abstractNumId w:val="15"/>
  </w:num>
  <w:num w:numId="20">
    <w:abstractNumId w:val="28"/>
  </w:num>
  <w:num w:numId="21">
    <w:abstractNumId w:val="30"/>
  </w:num>
  <w:num w:numId="22">
    <w:abstractNumId w:val="41"/>
  </w:num>
  <w:num w:numId="23">
    <w:abstractNumId w:val="4"/>
  </w:num>
  <w:num w:numId="24">
    <w:abstractNumId w:val="63"/>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59"/>
  </w:num>
  <w:num w:numId="34">
    <w:abstractNumId w:val="7"/>
  </w:num>
  <w:num w:numId="35">
    <w:abstractNumId w:val="47"/>
  </w:num>
  <w:num w:numId="36">
    <w:abstractNumId w:val="24"/>
  </w:num>
  <w:num w:numId="37">
    <w:abstractNumId w:val="11"/>
  </w:num>
  <w:num w:numId="38">
    <w:abstractNumId w:val="57"/>
  </w:num>
  <w:num w:numId="39">
    <w:abstractNumId w:val="23"/>
  </w:num>
  <w:num w:numId="40">
    <w:abstractNumId w:val="55"/>
  </w:num>
  <w:num w:numId="41">
    <w:abstractNumId w:val="9"/>
  </w:num>
  <w:num w:numId="42">
    <w:abstractNumId w:val="26"/>
  </w:num>
  <w:num w:numId="43">
    <w:abstractNumId w:val="35"/>
  </w:num>
  <w:num w:numId="44">
    <w:abstractNumId w:val="14"/>
  </w:num>
  <w:num w:numId="45">
    <w:abstractNumId w:val="51"/>
  </w:num>
  <w:num w:numId="46">
    <w:abstractNumId w:val="36"/>
  </w:num>
  <w:num w:numId="47">
    <w:abstractNumId w:val="20"/>
  </w:num>
  <w:num w:numId="48">
    <w:abstractNumId w:val="40"/>
  </w:num>
  <w:num w:numId="49">
    <w:abstractNumId w:val="32"/>
  </w:num>
  <w:num w:numId="50">
    <w:abstractNumId w:val="44"/>
  </w:num>
  <w:num w:numId="51">
    <w:abstractNumId w:val="56"/>
  </w:num>
  <w:num w:numId="52">
    <w:abstractNumId w:val="25"/>
  </w:num>
  <w:num w:numId="53">
    <w:abstractNumId w:val="16"/>
  </w:num>
  <w:num w:numId="54">
    <w:abstractNumId w:val="31"/>
  </w:num>
  <w:num w:numId="55">
    <w:abstractNumId w:val="45"/>
  </w:num>
  <w:num w:numId="56">
    <w:abstractNumId w:val="49"/>
  </w:num>
  <w:num w:numId="57">
    <w:abstractNumId w:val="6"/>
  </w:num>
  <w:num w:numId="58">
    <w:abstractNumId w:val="58"/>
  </w:num>
  <w:num w:numId="59">
    <w:abstractNumId w:val="19"/>
  </w:num>
  <w:num w:numId="60">
    <w:abstractNumId w:val="52"/>
  </w:num>
  <w:num w:numId="61">
    <w:abstractNumId w:val="13"/>
  </w:num>
  <w:num w:numId="62">
    <w:abstractNumId w:val="5"/>
  </w:num>
  <w:num w:numId="63">
    <w:abstractNumId w:val="37"/>
  </w:num>
  <w:num w:numId="64">
    <w:abstractNumId w:val="29"/>
  </w:num>
  <w:num w:numId="65">
    <w:abstractNumId w:val="17"/>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35AFD"/>
    <w:rsid w:val="0024761A"/>
    <w:rsid w:val="002521D4"/>
    <w:rsid w:val="00255F0B"/>
    <w:rsid w:val="002569DA"/>
    <w:rsid w:val="0027209C"/>
    <w:rsid w:val="002A7571"/>
    <w:rsid w:val="002F6E87"/>
    <w:rsid w:val="00301B46"/>
    <w:rsid w:val="00341003"/>
    <w:rsid w:val="003605A6"/>
    <w:rsid w:val="00396EDA"/>
    <w:rsid w:val="00397F46"/>
    <w:rsid w:val="003A7C7B"/>
    <w:rsid w:val="003E0CE2"/>
    <w:rsid w:val="004109CE"/>
    <w:rsid w:val="004236BB"/>
    <w:rsid w:val="00443FAF"/>
    <w:rsid w:val="00447CEE"/>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11A6D"/>
    <w:rsid w:val="00620FA0"/>
    <w:rsid w:val="0062110D"/>
    <w:rsid w:val="00674166"/>
    <w:rsid w:val="00686C5A"/>
    <w:rsid w:val="006C73E8"/>
    <w:rsid w:val="006D1C93"/>
    <w:rsid w:val="006E2708"/>
    <w:rsid w:val="00705233"/>
    <w:rsid w:val="007135E2"/>
    <w:rsid w:val="00722CCB"/>
    <w:rsid w:val="0072579B"/>
    <w:rsid w:val="0072709F"/>
    <w:rsid w:val="0075608F"/>
    <w:rsid w:val="00774BAC"/>
    <w:rsid w:val="00785C8D"/>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21D7"/>
    <w:rsid w:val="00A13EC8"/>
    <w:rsid w:val="00A15362"/>
    <w:rsid w:val="00A24D23"/>
    <w:rsid w:val="00A41D4A"/>
    <w:rsid w:val="00A550EF"/>
    <w:rsid w:val="00A65E0A"/>
    <w:rsid w:val="00A675E0"/>
    <w:rsid w:val="00A85B19"/>
    <w:rsid w:val="00A92A2B"/>
    <w:rsid w:val="00AA0C86"/>
    <w:rsid w:val="00B24A32"/>
    <w:rsid w:val="00B30DDC"/>
    <w:rsid w:val="00B34E30"/>
    <w:rsid w:val="00B928F8"/>
    <w:rsid w:val="00B9637C"/>
    <w:rsid w:val="00BA0F7B"/>
    <w:rsid w:val="00BB37E9"/>
    <w:rsid w:val="00BC31A4"/>
    <w:rsid w:val="00BC4A28"/>
    <w:rsid w:val="00BE38C8"/>
    <w:rsid w:val="00C075B2"/>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96B2F"/>
    <w:rsid w:val="00EC2C5A"/>
    <w:rsid w:val="00F300B5"/>
    <w:rsid w:val="00F35CAF"/>
    <w:rsid w:val="00F37E07"/>
    <w:rsid w:val="00F47E34"/>
    <w:rsid w:val="00F62B1B"/>
    <w:rsid w:val="00F735CB"/>
    <w:rsid w:val="00FA1E73"/>
    <w:rsid w:val="00FB0CB8"/>
    <w:rsid w:val="00FE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header" w:uiPriority="99"/>
    <w:lsdException w:name="footer"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uiPriority w:val="99"/>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uiPriority w:val="99"/>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475903428">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ailfreight.com/business/2017/06/09/steep-decline-in-coal-demand-sees-uk-rail-freight-plummet/" TargetMode="External"/><Relationship Id="rId2" Type="http://schemas.openxmlformats.org/officeDocument/2006/relationships/hyperlink" Target="http://dataportal.orr.gov.uk/displayreport/report/html/a201ed45-23cf-4785-8d71-881f93592314" TargetMode="External"/><Relationship Id="rId1" Type="http://schemas.openxmlformats.org/officeDocument/2006/relationships/hyperlink" Target="file:///C:\Users\amar.vasdev\Desktop\T1132%20-%20New%20Freight%20Gauges\03%20Specification\orr.gov.uk\__data\assets\pdf_file\0010\...\freight-rail-usage-2017-18-quarter-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20E37725-86A3-4915-B989-E5DE3348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32</Pages>
  <Words>7597</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2018-11-12T13:59:00Z</dcterms:created>
  <dcterms:modified xsi:type="dcterms:W3CDTF">2018-11-12T13:59:00Z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