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360D8C" w14:paraId="73D24E97" w14:textId="77777777">
        <w:trPr>
          <w:trHeight w:val="341"/>
        </w:trPr>
        <w:tc>
          <w:tcPr>
            <w:tcW w:w="1413" w:type="pct"/>
            <w:shd w:val="clear" w:color="auto" w:fill="auto"/>
          </w:tcPr>
          <w:p w:rsidRPr="00CF68EF" w:rsidR="00360D8C" w:rsidP="00360D8C" w:rsidRDefault="00360D8C"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rsidRPr="00EA529F" w:rsidR="00360D8C" w:rsidP="00360D8C" w:rsidRDefault="00360D8C" w14:paraId="7C4B6799" w14:textId="6FD2E2E1">
            <w:pPr>
              <w:tabs>
                <w:tab w:val="left" w:pos="709"/>
              </w:tabs>
              <w:rPr>
                <w:rFonts w:ascii="Arial" w:hAnsi="Arial" w:cs="Arial"/>
                <w:iCs/>
                <w:sz w:val="18"/>
                <w:szCs w:val="18"/>
                <w:highlight w:val="yellow"/>
              </w:rPr>
            </w:pPr>
            <w:r w:rsidRPr="00FB0540">
              <w:rPr>
                <w:rFonts w:ascii="Arial" w:hAnsi="Arial" w:cs="Arial"/>
                <w:sz w:val="18"/>
                <w:szCs w:val="18"/>
              </w:rPr>
              <w:t>To be confirmed</w:t>
            </w:r>
          </w:p>
        </w:tc>
      </w:tr>
      <w:tr w:rsidRPr="00961A47" w:rsidR="00360D8C" w14:paraId="360FADB6" w14:textId="77777777">
        <w:trPr>
          <w:trHeight w:val="611"/>
        </w:trPr>
        <w:tc>
          <w:tcPr>
            <w:tcW w:w="1413" w:type="pct"/>
            <w:shd w:val="clear" w:color="auto" w:fill="auto"/>
          </w:tcPr>
          <w:p w:rsidRPr="00CF68EF" w:rsidR="00360D8C" w:rsidP="00360D8C" w:rsidRDefault="00360D8C"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rsidRPr="00FB0540" w:rsidR="00360D8C" w:rsidP="00360D8C" w:rsidRDefault="00360D8C" w14:paraId="0103D2E1" w14:textId="77777777">
            <w:pPr>
              <w:tabs>
                <w:tab w:val="left" w:pos="709"/>
              </w:tabs>
              <w:rPr>
                <w:rFonts w:ascii="Arial" w:hAnsi="Arial" w:cs="Arial"/>
                <w:sz w:val="18"/>
                <w:szCs w:val="18"/>
              </w:rPr>
            </w:pPr>
            <w:r w:rsidRPr="00FB0540">
              <w:rPr>
                <w:rFonts w:ascii="Arial" w:hAnsi="Arial" w:cs="Arial"/>
                <w:sz w:val="18"/>
                <w:szCs w:val="18"/>
              </w:rPr>
              <w:t>Natural England</w:t>
            </w:r>
          </w:p>
          <w:p w:rsidRPr="00FB0540" w:rsidR="00360D8C" w:rsidP="00360D8C" w:rsidRDefault="00360D8C" w14:paraId="0ABDA21C" w14:textId="77777777">
            <w:pPr>
              <w:tabs>
                <w:tab w:val="left" w:pos="709"/>
              </w:tabs>
              <w:rPr>
                <w:rFonts w:ascii="Arial" w:hAnsi="Arial" w:cs="Arial"/>
                <w:sz w:val="18"/>
                <w:szCs w:val="18"/>
              </w:rPr>
            </w:pPr>
            <w:r w:rsidRPr="00FB0540">
              <w:rPr>
                <w:rFonts w:ascii="Arial" w:hAnsi="Arial" w:cs="Arial"/>
                <w:sz w:val="18"/>
                <w:szCs w:val="18"/>
              </w:rPr>
              <w:t>Foss House</w:t>
            </w:r>
          </w:p>
          <w:p w:rsidRPr="00FB0540" w:rsidR="00360D8C" w:rsidP="00360D8C" w:rsidRDefault="00360D8C" w14:paraId="2800D1A2" w14:textId="77777777">
            <w:pPr>
              <w:tabs>
                <w:tab w:val="left" w:pos="709"/>
              </w:tabs>
              <w:rPr>
                <w:rFonts w:ascii="Arial" w:hAnsi="Arial" w:cs="Arial"/>
                <w:sz w:val="18"/>
                <w:szCs w:val="18"/>
              </w:rPr>
            </w:pPr>
            <w:r w:rsidRPr="00FB0540">
              <w:rPr>
                <w:rFonts w:ascii="Arial" w:hAnsi="Arial" w:cs="Arial"/>
                <w:sz w:val="18"/>
                <w:szCs w:val="18"/>
              </w:rPr>
              <w:t>Kings Pool</w:t>
            </w:r>
          </w:p>
          <w:p w:rsidRPr="00FB0540" w:rsidR="00360D8C" w:rsidP="00360D8C" w:rsidRDefault="00360D8C" w14:paraId="42770171" w14:textId="77777777">
            <w:pPr>
              <w:tabs>
                <w:tab w:val="left" w:pos="709"/>
              </w:tabs>
              <w:rPr>
                <w:rFonts w:ascii="Arial" w:hAnsi="Arial" w:cs="Arial"/>
                <w:sz w:val="18"/>
                <w:szCs w:val="18"/>
              </w:rPr>
            </w:pPr>
            <w:r w:rsidRPr="00FB0540">
              <w:rPr>
                <w:rFonts w:ascii="Arial" w:hAnsi="Arial" w:cs="Arial"/>
                <w:sz w:val="18"/>
                <w:szCs w:val="18"/>
              </w:rPr>
              <w:t xml:space="preserve">1-2 </w:t>
            </w:r>
            <w:proofErr w:type="spellStart"/>
            <w:r w:rsidRPr="00FB0540">
              <w:rPr>
                <w:rFonts w:ascii="Arial" w:hAnsi="Arial" w:cs="Arial"/>
                <w:sz w:val="18"/>
                <w:szCs w:val="18"/>
              </w:rPr>
              <w:t>Peasholme</w:t>
            </w:r>
            <w:proofErr w:type="spellEnd"/>
            <w:r w:rsidRPr="00FB0540">
              <w:rPr>
                <w:rFonts w:ascii="Arial" w:hAnsi="Arial" w:cs="Arial"/>
                <w:sz w:val="18"/>
                <w:szCs w:val="18"/>
              </w:rPr>
              <w:t xml:space="preserve"> Green</w:t>
            </w:r>
          </w:p>
          <w:p w:rsidRPr="00FB0540" w:rsidR="00360D8C" w:rsidP="00360D8C" w:rsidRDefault="00360D8C" w14:paraId="6A7F161D" w14:textId="77777777">
            <w:pPr>
              <w:tabs>
                <w:tab w:val="left" w:pos="709"/>
              </w:tabs>
              <w:rPr>
                <w:rFonts w:ascii="Arial" w:hAnsi="Arial" w:cs="Arial"/>
                <w:sz w:val="18"/>
                <w:szCs w:val="18"/>
              </w:rPr>
            </w:pPr>
            <w:r w:rsidRPr="00FB0540">
              <w:rPr>
                <w:rFonts w:ascii="Arial" w:hAnsi="Arial" w:cs="Arial"/>
                <w:sz w:val="18"/>
                <w:szCs w:val="18"/>
              </w:rPr>
              <w:t>York</w:t>
            </w:r>
          </w:p>
          <w:p w:rsidRPr="00EA529F" w:rsidR="00360D8C" w:rsidP="00360D8C" w:rsidRDefault="00360D8C" w14:paraId="271A4682" w14:textId="288058C3">
            <w:pPr>
              <w:tabs>
                <w:tab w:val="left" w:pos="709"/>
              </w:tabs>
              <w:rPr>
                <w:rFonts w:ascii="Arial" w:hAnsi="Arial" w:cs="Arial"/>
                <w:iCs/>
                <w:sz w:val="18"/>
                <w:szCs w:val="18"/>
                <w:highlight w:val="yellow"/>
              </w:rPr>
            </w:pPr>
            <w:r w:rsidRPr="00FB0540">
              <w:rPr>
                <w:rFonts w:ascii="Arial" w:hAnsi="Arial" w:cs="Arial"/>
                <w:sz w:val="18"/>
                <w:szCs w:val="18"/>
              </w:rPr>
              <w:t>YO1 7PX</w:t>
            </w:r>
          </w:p>
        </w:tc>
      </w:tr>
      <w:tr w:rsidRPr="00961A47" w:rsidR="00CA4BA2" w14:paraId="3C3EA26A" w14:textId="77777777">
        <w:trPr>
          <w:trHeight w:val="197"/>
        </w:trPr>
        <w:tc>
          <w:tcPr>
            <w:tcW w:w="1413" w:type="pct"/>
            <w:shd w:val="clear" w:color="auto" w:fill="auto"/>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rsidRPr="00B46D37" w:rsidR="00CA4BA2" w:rsidRDefault="00360D8C" w14:paraId="1BEF0925" w14:textId="17460AC5">
            <w:pPr>
              <w:tabs>
                <w:tab w:val="left" w:pos="709"/>
              </w:tabs>
              <w:rPr>
                <w:rFonts w:ascii="Arial" w:hAnsi="Arial" w:cs="Arial"/>
                <w:sz w:val="18"/>
                <w:szCs w:val="18"/>
                <w:highlight w:val="yellow"/>
              </w:rPr>
            </w:pPr>
            <w:r w:rsidRPr="00FB0540">
              <w:rPr>
                <w:rFonts w:ascii="Arial" w:hAnsi="Arial" w:cs="Arial"/>
                <w:sz w:val="18"/>
                <w:szCs w:val="18"/>
              </w:rPr>
              <w:t>To be confirmed</w:t>
            </w:r>
            <w:r w:rsidRPr="00B46D37">
              <w:rPr>
                <w:rFonts w:ascii="Arial" w:hAnsi="Arial" w:cs="Arial"/>
                <w:sz w:val="18"/>
                <w:szCs w:val="18"/>
                <w:highlight w:val="yellow"/>
              </w:rPr>
              <w:t xml:space="preserve"> </w:t>
            </w:r>
          </w:p>
        </w:tc>
      </w:tr>
      <w:tr w:rsidRPr="00961A47" w:rsidR="007E7D58" w14:paraId="0A6E5285" w14:textId="77777777">
        <w:trPr>
          <w:trHeight w:val="197"/>
        </w:trPr>
        <w:tc>
          <w:tcPr>
            <w:tcW w:w="1413" w:type="pct"/>
            <w:shd w:val="clear" w:color="auto" w:fill="auto"/>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Pr="00FB0540" w:rsidR="00360D8C" w:rsidP="00360D8C" w:rsidRDefault="00360D8C" w14:paraId="6E21EB31" w14:textId="77777777">
            <w:pPr>
              <w:tabs>
                <w:tab w:val="left" w:pos="709"/>
              </w:tabs>
              <w:rPr>
                <w:rFonts w:ascii="Arial" w:hAnsi="Arial" w:cs="Arial"/>
                <w:iCs/>
                <w:sz w:val="18"/>
                <w:szCs w:val="18"/>
              </w:rPr>
            </w:pPr>
          </w:p>
          <w:p w:rsidRPr="00FB0540" w:rsidR="00360D8C" w:rsidP="00360D8C" w:rsidRDefault="00360D8C" w14:paraId="2648BA60" w14:textId="77777777">
            <w:pPr>
              <w:tabs>
                <w:tab w:val="left" w:pos="709"/>
              </w:tabs>
              <w:rPr>
                <w:rFonts w:ascii="Arial" w:hAnsi="Arial" w:cs="Arial"/>
                <w:iCs/>
                <w:sz w:val="18"/>
                <w:szCs w:val="18"/>
              </w:rPr>
            </w:pPr>
            <w:r w:rsidRPr="00FB0540">
              <w:rPr>
                <w:rFonts w:ascii="Arial" w:hAnsi="Arial" w:cs="Arial"/>
                <w:iCs/>
                <w:sz w:val="18"/>
                <w:szCs w:val="18"/>
              </w:rPr>
              <w:t>Natural England</w:t>
            </w:r>
          </w:p>
          <w:p w:rsidRPr="00FB0540" w:rsidR="00360D8C" w:rsidP="00360D8C" w:rsidRDefault="00360D8C" w14:paraId="4F22CD37" w14:textId="77777777">
            <w:pPr>
              <w:tabs>
                <w:tab w:val="left" w:pos="709"/>
              </w:tabs>
              <w:rPr>
                <w:rFonts w:ascii="Arial" w:hAnsi="Arial" w:cs="Arial"/>
                <w:iCs/>
                <w:sz w:val="18"/>
                <w:szCs w:val="18"/>
              </w:rPr>
            </w:pPr>
            <w:r w:rsidRPr="00FB0540">
              <w:rPr>
                <w:rFonts w:ascii="Arial" w:hAnsi="Arial" w:cs="Arial"/>
                <w:iCs/>
                <w:sz w:val="18"/>
                <w:szCs w:val="18"/>
              </w:rPr>
              <w:t>Defra</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14:paraId="0F375EE1" w14:textId="77777777">
        <w:trPr>
          <w:trHeight w:val="197"/>
        </w:trPr>
        <w:tc>
          <w:tcPr>
            <w:tcW w:w="1413" w:type="pct"/>
            <w:shd w:val="clear" w:color="auto" w:fill="auto"/>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360D8C" w:rsidR="007E7D58" w:rsidP="007E7D58" w:rsidRDefault="007E7D58" w14:paraId="04355056" w14:textId="1D29885D">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14:paraId="76874DB5" w14:textId="77777777">
        <w:trPr>
          <w:trHeight w:val="966"/>
        </w:trPr>
        <w:tc>
          <w:tcPr>
            <w:tcW w:w="1413" w:type="pct"/>
            <w:vMerge w:val="restart"/>
            <w:shd w:val="clear" w:color="auto" w:fill="auto"/>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7998DE8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360D8C">
                  <w:rPr>
                    <w:rFonts w:hint="eastAsia" w:ascii="MS Gothic" w:hAnsi="MS Gothic" w:eastAsia="MS Gothic" w:cs="Aria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14:paraId="4ED88D31" w14:textId="77777777">
        <w:trPr>
          <w:trHeight w:val="966"/>
        </w:trPr>
        <w:tc>
          <w:tcPr>
            <w:tcW w:w="1413" w:type="pct"/>
            <w:vMerge/>
            <w:shd w:val="clear" w:color="auto" w:fill="auto"/>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rsidRPr="00593BB6" w:rsidR="007E7D58" w:rsidP="007E7D58" w:rsidRDefault="00360D8C" w14:paraId="6A40B123" w14:textId="436F457F">
            <w:pPr>
              <w:tabs>
                <w:tab w:val="left" w:pos="709"/>
              </w:tabs>
              <w:rPr>
                <w:rFonts w:ascii="Arial" w:hAnsi="Arial" w:cs="Arial"/>
                <w:sz w:val="18"/>
                <w:szCs w:val="18"/>
              </w:rPr>
            </w:pPr>
            <w:r w:rsidRPr="00593BB6">
              <w:rPr>
                <w:rFonts w:ascii="Arial" w:hAnsi="Arial" w:cs="Arial"/>
                <w:sz w:val="18"/>
                <w:szCs w:val="18"/>
              </w:rPr>
              <w:t>None.</w:t>
            </w:r>
          </w:p>
        </w:tc>
      </w:tr>
      <w:tr w:rsidRPr="00961A47" w:rsidR="007E7D58" w14:paraId="682172EF" w14:textId="77777777">
        <w:trPr>
          <w:trHeight w:val="383"/>
        </w:trPr>
        <w:tc>
          <w:tcPr>
            <w:tcW w:w="1413" w:type="pct"/>
            <w:vMerge/>
            <w:shd w:val="clear" w:color="auto" w:fill="auto"/>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rsidRPr="00593BB6" w:rsidR="00593BB6" w:rsidP="00593BB6" w:rsidRDefault="00593BB6" w14:paraId="0ACA4A69" w14:textId="77777777">
            <w:pPr>
              <w:pStyle w:val="BodyText2"/>
              <w:rPr>
                <w:iCs/>
                <w:lang w:val="en-GB"/>
              </w:rPr>
            </w:pPr>
            <w:bookmarkStart w:name="_DV_C144" w:id="0"/>
            <w:bookmarkStart w:name="_Ref377110627" w:id="1"/>
            <w:r w:rsidRPr="00593BB6">
              <w:rPr>
                <w:iCs/>
                <w:lang w:val="en-GB"/>
              </w:rPr>
              <w:t>Description: as set out in Appendix 2 – Specification / Description.</w:t>
            </w:r>
          </w:p>
          <w:p w:rsidRPr="00593BB6" w:rsidR="007E7D58" w:rsidP="007E7D58" w:rsidRDefault="007E7D58" w14:paraId="6065CEB6" w14:textId="77777777">
            <w:pPr>
              <w:tabs>
                <w:tab w:val="left" w:pos="709"/>
              </w:tabs>
              <w:rPr>
                <w:rFonts w:ascii="Arial" w:hAnsi="Arial" w:cs="Arial"/>
                <w:i/>
                <w:sz w:val="18"/>
                <w:szCs w:val="18"/>
              </w:rPr>
            </w:pPr>
          </w:p>
          <w:p w:rsidRPr="00593BB6" w:rsidR="007E7D58" w:rsidP="007E7D58" w:rsidRDefault="007E7D58" w14:paraId="3CB7F8A7" w14:textId="1E96DA40">
            <w:pPr>
              <w:tabs>
                <w:tab w:val="left" w:pos="709"/>
              </w:tabs>
              <w:rPr>
                <w:rFonts w:ascii="Arial" w:hAnsi="Arial" w:cs="Arial"/>
                <w:sz w:val="18"/>
                <w:szCs w:val="18"/>
              </w:rPr>
            </w:pPr>
            <w:r w:rsidRPr="00593BB6">
              <w:rPr>
                <w:rFonts w:ascii="Arial" w:hAnsi="Arial" w:cs="Arial"/>
                <w:sz w:val="18"/>
                <w:szCs w:val="18"/>
              </w:rPr>
              <w:t xml:space="preserve">To be performed at </w:t>
            </w:r>
            <w:r w:rsidRPr="00593BB6" w:rsidR="00593BB6">
              <w:rPr>
                <w:rFonts w:ascii="Arial" w:hAnsi="Arial" w:cs="Arial"/>
                <w:sz w:val="18"/>
                <w:szCs w:val="18"/>
              </w:rPr>
              <w:t xml:space="preserve">the Taw-Torridge Estuary, Devon. </w:t>
            </w:r>
            <w:bookmarkEnd w:id="0"/>
            <w:bookmarkEnd w:id="1"/>
          </w:p>
          <w:p w:rsidRPr="00593BB6" w:rsidR="007E7D58" w:rsidP="007E7D58" w:rsidRDefault="007E7D58" w14:paraId="78CB0504" w14:textId="77777777">
            <w:pPr>
              <w:tabs>
                <w:tab w:val="left" w:pos="709"/>
              </w:tabs>
              <w:rPr>
                <w:rFonts w:ascii="Arial" w:hAnsi="Arial" w:cs="Arial"/>
                <w:sz w:val="18"/>
                <w:szCs w:val="18"/>
              </w:rPr>
            </w:pPr>
          </w:p>
          <w:p w:rsidRPr="00593BB6" w:rsidR="007E7D58" w:rsidP="007E7D58" w:rsidRDefault="007E7D58" w14:paraId="1F8C6F4E" w14:textId="6F7DA47C">
            <w:pPr>
              <w:tabs>
                <w:tab w:val="left" w:pos="709"/>
              </w:tabs>
              <w:rPr>
                <w:rFonts w:ascii="Arial" w:hAnsi="Arial" w:cs="Arial"/>
                <w:sz w:val="18"/>
                <w:szCs w:val="18"/>
              </w:rPr>
            </w:pPr>
            <w:r w:rsidRPr="00593BB6">
              <w:rPr>
                <w:rFonts w:ascii="Arial" w:hAnsi="Arial" w:cs="Arial"/>
                <w:sz w:val="18"/>
                <w:szCs w:val="18"/>
              </w:rPr>
              <w:t xml:space="preserve">Date(s) of Delivery: </w:t>
            </w:r>
            <w:r w:rsidRPr="00593BB6" w:rsidR="00593BB6">
              <w:rPr>
                <w:rFonts w:ascii="Arial" w:hAnsi="Arial" w:cs="Arial"/>
                <w:sz w:val="18"/>
                <w:szCs w:val="18"/>
              </w:rPr>
              <w:t>1</w:t>
            </w:r>
            <w:r w:rsidRPr="00593BB6" w:rsidR="00593BB6">
              <w:rPr>
                <w:rFonts w:ascii="Arial" w:hAnsi="Arial" w:cs="Arial"/>
                <w:sz w:val="18"/>
                <w:szCs w:val="18"/>
                <w:vertAlign w:val="superscript"/>
              </w:rPr>
              <w:t>st</w:t>
            </w:r>
            <w:r w:rsidRPr="00593BB6" w:rsidR="00593BB6">
              <w:rPr>
                <w:rFonts w:ascii="Arial" w:hAnsi="Arial" w:cs="Arial"/>
                <w:sz w:val="18"/>
                <w:szCs w:val="18"/>
              </w:rPr>
              <w:t xml:space="preserve"> October 2024 to 28</w:t>
            </w:r>
            <w:r w:rsidRPr="00593BB6" w:rsidR="00593BB6">
              <w:rPr>
                <w:rFonts w:ascii="Arial" w:hAnsi="Arial" w:cs="Arial"/>
                <w:sz w:val="18"/>
                <w:szCs w:val="18"/>
                <w:vertAlign w:val="superscript"/>
              </w:rPr>
              <w:t>th</w:t>
            </w:r>
            <w:r w:rsidRPr="00593BB6" w:rsidR="00593BB6">
              <w:rPr>
                <w:rFonts w:ascii="Arial" w:hAnsi="Arial" w:cs="Arial"/>
                <w:sz w:val="18"/>
                <w:szCs w:val="18"/>
              </w:rPr>
              <w:t xml:space="preserve"> February 2025. </w:t>
            </w:r>
          </w:p>
          <w:p w:rsidRPr="00593BB6" w:rsidR="007E7D58" w:rsidP="007E7D58" w:rsidRDefault="007E7D58" w14:paraId="6996B8C2" w14:textId="77777777">
            <w:pPr>
              <w:tabs>
                <w:tab w:val="left" w:pos="709"/>
              </w:tabs>
              <w:rPr>
                <w:rFonts w:ascii="Arial" w:hAnsi="Arial" w:cs="Arial"/>
                <w:sz w:val="18"/>
                <w:szCs w:val="18"/>
              </w:rPr>
            </w:pPr>
          </w:p>
          <w:p w:rsidRPr="00593BB6" w:rsidR="007E7D58" w:rsidP="00593BB6" w:rsidRDefault="007E7D58" w14:paraId="563AD7DF" w14:textId="05194A1A">
            <w:pPr>
              <w:pStyle w:val="BodyText2"/>
            </w:pPr>
            <w:r w:rsidRPr="00593BB6">
              <w:t xml:space="preserve">To be performed on </w:t>
            </w:r>
            <w:r w:rsidRPr="00593BB6" w:rsidR="00593BB6">
              <w:t xml:space="preserve">two days per month, one corresponding with a spring tide, one with a neap tide.  </w:t>
            </w:r>
          </w:p>
          <w:p w:rsidRPr="00593BB6" w:rsidR="007E7D58" w:rsidP="007E7D58" w:rsidRDefault="007E7D58" w14:paraId="2A786758" w14:textId="77777777">
            <w:pPr>
              <w:tabs>
                <w:tab w:val="left" w:pos="709"/>
              </w:tabs>
              <w:rPr>
                <w:rFonts w:ascii="Arial" w:hAnsi="Arial" w:cs="Arial"/>
                <w:i/>
                <w:sz w:val="18"/>
                <w:szCs w:val="18"/>
              </w:rPr>
            </w:pPr>
          </w:p>
        </w:tc>
      </w:tr>
      <w:tr w:rsidRPr="00961A47" w:rsidR="007E7D58" w14:paraId="2A3F6693" w14:textId="77777777">
        <w:trPr>
          <w:trHeight w:val="698"/>
        </w:trPr>
        <w:tc>
          <w:tcPr>
            <w:tcW w:w="1413" w:type="pct"/>
            <w:shd w:val="clear" w:color="auto" w:fill="auto"/>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rsidRPr="00360D8C" w:rsidR="007E7D58" w:rsidP="00360D8C" w:rsidRDefault="00360D8C" w14:paraId="37E6BF23" w14:textId="5AA9333F">
            <w:pPr>
              <w:tabs>
                <w:tab w:val="left" w:pos="709"/>
              </w:tabs>
              <w:rPr>
                <w:rFonts w:ascii="Arial" w:hAnsi="Arial" w:cs="Arial"/>
                <w:bCs/>
                <w:iCs/>
                <w:sz w:val="18"/>
                <w:szCs w:val="18"/>
                <w:highlight w:val="cyan"/>
              </w:rPr>
            </w:pPr>
            <w:r w:rsidRPr="00360D8C">
              <w:rPr>
                <w:rFonts w:ascii="Arial" w:hAnsi="Arial" w:eastAsia="Arial" w:cs="Arial"/>
                <w:bCs/>
                <w:iCs/>
                <w:sz w:val="18"/>
                <w:szCs w:val="18"/>
              </w:rPr>
              <w:t>1</w:t>
            </w:r>
            <w:r w:rsidRPr="00360D8C">
              <w:rPr>
                <w:rFonts w:ascii="Arial" w:hAnsi="Arial" w:eastAsia="Arial" w:cs="Arial"/>
                <w:bCs/>
                <w:iCs/>
                <w:sz w:val="18"/>
                <w:szCs w:val="18"/>
                <w:vertAlign w:val="superscript"/>
              </w:rPr>
              <w:t>st</w:t>
            </w:r>
            <w:r w:rsidRPr="00360D8C">
              <w:rPr>
                <w:rFonts w:ascii="Arial" w:hAnsi="Arial" w:eastAsia="Arial" w:cs="Arial"/>
                <w:bCs/>
                <w:iCs/>
                <w:sz w:val="18"/>
                <w:szCs w:val="18"/>
              </w:rPr>
              <w:t xml:space="preserve"> October 2024</w:t>
            </w:r>
            <w:r w:rsidRPr="00360D8C" w:rsidR="003E0478">
              <w:rPr>
                <w:rFonts w:ascii="Arial" w:hAnsi="Arial" w:eastAsia="Arial" w:cs="Arial"/>
                <w:bCs/>
                <w:iCs/>
                <w:sz w:val="18"/>
                <w:szCs w:val="18"/>
              </w:rPr>
              <w:t xml:space="preserve"> </w:t>
            </w:r>
          </w:p>
        </w:tc>
      </w:tr>
      <w:tr w:rsidRPr="00961A47" w:rsidR="007E7D58" w14:paraId="71B2C04E" w14:textId="77777777">
        <w:trPr>
          <w:trHeight w:val="383"/>
        </w:trPr>
        <w:tc>
          <w:tcPr>
            <w:tcW w:w="1413" w:type="pct"/>
            <w:shd w:val="clear" w:color="auto" w:fill="auto"/>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rsidRPr="00360D8C" w:rsidR="007E7D58" w:rsidP="007E7D58" w:rsidRDefault="00360D8C" w14:paraId="37D293FB" w14:textId="3490A788">
            <w:pPr>
              <w:spacing w:before="120" w:after="120"/>
              <w:ind w:right="936"/>
              <w:rPr>
                <w:rFonts w:ascii="Arial" w:hAnsi="Arial" w:eastAsia="Arial" w:cs="Arial"/>
                <w:iCs/>
                <w:sz w:val="18"/>
                <w:szCs w:val="18"/>
              </w:rPr>
            </w:pPr>
            <w:r w:rsidRPr="00360D8C">
              <w:rPr>
                <w:rFonts w:ascii="Arial" w:hAnsi="Arial" w:eastAsia="Arial" w:cs="Arial"/>
                <w:iCs/>
                <w:sz w:val="18"/>
                <w:szCs w:val="18"/>
              </w:rPr>
              <w:t>28</w:t>
            </w:r>
            <w:r w:rsidRPr="00360D8C">
              <w:rPr>
                <w:rFonts w:ascii="Arial" w:hAnsi="Arial" w:eastAsia="Arial" w:cs="Arial"/>
                <w:iCs/>
                <w:sz w:val="18"/>
                <w:szCs w:val="18"/>
                <w:vertAlign w:val="superscript"/>
              </w:rPr>
              <w:t>th</w:t>
            </w:r>
            <w:r w:rsidRPr="00360D8C">
              <w:rPr>
                <w:rFonts w:ascii="Arial" w:hAnsi="Arial" w:eastAsia="Arial" w:cs="Arial"/>
                <w:iCs/>
                <w:sz w:val="18"/>
                <w:szCs w:val="18"/>
              </w:rPr>
              <w:t xml:space="preserve"> February 2025</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14:paraId="6D89A4FD" w14:textId="77777777">
        <w:trPr>
          <w:trHeight w:val="383"/>
        </w:trPr>
        <w:tc>
          <w:tcPr>
            <w:tcW w:w="1413" w:type="pct"/>
            <w:shd w:val="clear" w:color="auto" w:fill="auto"/>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Pr>
          <w:p w:rsidRPr="00B46D37" w:rsidR="007E7D58" w:rsidP="007E7D58" w:rsidRDefault="007E7D58" w14:paraId="1A7D4E04" w14:textId="72398045">
            <w:pPr>
              <w:pStyle w:val="Header"/>
              <w:tabs>
                <w:tab w:val="left" w:pos="709"/>
              </w:tabs>
              <w:ind w:right="3"/>
              <w:rPr>
                <w:rFonts w:ascii="Arial" w:hAnsi="Arial" w:cs="Arial"/>
                <w:sz w:val="18"/>
                <w:szCs w:val="18"/>
              </w:rPr>
            </w:pPr>
            <w:bookmarkStart w:name="_Ref377110658" w:id="5"/>
            <w:r w:rsidRPr="00B46D37">
              <w:rPr>
                <w:rFonts w:ascii="Arial" w:hAnsi="Arial" w:cs="Arial"/>
                <w:sz w:val="18"/>
                <w:szCs w:val="18"/>
              </w:rPr>
              <w:t xml:space="preserve">The Charges for the </w:t>
            </w:r>
            <w:bookmarkStart w:name="_DV_C154" w:id="6"/>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as set out </w:t>
            </w:r>
            <w:r w:rsidRPr="00593BB6">
              <w:rPr>
                <w:rFonts w:ascii="Arial" w:hAnsi="Arial" w:cs="Arial"/>
                <w:sz w:val="18"/>
                <w:szCs w:val="18"/>
              </w:rPr>
              <w:t>in</w:t>
            </w:r>
            <w:r w:rsidR="00593BB6">
              <w:rPr>
                <w:rFonts w:ascii="Arial" w:hAnsi="Arial" w:cs="Arial"/>
                <w:sz w:val="18"/>
                <w:szCs w:val="18"/>
              </w:rPr>
              <w:t xml:space="preserve"> </w:t>
            </w:r>
            <w:r w:rsidRPr="00593BB6">
              <w:rPr>
                <w:rFonts w:ascii="Arial" w:hAnsi="Arial" w:cs="Arial"/>
                <w:sz w:val="18"/>
                <w:szCs w:val="18"/>
              </w:rPr>
              <w:t>Appendix 3 – Charges.</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14:paraId="369D4DAE" w14:textId="77777777">
        <w:trPr>
          <w:trHeight w:val="383"/>
        </w:trPr>
        <w:tc>
          <w:tcPr>
            <w:tcW w:w="1413" w:type="pct"/>
            <w:shd w:val="clear" w:color="auto" w:fill="auto"/>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Pr>
          <w:p w:rsidRPr="00360D8C" w:rsidR="007E7D58" w:rsidP="007E7D58" w:rsidRDefault="00360D8C" w14:paraId="58052F16" w14:textId="2643C3D4">
            <w:pPr>
              <w:pStyle w:val="Header"/>
              <w:tabs>
                <w:tab w:val="left" w:pos="709"/>
              </w:tabs>
              <w:rPr>
                <w:rFonts w:ascii="Arial" w:hAnsi="Arial" w:cs="Arial"/>
                <w:bCs/>
                <w:iCs/>
                <w:sz w:val="18"/>
                <w:szCs w:val="18"/>
              </w:rPr>
            </w:pPr>
            <w:bookmarkStart w:name="_DV_M104" w:id="8"/>
            <w:bookmarkStart w:name="_DV_M110" w:id="9"/>
            <w:bookmarkEnd w:id="8"/>
            <w:bookmarkEnd w:id="9"/>
            <w:r w:rsidRPr="00360D8C">
              <w:rPr>
                <w:rFonts w:ascii="Arial" w:hAnsi="Arial" w:cs="Arial"/>
                <w:bCs/>
                <w:iCs/>
                <w:sz w:val="18"/>
                <w:szCs w:val="18"/>
              </w:rPr>
              <w:t>P</w:t>
            </w:r>
            <w:r w:rsidRPr="00360D8C" w:rsidR="00DE4F91">
              <w:rPr>
                <w:rFonts w:ascii="Arial" w:hAnsi="Arial" w:cs="Arial"/>
                <w:bCs/>
                <w:iCs/>
                <w:sz w:val="18"/>
                <w:szCs w:val="18"/>
              </w:rPr>
              <w:t>ayments will be made in pounds by BACS transfer using the details provided by the supplier on submission of a compliant invoice.</w:t>
            </w:r>
          </w:p>
          <w:p w:rsidRPr="00360D8C" w:rsidR="007E7D58" w:rsidP="007E7D58" w:rsidRDefault="007E7D58" w14:paraId="5AEFA517" w14:textId="77777777">
            <w:pPr>
              <w:pStyle w:val="Header"/>
              <w:tabs>
                <w:tab w:val="left" w:pos="709"/>
              </w:tabs>
              <w:rPr>
                <w:rFonts w:ascii="Arial" w:hAnsi="Arial" w:cs="Arial"/>
                <w:bCs/>
                <w:iCs/>
                <w:sz w:val="18"/>
                <w:szCs w:val="18"/>
              </w:rPr>
            </w:pPr>
          </w:p>
        </w:tc>
      </w:tr>
      <w:tr w:rsidRPr="00961A47" w:rsidR="00DD176F" w14:paraId="62E0B503" w14:textId="77777777">
        <w:trPr>
          <w:trHeight w:val="383"/>
        </w:trPr>
        <w:tc>
          <w:tcPr>
            <w:tcW w:w="1413" w:type="pct"/>
            <w:shd w:val="clear" w:color="auto" w:fill="auto"/>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rsidR="009179C1" w:rsidP="009179C1" w:rsidRDefault="009179C1" w14:paraId="787ED3D4" w14:textId="06212148">
            <w:pPr>
              <w:pStyle w:val="Header"/>
              <w:tabs>
                <w:tab w:val="left" w:pos="709"/>
              </w:tabs>
              <w:rPr>
                <w:rFonts w:ascii="Arial" w:hAnsi="Arial" w:cs="Arial"/>
                <w:sz w:val="18"/>
                <w:szCs w:val="18"/>
              </w:rPr>
            </w:pPr>
            <w:r w:rsidRPr="00FC683E">
              <w:rPr>
                <w:rFonts w:ascii="Arial" w:hAnsi="Arial" w:cs="Arial"/>
                <w:sz w:val="18"/>
                <w:szCs w:val="18"/>
              </w:rPr>
              <w:t>A sum equal to £5,000,000</w:t>
            </w:r>
            <w:r w:rsidRPr="00FC683E" w:rsidR="00FC683E">
              <w:rPr>
                <w:rFonts w:ascii="Arial" w:hAnsi="Arial" w:cs="Arial"/>
                <w:sz w:val="18"/>
                <w:szCs w:val="18"/>
              </w:rPr>
              <w:t>.</w:t>
            </w:r>
          </w:p>
          <w:p w:rsidR="00622BBD" w:rsidP="00622BBD" w:rsidRDefault="00622BBD" w14:paraId="4ADD73A1" w14:textId="77777777">
            <w:pPr>
              <w:pStyle w:val="BodyText3"/>
              <w:keepNext/>
              <w:tabs>
                <w:tab w:val="left" w:pos="709"/>
              </w:tabs>
              <w:spacing w:after="0" w:line="240" w:lineRule="auto"/>
              <w:rPr>
                <w:rFonts w:ascii="Arial" w:hAnsi="Arial" w:cs="Arial"/>
                <w:b/>
                <w:i/>
                <w:iCs/>
                <w:sz w:val="18"/>
                <w:szCs w:val="18"/>
                <w:highlight w:val="yellow"/>
              </w:rPr>
            </w:pP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14:paraId="24ABF653" w14:textId="77777777">
        <w:trPr>
          <w:trHeight w:val="383"/>
        </w:trPr>
        <w:tc>
          <w:tcPr>
            <w:tcW w:w="1413" w:type="pct"/>
            <w:shd w:val="clear" w:color="auto" w:fill="auto"/>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rsidRPr="00FB0540" w:rsidR="00FC683E" w:rsidP="00FC683E" w:rsidRDefault="00FC683E" w14:paraId="1B9CBDB5" w14:textId="77777777">
            <w:pPr>
              <w:pStyle w:val="BodyText3"/>
              <w:keepNext/>
              <w:tabs>
                <w:tab w:val="left" w:pos="709"/>
              </w:tabs>
              <w:rPr>
                <w:rFonts w:ascii="Arial" w:hAnsi="Arial" w:cs="Arial"/>
                <w:sz w:val="18"/>
                <w:szCs w:val="18"/>
              </w:rPr>
            </w:pPr>
            <w:r w:rsidRPr="00FB0540">
              <w:rPr>
                <w:rFonts w:ascii="Arial" w:hAnsi="Arial" w:cs="Arial"/>
                <w:sz w:val="18"/>
                <w:szCs w:val="18"/>
              </w:rPr>
              <w:t xml:space="preserve">For general liaison your contact will continue to be </w:t>
            </w:r>
          </w:p>
          <w:p w:rsidRPr="00FB0540" w:rsidR="00FC683E" w:rsidP="00FC683E" w:rsidRDefault="00FC683E" w14:paraId="67268645" w14:textId="77777777">
            <w:pPr>
              <w:pStyle w:val="BodyText3"/>
              <w:keepNext/>
              <w:tabs>
                <w:tab w:val="left" w:pos="709"/>
              </w:tabs>
              <w:rPr>
                <w:rFonts w:ascii="Arial" w:hAnsi="Arial" w:cs="Arial"/>
                <w:sz w:val="18"/>
                <w:szCs w:val="18"/>
              </w:rPr>
            </w:pPr>
            <w:r>
              <w:rPr>
                <w:rFonts w:ascii="Arial" w:hAnsi="Arial" w:cs="Arial"/>
                <w:sz w:val="18"/>
                <w:szCs w:val="18"/>
              </w:rPr>
              <w:t xml:space="preserve">Simon Pengelly – Email: </w:t>
            </w:r>
            <w:r w:rsidRPr="00FB0540">
              <w:rPr>
                <w:rFonts w:ascii="Arial" w:hAnsi="Arial" w:cs="Arial"/>
                <w:sz w:val="18"/>
                <w:szCs w:val="18"/>
              </w:rPr>
              <w:t>Simon.pengelly@Association-IFCA.org.uk</w:t>
            </w:r>
            <w:r>
              <w:rPr>
                <w:rFonts w:ascii="Arial" w:hAnsi="Arial" w:cs="Arial"/>
                <w:sz w:val="18"/>
                <w:szCs w:val="18"/>
              </w:rPr>
              <w:t>; Tel: 07759710485</w:t>
            </w:r>
          </w:p>
          <w:p w:rsidRPr="00FB0540" w:rsidR="00FC683E" w:rsidP="00FC683E" w:rsidRDefault="00FC683E" w14:paraId="4BF9E3C6" w14:textId="77777777">
            <w:pPr>
              <w:pStyle w:val="BodyText3"/>
              <w:keepNext/>
              <w:tabs>
                <w:tab w:val="left" w:pos="709"/>
              </w:tabs>
              <w:rPr>
                <w:rFonts w:ascii="Arial" w:hAnsi="Arial" w:cs="Arial"/>
                <w:sz w:val="18"/>
                <w:szCs w:val="18"/>
              </w:rPr>
            </w:pPr>
            <w:r w:rsidRPr="00FB0540">
              <w:rPr>
                <w:rFonts w:ascii="Arial" w:hAnsi="Arial" w:cs="Arial"/>
                <w:sz w:val="18"/>
                <w:szCs w:val="18"/>
              </w:rPr>
              <w:t xml:space="preserve">or, in their absence, </w:t>
            </w:r>
          </w:p>
          <w:p w:rsidRPr="00B46D37" w:rsidR="007E7D58" w:rsidP="007E7D58" w:rsidRDefault="00FC683E" w14:paraId="3E4CD59E" w14:textId="1171587E">
            <w:pPr>
              <w:pStyle w:val="Header"/>
              <w:tabs>
                <w:tab w:val="left" w:pos="709"/>
              </w:tabs>
              <w:rPr>
                <w:rFonts w:ascii="Arial" w:hAnsi="Arial" w:cs="Arial"/>
                <w:sz w:val="18"/>
                <w:szCs w:val="18"/>
              </w:rPr>
            </w:pPr>
            <w:r>
              <w:rPr>
                <w:rFonts w:ascii="Arial" w:hAnsi="Arial" w:cs="Arial"/>
                <w:sz w:val="18"/>
                <w:szCs w:val="18"/>
              </w:rPr>
              <w:t xml:space="preserve">Ian Goodchild – Email: </w:t>
            </w:r>
            <w:r w:rsidRPr="00FC683E">
              <w:rPr>
                <w:rFonts w:ascii="Arial" w:hAnsi="Arial" w:cs="Arial"/>
                <w:sz w:val="18"/>
                <w:szCs w:val="18"/>
              </w:rPr>
              <w:t>Ian.Goodchild@naturalengland.org.uk</w:t>
            </w:r>
            <w:r>
              <w:rPr>
                <w:rFonts w:ascii="Arial" w:hAnsi="Arial" w:cs="Arial"/>
                <w:sz w:val="18"/>
                <w:szCs w:val="18"/>
              </w:rPr>
              <w:t xml:space="preserve">; Tel: </w:t>
            </w:r>
            <w:r w:rsidRPr="00FC683E">
              <w:rPr>
                <w:rFonts w:ascii="Arial" w:hAnsi="Arial" w:cs="Arial"/>
                <w:sz w:val="18"/>
                <w:szCs w:val="18"/>
              </w:rPr>
              <w:t>07901 009456</w:t>
            </w:r>
          </w:p>
        </w:tc>
      </w:tr>
      <w:tr w:rsidRPr="00961A47" w:rsidR="007E7D58" w14:paraId="26FB4D09" w14:textId="77777777">
        <w:trPr>
          <w:trHeight w:val="383"/>
        </w:trPr>
        <w:tc>
          <w:tcPr>
            <w:tcW w:w="1413" w:type="pct"/>
            <w:shd w:val="clear" w:color="auto" w:fill="auto"/>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rsidRPr="00B46D37" w:rsidR="007E7D58" w:rsidP="007E7D58" w:rsidRDefault="00FC683E" w14:paraId="5D9306ED" w14:textId="749849CE">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To be confirmed. </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14:paraId="3B6DEDD3" w14:textId="77777777">
        <w:trPr>
          <w:trHeight w:val="383"/>
        </w:trPr>
        <w:tc>
          <w:tcPr>
            <w:tcW w:w="1413" w:type="pct"/>
            <w:shd w:val="clear" w:color="auto" w:fill="auto"/>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rsidRPr="006D3AB7" w:rsidR="007E7D58" w:rsidP="007E7D58" w:rsidRDefault="007E7D58" w14:paraId="1CDDAEEC" w14:textId="6DB13AC1">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FC683E">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rsidRPr="00B46D37" w:rsidR="007E7D58" w:rsidP="007E7D58" w:rsidRDefault="007E7D58" w14:paraId="699605EB" w14:textId="772BEB2B">
            <w:pPr>
              <w:pStyle w:val="Header"/>
              <w:tabs>
                <w:tab w:val="left" w:pos="709"/>
              </w:tabs>
              <w:ind w:right="3"/>
              <w:rPr>
                <w:rFonts w:ascii="Arial" w:hAnsi="Arial" w:cs="Arial"/>
                <w:b/>
                <w:i/>
                <w:sz w:val="18"/>
                <w:szCs w:val="18"/>
                <w:highlight w:val="yellow"/>
              </w:rPr>
            </w:pPr>
          </w:p>
        </w:tc>
      </w:tr>
      <w:tr w:rsidRPr="00961A47" w:rsidR="007E7D58" w14:paraId="66EB0154" w14:textId="77777777">
        <w:trPr>
          <w:trHeight w:val="383"/>
        </w:trPr>
        <w:tc>
          <w:tcPr>
            <w:tcW w:w="1413" w:type="pct"/>
            <w:shd w:val="clear" w:color="auto" w:fill="auto"/>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Pr>
          <w:p w:rsidRPr="00060369" w:rsidR="007E7D58" w:rsidP="00FC683E" w:rsidRDefault="007E7D58" w14:paraId="644703CA" w14:textId="5F158846">
            <w:pPr>
              <w:pStyle w:val="Header"/>
              <w:tabs>
                <w:tab w:val="left" w:pos="422"/>
              </w:tabs>
              <w:ind w:right="3"/>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attend progress meetings with the Customer every </w:t>
            </w:r>
            <w:r w:rsidR="00FC683E">
              <w:rPr>
                <w:rFonts w:ascii="Arial" w:hAnsi="Arial" w:eastAsia="Arial" w:cs="Arial"/>
                <w:color w:val="000000"/>
                <w:sz w:val="18"/>
                <w:szCs w:val="18"/>
              </w:rPr>
              <w:t>month.</w:t>
            </w:r>
          </w:p>
          <w:p w:rsidRPr="00060369" w:rsidR="007E7D58" w:rsidP="007E7D58" w:rsidRDefault="007E7D58" w14:paraId="4AC4472A" w14:textId="4FD9EE07">
            <w:p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provide the Customer with progress reports every </w:t>
            </w:r>
            <w:r w:rsidR="00FC683E">
              <w:rPr>
                <w:rFonts w:ascii="Arial" w:hAnsi="Arial" w:eastAsia="Arial" w:cs="Arial"/>
                <w:color w:val="000000"/>
                <w:sz w:val="18"/>
                <w:szCs w:val="18"/>
              </w:rPr>
              <w:t xml:space="preserve">month. </w:t>
            </w:r>
          </w:p>
        </w:tc>
      </w:tr>
      <w:tr w:rsidRPr="00961A47" w:rsidR="007E7D58" w14:paraId="0CA426CF" w14:textId="77777777">
        <w:trPr>
          <w:trHeight w:val="383"/>
        </w:trPr>
        <w:tc>
          <w:tcPr>
            <w:tcW w:w="1413" w:type="pct"/>
            <w:shd w:val="clear" w:color="auto" w:fill="auto"/>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72"/>
              <w:gridCol w:w="1893"/>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2EB8FA71">
                  <w:pPr>
                    <w:pStyle w:val="Header"/>
                    <w:tabs>
                      <w:tab w:val="left" w:pos="709"/>
                    </w:tabs>
                    <w:ind w:right="3"/>
                    <w:rPr>
                      <w:rFonts w:ascii="Arial" w:hAnsi="Arial" w:cs="Arial"/>
                      <w:b/>
                      <w:sz w:val="18"/>
                      <w:szCs w:val="18"/>
                    </w:rPr>
                  </w:pPr>
                  <w:r w:rsidRPr="00CA4BA2">
                    <w:rPr>
                      <w:rFonts w:ascii="Arial" w:hAnsi="Arial" w:cs="Arial"/>
                      <w:b/>
                      <w:sz w:val="18"/>
                      <w:szCs w:val="18"/>
                    </w:rPr>
                    <w:t>Contractor:</w:t>
                  </w:r>
                  <w:r w:rsidR="00FC683E">
                    <w:rPr>
                      <w:rFonts w:ascii="Arial" w:hAnsi="Arial" w:cs="Arial"/>
                      <w:b/>
                      <w:sz w:val="18"/>
                      <w:szCs w:val="18"/>
                    </w:rPr>
                    <w:t xml:space="preserve"> </w:t>
                  </w:r>
                  <w:r w:rsidRPr="00FC683E" w:rsidR="00FC683E">
                    <w:rPr>
                      <w:rFonts w:ascii="Arial" w:hAnsi="Arial" w:cs="Arial"/>
                      <w:bCs/>
                      <w:sz w:val="18"/>
                      <w:szCs w:val="18"/>
                    </w:rPr>
                    <w:t>TBC</w:t>
                  </w:r>
                </w:p>
              </w:tc>
            </w:tr>
            <w:tr w:rsidR="007E7D58" w:rsidTr="00BC7CC2" w14:paraId="70090F7F" w14:textId="77777777">
              <w:tc>
                <w:tcPr>
                  <w:tcW w:w="4531" w:type="dxa"/>
                </w:tcPr>
                <w:p w:rsidRPr="00FB0540" w:rsidR="00FC683E" w:rsidP="00FC683E" w:rsidRDefault="00FC683E" w14:paraId="16B28895" w14:textId="77777777">
                  <w:pPr>
                    <w:tabs>
                      <w:tab w:val="left" w:pos="709"/>
                    </w:tabs>
                    <w:rPr>
                      <w:rFonts w:ascii="Arial" w:hAnsi="Arial" w:cs="Arial"/>
                      <w:sz w:val="18"/>
                      <w:szCs w:val="18"/>
                    </w:rPr>
                  </w:pPr>
                  <w:r w:rsidRPr="00FB0540">
                    <w:rPr>
                      <w:rFonts w:ascii="Arial" w:hAnsi="Arial" w:cs="Arial"/>
                      <w:sz w:val="18"/>
                      <w:szCs w:val="18"/>
                    </w:rPr>
                    <w:t>Natural England</w:t>
                  </w:r>
                </w:p>
                <w:p w:rsidRPr="00FB0540" w:rsidR="00FC683E" w:rsidP="00FC683E" w:rsidRDefault="00FC683E" w14:paraId="5A2E6FAE" w14:textId="77777777">
                  <w:pPr>
                    <w:tabs>
                      <w:tab w:val="left" w:pos="709"/>
                    </w:tabs>
                    <w:rPr>
                      <w:rFonts w:ascii="Arial" w:hAnsi="Arial" w:cs="Arial"/>
                      <w:sz w:val="18"/>
                      <w:szCs w:val="18"/>
                    </w:rPr>
                  </w:pPr>
                  <w:r w:rsidRPr="00FB0540">
                    <w:rPr>
                      <w:rFonts w:ascii="Arial" w:hAnsi="Arial" w:cs="Arial"/>
                      <w:sz w:val="18"/>
                      <w:szCs w:val="18"/>
                    </w:rPr>
                    <w:t>Foss House</w:t>
                  </w:r>
                </w:p>
                <w:p w:rsidRPr="00FB0540" w:rsidR="00FC683E" w:rsidP="00FC683E" w:rsidRDefault="00FC683E" w14:paraId="427F3EDA" w14:textId="77777777">
                  <w:pPr>
                    <w:tabs>
                      <w:tab w:val="left" w:pos="709"/>
                    </w:tabs>
                    <w:rPr>
                      <w:rFonts w:ascii="Arial" w:hAnsi="Arial" w:cs="Arial"/>
                      <w:sz w:val="18"/>
                      <w:szCs w:val="18"/>
                    </w:rPr>
                  </w:pPr>
                  <w:r w:rsidRPr="00FB0540">
                    <w:rPr>
                      <w:rFonts w:ascii="Arial" w:hAnsi="Arial" w:cs="Arial"/>
                      <w:sz w:val="18"/>
                      <w:szCs w:val="18"/>
                    </w:rPr>
                    <w:t>Kings Pool</w:t>
                  </w:r>
                </w:p>
                <w:p w:rsidRPr="00FB0540" w:rsidR="00FC683E" w:rsidP="00FC683E" w:rsidRDefault="00FC683E" w14:paraId="269B0677" w14:textId="77777777">
                  <w:pPr>
                    <w:tabs>
                      <w:tab w:val="left" w:pos="709"/>
                    </w:tabs>
                    <w:rPr>
                      <w:rFonts w:ascii="Arial" w:hAnsi="Arial" w:cs="Arial"/>
                      <w:sz w:val="18"/>
                      <w:szCs w:val="18"/>
                    </w:rPr>
                  </w:pPr>
                  <w:r w:rsidRPr="00FB0540">
                    <w:rPr>
                      <w:rFonts w:ascii="Arial" w:hAnsi="Arial" w:cs="Arial"/>
                      <w:sz w:val="18"/>
                      <w:szCs w:val="18"/>
                    </w:rPr>
                    <w:t xml:space="preserve">1-2 </w:t>
                  </w:r>
                  <w:proofErr w:type="spellStart"/>
                  <w:r w:rsidRPr="00FB0540">
                    <w:rPr>
                      <w:rFonts w:ascii="Arial" w:hAnsi="Arial" w:cs="Arial"/>
                      <w:sz w:val="18"/>
                      <w:szCs w:val="18"/>
                    </w:rPr>
                    <w:t>Peasholme</w:t>
                  </w:r>
                  <w:proofErr w:type="spellEnd"/>
                  <w:r w:rsidRPr="00FB0540">
                    <w:rPr>
                      <w:rFonts w:ascii="Arial" w:hAnsi="Arial" w:cs="Arial"/>
                      <w:sz w:val="18"/>
                      <w:szCs w:val="18"/>
                    </w:rPr>
                    <w:t xml:space="preserve"> Green</w:t>
                  </w:r>
                </w:p>
                <w:p w:rsidRPr="00FB0540" w:rsidR="00FC683E" w:rsidP="00FC683E" w:rsidRDefault="00FC683E" w14:paraId="2453D1D5" w14:textId="77777777">
                  <w:pPr>
                    <w:tabs>
                      <w:tab w:val="left" w:pos="709"/>
                    </w:tabs>
                    <w:rPr>
                      <w:rFonts w:ascii="Arial" w:hAnsi="Arial" w:cs="Arial"/>
                      <w:sz w:val="18"/>
                      <w:szCs w:val="18"/>
                    </w:rPr>
                  </w:pPr>
                  <w:r w:rsidRPr="00FB0540">
                    <w:rPr>
                      <w:rFonts w:ascii="Arial" w:hAnsi="Arial" w:cs="Arial"/>
                      <w:sz w:val="18"/>
                      <w:szCs w:val="18"/>
                    </w:rPr>
                    <w:t>York</w:t>
                  </w:r>
                </w:p>
                <w:p w:rsidRPr="00CA4BA2" w:rsidR="007E7D58" w:rsidP="00FC683E" w:rsidRDefault="00FC683E" w14:paraId="597D4E15" w14:textId="3EA5A09C">
                  <w:pPr>
                    <w:pStyle w:val="Header"/>
                    <w:tabs>
                      <w:tab w:val="left" w:pos="709"/>
                    </w:tabs>
                    <w:ind w:right="3"/>
                    <w:rPr>
                      <w:rFonts w:ascii="Arial" w:hAnsi="Arial" w:cs="Arial"/>
                      <w:sz w:val="18"/>
                      <w:szCs w:val="18"/>
                    </w:rPr>
                  </w:pPr>
                  <w:r w:rsidRPr="00FB0540">
                    <w:rPr>
                      <w:rFonts w:ascii="Arial" w:hAnsi="Arial" w:cs="Arial"/>
                      <w:sz w:val="18"/>
                      <w:szCs w:val="18"/>
                    </w:rPr>
                    <w:t>YO1 7PX</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00FC683E" w:rsidP="007E7D58" w:rsidRDefault="007E7D58" w14:paraId="6C89C202" w14:textId="77777777">
                  <w:pPr>
                    <w:pStyle w:val="Header"/>
                    <w:tabs>
                      <w:tab w:val="left" w:pos="709"/>
                    </w:tabs>
                    <w:ind w:right="3"/>
                    <w:rPr>
                      <w:rFonts w:ascii="Arial" w:hAnsi="Arial" w:cs="Arial"/>
                      <w:sz w:val="18"/>
                      <w:szCs w:val="18"/>
                    </w:rPr>
                  </w:pPr>
                  <w:r w:rsidRPr="00CA4BA2">
                    <w:rPr>
                      <w:rFonts w:ascii="Arial" w:hAnsi="Arial" w:cs="Arial"/>
                      <w:sz w:val="18"/>
                      <w:szCs w:val="18"/>
                    </w:rPr>
                    <w:t>Attention</w:t>
                  </w:r>
                  <w:r w:rsidR="00FC683E">
                    <w:rPr>
                      <w:rFonts w:ascii="Arial" w:hAnsi="Arial" w:cs="Arial"/>
                      <w:sz w:val="18"/>
                      <w:szCs w:val="18"/>
                    </w:rPr>
                    <w:t xml:space="preserve">: Ian Goodchild, </w:t>
                  </w:r>
                </w:p>
                <w:p w:rsidRPr="00CA4BA2" w:rsidR="007E7D58" w:rsidP="007E7D58" w:rsidRDefault="00FC683E" w14:paraId="48D4A1DA" w14:textId="5D504C3E">
                  <w:pPr>
                    <w:pStyle w:val="Header"/>
                    <w:tabs>
                      <w:tab w:val="left" w:pos="709"/>
                    </w:tabs>
                    <w:ind w:right="3"/>
                    <w:rPr>
                      <w:rFonts w:ascii="Arial" w:hAnsi="Arial" w:cs="Arial"/>
                      <w:sz w:val="18"/>
                      <w:szCs w:val="18"/>
                    </w:rPr>
                  </w:pPr>
                  <w:r>
                    <w:rPr>
                      <w:rFonts w:ascii="Arial" w:hAnsi="Arial" w:cs="Arial"/>
                      <w:sz w:val="18"/>
                      <w:szCs w:val="18"/>
                    </w:rPr>
                    <w:t>mNCEA Programme Senior Project Officer</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056D80F0">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FC683E" w:rsidR="00FC683E">
                    <w:rPr>
                      <w:rFonts w:ascii="Arial" w:hAnsi="Arial" w:cs="Arial"/>
                      <w:sz w:val="18"/>
                      <w:szCs w:val="18"/>
                    </w:rPr>
                    <w:t>Ian.Goodchild@naturalengland.org.uk</w:t>
                  </w: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4028F1" w:rsidP="007E7D58" w:rsidRDefault="004028F1" w14:paraId="7EB7E640" w14:textId="51135BB6">
                  <w:pPr>
                    <w:pStyle w:val="Header"/>
                    <w:tabs>
                      <w:tab w:val="left" w:pos="709"/>
                    </w:tabs>
                    <w:ind w:right="3"/>
                    <w:rPr>
                      <w:rFonts w:ascii="Arial" w:hAnsi="Arial" w:cs="Arial"/>
                      <w:sz w:val="18"/>
                      <w:szCs w:val="18"/>
                    </w:rPr>
                  </w:pPr>
                </w:p>
              </w:tc>
            </w:tr>
            <w:tr w:rsidR="00E567F8" w:rsidTr="00E767AE" w14:paraId="63E3831B" w14:textId="77777777">
              <w:trPr>
                <w:gridAfter w:val="1"/>
                <w:wAfter w:w="2534" w:type="dxa"/>
              </w:trPr>
              <w:tc>
                <w:tcPr>
                  <w:tcW w:w="6943" w:type="dxa"/>
                </w:tcPr>
                <w:p w:rsidRPr="00CA4BA2" w:rsidR="00E567F8" w:rsidP="007E7D58" w:rsidRDefault="00E567F8" w14:paraId="16DE294F" w14:textId="54F834ED">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14:paraId="6AB1CBCC" w14:textId="77777777">
        <w:trPr>
          <w:trHeight w:val="1750"/>
        </w:trPr>
        <w:tc>
          <w:tcPr>
            <w:tcW w:w="1413" w:type="pct"/>
            <w:shd w:val="clear" w:color="auto" w:fill="auto"/>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FC683E" w:rsidR="007E7D58" w:rsidDel="006867E5" w:rsidP="007E7D58" w:rsidRDefault="00FC683E" w14:paraId="011B9033" w14:textId="5DF5C567">
                  <w:pPr>
                    <w:pStyle w:val="Header"/>
                    <w:tabs>
                      <w:tab w:val="left" w:pos="709"/>
                    </w:tabs>
                    <w:ind w:right="3"/>
                    <w:rPr>
                      <w:rFonts w:ascii="Arial" w:hAnsi="Arial" w:cs="Arial"/>
                      <w:bCs/>
                      <w:iCs/>
                      <w:sz w:val="18"/>
                      <w:szCs w:val="18"/>
                    </w:rPr>
                  </w:pPr>
                  <w:r w:rsidRPr="00FC683E">
                    <w:rPr>
                      <w:rFonts w:ascii="Arial" w:hAnsi="Arial" w:cs="Arial"/>
                      <w:bCs/>
                      <w:iCs/>
                      <w:sz w:val="18"/>
                      <w:szCs w:val="18"/>
                    </w:rPr>
                    <w:t xml:space="preserve">To be confirmed.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14:paraId="5D4E2D47" w14:textId="77777777">
        <w:tc>
          <w:tcPr>
            <w:tcW w:w="1413" w:type="pct"/>
            <w:shd w:val="clear" w:color="auto" w:fill="auto"/>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2"/>
            <w:r w:rsidRPr="00060369">
              <w:rPr>
                <w:rFonts w:ascii="Arial" w:hAnsi="Arial" w:cs="Arial"/>
                <w:b/>
                <w:sz w:val="18"/>
                <w:szCs w:val="18"/>
              </w:rPr>
              <w:t>Procedures and Policies</w:t>
            </w:r>
            <w:bookmarkEnd w:id="12"/>
          </w:p>
        </w:tc>
        <w:tc>
          <w:tcPr>
            <w:tcW w:w="3587" w:type="pct"/>
            <w:gridSpan w:val="2"/>
            <w:shd w:val="clear" w:color="auto" w:fill="auto"/>
          </w:tcPr>
          <w:p w:rsidRPr="00060369" w:rsidR="007E7D58" w:rsidP="00FC683E" w:rsidRDefault="007E7D58" w14:paraId="3A56E4DF" w14:textId="5932E0D5">
            <w:pPr>
              <w:tabs>
                <w:tab w:val="left" w:pos="709"/>
              </w:tabs>
              <w:rPr>
                <w:rFonts w:ascii="Arial" w:hAnsi="Arial" w:cs="Arial"/>
                <w:sz w:val="18"/>
                <w:szCs w:val="18"/>
              </w:rPr>
            </w:pPr>
            <w:r w:rsidRPr="00060369">
              <w:rPr>
                <w:rFonts w:ascii="Arial" w:hAnsi="Arial" w:cs="Arial"/>
                <w:sz w:val="18"/>
                <w:szCs w:val="18"/>
              </w:rPr>
              <w:t xml:space="preserve">For the purposes of the Agreement: </w:t>
            </w:r>
            <w:r w:rsidR="00FC683E">
              <w:rPr>
                <w:rFonts w:ascii="Arial" w:hAnsi="Arial" w:cs="Arial"/>
                <w:b/>
                <w:i/>
                <w:sz w:val="18"/>
                <w:szCs w:val="18"/>
              </w:rPr>
              <w:t xml:space="preserve">Not Applicable. </w:t>
            </w:r>
          </w:p>
          <w:p w:rsidRPr="00060369" w:rsidR="007E7D58" w:rsidP="00FC683E" w:rsidRDefault="007E7D58" w14:paraId="00A1E155" w14:textId="77777777">
            <w:pPr>
              <w:tabs>
                <w:tab w:val="left" w:pos="709"/>
              </w:tabs>
              <w:rPr>
                <w:rFonts w:ascii="Arial" w:hAnsi="Arial" w:cs="Arial"/>
                <w:sz w:val="18"/>
                <w:szCs w:val="18"/>
              </w:rPr>
            </w:pPr>
          </w:p>
        </w:tc>
      </w:tr>
      <w:tr w:rsidRPr="00961A47" w:rsidR="007E7D58" w14:paraId="5BE74AA2" w14:textId="77777777">
        <w:tc>
          <w:tcPr>
            <w:tcW w:w="1413" w:type="pct"/>
            <w:shd w:val="clear" w:color="auto" w:fill="auto"/>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gridSpan w:val="2"/>
            <w:shd w:val="clear" w:color="auto" w:fill="auto"/>
          </w:tcPr>
          <w:p w:rsidRPr="00E567F8" w:rsidR="007E7D58" w:rsidP="00E567F8" w:rsidRDefault="00FC683E" w14:paraId="471A725E" w14:textId="15312FA2">
            <w:pPr>
              <w:spacing w:before="120" w:after="120"/>
              <w:rPr>
                <w:rFonts w:ascii="Arial" w:hAnsi="Arial" w:eastAsia="Arial" w:cs="Arial"/>
                <w:b/>
                <w:i/>
                <w:sz w:val="18"/>
                <w:szCs w:val="18"/>
              </w:rPr>
            </w:pPr>
            <w:r>
              <w:rPr>
                <w:rFonts w:ascii="Arial" w:hAnsi="Arial" w:eastAsia="Arial" w:cs="Arial"/>
                <w:sz w:val="18"/>
                <w:szCs w:val="18"/>
              </w:rPr>
              <w:t xml:space="preserve">Not applicable. </w:t>
            </w:r>
          </w:p>
          <w:p w:rsidRPr="00607C0A" w:rsidR="007E7D58" w:rsidP="007E7D58" w:rsidRDefault="007E7D58" w14:paraId="5CA25D6F" w14:textId="77777777">
            <w:pPr>
              <w:pStyle w:val="ListParagraph"/>
              <w:spacing w:before="120" w:after="120"/>
              <w:rPr>
                <w:rFonts w:ascii="Arial" w:hAnsi="Arial" w:cs="Arial"/>
                <w:b/>
                <w:i/>
                <w:sz w:val="18"/>
                <w:szCs w:val="18"/>
              </w:rPr>
            </w:pPr>
          </w:p>
        </w:tc>
      </w:tr>
      <w:tr w:rsidRPr="00961A47" w:rsidR="007E7D58" w14:paraId="3A1B4439" w14:textId="77777777">
        <w:tc>
          <w:tcPr>
            <w:tcW w:w="1413" w:type="pct"/>
            <w:shd w:val="clear" w:color="auto" w:fill="auto"/>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rsidRPr="00060369" w:rsidR="007E7D58" w:rsidP="007E7D58" w:rsidRDefault="00FC683E" w14:paraId="1AE40EDF" w14:textId="7DB0663E">
            <w:pPr>
              <w:spacing w:before="120" w:after="120"/>
              <w:rPr>
                <w:rFonts w:ascii="Arial" w:hAnsi="Arial" w:eastAsia="Arial" w:cs="Arial"/>
                <w:sz w:val="18"/>
                <w:szCs w:val="18"/>
              </w:rPr>
            </w:pPr>
            <w:r>
              <w:rPr>
                <w:rFonts w:ascii="Arial" w:hAnsi="Arial" w:eastAsia="Arial" w:cs="Arial"/>
                <w:sz w:val="18"/>
                <w:szCs w:val="18"/>
              </w:rPr>
              <w:t xml:space="preserve">Not applicable. </w:t>
            </w:r>
          </w:p>
        </w:tc>
      </w:tr>
      <w:tr w:rsidRPr="00961A47" w:rsidR="007E7D58" w14:paraId="5FF59053" w14:textId="77777777">
        <w:tc>
          <w:tcPr>
            <w:tcW w:w="1413" w:type="pct"/>
            <w:shd w:val="clear" w:color="auto" w:fill="auto"/>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FC683E" w:rsidR="007E7D58" w:rsidP="00FC683E" w:rsidRDefault="007E7D58" w14:paraId="6AE812DC" w14:textId="147F5504">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FC683E">
                  <w:rPr>
                    <w:rFonts w:hint="eastAsia" w:ascii="MS Gothic" w:hAnsi="MS Gothic" w:eastAsia="MS Gothic" w:cs="Arial"/>
                    <w:b/>
                    <w:bCs/>
                    <w:sz w:val="18"/>
                    <w:szCs w:val="18"/>
                  </w:rPr>
                  <w:t>☒</w:t>
                </w:r>
              </w:sdtContent>
            </w:sdt>
          </w:p>
        </w:tc>
      </w:tr>
    </w:tbl>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66534572" w14:paraId="740CF37C" w14:textId="77777777">
        <w:trPr>
          <w:trHeight w:val="997"/>
        </w:trPr>
        <w:tc>
          <w:tcPr>
            <w:tcW w:w="5089" w:type="dxa"/>
            <w:shd w:val="clear" w:color="auto" w:fill="D5DCE4" w:themeFill="text2" w:themeFillTint="33"/>
            <w:tcMar/>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hemeFill="text2" w:themeFillTint="33"/>
            <w:tcMar/>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66534572" w14:paraId="19BF07DB" w14:textId="77777777">
        <w:trPr>
          <w:trHeight w:val="1630"/>
        </w:trPr>
        <w:tc>
          <w:tcPr>
            <w:tcW w:w="5089" w:type="dxa"/>
            <w:shd w:val="clear" w:color="auto" w:fill="D5DCE4" w:themeFill="text2" w:themeFillTint="33"/>
            <w:tcMar/>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FC683E" w14:paraId="1FBB1AF3" w14:textId="18F9D67E">
            <w:pPr>
              <w:tabs>
                <w:tab w:val="left" w:pos="709"/>
              </w:tabs>
              <w:rPr>
                <w:rFonts w:ascii="Arial" w:hAnsi="Arial" w:cs="Arial"/>
                <w:szCs w:val="22"/>
              </w:rPr>
            </w:pPr>
            <w:r>
              <w:rPr>
                <w:rFonts w:ascii="Arial" w:hAnsi="Arial" w:cs="Arial"/>
                <w:szCs w:val="22"/>
              </w:rPr>
              <w:t>Ian Goodchild</w:t>
            </w:r>
            <w:r w:rsidRPr="00961A47" w:rsidR="009C2213">
              <w:rPr>
                <w:rFonts w:ascii="Arial" w:hAnsi="Arial" w:cs="Arial"/>
                <w:szCs w:val="22"/>
              </w:rPr>
              <w:t xml:space="preserve"> </w:t>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FC683E" w14:paraId="31007C2E" w14:textId="62177D37">
            <w:pPr>
              <w:tabs>
                <w:tab w:val="left" w:pos="709"/>
              </w:tabs>
              <w:rPr>
                <w:rFonts w:ascii="Arial" w:hAnsi="Arial" w:eastAsia="Arial" w:cs="Arial"/>
                <w:szCs w:val="22"/>
              </w:rPr>
            </w:pPr>
            <w:r w:rsidRPr="00FC683E">
              <w:rPr>
                <w:rFonts w:ascii="Arial" w:hAnsi="Arial" w:cs="Arial"/>
                <w:szCs w:val="22"/>
              </w:rPr>
              <w:t>mNCEA Programme Senior Project Officer</w:t>
            </w:r>
          </w:p>
        </w:tc>
        <w:tc>
          <w:tcPr>
            <w:tcW w:w="5089" w:type="dxa"/>
            <w:shd w:val="clear" w:color="auto" w:fill="D5DCE4" w:themeFill="text2" w:themeFillTint="33"/>
            <w:tcMar/>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C0EAAE6" w14:textId="3A2B92C4">
            <w:pPr>
              <w:tabs>
                <w:tab w:val="left" w:pos="709"/>
              </w:tabs>
              <w:rPr>
                <w:rFonts w:ascii="Arial" w:hAnsi="Arial" w:cs="Arial"/>
                <w:szCs w:val="22"/>
              </w:rPr>
            </w:pPr>
          </w:p>
        </w:tc>
      </w:tr>
      <w:tr w:rsidRPr="00961A47" w:rsidR="009C2213" w:rsidTr="66534572" w14:paraId="207F3855" w14:textId="77777777">
        <w:tc>
          <w:tcPr>
            <w:tcW w:w="5089" w:type="dxa"/>
            <w:shd w:val="clear" w:color="auto" w:fill="D5DCE4" w:themeFill="text2" w:themeFillTint="33"/>
            <w:tcMar/>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P="66534572" w:rsidRDefault="009C2213" w14:paraId="392BA503" w14:textId="7DA5280F">
            <w:pPr>
              <w:tabs>
                <w:tab w:val="left" w:pos="709"/>
              </w:tabs>
              <w:rPr>
                <w:rFonts w:ascii="Arial" w:hAnsi="Arial" w:eastAsia="Arial" w:cs="Arial"/>
              </w:rPr>
            </w:pPr>
            <w:r w:rsidRPr="66534572" w:rsidR="312A7CA5">
              <w:rPr>
                <w:rFonts w:ascii="Arial" w:hAnsi="Arial" w:eastAsia="Arial" w:cs="Arial"/>
              </w:rPr>
              <w:t>5/9/24</w:t>
            </w:r>
          </w:p>
        </w:tc>
        <w:tc>
          <w:tcPr>
            <w:tcW w:w="5089" w:type="dxa"/>
            <w:shd w:val="clear" w:color="auto" w:fill="D5DCE4" w:themeFill="text2" w:themeFillTint="33"/>
            <w:tcMar/>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66534572" w14:paraId="25AAE989" w14:textId="77777777">
        <w:tc>
          <w:tcPr>
            <w:tcW w:w="5089" w:type="dxa"/>
            <w:shd w:val="clear" w:color="auto" w:fill="D5DCE4" w:themeFill="text2" w:themeFillTint="33"/>
            <w:tcMar/>
          </w:tcPr>
          <w:p w:rsidRPr="00961A47" w:rsidR="009C2213" w:rsidP="66534572" w:rsidRDefault="009C2213" w14:paraId="4BA0D5EB" w14:textId="5843D4A8">
            <w:pPr>
              <w:pStyle w:val="Normal"/>
              <w:tabs>
                <w:tab w:val="left" w:pos="709"/>
              </w:tabs>
            </w:pPr>
            <w:r w:rsidRPr="66534572" w:rsidR="009C2213">
              <w:rPr>
                <w:rFonts w:ascii="Arial" w:hAnsi="Arial" w:cs="Arial"/>
              </w:rPr>
              <w:t>Signature:</w:t>
            </w:r>
            <w:r w:rsidR="08C3870E">
              <w:drawing>
                <wp:inline wp14:editId="44432606" wp14:anchorId="6CDEB846">
                  <wp:extent cx="1164437" cy="414564"/>
                  <wp:effectExtent l="0" t="0" r="0" b="0"/>
                  <wp:docPr id="2074422380" name="" title=""/>
                  <wp:cNvGraphicFramePr>
                    <a:graphicFrameLocks noChangeAspect="1"/>
                  </wp:cNvGraphicFramePr>
                  <a:graphic>
                    <a:graphicData uri="http://schemas.openxmlformats.org/drawingml/2006/picture">
                      <pic:pic>
                        <pic:nvPicPr>
                          <pic:cNvPr id="0" name=""/>
                          <pic:cNvPicPr/>
                        </pic:nvPicPr>
                        <pic:blipFill>
                          <a:blip r:embed="R9fd61a6636cb4339">
                            <a:extLst>
                              <a:ext xmlns:a="http://schemas.openxmlformats.org/drawingml/2006/main" uri="{28A0092B-C50C-407E-A947-70E740481C1C}">
                                <a14:useLocalDpi val="0"/>
                              </a:ext>
                            </a:extLst>
                          </a:blip>
                          <a:stretch>
                            <a:fillRect/>
                          </a:stretch>
                        </pic:blipFill>
                        <pic:spPr>
                          <a:xfrm>
                            <a:off x="0" y="0"/>
                            <a:ext cx="1164437" cy="414564"/>
                          </a:xfrm>
                          <a:prstGeom prst="rect">
                            <a:avLst/>
                          </a:prstGeom>
                        </pic:spPr>
                      </pic:pic>
                    </a:graphicData>
                  </a:graphic>
                </wp:inline>
              </w:drawing>
            </w:r>
          </w:p>
        </w:tc>
        <w:tc>
          <w:tcPr>
            <w:tcW w:w="5089" w:type="dxa"/>
            <w:shd w:val="clear" w:color="auto" w:fill="D5DCE4" w:themeFill="text2" w:themeFillTint="33"/>
            <w:tcMar/>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4">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28704B" w:rsidP="00964799" w:rsidRDefault="0028704B" w14:paraId="20F04C51" w14:textId="77777777">
      <w:pPr>
        <w:jc w:val="center"/>
        <w:rPr>
          <w:rFonts w:ascii="Arial" w:hAnsi="Arial" w:eastAsia="Arial" w:cs="Arial"/>
          <w:sz w:val="18"/>
          <w:szCs w:val="18"/>
        </w:rPr>
      </w:pPr>
    </w:p>
    <w:p w:rsidR="00593BB6" w:rsidP="00593BB6" w:rsidRDefault="00593BB6" w14:paraId="175AF8E0" w14:textId="77777777">
      <w:pPr>
        <w:pStyle w:val="paragraph"/>
        <w:spacing w:before="0" w:beforeAutospacing="0" w:after="0" w:afterAutospacing="0"/>
        <w:textAlignment w:val="baseline"/>
        <w:rPr>
          <w:rStyle w:val="normaltextrun"/>
          <w:rFonts w:ascii="Arial" w:hAnsi="Arial" w:cs="Arial"/>
          <w:b/>
          <w:bCs/>
          <w:color w:val="000000"/>
        </w:rPr>
      </w:pPr>
    </w:p>
    <w:p w:rsidRPr="00AB4F97" w:rsidR="00AB4F97" w:rsidP="00593BB6" w:rsidRDefault="00AB4F97" w14:paraId="7BF07807" w14:textId="1F8B968F">
      <w:pPr>
        <w:pStyle w:val="paragraph"/>
        <w:spacing w:before="0" w:beforeAutospacing="0" w:after="0" w:afterAutospacing="0"/>
        <w:textAlignment w:val="baseline"/>
        <w:rPr>
          <w:rStyle w:val="normaltextrun"/>
          <w:rFonts w:ascii="Arial" w:hAnsi="Arial" w:cs="Arial"/>
          <w:color w:val="000000"/>
          <w:sz w:val="22"/>
          <w:szCs w:val="22"/>
        </w:rPr>
      </w:pPr>
      <w:r w:rsidRPr="00AB4F97">
        <w:rPr>
          <w:rStyle w:val="normaltextrun"/>
          <w:rFonts w:ascii="Arial" w:hAnsi="Arial" w:cs="Arial"/>
          <w:color w:val="000000"/>
          <w:sz w:val="22"/>
          <w:szCs w:val="22"/>
        </w:rPr>
        <w:t>This contract is for the delivery of f</w:t>
      </w:r>
      <w:r w:rsidRPr="00AB4F97">
        <w:rPr>
          <w:rStyle w:val="normaltextrun"/>
          <w:rFonts w:ascii="Arial" w:hAnsi="Arial" w:cs="Arial"/>
          <w:color w:val="000000"/>
          <w:sz w:val="22"/>
          <w:szCs w:val="22"/>
        </w:rPr>
        <w:t xml:space="preserve">ield-based surveys during the overwintering period </w:t>
      </w:r>
      <w:r w:rsidRPr="00AB4F97">
        <w:rPr>
          <w:rStyle w:val="normaltextrun"/>
          <w:rFonts w:ascii="Arial" w:hAnsi="Arial" w:cs="Arial"/>
          <w:color w:val="000000"/>
          <w:sz w:val="22"/>
          <w:szCs w:val="22"/>
        </w:rPr>
        <w:t xml:space="preserve">to </w:t>
      </w:r>
      <w:r w:rsidRPr="00AB4F97">
        <w:rPr>
          <w:rStyle w:val="normaltextrun"/>
          <w:rFonts w:ascii="Arial" w:hAnsi="Arial" w:cs="Arial"/>
          <w:color w:val="000000"/>
          <w:sz w:val="22"/>
          <w:szCs w:val="22"/>
        </w:rPr>
        <w:t xml:space="preserve">establish </w:t>
      </w:r>
      <w:proofErr w:type="spellStart"/>
      <w:r w:rsidRPr="00AB4F97">
        <w:rPr>
          <w:rStyle w:val="normaltextrun"/>
          <w:rFonts w:ascii="Arial" w:hAnsi="Arial" w:cs="Arial"/>
          <w:color w:val="000000"/>
          <w:sz w:val="22"/>
          <w:szCs w:val="22"/>
        </w:rPr>
        <w:t>spatio</w:t>
      </w:r>
      <w:proofErr w:type="spellEnd"/>
      <w:r w:rsidRPr="00AB4F97">
        <w:rPr>
          <w:rStyle w:val="normaltextrun"/>
          <w:rFonts w:ascii="Arial" w:hAnsi="Arial" w:cs="Arial"/>
          <w:color w:val="000000"/>
          <w:sz w:val="22"/>
          <w:szCs w:val="22"/>
        </w:rPr>
        <w:t xml:space="preserve">-temporal distribution of oystercatchers across foraging habitats in the Taw-Torridge Estuary. </w:t>
      </w:r>
    </w:p>
    <w:p w:rsidR="00593BB6" w:rsidP="00593BB6" w:rsidRDefault="00593BB6" w14:paraId="2CF22417" w14:textId="2EDD4764">
      <w:pPr>
        <w:pStyle w:val="paragraph"/>
        <w:spacing w:before="0" w:beforeAutospacing="0" w:after="0" w:afterAutospacing="0"/>
        <w:textAlignment w:val="baseline"/>
        <w:rPr>
          <w:rStyle w:val="normaltextrun"/>
          <w:rFonts w:ascii="Arial" w:hAnsi="Arial" w:cs="Arial"/>
          <w:b/>
          <w:bCs/>
          <w:color w:val="000000"/>
          <w:sz w:val="22"/>
          <w:szCs w:val="22"/>
        </w:rPr>
      </w:pPr>
    </w:p>
    <w:p w:rsidRPr="00AB4F97" w:rsidR="00AB4F97" w:rsidP="00593BB6" w:rsidRDefault="00AB4F97" w14:paraId="33F71004" w14:textId="36AC93D2">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rPr>
        <w:t>Background</w:t>
      </w:r>
    </w:p>
    <w:p w:rsidRPr="00AB4F97" w:rsidR="00593BB6" w:rsidP="00593BB6" w:rsidRDefault="00593BB6" w14:paraId="605F5195" w14:textId="77777777">
      <w:pPr>
        <w:pStyle w:val="paragraph"/>
        <w:spacing w:before="0" w:beforeAutospacing="0" w:after="0" w:afterAutospacing="0"/>
        <w:textAlignment w:val="baseline"/>
        <w:rPr>
          <w:rFonts w:ascii="Arial" w:hAnsi="Arial" w:cs="Arial"/>
          <w:sz w:val="22"/>
          <w:szCs w:val="22"/>
        </w:rPr>
      </w:pPr>
      <w:r w:rsidRPr="00AB4F97">
        <w:rPr>
          <w:rStyle w:val="eop"/>
          <w:rFonts w:ascii="Arial" w:hAnsi="Arial" w:cs="Arial" w:eastAsiaTheme="minorEastAsia"/>
          <w:sz w:val="22"/>
          <w:szCs w:val="22"/>
        </w:rPr>
        <w:t> </w:t>
      </w:r>
    </w:p>
    <w:p w:rsidRPr="00AB4F97" w:rsidR="00593BB6" w:rsidP="00593BB6" w:rsidRDefault="00593BB6" w14:paraId="43C9A90E" w14:textId="11972011">
      <w:pPr>
        <w:pStyle w:val="paragraph"/>
        <w:spacing w:before="0" w:beforeAutospacing="0" w:after="0" w:afterAutospacing="0"/>
        <w:textAlignment w:val="baseline"/>
        <w:rPr>
          <w:rFonts w:ascii="Arial" w:hAnsi="Arial" w:cs="Arial"/>
          <w:sz w:val="22"/>
          <w:szCs w:val="22"/>
        </w:rPr>
      </w:pPr>
      <w:r w:rsidRPr="00AB4F97">
        <w:rPr>
          <w:rStyle w:val="normaltextrun"/>
          <w:rFonts w:ascii="Arial" w:hAnsi="Arial" w:cs="Arial"/>
          <w:color w:val="000000"/>
          <w:sz w:val="22"/>
          <w:szCs w:val="22"/>
        </w:rPr>
        <w:t xml:space="preserve">This project will be undertaken as part of </w:t>
      </w:r>
      <w:r w:rsidRPr="00AB4F97">
        <w:rPr>
          <w:rStyle w:val="normaltextrun"/>
          <w:rFonts w:ascii="Arial" w:hAnsi="Arial" w:cs="Arial"/>
          <w:color w:val="000000"/>
          <w:sz w:val="22"/>
          <w:szCs w:val="22"/>
        </w:rPr>
        <w:t xml:space="preserve">Defra’s marine Natural Capital and Ecosystems Approach (mNCEA) </w:t>
      </w:r>
      <w:r w:rsidRPr="00AB4F97">
        <w:rPr>
          <w:rStyle w:val="normaltextrun"/>
          <w:rFonts w:ascii="Arial" w:hAnsi="Arial" w:cs="Arial"/>
          <w:color w:val="000000"/>
          <w:sz w:val="22"/>
          <w:szCs w:val="22"/>
        </w:rPr>
        <w:t xml:space="preserve">Programme. The mNCEA </w:t>
      </w:r>
      <w:r w:rsidRPr="00AB4F97">
        <w:rPr>
          <w:rStyle w:val="normaltextrun"/>
          <w:rFonts w:ascii="Arial" w:hAnsi="Arial" w:cs="Arial"/>
          <w:color w:val="000000"/>
          <w:sz w:val="22"/>
          <w:szCs w:val="22"/>
        </w:rPr>
        <w:t>mission is to</w:t>
      </w:r>
      <w:r w:rsidRPr="00AB4F97">
        <w:rPr>
          <w:rStyle w:val="normaltextrun"/>
          <w:rFonts w:ascii="Arial" w:hAnsi="Arial" w:cs="Arial"/>
          <w:color w:val="000000"/>
          <w:sz w:val="22"/>
          <w:szCs w:val="22"/>
        </w:rPr>
        <w:t>:</w:t>
      </w:r>
      <w:r w:rsidRPr="00AB4F97">
        <w:rPr>
          <w:rStyle w:val="eop"/>
          <w:rFonts w:ascii="Arial" w:hAnsi="Arial" w:cs="Arial" w:eastAsiaTheme="minorEastAsia"/>
          <w:color w:val="000000"/>
          <w:sz w:val="22"/>
          <w:szCs w:val="22"/>
        </w:rPr>
        <w:t> </w:t>
      </w:r>
    </w:p>
    <w:p w:rsidRPr="00AB4F97" w:rsidR="00593BB6" w:rsidP="00593BB6" w:rsidRDefault="00593BB6" w14:paraId="2A675574" w14:textId="77777777">
      <w:pPr>
        <w:pStyle w:val="paragraph"/>
        <w:spacing w:before="0" w:beforeAutospacing="0" w:after="0" w:afterAutospacing="0"/>
        <w:textAlignment w:val="baseline"/>
        <w:rPr>
          <w:rFonts w:ascii="Arial" w:hAnsi="Arial" w:cs="Arial"/>
          <w:sz w:val="22"/>
          <w:szCs w:val="22"/>
        </w:rPr>
      </w:pPr>
      <w:r w:rsidRPr="00AB4F97">
        <w:rPr>
          <w:rStyle w:val="eop"/>
          <w:rFonts w:ascii="Arial" w:hAnsi="Arial" w:cs="Arial" w:eastAsiaTheme="minorEastAsia"/>
          <w:color w:val="000000"/>
          <w:sz w:val="22"/>
          <w:szCs w:val="22"/>
        </w:rPr>
        <w:t> </w:t>
      </w:r>
    </w:p>
    <w:p w:rsidRPr="00AB4F97" w:rsidR="00593BB6" w:rsidP="00593BB6" w:rsidRDefault="00593BB6" w14:paraId="59461509" w14:textId="77777777">
      <w:pPr>
        <w:pStyle w:val="paragraph"/>
        <w:spacing w:before="0" w:beforeAutospacing="0" w:after="0" w:afterAutospacing="0"/>
        <w:textAlignment w:val="baseline"/>
        <w:rPr>
          <w:rFonts w:ascii="Arial" w:hAnsi="Arial" w:cs="Arial"/>
          <w:sz w:val="22"/>
          <w:szCs w:val="22"/>
        </w:rPr>
      </w:pPr>
      <w:r w:rsidRPr="00AB4F97">
        <w:rPr>
          <w:rStyle w:val="normaltextrun"/>
          <w:rFonts w:ascii="Arial" w:hAnsi="Arial" w:cs="Arial"/>
          <w:color w:val="000000"/>
          <w:sz w:val="22"/>
          <w:szCs w:val="22"/>
        </w:rPr>
        <w:t>“Transform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r w:rsidRPr="00AB4F97">
        <w:rPr>
          <w:rStyle w:val="eop"/>
          <w:rFonts w:ascii="Arial" w:hAnsi="Arial" w:cs="Arial" w:eastAsiaTheme="minorEastAsia"/>
          <w:color w:val="000000"/>
          <w:sz w:val="22"/>
          <w:szCs w:val="22"/>
        </w:rPr>
        <w:t> </w:t>
      </w:r>
    </w:p>
    <w:p w:rsidRPr="00AB4F97" w:rsidR="00593BB6" w:rsidP="00593BB6" w:rsidRDefault="00593BB6" w14:paraId="70A1E890" w14:textId="77777777">
      <w:pPr>
        <w:pStyle w:val="paragraph"/>
        <w:spacing w:before="0" w:beforeAutospacing="0" w:after="0" w:afterAutospacing="0"/>
        <w:textAlignment w:val="baseline"/>
        <w:rPr>
          <w:rFonts w:ascii="Arial" w:hAnsi="Arial" w:cs="Arial"/>
          <w:sz w:val="22"/>
          <w:szCs w:val="22"/>
        </w:rPr>
      </w:pPr>
      <w:r w:rsidRPr="00AB4F97">
        <w:rPr>
          <w:rStyle w:val="eop"/>
          <w:rFonts w:ascii="Arial" w:hAnsi="Arial" w:cs="Arial" w:eastAsiaTheme="minorEastAsia"/>
          <w:color w:val="000000"/>
          <w:sz w:val="22"/>
          <w:szCs w:val="22"/>
        </w:rPr>
        <w:t> </w:t>
      </w:r>
    </w:p>
    <w:p w:rsidRPr="00AB4F97" w:rsidR="00593BB6" w:rsidP="00593BB6" w:rsidRDefault="00593BB6" w14:paraId="0E63C48B" w14:textId="77777777">
      <w:pPr>
        <w:pStyle w:val="paragraph"/>
        <w:spacing w:before="0" w:beforeAutospacing="0" w:after="0" w:afterAutospacing="0"/>
        <w:textAlignment w:val="baseline"/>
        <w:rPr>
          <w:rStyle w:val="eop"/>
          <w:rFonts w:ascii="Arial" w:hAnsi="Arial" w:cs="Arial" w:eastAsiaTheme="minorEastAsia"/>
          <w:color w:val="000000"/>
          <w:sz w:val="22"/>
          <w:szCs w:val="22"/>
        </w:rPr>
      </w:pPr>
      <w:r w:rsidRPr="00AB4F97">
        <w:rPr>
          <w:rStyle w:val="normaltextrun"/>
          <w:rFonts w:ascii="Arial" w:hAnsi="Arial" w:cs="Arial"/>
          <w:color w:val="000000"/>
          <w:sz w:val="22"/>
          <w:szCs w:val="22"/>
        </w:rPr>
        <w:t>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r w:rsidRPr="00AB4F97">
        <w:rPr>
          <w:rStyle w:val="eop"/>
          <w:rFonts w:ascii="Arial" w:hAnsi="Arial" w:cs="Arial" w:eastAsiaTheme="minorEastAsia"/>
          <w:color w:val="000000"/>
          <w:sz w:val="22"/>
          <w:szCs w:val="22"/>
        </w:rPr>
        <w:t> </w:t>
      </w:r>
    </w:p>
    <w:p w:rsidRPr="00AB4F97" w:rsidR="00593BB6" w:rsidP="00593BB6" w:rsidRDefault="00593BB6" w14:paraId="2477AF16" w14:textId="77777777">
      <w:pPr>
        <w:pStyle w:val="paragraph"/>
        <w:spacing w:before="0" w:beforeAutospacing="0" w:after="0" w:afterAutospacing="0"/>
        <w:textAlignment w:val="baseline"/>
        <w:rPr>
          <w:rFonts w:ascii="Arial" w:hAnsi="Arial" w:cs="Arial"/>
          <w:sz w:val="22"/>
          <w:szCs w:val="22"/>
        </w:rPr>
      </w:pPr>
      <w:r w:rsidRPr="00AB4F97">
        <w:rPr>
          <w:rStyle w:val="eop"/>
          <w:rFonts w:ascii="Arial" w:hAnsi="Arial" w:cs="Arial" w:eastAsiaTheme="minorEastAsia"/>
          <w:color w:val="000000"/>
          <w:sz w:val="22"/>
          <w:szCs w:val="22"/>
        </w:rPr>
        <w:t> </w:t>
      </w:r>
    </w:p>
    <w:p w:rsidR="00AB4F97" w:rsidP="00AB4F97" w:rsidRDefault="00AB4F97" w14:paraId="1A11D0BB" w14:textId="686BB51A">
      <w:pPr>
        <w:pStyle w:val="Subheading"/>
        <w:spacing w:line="240" w:lineRule="auto"/>
        <w:rPr>
          <w:rFonts w:ascii="Arial" w:hAnsi="Arial" w:cs="Arial"/>
          <w:b w:val="0"/>
          <w:sz w:val="22"/>
          <w:szCs w:val="22"/>
        </w:rPr>
      </w:pPr>
      <w:r>
        <w:rPr>
          <w:rFonts w:ascii="Arial" w:hAnsi="Arial" w:cs="Arial"/>
          <w:b w:val="0"/>
          <w:sz w:val="22"/>
          <w:szCs w:val="22"/>
        </w:rPr>
        <w:t>A bird food resource model is being developed to help</w:t>
      </w:r>
      <w:r w:rsidRPr="00AB4F97" w:rsidR="00593BB6">
        <w:rPr>
          <w:rFonts w:ascii="Arial" w:hAnsi="Arial" w:cs="Arial"/>
          <w:b w:val="0"/>
          <w:sz w:val="22"/>
          <w:szCs w:val="22"/>
        </w:rPr>
        <w:t xml:space="preserve"> deliver an assessment of whether the Taw Torridge Estuary provides sufficient food resources for oystercatcher (</w:t>
      </w:r>
      <w:proofErr w:type="spellStart"/>
      <w:r w:rsidRPr="00AB4F97" w:rsidR="00593BB6">
        <w:rPr>
          <w:rFonts w:ascii="Arial" w:hAnsi="Arial" w:cs="Arial"/>
          <w:b w:val="0"/>
          <w:i/>
          <w:iCs/>
          <w:sz w:val="22"/>
          <w:szCs w:val="22"/>
        </w:rPr>
        <w:t>Haematopus</w:t>
      </w:r>
      <w:proofErr w:type="spellEnd"/>
      <w:r w:rsidRPr="00AB4F97" w:rsidR="00593BB6">
        <w:rPr>
          <w:rFonts w:ascii="Arial" w:hAnsi="Arial" w:cs="Arial"/>
          <w:b w:val="0"/>
          <w:i/>
          <w:iCs/>
          <w:sz w:val="22"/>
          <w:szCs w:val="22"/>
        </w:rPr>
        <w:t xml:space="preserve"> </w:t>
      </w:r>
      <w:proofErr w:type="spellStart"/>
      <w:r w:rsidRPr="00AB4F97" w:rsidR="00593BB6">
        <w:rPr>
          <w:rFonts w:ascii="Arial" w:hAnsi="Arial" w:cs="Arial"/>
          <w:b w:val="0"/>
          <w:i/>
          <w:iCs/>
          <w:sz w:val="22"/>
          <w:szCs w:val="22"/>
        </w:rPr>
        <w:t>ostralegus</w:t>
      </w:r>
      <w:proofErr w:type="spellEnd"/>
      <w:r w:rsidRPr="00AB4F97" w:rsidR="00593BB6">
        <w:rPr>
          <w:rFonts w:ascii="Arial" w:hAnsi="Arial" w:cs="Arial"/>
          <w:b w:val="0"/>
          <w:sz w:val="22"/>
          <w:szCs w:val="22"/>
        </w:rPr>
        <w:t>), accounting for the fact that their cockle (</w:t>
      </w:r>
      <w:proofErr w:type="spellStart"/>
      <w:r w:rsidRPr="00AB4F97" w:rsidR="00593BB6">
        <w:rPr>
          <w:rFonts w:ascii="Arial" w:hAnsi="Arial" w:cs="Arial"/>
          <w:b w:val="0"/>
          <w:i/>
          <w:iCs/>
          <w:sz w:val="22"/>
          <w:szCs w:val="22"/>
        </w:rPr>
        <w:t>Cerastoderma</w:t>
      </w:r>
      <w:proofErr w:type="spellEnd"/>
      <w:r w:rsidRPr="00AB4F97" w:rsidR="00593BB6">
        <w:rPr>
          <w:rFonts w:ascii="Arial" w:hAnsi="Arial" w:cs="Arial"/>
          <w:b w:val="0"/>
          <w:i/>
          <w:iCs/>
          <w:sz w:val="22"/>
          <w:szCs w:val="22"/>
        </w:rPr>
        <w:t xml:space="preserve"> edule</w:t>
      </w:r>
      <w:r w:rsidRPr="00AB4F97" w:rsidR="00593BB6">
        <w:rPr>
          <w:rFonts w:ascii="Arial" w:hAnsi="Arial" w:cs="Arial"/>
          <w:b w:val="0"/>
          <w:sz w:val="22"/>
          <w:szCs w:val="22"/>
        </w:rPr>
        <w:t>) and mussel (</w:t>
      </w:r>
      <w:r w:rsidRPr="00AB4F97" w:rsidR="00593BB6">
        <w:rPr>
          <w:rFonts w:ascii="Arial" w:hAnsi="Arial" w:cs="Arial"/>
          <w:b w:val="0"/>
          <w:i/>
          <w:iCs/>
          <w:sz w:val="22"/>
          <w:szCs w:val="22"/>
        </w:rPr>
        <w:t>Mytilus edulis</w:t>
      </w:r>
      <w:r w:rsidRPr="00AB4F97" w:rsidR="00593BB6">
        <w:rPr>
          <w:rFonts w:ascii="Arial" w:hAnsi="Arial" w:cs="Arial"/>
          <w:b w:val="0"/>
          <w:sz w:val="22"/>
          <w:szCs w:val="22"/>
        </w:rPr>
        <w:t xml:space="preserve">) prey are also harvested by </w:t>
      </w:r>
      <w:proofErr w:type="spellStart"/>
      <w:r w:rsidRPr="00AB4F97" w:rsidR="00593BB6">
        <w:rPr>
          <w:rFonts w:ascii="Arial" w:hAnsi="Arial" w:cs="Arial"/>
          <w:b w:val="0"/>
          <w:sz w:val="22"/>
          <w:szCs w:val="22"/>
        </w:rPr>
        <w:t>shellfishing</w:t>
      </w:r>
      <w:proofErr w:type="spellEnd"/>
      <w:r w:rsidRPr="00AB4F97" w:rsidR="00593BB6">
        <w:rPr>
          <w:rFonts w:ascii="Arial" w:hAnsi="Arial" w:cs="Arial"/>
          <w:b w:val="0"/>
          <w:sz w:val="22"/>
          <w:szCs w:val="22"/>
        </w:rPr>
        <w:t xml:space="preserve">. </w:t>
      </w:r>
    </w:p>
    <w:p w:rsidR="00AB4F97" w:rsidP="00AB4F97" w:rsidRDefault="00AB4F97" w14:paraId="2F08988A" w14:textId="77777777">
      <w:pPr>
        <w:pStyle w:val="Subheading"/>
        <w:spacing w:line="240" w:lineRule="auto"/>
        <w:rPr>
          <w:rFonts w:ascii="Arial" w:hAnsi="Arial" w:cs="Arial"/>
          <w:b w:val="0"/>
          <w:sz w:val="22"/>
          <w:szCs w:val="22"/>
        </w:rPr>
      </w:pPr>
      <w:r>
        <w:rPr>
          <w:rFonts w:ascii="Arial" w:hAnsi="Arial" w:cs="Arial"/>
          <w:b w:val="0"/>
          <w:sz w:val="22"/>
          <w:szCs w:val="22"/>
        </w:rPr>
        <w:t>The</w:t>
      </w:r>
      <w:r w:rsidRPr="00AB4F97" w:rsidR="00593BB6">
        <w:rPr>
          <w:rFonts w:ascii="Arial" w:hAnsi="Arial" w:cs="Arial"/>
          <w:b w:val="0"/>
          <w:sz w:val="22"/>
          <w:szCs w:val="22"/>
        </w:rPr>
        <w:t xml:space="preserve"> individual-based model will predict the relationship between the amount of food resources for these birds, after shellfish harvesting and any other effects of harvesting on the birds, and the proportion of birds that are able to survive the winter in good condition. </w:t>
      </w:r>
    </w:p>
    <w:p w:rsidRPr="00AB4F97" w:rsidR="00593BB6" w:rsidP="00AB4F97" w:rsidRDefault="00AB4F97" w14:paraId="05E3BB10" w14:textId="1AB701E3">
      <w:pPr>
        <w:pStyle w:val="Subheading"/>
        <w:spacing w:line="240" w:lineRule="auto"/>
        <w:rPr>
          <w:rFonts w:ascii="Arial" w:hAnsi="Arial" w:cs="Arial"/>
          <w:b w:val="0"/>
          <w:sz w:val="22"/>
          <w:szCs w:val="22"/>
        </w:rPr>
      </w:pPr>
      <w:r>
        <w:rPr>
          <w:rFonts w:ascii="Arial" w:hAnsi="Arial" w:cs="Arial"/>
          <w:b w:val="0"/>
          <w:sz w:val="22"/>
          <w:szCs w:val="22"/>
        </w:rPr>
        <w:t>The data gathered from f</w:t>
      </w:r>
      <w:r w:rsidRPr="00AB4F97">
        <w:rPr>
          <w:rFonts w:ascii="Arial" w:hAnsi="Arial" w:cs="Arial"/>
          <w:b w:val="0"/>
          <w:sz w:val="22"/>
          <w:szCs w:val="22"/>
        </w:rPr>
        <w:t xml:space="preserve">ield-based surveys during the overwintering period </w:t>
      </w:r>
      <w:r>
        <w:rPr>
          <w:rFonts w:ascii="Arial" w:hAnsi="Arial" w:cs="Arial"/>
          <w:b w:val="0"/>
          <w:sz w:val="22"/>
          <w:szCs w:val="22"/>
        </w:rPr>
        <w:t>to</w:t>
      </w:r>
      <w:r w:rsidRPr="00AB4F97">
        <w:rPr>
          <w:rFonts w:ascii="Arial" w:hAnsi="Arial" w:cs="Arial"/>
          <w:b w:val="0"/>
          <w:sz w:val="22"/>
          <w:szCs w:val="22"/>
        </w:rPr>
        <w:t xml:space="preserve"> establish </w:t>
      </w:r>
      <w:proofErr w:type="spellStart"/>
      <w:r w:rsidRPr="00AB4F97">
        <w:rPr>
          <w:rFonts w:ascii="Arial" w:hAnsi="Arial" w:cs="Arial"/>
          <w:b w:val="0"/>
          <w:sz w:val="22"/>
          <w:szCs w:val="22"/>
        </w:rPr>
        <w:t>spatio</w:t>
      </w:r>
      <w:proofErr w:type="spellEnd"/>
      <w:r w:rsidRPr="00AB4F97">
        <w:rPr>
          <w:rFonts w:ascii="Arial" w:hAnsi="Arial" w:cs="Arial"/>
          <w:b w:val="0"/>
          <w:sz w:val="22"/>
          <w:szCs w:val="22"/>
        </w:rPr>
        <w:t xml:space="preserve">-temporal distribution of oystercatchers across foraging habitats in the Taw-Torridge Estuary will be used to validate the model developed. </w:t>
      </w:r>
    </w:p>
    <w:p w:rsidRPr="00AB4F97" w:rsidR="00593BB6" w:rsidP="00593BB6" w:rsidRDefault="00AB4F97" w14:paraId="2CEB782C" w14:textId="6CABED2E">
      <w:pPr>
        <w:pStyle w:val="Subheading"/>
        <w:spacing w:line="240" w:lineRule="auto"/>
        <w:rPr>
          <w:rFonts w:ascii="Arial" w:hAnsi="Arial" w:cs="Arial"/>
          <w:b w:val="0"/>
          <w:bCs/>
          <w:sz w:val="22"/>
          <w:szCs w:val="22"/>
        </w:rPr>
      </w:pPr>
      <w:r>
        <w:rPr>
          <w:rFonts w:ascii="Arial" w:hAnsi="Arial" w:cs="Arial"/>
          <w:b w:val="0"/>
          <w:bCs/>
          <w:sz w:val="22"/>
          <w:szCs w:val="22"/>
        </w:rPr>
        <w:t>The contractor will be required to</w:t>
      </w:r>
      <w:r w:rsidRPr="00AB4F97" w:rsidR="00593BB6">
        <w:rPr>
          <w:rFonts w:ascii="Arial" w:hAnsi="Arial" w:cs="Arial"/>
          <w:b w:val="0"/>
          <w:bCs/>
          <w:sz w:val="22"/>
          <w:szCs w:val="22"/>
        </w:rPr>
        <w:t>:</w:t>
      </w:r>
    </w:p>
    <w:p w:rsidRPr="00AB4F97" w:rsidR="00593BB6" w:rsidP="00593BB6" w:rsidRDefault="00AB4F97" w14:paraId="606DFA89" w14:textId="5B3A8F3F">
      <w:pPr>
        <w:pStyle w:val="Subheading"/>
        <w:numPr>
          <w:ilvl w:val="0"/>
          <w:numId w:val="18"/>
        </w:numPr>
        <w:spacing w:line="240" w:lineRule="auto"/>
        <w:rPr>
          <w:rFonts w:ascii="Arial" w:hAnsi="Arial" w:cs="Arial"/>
          <w:b w:val="0"/>
          <w:bCs/>
          <w:sz w:val="22"/>
          <w:szCs w:val="22"/>
        </w:rPr>
      </w:pPr>
      <w:r>
        <w:rPr>
          <w:rFonts w:ascii="Arial" w:hAnsi="Arial" w:cs="Arial"/>
          <w:b w:val="0"/>
          <w:bCs/>
          <w:sz w:val="22"/>
          <w:szCs w:val="22"/>
        </w:rPr>
        <w:t xml:space="preserve">Undertake </w:t>
      </w:r>
      <w:r w:rsidRPr="00AB4F97" w:rsidR="00593BB6">
        <w:rPr>
          <w:rFonts w:ascii="Arial" w:hAnsi="Arial" w:cs="Arial"/>
          <w:b w:val="0"/>
          <w:bCs/>
          <w:sz w:val="22"/>
          <w:szCs w:val="22"/>
        </w:rPr>
        <w:t>a site visit with the project team</w:t>
      </w:r>
      <w:r w:rsidRPr="00AB4F97">
        <w:rPr>
          <w:rFonts w:ascii="Arial" w:hAnsi="Arial" w:cs="Arial"/>
          <w:b w:val="0"/>
          <w:bCs/>
          <w:sz w:val="22"/>
          <w:szCs w:val="22"/>
        </w:rPr>
        <w:t>,</w:t>
      </w:r>
      <w:r>
        <w:rPr>
          <w:rFonts w:ascii="Arial" w:hAnsi="Arial" w:cs="Arial"/>
          <w:b w:val="0"/>
          <w:bCs/>
          <w:sz w:val="22"/>
          <w:szCs w:val="22"/>
        </w:rPr>
        <w:t xml:space="preserve"> prior to surveys starting,</w:t>
      </w:r>
      <w:r w:rsidRPr="00AB4F97">
        <w:rPr>
          <w:rFonts w:ascii="Arial" w:hAnsi="Arial" w:cs="Arial"/>
          <w:b w:val="0"/>
          <w:bCs/>
          <w:sz w:val="22"/>
          <w:szCs w:val="22"/>
        </w:rPr>
        <w:t xml:space="preserve"> </w:t>
      </w:r>
      <w:r w:rsidRPr="00AB4F97" w:rsidR="00593BB6">
        <w:rPr>
          <w:rFonts w:ascii="Arial" w:hAnsi="Arial" w:cs="Arial"/>
          <w:b w:val="0"/>
          <w:bCs/>
          <w:sz w:val="22"/>
          <w:szCs w:val="22"/>
        </w:rPr>
        <w:t xml:space="preserve">to determine the most suitable sites to survey. </w:t>
      </w:r>
    </w:p>
    <w:p w:rsidRPr="00AB4F97" w:rsidR="00593BB6" w:rsidP="00593BB6" w:rsidRDefault="00AB4F97" w14:paraId="76314FB4" w14:textId="01788A61">
      <w:pPr>
        <w:pStyle w:val="Subheading"/>
        <w:numPr>
          <w:ilvl w:val="0"/>
          <w:numId w:val="18"/>
        </w:numPr>
        <w:spacing w:line="240" w:lineRule="auto"/>
        <w:rPr>
          <w:rFonts w:ascii="Arial" w:hAnsi="Arial" w:cs="Arial"/>
          <w:b w:val="0"/>
          <w:bCs/>
          <w:sz w:val="22"/>
          <w:szCs w:val="22"/>
        </w:rPr>
      </w:pPr>
      <w:r>
        <w:rPr>
          <w:rFonts w:ascii="Arial" w:hAnsi="Arial" w:cs="Arial"/>
          <w:b w:val="0"/>
          <w:bCs/>
          <w:sz w:val="22"/>
          <w:szCs w:val="22"/>
        </w:rPr>
        <w:t>Undertake a</w:t>
      </w:r>
      <w:r w:rsidRPr="00AB4F97" w:rsidR="00593BB6">
        <w:rPr>
          <w:rFonts w:ascii="Arial" w:hAnsi="Arial" w:cs="Arial"/>
          <w:b w:val="0"/>
          <w:bCs/>
          <w:sz w:val="22"/>
          <w:szCs w:val="22"/>
        </w:rPr>
        <w:t xml:space="preserve"> minimum of two eight-hour survey days per month between October 2024 </w:t>
      </w:r>
      <w:r>
        <w:rPr>
          <w:rFonts w:ascii="Arial" w:hAnsi="Arial" w:cs="Arial"/>
          <w:b w:val="0"/>
          <w:bCs/>
          <w:sz w:val="22"/>
          <w:szCs w:val="22"/>
        </w:rPr>
        <w:t>and</w:t>
      </w:r>
      <w:r w:rsidRPr="00AB4F97" w:rsidR="00593BB6">
        <w:rPr>
          <w:rFonts w:ascii="Arial" w:hAnsi="Arial" w:cs="Arial"/>
          <w:b w:val="0"/>
          <w:bCs/>
          <w:sz w:val="22"/>
          <w:szCs w:val="22"/>
        </w:rPr>
        <w:t xml:space="preserve"> February 2025 (inclusive). In each month one survey day will be undertaken over a spring tide and one will be undertaken over a neap tide. Each survey day will require two observers, working at separate locations within the Taw-Torridge Estuary. </w:t>
      </w:r>
    </w:p>
    <w:p w:rsidRPr="00AB4F97" w:rsidR="00593BB6" w:rsidP="00593BB6" w:rsidRDefault="00593BB6" w14:paraId="0C195B6F" w14:textId="77777777">
      <w:pPr>
        <w:pStyle w:val="Subheading"/>
        <w:spacing w:line="240" w:lineRule="auto"/>
        <w:rPr>
          <w:rFonts w:ascii="Arial" w:hAnsi="Arial" w:cs="Arial"/>
          <w:b w:val="0"/>
          <w:bCs/>
          <w:sz w:val="22"/>
          <w:szCs w:val="22"/>
        </w:rPr>
      </w:pPr>
      <w:r w:rsidRPr="00AB4F97">
        <w:rPr>
          <w:rFonts w:ascii="Arial" w:hAnsi="Arial" w:cs="Arial"/>
          <w:b w:val="0"/>
          <w:bCs/>
          <w:sz w:val="22"/>
          <w:szCs w:val="22"/>
        </w:rPr>
        <w:t>Survey parameters include:</w:t>
      </w:r>
    </w:p>
    <w:p w:rsidRPr="00AB4F97" w:rsidR="00593BB6" w:rsidP="00593BB6" w:rsidRDefault="00593BB6" w14:paraId="43D5798E" w14:textId="77777777">
      <w:pPr>
        <w:pStyle w:val="Subheading"/>
        <w:numPr>
          <w:ilvl w:val="0"/>
          <w:numId w:val="19"/>
        </w:numPr>
        <w:spacing w:line="240" w:lineRule="auto"/>
        <w:rPr>
          <w:rFonts w:ascii="Arial" w:hAnsi="Arial" w:cs="Arial"/>
          <w:b w:val="0"/>
          <w:bCs/>
          <w:sz w:val="22"/>
          <w:szCs w:val="22"/>
        </w:rPr>
      </w:pPr>
      <w:r w:rsidRPr="00AB4F97">
        <w:rPr>
          <w:rFonts w:ascii="Arial" w:hAnsi="Arial" w:cs="Arial"/>
          <w:b w:val="0"/>
          <w:bCs/>
          <w:sz w:val="22"/>
          <w:szCs w:val="22"/>
        </w:rPr>
        <w:t>Every thirty minutes, counts of the number of feeding and non-feeding birds, identifying distribution by habitat.</w:t>
      </w:r>
    </w:p>
    <w:p w:rsidRPr="00AB4F97" w:rsidR="00593BB6" w:rsidP="00593BB6" w:rsidRDefault="00593BB6" w14:paraId="6FA51A52" w14:textId="77777777">
      <w:pPr>
        <w:pStyle w:val="Subheading"/>
        <w:numPr>
          <w:ilvl w:val="0"/>
          <w:numId w:val="19"/>
        </w:numPr>
        <w:spacing w:line="240" w:lineRule="auto"/>
        <w:rPr>
          <w:rFonts w:ascii="Arial" w:hAnsi="Arial" w:cs="Arial"/>
          <w:b w:val="0"/>
          <w:bCs/>
          <w:sz w:val="22"/>
          <w:szCs w:val="22"/>
        </w:rPr>
      </w:pPr>
      <w:r w:rsidRPr="00AB4F97">
        <w:rPr>
          <w:rFonts w:ascii="Arial" w:hAnsi="Arial" w:cs="Arial"/>
          <w:b w:val="0"/>
          <w:bCs/>
          <w:sz w:val="22"/>
          <w:szCs w:val="22"/>
        </w:rPr>
        <w:t xml:space="preserve">Between counts, focal observations of feeding oystercatchers to determine feeding behaviour and prey species. </w:t>
      </w:r>
    </w:p>
    <w:p w:rsidRPr="00AB4F97" w:rsidR="00593BB6" w:rsidP="00593BB6" w:rsidRDefault="00593BB6" w14:paraId="2BEF9E8C" w14:textId="77777777">
      <w:pPr>
        <w:pStyle w:val="Subheading"/>
        <w:numPr>
          <w:ilvl w:val="0"/>
          <w:numId w:val="19"/>
        </w:numPr>
        <w:spacing w:line="240" w:lineRule="auto"/>
        <w:rPr>
          <w:rFonts w:ascii="Arial" w:hAnsi="Arial" w:cs="Arial"/>
          <w:b w:val="0"/>
          <w:bCs/>
          <w:sz w:val="22"/>
          <w:szCs w:val="22"/>
        </w:rPr>
      </w:pPr>
      <w:r w:rsidRPr="00AB4F97">
        <w:rPr>
          <w:rFonts w:ascii="Arial" w:hAnsi="Arial" w:cs="Arial"/>
          <w:b w:val="0"/>
          <w:bCs/>
          <w:sz w:val="22"/>
          <w:szCs w:val="22"/>
        </w:rPr>
        <w:t xml:space="preserve">If possible, observations of oystercatcher prey through identification of remains. </w:t>
      </w:r>
    </w:p>
    <w:p w:rsidRPr="00AB4F97" w:rsidR="00593BB6" w:rsidP="00593BB6" w:rsidRDefault="00593BB6" w14:paraId="22A223EC" w14:textId="77777777">
      <w:pPr>
        <w:pStyle w:val="Subheading"/>
        <w:spacing w:line="240" w:lineRule="auto"/>
        <w:rPr>
          <w:rFonts w:ascii="Arial" w:hAnsi="Arial" w:cs="Arial"/>
          <w:b w:val="0"/>
          <w:bCs/>
          <w:sz w:val="22"/>
          <w:szCs w:val="22"/>
        </w:rPr>
      </w:pPr>
      <w:r w:rsidRPr="00AB4F97">
        <w:rPr>
          <w:rFonts w:ascii="Arial" w:hAnsi="Arial" w:cs="Arial"/>
          <w:b w:val="0"/>
          <w:bCs/>
          <w:sz w:val="22"/>
          <w:szCs w:val="22"/>
        </w:rPr>
        <w:t>Final survey parameters will be confirmed in conjunction with the contractor once the contract is awarded and following a site visit with the project team.</w:t>
      </w:r>
    </w:p>
    <w:p w:rsidRPr="00AB4F97" w:rsidR="00593BB6" w:rsidP="00593BB6" w:rsidRDefault="00593BB6" w14:paraId="4148DE04" w14:textId="77777777">
      <w:pPr>
        <w:textAlignment w:val="baseline"/>
        <w:rPr>
          <w:rFonts w:ascii="Arial" w:hAnsi="Arial" w:eastAsia="Times New Roman" w:cs="Arial"/>
          <w:b/>
          <w:bCs/>
          <w:color w:val="000000"/>
          <w:sz w:val="22"/>
          <w:szCs w:val="22"/>
          <w:lang w:eastAsia="en-GB"/>
        </w:rPr>
      </w:pPr>
      <w:r w:rsidRPr="00AB4F97">
        <w:rPr>
          <w:rFonts w:ascii="Arial" w:hAnsi="Arial" w:eastAsia="Times New Roman" w:cs="Arial"/>
          <w:b/>
          <w:bCs/>
          <w:color w:val="000000"/>
          <w:sz w:val="22"/>
          <w:szCs w:val="22"/>
          <w:lang w:eastAsia="en-GB"/>
        </w:rPr>
        <w:t>Site information and survey area</w:t>
      </w:r>
    </w:p>
    <w:p w:rsidRPr="00AB4F97" w:rsidR="00593BB6" w:rsidP="00593BB6" w:rsidRDefault="00593BB6" w14:paraId="237A0BA8" w14:textId="77777777">
      <w:pPr>
        <w:textAlignment w:val="baseline"/>
        <w:rPr>
          <w:rFonts w:ascii="Arial" w:hAnsi="Arial" w:eastAsia="Times New Roman" w:cs="Arial"/>
          <w:b/>
          <w:bCs/>
          <w:color w:val="000000"/>
          <w:sz w:val="22"/>
          <w:szCs w:val="22"/>
          <w:lang w:eastAsia="en-GB"/>
        </w:rPr>
      </w:pPr>
    </w:p>
    <w:p w:rsidRPr="00AB4F97" w:rsidR="00593BB6" w:rsidP="00593BB6" w:rsidRDefault="00593BB6" w14:paraId="1C1DFB75" w14:textId="5CCA2E28">
      <w:pPr>
        <w:textAlignment w:val="baseline"/>
        <w:rPr>
          <w:rFonts w:ascii="Arial" w:hAnsi="Arial" w:eastAsia="Times New Roman" w:cs="Arial"/>
          <w:color w:val="000000"/>
          <w:sz w:val="22"/>
          <w:szCs w:val="22"/>
          <w:lang w:eastAsia="en-GB"/>
        </w:rPr>
      </w:pPr>
      <w:r w:rsidRPr="00AB4F97">
        <w:rPr>
          <w:rFonts w:ascii="Arial" w:hAnsi="Arial" w:eastAsia="Times New Roman" w:cs="Arial"/>
          <w:color w:val="000000"/>
          <w:sz w:val="22"/>
          <w:szCs w:val="22"/>
          <w:lang w:eastAsia="en-GB"/>
        </w:rPr>
        <w:t xml:space="preserve">This survey will collect data on the </w:t>
      </w:r>
      <w:proofErr w:type="spellStart"/>
      <w:r w:rsidRPr="00AB4F97">
        <w:rPr>
          <w:rFonts w:ascii="Arial" w:hAnsi="Arial" w:eastAsia="Times New Roman" w:cs="Arial"/>
          <w:color w:val="000000"/>
          <w:sz w:val="22"/>
          <w:szCs w:val="22"/>
          <w:lang w:eastAsia="en-GB"/>
        </w:rPr>
        <w:t>spatio</w:t>
      </w:r>
      <w:proofErr w:type="spellEnd"/>
      <w:r w:rsidRPr="00AB4F97">
        <w:rPr>
          <w:rFonts w:ascii="Arial" w:hAnsi="Arial" w:eastAsia="Times New Roman" w:cs="Arial"/>
          <w:color w:val="000000"/>
          <w:sz w:val="22"/>
          <w:szCs w:val="22"/>
          <w:lang w:eastAsia="en-GB"/>
        </w:rPr>
        <w:t>-temporal distribution of oystercatchers across foraging habitats in the Taw-Torridge Estuary. Specifically, these habitats will include mussel beds, cockle beds, inter-tidal soft sediments, and terrestrial habitats. These are mapped in Figure 1. Exact locations will be confirmed in conjunction with the contractor once the contract is awarded and following a site visit with the project team.</w:t>
      </w:r>
    </w:p>
    <w:p w:rsidRPr="00AB4F97" w:rsidR="00593BB6" w:rsidP="00593BB6" w:rsidRDefault="00593BB6" w14:paraId="45447FA9" w14:textId="77777777">
      <w:pPr>
        <w:textAlignment w:val="baseline"/>
        <w:rPr>
          <w:rFonts w:ascii="Arial" w:hAnsi="Arial" w:eastAsia="Times New Roman" w:cs="Arial"/>
          <w:color w:val="000000"/>
          <w:sz w:val="22"/>
          <w:szCs w:val="22"/>
          <w:lang w:eastAsia="en-GB"/>
        </w:rPr>
      </w:pPr>
    </w:p>
    <w:p w:rsidRPr="00A206CD" w:rsidR="00593BB6" w:rsidP="00593BB6" w:rsidRDefault="00593BB6" w14:paraId="6FE24D29" w14:textId="1D1A641B">
      <w:pPr>
        <w:textAlignment w:val="baseline"/>
        <w:rPr>
          <w:rFonts w:ascii="Arial" w:hAnsi="Arial" w:eastAsia="Times New Roman" w:cs="Arial"/>
          <w:sz w:val="22"/>
          <w:szCs w:val="22"/>
          <w:lang w:eastAsia="en-GB"/>
        </w:rPr>
      </w:pPr>
      <w:r w:rsidRPr="00A206CD">
        <w:rPr>
          <w:rFonts w:ascii="Arial" w:hAnsi="Arial" w:eastAsia="Times New Roman" w:cs="Arial"/>
          <w:sz w:val="22"/>
          <w:szCs w:val="22"/>
          <w:lang w:eastAsia="en-GB"/>
        </w:rPr>
        <w:t xml:space="preserve">Figure 1. </w:t>
      </w:r>
      <w:r w:rsidRPr="00A206CD" w:rsidR="00A206CD">
        <w:rPr>
          <w:rFonts w:ascii="Arial" w:hAnsi="Arial" w:eastAsia="Times New Roman" w:cs="Arial"/>
          <w:sz w:val="22"/>
          <w:szCs w:val="22"/>
          <w:lang w:eastAsia="en-GB"/>
        </w:rPr>
        <w:t xml:space="preserve">A map of Taw Torridge Estuary habitats and mollusc beds. </w:t>
      </w:r>
    </w:p>
    <w:p w:rsidRPr="00A206CD" w:rsidR="00AB4F97" w:rsidP="00A206CD" w:rsidRDefault="00AB4F97" w14:paraId="7E5B92A6" w14:textId="53598FF1">
      <w:pPr>
        <w:pStyle w:val="NormalWeb"/>
      </w:pPr>
      <w:r w:rsidRPr="00AB4F97">
        <w:drawing>
          <wp:inline distT="0" distB="0" distL="0" distR="0" wp14:anchorId="7A7068F3" wp14:editId="27B436A2">
            <wp:extent cx="6450965" cy="4561205"/>
            <wp:effectExtent l="0" t="0" r="6985" b="0"/>
            <wp:docPr id="785574953" name="Picture 1" descr="A map of the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74953" name="Picture 1" descr="A map of the riv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50965" cy="4561205"/>
                    </a:xfrm>
                    <a:prstGeom prst="rect">
                      <a:avLst/>
                    </a:prstGeom>
                    <a:noFill/>
                    <a:ln>
                      <a:noFill/>
                    </a:ln>
                  </pic:spPr>
                </pic:pic>
              </a:graphicData>
            </a:graphic>
          </wp:inline>
        </w:drawing>
      </w:r>
    </w:p>
    <w:p w:rsidR="00AB4F97" w:rsidP="00593BB6" w:rsidRDefault="00AB4F97" w14:paraId="56E082D1" w14:textId="77777777">
      <w:pPr>
        <w:textAlignment w:val="baseline"/>
        <w:rPr>
          <w:rFonts w:ascii="Arial" w:hAnsi="Arial" w:eastAsia="Times New Roman" w:cs="Arial"/>
          <w:b/>
          <w:bCs/>
          <w:color w:val="000000"/>
          <w:sz w:val="22"/>
          <w:szCs w:val="22"/>
          <w:lang w:eastAsia="en-GB"/>
        </w:rPr>
      </w:pPr>
    </w:p>
    <w:p w:rsidRPr="00AB4F97" w:rsidR="00593BB6" w:rsidP="00593BB6" w:rsidRDefault="00593BB6" w14:paraId="233EE28B" w14:textId="1A15F18E">
      <w:pPr>
        <w:textAlignment w:val="baseline"/>
        <w:rPr>
          <w:rFonts w:ascii="Arial" w:hAnsi="Arial" w:eastAsia="Times New Roman" w:cs="Arial"/>
          <w:b/>
          <w:bCs/>
          <w:color w:val="000000"/>
          <w:sz w:val="22"/>
          <w:szCs w:val="22"/>
          <w:lang w:eastAsia="en-GB"/>
        </w:rPr>
      </w:pPr>
      <w:r w:rsidRPr="00AB4F97">
        <w:rPr>
          <w:rFonts w:ascii="Arial" w:hAnsi="Arial" w:eastAsia="Times New Roman" w:cs="Arial"/>
          <w:b/>
          <w:bCs/>
          <w:color w:val="000000"/>
          <w:sz w:val="22"/>
          <w:szCs w:val="22"/>
          <w:lang w:eastAsia="en-GB"/>
        </w:rPr>
        <w:t xml:space="preserve">Outputs </w:t>
      </w:r>
    </w:p>
    <w:p w:rsidRPr="00AB4F97" w:rsidR="00593BB6" w:rsidP="00593BB6" w:rsidRDefault="00593BB6" w14:paraId="3E85B454" w14:textId="77777777">
      <w:pPr>
        <w:textAlignment w:val="baseline"/>
        <w:rPr>
          <w:rFonts w:ascii="Arial" w:hAnsi="Arial" w:eastAsia="Times New Roman" w:cs="Arial"/>
          <w:b/>
          <w:bCs/>
          <w:color w:val="000000"/>
          <w:sz w:val="22"/>
          <w:szCs w:val="22"/>
          <w:lang w:eastAsia="en-GB"/>
        </w:rPr>
      </w:pPr>
    </w:p>
    <w:p w:rsidRPr="00AB4F97" w:rsidR="00593BB6" w:rsidP="00593BB6" w:rsidRDefault="00593BB6" w14:paraId="2A63DF72" w14:textId="77777777">
      <w:pPr>
        <w:pStyle w:val="Subheading"/>
        <w:spacing w:line="240" w:lineRule="auto"/>
        <w:rPr>
          <w:rFonts w:ascii="Arial" w:hAnsi="Arial" w:cs="Arial"/>
          <w:b w:val="0"/>
          <w:bCs/>
          <w:sz w:val="22"/>
          <w:szCs w:val="22"/>
        </w:rPr>
      </w:pPr>
      <w:r w:rsidRPr="00AB4F97">
        <w:rPr>
          <w:rFonts w:ascii="Arial" w:hAnsi="Arial" w:cs="Arial"/>
          <w:b w:val="0"/>
          <w:bCs/>
          <w:sz w:val="22"/>
          <w:szCs w:val="22"/>
        </w:rPr>
        <w:t xml:space="preserve">Data will be submitted in Excel CSV format. </w:t>
      </w:r>
    </w:p>
    <w:p w:rsidRPr="00AB4F97" w:rsidR="00593BB6" w:rsidP="00593BB6" w:rsidRDefault="00593BB6" w14:paraId="547FE597" w14:textId="77777777">
      <w:pPr>
        <w:pStyle w:val="Subheading"/>
        <w:spacing w:line="240" w:lineRule="auto"/>
        <w:rPr>
          <w:rFonts w:ascii="Arial" w:hAnsi="Arial" w:cs="Arial"/>
          <w:b w:val="0"/>
          <w:bCs/>
          <w:sz w:val="22"/>
          <w:szCs w:val="22"/>
        </w:rPr>
      </w:pPr>
      <w:r w:rsidRPr="00AB4F97">
        <w:rPr>
          <w:rFonts w:ascii="Arial" w:hAnsi="Arial" w:cs="Arial"/>
          <w:b w:val="0"/>
          <w:bCs/>
          <w:sz w:val="22"/>
          <w:szCs w:val="22"/>
        </w:rPr>
        <w:t xml:space="preserve">The data will be mapped by </w:t>
      </w:r>
      <w:proofErr w:type="spellStart"/>
      <w:r w:rsidRPr="00AB4F97">
        <w:rPr>
          <w:rFonts w:ascii="Arial" w:hAnsi="Arial" w:cs="Arial"/>
          <w:b w:val="0"/>
          <w:bCs/>
          <w:sz w:val="22"/>
          <w:szCs w:val="22"/>
        </w:rPr>
        <w:t>WeBS</w:t>
      </w:r>
      <w:proofErr w:type="spellEnd"/>
      <w:r w:rsidRPr="00AB4F97">
        <w:rPr>
          <w:rFonts w:ascii="Arial" w:hAnsi="Arial" w:cs="Arial"/>
          <w:b w:val="0"/>
          <w:bCs/>
          <w:sz w:val="22"/>
          <w:szCs w:val="22"/>
        </w:rPr>
        <w:t xml:space="preserve"> sector and provided as GIS shapefiles. </w:t>
      </w:r>
    </w:p>
    <w:p w:rsidRPr="00AB4F97" w:rsidR="00593BB6" w:rsidP="00593BB6" w:rsidRDefault="00593BB6" w14:paraId="4997AF24" w14:textId="77777777">
      <w:pPr>
        <w:pStyle w:val="paragraph"/>
        <w:numPr>
          <w:ilvl w:val="0"/>
          <w:numId w:val="20"/>
        </w:numPr>
        <w:spacing w:before="0" w:beforeAutospacing="0" w:after="0" w:afterAutospacing="0"/>
        <w:textAlignment w:val="baseline"/>
        <w:rPr>
          <w:rFonts w:ascii="Arial" w:hAnsi="Arial" w:cs="Arial"/>
          <w:sz w:val="22"/>
          <w:szCs w:val="22"/>
        </w:rPr>
      </w:pPr>
      <w:r w:rsidRPr="00AB4F97">
        <w:rPr>
          <w:rStyle w:val="normaltextrun"/>
          <w:rFonts w:ascii="Arial" w:hAnsi="Arial" w:cs="Arial" w:eastAsiaTheme="minorEastAsia"/>
          <w:sz w:val="22"/>
          <w:szCs w:val="22"/>
        </w:rPr>
        <w:t>All GIS datasets need to be provided in ESRI ArcGIS format compatible with ArcGIS version 10.2 and have attached metadata.</w:t>
      </w:r>
      <w:r w:rsidRPr="00AB4F97">
        <w:rPr>
          <w:rStyle w:val="eop"/>
          <w:rFonts w:ascii="Arial" w:hAnsi="Arial" w:cs="Arial"/>
          <w:sz w:val="22"/>
          <w:szCs w:val="22"/>
        </w:rPr>
        <w:t> </w:t>
      </w:r>
    </w:p>
    <w:p w:rsidRPr="00AB4F97" w:rsidR="00593BB6" w:rsidP="00593BB6" w:rsidRDefault="00593BB6" w14:paraId="5B26D763" w14:textId="77777777">
      <w:pPr>
        <w:pStyle w:val="paragraph"/>
        <w:spacing w:before="0" w:beforeAutospacing="0" w:after="0" w:afterAutospacing="0"/>
        <w:textAlignment w:val="baseline"/>
        <w:rPr>
          <w:rFonts w:ascii="Arial" w:hAnsi="Arial" w:cs="Arial"/>
          <w:sz w:val="22"/>
          <w:szCs w:val="22"/>
        </w:rPr>
      </w:pPr>
    </w:p>
    <w:p w:rsidRPr="00AB4F97" w:rsidR="00593BB6" w:rsidP="00593BB6" w:rsidRDefault="00593BB6" w14:paraId="7C21CC99" w14:textId="77777777">
      <w:pPr>
        <w:pStyle w:val="paragraph"/>
        <w:numPr>
          <w:ilvl w:val="0"/>
          <w:numId w:val="20"/>
        </w:numPr>
        <w:spacing w:before="0" w:beforeAutospacing="0" w:after="0" w:afterAutospacing="0"/>
        <w:textAlignment w:val="baseline"/>
        <w:rPr>
          <w:rFonts w:ascii="Arial" w:hAnsi="Arial" w:cs="Arial"/>
          <w:sz w:val="22"/>
          <w:szCs w:val="22"/>
        </w:rPr>
      </w:pPr>
      <w:r w:rsidRPr="00AB4F97">
        <w:rPr>
          <w:rStyle w:val="normaltextrun"/>
          <w:rFonts w:ascii="Arial" w:hAnsi="Arial" w:cs="Arial" w:eastAsiaTheme="minorEastAsia"/>
          <w:sz w:val="22"/>
          <w:szCs w:val="22"/>
        </w:rPr>
        <w:t xml:space="preserve">As specified in the </w:t>
      </w:r>
      <w:hyperlink w:tgtFrame="_blank" w:history="1" r:id="rId16">
        <w:r w:rsidRPr="00AB4F97">
          <w:rPr>
            <w:rStyle w:val="normaltextrun"/>
            <w:rFonts w:ascii="Arial" w:hAnsi="Arial" w:cs="Arial" w:eastAsiaTheme="minorEastAsia"/>
            <w:color w:val="0000FF"/>
            <w:sz w:val="22"/>
            <w:szCs w:val="22"/>
            <w:u w:val="single"/>
          </w:rPr>
          <w:t>MESH DEF</w:t>
        </w:r>
      </w:hyperlink>
      <w:r w:rsidRPr="00AB4F97">
        <w:rPr>
          <w:rStyle w:val="normaltextrun"/>
          <w:rFonts w:ascii="Arial" w:hAnsi="Arial" w:cs="Arial" w:eastAsiaTheme="minorEastAsia"/>
          <w:sz w:val="22"/>
          <w:szCs w:val="22"/>
        </w:rPr>
        <w:t>, data files must be provided as ESRI Shapefiles using geographic coordinates (</w:t>
      </w:r>
      <w:proofErr w:type="spellStart"/>
      <w:r w:rsidRPr="00AB4F97">
        <w:rPr>
          <w:rStyle w:val="normaltextrun"/>
          <w:rFonts w:ascii="Arial" w:hAnsi="Arial" w:cs="Arial" w:eastAsiaTheme="minorEastAsia"/>
          <w:sz w:val="22"/>
          <w:szCs w:val="22"/>
        </w:rPr>
        <w:t>lat</w:t>
      </w:r>
      <w:proofErr w:type="spellEnd"/>
      <w:r w:rsidRPr="00AB4F97">
        <w:rPr>
          <w:rStyle w:val="normaltextrun"/>
          <w:rFonts w:ascii="Arial" w:hAnsi="Arial" w:cs="Arial" w:eastAsiaTheme="minorEastAsia"/>
          <w:sz w:val="22"/>
          <w:szCs w:val="22"/>
        </w:rPr>
        <w:t>/long) and the WGS84 datum. If the datasets supplied are in other projections, transformation using the appropriate petroleum (EPSG) transformation should be carried out as part of the data formatting procedure.</w:t>
      </w:r>
      <w:r w:rsidRPr="00AB4F97">
        <w:rPr>
          <w:rStyle w:val="eop"/>
          <w:rFonts w:ascii="Arial" w:hAnsi="Arial" w:cs="Arial"/>
          <w:sz w:val="22"/>
          <w:szCs w:val="22"/>
        </w:rPr>
        <w:t>   </w:t>
      </w:r>
    </w:p>
    <w:p w:rsidR="00964799" w:rsidRDefault="00964799" w14:paraId="1F0A7A86" w14:textId="37B30F68">
      <w:pPr>
        <w:rPr>
          <w:rFonts w:ascii="Arial" w:hAnsi="Arial" w:cs="Arial"/>
          <w:b/>
          <w:bCs/>
        </w:rPr>
      </w:pPr>
    </w:p>
    <w:p w:rsidR="00A206CD" w:rsidRDefault="00A206CD" w14:paraId="628C3F5B" w14:textId="77777777">
      <w:pPr>
        <w:rPr>
          <w:rFonts w:ascii="Arial" w:hAnsi="Arial" w:cs="Arial"/>
          <w:b/>
          <w:bCs/>
        </w:rPr>
      </w:pPr>
    </w:p>
    <w:p w:rsidR="00A206CD" w:rsidRDefault="00A206CD" w14:paraId="500A32E1" w14:textId="77777777">
      <w:pPr>
        <w:rPr>
          <w:rFonts w:ascii="Arial" w:hAnsi="Arial" w:cs="Arial"/>
          <w:b/>
          <w:bCs/>
        </w:rPr>
      </w:pPr>
    </w:p>
    <w:p w:rsidR="00A206CD" w:rsidRDefault="00A206CD" w14:paraId="111D32D6" w14:textId="77777777">
      <w:pPr>
        <w:rPr>
          <w:rFonts w:ascii="Arial" w:hAnsi="Arial" w:cs="Arial"/>
          <w:b/>
          <w:bCs/>
        </w:rPr>
      </w:pPr>
    </w:p>
    <w:p w:rsidRPr="00593BB6" w:rsidR="00A206CD" w:rsidRDefault="00A206CD" w14:paraId="6F1BDE98" w14:textId="77777777">
      <w:pPr>
        <w:rPr>
          <w:rFonts w:ascii="Arial" w:hAnsi="Arial" w:cs="Arial"/>
          <w:b/>
          <w:bCs/>
        </w:rPr>
      </w:pP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A206CD" w:rsidRDefault="00A206CD" w14:paraId="4F96BAC3" w14:textId="23642DC8">
      <w:pPr>
        <w:rPr>
          <w:b/>
          <w:bCs/>
        </w:rPr>
      </w:pPr>
    </w:p>
    <w:tbl>
      <w:tblPr>
        <w:tblStyle w:val="TableGrid"/>
        <w:tblW w:w="10149" w:type="dxa"/>
        <w:tblLook w:val="04A0" w:firstRow="1" w:lastRow="0" w:firstColumn="1" w:lastColumn="0" w:noHBand="0" w:noVBand="1"/>
      </w:tblPr>
      <w:tblGrid>
        <w:gridCol w:w="2775"/>
        <w:gridCol w:w="2375"/>
        <w:gridCol w:w="2502"/>
        <w:gridCol w:w="2497"/>
      </w:tblGrid>
      <w:tr w:rsidR="00A206CD" w:rsidTr="00795928" w14:paraId="77247637" w14:textId="77777777">
        <w:tc>
          <w:tcPr>
            <w:tcW w:w="2775" w:type="dxa"/>
          </w:tcPr>
          <w:p w:rsidR="00A206CD" w:rsidP="00A206CD" w:rsidRDefault="00A206CD" w14:paraId="6487B191" w14:textId="08E82221">
            <w:pPr>
              <w:rPr>
                <w:b/>
                <w:bCs/>
              </w:rPr>
            </w:pPr>
            <w:r>
              <w:rPr>
                <w:b/>
                <w:bCs/>
              </w:rPr>
              <w:br w:type="page"/>
            </w:r>
            <w:r>
              <w:rPr>
                <w:b/>
                <w:bCs/>
              </w:rPr>
              <w:t>Milestones/Deliverables</w:t>
            </w:r>
          </w:p>
        </w:tc>
        <w:tc>
          <w:tcPr>
            <w:tcW w:w="2375" w:type="dxa"/>
          </w:tcPr>
          <w:p w:rsidR="00A206CD" w:rsidP="00A206CD" w:rsidRDefault="00A206CD" w14:paraId="44B3E2A4" w14:textId="4C720934">
            <w:pPr>
              <w:rPr>
                <w:b/>
                <w:bCs/>
              </w:rPr>
            </w:pPr>
            <w:r>
              <w:rPr>
                <w:b/>
                <w:bCs/>
              </w:rPr>
              <w:t>When</w:t>
            </w:r>
          </w:p>
        </w:tc>
        <w:tc>
          <w:tcPr>
            <w:tcW w:w="2502" w:type="dxa"/>
          </w:tcPr>
          <w:p w:rsidR="00A206CD" w:rsidP="00A206CD" w:rsidRDefault="00A206CD" w14:paraId="440A74AF" w14:textId="4DD7F917">
            <w:pPr>
              <w:rPr>
                <w:b/>
                <w:bCs/>
              </w:rPr>
            </w:pPr>
            <w:r>
              <w:rPr>
                <w:b/>
                <w:bCs/>
              </w:rPr>
              <w:t>Charge/Price</w:t>
            </w:r>
          </w:p>
        </w:tc>
        <w:tc>
          <w:tcPr>
            <w:tcW w:w="2497" w:type="dxa"/>
          </w:tcPr>
          <w:p w:rsidR="00A206CD" w:rsidP="00A206CD" w:rsidRDefault="00A206CD" w14:paraId="602B45DF" w14:textId="717BC217">
            <w:pPr>
              <w:rPr>
                <w:b/>
                <w:bCs/>
              </w:rPr>
            </w:pPr>
            <w:r>
              <w:rPr>
                <w:b/>
                <w:bCs/>
              </w:rPr>
              <w:t>Percentage of total</w:t>
            </w:r>
          </w:p>
        </w:tc>
      </w:tr>
      <w:tr w:rsidR="00A206CD" w:rsidTr="00795928" w14:paraId="66A87BFF" w14:textId="77777777">
        <w:tc>
          <w:tcPr>
            <w:tcW w:w="2775" w:type="dxa"/>
          </w:tcPr>
          <w:p w:rsidRPr="00FB0540" w:rsidR="00A206CD" w:rsidP="00A206CD" w:rsidRDefault="00A206CD" w14:paraId="1B3697F5" w14:textId="3AB9F56C">
            <w:pPr>
              <w:rPr>
                <w:b/>
                <w:bCs/>
              </w:rPr>
            </w:pPr>
            <w:r>
              <w:rPr>
                <w:b/>
                <w:bCs/>
              </w:rPr>
              <w:t xml:space="preserve">Site visit with the project team </w:t>
            </w:r>
          </w:p>
        </w:tc>
        <w:tc>
          <w:tcPr>
            <w:tcW w:w="2375" w:type="dxa"/>
          </w:tcPr>
          <w:p w:rsidRPr="4EC57520" w:rsidR="00A206CD" w:rsidP="00A206CD" w:rsidRDefault="00A206CD" w14:paraId="18705032" w14:textId="794081EE">
            <w:pPr>
              <w:rPr>
                <w:b/>
                <w:bCs/>
              </w:rPr>
            </w:pPr>
            <w:r>
              <w:rPr>
                <w:b/>
                <w:bCs/>
              </w:rPr>
              <w:t>October 2024</w:t>
            </w:r>
          </w:p>
        </w:tc>
        <w:tc>
          <w:tcPr>
            <w:tcW w:w="2502" w:type="dxa"/>
          </w:tcPr>
          <w:p w:rsidR="00A206CD" w:rsidP="00A206CD" w:rsidRDefault="00A206CD" w14:paraId="27C15EDD" w14:textId="77777777">
            <w:pPr>
              <w:rPr>
                <w:b/>
                <w:bCs/>
              </w:rPr>
            </w:pPr>
          </w:p>
        </w:tc>
        <w:tc>
          <w:tcPr>
            <w:tcW w:w="2497" w:type="dxa"/>
          </w:tcPr>
          <w:p w:rsidR="00A206CD" w:rsidP="00A206CD" w:rsidRDefault="00A206CD" w14:paraId="40610FD0" w14:textId="77777777">
            <w:pPr>
              <w:rPr>
                <w:b/>
                <w:bCs/>
              </w:rPr>
            </w:pPr>
          </w:p>
        </w:tc>
      </w:tr>
      <w:tr w:rsidR="00A206CD" w:rsidTr="00795928" w14:paraId="2FED9BDF" w14:textId="77777777">
        <w:tc>
          <w:tcPr>
            <w:tcW w:w="2775" w:type="dxa"/>
          </w:tcPr>
          <w:p w:rsidRPr="00FB0540" w:rsidR="00A206CD" w:rsidP="00A206CD" w:rsidRDefault="00A206CD" w14:paraId="68A9D2E1" w14:textId="5194A8E0">
            <w:pPr>
              <w:rPr>
                <w:b/>
                <w:bCs/>
              </w:rPr>
            </w:pPr>
            <w:r>
              <w:rPr>
                <w:b/>
                <w:bCs/>
              </w:rPr>
              <w:t xml:space="preserve">Two surveys per month (one over a spring tide, one over a neap tide). </w:t>
            </w:r>
          </w:p>
        </w:tc>
        <w:tc>
          <w:tcPr>
            <w:tcW w:w="2375" w:type="dxa"/>
          </w:tcPr>
          <w:p w:rsidRPr="4EC57520" w:rsidR="00A206CD" w:rsidP="00A206CD" w:rsidRDefault="00A206CD" w14:paraId="560BFB7F" w14:textId="775AB943">
            <w:pPr>
              <w:rPr>
                <w:b/>
                <w:bCs/>
              </w:rPr>
            </w:pPr>
            <w:r>
              <w:rPr>
                <w:b/>
                <w:bCs/>
              </w:rPr>
              <w:t>Monthly (October 2024 to February 2025)</w:t>
            </w:r>
          </w:p>
        </w:tc>
        <w:tc>
          <w:tcPr>
            <w:tcW w:w="2502" w:type="dxa"/>
          </w:tcPr>
          <w:p w:rsidR="00A206CD" w:rsidP="00A206CD" w:rsidRDefault="00A206CD" w14:paraId="24BC1759" w14:textId="77777777">
            <w:pPr>
              <w:rPr>
                <w:b/>
                <w:bCs/>
              </w:rPr>
            </w:pPr>
          </w:p>
        </w:tc>
        <w:tc>
          <w:tcPr>
            <w:tcW w:w="2497" w:type="dxa"/>
          </w:tcPr>
          <w:p w:rsidR="00A206CD" w:rsidP="00A206CD" w:rsidRDefault="00A206CD" w14:paraId="5ED86D7F" w14:textId="77777777">
            <w:pPr>
              <w:rPr>
                <w:b/>
                <w:bCs/>
              </w:rPr>
            </w:pPr>
          </w:p>
        </w:tc>
      </w:tr>
      <w:tr w:rsidR="00A206CD" w:rsidTr="00795928" w14:paraId="59CF2260" w14:textId="77777777">
        <w:tc>
          <w:tcPr>
            <w:tcW w:w="2775" w:type="dxa"/>
          </w:tcPr>
          <w:p w:rsidRPr="006F2FB5" w:rsidR="00A206CD" w:rsidP="00A206CD" w:rsidRDefault="00A206CD" w14:paraId="498181B8" w14:textId="1E0D7175">
            <w:pPr>
              <w:rPr>
                <w:b/>
                <w:bCs/>
              </w:rPr>
            </w:pPr>
            <w:r>
              <w:rPr>
                <w:b/>
                <w:bCs/>
              </w:rPr>
              <w:t>Submission of data and GIS files</w:t>
            </w:r>
          </w:p>
        </w:tc>
        <w:tc>
          <w:tcPr>
            <w:tcW w:w="2375" w:type="dxa"/>
          </w:tcPr>
          <w:p w:rsidRPr="006F2FB5" w:rsidR="00A206CD" w:rsidP="00A206CD" w:rsidRDefault="00A206CD" w14:paraId="085A432B" w14:textId="78208F14">
            <w:pPr>
              <w:rPr>
                <w:b/>
                <w:bCs/>
              </w:rPr>
            </w:pPr>
            <w:r>
              <w:rPr>
                <w:b/>
                <w:bCs/>
              </w:rPr>
              <w:t>27</w:t>
            </w:r>
            <w:r w:rsidRPr="00A206CD">
              <w:rPr>
                <w:b/>
                <w:bCs/>
                <w:vertAlign w:val="superscript"/>
              </w:rPr>
              <w:t>th</w:t>
            </w:r>
            <w:r>
              <w:rPr>
                <w:b/>
                <w:bCs/>
              </w:rPr>
              <w:t xml:space="preserve"> February 2025</w:t>
            </w:r>
          </w:p>
        </w:tc>
        <w:tc>
          <w:tcPr>
            <w:tcW w:w="2502" w:type="dxa"/>
          </w:tcPr>
          <w:p w:rsidRPr="006F2FB5" w:rsidR="00A206CD" w:rsidP="00A206CD" w:rsidRDefault="00A206CD" w14:paraId="09CF7B80" w14:textId="7324B66D">
            <w:pPr>
              <w:rPr>
                <w:b/>
                <w:bCs/>
              </w:rPr>
            </w:pPr>
            <w:r>
              <w:rPr>
                <w:b/>
                <w:bCs/>
              </w:rPr>
              <w:t>TBC</w:t>
            </w:r>
          </w:p>
        </w:tc>
        <w:tc>
          <w:tcPr>
            <w:tcW w:w="2497" w:type="dxa"/>
          </w:tcPr>
          <w:p w:rsidRPr="006F2FB5" w:rsidR="00A206CD" w:rsidP="00A206CD" w:rsidRDefault="00A206CD" w14:paraId="77C19DC9" w14:textId="3CB85B0A">
            <w:pPr>
              <w:rPr>
                <w:b/>
                <w:bCs/>
              </w:rPr>
            </w:pPr>
            <w:r>
              <w:rPr>
                <w:b/>
                <w:bCs/>
              </w:rPr>
              <w:t>100%</w:t>
            </w:r>
          </w:p>
        </w:tc>
      </w:tr>
      <w:tr w:rsidR="00A206CD" w:rsidTr="00795928" w14:paraId="6AE48270" w14:textId="77777777">
        <w:tc>
          <w:tcPr>
            <w:tcW w:w="2775" w:type="dxa"/>
            <w:shd w:val="clear" w:color="auto" w:fill="E7E6E6" w:themeFill="background2"/>
          </w:tcPr>
          <w:p w:rsidR="00A206CD" w:rsidP="00A206CD" w:rsidRDefault="00A206CD" w14:paraId="7A66AE8A" w14:textId="77777777">
            <w:pPr>
              <w:rPr>
                <w:b/>
                <w:bCs/>
              </w:rPr>
            </w:pPr>
          </w:p>
        </w:tc>
        <w:tc>
          <w:tcPr>
            <w:tcW w:w="2375" w:type="dxa"/>
            <w:shd w:val="clear" w:color="auto" w:fill="E7E6E6" w:themeFill="background2"/>
          </w:tcPr>
          <w:p w:rsidR="00A206CD" w:rsidP="00A206CD" w:rsidRDefault="00A206CD" w14:paraId="5042D307" w14:textId="77777777">
            <w:pPr>
              <w:rPr>
                <w:b/>
                <w:bCs/>
              </w:rPr>
            </w:pPr>
          </w:p>
        </w:tc>
        <w:tc>
          <w:tcPr>
            <w:tcW w:w="2502" w:type="dxa"/>
            <w:shd w:val="clear" w:color="auto" w:fill="E7E6E6" w:themeFill="background2"/>
          </w:tcPr>
          <w:p w:rsidR="00A206CD" w:rsidP="00A206CD" w:rsidRDefault="00A206CD" w14:paraId="2EA686CA" w14:textId="77777777">
            <w:pPr>
              <w:rPr>
                <w:b/>
                <w:bCs/>
              </w:rPr>
            </w:pPr>
          </w:p>
        </w:tc>
        <w:tc>
          <w:tcPr>
            <w:tcW w:w="2497" w:type="dxa"/>
            <w:shd w:val="clear" w:color="auto" w:fill="E7E6E6" w:themeFill="background2"/>
          </w:tcPr>
          <w:p w:rsidR="00A206CD" w:rsidP="00A206CD" w:rsidRDefault="00A206CD" w14:paraId="458DC5A7" w14:textId="77777777">
            <w:pPr>
              <w:rPr>
                <w:b/>
                <w:bCs/>
              </w:rPr>
            </w:pPr>
          </w:p>
        </w:tc>
      </w:tr>
      <w:tr w:rsidR="00A206CD" w:rsidTr="00795928" w14:paraId="28DD5308" w14:textId="77777777">
        <w:tc>
          <w:tcPr>
            <w:tcW w:w="2775" w:type="dxa"/>
          </w:tcPr>
          <w:p w:rsidR="00A206CD" w:rsidP="00A206CD" w:rsidRDefault="00A206CD" w14:paraId="5B6CFCAB" w14:textId="2D328B6D">
            <w:pPr>
              <w:rPr>
                <w:b/>
                <w:bCs/>
              </w:rPr>
            </w:pPr>
            <w:r>
              <w:rPr>
                <w:b/>
                <w:bCs/>
              </w:rPr>
              <w:t xml:space="preserve">TOTAL CHARGE/PRICE </w:t>
            </w:r>
          </w:p>
        </w:tc>
        <w:tc>
          <w:tcPr>
            <w:tcW w:w="2375" w:type="dxa"/>
          </w:tcPr>
          <w:p w:rsidR="00A206CD" w:rsidP="00A206CD" w:rsidRDefault="00A206CD" w14:paraId="7F26213B" w14:textId="77777777">
            <w:pPr>
              <w:rPr>
                <w:b/>
                <w:bCs/>
              </w:rPr>
            </w:pPr>
          </w:p>
        </w:tc>
        <w:tc>
          <w:tcPr>
            <w:tcW w:w="2502" w:type="dxa"/>
          </w:tcPr>
          <w:p w:rsidR="00A206CD" w:rsidP="00A206CD" w:rsidRDefault="00A206CD" w14:paraId="74D5D0F6" w14:textId="69A88FDE">
            <w:pPr>
              <w:rPr>
                <w:b/>
                <w:bCs/>
              </w:rPr>
            </w:pPr>
            <w:r>
              <w:rPr>
                <w:b/>
                <w:bCs/>
              </w:rPr>
              <w:t>TBC</w:t>
            </w:r>
          </w:p>
        </w:tc>
        <w:tc>
          <w:tcPr>
            <w:tcW w:w="2497" w:type="dxa"/>
          </w:tcPr>
          <w:p w:rsidR="00A206CD" w:rsidP="00A206CD" w:rsidRDefault="00A206CD" w14:paraId="49BE6960" w14:textId="521E4828">
            <w:pPr>
              <w:rPr>
                <w:b/>
                <w:bCs/>
              </w:rPr>
            </w:pPr>
            <w:r>
              <w:rPr>
                <w:b/>
                <w:bCs/>
              </w:rPr>
              <w:t>100%</w:t>
            </w:r>
          </w:p>
        </w:tc>
      </w:tr>
    </w:tbl>
    <w:p w:rsidR="00260BC4" w:rsidRDefault="00260BC4" w14:paraId="77F16D12" w14:textId="786B833D">
      <w:pPr>
        <w:rPr>
          <w:b/>
          <w:bCs/>
        </w:rPr>
      </w:pPr>
    </w:p>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7"/>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7E8E" w:rsidP="006D4D44" w:rsidRDefault="00217E8E" w14:paraId="1F51CD87" w14:textId="77777777">
      <w:r>
        <w:separator/>
      </w:r>
    </w:p>
  </w:endnote>
  <w:endnote w:type="continuationSeparator" w:id="0">
    <w:p w:rsidR="00217E8E" w:rsidP="006D4D44" w:rsidRDefault="00217E8E" w14:paraId="48968422" w14:textId="77777777">
      <w:r>
        <w:continuationSeparator/>
      </w:r>
    </w:p>
  </w:endnote>
  <w:endnote w:type="continuationNotice" w:id="1">
    <w:p w:rsidR="00217E8E" w:rsidRDefault="00217E8E" w14:paraId="35D8C3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7E8E" w:rsidP="006D4D44" w:rsidRDefault="00217E8E" w14:paraId="537C9BD0" w14:textId="77777777">
      <w:r>
        <w:separator/>
      </w:r>
    </w:p>
  </w:footnote>
  <w:footnote w:type="continuationSeparator" w:id="0">
    <w:p w:rsidR="00217E8E" w:rsidP="006D4D44" w:rsidRDefault="00217E8E" w14:paraId="34A9733E" w14:textId="77777777">
      <w:r>
        <w:continuationSeparator/>
      </w:r>
    </w:p>
  </w:footnote>
  <w:footnote w:type="continuationNotice" w:id="1">
    <w:p w:rsidR="00217E8E" w:rsidRDefault="00217E8E" w14:paraId="7C61959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CDF047D"/>
    <w:multiLevelType w:val="multilevel"/>
    <w:tmpl w:val="CBDC5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854414"/>
    <w:multiLevelType w:val="hybridMultilevel"/>
    <w:tmpl w:val="DB5AC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14664FBB"/>
    <w:multiLevelType w:val="hybridMultilevel"/>
    <w:tmpl w:val="E99EE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295A7D"/>
    <w:multiLevelType w:val="multilevel"/>
    <w:tmpl w:val="4A5E5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7D245E"/>
    <w:multiLevelType w:val="multilevel"/>
    <w:tmpl w:val="CB94A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2A0FBE"/>
    <w:multiLevelType w:val="multilevel"/>
    <w:tmpl w:val="34C84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0531B"/>
    <w:multiLevelType w:val="hybridMultilevel"/>
    <w:tmpl w:val="FD1EF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7"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FA608F3"/>
    <w:multiLevelType w:val="hybridMultilevel"/>
    <w:tmpl w:val="36B07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3"/>
  </w:num>
  <w:num w:numId="2" w16cid:durableId="48959668">
    <w:abstractNumId w:val="8"/>
  </w:num>
  <w:num w:numId="3" w16cid:durableId="1865634184">
    <w:abstractNumId w:val="5"/>
  </w:num>
  <w:num w:numId="4" w16cid:durableId="1817600806">
    <w:abstractNumId w:val="11"/>
  </w:num>
  <w:num w:numId="5" w16cid:durableId="1411125109">
    <w:abstractNumId w:val="3"/>
  </w:num>
  <w:num w:numId="6" w16cid:durableId="1032612986">
    <w:abstractNumId w:val="15"/>
  </w:num>
  <w:num w:numId="7" w16cid:durableId="57559465">
    <w:abstractNumId w:val="17"/>
  </w:num>
  <w:num w:numId="8" w16cid:durableId="1106075539">
    <w:abstractNumId w:val="16"/>
  </w:num>
  <w:num w:numId="9" w16cid:durableId="385764938">
    <w:abstractNumId w:val="0"/>
  </w:num>
  <w:num w:numId="10" w16cid:durableId="1917786695">
    <w:abstractNumId w:val="19"/>
  </w:num>
  <w:num w:numId="11" w16cid:durableId="2083286213">
    <w:abstractNumId w:val="7"/>
  </w:num>
  <w:num w:numId="12" w16cid:durableId="241069624">
    <w:abstractNumId w:val="10"/>
  </w:num>
  <w:num w:numId="13" w16cid:durableId="1209413371">
    <w:abstractNumId w:val="4"/>
  </w:num>
  <w:num w:numId="14" w16cid:durableId="1620457116">
    <w:abstractNumId w:val="1"/>
  </w:num>
  <w:num w:numId="15" w16cid:durableId="1356660809">
    <w:abstractNumId w:val="9"/>
  </w:num>
  <w:num w:numId="16" w16cid:durableId="1247348510">
    <w:abstractNumId w:val="12"/>
  </w:num>
  <w:num w:numId="17" w16cid:durableId="967249221">
    <w:abstractNumId w:val="6"/>
  </w:num>
  <w:num w:numId="18" w16cid:durableId="104662692">
    <w:abstractNumId w:val="18"/>
  </w:num>
  <w:num w:numId="19" w16cid:durableId="1781716">
    <w:abstractNumId w:val="2"/>
  </w:num>
  <w:num w:numId="20" w16cid:durableId="20266973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17E8E"/>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0D8C"/>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14E4"/>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3BB6"/>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162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06CD"/>
    <w:rsid w:val="00A242C1"/>
    <w:rsid w:val="00A348D3"/>
    <w:rsid w:val="00A81221"/>
    <w:rsid w:val="00A81E57"/>
    <w:rsid w:val="00A82FE8"/>
    <w:rsid w:val="00A96A21"/>
    <w:rsid w:val="00AB4F97"/>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C683E"/>
    <w:rsid w:val="00FD57F2"/>
    <w:rsid w:val="00FD7AA5"/>
    <w:rsid w:val="00FF5115"/>
    <w:rsid w:val="08C3870E"/>
    <w:rsid w:val="312A7CA5"/>
    <w:rsid w:val="665345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BodyText2">
    <w:name w:val="Body Text 2"/>
    <w:basedOn w:val="Normal"/>
    <w:link w:val="BodyText2Char"/>
    <w:uiPriority w:val="99"/>
    <w:unhideWhenUsed/>
    <w:rsid w:val="00593BB6"/>
    <w:pPr>
      <w:tabs>
        <w:tab w:val="left" w:pos="709"/>
      </w:tabs>
    </w:pPr>
    <w:rPr>
      <w:rFonts w:ascii="Arial" w:hAnsi="Arial" w:cs="Arial"/>
      <w:sz w:val="18"/>
      <w:szCs w:val="18"/>
    </w:rPr>
  </w:style>
  <w:style w:type="character" w:styleId="BodyText2Char" w:customStyle="1">
    <w:name w:val="Body Text 2 Char"/>
    <w:basedOn w:val="DefaultParagraphFont"/>
    <w:link w:val="BodyText2"/>
    <w:uiPriority w:val="99"/>
    <w:rsid w:val="00593BB6"/>
    <w:rPr>
      <w:rFonts w:ascii="Arial" w:hAnsi="Arial" w:cs="Arial" w:eastAsiaTheme="minorEastAsia"/>
      <w:sz w:val="18"/>
      <w:szCs w:val="18"/>
    </w:rPr>
  </w:style>
  <w:style w:type="character" w:styleId="SubheadingChar" w:customStyle="1">
    <w:name w:val="Sub heading Char"/>
    <w:link w:val="Subheading"/>
    <w:locked/>
    <w:rsid w:val="00593BB6"/>
    <w:rPr>
      <w:b/>
      <w:sz w:val="26"/>
      <w:szCs w:val="26"/>
    </w:rPr>
  </w:style>
  <w:style w:type="paragraph" w:styleId="Subheading" w:customStyle="1">
    <w:name w:val="Sub heading"/>
    <w:basedOn w:val="Normal"/>
    <w:link w:val="SubheadingChar"/>
    <w:qFormat/>
    <w:rsid w:val="00593BB6"/>
    <w:pPr>
      <w:spacing w:after="240" w:line="276" w:lineRule="auto"/>
    </w:pPr>
    <w:rPr>
      <w:rFonts w:eastAsiaTheme="minorHAnsi"/>
      <w:b/>
      <w:sz w:val="26"/>
      <w:szCs w:val="26"/>
    </w:rPr>
  </w:style>
  <w:style w:type="paragraph" w:styleId="paragraph" w:customStyle="1">
    <w:name w:val="paragraph"/>
    <w:basedOn w:val="Normal"/>
    <w:rsid w:val="00593BB6"/>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593BB6"/>
  </w:style>
  <w:style w:type="character" w:styleId="eop" w:customStyle="1">
    <w:name w:val="eop"/>
    <w:basedOn w:val="DefaultParagraphFont"/>
    <w:rsid w:val="00593BB6"/>
  </w:style>
  <w:style w:type="paragraph" w:styleId="NormalWeb">
    <w:name w:val="Normal (Web)"/>
    <w:basedOn w:val="Normal"/>
    <w:uiPriority w:val="99"/>
    <w:unhideWhenUsed/>
    <w:rsid w:val="00AB4F97"/>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057203">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98782314">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www.emodnet-seabedhabitats.eu/default.aspx?page=2067"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4" /><Relationship Type="http://schemas.openxmlformats.org/officeDocument/2006/relationships/image" Target="/media/image2.png" Id="R9fd61a6636cb43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033a8941-efef-4919-b4a3-a92230fa8c7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A789E528-51EC-4261-A1BC-04A56ACEEDC0}"/>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1098D133-0B00-44D5-B740-DEFB9D3B7B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Goodchild, Ian</cp:lastModifiedBy>
  <cp:revision>3</cp:revision>
  <dcterms:created xsi:type="dcterms:W3CDTF">2024-09-03T14:58:00Z</dcterms:created>
  <dcterms:modified xsi:type="dcterms:W3CDTF">2024-09-05T10:26:49Z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0x010100A5BF1C78D9F64B679A5EBDE1C6598EBC01005C40F330CC893E439D989A99D7C36AEF</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