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15937" w14:textId="73C55486" w:rsidR="00586310" w:rsidRPr="00BE3C10" w:rsidRDefault="00586310" w:rsidP="00F02CB5">
      <w:pPr>
        <w:spacing w:line="240" w:lineRule="auto"/>
        <w:ind w:right="1088"/>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6747E" w:rsidRPr="00D76352" w14:paraId="491360D4" w14:textId="77777777" w:rsidTr="00702205">
        <w:tc>
          <w:tcPr>
            <w:tcW w:w="9072" w:type="dxa"/>
            <w:shd w:val="clear" w:color="auto" w:fill="008000"/>
          </w:tcPr>
          <w:p w14:paraId="125E5C9B" w14:textId="77777777" w:rsidR="0036747E" w:rsidRPr="00BE1FFD" w:rsidRDefault="009D6DA0" w:rsidP="00702205">
            <w:pPr>
              <w:spacing w:after="120" w:line="240" w:lineRule="auto"/>
              <w:ind w:right="1088"/>
              <w:rPr>
                <w:rFonts w:ascii="Arial" w:hAnsi="Arial" w:cs="Arial"/>
                <w:b/>
                <w:color w:val="FFFFFF" w:themeColor="background1"/>
                <w:sz w:val="24"/>
                <w:szCs w:val="24"/>
              </w:rPr>
            </w:pPr>
            <w:proofErr w:type="gramStart"/>
            <w:r w:rsidRPr="00BE1FFD">
              <w:rPr>
                <w:rFonts w:ascii="Arial" w:hAnsi="Arial" w:cs="Arial"/>
                <w:b/>
                <w:color w:val="FFFFFF" w:themeColor="background1"/>
                <w:sz w:val="24"/>
                <w:szCs w:val="24"/>
              </w:rPr>
              <w:t xml:space="preserve">Specification </w:t>
            </w:r>
            <w:r w:rsidR="0036747E" w:rsidRPr="00BE1FFD">
              <w:rPr>
                <w:rFonts w:ascii="Arial" w:hAnsi="Arial" w:cs="Arial"/>
                <w:b/>
                <w:color w:val="FFFFFF" w:themeColor="background1"/>
                <w:sz w:val="24"/>
                <w:szCs w:val="24"/>
              </w:rPr>
              <w:t xml:space="preserve"> Reference</w:t>
            </w:r>
            <w:proofErr w:type="gramEnd"/>
          </w:p>
        </w:tc>
      </w:tr>
      <w:tr w:rsidR="0036747E" w:rsidRPr="00BE3C10" w14:paraId="67215269" w14:textId="77777777" w:rsidTr="00702205">
        <w:tc>
          <w:tcPr>
            <w:tcW w:w="9072" w:type="dxa"/>
            <w:tcBorders>
              <w:bottom w:val="single" w:sz="4" w:space="0" w:color="auto"/>
            </w:tcBorders>
          </w:tcPr>
          <w:p w14:paraId="0776798A" w14:textId="77777777" w:rsidR="0036747E" w:rsidRPr="00BE1FFD" w:rsidRDefault="00C71235" w:rsidP="00BE1FFD">
            <w:pPr>
              <w:pStyle w:val="Tenderreference"/>
              <w:rPr>
                <w:b/>
                <w:i w:val="0"/>
              </w:rPr>
            </w:pPr>
            <w:r w:rsidRPr="00187D72">
              <w:rPr>
                <w:b/>
              </w:rPr>
              <w:t>FS301059</w:t>
            </w:r>
          </w:p>
        </w:tc>
      </w:tr>
      <w:tr w:rsidR="0036747E" w:rsidRPr="00BE3C10" w14:paraId="76EF8F7A" w14:textId="77777777" w:rsidTr="00702205">
        <w:tc>
          <w:tcPr>
            <w:tcW w:w="9072" w:type="dxa"/>
            <w:shd w:val="clear" w:color="auto" w:fill="008000"/>
          </w:tcPr>
          <w:p w14:paraId="04637797" w14:textId="77777777" w:rsidR="0036747E" w:rsidRPr="00D76352" w:rsidRDefault="009D6DA0" w:rsidP="00702205">
            <w:pPr>
              <w:tabs>
                <w:tab w:val="left" w:pos="9026"/>
              </w:tabs>
              <w:spacing w:after="120" w:line="240" w:lineRule="auto"/>
              <w:ind w:right="95"/>
              <w:rPr>
                <w:rFonts w:ascii="Arial" w:hAnsi="Arial" w:cs="Arial"/>
                <w:b/>
                <w:i/>
                <w:color w:val="FFFFFF" w:themeColor="background1"/>
                <w:sz w:val="24"/>
                <w:szCs w:val="24"/>
              </w:rPr>
            </w:pPr>
            <w:proofErr w:type="gramStart"/>
            <w:r>
              <w:rPr>
                <w:rFonts w:ascii="Arial" w:hAnsi="Arial" w:cs="Arial"/>
                <w:b/>
                <w:i/>
                <w:color w:val="FFFFFF" w:themeColor="background1"/>
                <w:sz w:val="24"/>
                <w:szCs w:val="24"/>
              </w:rPr>
              <w:t xml:space="preserve">Specification </w:t>
            </w:r>
            <w:r w:rsidRPr="00D76352">
              <w:rPr>
                <w:rFonts w:ascii="Arial" w:hAnsi="Arial" w:cs="Arial"/>
                <w:b/>
                <w:i/>
                <w:color w:val="FFFFFF" w:themeColor="background1"/>
                <w:sz w:val="24"/>
                <w:szCs w:val="24"/>
              </w:rPr>
              <w:t xml:space="preserve"> </w:t>
            </w:r>
            <w:r w:rsidR="0036747E" w:rsidRPr="00D76352">
              <w:rPr>
                <w:rFonts w:ascii="Arial" w:hAnsi="Arial" w:cs="Arial"/>
                <w:b/>
                <w:i/>
                <w:color w:val="FFFFFF" w:themeColor="background1"/>
                <w:sz w:val="24"/>
                <w:szCs w:val="24"/>
              </w:rPr>
              <w:t>Title</w:t>
            </w:r>
            <w:proofErr w:type="gramEnd"/>
          </w:p>
        </w:tc>
      </w:tr>
      <w:tr w:rsidR="0036747E" w:rsidRPr="00BE3C10" w14:paraId="0AB5AB66" w14:textId="77777777" w:rsidTr="00702205">
        <w:tc>
          <w:tcPr>
            <w:tcW w:w="9072" w:type="dxa"/>
          </w:tcPr>
          <w:p w14:paraId="5F60414A" w14:textId="343D4199" w:rsidR="0036747E" w:rsidRPr="00A62F38" w:rsidRDefault="00C71235" w:rsidP="00726DA6">
            <w:pPr>
              <w:pStyle w:val="TenderTitle"/>
              <w:rPr>
                <w:b/>
              </w:rPr>
            </w:pPr>
            <w:r>
              <w:rPr>
                <w:rFonts w:eastAsia="Times New Roman"/>
                <w:b/>
              </w:rPr>
              <w:t xml:space="preserve">A Critical Review of the Impact of </w:t>
            </w:r>
            <w:r w:rsidR="00187D72">
              <w:rPr>
                <w:rFonts w:eastAsia="Times New Roman"/>
                <w:b/>
              </w:rPr>
              <w:t xml:space="preserve">Food </w:t>
            </w:r>
            <w:r>
              <w:rPr>
                <w:rFonts w:eastAsia="Times New Roman"/>
                <w:b/>
              </w:rPr>
              <w:t>Processing on AMR Bacteria in Meat</w:t>
            </w:r>
            <w:r w:rsidR="00253A94">
              <w:rPr>
                <w:rFonts w:eastAsia="Times New Roman"/>
                <w:b/>
              </w:rPr>
              <w:t xml:space="preserve"> &amp; Meat P</w:t>
            </w:r>
            <w:r w:rsidR="00F02CB5">
              <w:rPr>
                <w:rFonts w:eastAsia="Times New Roman"/>
                <w:b/>
              </w:rPr>
              <w:t>roducts</w:t>
            </w:r>
          </w:p>
        </w:tc>
      </w:tr>
      <w:tr w:rsidR="0063435F" w:rsidRPr="00D76352" w14:paraId="36F534D5" w14:textId="77777777" w:rsidTr="0063435F">
        <w:tc>
          <w:tcPr>
            <w:tcW w:w="9072" w:type="dxa"/>
            <w:tcBorders>
              <w:top w:val="single" w:sz="4" w:space="0" w:color="auto"/>
              <w:left w:val="single" w:sz="4" w:space="0" w:color="auto"/>
              <w:bottom w:val="single" w:sz="4" w:space="0" w:color="auto"/>
              <w:right w:val="single" w:sz="4" w:space="0" w:color="auto"/>
            </w:tcBorders>
            <w:shd w:val="clear" w:color="auto" w:fill="008000"/>
          </w:tcPr>
          <w:p w14:paraId="767D10AA" w14:textId="77777777" w:rsidR="0063435F" w:rsidRPr="0063435F" w:rsidRDefault="0063435F" w:rsidP="0063435F">
            <w:pPr>
              <w:pStyle w:val="TenderTitle"/>
              <w:rPr>
                <w:b/>
              </w:rPr>
            </w:pPr>
            <w:r>
              <w:rPr>
                <w:b/>
                <w:color w:val="FFFFFF" w:themeColor="background1"/>
              </w:rPr>
              <w:t>Contract Duration</w:t>
            </w:r>
          </w:p>
        </w:tc>
      </w:tr>
      <w:tr w:rsidR="0063435F" w:rsidRPr="00C9138A" w14:paraId="170277BB" w14:textId="77777777" w:rsidTr="0063435F">
        <w:tc>
          <w:tcPr>
            <w:tcW w:w="9072" w:type="dxa"/>
            <w:tcBorders>
              <w:top w:val="single" w:sz="4" w:space="0" w:color="auto"/>
              <w:left w:val="single" w:sz="4" w:space="0" w:color="auto"/>
              <w:bottom w:val="single" w:sz="4" w:space="0" w:color="auto"/>
              <w:right w:val="single" w:sz="4" w:space="0" w:color="auto"/>
            </w:tcBorders>
          </w:tcPr>
          <w:p w14:paraId="77F89895" w14:textId="77777777" w:rsidR="0063435F" w:rsidRPr="00CA61A8" w:rsidRDefault="00C71235" w:rsidP="00702205">
            <w:pPr>
              <w:pStyle w:val="TenderTitle"/>
              <w:rPr>
                <w:b/>
              </w:rPr>
            </w:pPr>
            <w:r>
              <w:rPr>
                <w:b/>
              </w:rPr>
              <w:t>12 months (1 year</w:t>
            </w:r>
            <w:r w:rsidR="00A62F38" w:rsidRPr="00CA61A8">
              <w:rPr>
                <w:b/>
              </w:rPr>
              <w:t>)</w:t>
            </w:r>
          </w:p>
        </w:tc>
      </w:tr>
    </w:tbl>
    <w:p w14:paraId="54B7EE1D" w14:textId="77777777" w:rsidR="0036747E" w:rsidRDefault="0036747E" w:rsidP="002238F9">
      <w:pPr>
        <w:spacing w:line="240" w:lineRule="auto"/>
        <w:ind w:right="-58"/>
        <w:rPr>
          <w:rFonts w:ascii="Arial" w:hAnsi="Arial" w:cs="Arial"/>
          <w:sz w:val="24"/>
          <w:szCs w:val="24"/>
        </w:rPr>
      </w:pPr>
    </w:p>
    <w:p w14:paraId="2F36BCAE" w14:textId="77777777" w:rsidR="0036747E" w:rsidRDefault="0036747E" w:rsidP="002238F9">
      <w:pPr>
        <w:spacing w:line="240" w:lineRule="auto"/>
        <w:ind w:right="-58"/>
        <w:rPr>
          <w:rFonts w:ascii="Arial" w:hAnsi="Arial" w:cs="Arial"/>
          <w:sz w:val="24"/>
          <w:szCs w:val="24"/>
        </w:rPr>
      </w:pPr>
    </w:p>
    <w:p w14:paraId="61F1397F" w14:textId="77777777" w:rsidR="009A1765" w:rsidRPr="00BE3C10" w:rsidRDefault="009A1765" w:rsidP="002238F9">
      <w:pPr>
        <w:spacing w:line="240" w:lineRule="auto"/>
        <w:ind w:right="-58"/>
        <w:rPr>
          <w:rFonts w:ascii="Arial" w:hAnsi="Arial" w:cs="Arial"/>
          <w:sz w:val="24"/>
          <w:szCs w:val="24"/>
        </w:rPr>
      </w:pPr>
      <w:r w:rsidRPr="00BE3C10">
        <w:rPr>
          <w:rFonts w:ascii="Arial" w:hAnsi="Arial" w:cs="Arial"/>
          <w:sz w:val="24"/>
          <w:szCs w:val="24"/>
        </w:rPr>
        <w:t xml:space="preserve">This </w:t>
      </w:r>
      <w:r w:rsidR="009D6DA0">
        <w:rPr>
          <w:rFonts w:ascii="Arial" w:hAnsi="Arial" w:cs="Arial"/>
          <w:sz w:val="24"/>
          <w:szCs w:val="24"/>
        </w:rPr>
        <w:t>s</w:t>
      </w:r>
      <w:r w:rsidR="009D6DA0" w:rsidRPr="009D6DA0">
        <w:rPr>
          <w:rFonts w:ascii="Arial" w:hAnsi="Arial" w:cs="Arial"/>
          <w:sz w:val="24"/>
          <w:szCs w:val="24"/>
        </w:rPr>
        <w:t>pecification</w:t>
      </w:r>
      <w:r w:rsidR="009D6DA0">
        <w:rPr>
          <w:rFonts w:ascii="Arial" w:hAnsi="Arial" w:cs="Arial"/>
          <w:sz w:val="24"/>
          <w:szCs w:val="24"/>
        </w:rPr>
        <w:t xml:space="preserve">, </w:t>
      </w:r>
      <w:r w:rsidRPr="00BE3C10">
        <w:rPr>
          <w:rFonts w:ascii="Arial" w:hAnsi="Arial" w:cs="Arial"/>
          <w:sz w:val="24"/>
          <w:szCs w:val="24"/>
        </w:rPr>
        <w:t xml:space="preserve">which </w:t>
      </w:r>
      <w:r w:rsidR="00590163">
        <w:rPr>
          <w:rFonts w:ascii="Arial" w:hAnsi="Arial" w:cs="Arial"/>
          <w:sz w:val="24"/>
          <w:szCs w:val="24"/>
        </w:rPr>
        <w:t xml:space="preserve">forms part of the Invitation to </w:t>
      </w:r>
      <w:r w:rsidRPr="00BE3C10">
        <w:rPr>
          <w:rFonts w:ascii="Arial" w:hAnsi="Arial" w:cs="Arial"/>
          <w:sz w:val="24"/>
          <w:szCs w:val="24"/>
        </w:rPr>
        <w:t>Tender (ITT)</w:t>
      </w:r>
      <w:r w:rsidR="009D6DA0">
        <w:rPr>
          <w:rFonts w:ascii="Arial" w:hAnsi="Arial" w:cs="Arial"/>
          <w:sz w:val="24"/>
          <w:szCs w:val="24"/>
        </w:rPr>
        <w:t>,</w:t>
      </w:r>
      <w:r w:rsidRPr="00BE3C10">
        <w:rPr>
          <w:rFonts w:ascii="Arial" w:hAnsi="Arial" w:cs="Arial"/>
          <w:sz w:val="24"/>
          <w:szCs w:val="24"/>
        </w:rPr>
        <w:t xml:space="preserve"> comprises of three </w:t>
      </w:r>
      <w:r w:rsidR="009D6DA0" w:rsidRPr="00BE3C10">
        <w:rPr>
          <w:rFonts w:ascii="Arial" w:hAnsi="Arial" w:cs="Arial"/>
          <w:sz w:val="24"/>
          <w:szCs w:val="24"/>
        </w:rPr>
        <w:t>indiv</w:t>
      </w:r>
      <w:r w:rsidR="009D6DA0">
        <w:rPr>
          <w:rFonts w:ascii="Arial" w:hAnsi="Arial" w:cs="Arial"/>
          <w:sz w:val="24"/>
          <w:szCs w:val="24"/>
        </w:rPr>
        <w:t>i</w:t>
      </w:r>
      <w:r w:rsidR="009D6DA0" w:rsidRPr="00BE3C10">
        <w:rPr>
          <w:rFonts w:ascii="Arial" w:hAnsi="Arial" w:cs="Arial"/>
          <w:sz w:val="24"/>
          <w:szCs w:val="24"/>
        </w:rPr>
        <w:t>dual</w:t>
      </w:r>
      <w:r w:rsidRPr="00BE3C10">
        <w:rPr>
          <w:rFonts w:ascii="Arial" w:hAnsi="Arial" w:cs="Arial"/>
          <w:sz w:val="24"/>
          <w:szCs w:val="24"/>
        </w:rPr>
        <w:t xml:space="preserve"> sections: -</w:t>
      </w:r>
    </w:p>
    <w:p w14:paraId="7E37B89D" w14:textId="77777777" w:rsidR="009A1765" w:rsidRPr="00BE3C10" w:rsidRDefault="009A1765" w:rsidP="002238F9">
      <w:pPr>
        <w:spacing w:line="240" w:lineRule="auto"/>
        <w:ind w:right="-58"/>
        <w:rPr>
          <w:rFonts w:ascii="Arial" w:hAnsi="Arial" w:cs="Arial"/>
          <w:sz w:val="24"/>
          <w:szCs w:val="24"/>
        </w:rPr>
      </w:pPr>
    </w:p>
    <w:p w14:paraId="3AB26C6D" w14:textId="77777777" w:rsidR="009A1765" w:rsidRPr="00BE3C10" w:rsidRDefault="009A1765" w:rsidP="002238F9">
      <w:pPr>
        <w:numPr>
          <w:ilvl w:val="0"/>
          <w:numId w:val="20"/>
        </w:numPr>
        <w:spacing w:line="240" w:lineRule="auto"/>
        <w:ind w:right="-58"/>
        <w:rPr>
          <w:rFonts w:ascii="Arial" w:hAnsi="Arial" w:cs="Arial"/>
          <w:b/>
          <w:sz w:val="24"/>
          <w:szCs w:val="24"/>
        </w:rPr>
      </w:pPr>
      <w:r w:rsidRPr="00BE3C10">
        <w:rPr>
          <w:rFonts w:ascii="Arial" w:hAnsi="Arial" w:cs="Arial"/>
          <w:b/>
          <w:sz w:val="24"/>
          <w:szCs w:val="24"/>
        </w:rPr>
        <w:t xml:space="preserve">SPECIFICATION: </w:t>
      </w:r>
      <w:r w:rsidRPr="00BE3C10">
        <w:rPr>
          <w:rFonts w:ascii="Arial" w:hAnsi="Arial" w:cs="Arial"/>
          <w:sz w:val="24"/>
          <w:szCs w:val="24"/>
        </w:rPr>
        <w:t>An outline of the</w:t>
      </w:r>
      <w:r w:rsidR="00704145">
        <w:rPr>
          <w:rFonts w:ascii="Arial" w:hAnsi="Arial" w:cs="Arial"/>
          <w:sz w:val="24"/>
          <w:szCs w:val="24"/>
        </w:rPr>
        <w:t xml:space="preserve"> requirement</w:t>
      </w:r>
    </w:p>
    <w:p w14:paraId="69F66225" w14:textId="77777777" w:rsidR="009A1765" w:rsidRPr="00BE3C10" w:rsidRDefault="009A1765" w:rsidP="002238F9">
      <w:pPr>
        <w:spacing w:line="240" w:lineRule="auto"/>
        <w:ind w:left="720" w:right="-58"/>
        <w:rPr>
          <w:rFonts w:ascii="Arial" w:hAnsi="Arial" w:cs="Arial"/>
          <w:b/>
          <w:sz w:val="24"/>
          <w:szCs w:val="24"/>
        </w:rPr>
      </w:pPr>
    </w:p>
    <w:p w14:paraId="2C200966" w14:textId="77777777" w:rsidR="009A1765" w:rsidRPr="00BE3C10" w:rsidRDefault="009A1765" w:rsidP="002238F9">
      <w:pPr>
        <w:numPr>
          <w:ilvl w:val="0"/>
          <w:numId w:val="20"/>
        </w:numPr>
        <w:tabs>
          <w:tab w:val="left" w:pos="709"/>
        </w:tabs>
        <w:spacing w:line="240" w:lineRule="auto"/>
        <w:ind w:right="-58"/>
        <w:rPr>
          <w:rFonts w:ascii="Arial" w:hAnsi="Arial" w:cs="Arial"/>
          <w:sz w:val="24"/>
          <w:szCs w:val="24"/>
        </w:rPr>
      </w:pPr>
      <w:r w:rsidRPr="00BE3C10">
        <w:rPr>
          <w:rFonts w:ascii="Arial" w:hAnsi="Arial" w:cs="Arial"/>
          <w:b/>
          <w:sz w:val="24"/>
          <w:szCs w:val="24"/>
        </w:rPr>
        <w:t xml:space="preserve">PROCUREMENT TIMETABLE: </w:t>
      </w:r>
      <w:r w:rsidRPr="00BE3C10">
        <w:rPr>
          <w:rFonts w:ascii="Arial" w:hAnsi="Arial" w:cs="Arial"/>
          <w:sz w:val="24"/>
          <w:szCs w:val="24"/>
        </w:rPr>
        <w:t xml:space="preserve">An estimated timetable for the procurement of the proposed </w:t>
      </w:r>
      <w:r w:rsidR="006B3F91">
        <w:rPr>
          <w:rFonts w:ascii="Arial" w:hAnsi="Arial" w:cs="Arial"/>
          <w:sz w:val="24"/>
          <w:szCs w:val="24"/>
        </w:rPr>
        <w:t>requirement</w:t>
      </w:r>
    </w:p>
    <w:p w14:paraId="64154D5E" w14:textId="77777777" w:rsidR="009A1765" w:rsidRPr="00BE3C10" w:rsidRDefault="009A1765" w:rsidP="002238F9">
      <w:pPr>
        <w:tabs>
          <w:tab w:val="left" w:pos="709"/>
        </w:tabs>
        <w:spacing w:line="240" w:lineRule="auto"/>
        <w:ind w:right="-58"/>
        <w:rPr>
          <w:rFonts w:ascii="Arial" w:hAnsi="Arial" w:cs="Arial"/>
          <w:sz w:val="24"/>
          <w:szCs w:val="24"/>
        </w:rPr>
      </w:pPr>
    </w:p>
    <w:p w14:paraId="2045FBA6" w14:textId="77777777" w:rsidR="009A1765" w:rsidRPr="00BE3C10" w:rsidRDefault="009A1765" w:rsidP="002238F9">
      <w:pPr>
        <w:numPr>
          <w:ilvl w:val="0"/>
          <w:numId w:val="20"/>
        </w:numPr>
        <w:spacing w:line="240" w:lineRule="auto"/>
        <w:ind w:right="-58"/>
        <w:rPr>
          <w:rFonts w:ascii="Arial" w:hAnsi="Arial" w:cs="Arial"/>
          <w:sz w:val="24"/>
          <w:szCs w:val="24"/>
        </w:rPr>
      </w:pPr>
      <w:r w:rsidRPr="00BE3C10">
        <w:rPr>
          <w:rFonts w:ascii="Arial" w:hAnsi="Arial" w:cs="Arial"/>
          <w:b/>
          <w:sz w:val="24"/>
          <w:szCs w:val="24"/>
        </w:rPr>
        <w:t xml:space="preserve">TENDER REQUIREMENTS AND EVALUATION CRITERIA: </w:t>
      </w:r>
      <w:r w:rsidRPr="00BE3C10">
        <w:rPr>
          <w:rFonts w:ascii="Arial" w:hAnsi="Arial" w:cs="Arial"/>
          <w:sz w:val="24"/>
          <w:szCs w:val="24"/>
        </w:rPr>
        <w:t>Provides guidance to applicants on the information that should be included within tenders and on the evaluation criteria and weightings used by appraisers when assessing and scoring tenders</w:t>
      </w:r>
    </w:p>
    <w:p w14:paraId="37D3C361" w14:textId="77777777" w:rsidR="009A1765" w:rsidRPr="00BE3C10" w:rsidRDefault="009A1765" w:rsidP="002238F9">
      <w:pPr>
        <w:pStyle w:val="BodyText"/>
        <w:spacing w:after="0"/>
        <w:jc w:val="both"/>
        <w:rPr>
          <w:rFonts w:cs="Arial"/>
        </w:rPr>
      </w:pPr>
    </w:p>
    <w:p w14:paraId="51FB434B" w14:textId="77777777" w:rsidR="009A1765" w:rsidRPr="00BE3C10" w:rsidRDefault="009A1765" w:rsidP="002238F9">
      <w:pPr>
        <w:pBdr>
          <w:top w:val="single" w:sz="18" w:space="1" w:color="008000"/>
          <w:left w:val="single" w:sz="18" w:space="4" w:color="008000"/>
          <w:bottom w:val="single" w:sz="18" w:space="1" w:color="008000"/>
          <w:right w:val="single" w:sz="18" w:space="4" w:color="008000"/>
        </w:pBdr>
        <w:spacing w:line="240" w:lineRule="auto"/>
        <w:ind w:left="284"/>
        <w:jc w:val="both"/>
        <w:rPr>
          <w:rFonts w:ascii="Arial" w:hAnsi="Arial" w:cs="Arial"/>
          <w:sz w:val="24"/>
          <w:szCs w:val="24"/>
        </w:rPr>
      </w:pPr>
      <w:r w:rsidRPr="00BE3C10">
        <w:rPr>
          <w:rFonts w:ascii="Arial" w:hAnsi="Arial" w:cs="Arial"/>
          <w:sz w:val="24"/>
          <w:szCs w:val="24"/>
        </w:rPr>
        <w:t xml:space="preserve">Tenders for FSA funded projects must be submitted through the FSA </w:t>
      </w:r>
      <w:r w:rsidR="00984943">
        <w:rPr>
          <w:rFonts w:ascii="Arial" w:hAnsi="Arial" w:cs="Arial"/>
          <w:sz w:val="24"/>
          <w:szCs w:val="24"/>
        </w:rPr>
        <w:t>E-sourcing and contract management</w:t>
      </w:r>
      <w:r w:rsidRPr="00BE3C10">
        <w:rPr>
          <w:rFonts w:ascii="Arial" w:hAnsi="Arial" w:cs="Arial"/>
          <w:sz w:val="24"/>
          <w:szCs w:val="24"/>
        </w:rPr>
        <w:t xml:space="preserve"> system, </w:t>
      </w:r>
      <w:r w:rsidR="00984943">
        <w:rPr>
          <w:rFonts w:ascii="Arial" w:hAnsi="Arial" w:cs="Arial"/>
          <w:sz w:val="24"/>
          <w:szCs w:val="24"/>
        </w:rPr>
        <w:t>ECMS</w:t>
      </w:r>
      <w:r w:rsidRPr="00BE3C10">
        <w:rPr>
          <w:rFonts w:ascii="Arial" w:hAnsi="Arial" w:cs="Arial"/>
          <w:sz w:val="24"/>
          <w:szCs w:val="24"/>
        </w:rPr>
        <w:t xml:space="preserve">, using the following link: </w:t>
      </w:r>
      <w:hyperlink r:id="rId12" w:history="1">
        <w:r w:rsidR="00984943" w:rsidRPr="00621797">
          <w:rPr>
            <w:rStyle w:val="Hyperlink"/>
          </w:rPr>
          <w:t>https://food.bravosolution.co.uk/web/login.html</w:t>
        </w:r>
      </w:hyperlink>
      <w:r w:rsidR="00984943">
        <w:rPr>
          <w:color w:val="0070C0"/>
        </w:rPr>
        <w:t>.</w:t>
      </w:r>
      <w:r w:rsidRPr="00BE3C10">
        <w:rPr>
          <w:rFonts w:ascii="Arial" w:hAnsi="Arial" w:cs="Arial"/>
          <w:sz w:val="24"/>
          <w:szCs w:val="24"/>
        </w:rPr>
        <w:t xml:space="preserve">  </w:t>
      </w:r>
      <w:r w:rsidR="00863228" w:rsidRPr="00BE3C10">
        <w:rPr>
          <w:rFonts w:ascii="Arial" w:hAnsi="Arial" w:cs="Arial"/>
          <w:sz w:val="24"/>
          <w:szCs w:val="24"/>
        </w:rPr>
        <w:t>Failure to do so may result in the tender response not being processed by the system or the response being automatically disqualified during the evaluation stage of the tender process</w:t>
      </w:r>
      <w:r w:rsidR="00863228" w:rsidRPr="00BE3C10">
        <w:rPr>
          <w:rFonts w:ascii="Arial" w:hAnsi="Arial" w:cs="Arial"/>
          <w:i/>
        </w:rPr>
        <w:t>.</w:t>
      </w:r>
    </w:p>
    <w:p w14:paraId="2F517308" w14:textId="77777777" w:rsidR="009A1765" w:rsidRPr="00BE3C10" w:rsidRDefault="009A1765" w:rsidP="002238F9">
      <w:pPr>
        <w:pStyle w:val="NormalWeb"/>
        <w:spacing w:before="0" w:beforeAutospacing="0" w:after="0" w:afterAutospacing="0"/>
        <w:rPr>
          <w:rFonts w:ascii="Arial" w:hAnsi="Arial" w:cs="Arial"/>
        </w:rPr>
      </w:pPr>
    </w:p>
    <w:p w14:paraId="62B6CB20" w14:textId="77777777" w:rsidR="008648B8" w:rsidRDefault="008648B8" w:rsidP="002238F9">
      <w:pPr>
        <w:spacing w:after="120" w:line="240" w:lineRule="auto"/>
        <w:ind w:right="-188"/>
        <w:jc w:val="center"/>
        <w:rPr>
          <w:rFonts w:ascii="Arial" w:hAnsi="Arial" w:cs="Arial"/>
          <w:b/>
          <w:sz w:val="24"/>
          <w:szCs w:val="24"/>
        </w:rPr>
      </w:pPr>
    </w:p>
    <w:p w14:paraId="199B86EF" w14:textId="77777777" w:rsidR="008648B8" w:rsidRPr="008648B8" w:rsidRDefault="008648B8" w:rsidP="008648B8">
      <w:pPr>
        <w:rPr>
          <w:rFonts w:ascii="Arial" w:hAnsi="Arial" w:cs="Arial"/>
          <w:sz w:val="24"/>
          <w:szCs w:val="24"/>
        </w:rPr>
      </w:pPr>
    </w:p>
    <w:p w14:paraId="7E943F69" w14:textId="77777777" w:rsidR="008648B8" w:rsidRPr="008648B8" w:rsidRDefault="008648B8" w:rsidP="008648B8">
      <w:pPr>
        <w:rPr>
          <w:rFonts w:ascii="Arial" w:hAnsi="Arial" w:cs="Arial"/>
          <w:sz w:val="24"/>
          <w:szCs w:val="24"/>
        </w:rPr>
      </w:pPr>
    </w:p>
    <w:p w14:paraId="18518F04" w14:textId="77777777" w:rsidR="008648B8" w:rsidRDefault="008648B8" w:rsidP="008648B8">
      <w:pPr>
        <w:tabs>
          <w:tab w:val="left" w:pos="2700"/>
        </w:tabs>
        <w:spacing w:after="120" w:line="240" w:lineRule="auto"/>
        <w:ind w:right="-188"/>
        <w:rPr>
          <w:rFonts w:ascii="Arial" w:hAnsi="Arial" w:cs="Arial"/>
          <w:sz w:val="24"/>
          <w:szCs w:val="24"/>
        </w:rPr>
      </w:pPr>
      <w:r>
        <w:rPr>
          <w:rFonts w:ascii="Arial" w:hAnsi="Arial" w:cs="Arial"/>
          <w:sz w:val="24"/>
          <w:szCs w:val="24"/>
        </w:rPr>
        <w:tab/>
      </w:r>
    </w:p>
    <w:p w14:paraId="0BE84746" w14:textId="77777777" w:rsidR="001C2A83" w:rsidRPr="00BE3C10" w:rsidRDefault="009A1765" w:rsidP="002238F9">
      <w:pPr>
        <w:spacing w:after="120" w:line="240" w:lineRule="auto"/>
        <w:ind w:right="-188"/>
        <w:jc w:val="center"/>
        <w:rPr>
          <w:rFonts w:ascii="Arial" w:hAnsi="Arial" w:cs="Arial"/>
          <w:b/>
          <w:sz w:val="24"/>
          <w:szCs w:val="24"/>
        </w:rPr>
      </w:pPr>
      <w:r w:rsidRPr="008648B8">
        <w:rPr>
          <w:rFonts w:ascii="Arial" w:hAnsi="Arial" w:cs="Arial"/>
          <w:sz w:val="24"/>
          <w:szCs w:val="24"/>
        </w:rPr>
        <w:br w:type="page"/>
      </w:r>
      <w:r w:rsidR="001C2A83" w:rsidRPr="00BE3C10">
        <w:rPr>
          <w:rFonts w:ascii="Arial" w:hAnsi="Arial" w:cs="Arial"/>
          <w:b/>
          <w:sz w:val="24"/>
          <w:szCs w:val="24"/>
        </w:rPr>
        <w:lastRenderedPageBreak/>
        <w:t xml:space="preserve">THE </w:t>
      </w:r>
      <w:r w:rsidR="00C25369">
        <w:rPr>
          <w:rFonts w:ascii="Arial" w:hAnsi="Arial" w:cs="Arial"/>
          <w:b/>
          <w:sz w:val="24"/>
          <w:szCs w:val="24"/>
        </w:rPr>
        <w:t>SPECIFICATION</w:t>
      </w:r>
      <w:r w:rsidR="001C2A83" w:rsidRPr="00BE3C10">
        <w:rPr>
          <w:rFonts w:ascii="Arial" w:hAnsi="Arial" w:cs="Arial"/>
          <w:b/>
          <w:sz w:val="24"/>
          <w:szCs w:val="24"/>
        </w:rPr>
        <w:t xml:space="preserve">, </w:t>
      </w:r>
      <w:r w:rsidR="00553417" w:rsidRPr="00BE3C10">
        <w:rPr>
          <w:rFonts w:ascii="Arial" w:hAnsi="Arial" w:cs="Arial"/>
          <w:b/>
          <w:sz w:val="24"/>
          <w:szCs w:val="24"/>
        </w:rPr>
        <w:t xml:space="preserve">INCLUDING </w:t>
      </w:r>
      <w:r w:rsidR="001C2A83" w:rsidRPr="00BE3C10">
        <w:rPr>
          <w:rFonts w:ascii="Arial" w:hAnsi="Arial" w:cs="Arial"/>
          <w:b/>
          <w:sz w:val="24"/>
          <w:szCs w:val="24"/>
        </w:rPr>
        <w:t xml:space="preserve">PROJECT TIMETABLE </w:t>
      </w:r>
    </w:p>
    <w:p w14:paraId="69031275" w14:textId="77777777" w:rsidR="001C2A83" w:rsidRPr="00BE3C10" w:rsidRDefault="00B85D5B" w:rsidP="002238F9">
      <w:pPr>
        <w:spacing w:after="120" w:line="240" w:lineRule="auto"/>
        <w:ind w:right="1088"/>
        <w:jc w:val="center"/>
        <w:rPr>
          <w:rFonts w:ascii="Arial" w:hAnsi="Arial" w:cs="Arial"/>
          <w:b/>
          <w:sz w:val="24"/>
          <w:szCs w:val="24"/>
        </w:rPr>
      </w:pPr>
      <w:r w:rsidRPr="00BE3C10">
        <w:rPr>
          <w:rFonts w:ascii="Arial" w:hAnsi="Arial" w:cs="Arial"/>
          <w:b/>
          <w:sz w:val="24"/>
          <w:szCs w:val="24"/>
        </w:rPr>
        <w:t xml:space="preserve">AND </w:t>
      </w:r>
      <w:r w:rsidR="001C2A83" w:rsidRPr="00BE3C10">
        <w:rPr>
          <w:rFonts w:ascii="Arial" w:hAnsi="Arial" w:cs="Arial"/>
          <w:b/>
          <w:sz w:val="24"/>
          <w:szCs w:val="24"/>
        </w:rPr>
        <w:t>EVALUATION</w:t>
      </w:r>
      <w:r w:rsidRPr="00BE3C10">
        <w:rPr>
          <w:rFonts w:ascii="Arial" w:hAnsi="Arial" w:cs="Arial"/>
          <w:b/>
          <w:sz w:val="24"/>
          <w:szCs w:val="24"/>
        </w:rPr>
        <w:t xml:space="preserve"> OF TENDERS</w:t>
      </w:r>
    </w:p>
    <w:p w14:paraId="35E7FE07" w14:textId="77777777" w:rsidR="00734117" w:rsidRDefault="00734117" w:rsidP="002238F9">
      <w:pPr>
        <w:spacing w:after="120" w:line="240" w:lineRule="auto"/>
        <w:jc w:val="both"/>
        <w:rPr>
          <w:rFonts w:ascii="Arial" w:hAnsi="Arial" w:cs="Arial"/>
          <w:b/>
          <w:sz w:val="24"/>
          <w:szCs w:val="24"/>
        </w:rPr>
      </w:pPr>
    </w:p>
    <w:p w14:paraId="20091F1F" w14:textId="77777777" w:rsidR="003554B8" w:rsidRPr="00BE3C10" w:rsidRDefault="00FD652E" w:rsidP="002238F9">
      <w:pPr>
        <w:spacing w:after="120" w:line="240" w:lineRule="auto"/>
        <w:jc w:val="both"/>
        <w:rPr>
          <w:rFonts w:ascii="Arial" w:hAnsi="Arial" w:cs="Arial"/>
          <w:b/>
          <w:sz w:val="24"/>
          <w:szCs w:val="24"/>
        </w:rPr>
      </w:pPr>
      <w:r w:rsidRPr="00BE3C10">
        <w:rPr>
          <w:rFonts w:ascii="Arial" w:hAnsi="Arial" w:cs="Arial"/>
          <w:b/>
          <w:sz w:val="24"/>
          <w:szCs w:val="24"/>
        </w:rPr>
        <w:t>GENERAL INTRODUCTION</w:t>
      </w:r>
    </w:p>
    <w:p w14:paraId="18FBB42B" w14:textId="77777777" w:rsidR="00C51BE5" w:rsidRDefault="00A1493C" w:rsidP="002238F9">
      <w:pPr>
        <w:spacing w:before="240" w:line="240" w:lineRule="auto"/>
        <w:jc w:val="both"/>
        <w:rPr>
          <w:rFonts w:ascii="Arial" w:hAnsi="Arial" w:cs="Arial"/>
          <w:sz w:val="24"/>
          <w:szCs w:val="24"/>
        </w:rPr>
      </w:pPr>
      <w:r w:rsidRPr="00BE3C10">
        <w:rPr>
          <w:rFonts w:ascii="Arial" w:hAnsi="Arial" w:cs="Arial"/>
          <w:sz w:val="24"/>
          <w:szCs w:val="24"/>
        </w:rPr>
        <w:t xml:space="preserve">The Food Standards Agency </w:t>
      </w:r>
      <w:r w:rsidR="00B931CE">
        <w:rPr>
          <w:rFonts w:ascii="Arial" w:hAnsi="Arial" w:cs="Arial"/>
          <w:sz w:val="24"/>
          <w:szCs w:val="24"/>
        </w:rPr>
        <w:t xml:space="preserve">(FSA) </w:t>
      </w:r>
      <w:r w:rsidRPr="00BE3C10">
        <w:rPr>
          <w:rFonts w:ascii="Arial" w:hAnsi="Arial" w:cs="Arial"/>
          <w:sz w:val="24"/>
          <w:szCs w:val="24"/>
        </w:rPr>
        <w:t>is a non-ministerial government department governed by a Board appointed to act in the public interest, with the task of protecting consumers in relation to food. It is a UK-wide body with offices in London, Cardiff, Belfast and York.</w:t>
      </w:r>
    </w:p>
    <w:p w14:paraId="0B3B892D" w14:textId="77777777" w:rsidR="00A1493C" w:rsidRDefault="00A1493C" w:rsidP="00C51BE5">
      <w:pPr>
        <w:spacing w:line="240" w:lineRule="auto"/>
        <w:jc w:val="both"/>
        <w:rPr>
          <w:rFonts w:ascii="Arial" w:hAnsi="Arial" w:cs="Arial"/>
          <w:sz w:val="24"/>
          <w:szCs w:val="24"/>
        </w:rPr>
      </w:pPr>
      <w:r w:rsidRPr="00BE3C10">
        <w:rPr>
          <w:rFonts w:ascii="Arial" w:hAnsi="Arial" w:cs="Arial"/>
          <w:sz w:val="24"/>
          <w:szCs w:val="24"/>
        </w:rPr>
        <w:t xml:space="preserve"> </w:t>
      </w:r>
    </w:p>
    <w:p w14:paraId="060A35A1" w14:textId="2DE3BC62" w:rsidR="00C51BE5" w:rsidRPr="00F42EA9" w:rsidRDefault="00C51BE5" w:rsidP="00CA61A8">
      <w:pPr>
        <w:jc w:val="both"/>
        <w:rPr>
          <w:rFonts w:ascii="Arial" w:hAnsi="Arial" w:cs="Arial"/>
          <w:color w:val="1F497D"/>
          <w:sz w:val="24"/>
          <w:szCs w:val="24"/>
        </w:rPr>
      </w:pPr>
      <w:r w:rsidRPr="00F54E91">
        <w:rPr>
          <w:rFonts w:ascii="Arial" w:hAnsi="Arial"/>
          <w:sz w:val="24"/>
          <w:szCs w:val="24"/>
        </w:rPr>
        <w:t xml:space="preserve">The </w:t>
      </w:r>
      <w:r w:rsidR="00B931CE">
        <w:rPr>
          <w:rFonts w:ascii="Arial" w:hAnsi="Arial"/>
          <w:sz w:val="24"/>
          <w:szCs w:val="24"/>
        </w:rPr>
        <w:t>FS</w:t>
      </w:r>
      <w:r w:rsidRPr="00F54E91">
        <w:rPr>
          <w:rFonts w:ascii="Arial" w:hAnsi="Arial"/>
          <w:sz w:val="24"/>
          <w:szCs w:val="24"/>
        </w:rPr>
        <w:t>A is committed to openness</w:t>
      </w:r>
      <w:r w:rsidR="00FB6CBC">
        <w:rPr>
          <w:rFonts w:ascii="Arial" w:hAnsi="Arial"/>
          <w:sz w:val="24"/>
          <w:szCs w:val="24"/>
        </w:rPr>
        <w:t>,</w:t>
      </w:r>
      <w:r w:rsidRPr="00F54E91">
        <w:rPr>
          <w:rFonts w:ascii="Arial" w:hAnsi="Arial"/>
          <w:sz w:val="24"/>
          <w:szCs w:val="24"/>
        </w:rPr>
        <w:t xml:space="preserve"> transparency</w:t>
      </w:r>
      <w:r w:rsidR="00FB6CBC">
        <w:rPr>
          <w:rFonts w:ascii="Arial" w:hAnsi="Arial"/>
          <w:sz w:val="24"/>
          <w:szCs w:val="24"/>
        </w:rPr>
        <w:t xml:space="preserve"> and equality of treatment to all suppliers</w:t>
      </w:r>
      <w:r>
        <w:rPr>
          <w:rFonts w:ascii="Arial" w:hAnsi="Arial"/>
          <w:sz w:val="24"/>
          <w:szCs w:val="24"/>
        </w:rPr>
        <w:t>.</w:t>
      </w:r>
      <w:r w:rsidRPr="00F54E91">
        <w:rPr>
          <w:rFonts w:ascii="Arial" w:hAnsi="Arial"/>
          <w:sz w:val="24"/>
          <w:szCs w:val="24"/>
        </w:rPr>
        <w:t xml:space="preserve"> </w:t>
      </w:r>
      <w:r>
        <w:rPr>
          <w:rFonts w:ascii="Arial" w:hAnsi="Arial" w:cs="Arial"/>
          <w:sz w:val="24"/>
          <w:szCs w:val="24"/>
        </w:rPr>
        <w:t xml:space="preserve">As well as </w:t>
      </w:r>
      <w:r w:rsidRPr="00F54E91">
        <w:rPr>
          <w:rFonts w:ascii="Arial" w:hAnsi="Arial"/>
          <w:sz w:val="24"/>
          <w:szCs w:val="24"/>
        </w:rPr>
        <w:t>the</w:t>
      </w:r>
      <w:r w:rsidR="00FB6CBC">
        <w:rPr>
          <w:rFonts w:ascii="Arial" w:hAnsi="Arial"/>
          <w:sz w:val="24"/>
          <w:szCs w:val="24"/>
        </w:rPr>
        <w:t>se principles, for science projects the</w:t>
      </w:r>
      <w:r w:rsidRPr="00F54E91">
        <w:rPr>
          <w:rFonts w:ascii="Arial" w:hAnsi="Arial"/>
          <w:sz w:val="24"/>
          <w:szCs w:val="24"/>
        </w:rPr>
        <w:t xml:space="preserve"> final project report </w:t>
      </w:r>
      <w:r w:rsidR="00FB6CBC">
        <w:rPr>
          <w:rFonts w:ascii="Arial" w:hAnsi="Arial"/>
          <w:sz w:val="24"/>
          <w:szCs w:val="24"/>
        </w:rPr>
        <w:t>will be</w:t>
      </w:r>
      <w:r w:rsidRPr="00F54E91">
        <w:rPr>
          <w:rFonts w:ascii="Arial" w:hAnsi="Arial"/>
          <w:sz w:val="24"/>
          <w:szCs w:val="24"/>
        </w:rPr>
        <w:t xml:space="preserve"> published on </w:t>
      </w:r>
      <w:r w:rsidR="00F06FB2">
        <w:rPr>
          <w:rFonts w:ascii="Arial" w:hAnsi="Arial"/>
          <w:sz w:val="24"/>
          <w:szCs w:val="24"/>
        </w:rPr>
        <w:t>the F</w:t>
      </w:r>
      <w:r w:rsidR="00B931CE">
        <w:rPr>
          <w:rFonts w:ascii="Arial" w:hAnsi="Arial"/>
          <w:sz w:val="24"/>
          <w:szCs w:val="24"/>
        </w:rPr>
        <w:t>SA</w:t>
      </w:r>
      <w:r w:rsidR="00F06FB2">
        <w:rPr>
          <w:rFonts w:ascii="Arial" w:hAnsi="Arial"/>
          <w:sz w:val="24"/>
          <w:szCs w:val="24"/>
        </w:rPr>
        <w:t xml:space="preserve"> website (</w:t>
      </w:r>
      <w:hyperlink r:id="rId13" w:history="1">
        <w:r w:rsidR="00F06FB2" w:rsidRPr="00A47E90">
          <w:rPr>
            <w:rStyle w:val="Hyperlink"/>
            <w:rFonts w:ascii="Arial" w:hAnsi="Arial"/>
            <w:sz w:val="24"/>
            <w:szCs w:val="24"/>
          </w:rPr>
          <w:t>www.</w:t>
        </w:r>
        <w:r w:rsidR="00F06FB2" w:rsidRPr="00A47E90">
          <w:rPr>
            <w:rStyle w:val="Hyperlink"/>
            <w:rFonts w:ascii="Arial" w:hAnsi="Arial" w:cs="Arial"/>
            <w:sz w:val="24"/>
            <w:szCs w:val="24"/>
          </w:rPr>
          <w:t>food.gov.uk</w:t>
        </w:r>
      </w:hyperlink>
      <w:r w:rsidR="00F06FB2">
        <w:rPr>
          <w:rFonts w:ascii="Arial" w:hAnsi="Arial" w:cs="Arial"/>
          <w:sz w:val="24"/>
          <w:szCs w:val="24"/>
        </w:rPr>
        <w:t>)</w:t>
      </w:r>
      <w:r w:rsidR="00FB6CBC">
        <w:rPr>
          <w:rFonts w:ascii="Arial" w:hAnsi="Arial"/>
          <w:sz w:val="24"/>
          <w:szCs w:val="24"/>
        </w:rPr>
        <w:t>.</w:t>
      </w:r>
      <w:r>
        <w:rPr>
          <w:rFonts w:ascii="Arial" w:hAnsi="Arial"/>
          <w:sz w:val="24"/>
          <w:szCs w:val="24"/>
        </w:rPr>
        <w:t xml:space="preserve"> </w:t>
      </w:r>
      <w:r w:rsidR="00FB6CBC">
        <w:rPr>
          <w:rFonts w:ascii="Arial" w:hAnsi="Arial"/>
          <w:sz w:val="24"/>
          <w:szCs w:val="24"/>
        </w:rPr>
        <w:t xml:space="preserve">For science projects </w:t>
      </w:r>
      <w:r>
        <w:rPr>
          <w:rFonts w:ascii="Arial" w:hAnsi="Arial"/>
          <w:sz w:val="24"/>
          <w:szCs w:val="24"/>
        </w:rPr>
        <w:t>we</w:t>
      </w:r>
      <w:r w:rsidR="00FB6CBC">
        <w:rPr>
          <w:rFonts w:ascii="Arial" w:hAnsi="Arial"/>
          <w:sz w:val="24"/>
          <w:szCs w:val="24"/>
        </w:rPr>
        <w:t xml:space="preserve"> will</w:t>
      </w:r>
      <w:r w:rsidRPr="00F54E91">
        <w:rPr>
          <w:rFonts w:ascii="Arial" w:hAnsi="Arial"/>
          <w:sz w:val="24"/>
          <w:szCs w:val="24"/>
        </w:rPr>
        <w:t xml:space="preserve"> encourage contractors to publish their work in peer reviewed scientific publications</w:t>
      </w:r>
      <w:r>
        <w:rPr>
          <w:rFonts w:ascii="Arial" w:hAnsi="Arial"/>
          <w:sz w:val="24"/>
          <w:szCs w:val="24"/>
        </w:rPr>
        <w:t xml:space="preserve"> wherever possible. Also, i</w:t>
      </w:r>
      <w:r w:rsidRPr="00F54E91">
        <w:rPr>
          <w:rFonts w:ascii="Arial" w:hAnsi="Arial" w:cs="Arial"/>
          <w:sz w:val="24"/>
          <w:szCs w:val="24"/>
        </w:rPr>
        <w:t>n line with</w:t>
      </w:r>
      <w:r w:rsidRPr="00F54E91">
        <w:rPr>
          <w:rFonts w:ascii="Arial" w:hAnsi="Arial" w:cs="Arial"/>
          <w:color w:val="FF0000"/>
          <w:sz w:val="24"/>
          <w:szCs w:val="24"/>
        </w:rPr>
        <w:t xml:space="preserve"> </w:t>
      </w:r>
      <w:r w:rsidRPr="00F54E91">
        <w:rPr>
          <w:rFonts w:ascii="Arial" w:hAnsi="Arial" w:cs="Arial"/>
          <w:sz w:val="24"/>
          <w:szCs w:val="24"/>
        </w:rPr>
        <w:t xml:space="preserve">the Government’s Transparency Agenda which aims to encourage more open access to data held by government, the </w:t>
      </w:r>
      <w:r w:rsidR="00B931CE">
        <w:rPr>
          <w:rFonts w:ascii="Arial" w:hAnsi="Arial" w:cs="Arial"/>
          <w:sz w:val="24"/>
          <w:szCs w:val="24"/>
        </w:rPr>
        <w:t>FSA</w:t>
      </w:r>
      <w:r w:rsidR="00B931CE" w:rsidRPr="00F54E91">
        <w:rPr>
          <w:rFonts w:ascii="Arial" w:hAnsi="Arial" w:cs="Arial"/>
          <w:sz w:val="24"/>
          <w:szCs w:val="24"/>
        </w:rPr>
        <w:t xml:space="preserve"> </w:t>
      </w:r>
      <w:r w:rsidRPr="00F54E91">
        <w:rPr>
          <w:rFonts w:ascii="Arial" w:hAnsi="Arial" w:cs="Arial"/>
          <w:sz w:val="24"/>
          <w:szCs w:val="24"/>
        </w:rPr>
        <w:t>is developing a policy on the releas</w:t>
      </w:r>
      <w:r w:rsidR="00D64D0D">
        <w:rPr>
          <w:rFonts w:ascii="Arial" w:hAnsi="Arial" w:cs="Arial"/>
          <w:sz w:val="24"/>
          <w:szCs w:val="24"/>
        </w:rPr>
        <w:t xml:space="preserve">e of underpinning data from all </w:t>
      </w:r>
      <w:r w:rsidRPr="00F54E91">
        <w:rPr>
          <w:rFonts w:ascii="Arial" w:hAnsi="Arial" w:cs="Arial"/>
          <w:sz w:val="24"/>
          <w:szCs w:val="24"/>
        </w:rPr>
        <w:t>its science- and evidence-gat</w:t>
      </w:r>
      <w:r w:rsidR="006B3F91">
        <w:rPr>
          <w:rFonts w:ascii="Arial" w:hAnsi="Arial" w:cs="Arial"/>
          <w:sz w:val="24"/>
          <w:szCs w:val="24"/>
        </w:rPr>
        <w:t>hering</w:t>
      </w:r>
      <w:r w:rsidRPr="00F54E91">
        <w:rPr>
          <w:rFonts w:ascii="Arial" w:hAnsi="Arial" w:cs="Arial"/>
          <w:sz w:val="24"/>
          <w:szCs w:val="24"/>
        </w:rPr>
        <w:t xml:space="preserve"> projects</w:t>
      </w:r>
      <w:r w:rsidRPr="00F54E91">
        <w:rPr>
          <w:rFonts w:ascii="Arial" w:hAnsi="Arial"/>
          <w:sz w:val="24"/>
          <w:szCs w:val="24"/>
        </w:rPr>
        <w:t xml:space="preserve">. </w:t>
      </w:r>
      <w:r w:rsidRPr="00F54E91">
        <w:rPr>
          <w:rFonts w:ascii="Arial" w:hAnsi="Arial" w:cs="Arial"/>
          <w:sz w:val="24"/>
          <w:szCs w:val="24"/>
        </w:rPr>
        <w:t>Underpinning data should also be published in an open, accessible, and re-usable format, such that the data can be made available to future researchers and the maximum benefit is derived from it.</w:t>
      </w:r>
      <w:r>
        <w:rPr>
          <w:rFonts w:ascii="Arial" w:hAnsi="Arial" w:cs="Arial"/>
          <w:sz w:val="24"/>
          <w:szCs w:val="24"/>
        </w:rPr>
        <w:t xml:space="preserve"> The </w:t>
      </w:r>
      <w:r w:rsidR="00B931CE">
        <w:rPr>
          <w:rFonts w:ascii="Arial" w:hAnsi="Arial" w:cs="Arial"/>
          <w:sz w:val="24"/>
          <w:szCs w:val="24"/>
        </w:rPr>
        <w:t xml:space="preserve">FSA </w:t>
      </w:r>
      <w:r>
        <w:rPr>
          <w:rFonts w:ascii="Arial" w:hAnsi="Arial" w:cs="Arial"/>
          <w:sz w:val="24"/>
          <w:szCs w:val="24"/>
        </w:rPr>
        <w:t xml:space="preserve">has </w:t>
      </w:r>
      <w:r w:rsidRPr="00F54E91">
        <w:rPr>
          <w:rFonts w:ascii="Arial" w:hAnsi="Arial" w:cs="Arial"/>
          <w:sz w:val="24"/>
          <w:szCs w:val="24"/>
        </w:rPr>
        <w:t>establish</w:t>
      </w:r>
      <w:r>
        <w:rPr>
          <w:rFonts w:ascii="Arial" w:hAnsi="Arial" w:cs="Arial"/>
          <w:sz w:val="24"/>
          <w:szCs w:val="24"/>
        </w:rPr>
        <w:t>ed</w:t>
      </w:r>
      <w:r w:rsidRPr="00F54E91">
        <w:rPr>
          <w:rFonts w:ascii="Arial" w:hAnsi="Arial" w:cs="Arial"/>
          <w:sz w:val="24"/>
          <w:szCs w:val="24"/>
        </w:rPr>
        <w:t xml:space="preserve"> the key principles for release of underpinning data that will be applied to all new science- and evidence-gathering projects</w:t>
      </w:r>
      <w:r w:rsidRPr="007A6B7E">
        <w:rPr>
          <w:rFonts w:ascii="Arial" w:hAnsi="Arial" w:cs="Arial"/>
        </w:rPr>
        <w:t xml:space="preserve"> </w:t>
      </w:r>
      <w:r w:rsidRPr="00F54E91">
        <w:rPr>
          <w:rFonts w:ascii="Arial" w:hAnsi="Arial" w:cs="Arial"/>
          <w:sz w:val="24"/>
          <w:szCs w:val="24"/>
        </w:rPr>
        <w:t>which we would expect contractors</w:t>
      </w:r>
      <w:r>
        <w:rPr>
          <w:rFonts w:ascii="Arial" w:hAnsi="Arial" w:cs="Arial"/>
        </w:rPr>
        <w:t xml:space="preserve"> </w:t>
      </w:r>
      <w:r w:rsidRPr="00F54E91">
        <w:rPr>
          <w:rFonts w:ascii="Arial" w:hAnsi="Arial" w:cs="Arial"/>
          <w:sz w:val="24"/>
          <w:szCs w:val="24"/>
        </w:rPr>
        <w:t xml:space="preserve">to comply with. These can be found at </w:t>
      </w:r>
      <w:hyperlink r:id="rId14" w:history="1">
        <w:r w:rsidRPr="00F42EA9">
          <w:rPr>
            <w:rStyle w:val="Hyperlink"/>
            <w:rFonts w:ascii="Arial" w:hAnsi="Arial" w:cs="Arial"/>
            <w:sz w:val="24"/>
            <w:szCs w:val="24"/>
          </w:rPr>
          <w:t>http://www.food.gov.uk/about-us/data-and-policies/underpinning-data</w:t>
        </w:r>
      </w:hyperlink>
      <w:r w:rsidR="00CA61A8" w:rsidRPr="00CA61A8">
        <w:rPr>
          <w:rStyle w:val="Hyperlink"/>
          <w:rFonts w:ascii="Arial" w:hAnsi="Arial" w:cs="Arial"/>
          <w:color w:val="auto"/>
          <w:sz w:val="24"/>
          <w:szCs w:val="24"/>
          <w:u w:val="none"/>
        </w:rPr>
        <w:t>.</w:t>
      </w:r>
    </w:p>
    <w:p w14:paraId="50B81065" w14:textId="77777777" w:rsidR="0042091F" w:rsidRDefault="0042091F" w:rsidP="0042091F">
      <w:pPr>
        <w:spacing w:line="240" w:lineRule="auto"/>
        <w:jc w:val="both"/>
        <w:rPr>
          <w:rFonts w:ascii="Arial" w:hAnsi="Arial" w:cs="Arial"/>
          <w:sz w:val="24"/>
          <w:szCs w:val="24"/>
          <w:lang w:val="en-US"/>
        </w:rPr>
      </w:pPr>
    </w:p>
    <w:p w14:paraId="4059C14B" w14:textId="77777777" w:rsidR="00F64BEB" w:rsidRDefault="00F64BEB" w:rsidP="00CA61A8">
      <w:pPr>
        <w:spacing w:line="276" w:lineRule="auto"/>
        <w:jc w:val="both"/>
        <w:rPr>
          <w:rFonts w:ascii="Arial" w:hAnsi="Arial" w:cs="Arial"/>
          <w:sz w:val="24"/>
          <w:szCs w:val="24"/>
          <w:lang w:val="en-US"/>
        </w:rPr>
      </w:pPr>
      <w:r>
        <w:rPr>
          <w:rFonts w:ascii="Arial" w:hAnsi="Arial" w:cs="Arial"/>
          <w:sz w:val="24"/>
          <w:szCs w:val="24"/>
          <w:lang w:val="en-US"/>
        </w:rPr>
        <w:t>The objective of the microbiological food safety research themes is to provide robust information on the presence, growth, survival and elimination of pathogenic microorganisms throughout the food chain; the extent, distribution, causes, risks and cost of foodborne disease will also be considered where appropriate.</w:t>
      </w:r>
    </w:p>
    <w:p w14:paraId="4E59227A" w14:textId="77777777" w:rsidR="00F64BEB" w:rsidRDefault="00F64BEB" w:rsidP="00CA61A8">
      <w:pPr>
        <w:spacing w:line="276" w:lineRule="auto"/>
        <w:jc w:val="both"/>
        <w:rPr>
          <w:rFonts w:ascii="Arial" w:hAnsi="Arial" w:cs="Arial"/>
          <w:sz w:val="24"/>
          <w:szCs w:val="24"/>
          <w:lang w:val="en-US"/>
        </w:rPr>
      </w:pPr>
    </w:p>
    <w:p w14:paraId="4C8C800E" w14:textId="184B3D1E" w:rsidR="00F64BEB" w:rsidRDefault="00F64BEB" w:rsidP="005F7F2B">
      <w:pPr>
        <w:spacing w:line="276" w:lineRule="auto"/>
        <w:jc w:val="both"/>
        <w:rPr>
          <w:rFonts w:ascii="Arial" w:hAnsi="Arial" w:cs="Arial"/>
          <w:sz w:val="24"/>
          <w:szCs w:val="24"/>
          <w:lang w:val="en-US"/>
        </w:rPr>
      </w:pPr>
      <w:r>
        <w:rPr>
          <w:rFonts w:ascii="Arial" w:hAnsi="Arial" w:cs="Arial"/>
          <w:sz w:val="24"/>
          <w:szCs w:val="24"/>
          <w:lang w:val="en-US"/>
        </w:rPr>
        <w:t xml:space="preserve">The main objective from the FSA’s Strategic Plan for 2015-2020 is to protect public health from risks which may arise </w:t>
      </w:r>
      <w:r w:rsidR="00D64D0D">
        <w:rPr>
          <w:rFonts w:ascii="Arial" w:hAnsi="Arial" w:cs="Arial"/>
          <w:sz w:val="24"/>
          <w:szCs w:val="24"/>
          <w:lang w:val="en-US"/>
        </w:rPr>
        <w:t xml:space="preserve">through </w:t>
      </w:r>
      <w:r>
        <w:rPr>
          <w:rFonts w:ascii="Arial" w:hAnsi="Arial" w:cs="Arial"/>
          <w:sz w:val="24"/>
          <w:szCs w:val="24"/>
          <w:lang w:val="en-US"/>
        </w:rPr>
        <w:t xml:space="preserve">the consumption of food (including risks caused by the way in which it is produced or supplied) and otherwise to protect the interest of consumers in relation to food.  This would include the reduction of </w:t>
      </w:r>
      <w:r w:rsidRPr="00F64BEB">
        <w:rPr>
          <w:rFonts w:ascii="Arial" w:hAnsi="Arial" w:cs="Arial"/>
          <w:sz w:val="24"/>
          <w:szCs w:val="24"/>
          <w:lang w:val="en-US"/>
        </w:rPr>
        <w:t xml:space="preserve">foodborne disease to ensure ‘food is safe’.  This proposed study </w:t>
      </w:r>
      <w:r w:rsidR="00DC5A85">
        <w:rPr>
          <w:rFonts w:ascii="Arial" w:hAnsi="Arial" w:cs="Arial"/>
          <w:sz w:val="24"/>
          <w:szCs w:val="24"/>
          <w:lang w:val="en-US"/>
        </w:rPr>
        <w:t>will</w:t>
      </w:r>
      <w:r w:rsidR="00F150D6">
        <w:rPr>
          <w:rFonts w:ascii="Arial" w:hAnsi="Arial" w:cs="Arial"/>
          <w:sz w:val="24"/>
          <w:szCs w:val="24"/>
          <w:lang w:val="en-US"/>
        </w:rPr>
        <w:t xml:space="preserve"> </w:t>
      </w:r>
      <w:r w:rsidR="00B37963">
        <w:rPr>
          <w:rFonts w:ascii="Arial" w:hAnsi="Arial" w:cs="Arial"/>
          <w:sz w:val="24"/>
          <w:szCs w:val="24"/>
          <w:lang w:val="en-US"/>
        </w:rPr>
        <w:t xml:space="preserve">assess the impact food processing has on the presence </w:t>
      </w:r>
      <w:r w:rsidR="00B931CE">
        <w:rPr>
          <w:rFonts w:ascii="Arial" w:hAnsi="Arial" w:cs="Arial"/>
          <w:sz w:val="24"/>
          <w:szCs w:val="24"/>
          <w:lang w:val="en-US"/>
        </w:rPr>
        <w:t xml:space="preserve">and spread </w:t>
      </w:r>
      <w:r w:rsidR="00B37963">
        <w:rPr>
          <w:rFonts w:ascii="Arial" w:hAnsi="Arial" w:cs="Arial"/>
          <w:sz w:val="24"/>
          <w:szCs w:val="24"/>
          <w:lang w:val="en-US"/>
        </w:rPr>
        <w:t xml:space="preserve">of antimicrobial resistance </w:t>
      </w:r>
      <w:r w:rsidR="00B931CE">
        <w:rPr>
          <w:rFonts w:ascii="Arial" w:hAnsi="Arial" w:cs="Arial"/>
          <w:sz w:val="24"/>
          <w:szCs w:val="24"/>
          <w:lang w:val="en-US"/>
        </w:rPr>
        <w:t xml:space="preserve">(AMR) </w:t>
      </w:r>
      <w:r w:rsidR="00B37963">
        <w:rPr>
          <w:rFonts w:ascii="Arial" w:hAnsi="Arial" w:cs="Arial"/>
          <w:sz w:val="24"/>
          <w:szCs w:val="24"/>
          <w:lang w:val="en-US"/>
        </w:rPr>
        <w:t>in bacteria in meat</w:t>
      </w:r>
      <w:r w:rsidR="00253A94">
        <w:rPr>
          <w:rFonts w:ascii="Arial" w:hAnsi="Arial" w:cs="Arial"/>
          <w:sz w:val="24"/>
          <w:szCs w:val="24"/>
          <w:lang w:val="en-US"/>
        </w:rPr>
        <w:t xml:space="preserve"> and meat products</w:t>
      </w:r>
      <w:r w:rsidR="00F150D6">
        <w:rPr>
          <w:rFonts w:ascii="Arial" w:hAnsi="Arial" w:cs="Arial"/>
          <w:sz w:val="24"/>
          <w:szCs w:val="24"/>
          <w:lang w:val="en-US"/>
        </w:rPr>
        <w:t>.</w:t>
      </w:r>
      <w:r>
        <w:rPr>
          <w:rFonts w:ascii="Arial" w:hAnsi="Arial" w:cs="Arial"/>
          <w:sz w:val="24"/>
          <w:szCs w:val="24"/>
          <w:lang w:val="en-US"/>
        </w:rPr>
        <w:t xml:space="preserve">  This is relevant to the FSA’s Science, Evidence and Information Strategy for 2015-2020 as the anticipated outputs will </w:t>
      </w:r>
      <w:r w:rsidR="007B5244">
        <w:rPr>
          <w:rFonts w:ascii="Arial" w:hAnsi="Arial" w:cs="Arial"/>
          <w:sz w:val="24"/>
          <w:szCs w:val="24"/>
          <w:lang w:val="en-US"/>
        </w:rPr>
        <w:t xml:space="preserve">contribute to </w:t>
      </w:r>
      <w:r w:rsidR="000F2258">
        <w:rPr>
          <w:rFonts w:ascii="Arial" w:hAnsi="Arial" w:cs="Arial"/>
          <w:sz w:val="24"/>
          <w:szCs w:val="24"/>
          <w:lang w:val="en-US"/>
        </w:rPr>
        <w:t>our un</w:t>
      </w:r>
      <w:r w:rsidR="001D6672">
        <w:rPr>
          <w:rFonts w:ascii="Arial" w:hAnsi="Arial" w:cs="Arial"/>
          <w:sz w:val="24"/>
          <w:szCs w:val="24"/>
          <w:lang w:val="en-US"/>
        </w:rPr>
        <w:t xml:space="preserve">derstanding of AMR and food and </w:t>
      </w:r>
      <w:r w:rsidR="005F7F2B">
        <w:rPr>
          <w:rFonts w:ascii="Arial" w:hAnsi="Arial" w:cs="Arial"/>
          <w:sz w:val="24"/>
          <w:szCs w:val="24"/>
          <w:lang w:val="en-US"/>
        </w:rPr>
        <w:t xml:space="preserve">help identify and fill current gaps in knowledge in </w:t>
      </w:r>
      <w:r w:rsidR="005F7F2B">
        <w:rPr>
          <w:rFonts w:ascii="Arial" w:hAnsi="Arial" w:cs="Arial"/>
          <w:sz w:val="24"/>
          <w:szCs w:val="24"/>
          <w:lang w:val="en-US"/>
        </w:rPr>
        <w:lastRenderedPageBreak/>
        <w:t>this area to</w:t>
      </w:r>
      <w:r w:rsidR="000F2258">
        <w:rPr>
          <w:rFonts w:ascii="Arial" w:hAnsi="Arial" w:cs="Arial"/>
          <w:sz w:val="24"/>
          <w:szCs w:val="24"/>
          <w:lang w:val="en-US"/>
        </w:rPr>
        <w:t xml:space="preserve"> inform</w:t>
      </w:r>
      <w:r w:rsidR="005F7F2B">
        <w:rPr>
          <w:rFonts w:ascii="Arial" w:hAnsi="Arial" w:cs="Arial"/>
          <w:sz w:val="24"/>
          <w:szCs w:val="24"/>
          <w:lang w:val="en-US"/>
        </w:rPr>
        <w:t xml:space="preserve"> future </w:t>
      </w:r>
      <w:r w:rsidR="007B5244">
        <w:rPr>
          <w:rFonts w:ascii="Arial" w:hAnsi="Arial" w:cs="Arial"/>
          <w:sz w:val="24"/>
          <w:szCs w:val="24"/>
          <w:lang w:val="en-US"/>
        </w:rPr>
        <w:t>risk assessment</w:t>
      </w:r>
      <w:r w:rsidR="005F7F2B">
        <w:rPr>
          <w:rFonts w:ascii="Arial" w:hAnsi="Arial" w:cs="Arial"/>
          <w:sz w:val="24"/>
          <w:szCs w:val="24"/>
          <w:lang w:val="en-US"/>
        </w:rPr>
        <w:t>s on</w:t>
      </w:r>
      <w:r w:rsidR="007B5244">
        <w:rPr>
          <w:rFonts w:ascii="Arial" w:hAnsi="Arial" w:cs="Arial"/>
          <w:sz w:val="24"/>
          <w:szCs w:val="24"/>
          <w:lang w:val="en-US"/>
        </w:rPr>
        <w:t xml:space="preserve"> AMR</w:t>
      </w:r>
      <w:r w:rsidR="005F7F2B">
        <w:rPr>
          <w:rFonts w:ascii="Arial" w:hAnsi="Arial" w:cs="Arial"/>
          <w:sz w:val="24"/>
          <w:szCs w:val="24"/>
          <w:lang w:val="en-US"/>
        </w:rPr>
        <w:t xml:space="preserve"> and identify where further research is required.</w:t>
      </w:r>
    </w:p>
    <w:p w14:paraId="45197BD7" w14:textId="77777777" w:rsidR="005F7F2B" w:rsidRDefault="005F7F2B" w:rsidP="005F7F2B">
      <w:pPr>
        <w:spacing w:line="276" w:lineRule="auto"/>
        <w:jc w:val="both"/>
        <w:rPr>
          <w:rFonts w:ascii="Arial" w:hAnsi="Arial" w:cs="Arial"/>
          <w:sz w:val="24"/>
          <w:szCs w:val="24"/>
          <w:lang w:val="en-US"/>
        </w:rPr>
      </w:pPr>
    </w:p>
    <w:p w14:paraId="7DB0D060" w14:textId="77777777" w:rsidR="00F64BEB" w:rsidRPr="007B5244" w:rsidRDefault="00522A51" w:rsidP="00F64BEB">
      <w:pPr>
        <w:spacing w:line="240" w:lineRule="auto"/>
        <w:jc w:val="both"/>
        <w:rPr>
          <w:rFonts w:ascii="Arial" w:hAnsi="Arial" w:cs="Arial"/>
          <w:b/>
          <w:color w:val="FF0000"/>
          <w:sz w:val="24"/>
          <w:szCs w:val="24"/>
          <w:lang w:val="en-US"/>
        </w:rPr>
      </w:pPr>
      <w:r>
        <w:rPr>
          <w:rFonts w:ascii="Arial" w:hAnsi="Arial" w:cs="Arial"/>
          <w:sz w:val="24"/>
          <w:szCs w:val="24"/>
          <w:lang w:val="en-US"/>
        </w:rPr>
        <w:t>Whilst AMR is not explicit in the FSA’s new strategy for 2015-2020, it does highlight the importance of food being safe and consumers having the right to be protected from an unacceptable level of risk.  This could include hazards involving AMR.</w:t>
      </w:r>
    </w:p>
    <w:p w14:paraId="0336FAF3" w14:textId="77777777" w:rsidR="0042091F" w:rsidRPr="00BE3C10" w:rsidRDefault="0042091F" w:rsidP="00211416">
      <w:pPr>
        <w:spacing w:line="276" w:lineRule="auto"/>
        <w:rPr>
          <w:rFonts w:ascii="Arial" w:hAnsi="Arial" w:cs="Arial"/>
          <w:sz w:val="24"/>
          <w:szCs w:val="24"/>
          <w:lang w:val="en-US"/>
        </w:rPr>
      </w:pPr>
    </w:p>
    <w:p w14:paraId="6F45EA5B" w14:textId="77777777" w:rsidR="00063AF6" w:rsidRDefault="00D00C38" w:rsidP="00211416">
      <w:pPr>
        <w:spacing w:line="240" w:lineRule="auto"/>
        <w:rPr>
          <w:rFonts w:ascii="Arial" w:hAnsi="Arial" w:cs="Arial"/>
          <w:b/>
          <w:sz w:val="24"/>
          <w:szCs w:val="24"/>
        </w:rPr>
      </w:pPr>
      <w:r w:rsidRPr="00BE3C10">
        <w:rPr>
          <w:rFonts w:ascii="Arial" w:hAnsi="Arial" w:cs="Arial"/>
          <w:b/>
          <w:sz w:val="24"/>
          <w:szCs w:val="24"/>
        </w:rPr>
        <w:t>A. THE SPECIFICATION</w:t>
      </w:r>
      <w:r w:rsidR="00B95826">
        <w:rPr>
          <w:rFonts w:ascii="Arial" w:hAnsi="Arial" w:cs="Arial"/>
          <w:b/>
          <w:sz w:val="24"/>
          <w:szCs w:val="24"/>
        </w:rPr>
        <w:t xml:space="preserve"> </w:t>
      </w:r>
    </w:p>
    <w:p w14:paraId="683C9A19" w14:textId="77777777" w:rsidR="00AD5AFB" w:rsidRDefault="00AD5AFB" w:rsidP="00211416">
      <w:pPr>
        <w:spacing w:line="240" w:lineRule="auto"/>
        <w:jc w:val="both"/>
        <w:rPr>
          <w:rFonts w:ascii="Arial" w:hAnsi="Arial" w:cs="Arial"/>
          <w:b/>
          <w:sz w:val="24"/>
          <w:szCs w:val="24"/>
        </w:rPr>
      </w:pPr>
    </w:p>
    <w:p w14:paraId="77F0975B" w14:textId="77777777" w:rsidR="00CC6057" w:rsidRDefault="001D772B" w:rsidP="00211416">
      <w:pPr>
        <w:spacing w:line="240" w:lineRule="auto"/>
        <w:jc w:val="both"/>
        <w:rPr>
          <w:rFonts w:ascii="Arial" w:hAnsi="Arial" w:cs="Arial"/>
          <w:b/>
          <w:sz w:val="24"/>
          <w:szCs w:val="24"/>
        </w:rPr>
      </w:pPr>
      <w:r>
        <w:rPr>
          <w:rFonts w:ascii="Arial" w:hAnsi="Arial" w:cs="Arial"/>
          <w:b/>
          <w:sz w:val="24"/>
          <w:szCs w:val="24"/>
        </w:rPr>
        <w:t>Background</w:t>
      </w:r>
    </w:p>
    <w:p w14:paraId="63EB7BF0" w14:textId="77777777" w:rsidR="00B04C8E" w:rsidRDefault="00B04C8E" w:rsidP="00211416">
      <w:pPr>
        <w:spacing w:line="240" w:lineRule="auto"/>
        <w:jc w:val="both"/>
        <w:rPr>
          <w:rFonts w:ascii="Arial" w:hAnsi="Arial" w:cs="Arial"/>
          <w:b/>
          <w:sz w:val="24"/>
          <w:szCs w:val="24"/>
        </w:rPr>
      </w:pPr>
    </w:p>
    <w:p w14:paraId="5BFE8605" w14:textId="6326B830" w:rsidR="0014343D" w:rsidRDefault="00522A51" w:rsidP="00211416">
      <w:pPr>
        <w:spacing w:line="240" w:lineRule="auto"/>
        <w:jc w:val="both"/>
        <w:rPr>
          <w:rFonts w:ascii="Arial" w:hAnsi="Arial" w:cs="Arial"/>
          <w:sz w:val="24"/>
          <w:szCs w:val="24"/>
        </w:rPr>
      </w:pPr>
      <w:r>
        <w:rPr>
          <w:rFonts w:ascii="Arial" w:hAnsi="Arial" w:cs="Arial"/>
          <w:sz w:val="24"/>
          <w:szCs w:val="24"/>
        </w:rPr>
        <w:t xml:space="preserve">Antimicrobial resistance (AMR) </w:t>
      </w:r>
      <w:r w:rsidR="0014343D">
        <w:rPr>
          <w:rFonts w:ascii="Arial" w:hAnsi="Arial" w:cs="Arial"/>
          <w:sz w:val="24"/>
          <w:szCs w:val="24"/>
        </w:rPr>
        <w:t xml:space="preserve">threatens the effective treatment of an increasing range of infections and has become a global public health concern.  It has been estimated that the global impact of AMR could be 10 million deaths annually by 2050, and cost up to US $100 trillion in cumulative lost economic output </w:t>
      </w:r>
      <w:r w:rsidR="0014343D" w:rsidRPr="00A73AE3">
        <w:rPr>
          <w:rFonts w:ascii="Arial" w:hAnsi="Arial" w:cs="Arial"/>
          <w:sz w:val="24"/>
          <w:szCs w:val="24"/>
        </w:rPr>
        <w:t>(O’Neill Report, 2014)</w:t>
      </w:r>
      <w:r w:rsidR="0014343D">
        <w:rPr>
          <w:rFonts w:ascii="Arial" w:hAnsi="Arial" w:cs="Arial"/>
          <w:sz w:val="24"/>
          <w:szCs w:val="24"/>
        </w:rPr>
        <w:t>.  The FSA works to protect consumer interests in relation to food.  As part of that mandate, the role that food plays in the problem of AMR is of concern and one of the areas where relatively little is known is the impact food processing has on the presence and spread of AMR bacteria in meat</w:t>
      </w:r>
      <w:r w:rsidR="00253A94">
        <w:rPr>
          <w:rFonts w:ascii="Arial" w:hAnsi="Arial" w:cs="Arial"/>
          <w:sz w:val="24"/>
          <w:szCs w:val="24"/>
        </w:rPr>
        <w:t xml:space="preserve"> and meat products</w:t>
      </w:r>
      <w:r w:rsidR="0014343D">
        <w:rPr>
          <w:rFonts w:ascii="Arial" w:hAnsi="Arial" w:cs="Arial"/>
          <w:sz w:val="24"/>
          <w:szCs w:val="24"/>
        </w:rPr>
        <w:t>.</w:t>
      </w:r>
    </w:p>
    <w:p w14:paraId="5F40F2EE" w14:textId="6F6A637D" w:rsidR="000D6475" w:rsidRDefault="000D6475" w:rsidP="00211416">
      <w:pPr>
        <w:spacing w:line="240" w:lineRule="auto"/>
        <w:jc w:val="both"/>
        <w:rPr>
          <w:rFonts w:ascii="Arial" w:hAnsi="Arial" w:cs="Arial"/>
          <w:sz w:val="24"/>
          <w:szCs w:val="24"/>
        </w:rPr>
      </w:pPr>
    </w:p>
    <w:p w14:paraId="59B48800" w14:textId="60AA594D" w:rsidR="000D6475" w:rsidRDefault="00572A9F" w:rsidP="00211416">
      <w:pPr>
        <w:spacing w:line="240" w:lineRule="auto"/>
        <w:jc w:val="both"/>
        <w:rPr>
          <w:rFonts w:ascii="Arial" w:hAnsi="Arial" w:cs="Arial"/>
          <w:sz w:val="24"/>
          <w:szCs w:val="24"/>
        </w:rPr>
      </w:pPr>
      <w:r>
        <w:rPr>
          <w:rFonts w:ascii="Arial" w:hAnsi="Arial" w:cs="Arial"/>
          <w:sz w:val="24"/>
          <w:szCs w:val="24"/>
        </w:rPr>
        <w:t>Addressing the threat of AMR is a priority for the UK Government and the devolved administrations, which are committed to an integrated approach at national and international levels, through actions set out in the UK Five Year Antimicrobial Resistance Strategy</w:t>
      </w:r>
      <w:r w:rsidR="00F5369B">
        <w:rPr>
          <w:rFonts w:ascii="Arial" w:hAnsi="Arial" w:cs="Arial"/>
          <w:sz w:val="24"/>
          <w:szCs w:val="24"/>
        </w:rPr>
        <w:t xml:space="preserve"> </w:t>
      </w:r>
      <w:r w:rsidR="00F5369B" w:rsidRPr="00A73AE3">
        <w:rPr>
          <w:rFonts w:ascii="Arial" w:hAnsi="Arial" w:cs="Arial"/>
          <w:sz w:val="24"/>
          <w:szCs w:val="24"/>
        </w:rPr>
        <w:t>(DH, 2013)</w:t>
      </w:r>
      <w:r w:rsidRPr="00A73AE3">
        <w:rPr>
          <w:rFonts w:ascii="Arial" w:hAnsi="Arial" w:cs="Arial"/>
          <w:sz w:val="24"/>
          <w:szCs w:val="24"/>
        </w:rPr>
        <w:t>.</w:t>
      </w:r>
      <w:r>
        <w:rPr>
          <w:rFonts w:ascii="Arial" w:hAnsi="Arial" w:cs="Arial"/>
          <w:sz w:val="24"/>
          <w:szCs w:val="24"/>
        </w:rPr>
        <w:t xml:space="preserve">  This strategy aim</w:t>
      </w:r>
      <w:r w:rsidR="00142DB5">
        <w:rPr>
          <w:rFonts w:ascii="Arial" w:hAnsi="Arial" w:cs="Arial"/>
          <w:sz w:val="24"/>
          <w:szCs w:val="24"/>
        </w:rPr>
        <w:t>s</w:t>
      </w:r>
      <w:r w:rsidR="00821248">
        <w:rPr>
          <w:rFonts w:ascii="Arial" w:hAnsi="Arial" w:cs="Arial"/>
          <w:sz w:val="24"/>
          <w:szCs w:val="24"/>
        </w:rPr>
        <w:t xml:space="preserve"> to</w:t>
      </w:r>
      <w:r>
        <w:rPr>
          <w:rFonts w:ascii="Arial" w:hAnsi="Arial" w:cs="Arial"/>
          <w:sz w:val="24"/>
          <w:szCs w:val="24"/>
        </w:rPr>
        <w:t xml:space="preserve"> slow the development and spread of AMR</w:t>
      </w:r>
      <w:r w:rsidR="00142DB5">
        <w:rPr>
          <w:rFonts w:ascii="Arial" w:hAnsi="Arial" w:cs="Arial"/>
          <w:sz w:val="24"/>
          <w:szCs w:val="24"/>
        </w:rPr>
        <w:t xml:space="preserve"> and adopt</w:t>
      </w:r>
      <w:r w:rsidR="007A253F">
        <w:rPr>
          <w:rFonts w:ascii="Arial" w:hAnsi="Arial" w:cs="Arial"/>
          <w:sz w:val="24"/>
          <w:szCs w:val="24"/>
        </w:rPr>
        <w:t>s</w:t>
      </w:r>
      <w:r w:rsidR="00142DB5">
        <w:rPr>
          <w:rFonts w:ascii="Arial" w:hAnsi="Arial" w:cs="Arial"/>
          <w:sz w:val="24"/>
          <w:szCs w:val="24"/>
        </w:rPr>
        <w:t xml:space="preserve"> </w:t>
      </w:r>
      <w:r>
        <w:rPr>
          <w:rFonts w:ascii="Arial" w:hAnsi="Arial" w:cs="Arial"/>
          <w:sz w:val="24"/>
          <w:szCs w:val="24"/>
        </w:rPr>
        <w:t>a “One-Health” approach spanning people, animals, agriculture and the wider environment.  The FSA is contributing to the delivery of the strategy alongside other departments including DH, PHE, DEFRA</w:t>
      </w:r>
      <w:r w:rsidR="00253A94">
        <w:rPr>
          <w:rFonts w:ascii="Arial" w:hAnsi="Arial" w:cs="Arial"/>
          <w:sz w:val="24"/>
          <w:szCs w:val="24"/>
        </w:rPr>
        <w:t>, APHA</w:t>
      </w:r>
      <w:r>
        <w:rPr>
          <w:rFonts w:ascii="Arial" w:hAnsi="Arial" w:cs="Arial"/>
          <w:sz w:val="24"/>
          <w:szCs w:val="24"/>
        </w:rPr>
        <w:t xml:space="preserve"> and the VMD.  The FSA’s role is to contribute to reducing levels of AMR and specifically working to fully establish the link with food.  The strategy has the goal of slowing the development and spread of AMR, focussing action across all sectors on:</w:t>
      </w:r>
    </w:p>
    <w:p w14:paraId="6CBB2D46" w14:textId="719A0F3B" w:rsidR="00572A9F" w:rsidRDefault="00572A9F" w:rsidP="00211416">
      <w:pPr>
        <w:spacing w:line="240" w:lineRule="auto"/>
        <w:jc w:val="both"/>
        <w:rPr>
          <w:rFonts w:ascii="Arial" w:hAnsi="Arial" w:cs="Arial"/>
          <w:sz w:val="24"/>
          <w:szCs w:val="24"/>
        </w:rPr>
      </w:pPr>
    </w:p>
    <w:p w14:paraId="3E473C06" w14:textId="414F4DA2" w:rsidR="00572A9F" w:rsidRDefault="00572A9F" w:rsidP="00572A9F">
      <w:pPr>
        <w:pStyle w:val="ListParagraph"/>
        <w:numPr>
          <w:ilvl w:val="0"/>
          <w:numId w:val="48"/>
        </w:numPr>
        <w:spacing w:line="240" w:lineRule="auto"/>
        <w:jc w:val="both"/>
        <w:rPr>
          <w:rFonts w:ascii="Arial" w:hAnsi="Arial" w:cs="Arial"/>
          <w:sz w:val="24"/>
          <w:szCs w:val="24"/>
        </w:rPr>
      </w:pPr>
      <w:r>
        <w:rPr>
          <w:rFonts w:ascii="Arial" w:hAnsi="Arial" w:cs="Arial"/>
          <w:sz w:val="24"/>
          <w:szCs w:val="24"/>
        </w:rPr>
        <w:t>Improving the knowledge and understanding of AMR</w:t>
      </w:r>
    </w:p>
    <w:p w14:paraId="1A6212A6" w14:textId="754AE864" w:rsidR="00572A9F" w:rsidRDefault="00572A9F" w:rsidP="00572A9F">
      <w:pPr>
        <w:pStyle w:val="ListParagraph"/>
        <w:numPr>
          <w:ilvl w:val="0"/>
          <w:numId w:val="48"/>
        </w:numPr>
        <w:spacing w:line="240" w:lineRule="auto"/>
        <w:jc w:val="both"/>
        <w:rPr>
          <w:rFonts w:ascii="Arial" w:hAnsi="Arial" w:cs="Arial"/>
          <w:sz w:val="24"/>
          <w:szCs w:val="24"/>
        </w:rPr>
      </w:pPr>
      <w:r>
        <w:rPr>
          <w:rFonts w:ascii="Arial" w:hAnsi="Arial" w:cs="Arial"/>
          <w:sz w:val="24"/>
          <w:szCs w:val="24"/>
        </w:rPr>
        <w:t>Conservation and stewardship of the effectiveness of existing treatments, and</w:t>
      </w:r>
    </w:p>
    <w:p w14:paraId="55C2286E" w14:textId="6C4017D0" w:rsidR="00572A9F" w:rsidRDefault="00572A9F" w:rsidP="00572A9F">
      <w:pPr>
        <w:pStyle w:val="ListParagraph"/>
        <w:numPr>
          <w:ilvl w:val="0"/>
          <w:numId w:val="48"/>
        </w:numPr>
        <w:spacing w:line="240" w:lineRule="auto"/>
        <w:jc w:val="both"/>
        <w:rPr>
          <w:rFonts w:ascii="Arial" w:hAnsi="Arial" w:cs="Arial"/>
          <w:sz w:val="24"/>
          <w:szCs w:val="24"/>
        </w:rPr>
      </w:pPr>
      <w:r>
        <w:rPr>
          <w:rFonts w:ascii="Arial" w:hAnsi="Arial" w:cs="Arial"/>
          <w:sz w:val="24"/>
          <w:szCs w:val="24"/>
        </w:rPr>
        <w:t>Stimulating the development of new antibiotics, diagnostics and novel therapies.</w:t>
      </w:r>
    </w:p>
    <w:p w14:paraId="71DE6F62" w14:textId="2767DECE" w:rsidR="00572A9F" w:rsidRDefault="00572A9F" w:rsidP="00572A9F">
      <w:pPr>
        <w:spacing w:line="240" w:lineRule="auto"/>
        <w:jc w:val="both"/>
        <w:rPr>
          <w:rFonts w:ascii="Arial" w:hAnsi="Arial" w:cs="Arial"/>
          <w:sz w:val="24"/>
          <w:szCs w:val="24"/>
        </w:rPr>
      </w:pPr>
    </w:p>
    <w:p w14:paraId="56DB5DDA" w14:textId="0D2CFD49" w:rsidR="00572A9F" w:rsidRDefault="00572A9F" w:rsidP="00572A9F">
      <w:pPr>
        <w:spacing w:line="240" w:lineRule="auto"/>
        <w:jc w:val="both"/>
        <w:rPr>
          <w:rFonts w:ascii="Arial" w:hAnsi="Arial" w:cs="Arial"/>
          <w:sz w:val="24"/>
          <w:szCs w:val="24"/>
        </w:rPr>
      </w:pPr>
      <w:r>
        <w:rPr>
          <w:rFonts w:ascii="Arial" w:hAnsi="Arial" w:cs="Arial"/>
          <w:sz w:val="24"/>
          <w:szCs w:val="24"/>
        </w:rPr>
        <w:t>The FSA has a role in the first two of these areas through furthering our understanding of the role of the food chain and AMR, encouraging momentum in the food industry to reduce usage of antimicrobials where possible and not using them as a substitute for poor hygiene.</w:t>
      </w:r>
    </w:p>
    <w:p w14:paraId="11FD8A27" w14:textId="66A0F484" w:rsidR="007B4586" w:rsidRDefault="007B4586" w:rsidP="00572A9F">
      <w:pPr>
        <w:spacing w:line="240" w:lineRule="auto"/>
        <w:jc w:val="both"/>
        <w:rPr>
          <w:rFonts w:ascii="Arial" w:hAnsi="Arial" w:cs="Arial"/>
          <w:sz w:val="24"/>
          <w:szCs w:val="24"/>
        </w:rPr>
      </w:pPr>
    </w:p>
    <w:p w14:paraId="77ACCD4A" w14:textId="6CD1AFCA" w:rsidR="0014343D" w:rsidRDefault="007B4586" w:rsidP="00211416">
      <w:pPr>
        <w:spacing w:line="240" w:lineRule="auto"/>
        <w:jc w:val="both"/>
        <w:rPr>
          <w:rFonts w:ascii="Arial" w:hAnsi="Arial" w:cs="Arial"/>
          <w:sz w:val="24"/>
          <w:szCs w:val="24"/>
        </w:rPr>
      </w:pPr>
      <w:r>
        <w:rPr>
          <w:rFonts w:ascii="Arial" w:hAnsi="Arial" w:cs="Arial"/>
          <w:sz w:val="24"/>
          <w:szCs w:val="24"/>
        </w:rPr>
        <w:t xml:space="preserve">The FSA established a ‘Task &amp; Finish’ Group in March 2017 drawing on experts from the </w:t>
      </w:r>
      <w:r w:rsidR="007A253F">
        <w:rPr>
          <w:rFonts w:ascii="Arial" w:hAnsi="Arial" w:cs="Arial"/>
          <w:sz w:val="24"/>
          <w:szCs w:val="24"/>
        </w:rPr>
        <w:t>Advisory Committee on the Microbiological Safety of Food (</w:t>
      </w:r>
      <w:r>
        <w:rPr>
          <w:rFonts w:ascii="Arial" w:hAnsi="Arial" w:cs="Arial"/>
          <w:sz w:val="24"/>
          <w:szCs w:val="24"/>
        </w:rPr>
        <w:t>ACMSF</w:t>
      </w:r>
      <w:r w:rsidR="007A253F">
        <w:rPr>
          <w:rFonts w:ascii="Arial" w:hAnsi="Arial" w:cs="Arial"/>
          <w:sz w:val="24"/>
          <w:szCs w:val="24"/>
        </w:rPr>
        <w:t>)</w:t>
      </w:r>
      <w:r>
        <w:rPr>
          <w:rFonts w:ascii="Arial" w:hAnsi="Arial" w:cs="Arial"/>
          <w:sz w:val="24"/>
          <w:szCs w:val="24"/>
        </w:rPr>
        <w:t xml:space="preserve"> AMR Working Group together with additional expertise from academia and PHE.  The objectives of this group were to decrease uncertainty about any linkage between use of antimicrobials in food production, the incidence of AMR in pathogens and commensals </w:t>
      </w:r>
      <w:r>
        <w:rPr>
          <w:rFonts w:ascii="Arial" w:hAnsi="Arial" w:cs="Arial"/>
          <w:sz w:val="24"/>
          <w:szCs w:val="24"/>
        </w:rPr>
        <w:lastRenderedPageBreak/>
        <w:t>in food production, and the growing AMR-related public health burden, and allow us to model the impacts of changes in use of antimicrobials in food production.  A paper was presented</w:t>
      </w:r>
      <w:r w:rsidR="002E19F0">
        <w:rPr>
          <w:rFonts w:ascii="Arial" w:hAnsi="Arial" w:cs="Arial"/>
          <w:sz w:val="24"/>
          <w:szCs w:val="24"/>
        </w:rPr>
        <w:t xml:space="preserve"> to ACMSF in January 2018 and one of the areas highlighted by this group, w</w:t>
      </w:r>
      <w:r w:rsidR="00504172">
        <w:rPr>
          <w:rFonts w:ascii="Arial" w:hAnsi="Arial" w:cs="Arial"/>
          <w:sz w:val="24"/>
          <w:szCs w:val="24"/>
        </w:rPr>
        <w:t xml:space="preserve">as that </w:t>
      </w:r>
      <w:r w:rsidR="002E19F0">
        <w:rPr>
          <w:rFonts w:ascii="Arial" w:hAnsi="Arial" w:cs="Arial"/>
          <w:sz w:val="24"/>
          <w:szCs w:val="24"/>
        </w:rPr>
        <w:t xml:space="preserve">there is currently a gap in our knowledge and further research </w:t>
      </w:r>
      <w:r w:rsidR="00504172">
        <w:rPr>
          <w:rFonts w:ascii="Arial" w:hAnsi="Arial" w:cs="Arial"/>
          <w:sz w:val="24"/>
          <w:szCs w:val="24"/>
        </w:rPr>
        <w:t xml:space="preserve">is </w:t>
      </w:r>
      <w:r w:rsidR="002E19F0">
        <w:rPr>
          <w:rFonts w:ascii="Arial" w:hAnsi="Arial" w:cs="Arial"/>
          <w:sz w:val="24"/>
          <w:szCs w:val="24"/>
        </w:rPr>
        <w:t>required, relat</w:t>
      </w:r>
      <w:r w:rsidR="00504172">
        <w:rPr>
          <w:rFonts w:ascii="Arial" w:hAnsi="Arial" w:cs="Arial"/>
          <w:sz w:val="24"/>
          <w:szCs w:val="24"/>
        </w:rPr>
        <w:t xml:space="preserve">ing </w:t>
      </w:r>
      <w:r w:rsidR="002E19F0">
        <w:rPr>
          <w:rFonts w:ascii="Arial" w:hAnsi="Arial" w:cs="Arial"/>
          <w:sz w:val="24"/>
          <w:szCs w:val="24"/>
        </w:rPr>
        <w:t>to the impact that food processin</w:t>
      </w:r>
      <w:r w:rsidR="00821248">
        <w:rPr>
          <w:rFonts w:ascii="Arial" w:hAnsi="Arial" w:cs="Arial"/>
          <w:sz w:val="24"/>
          <w:szCs w:val="24"/>
        </w:rPr>
        <w:t>g has on AMR bacteria in meat</w:t>
      </w:r>
      <w:r w:rsidR="00253A94">
        <w:rPr>
          <w:rFonts w:ascii="Arial" w:hAnsi="Arial" w:cs="Arial"/>
          <w:sz w:val="24"/>
          <w:szCs w:val="24"/>
        </w:rPr>
        <w:t xml:space="preserve"> and meat products</w:t>
      </w:r>
      <w:r w:rsidR="00187D72">
        <w:rPr>
          <w:rFonts w:ascii="Arial" w:hAnsi="Arial" w:cs="Arial"/>
          <w:sz w:val="24"/>
          <w:szCs w:val="24"/>
        </w:rPr>
        <w:t>.</w:t>
      </w:r>
    </w:p>
    <w:p w14:paraId="3B4C969B" w14:textId="77777777" w:rsidR="0014343D" w:rsidRDefault="0014343D" w:rsidP="00211416">
      <w:pPr>
        <w:spacing w:line="240" w:lineRule="auto"/>
        <w:jc w:val="both"/>
        <w:rPr>
          <w:rFonts w:ascii="Arial" w:hAnsi="Arial" w:cs="Arial"/>
          <w:sz w:val="24"/>
          <w:szCs w:val="24"/>
        </w:rPr>
      </w:pPr>
    </w:p>
    <w:p w14:paraId="3203E1B5" w14:textId="40C0E453" w:rsidR="00712703" w:rsidRDefault="002E19F0" w:rsidP="00211416">
      <w:pPr>
        <w:spacing w:line="240" w:lineRule="auto"/>
        <w:jc w:val="both"/>
        <w:rPr>
          <w:rFonts w:ascii="Arial" w:hAnsi="Arial" w:cs="Arial"/>
          <w:sz w:val="24"/>
          <w:szCs w:val="24"/>
        </w:rPr>
      </w:pPr>
      <w:r>
        <w:rPr>
          <w:rFonts w:ascii="Arial" w:hAnsi="Arial" w:cs="Arial"/>
          <w:sz w:val="24"/>
          <w:szCs w:val="24"/>
        </w:rPr>
        <w:t>A FSA-funded systematic review on AMR found that there is a lack of prevalence data</w:t>
      </w:r>
      <w:r w:rsidR="00253A94">
        <w:rPr>
          <w:rFonts w:ascii="Arial" w:hAnsi="Arial" w:cs="Arial"/>
          <w:sz w:val="24"/>
          <w:szCs w:val="24"/>
        </w:rPr>
        <w:t xml:space="preserve"> in retail foods, </w:t>
      </w:r>
      <w:proofErr w:type="gramStart"/>
      <w:r w:rsidR="00253A94">
        <w:rPr>
          <w:rFonts w:ascii="Arial" w:hAnsi="Arial" w:cs="Arial"/>
          <w:sz w:val="24"/>
          <w:szCs w:val="24"/>
        </w:rPr>
        <w:t>in particular</w:t>
      </w:r>
      <w:r>
        <w:rPr>
          <w:rFonts w:ascii="Arial" w:hAnsi="Arial" w:cs="Arial"/>
          <w:sz w:val="24"/>
          <w:szCs w:val="24"/>
        </w:rPr>
        <w:t xml:space="preserve"> raw</w:t>
      </w:r>
      <w:proofErr w:type="gramEnd"/>
      <w:r>
        <w:rPr>
          <w:rFonts w:ascii="Arial" w:hAnsi="Arial" w:cs="Arial"/>
          <w:sz w:val="24"/>
          <w:szCs w:val="24"/>
        </w:rPr>
        <w:t xml:space="preserve"> chicken and </w:t>
      </w:r>
      <w:r w:rsidRPr="00A73AE3">
        <w:rPr>
          <w:rFonts w:ascii="Arial" w:hAnsi="Arial" w:cs="Arial"/>
          <w:sz w:val="24"/>
          <w:szCs w:val="24"/>
        </w:rPr>
        <w:t>pork</w:t>
      </w:r>
      <w:r w:rsidR="00F5369B" w:rsidRPr="00A73AE3">
        <w:rPr>
          <w:rFonts w:ascii="Arial" w:hAnsi="Arial" w:cs="Arial"/>
          <w:sz w:val="24"/>
          <w:szCs w:val="24"/>
        </w:rPr>
        <w:t xml:space="preserve"> (FSA, 2016)</w:t>
      </w:r>
      <w:r w:rsidR="007A253F" w:rsidRPr="00A73AE3">
        <w:rPr>
          <w:rFonts w:ascii="Arial" w:hAnsi="Arial" w:cs="Arial"/>
          <w:sz w:val="24"/>
          <w:szCs w:val="24"/>
        </w:rPr>
        <w:t>.</w:t>
      </w:r>
      <w:r w:rsidR="007A253F" w:rsidDel="007A253F">
        <w:rPr>
          <w:rFonts w:ascii="Arial" w:hAnsi="Arial" w:cs="Arial"/>
          <w:sz w:val="24"/>
          <w:szCs w:val="24"/>
        </w:rPr>
        <w:t xml:space="preserve"> </w:t>
      </w:r>
    </w:p>
    <w:p w14:paraId="6FC79029" w14:textId="77777777" w:rsidR="00712703" w:rsidRDefault="00712703" w:rsidP="00211416">
      <w:pPr>
        <w:spacing w:line="240" w:lineRule="auto"/>
        <w:jc w:val="both"/>
        <w:rPr>
          <w:rFonts w:ascii="Arial" w:hAnsi="Arial" w:cs="Arial"/>
          <w:sz w:val="24"/>
          <w:szCs w:val="24"/>
        </w:rPr>
      </w:pPr>
    </w:p>
    <w:p w14:paraId="7BC90577" w14:textId="7EA35886" w:rsidR="00712703" w:rsidRDefault="002E19F0" w:rsidP="00211416">
      <w:pPr>
        <w:spacing w:line="240" w:lineRule="auto"/>
        <w:jc w:val="both"/>
        <w:rPr>
          <w:rFonts w:ascii="Arial" w:hAnsi="Arial" w:cs="Arial"/>
          <w:sz w:val="24"/>
          <w:szCs w:val="24"/>
        </w:rPr>
      </w:pPr>
      <w:r>
        <w:rPr>
          <w:rFonts w:ascii="Arial" w:hAnsi="Arial" w:cs="Arial"/>
          <w:sz w:val="24"/>
          <w:szCs w:val="24"/>
        </w:rPr>
        <w:t>Following the AMR systematic review</w:t>
      </w:r>
      <w:r w:rsidR="00504172">
        <w:rPr>
          <w:rFonts w:ascii="Arial" w:hAnsi="Arial" w:cs="Arial"/>
          <w:sz w:val="24"/>
          <w:szCs w:val="24"/>
        </w:rPr>
        <w:t xml:space="preserve">; </w:t>
      </w:r>
      <w:r>
        <w:rPr>
          <w:rFonts w:ascii="Arial" w:hAnsi="Arial" w:cs="Arial"/>
          <w:sz w:val="24"/>
          <w:szCs w:val="24"/>
        </w:rPr>
        <w:t>recommendation</w:t>
      </w:r>
      <w:r w:rsidR="00504172">
        <w:rPr>
          <w:rFonts w:ascii="Arial" w:hAnsi="Arial" w:cs="Arial"/>
          <w:sz w:val="24"/>
          <w:szCs w:val="24"/>
        </w:rPr>
        <w:t>s</w:t>
      </w:r>
      <w:r>
        <w:rPr>
          <w:rFonts w:ascii="Arial" w:hAnsi="Arial" w:cs="Arial"/>
          <w:sz w:val="24"/>
          <w:szCs w:val="24"/>
        </w:rPr>
        <w:t xml:space="preserve"> for further surveillance on AMR bacteria in chicken and pork on retail sale in the UK, the FSA commissioned a new survey to look at AMR in selected pathogens and commensal bacteria in fresh and frozen retai</w:t>
      </w:r>
      <w:r w:rsidR="00712703">
        <w:rPr>
          <w:rFonts w:ascii="Arial" w:hAnsi="Arial" w:cs="Arial"/>
          <w:sz w:val="24"/>
          <w:szCs w:val="24"/>
        </w:rPr>
        <w:t>l poultry meat and pork mince.</w:t>
      </w:r>
      <w:r w:rsidR="009045B2">
        <w:rPr>
          <w:rFonts w:ascii="Arial" w:hAnsi="Arial" w:cs="Arial"/>
          <w:sz w:val="24"/>
          <w:szCs w:val="24"/>
        </w:rPr>
        <w:t xml:space="preserve">  The report is expe</w:t>
      </w:r>
      <w:r w:rsidR="006F141C">
        <w:rPr>
          <w:rFonts w:ascii="Arial" w:hAnsi="Arial" w:cs="Arial"/>
          <w:sz w:val="24"/>
          <w:szCs w:val="24"/>
        </w:rPr>
        <w:t>cted to be published late Summer</w:t>
      </w:r>
      <w:r w:rsidR="009045B2">
        <w:rPr>
          <w:rFonts w:ascii="Arial" w:hAnsi="Arial" w:cs="Arial"/>
          <w:sz w:val="24"/>
          <w:szCs w:val="24"/>
        </w:rPr>
        <w:t xml:space="preserve"> 2018.</w:t>
      </w:r>
    </w:p>
    <w:p w14:paraId="771E0820" w14:textId="77777777" w:rsidR="00712703" w:rsidRDefault="00712703" w:rsidP="00211416">
      <w:pPr>
        <w:spacing w:line="240" w:lineRule="auto"/>
        <w:jc w:val="both"/>
        <w:rPr>
          <w:rFonts w:ascii="Arial" w:hAnsi="Arial" w:cs="Arial"/>
          <w:sz w:val="24"/>
          <w:szCs w:val="24"/>
        </w:rPr>
      </w:pPr>
    </w:p>
    <w:p w14:paraId="043A8291" w14:textId="341437DB" w:rsidR="006F4E5E" w:rsidRDefault="009045B2" w:rsidP="00211416">
      <w:pPr>
        <w:spacing w:line="240" w:lineRule="auto"/>
        <w:jc w:val="both"/>
        <w:rPr>
          <w:rFonts w:ascii="Arial" w:hAnsi="Arial" w:cs="Arial"/>
          <w:sz w:val="24"/>
          <w:szCs w:val="24"/>
        </w:rPr>
      </w:pPr>
      <w:r>
        <w:rPr>
          <w:rFonts w:ascii="Arial" w:hAnsi="Arial" w:cs="Arial"/>
          <w:sz w:val="24"/>
          <w:szCs w:val="24"/>
        </w:rPr>
        <w:t>Additional research and surveillance activities on AMR being carried out by the</w:t>
      </w:r>
      <w:r w:rsidR="00FB2C4F">
        <w:rPr>
          <w:rFonts w:ascii="Arial" w:hAnsi="Arial" w:cs="Arial"/>
          <w:sz w:val="24"/>
          <w:szCs w:val="24"/>
        </w:rPr>
        <w:t xml:space="preserve"> FSA</w:t>
      </w:r>
      <w:r>
        <w:rPr>
          <w:rFonts w:ascii="Arial" w:hAnsi="Arial" w:cs="Arial"/>
          <w:sz w:val="24"/>
          <w:szCs w:val="24"/>
        </w:rPr>
        <w:t xml:space="preserve"> includes the EU Harmonised Survey on AMR in Retail Meats</w:t>
      </w:r>
      <w:r w:rsidR="00FB2C4F">
        <w:rPr>
          <w:rFonts w:ascii="Arial" w:hAnsi="Arial" w:cs="Arial"/>
          <w:sz w:val="24"/>
          <w:szCs w:val="24"/>
        </w:rPr>
        <w:t xml:space="preserve">.  We are currently </w:t>
      </w:r>
      <w:r w:rsidR="00497F0A">
        <w:rPr>
          <w:rFonts w:ascii="Arial" w:hAnsi="Arial" w:cs="Arial"/>
          <w:sz w:val="24"/>
          <w:szCs w:val="24"/>
        </w:rPr>
        <w:t xml:space="preserve">funding </w:t>
      </w:r>
      <w:r w:rsidR="00FB2C4F">
        <w:rPr>
          <w:rFonts w:ascii="Arial" w:hAnsi="Arial" w:cs="Arial"/>
          <w:sz w:val="24"/>
          <w:szCs w:val="24"/>
        </w:rPr>
        <w:t xml:space="preserve">the </w:t>
      </w:r>
      <w:r w:rsidR="00F27E39">
        <w:rPr>
          <w:rFonts w:ascii="Arial" w:hAnsi="Arial" w:cs="Arial"/>
          <w:sz w:val="24"/>
          <w:szCs w:val="24"/>
        </w:rPr>
        <w:t>fourth</w:t>
      </w:r>
      <w:r w:rsidR="00FB2C4F">
        <w:rPr>
          <w:rFonts w:ascii="Arial" w:hAnsi="Arial" w:cs="Arial"/>
          <w:sz w:val="24"/>
          <w:szCs w:val="24"/>
        </w:rPr>
        <w:t xml:space="preserve"> year of th</w:t>
      </w:r>
      <w:r>
        <w:rPr>
          <w:rFonts w:ascii="Arial" w:hAnsi="Arial" w:cs="Arial"/>
          <w:sz w:val="24"/>
          <w:szCs w:val="24"/>
        </w:rPr>
        <w:t>is survey,</w:t>
      </w:r>
      <w:r w:rsidR="00FB2C4F">
        <w:rPr>
          <w:rFonts w:ascii="Arial" w:hAnsi="Arial" w:cs="Arial"/>
          <w:sz w:val="24"/>
          <w:szCs w:val="24"/>
        </w:rPr>
        <w:t xml:space="preserve"> which is looking at the presence of ESBL, </w:t>
      </w:r>
      <w:proofErr w:type="spellStart"/>
      <w:r w:rsidR="00FB2C4F">
        <w:rPr>
          <w:rFonts w:ascii="Arial" w:hAnsi="Arial" w:cs="Arial"/>
          <w:sz w:val="24"/>
          <w:szCs w:val="24"/>
        </w:rPr>
        <w:t>AmpC</w:t>
      </w:r>
      <w:proofErr w:type="spellEnd"/>
      <w:r w:rsidR="00FB2C4F">
        <w:rPr>
          <w:rFonts w:ascii="Arial" w:hAnsi="Arial" w:cs="Arial"/>
          <w:sz w:val="24"/>
          <w:szCs w:val="24"/>
        </w:rPr>
        <w:t xml:space="preserve"> and </w:t>
      </w:r>
      <w:proofErr w:type="spellStart"/>
      <w:r w:rsidR="00FB2C4F">
        <w:rPr>
          <w:rFonts w:ascii="Arial" w:hAnsi="Arial" w:cs="Arial"/>
          <w:sz w:val="24"/>
          <w:szCs w:val="24"/>
        </w:rPr>
        <w:t>Carbapenemase</w:t>
      </w:r>
      <w:proofErr w:type="spellEnd"/>
      <w:r w:rsidR="00FB2C4F">
        <w:rPr>
          <w:rFonts w:ascii="Arial" w:hAnsi="Arial" w:cs="Arial"/>
          <w:sz w:val="24"/>
          <w:szCs w:val="24"/>
        </w:rPr>
        <w:t xml:space="preserve">-producing </w:t>
      </w:r>
      <w:r w:rsidR="00FB2C4F">
        <w:rPr>
          <w:rFonts w:ascii="Arial" w:hAnsi="Arial" w:cs="Arial"/>
          <w:i/>
          <w:sz w:val="24"/>
          <w:szCs w:val="24"/>
        </w:rPr>
        <w:t>E. coli</w:t>
      </w:r>
      <w:r w:rsidR="00FB2C4F">
        <w:rPr>
          <w:rFonts w:ascii="Arial" w:hAnsi="Arial" w:cs="Arial"/>
          <w:sz w:val="24"/>
          <w:szCs w:val="24"/>
        </w:rPr>
        <w:t xml:space="preserve"> in fresh retail chicken, beef &amp; pork.  </w:t>
      </w:r>
      <w:r w:rsidR="00A41FB8">
        <w:rPr>
          <w:rFonts w:ascii="Arial" w:hAnsi="Arial" w:cs="Arial"/>
          <w:sz w:val="24"/>
          <w:szCs w:val="24"/>
        </w:rPr>
        <w:t>T</w:t>
      </w:r>
      <w:r w:rsidR="00FB2C4F">
        <w:rPr>
          <w:rFonts w:ascii="Arial" w:hAnsi="Arial" w:cs="Arial"/>
          <w:sz w:val="24"/>
          <w:szCs w:val="24"/>
        </w:rPr>
        <w:t xml:space="preserve">he FSA are </w:t>
      </w:r>
      <w:r w:rsidR="00A41FB8">
        <w:rPr>
          <w:rFonts w:ascii="Arial" w:hAnsi="Arial" w:cs="Arial"/>
          <w:sz w:val="24"/>
          <w:szCs w:val="24"/>
        </w:rPr>
        <w:t xml:space="preserve">also </w:t>
      </w:r>
      <w:r w:rsidR="00FB2C4F">
        <w:rPr>
          <w:rFonts w:ascii="Arial" w:hAnsi="Arial" w:cs="Arial"/>
          <w:sz w:val="24"/>
          <w:szCs w:val="24"/>
        </w:rPr>
        <w:t xml:space="preserve">investigating the presence of AMR as part of the </w:t>
      </w:r>
      <w:r w:rsidR="00FB2C4F">
        <w:rPr>
          <w:rFonts w:ascii="Arial" w:hAnsi="Arial" w:cs="Arial"/>
          <w:i/>
          <w:sz w:val="24"/>
          <w:szCs w:val="24"/>
        </w:rPr>
        <w:t xml:space="preserve">Campylobacter </w:t>
      </w:r>
      <w:r w:rsidR="00FB2C4F">
        <w:rPr>
          <w:rFonts w:ascii="Arial" w:hAnsi="Arial" w:cs="Arial"/>
          <w:sz w:val="24"/>
          <w:szCs w:val="24"/>
        </w:rPr>
        <w:t xml:space="preserve">whole fresh retail chicken survey.  The </w:t>
      </w:r>
      <w:r w:rsidR="00F27E39">
        <w:rPr>
          <w:rFonts w:ascii="Arial" w:hAnsi="Arial" w:cs="Arial"/>
          <w:sz w:val="24"/>
          <w:szCs w:val="24"/>
        </w:rPr>
        <w:t>second</w:t>
      </w:r>
      <w:r w:rsidR="00F5369B">
        <w:rPr>
          <w:rFonts w:ascii="Arial" w:hAnsi="Arial" w:cs="Arial"/>
          <w:sz w:val="24"/>
          <w:szCs w:val="24"/>
        </w:rPr>
        <w:t>-</w:t>
      </w:r>
      <w:r w:rsidR="00FB2C4F">
        <w:rPr>
          <w:rFonts w:ascii="Arial" w:hAnsi="Arial" w:cs="Arial"/>
          <w:sz w:val="24"/>
          <w:szCs w:val="24"/>
        </w:rPr>
        <w:t xml:space="preserve">year reports for </w:t>
      </w:r>
      <w:r>
        <w:rPr>
          <w:rFonts w:ascii="Arial" w:hAnsi="Arial" w:cs="Arial"/>
          <w:sz w:val="24"/>
          <w:szCs w:val="24"/>
        </w:rPr>
        <w:t>both</w:t>
      </w:r>
      <w:r w:rsidR="00FB2C4F">
        <w:rPr>
          <w:rFonts w:ascii="Arial" w:hAnsi="Arial" w:cs="Arial"/>
          <w:sz w:val="24"/>
          <w:szCs w:val="24"/>
        </w:rPr>
        <w:t xml:space="preserve"> surveys were published in</w:t>
      </w:r>
      <w:r w:rsidR="00F27E39">
        <w:rPr>
          <w:rFonts w:ascii="Arial" w:hAnsi="Arial" w:cs="Arial"/>
          <w:sz w:val="24"/>
          <w:szCs w:val="24"/>
        </w:rPr>
        <w:t xml:space="preserve"> November 2017 and January 2018 respectively.</w:t>
      </w:r>
    </w:p>
    <w:p w14:paraId="53AFA860" w14:textId="77777777" w:rsidR="006F4E5E" w:rsidRDefault="006F4E5E" w:rsidP="00211416">
      <w:pPr>
        <w:spacing w:line="240" w:lineRule="auto"/>
        <w:jc w:val="both"/>
        <w:rPr>
          <w:rFonts w:ascii="Arial" w:hAnsi="Arial" w:cs="Arial"/>
          <w:sz w:val="24"/>
          <w:szCs w:val="24"/>
        </w:rPr>
      </w:pPr>
    </w:p>
    <w:p w14:paraId="2A03ECF9" w14:textId="45A75716" w:rsidR="007D18AA" w:rsidRDefault="002C7631" w:rsidP="00211416">
      <w:pPr>
        <w:spacing w:line="240" w:lineRule="auto"/>
        <w:jc w:val="both"/>
        <w:rPr>
          <w:rFonts w:ascii="Arial" w:hAnsi="Arial" w:cs="Arial"/>
          <w:sz w:val="24"/>
          <w:szCs w:val="24"/>
        </w:rPr>
      </w:pPr>
      <w:r>
        <w:rPr>
          <w:rFonts w:ascii="Arial" w:hAnsi="Arial" w:cs="Arial"/>
          <w:sz w:val="24"/>
          <w:szCs w:val="24"/>
        </w:rPr>
        <w:t>Most of</w:t>
      </w:r>
      <w:r w:rsidR="00A53438">
        <w:rPr>
          <w:rFonts w:ascii="Arial" w:hAnsi="Arial" w:cs="Arial"/>
          <w:sz w:val="24"/>
          <w:szCs w:val="24"/>
        </w:rPr>
        <w:t xml:space="preserve"> </w:t>
      </w:r>
      <w:r>
        <w:rPr>
          <w:rFonts w:ascii="Arial" w:hAnsi="Arial" w:cs="Arial"/>
          <w:sz w:val="24"/>
          <w:szCs w:val="24"/>
        </w:rPr>
        <w:t>the FSA’s</w:t>
      </w:r>
      <w:r w:rsidR="00A53438">
        <w:rPr>
          <w:rFonts w:ascii="Arial" w:hAnsi="Arial" w:cs="Arial"/>
          <w:sz w:val="24"/>
          <w:szCs w:val="24"/>
        </w:rPr>
        <w:t xml:space="preserve"> surveillance activities have focussed on</w:t>
      </w:r>
      <w:r w:rsidR="00CE55E9">
        <w:rPr>
          <w:rFonts w:ascii="Arial" w:hAnsi="Arial" w:cs="Arial"/>
          <w:sz w:val="24"/>
          <w:szCs w:val="24"/>
        </w:rPr>
        <w:t xml:space="preserve"> the presence of </w:t>
      </w:r>
      <w:r w:rsidR="00497F0A">
        <w:rPr>
          <w:rFonts w:ascii="Arial" w:hAnsi="Arial" w:cs="Arial"/>
          <w:sz w:val="24"/>
          <w:szCs w:val="24"/>
        </w:rPr>
        <w:t>AMR bacteria</w:t>
      </w:r>
      <w:r w:rsidR="00CE55E9">
        <w:rPr>
          <w:rFonts w:ascii="Arial" w:hAnsi="Arial" w:cs="Arial"/>
          <w:sz w:val="24"/>
          <w:szCs w:val="24"/>
        </w:rPr>
        <w:t xml:space="preserve"> in</w:t>
      </w:r>
      <w:r w:rsidR="00A53438">
        <w:rPr>
          <w:rFonts w:ascii="Arial" w:hAnsi="Arial" w:cs="Arial"/>
          <w:sz w:val="24"/>
          <w:szCs w:val="24"/>
        </w:rPr>
        <w:t xml:space="preserve"> raw retail meat</w:t>
      </w:r>
      <w:r>
        <w:rPr>
          <w:rFonts w:ascii="Arial" w:hAnsi="Arial" w:cs="Arial"/>
          <w:sz w:val="24"/>
          <w:szCs w:val="24"/>
        </w:rPr>
        <w:t xml:space="preserve"> in the UK</w:t>
      </w:r>
      <w:r w:rsidR="00A53438">
        <w:rPr>
          <w:rFonts w:ascii="Arial" w:hAnsi="Arial" w:cs="Arial"/>
          <w:sz w:val="24"/>
          <w:szCs w:val="24"/>
        </w:rPr>
        <w:t xml:space="preserve">.  However, </w:t>
      </w:r>
      <w:r w:rsidR="00694F58">
        <w:rPr>
          <w:rFonts w:ascii="Arial" w:hAnsi="Arial" w:cs="Arial"/>
          <w:sz w:val="24"/>
          <w:szCs w:val="24"/>
        </w:rPr>
        <w:t xml:space="preserve">as highlighted by the ACMSF ‘Task and Finish’ Group, </w:t>
      </w:r>
      <w:r w:rsidR="00A53438">
        <w:rPr>
          <w:rFonts w:ascii="Arial" w:hAnsi="Arial" w:cs="Arial"/>
          <w:sz w:val="24"/>
          <w:szCs w:val="24"/>
        </w:rPr>
        <w:t>t</w:t>
      </w:r>
      <w:r w:rsidR="007D18AA">
        <w:rPr>
          <w:rFonts w:ascii="Arial" w:hAnsi="Arial" w:cs="Arial"/>
          <w:sz w:val="24"/>
          <w:szCs w:val="24"/>
        </w:rPr>
        <w:t>here is currently a lack of evidence</w:t>
      </w:r>
      <w:r w:rsidR="00CE55E9">
        <w:rPr>
          <w:rFonts w:ascii="Arial" w:hAnsi="Arial" w:cs="Arial"/>
          <w:sz w:val="24"/>
          <w:szCs w:val="24"/>
        </w:rPr>
        <w:t xml:space="preserve"> </w:t>
      </w:r>
      <w:r w:rsidR="00694F58">
        <w:rPr>
          <w:rFonts w:ascii="Arial" w:hAnsi="Arial" w:cs="Arial"/>
          <w:sz w:val="24"/>
          <w:szCs w:val="24"/>
        </w:rPr>
        <w:t>on</w:t>
      </w:r>
      <w:r w:rsidR="00CE55E9">
        <w:rPr>
          <w:rFonts w:ascii="Arial" w:hAnsi="Arial" w:cs="Arial"/>
          <w:sz w:val="24"/>
          <w:szCs w:val="24"/>
        </w:rPr>
        <w:t xml:space="preserve"> </w:t>
      </w:r>
      <w:r w:rsidR="00694F58">
        <w:rPr>
          <w:rFonts w:ascii="Arial" w:hAnsi="Arial" w:cs="Arial"/>
          <w:sz w:val="24"/>
          <w:szCs w:val="24"/>
        </w:rPr>
        <w:t xml:space="preserve">the impact of </w:t>
      </w:r>
      <w:r w:rsidR="00CE55E9">
        <w:rPr>
          <w:rFonts w:ascii="Arial" w:hAnsi="Arial" w:cs="Arial"/>
          <w:sz w:val="24"/>
          <w:szCs w:val="24"/>
        </w:rPr>
        <w:t xml:space="preserve">secondary food processing on the presence </w:t>
      </w:r>
      <w:r w:rsidR="00694F58">
        <w:rPr>
          <w:rFonts w:ascii="Arial" w:hAnsi="Arial" w:cs="Arial"/>
          <w:sz w:val="24"/>
          <w:szCs w:val="24"/>
        </w:rPr>
        <w:t xml:space="preserve">and spread </w:t>
      </w:r>
      <w:r w:rsidR="00CE55E9">
        <w:rPr>
          <w:rFonts w:ascii="Arial" w:hAnsi="Arial" w:cs="Arial"/>
          <w:sz w:val="24"/>
          <w:szCs w:val="24"/>
        </w:rPr>
        <w:t>of AMR in bacteria in meat</w:t>
      </w:r>
      <w:r w:rsidR="00253A94">
        <w:rPr>
          <w:rFonts w:ascii="Arial" w:hAnsi="Arial" w:cs="Arial"/>
          <w:sz w:val="24"/>
          <w:szCs w:val="24"/>
        </w:rPr>
        <w:t xml:space="preserve"> and meat products</w:t>
      </w:r>
      <w:r w:rsidR="007D18AA">
        <w:rPr>
          <w:rFonts w:ascii="Arial" w:hAnsi="Arial" w:cs="Arial"/>
          <w:sz w:val="24"/>
          <w:szCs w:val="24"/>
        </w:rPr>
        <w:t>.</w:t>
      </w:r>
      <w:r w:rsidR="006F4E5E">
        <w:rPr>
          <w:rFonts w:ascii="Arial" w:hAnsi="Arial" w:cs="Arial"/>
          <w:sz w:val="24"/>
          <w:szCs w:val="24"/>
        </w:rPr>
        <w:t xml:space="preserve">  </w:t>
      </w:r>
      <w:r w:rsidR="00A53438">
        <w:rPr>
          <w:rFonts w:ascii="Arial" w:hAnsi="Arial" w:cs="Arial"/>
          <w:sz w:val="24"/>
          <w:szCs w:val="24"/>
        </w:rPr>
        <w:t xml:space="preserve">It </w:t>
      </w:r>
      <w:r w:rsidR="006F4E5E">
        <w:rPr>
          <w:rFonts w:ascii="Arial" w:hAnsi="Arial" w:cs="Arial"/>
          <w:sz w:val="24"/>
          <w:szCs w:val="24"/>
        </w:rPr>
        <w:t xml:space="preserve">is important to </w:t>
      </w:r>
      <w:r w:rsidR="00CE55E9">
        <w:rPr>
          <w:rFonts w:ascii="Arial" w:hAnsi="Arial" w:cs="Arial"/>
          <w:sz w:val="24"/>
          <w:szCs w:val="24"/>
        </w:rPr>
        <w:t xml:space="preserve">strengthen the evidence base in this area as it will help inform future risk assessments on AMR and identify areas </w:t>
      </w:r>
      <w:r w:rsidR="00D51B93">
        <w:rPr>
          <w:rFonts w:ascii="Arial" w:hAnsi="Arial" w:cs="Arial"/>
          <w:sz w:val="24"/>
          <w:szCs w:val="24"/>
        </w:rPr>
        <w:t xml:space="preserve">within secondary meat processing </w:t>
      </w:r>
      <w:r w:rsidR="00CE55E9">
        <w:rPr>
          <w:rFonts w:ascii="Arial" w:hAnsi="Arial" w:cs="Arial"/>
          <w:sz w:val="24"/>
          <w:szCs w:val="24"/>
        </w:rPr>
        <w:t xml:space="preserve">where further </w:t>
      </w:r>
      <w:r w:rsidR="00497F0A">
        <w:rPr>
          <w:rFonts w:ascii="Arial" w:hAnsi="Arial" w:cs="Arial"/>
          <w:sz w:val="24"/>
          <w:szCs w:val="24"/>
        </w:rPr>
        <w:t xml:space="preserve">interventions and </w:t>
      </w:r>
      <w:r w:rsidR="00CE55E9">
        <w:rPr>
          <w:rFonts w:ascii="Arial" w:hAnsi="Arial" w:cs="Arial"/>
          <w:sz w:val="24"/>
          <w:szCs w:val="24"/>
        </w:rPr>
        <w:t>research</w:t>
      </w:r>
      <w:r w:rsidR="00497F0A">
        <w:rPr>
          <w:rFonts w:ascii="Arial" w:hAnsi="Arial" w:cs="Arial"/>
          <w:sz w:val="24"/>
          <w:szCs w:val="24"/>
        </w:rPr>
        <w:t>/surveillance</w:t>
      </w:r>
      <w:r w:rsidR="00CE55E9">
        <w:rPr>
          <w:rFonts w:ascii="Arial" w:hAnsi="Arial" w:cs="Arial"/>
          <w:sz w:val="24"/>
          <w:szCs w:val="24"/>
        </w:rPr>
        <w:t xml:space="preserve"> </w:t>
      </w:r>
      <w:r w:rsidR="00497F0A">
        <w:rPr>
          <w:rFonts w:ascii="Arial" w:hAnsi="Arial" w:cs="Arial"/>
          <w:sz w:val="24"/>
          <w:szCs w:val="24"/>
        </w:rPr>
        <w:t>are</w:t>
      </w:r>
      <w:r w:rsidR="00CE55E9">
        <w:rPr>
          <w:rFonts w:ascii="Arial" w:hAnsi="Arial" w:cs="Arial"/>
          <w:sz w:val="24"/>
          <w:szCs w:val="24"/>
        </w:rPr>
        <w:t xml:space="preserve"> required.  By doing this, we will be making a positive contribution to the cross-governmental objective of protecting consumers from </w:t>
      </w:r>
      <w:r w:rsidR="004B3D50">
        <w:rPr>
          <w:rFonts w:ascii="Arial" w:hAnsi="Arial" w:cs="Arial"/>
          <w:sz w:val="24"/>
          <w:szCs w:val="24"/>
        </w:rPr>
        <w:t xml:space="preserve">the risks associated with </w:t>
      </w:r>
      <w:r w:rsidR="00CE55E9">
        <w:rPr>
          <w:rFonts w:ascii="Arial" w:hAnsi="Arial" w:cs="Arial"/>
          <w:sz w:val="24"/>
          <w:szCs w:val="24"/>
        </w:rPr>
        <w:t>AMR.</w:t>
      </w:r>
    </w:p>
    <w:p w14:paraId="73A6CDA4" w14:textId="77777777" w:rsidR="0075552E" w:rsidRPr="00337AB4" w:rsidRDefault="0075552E" w:rsidP="00211416">
      <w:pPr>
        <w:spacing w:line="240" w:lineRule="auto"/>
        <w:jc w:val="both"/>
        <w:rPr>
          <w:rFonts w:ascii="Arial" w:hAnsi="Arial" w:cs="Arial"/>
          <w:sz w:val="24"/>
          <w:szCs w:val="24"/>
        </w:rPr>
      </w:pPr>
    </w:p>
    <w:p w14:paraId="721B6497" w14:textId="1B8212F5" w:rsidR="00CA4F6A" w:rsidRPr="00337AB4" w:rsidRDefault="00CA4F6A" w:rsidP="00CA4F6A">
      <w:pPr>
        <w:spacing w:line="240" w:lineRule="auto"/>
        <w:jc w:val="both"/>
        <w:rPr>
          <w:rFonts w:ascii="Arial" w:hAnsi="Arial" w:cs="Arial"/>
          <w:i/>
          <w:sz w:val="20"/>
          <w:szCs w:val="20"/>
          <w:u w:val="single"/>
        </w:rPr>
      </w:pPr>
      <w:r w:rsidRPr="00337AB4">
        <w:rPr>
          <w:rFonts w:ascii="Arial" w:hAnsi="Arial" w:cs="Arial"/>
          <w:i/>
          <w:sz w:val="20"/>
          <w:szCs w:val="20"/>
          <w:u w:val="single"/>
        </w:rPr>
        <w:t>References</w:t>
      </w:r>
    </w:p>
    <w:p w14:paraId="1FEEE83F" w14:textId="77777777" w:rsidR="00CA4F6A" w:rsidRPr="009045B2" w:rsidRDefault="00CA4F6A" w:rsidP="00DC5A85">
      <w:pPr>
        <w:spacing w:line="276" w:lineRule="auto"/>
        <w:rPr>
          <w:rFonts w:ascii="Arial" w:hAnsi="Arial" w:cs="Arial"/>
          <w:b/>
          <w:sz w:val="20"/>
          <w:szCs w:val="20"/>
          <w:highlight w:val="yellow"/>
        </w:rPr>
      </w:pPr>
    </w:p>
    <w:p w14:paraId="2B50883D" w14:textId="64431DDA" w:rsidR="0014343D" w:rsidRPr="00A73AE3" w:rsidRDefault="0014343D" w:rsidP="00DF3671">
      <w:pPr>
        <w:pStyle w:val="Default"/>
        <w:rPr>
          <w:rFonts w:ascii="Arial" w:hAnsi="Arial" w:cs="Arial"/>
          <w:sz w:val="20"/>
        </w:rPr>
      </w:pPr>
      <w:r w:rsidRPr="00A73AE3">
        <w:rPr>
          <w:rFonts w:ascii="Arial" w:hAnsi="Arial" w:cs="Arial"/>
          <w:sz w:val="20"/>
        </w:rPr>
        <w:t>O’Neill, (2014), Antimicrobial Resistance: Tackling a crisis for the health and wealth of nations</w:t>
      </w:r>
    </w:p>
    <w:p w14:paraId="7DDD1825" w14:textId="28F23AD9" w:rsidR="00712703" w:rsidRPr="00A73AE3" w:rsidRDefault="00B61008" w:rsidP="00DF3671">
      <w:pPr>
        <w:pStyle w:val="Default"/>
        <w:rPr>
          <w:rFonts w:ascii="Arial" w:hAnsi="Arial" w:cs="Arial"/>
          <w:sz w:val="20"/>
        </w:rPr>
      </w:pPr>
      <w:hyperlink r:id="rId15" w:history="1">
        <w:r w:rsidR="00712703" w:rsidRPr="00A73AE3">
          <w:rPr>
            <w:rStyle w:val="Hyperlink"/>
            <w:rFonts w:ascii="Arial" w:hAnsi="Arial" w:cs="Arial"/>
            <w:sz w:val="20"/>
          </w:rPr>
          <w:t>https://amr-review.org/</w:t>
        </w:r>
      </w:hyperlink>
    </w:p>
    <w:p w14:paraId="2271B493" w14:textId="240A3B14" w:rsidR="00572A9F" w:rsidRPr="00A73AE3" w:rsidRDefault="00572A9F" w:rsidP="00DF3671">
      <w:pPr>
        <w:pStyle w:val="Default"/>
        <w:rPr>
          <w:rFonts w:ascii="Arial" w:hAnsi="Arial" w:cs="Arial"/>
          <w:sz w:val="20"/>
        </w:rPr>
      </w:pPr>
    </w:p>
    <w:p w14:paraId="1D33CD31" w14:textId="520D9E60" w:rsidR="00572A9F" w:rsidRPr="00A73AE3" w:rsidRDefault="00F5369B" w:rsidP="00DF3671">
      <w:pPr>
        <w:pStyle w:val="Default"/>
        <w:rPr>
          <w:rFonts w:ascii="Arial" w:hAnsi="Arial" w:cs="Arial"/>
          <w:sz w:val="20"/>
          <w:szCs w:val="20"/>
        </w:rPr>
      </w:pPr>
      <w:r w:rsidRPr="00A73AE3">
        <w:rPr>
          <w:rFonts w:ascii="Arial" w:hAnsi="Arial" w:cs="Arial"/>
          <w:sz w:val="20"/>
          <w:szCs w:val="20"/>
        </w:rPr>
        <w:t>DH</w:t>
      </w:r>
      <w:r w:rsidR="00D51B93" w:rsidRPr="00A73AE3">
        <w:rPr>
          <w:rFonts w:ascii="Arial" w:hAnsi="Arial" w:cs="Arial"/>
          <w:sz w:val="20"/>
          <w:szCs w:val="20"/>
        </w:rPr>
        <w:t>,</w:t>
      </w:r>
      <w:r w:rsidRPr="00A73AE3">
        <w:rPr>
          <w:rFonts w:ascii="Arial" w:hAnsi="Arial" w:cs="Arial"/>
          <w:sz w:val="20"/>
          <w:szCs w:val="20"/>
        </w:rPr>
        <w:t xml:space="preserve"> </w:t>
      </w:r>
      <w:r w:rsidR="00D51B93" w:rsidRPr="00A73AE3">
        <w:rPr>
          <w:rFonts w:ascii="Arial" w:hAnsi="Arial" w:cs="Arial"/>
          <w:sz w:val="20"/>
          <w:szCs w:val="20"/>
        </w:rPr>
        <w:t>(</w:t>
      </w:r>
      <w:r w:rsidRPr="00A73AE3">
        <w:rPr>
          <w:rFonts w:ascii="Arial" w:hAnsi="Arial" w:cs="Arial"/>
          <w:sz w:val="20"/>
          <w:szCs w:val="20"/>
        </w:rPr>
        <w:t>2013</w:t>
      </w:r>
      <w:r w:rsidR="00D51B93" w:rsidRPr="00A73AE3">
        <w:rPr>
          <w:rFonts w:ascii="Arial" w:hAnsi="Arial" w:cs="Arial"/>
          <w:sz w:val="20"/>
          <w:szCs w:val="20"/>
        </w:rPr>
        <w:t>).</w:t>
      </w:r>
      <w:r w:rsidRPr="00A73AE3">
        <w:rPr>
          <w:rFonts w:ascii="Arial" w:hAnsi="Arial" w:cs="Arial"/>
          <w:sz w:val="20"/>
          <w:szCs w:val="20"/>
        </w:rPr>
        <w:t xml:space="preserve"> </w:t>
      </w:r>
      <w:r w:rsidRPr="00A73AE3">
        <w:rPr>
          <w:rFonts w:ascii="Arial" w:hAnsi="Arial" w:cs="Arial"/>
          <w:sz w:val="20"/>
          <w:szCs w:val="20"/>
          <w:lang w:val="en"/>
        </w:rPr>
        <w:t>UK 5 Year Antimicrobial R</w:t>
      </w:r>
      <w:r w:rsidR="00187D72" w:rsidRPr="00A73AE3">
        <w:rPr>
          <w:rFonts w:ascii="Arial" w:hAnsi="Arial" w:cs="Arial"/>
          <w:sz w:val="20"/>
          <w:szCs w:val="20"/>
          <w:lang w:val="en"/>
        </w:rPr>
        <w:t>esistance Strategy 2013 to 2018:</w:t>
      </w:r>
      <w:r w:rsidRPr="00A73AE3">
        <w:rPr>
          <w:rFonts w:ascii="Arial" w:hAnsi="Arial" w:cs="Arial"/>
          <w:sz w:val="20"/>
          <w:szCs w:val="20"/>
          <w:lang w:val="en"/>
        </w:rPr>
        <w:t xml:space="preserve">  </w:t>
      </w:r>
      <w:hyperlink r:id="rId16" w:history="1">
        <w:r w:rsidR="002E19F0" w:rsidRPr="00A73AE3">
          <w:rPr>
            <w:rStyle w:val="Hyperlink"/>
            <w:rFonts w:ascii="Arial" w:hAnsi="Arial" w:cs="Arial"/>
            <w:sz w:val="20"/>
            <w:szCs w:val="20"/>
          </w:rPr>
          <w:t>https://www.gov.uk/government/publications/uk-5-year-antimicrobial-resistance-strategy-2013-to-2018</w:t>
        </w:r>
      </w:hyperlink>
    </w:p>
    <w:p w14:paraId="61087F95" w14:textId="49951F33" w:rsidR="002E19F0" w:rsidRPr="00A73AE3" w:rsidRDefault="002E19F0" w:rsidP="00DF3671">
      <w:pPr>
        <w:pStyle w:val="Default"/>
        <w:rPr>
          <w:rFonts w:ascii="Arial" w:hAnsi="Arial" w:cs="Arial"/>
          <w:sz w:val="20"/>
        </w:rPr>
      </w:pPr>
    </w:p>
    <w:p w14:paraId="2F473954" w14:textId="64E5316E" w:rsidR="00712703" w:rsidRPr="00A73AE3" w:rsidRDefault="00187D72" w:rsidP="002E19F0">
      <w:pPr>
        <w:rPr>
          <w:rFonts w:ascii="Arial" w:hAnsi="Arial" w:cs="Arial"/>
          <w:sz w:val="20"/>
        </w:rPr>
      </w:pPr>
      <w:r w:rsidRPr="00A73AE3">
        <w:rPr>
          <w:rFonts w:ascii="Arial" w:hAnsi="Arial" w:cs="Arial"/>
          <w:sz w:val="20"/>
        </w:rPr>
        <w:t>ACMSF Task &amp; Finish Group Report on AMR, 2018:</w:t>
      </w:r>
    </w:p>
    <w:p w14:paraId="3C71AB3C" w14:textId="4C514FA3" w:rsidR="002E19F0" w:rsidRPr="00A73AE3" w:rsidRDefault="00B61008" w:rsidP="002E19F0">
      <w:pPr>
        <w:rPr>
          <w:rFonts w:ascii="Arial" w:hAnsi="Arial" w:cs="Arial"/>
          <w:sz w:val="20"/>
        </w:rPr>
      </w:pPr>
      <w:hyperlink r:id="rId17" w:history="1">
        <w:r w:rsidR="00712703" w:rsidRPr="00A73AE3">
          <w:rPr>
            <w:rStyle w:val="Hyperlink"/>
            <w:rFonts w:ascii="Arial" w:hAnsi="Arial" w:cs="Arial"/>
            <w:sz w:val="20"/>
          </w:rPr>
          <w:t>https://acmsf.food.gov.uk/sites/default/files/acm_1278_amr_report.pdf</w:t>
        </w:r>
      </w:hyperlink>
    </w:p>
    <w:p w14:paraId="78DAB9A5" w14:textId="7E9D4F63" w:rsidR="002E19F0" w:rsidRPr="00A73AE3" w:rsidRDefault="002E19F0" w:rsidP="00DF3671">
      <w:pPr>
        <w:pStyle w:val="Default"/>
        <w:rPr>
          <w:sz w:val="20"/>
        </w:rPr>
      </w:pPr>
    </w:p>
    <w:p w14:paraId="43CF447D" w14:textId="77777777" w:rsidR="00187D72" w:rsidRPr="00D51B93" w:rsidRDefault="00187D72" w:rsidP="00187D72">
      <w:pPr>
        <w:pStyle w:val="Default"/>
        <w:rPr>
          <w:rFonts w:ascii="Arial" w:hAnsi="Arial" w:cs="Arial"/>
          <w:color w:val="auto"/>
          <w:sz w:val="20"/>
          <w:szCs w:val="20"/>
        </w:rPr>
      </w:pPr>
      <w:r w:rsidRPr="00A73AE3">
        <w:rPr>
          <w:rFonts w:ascii="Arial" w:hAnsi="Arial" w:cs="Arial"/>
          <w:color w:val="auto"/>
          <w:sz w:val="20"/>
          <w:szCs w:val="20"/>
        </w:rPr>
        <w:t xml:space="preserve">FSA (2016). </w:t>
      </w:r>
      <w:r w:rsidRPr="00A73AE3">
        <w:rPr>
          <w:rStyle w:val="field"/>
          <w:rFonts w:ascii="Arial" w:hAnsi="Arial" w:cs="Arial"/>
          <w:sz w:val="20"/>
          <w:szCs w:val="20"/>
          <w:lang w:val="en"/>
        </w:rPr>
        <w:t xml:space="preserve">A systematic review of AMR bacteria in pork, poultry, dairy products, seafood and fresh produce at UK retail level.  </w:t>
      </w:r>
      <w:hyperlink r:id="rId18" w:history="1">
        <w:r w:rsidRPr="00A73AE3">
          <w:rPr>
            <w:rStyle w:val="Hyperlink"/>
            <w:rFonts w:ascii="Arial" w:hAnsi="Arial" w:cs="Arial"/>
            <w:sz w:val="20"/>
            <w:szCs w:val="20"/>
            <w:lang w:val="en"/>
          </w:rPr>
          <w:t>https://www.food.gov.uk/research/foodborne-diseases/a-systematic-review-of-amr-bacteria-in-pork-poultry-dairy-products-seafood-and-fresh-produce-at-uk-retail-level</w:t>
        </w:r>
      </w:hyperlink>
      <w:r>
        <w:rPr>
          <w:rStyle w:val="field"/>
          <w:rFonts w:ascii="Arial" w:hAnsi="Arial" w:cs="Arial"/>
          <w:sz w:val="20"/>
          <w:szCs w:val="20"/>
          <w:lang w:val="en"/>
        </w:rPr>
        <w:t xml:space="preserve"> </w:t>
      </w:r>
    </w:p>
    <w:p w14:paraId="73FB8F3C" w14:textId="77777777" w:rsidR="00187D72" w:rsidRDefault="00187D72" w:rsidP="00DF3671">
      <w:pPr>
        <w:pStyle w:val="Default"/>
        <w:rPr>
          <w:sz w:val="20"/>
        </w:rPr>
      </w:pPr>
    </w:p>
    <w:p w14:paraId="444179B8" w14:textId="4F0C2601" w:rsidR="00187D72" w:rsidRPr="00187D72" w:rsidRDefault="00187D72" w:rsidP="00DF3671">
      <w:pPr>
        <w:pStyle w:val="Default"/>
        <w:rPr>
          <w:rFonts w:ascii="Arial" w:hAnsi="Arial" w:cs="Arial"/>
          <w:sz w:val="20"/>
          <w:szCs w:val="20"/>
        </w:rPr>
      </w:pPr>
      <w:r w:rsidRPr="00187D72">
        <w:rPr>
          <w:rFonts w:ascii="Arial" w:hAnsi="Arial" w:cs="Arial"/>
          <w:sz w:val="20"/>
          <w:szCs w:val="20"/>
        </w:rPr>
        <w:t>EU Harmonised Survey on AMR in Retail Meats:</w:t>
      </w:r>
    </w:p>
    <w:p w14:paraId="59BA3F30" w14:textId="77777777" w:rsidR="00187D72" w:rsidRPr="00187D72" w:rsidRDefault="00B61008" w:rsidP="00187D72">
      <w:pPr>
        <w:pStyle w:val="Default"/>
        <w:rPr>
          <w:rFonts w:ascii="Arial" w:hAnsi="Arial" w:cs="Arial"/>
          <w:color w:val="auto"/>
          <w:sz w:val="20"/>
          <w:szCs w:val="20"/>
        </w:rPr>
      </w:pPr>
      <w:hyperlink r:id="rId19" w:history="1">
        <w:r w:rsidR="00187D72" w:rsidRPr="00187D72">
          <w:rPr>
            <w:rStyle w:val="Hyperlink"/>
            <w:rFonts w:ascii="Arial" w:hAnsi="Arial" w:cs="Arial"/>
            <w:sz w:val="20"/>
            <w:szCs w:val="20"/>
          </w:rPr>
          <w:t>https://www.food.gov.uk/sites/default/files/eusurvey-amr-retail-meats.pdf</w:t>
        </w:r>
      </w:hyperlink>
    </w:p>
    <w:p w14:paraId="7F33CC5F" w14:textId="447286B3" w:rsidR="003F6ABC" w:rsidRPr="00187D72" w:rsidRDefault="003F6ABC" w:rsidP="00DF3671">
      <w:pPr>
        <w:pStyle w:val="Default"/>
        <w:rPr>
          <w:rFonts w:ascii="Arial" w:hAnsi="Arial" w:cs="Arial"/>
          <w:color w:val="auto"/>
          <w:sz w:val="20"/>
          <w:szCs w:val="20"/>
        </w:rPr>
      </w:pPr>
    </w:p>
    <w:p w14:paraId="790BF51A" w14:textId="62C1CE18" w:rsidR="00187D72" w:rsidRPr="00187D72" w:rsidRDefault="00187D72" w:rsidP="00DF3671">
      <w:pPr>
        <w:pStyle w:val="Default"/>
        <w:rPr>
          <w:rFonts w:ascii="Arial" w:hAnsi="Arial" w:cs="Arial"/>
          <w:sz w:val="20"/>
          <w:szCs w:val="20"/>
        </w:rPr>
      </w:pPr>
      <w:r w:rsidRPr="00187D72">
        <w:rPr>
          <w:rFonts w:ascii="Arial" w:hAnsi="Arial" w:cs="Arial"/>
          <w:sz w:val="20"/>
          <w:szCs w:val="20"/>
        </w:rPr>
        <w:t xml:space="preserve">AMR </w:t>
      </w:r>
      <w:r w:rsidRPr="00187D72">
        <w:rPr>
          <w:rFonts w:ascii="Arial" w:hAnsi="Arial" w:cs="Arial"/>
          <w:i/>
          <w:sz w:val="20"/>
          <w:szCs w:val="20"/>
        </w:rPr>
        <w:t>Campylobacter</w:t>
      </w:r>
      <w:r w:rsidRPr="00187D72">
        <w:rPr>
          <w:rFonts w:ascii="Arial" w:hAnsi="Arial" w:cs="Arial"/>
          <w:sz w:val="20"/>
          <w:szCs w:val="20"/>
        </w:rPr>
        <w:t xml:space="preserve"> Survey in Retail Chicken:</w:t>
      </w:r>
    </w:p>
    <w:p w14:paraId="013446BC" w14:textId="58817254" w:rsidR="003F6ABC" w:rsidRPr="00187D72" w:rsidRDefault="00B61008" w:rsidP="00DF3671">
      <w:pPr>
        <w:pStyle w:val="Default"/>
        <w:rPr>
          <w:rFonts w:ascii="Arial" w:hAnsi="Arial" w:cs="Arial"/>
          <w:color w:val="auto"/>
          <w:sz w:val="20"/>
          <w:szCs w:val="20"/>
        </w:rPr>
      </w:pPr>
      <w:hyperlink r:id="rId20" w:history="1">
        <w:r w:rsidR="003F6ABC" w:rsidRPr="00187D72">
          <w:rPr>
            <w:rStyle w:val="Hyperlink"/>
            <w:rFonts w:ascii="Arial" w:hAnsi="Arial" w:cs="Arial"/>
            <w:sz w:val="20"/>
            <w:szCs w:val="20"/>
          </w:rPr>
          <w:t>https://www.food.gov.uk/sites/default/files/campylobacter-amr-report.pdf</w:t>
        </w:r>
      </w:hyperlink>
    </w:p>
    <w:p w14:paraId="4D8A5544" w14:textId="77777777" w:rsidR="003F6ABC" w:rsidRPr="00187D72" w:rsidRDefault="003F6ABC" w:rsidP="00DF3671">
      <w:pPr>
        <w:pStyle w:val="Default"/>
        <w:rPr>
          <w:rFonts w:ascii="Arial" w:hAnsi="Arial" w:cs="Arial"/>
          <w:color w:val="auto"/>
          <w:sz w:val="20"/>
          <w:szCs w:val="20"/>
        </w:rPr>
      </w:pPr>
    </w:p>
    <w:p w14:paraId="4B1233DD" w14:textId="671EE51F" w:rsidR="00DC2B70" w:rsidRPr="00187D72" w:rsidRDefault="00DC2B70" w:rsidP="00DF3671">
      <w:pPr>
        <w:pStyle w:val="Default"/>
        <w:rPr>
          <w:rFonts w:ascii="Arial" w:hAnsi="Arial" w:cs="Arial"/>
          <w:color w:val="auto"/>
          <w:sz w:val="20"/>
          <w:szCs w:val="20"/>
        </w:rPr>
      </w:pPr>
    </w:p>
    <w:p w14:paraId="145C90F6" w14:textId="77777777" w:rsidR="00374D58" w:rsidRPr="00D815D6" w:rsidRDefault="00374D58" w:rsidP="00DC5A85">
      <w:pPr>
        <w:spacing w:line="276" w:lineRule="auto"/>
        <w:rPr>
          <w:rFonts w:ascii="Arial" w:hAnsi="Arial" w:cs="Arial"/>
          <w:b/>
          <w:sz w:val="24"/>
          <w:szCs w:val="24"/>
          <w:highlight w:val="yellow"/>
        </w:rPr>
      </w:pPr>
    </w:p>
    <w:p w14:paraId="3E31E185" w14:textId="77777777" w:rsidR="00335A6A" w:rsidRDefault="00335A6A" w:rsidP="00DC5A85">
      <w:pPr>
        <w:spacing w:line="276" w:lineRule="auto"/>
        <w:rPr>
          <w:rFonts w:ascii="Arial" w:hAnsi="Arial" w:cs="Arial"/>
          <w:b/>
          <w:sz w:val="24"/>
          <w:szCs w:val="24"/>
        </w:rPr>
      </w:pPr>
      <w:r w:rsidRPr="00CD593A">
        <w:rPr>
          <w:rFonts w:ascii="Arial" w:hAnsi="Arial" w:cs="Arial"/>
          <w:b/>
          <w:sz w:val="24"/>
          <w:szCs w:val="24"/>
        </w:rPr>
        <w:t xml:space="preserve">The </w:t>
      </w:r>
      <w:r>
        <w:rPr>
          <w:rFonts w:ascii="Arial" w:hAnsi="Arial" w:cs="Arial"/>
          <w:b/>
          <w:sz w:val="24"/>
          <w:szCs w:val="24"/>
        </w:rPr>
        <w:t>Specification</w:t>
      </w:r>
    </w:p>
    <w:p w14:paraId="1AA56EFB" w14:textId="77777777" w:rsidR="00335A6A" w:rsidRDefault="00335A6A" w:rsidP="00DC5A85">
      <w:pPr>
        <w:spacing w:line="276" w:lineRule="auto"/>
        <w:jc w:val="both"/>
        <w:rPr>
          <w:rFonts w:ascii="Arial" w:hAnsi="Arial" w:cs="Arial"/>
          <w:sz w:val="24"/>
          <w:szCs w:val="24"/>
        </w:rPr>
      </w:pPr>
    </w:p>
    <w:p w14:paraId="579F477C" w14:textId="7AE2C917" w:rsidR="00DC5A85" w:rsidRPr="00DC5A85" w:rsidRDefault="00335A6A" w:rsidP="00DC5A85">
      <w:pPr>
        <w:spacing w:line="276" w:lineRule="auto"/>
        <w:jc w:val="both"/>
        <w:rPr>
          <w:rFonts w:ascii="Arial" w:hAnsi="Arial" w:cs="Arial"/>
          <w:sz w:val="24"/>
          <w:szCs w:val="24"/>
        </w:rPr>
      </w:pPr>
      <w:r>
        <w:rPr>
          <w:rFonts w:ascii="Arial" w:hAnsi="Arial" w:cs="Arial"/>
          <w:sz w:val="24"/>
          <w:szCs w:val="24"/>
        </w:rPr>
        <w:t>Tender</w:t>
      </w:r>
      <w:r w:rsidRPr="00BE3C10">
        <w:rPr>
          <w:rFonts w:ascii="Arial" w:hAnsi="Arial" w:cs="Arial"/>
          <w:sz w:val="24"/>
          <w:szCs w:val="24"/>
        </w:rPr>
        <w:t xml:space="preserve">s are invited to </w:t>
      </w:r>
      <w:r w:rsidR="00DC5A85">
        <w:rPr>
          <w:rFonts w:ascii="Arial" w:hAnsi="Arial" w:cs="Arial"/>
          <w:sz w:val="24"/>
          <w:szCs w:val="24"/>
        </w:rPr>
        <w:t xml:space="preserve">carry out </w:t>
      </w:r>
      <w:r w:rsidR="0075552E">
        <w:rPr>
          <w:rFonts w:ascii="Arial" w:hAnsi="Arial" w:cs="Arial"/>
          <w:sz w:val="24"/>
          <w:szCs w:val="24"/>
        </w:rPr>
        <w:t>a critical review of the impact of secondary food processing on AMR bacteria in meat</w:t>
      </w:r>
      <w:r w:rsidR="00807818">
        <w:rPr>
          <w:rFonts w:ascii="Arial" w:hAnsi="Arial" w:cs="Arial"/>
          <w:sz w:val="24"/>
          <w:szCs w:val="24"/>
        </w:rPr>
        <w:t xml:space="preserve"> and meat products</w:t>
      </w:r>
      <w:r w:rsidR="00B27647">
        <w:rPr>
          <w:rFonts w:ascii="Arial" w:hAnsi="Arial" w:cs="Arial"/>
          <w:sz w:val="24"/>
          <w:szCs w:val="24"/>
        </w:rPr>
        <w:t>.</w:t>
      </w:r>
    </w:p>
    <w:p w14:paraId="148631A6" w14:textId="77777777" w:rsidR="00335A6A" w:rsidRPr="00DC5A85" w:rsidRDefault="00335A6A" w:rsidP="00DC5A85">
      <w:pPr>
        <w:spacing w:line="276" w:lineRule="auto"/>
        <w:jc w:val="both"/>
        <w:rPr>
          <w:rFonts w:ascii="Arial" w:hAnsi="Arial" w:cs="Arial"/>
          <w:sz w:val="24"/>
          <w:szCs w:val="24"/>
        </w:rPr>
      </w:pPr>
    </w:p>
    <w:p w14:paraId="7B2B595C" w14:textId="77777777" w:rsidR="00335A6A" w:rsidRPr="00DC5A85" w:rsidRDefault="00DC5A85" w:rsidP="00DC5A85">
      <w:pPr>
        <w:spacing w:line="276" w:lineRule="auto"/>
        <w:jc w:val="both"/>
        <w:rPr>
          <w:rFonts w:ascii="Arial" w:hAnsi="Arial" w:cs="Arial"/>
          <w:sz w:val="24"/>
          <w:szCs w:val="24"/>
          <w:u w:val="single"/>
        </w:rPr>
      </w:pPr>
      <w:r w:rsidRPr="00DC5A85">
        <w:rPr>
          <w:rFonts w:ascii="Arial" w:hAnsi="Arial" w:cs="Arial"/>
          <w:sz w:val="24"/>
          <w:szCs w:val="24"/>
          <w:u w:val="single"/>
        </w:rPr>
        <w:t>Overview</w:t>
      </w:r>
    </w:p>
    <w:p w14:paraId="49101722" w14:textId="77777777" w:rsidR="00B27647" w:rsidRDefault="00B27647" w:rsidP="00DC5A85">
      <w:pPr>
        <w:spacing w:line="276" w:lineRule="auto"/>
        <w:jc w:val="both"/>
        <w:rPr>
          <w:rFonts w:ascii="Arial" w:hAnsi="Arial" w:cs="Arial"/>
          <w:sz w:val="24"/>
          <w:szCs w:val="24"/>
        </w:rPr>
      </w:pPr>
    </w:p>
    <w:p w14:paraId="7FFA3B4D" w14:textId="2A553DED" w:rsidR="00CE55E9" w:rsidRDefault="00713CB6" w:rsidP="00DC5A85">
      <w:pPr>
        <w:spacing w:line="276" w:lineRule="auto"/>
        <w:jc w:val="both"/>
        <w:rPr>
          <w:rFonts w:ascii="Arial" w:hAnsi="Arial" w:cs="Arial"/>
          <w:sz w:val="24"/>
          <w:szCs w:val="24"/>
        </w:rPr>
      </w:pPr>
      <w:r>
        <w:rPr>
          <w:rFonts w:ascii="Arial" w:hAnsi="Arial" w:cs="Arial"/>
          <w:sz w:val="24"/>
          <w:szCs w:val="24"/>
        </w:rPr>
        <w:t>This critical review will focus on the meat production chain and will consider the key meat processing stages (poultry and pigs being the main ones</w:t>
      </w:r>
      <w:r w:rsidR="00807818">
        <w:rPr>
          <w:rFonts w:ascii="Arial" w:hAnsi="Arial" w:cs="Arial"/>
          <w:sz w:val="24"/>
          <w:szCs w:val="24"/>
        </w:rPr>
        <w:t xml:space="preserve">, but also to include other meats as possible sources of AMR such as those </w:t>
      </w:r>
      <w:r w:rsidR="000E46C5">
        <w:rPr>
          <w:rFonts w:ascii="Arial" w:hAnsi="Arial" w:cs="Arial"/>
          <w:sz w:val="24"/>
          <w:szCs w:val="24"/>
        </w:rPr>
        <w:t xml:space="preserve">where antibiotic use is higher or </w:t>
      </w:r>
      <w:r w:rsidR="003F4EFA">
        <w:rPr>
          <w:rFonts w:ascii="Arial" w:hAnsi="Arial" w:cs="Arial"/>
          <w:sz w:val="24"/>
          <w:szCs w:val="24"/>
        </w:rPr>
        <w:t xml:space="preserve">where there is </w:t>
      </w:r>
      <w:r w:rsidR="000E46C5">
        <w:rPr>
          <w:rFonts w:ascii="Arial" w:hAnsi="Arial" w:cs="Arial"/>
          <w:sz w:val="24"/>
          <w:szCs w:val="24"/>
        </w:rPr>
        <w:t>more use of the critically important antibiotics</w:t>
      </w:r>
      <w:r>
        <w:rPr>
          <w:rFonts w:ascii="Arial" w:hAnsi="Arial" w:cs="Arial"/>
          <w:sz w:val="24"/>
          <w:szCs w:val="24"/>
        </w:rPr>
        <w:t>) which will help to identify where future surveillance activities are needed to plug important evidence gaps</w:t>
      </w:r>
      <w:r w:rsidR="004B3D50">
        <w:rPr>
          <w:rFonts w:ascii="Arial" w:hAnsi="Arial" w:cs="Arial"/>
          <w:sz w:val="24"/>
          <w:szCs w:val="24"/>
        </w:rPr>
        <w:t>.</w:t>
      </w:r>
    </w:p>
    <w:p w14:paraId="3042FB6B" w14:textId="77777777" w:rsidR="00807818" w:rsidRDefault="00807818" w:rsidP="00DC5A85">
      <w:pPr>
        <w:spacing w:line="276" w:lineRule="auto"/>
        <w:jc w:val="both"/>
        <w:rPr>
          <w:rFonts w:ascii="Arial" w:hAnsi="Arial" w:cs="Arial"/>
          <w:sz w:val="24"/>
          <w:szCs w:val="24"/>
        </w:rPr>
      </w:pPr>
    </w:p>
    <w:p w14:paraId="3DC1EA57" w14:textId="77777777" w:rsidR="00CE55E9" w:rsidRDefault="0072287D" w:rsidP="00DC5A85">
      <w:pPr>
        <w:spacing w:line="276" w:lineRule="auto"/>
        <w:jc w:val="both"/>
        <w:rPr>
          <w:rFonts w:ascii="Arial" w:hAnsi="Arial" w:cs="Arial"/>
          <w:sz w:val="24"/>
          <w:szCs w:val="24"/>
        </w:rPr>
      </w:pPr>
      <w:r>
        <w:rPr>
          <w:rFonts w:ascii="Arial" w:hAnsi="Arial" w:cs="Arial"/>
          <w:sz w:val="24"/>
          <w:szCs w:val="24"/>
        </w:rPr>
        <w:t>Until relatively recently, concerns about the development and spread of AMR bacteria and AMR genes have focussed principally on the widespread use of antibiotics in human and animal health.  Thus, the intermediate elements of the human food chain were viewed as ‘a conveyor belt’ from farm to fork, where the main microbiological challenges were “quantitative” focussing on reducing the gross numbers of contaminating spoilage and pathogenic bacteria persisting in/on food products, with less emphasis on potential “qualitative” changes in the virulence or antimicrobial resistance of sub-lethally stressed bacteria in/on such food products.</w:t>
      </w:r>
    </w:p>
    <w:p w14:paraId="5347DEB3" w14:textId="77777777" w:rsidR="0072287D" w:rsidRDefault="0072287D" w:rsidP="00DC5A85">
      <w:pPr>
        <w:spacing w:line="276" w:lineRule="auto"/>
        <w:jc w:val="both"/>
        <w:rPr>
          <w:rFonts w:ascii="Arial" w:hAnsi="Arial" w:cs="Arial"/>
          <w:sz w:val="24"/>
          <w:szCs w:val="24"/>
        </w:rPr>
      </w:pPr>
    </w:p>
    <w:p w14:paraId="073763BB" w14:textId="6E101E75" w:rsidR="0072287D" w:rsidRDefault="0072287D" w:rsidP="00DC5A85">
      <w:pPr>
        <w:spacing w:line="276" w:lineRule="auto"/>
        <w:jc w:val="both"/>
        <w:rPr>
          <w:rFonts w:ascii="Arial" w:hAnsi="Arial" w:cs="Arial"/>
          <w:sz w:val="24"/>
          <w:szCs w:val="24"/>
        </w:rPr>
      </w:pPr>
      <w:r>
        <w:rPr>
          <w:rFonts w:ascii="Arial" w:hAnsi="Arial" w:cs="Arial"/>
          <w:sz w:val="24"/>
          <w:szCs w:val="24"/>
        </w:rPr>
        <w:t>Secondary food processing is an area where relatively little knowledge is available on the impact this has on AMR in the food chain and</w:t>
      </w:r>
      <w:r w:rsidR="00807818">
        <w:rPr>
          <w:rFonts w:ascii="Arial" w:hAnsi="Arial" w:cs="Arial"/>
          <w:sz w:val="24"/>
          <w:szCs w:val="24"/>
        </w:rPr>
        <w:t xml:space="preserve"> </w:t>
      </w:r>
      <w:r>
        <w:rPr>
          <w:rFonts w:ascii="Arial" w:hAnsi="Arial" w:cs="Arial"/>
          <w:sz w:val="24"/>
          <w:szCs w:val="24"/>
        </w:rPr>
        <w:t xml:space="preserve">the AMR risks associated with bacterial stress responses during food processing.  One aspect, identified as a high priority by the ACMSF </w:t>
      </w:r>
      <w:r w:rsidR="00E84E76">
        <w:rPr>
          <w:rFonts w:ascii="Arial" w:hAnsi="Arial" w:cs="Arial"/>
          <w:sz w:val="24"/>
          <w:szCs w:val="24"/>
        </w:rPr>
        <w:t>‘</w:t>
      </w:r>
      <w:r>
        <w:rPr>
          <w:rFonts w:ascii="Arial" w:hAnsi="Arial" w:cs="Arial"/>
          <w:sz w:val="24"/>
          <w:szCs w:val="24"/>
        </w:rPr>
        <w:t>Task &amp; Finish</w:t>
      </w:r>
      <w:r w:rsidR="00E84E76">
        <w:rPr>
          <w:rFonts w:ascii="Arial" w:hAnsi="Arial" w:cs="Arial"/>
          <w:sz w:val="24"/>
          <w:szCs w:val="24"/>
        </w:rPr>
        <w:t>’</w:t>
      </w:r>
      <w:r>
        <w:rPr>
          <w:rFonts w:ascii="Arial" w:hAnsi="Arial" w:cs="Arial"/>
          <w:sz w:val="24"/>
          <w:szCs w:val="24"/>
        </w:rPr>
        <w:t xml:space="preserve"> Group, is the AMR impact of the use of bacteriostatic treatments during food processing.  Recently, there has been a sustained movement away from bactericidal (lethal) processes toward milder bacteriostatic (inhibitory) processes, which can leave considerable populations of stress inhibited/damaged bacteria in treated foods.  These sub-lethally stressed bacteria can recover and grow if the bacteriostatic stresses are reduced or removed, increasing the risk of the development and spread of AMR genes within a food product.</w:t>
      </w:r>
    </w:p>
    <w:p w14:paraId="72F9A338" w14:textId="77777777" w:rsidR="0072287D" w:rsidRDefault="0072287D" w:rsidP="00DC5A85">
      <w:pPr>
        <w:spacing w:line="276" w:lineRule="auto"/>
        <w:jc w:val="both"/>
        <w:rPr>
          <w:rFonts w:ascii="Arial" w:hAnsi="Arial" w:cs="Arial"/>
          <w:sz w:val="24"/>
          <w:szCs w:val="24"/>
        </w:rPr>
      </w:pPr>
    </w:p>
    <w:p w14:paraId="6DF79493" w14:textId="33209CE4" w:rsidR="0072287D" w:rsidRDefault="0072287D" w:rsidP="00DC5A85">
      <w:pPr>
        <w:spacing w:line="276" w:lineRule="auto"/>
        <w:jc w:val="both"/>
        <w:rPr>
          <w:rFonts w:ascii="Arial" w:hAnsi="Arial" w:cs="Arial"/>
          <w:sz w:val="24"/>
          <w:szCs w:val="24"/>
        </w:rPr>
      </w:pPr>
      <w:r>
        <w:rPr>
          <w:rFonts w:ascii="Arial" w:hAnsi="Arial" w:cs="Arial"/>
          <w:sz w:val="24"/>
          <w:szCs w:val="24"/>
        </w:rPr>
        <w:lastRenderedPageBreak/>
        <w:t xml:space="preserve">Other aspects of food processing, identified by the ACMSF </w:t>
      </w:r>
      <w:r w:rsidR="00E84E76">
        <w:rPr>
          <w:rFonts w:ascii="Arial" w:hAnsi="Arial" w:cs="Arial"/>
          <w:sz w:val="24"/>
          <w:szCs w:val="24"/>
        </w:rPr>
        <w:t>‘</w:t>
      </w:r>
      <w:r>
        <w:rPr>
          <w:rFonts w:ascii="Arial" w:hAnsi="Arial" w:cs="Arial"/>
          <w:sz w:val="24"/>
          <w:szCs w:val="24"/>
        </w:rPr>
        <w:t>Task &amp; Finish</w:t>
      </w:r>
      <w:r w:rsidR="00E84E76">
        <w:rPr>
          <w:rFonts w:ascii="Arial" w:hAnsi="Arial" w:cs="Arial"/>
          <w:sz w:val="24"/>
          <w:szCs w:val="24"/>
        </w:rPr>
        <w:t>’</w:t>
      </w:r>
      <w:r>
        <w:rPr>
          <w:rFonts w:ascii="Arial" w:hAnsi="Arial" w:cs="Arial"/>
          <w:sz w:val="24"/>
          <w:szCs w:val="24"/>
        </w:rPr>
        <w:t xml:space="preserve"> Group as areas of interest and </w:t>
      </w:r>
      <w:r w:rsidR="00542910">
        <w:rPr>
          <w:rFonts w:ascii="Arial" w:hAnsi="Arial" w:cs="Arial"/>
          <w:sz w:val="24"/>
          <w:szCs w:val="24"/>
        </w:rPr>
        <w:t xml:space="preserve">of </w:t>
      </w:r>
      <w:r>
        <w:rPr>
          <w:rFonts w:ascii="Arial" w:hAnsi="Arial" w:cs="Arial"/>
          <w:sz w:val="24"/>
          <w:szCs w:val="24"/>
        </w:rPr>
        <w:t>medium priority to FSA, include the impact of new and emerging food contact surface decontamination technologies in encouraging the emergence/persistence of AMR on such surfaces and the impact on AMR from the formation and persistence of biofilms on food contact surfaces and inadequate biocide/sanitiser decontamination treatments.</w:t>
      </w:r>
    </w:p>
    <w:p w14:paraId="4E0BC7B5" w14:textId="77777777" w:rsidR="0072287D" w:rsidRDefault="0072287D" w:rsidP="00DC5A85">
      <w:pPr>
        <w:spacing w:line="276" w:lineRule="auto"/>
        <w:jc w:val="both"/>
        <w:rPr>
          <w:rFonts w:ascii="Arial" w:hAnsi="Arial" w:cs="Arial"/>
          <w:sz w:val="24"/>
          <w:szCs w:val="24"/>
        </w:rPr>
      </w:pPr>
    </w:p>
    <w:p w14:paraId="34F951C8" w14:textId="77777777" w:rsidR="00CE55E9" w:rsidRDefault="0072287D" w:rsidP="00DC5A85">
      <w:pPr>
        <w:spacing w:line="276" w:lineRule="auto"/>
        <w:jc w:val="both"/>
        <w:rPr>
          <w:rFonts w:ascii="Arial" w:hAnsi="Arial" w:cs="Arial"/>
          <w:sz w:val="24"/>
          <w:szCs w:val="24"/>
        </w:rPr>
      </w:pPr>
      <w:r>
        <w:rPr>
          <w:rFonts w:ascii="Arial" w:hAnsi="Arial" w:cs="Arial"/>
          <w:sz w:val="24"/>
          <w:szCs w:val="24"/>
        </w:rPr>
        <w:t xml:space="preserve">This critical review </w:t>
      </w:r>
      <w:r w:rsidR="006B0608">
        <w:rPr>
          <w:rFonts w:ascii="Arial" w:hAnsi="Arial" w:cs="Arial"/>
          <w:sz w:val="24"/>
          <w:szCs w:val="24"/>
        </w:rPr>
        <w:t>will provide an insight into the impact that meat processing has on the presence of AMR bacteria</w:t>
      </w:r>
      <w:r w:rsidR="00495873">
        <w:rPr>
          <w:rFonts w:ascii="Arial" w:hAnsi="Arial" w:cs="Arial"/>
          <w:sz w:val="24"/>
          <w:szCs w:val="24"/>
        </w:rPr>
        <w:t xml:space="preserve"> in meat and meat products, including a consideration of bacterial stress responses and the use of sub-lethal food processing technologies.</w:t>
      </w:r>
    </w:p>
    <w:p w14:paraId="5BC33621" w14:textId="77777777" w:rsidR="00495873" w:rsidRDefault="00495873" w:rsidP="00DC5A85">
      <w:pPr>
        <w:spacing w:line="276" w:lineRule="auto"/>
        <w:jc w:val="both"/>
        <w:rPr>
          <w:rFonts w:ascii="Arial" w:hAnsi="Arial" w:cs="Arial"/>
          <w:sz w:val="24"/>
          <w:szCs w:val="24"/>
        </w:rPr>
      </w:pPr>
    </w:p>
    <w:p w14:paraId="6B006CF9" w14:textId="77777777" w:rsidR="00495873" w:rsidRDefault="00495873" w:rsidP="00DC5A85">
      <w:pPr>
        <w:spacing w:line="276" w:lineRule="auto"/>
        <w:jc w:val="both"/>
        <w:rPr>
          <w:rFonts w:ascii="Arial" w:hAnsi="Arial" w:cs="Arial"/>
          <w:sz w:val="24"/>
          <w:szCs w:val="24"/>
          <w:u w:val="single"/>
        </w:rPr>
      </w:pPr>
      <w:r>
        <w:rPr>
          <w:rFonts w:ascii="Arial" w:hAnsi="Arial" w:cs="Arial"/>
          <w:sz w:val="24"/>
          <w:szCs w:val="24"/>
          <w:u w:val="single"/>
        </w:rPr>
        <w:t>Details</w:t>
      </w:r>
    </w:p>
    <w:p w14:paraId="0A617642" w14:textId="77777777" w:rsidR="00495873" w:rsidRDefault="00495873" w:rsidP="00DC5A85">
      <w:pPr>
        <w:spacing w:line="276" w:lineRule="auto"/>
        <w:jc w:val="both"/>
        <w:rPr>
          <w:rFonts w:ascii="Arial" w:hAnsi="Arial" w:cs="Arial"/>
          <w:sz w:val="24"/>
          <w:szCs w:val="24"/>
          <w:u w:val="single"/>
        </w:rPr>
      </w:pPr>
    </w:p>
    <w:p w14:paraId="580287BC" w14:textId="77777777" w:rsidR="00495873" w:rsidRDefault="00495873" w:rsidP="00DC5A85">
      <w:pPr>
        <w:spacing w:line="276" w:lineRule="auto"/>
        <w:jc w:val="both"/>
        <w:rPr>
          <w:rFonts w:ascii="Arial" w:hAnsi="Arial" w:cs="Arial"/>
          <w:sz w:val="24"/>
          <w:szCs w:val="24"/>
        </w:rPr>
      </w:pPr>
      <w:r>
        <w:rPr>
          <w:rFonts w:ascii="Arial" w:hAnsi="Arial" w:cs="Arial"/>
          <w:sz w:val="24"/>
          <w:szCs w:val="24"/>
        </w:rPr>
        <w:t>The key elements of</w:t>
      </w:r>
      <w:r w:rsidR="00A132E9">
        <w:rPr>
          <w:rFonts w:ascii="Arial" w:hAnsi="Arial" w:cs="Arial"/>
          <w:sz w:val="24"/>
          <w:szCs w:val="24"/>
        </w:rPr>
        <w:t xml:space="preserve"> the work</w:t>
      </w:r>
      <w:r>
        <w:rPr>
          <w:rFonts w:ascii="Arial" w:hAnsi="Arial" w:cs="Arial"/>
          <w:sz w:val="24"/>
          <w:szCs w:val="24"/>
        </w:rPr>
        <w:t xml:space="preserve"> are as follows:</w:t>
      </w:r>
    </w:p>
    <w:p w14:paraId="741E1541" w14:textId="77777777" w:rsidR="00495873" w:rsidRDefault="00495873" w:rsidP="00DC5A85">
      <w:pPr>
        <w:spacing w:line="276" w:lineRule="auto"/>
        <w:jc w:val="both"/>
        <w:rPr>
          <w:rFonts w:ascii="Arial" w:hAnsi="Arial" w:cs="Arial"/>
          <w:sz w:val="24"/>
          <w:szCs w:val="24"/>
        </w:rPr>
      </w:pPr>
    </w:p>
    <w:p w14:paraId="41225646" w14:textId="5ADD8BD2" w:rsidR="00495873" w:rsidRDefault="00495873" w:rsidP="00495873">
      <w:pPr>
        <w:pStyle w:val="ListParagraph"/>
        <w:numPr>
          <w:ilvl w:val="0"/>
          <w:numId w:val="36"/>
        </w:numPr>
        <w:spacing w:line="276" w:lineRule="auto"/>
        <w:jc w:val="both"/>
        <w:rPr>
          <w:rFonts w:ascii="Arial" w:hAnsi="Arial" w:cs="Arial"/>
          <w:sz w:val="24"/>
          <w:szCs w:val="24"/>
        </w:rPr>
      </w:pPr>
      <w:r>
        <w:rPr>
          <w:rFonts w:ascii="Arial" w:hAnsi="Arial" w:cs="Arial"/>
          <w:sz w:val="24"/>
          <w:szCs w:val="24"/>
        </w:rPr>
        <w:t>To</w:t>
      </w:r>
      <w:r w:rsidR="00A132E9">
        <w:rPr>
          <w:rFonts w:ascii="Arial" w:hAnsi="Arial" w:cs="Arial"/>
          <w:sz w:val="24"/>
          <w:szCs w:val="24"/>
        </w:rPr>
        <w:t xml:space="preserve"> design and carry out a critical review of the available </w:t>
      </w:r>
      <w:r w:rsidR="006E4687">
        <w:rPr>
          <w:rFonts w:ascii="Arial" w:hAnsi="Arial" w:cs="Arial"/>
          <w:sz w:val="24"/>
          <w:szCs w:val="24"/>
        </w:rPr>
        <w:t xml:space="preserve">scientific </w:t>
      </w:r>
      <w:r w:rsidR="00A132E9">
        <w:rPr>
          <w:rFonts w:ascii="Arial" w:hAnsi="Arial" w:cs="Arial"/>
          <w:sz w:val="24"/>
          <w:szCs w:val="24"/>
        </w:rPr>
        <w:t>literature to identify whether secondary food processing has an impact on the presence and spread of AMR bacteria</w:t>
      </w:r>
      <w:r w:rsidR="004B2AE9">
        <w:rPr>
          <w:rFonts w:ascii="Arial" w:hAnsi="Arial" w:cs="Arial"/>
          <w:sz w:val="24"/>
          <w:szCs w:val="24"/>
        </w:rPr>
        <w:t>/genes</w:t>
      </w:r>
      <w:r w:rsidR="00A132E9">
        <w:rPr>
          <w:rFonts w:ascii="Arial" w:hAnsi="Arial" w:cs="Arial"/>
          <w:sz w:val="24"/>
          <w:szCs w:val="24"/>
        </w:rPr>
        <w:t xml:space="preserve"> in meat</w:t>
      </w:r>
      <w:r w:rsidR="00807818">
        <w:rPr>
          <w:rFonts w:ascii="Arial" w:hAnsi="Arial" w:cs="Arial"/>
          <w:sz w:val="24"/>
          <w:szCs w:val="24"/>
        </w:rPr>
        <w:t xml:space="preserve"> and meat products</w:t>
      </w:r>
      <w:r w:rsidR="00550A53">
        <w:rPr>
          <w:rFonts w:ascii="Arial" w:hAnsi="Arial" w:cs="Arial"/>
          <w:sz w:val="24"/>
          <w:szCs w:val="24"/>
        </w:rPr>
        <w:t xml:space="preserve">. </w:t>
      </w:r>
      <w:r w:rsidR="00DF4893">
        <w:rPr>
          <w:rFonts w:ascii="Arial" w:hAnsi="Arial" w:cs="Arial"/>
          <w:sz w:val="24"/>
          <w:szCs w:val="24"/>
        </w:rPr>
        <w:t xml:space="preserve"> </w:t>
      </w:r>
      <w:r w:rsidR="00550A53">
        <w:rPr>
          <w:rFonts w:ascii="Arial" w:hAnsi="Arial" w:cs="Arial"/>
          <w:sz w:val="24"/>
          <w:szCs w:val="24"/>
        </w:rPr>
        <w:t xml:space="preserve">The </w:t>
      </w:r>
      <w:proofErr w:type="gramStart"/>
      <w:r w:rsidR="00550A53">
        <w:rPr>
          <w:rFonts w:ascii="Arial" w:hAnsi="Arial" w:cs="Arial"/>
          <w:sz w:val="24"/>
          <w:szCs w:val="24"/>
        </w:rPr>
        <w:t>main focus</w:t>
      </w:r>
      <w:proofErr w:type="gramEnd"/>
      <w:r w:rsidR="00550A53">
        <w:rPr>
          <w:rFonts w:ascii="Arial" w:hAnsi="Arial" w:cs="Arial"/>
          <w:sz w:val="24"/>
          <w:szCs w:val="24"/>
        </w:rPr>
        <w:t xml:space="preserve"> should be</w:t>
      </w:r>
      <w:r w:rsidR="00DF4893">
        <w:rPr>
          <w:rFonts w:ascii="Arial" w:hAnsi="Arial" w:cs="Arial"/>
          <w:sz w:val="24"/>
          <w:szCs w:val="24"/>
        </w:rPr>
        <w:t xml:space="preserve"> on</w:t>
      </w:r>
      <w:r w:rsidR="000E46C5">
        <w:rPr>
          <w:rFonts w:ascii="Arial" w:hAnsi="Arial" w:cs="Arial"/>
          <w:sz w:val="24"/>
          <w:szCs w:val="24"/>
        </w:rPr>
        <w:t xml:space="preserve"> </w:t>
      </w:r>
      <w:r w:rsidR="00550A53">
        <w:rPr>
          <w:rFonts w:ascii="Arial" w:hAnsi="Arial" w:cs="Arial"/>
          <w:sz w:val="24"/>
          <w:szCs w:val="24"/>
        </w:rPr>
        <w:t xml:space="preserve">meat </w:t>
      </w:r>
      <w:r w:rsidR="000E46C5">
        <w:rPr>
          <w:rFonts w:ascii="Arial" w:hAnsi="Arial" w:cs="Arial"/>
          <w:sz w:val="24"/>
          <w:szCs w:val="24"/>
        </w:rPr>
        <w:t xml:space="preserve">from poultry and pigs, but consideration should also be given </w:t>
      </w:r>
      <w:r w:rsidR="004E3600">
        <w:rPr>
          <w:rFonts w:ascii="Arial" w:hAnsi="Arial" w:cs="Arial"/>
          <w:sz w:val="24"/>
          <w:szCs w:val="24"/>
        </w:rPr>
        <w:t xml:space="preserve">to </w:t>
      </w:r>
      <w:r w:rsidR="00DF4893">
        <w:rPr>
          <w:rFonts w:ascii="Arial" w:hAnsi="Arial" w:cs="Arial"/>
          <w:sz w:val="24"/>
          <w:szCs w:val="24"/>
        </w:rPr>
        <w:t>meats from other species</w:t>
      </w:r>
      <w:r w:rsidR="000E46C5">
        <w:rPr>
          <w:rFonts w:ascii="Arial" w:hAnsi="Arial" w:cs="Arial"/>
          <w:sz w:val="24"/>
          <w:szCs w:val="24"/>
        </w:rPr>
        <w:t xml:space="preserve"> as possible sources of AMR.</w:t>
      </w:r>
    </w:p>
    <w:p w14:paraId="55E6FED2" w14:textId="14156862" w:rsidR="000E46C5" w:rsidRDefault="000E46C5" w:rsidP="00A132E9">
      <w:pPr>
        <w:spacing w:line="276" w:lineRule="auto"/>
        <w:jc w:val="both"/>
        <w:rPr>
          <w:rFonts w:ascii="Arial" w:hAnsi="Arial" w:cs="Arial"/>
          <w:sz w:val="24"/>
          <w:szCs w:val="24"/>
        </w:rPr>
      </w:pPr>
    </w:p>
    <w:p w14:paraId="1168044F" w14:textId="512217A4" w:rsidR="00A132E9" w:rsidRDefault="006E4687" w:rsidP="00A132E9">
      <w:pPr>
        <w:pStyle w:val="ListParagraph"/>
        <w:numPr>
          <w:ilvl w:val="0"/>
          <w:numId w:val="36"/>
        </w:numPr>
        <w:spacing w:line="276" w:lineRule="auto"/>
        <w:jc w:val="both"/>
        <w:rPr>
          <w:rFonts w:ascii="Arial" w:hAnsi="Arial" w:cs="Arial"/>
          <w:sz w:val="24"/>
          <w:szCs w:val="24"/>
        </w:rPr>
      </w:pPr>
      <w:r>
        <w:rPr>
          <w:rFonts w:ascii="Arial" w:hAnsi="Arial" w:cs="Arial"/>
          <w:sz w:val="24"/>
          <w:szCs w:val="24"/>
        </w:rPr>
        <w:t xml:space="preserve">The review should consider both pathogenic and commensal </w:t>
      </w:r>
      <w:r w:rsidR="00A132E9">
        <w:rPr>
          <w:rFonts w:ascii="Arial" w:hAnsi="Arial" w:cs="Arial"/>
          <w:sz w:val="24"/>
          <w:szCs w:val="24"/>
        </w:rPr>
        <w:t>AMR bacteria</w:t>
      </w:r>
      <w:r w:rsidR="00A65297">
        <w:rPr>
          <w:rFonts w:ascii="Arial" w:hAnsi="Arial" w:cs="Arial"/>
          <w:sz w:val="24"/>
          <w:szCs w:val="24"/>
        </w:rPr>
        <w:t xml:space="preserve"> and their AMR genes.</w:t>
      </w:r>
      <w:r w:rsidR="00A132E9">
        <w:rPr>
          <w:rFonts w:ascii="Arial" w:hAnsi="Arial" w:cs="Arial"/>
          <w:sz w:val="24"/>
          <w:szCs w:val="24"/>
        </w:rPr>
        <w:t xml:space="preserve"> </w:t>
      </w:r>
      <w:r w:rsidR="00DF4893">
        <w:rPr>
          <w:rFonts w:ascii="Arial" w:hAnsi="Arial" w:cs="Arial"/>
          <w:sz w:val="24"/>
          <w:szCs w:val="24"/>
        </w:rPr>
        <w:t xml:space="preserve"> </w:t>
      </w:r>
      <w:r w:rsidR="004E3600">
        <w:rPr>
          <w:rFonts w:ascii="Arial" w:hAnsi="Arial" w:cs="Arial"/>
          <w:sz w:val="24"/>
          <w:szCs w:val="24"/>
        </w:rPr>
        <w:t xml:space="preserve">Pathogens should </w:t>
      </w:r>
      <w:r w:rsidR="00A132E9">
        <w:rPr>
          <w:rFonts w:ascii="Arial" w:hAnsi="Arial" w:cs="Arial"/>
          <w:sz w:val="24"/>
          <w:szCs w:val="24"/>
        </w:rPr>
        <w:t xml:space="preserve">specifically </w:t>
      </w:r>
      <w:r w:rsidR="004E3600">
        <w:rPr>
          <w:rFonts w:ascii="Arial" w:hAnsi="Arial" w:cs="Arial"/>
          <w:sz w:val="24"/>
          <w:szCs w:val="24"/>
        </w:rPr>
        <w:t xml:space="preserve">consider but not be limited to </w:t>
      </w:r>
      <w:r w:rsidR="00A132E9">
        <w:rPr>
          <w:rFonts w:ascii="Arial" w:hAnsi="Arial" w:cs="Arial"/>
          <w:i/>
          <w:sz w:val="24"/>
          <w:szCs w:val="24"/>
        </w:rPr>
        <w:t>Campylobacter</w:t>
      </w:r>
      <w:r w:rsidR="00A132E9">
        <w:rPr>
          <w:rFonts w:ascii="Arial" w:hAnsi="Arial" w:cs="Arial"/>
          <w:sz w:val="24"/>
          <w:szCs w:val="24"/>
        </w:rPr>
        <w:t xml:space="preserve"> spp. in poultry meat and </w:t>
      </w:r>
      <w:r w:rsidR="00A132E9">
        <w:rPr>
          <w:rFonts w:ascii="Arial" w:hAnsi="Arial" w:cs="Arial"/>
          <w:i/>
          <w:sz w:val="24"/>
          <w:szCs w:val="24"/>
        </w:rPr>
        <w:t>Salmonella</w:t>
      </w:r>
      <w:r w:rsidR="00A132E9">
        <w:rPr>
          <w:rFonts w:ascii="Arial" w:hAnsi="Arial" w:cs="Arial"/>
          <w:sz w:val="24"/>
          <w:szCs w:val="24"/>
        </w:rPr>
        <w:t xml:space="preserve"> spp. in pork meat. </w:t>
      </w:r>
      <w:r w:rsidR="006575DF">
        <w:rPr>
          <w:rFonts w:ascii="Arial" w:hAnsi="Arial" w:cs="Arial"/>
          <w:sz w:val="24"/>
          <w:szCs w:val="24"/>
        </w:rPr>
        <w:t xml:space="preserve"> Commensals </w:t>
      </w:r>
      <w:r w:rsidR="004E3600">
        <w:rPr>
          <w:rFonts w:ascii="Arial" w:hAnsi="Arial" w:cs="Arial"/>
          <w:sz w:val="24"/>
          <w:szCs w:val="24"/>
        </w:rPr>
        <w:t>should</w:t>
      </w:r>
      <w:r w:rsidR="006575DF">
        <w:rPr>
          <w:rFonts w:ascii="Arial" w:hAnsi="Arial" w:cs="Arial"/>
          <w:sz w:val="24"/>
          <w:szCs w:val="24"/>
        </w:rPr>
        <w:t xml:space="preserve"> include ESBL, </w:t>
      </w:r>
      <w:proofErr w:type="spellStart"/>
      <w:r w:rsidR="00A132E9">
        <w:rPr>
          <w:rFonts w:ascii="Arial" w:hAnsi="Arial" w:cs="Arial"/>
          <w:sz w:val="24"/>
          <w:szCs w:val="24"/>
        </w:rPr>
        <w:t>AmpC</w:t>
      </w:r>
      <w:proofErr w:type="spellEnd"/>
      <w:r w:rsidR="006575DF">
        <w:rPr>
          <w:rFonts w:ascii="Arial" w:hAnsi="Arial" w:cs="Arial"/>
          <w:sz w:val="24"/>
          <w:szCs w:val="24"/>
        </w:rPr>
        <w:t xml:space="preserve"> &amp; </w:t>
      </w:r>
      <w:proofErr w:type="spellStart"/>
      <w:r w:rsidR="006575DF">
        <w:rPr>
          <w:rFonts w:ascii="Arial" w:hAnsi="Arial" w:cs="Arial"/>
          <w:sz w:val="24"/>
          <w:szCs w:val="24"/>
        </w:rPr>
        <w:t>Carbapenemase</w:t>
      </w:r>
      <w:proofErr w:type="spellEnd"/>
      <w:r w:rsidR="004B2AE9">
        <w:rPr>
          <w:rFonts w:ascii="Arial" w:hAnsi="Arial" w:cs="Arial"/>
          <w:sz w:val="24"/>
          <w:szCs w:val="24"/>
        </w:rPr>
        <w:t>-producing</w:t>
      </w:r>
      <w:r w:rsidR="00A132E9">
        <w:rPr>
          <w:rFonts w:ascii="Arial" w:hAnsi="Arial" w:cs="Arial"/>
          <w:sz w:val="24"/>
          <w:szCs w:val="24"/>
        </w:rPr>
        <w:t xml:space="preserve"> </w:t>
      </w:r>
      <w:r w:rsidR="00A132E9">
        <w:rPr>
          <w:rFonts w:ascii="Arial" w:hAnsi="Arial" w:cs="Arial"/>
          <w:i/>
          <w:sz w:val="24"/>
          <w:szCs w:val="24"/>
        </w:rPr>
        <w:t>E. coli</w:t>
      </w:r>
      <w:r w:rsidR="00A132E9">
        <w:rPr>
          <w:rFonts w:ascii="Arial" w:hAnsi="Arial" w:cs="Arial"/>
          <w:sz w:val="24"/>
          <w:szCs w:val="24"/>
        </w:rPr>
        <w:t xml:space="preserve">, </w:t>
      </w:r>
      <w:proofErr w:type="spellStart"/>
      <w:r w:rsidR="00A132E9">
        <w:rPr>
          <w:rFonts w:ascii="Arial" w:hAnsi="Arial" w:cs="Arial"/>
          <w:i/>
          <w:sz w:val="24"/>
          <w:szCs w:val="24"/>
        </w:rPr>
        <w:t>Klebsiella</w:t>
      </w:r>
      <w:proofErr w:type="spellEnd"/>
      <w:r w:rsidR="00A132E9">
        <w:rPr>
          <w:rFonts w:ascii="Arial" w:hAnsi="Arial" w:cs="Arial"/>
          <w:i/>
          <w:sz w:val="24"/>
          <w:szCs w:val="24"/>
        </w:rPr>
        <w:t xml:space="preserve"> </w:t>
      </w:r>
      <w:r w:rsidR="00A132E9">
        <w:rPr>
          <w:rFonts w:ascii="Arial" w:hAnsi="Arial" w:cs="Arial"/>
          <w:sz w:val="24"/>
          <w:szCs w:val="24"/>
        </w:rPr>
        <w:t>spp. and Enterococci.</w:t>
      </w:r>
    </w:p>
    <w:p w14:paraId="5E7A1075" w14:textId="77777777" w:rsidR="00A132E9" w:rsidRPr="00A132E9" w:rsidRDefault="00A132E9" w:rsidP="00A132E9">
      <w:pPr>
        <w:pStyle w:val="ListParagraph"/>
        <w:rPr>
          <w:rFonts w:ascii="Arial" w:hAnsi="Arial" w:cs="Arial"/>
          <w:sz w:val="24"/>
          <w:szCs w:val="24"/>
        </w:rPr>
      </w:pPr>
    </w:p>
    <w:p w14:paraId="0BD63678" w14:textId="6711EF3A" w:rsidR="00A132E9" w:rsidRDefault="00A132E9" w:rsidP="00A132E9">
      <w:pPr>
        <w:pStyle w:val="ListParagraph"/>
        <w:numPr>
          <w:ilvl w:val="0"/>
          <w:numId w:val="36"/>
        </w:numPr>
        <w:spacing w:line="276" w:lineRule="auto"/>
        <w:jc w:val="both"/>
        <w:rPr>
          <w:rFonts w:ascii="Arial" w:hAnsi="Arial" w:cs="Arial"/>
          <w:sz w:val="24"/>
          <w:szCs w:val="24"/>
        </w:rPr>
      </w:pPr>
      <w:r>
        <w:rPr>
          <w:rFonts w:ascii="Arial" w:hAnsi="Arial" w:cs="Arial"/>
          <w:sz w:val="24"/>
          <w:szCs w:val="24"/>
        </w:rPr>
        <w:t>Secondary food processing activities should include post-harvest/slaughter removal of damaged or undesirable/inedible elements, portioning and preparing the raw material e.g. deboning, portioning and forming, as well as value modification (</w:t>
      </w:r>
      <w:proofErr w:type="spellStart"/>
      <w:r>
        <w:rPr>
          <w:rFonts w:ascii="Arial" w:hAnsi="Arial" w:cs="Arial"/>
          <w:sz w:val="24"/>
          <w:szCs w:val="24"/>
        </w:rPr>
        <w:t>marination</w:t>
      </w:r>
      <w:proofErr w:type="spellEnd"/>
      <w:r>
        <w:rPr>
          <w:rFonts w:ascii="Arial" w:hAnsi="Arial" w:cs="Arial"/>
          <w:sz w:val="24"/>
          <w:szCs w:val="24"/>
        </w:rPr>
        <w:t>, fermentation), mixing with other edible materials, including processing aids, decontamination treatments (including heat treatment</w:t>
      </w:r>
      <w:r w:rsidR="006F141C">
        <w:rPr>
          <w:rFonts w:ascii="Arial" w:hAnsi="Arial" w:cs="Arial"/>
          <w:sz w:val="24"/>
          <w:szCs w:val="24"/>
        </w:rPr>
        <w:t xml:space="preserve"> &amp; chlorination</w:t>
      </w:r>
      <w:r>
        <w:rPr>
          <w:rFonts w:ascii="Arial" w:hAnsi="Arial" w:cs="Arial"/>
          <w:sz w:val="24"/>
          <w:szCs w:val="24"/>
        </w:rPr>
        <w:t>), and stabilising by chilling/freezing/MAP/packaging.</w:t>
      </w:r>
    </w:p>
    <w:p w14:paraId="33F44487" w14:textId="77777777" w:rsidR="00664FCC" w:rsidRPr="00664FCC" w:rsidRDefault="00664FCC" w:rsidP="00664FCC">
      <w:pPr>
        <w:pStyle w:val="ListParagraph"/>
        <w:rPr>
          <w:rFonts w:ascii="Arial" w:hAnsi="Arial" w:cs="Arial"/>
          <w:sz w:val="24"/>
          <w:szCs w:val="24"/>
        </w:rPr>
      </w:pPr>
    </w:p>
    <w:p w14:paraId="3CF5CBF4" w14:textId="628A7ACA" w:rsidR="00664FCC" w:rsidRDefault="00664FCC" w:rsidP="00A132E9">
      <w:pPr>
        <w:pStyle w:val="ListParagraph"/>
        <w:numPr>
          <w:ilvl w:val="0"/>
          <w:numId w:val="36"/>
        </w:numPr>
        <w:spacing w:line="276" w:lineRule="auto"/>
        <w:jc w:val="both"/>
        <w:rPr>
          <w:rFonts w:ascii="Arial" w:hAnsi="Arial" w:cs="Arial"/>
          <w:sz w:val="24"/>
          <w:szCs w:val="24"/>
        </w:rPr>
      </w:pPr>
      <w:r>
        <w:rPr>
          <w:rFonts w:ascii="Arial" w:hAnsi="Arial" w:cs="Arial"/>
          <w:sz w:val="24"/>
          <w:szCs w:val="24"/>
        </w:rPr>
        <w:t>The review should consider the priorities outlined in the ACMSF ‘Task &amp; Finish’ Group report on secondary food processing, to include studies focussing on the AMR impact of the use of bacteriostatic treatments during food processing and the impact of new and emerging food contact surface decontamination technologies</w:t>
      </w:r>
      <w:r w:rsidR="00FA5B3D">
        <w:rPr>
          <w:rFonts w:ascii="Arial" w:hAnsi="Arial" w:cs="Arial"/>
          <w:sz w:val="24"/>
          <w:szCs w:val="24"/>
        </w:rPr>
        <w:t>.</w:t>
      </w:r>
    </w:p>
    <w:p w14:paraId="1F35593A" w14:textId="77777777" w:rsidR="000E46C5" w:rsidRPr="000E46C5" w:rsidRDefault="000E46C5" w:rsidP="000E46C5">
      <w:pPr>
        <w:pStyle w:val="ListParagraph"/>
        <w:rPr>
          <w:rFonts w:ascii="Arial" w:hAnsi="Arial" w:cs="Arial"/>
          <w:sz w:val="24"/>
          <w:szCs w:val="24"/>
        </w:rPr>
      </w:pPr>
    </w:p>
    <w:p w14:paraId="502A4953" w14:textId="3CEE35D6" w:rsidR="000E46C5" w:rsidRPr="005D0BA5" w:rsidRDefault="000E46C5" w:rsidP="000E46C5">
      <w:pPr>
        <w:pStyle w:val="ListParagraph"/>
        <w:numPr>
          <w:ilvl w:val="0"/>
          <w:numId w:val="36"/>
        </w:numPr>
        <w:spacing w:line="276" w:lineRule="auto"/>
        <w:jc w:val="both"/>
        <w:rPr>
          <w:rFonts w:ascii="Arial" w:hAnsi="Arial" w:cs="Arial"/>
          <w:sz w:val="24"/>
          <w:szCs w:val="24"/>
        </w:rPr>
      </w:pPr>
      <w:r>
        <w:rPr>
          <w:rFonts w:ascii="Arial" w:hAnsi="Arial" w:cs="Arial"/>
          <w:sz w:val="24"/>
          <w:szCs w:val="24"/>
        </w:rPr>
        <w:lastRenderedPageBreak/>
        <w:t>The review should consider including information on the effect of food processing on the survival of genetic material</w:t>
      </w:r>
      <w:r w:rsidR="005D0BA5">
        <w:rPr>
          <w:rFonts w:ascii="Arial" w:hAnsi="Arial" w:cs="Arial"/>
          <w:sz w:val="24"/>
          <w:szCs w:val="24"/>
        </w:rPr>
        <w:t xml:space="preserve"> outside of the bacterial cell.</w:t>
      </w:r>
    </w:p>
    <w:p w14:paraId="3C9E3279" w14:textId="77777777" w:rsidR="000643A9" w:rsidRPr="000643A9" w:rsidRDefault="000643A9" w:rsidP="000643A9">
      <w:pPr>
        <w:pStyle w:val="ListParagraph"/>
        <w:rPr>
          <w:rFonts w:ascii="Arial" w:hAnsi="Arial" w:cs="Arial"/>
          <w:sz w:val="24"/>
          <w:szCs w:val="24"/>
        </w:rPr>
      </w:pPr>
    </w:p>
    <w:p w14:paraId="1C0315D7" w14:textId="77777777" w:rsidR="000643A9" w:rsidRDefault="000643A9" w:rsidP="00A132E9">
      <w:pPr>
        <w:pStyle w:val="ListParagraph"/>
        <w:numPr>
          <w:ilvl w:val="0"/>
          <w:numId w:val="36"/>
        </w:numPr>
        <w:spacing w:line="276" w:lineRule="auto"/>
        <w:jc w:val="both"/>
        <w:rPr>
          <w:rFonts w:ascii="Arial" w:hAnsi="Arial" w:cs="Arial"/>
          <w:sz w:val="24"/>
          <w:szCs w:val="24"/>
        </w:rPr>
      </w:pPr>
      <w:r>
        <w:rPr>
          <w:rFonts w:ascii="Arial" w:hAnsi="Arial" w:cs="Arial"/>
          <w:sz w:val="24"/>
          <w:szCs w:val="24"/>
        </w:rPr>
        <w:t>The critical review should adopt a comprehensive search strategy considering peer-reviewed articles, grey literature, relevant Government reports (e.g. FSA published studies, ACMSF reports, etc.), European and International literature (e.g. EFSA Scientific Opinions) from 2000 through to the reporting of this project.</w:t>
      </w:r>
      <w:r w:rsidR="00664FCC">
        <w:rPr>
          <w:rFonts w:ascii="Arial" w:hAnsi="Arial" w:cs="Arial"/>
          <w:sz w:val="24"/>
          <w:szCs w:val="24"/>
        </w:rPr>
        <w:t xml:space="preserve">  The proposal should include a rough estimate of the number of studies likely to be available.</w:t>
      </w:r>
    </w:p>
    <w:p w14:paraId="3D699054" w14:textId="77777777" w:rsidR="000643A9" w:rsidRPr="000643A9" w:rsidRDefault="000643A9" w:rsidP="000643A9">
      <w:pPr>
        <w:pStyle w:val="ListParagraph"/>
        <w:rPr>
          <w:rFonts w:ascii="Arial" w:hAnsi="Arial" w:cs="Arial"/>
          <w:sz w:val="24"/>
          <w:szCs w:val="24"/>
        </w:rPr>
      </w:pPr>
    </w:p>
    <w:p w14:paraId="15D2BB56" w14:textId="77777777" w:rsidR="000643A9" w:rsidRDefault="000643A9" w:rsidP="00A132E9">
      <w:pPr>
        <w:pStyle w:val="ListParagraph"/>
        <w:numPr>
          <w:ilvl w:val="0"/>
          <w:numId w:val="36"/>
        </w:numPr>
        <w:spacing w:line="276" w:lineRule="auto"/>
        <w:jc w:val="both"/>
        <w:rPr>
          <w:rFonts w:ascii="Arial" w:hAnsi="Arial" w:cs="Arial"/>
          <w:sz w:val="24"/>
          <w:szCs w:val="24"/>
        </w:rPr>
      </w:pPr>
      <w:r>
        <w:rPr>
          <w:rFonts w:ascii="Arial" w:hAnsi="Arial" w:cs="Arial"/>
          <w:sz w:val="24"/>
          <w:szCs w:val="24"/>
        </w:rPr>
        <w:t>The proposal should list all the databases and key search terms to be used and any indicative criteria for inclusion and rejection based on the quality of the studies being considered.  Finalised terms may be agreed</w:t>
      </w:r>
      <w:r w:rsidR="00664FCC">
        <w:rPr>
          <w:rFonts w:ascii="Arial" w:hAnsi="Arial" w:cs="Arial"/>
          <w:sz w:val="24"/>
          <w:szCs w:val="24"/>
        </w:rPr>
        <w:t xml:space="preserve"> with the FSA</w:t>
      </w:r>
      <w:r>
        <w:rPr>
          <w:rFonts w:ascii="Arial" w:hAnsi="Arial" w:cs="Arial"/>
          <w:sz w:val="24"/>
          <w:szCs w:val="24"/>
        </w:rPr>
        <w:t xml:space="preserve"> prior to project initiation.</w:t>
      </w:r>
    </w:p>
    <w:p w14:paraId="50699D65" w14:textId="77777777" w:rsidR="000643A9" w:rsidRPr="000643A9" w:rsidRDefault="000643A9" w:rsidP="000643A9">
      <w:pPr>
        <w:pStyle w:val="ListParagraph"/>
        <w:rPr>
          <w:rFonts w:ascii="Arial" w:hAnsi="Arial" w:cs="Arial"/>
          <w:sz w:val="24"/>
          <w:szCs w:val="24"/>
        </w:rPr>
      </w:pPr>
    </w:p>
    <w:p w14:paraId="7EC80CA5" w14:textId="18A24DF1" w:rsidR="000643A9" w:rsidRDefault="000643A9" w:rsidP="00A132E9">
      <w:pPr>
        <w:pStyle w:val="ListParagraph"/>
        <w:numPr>
          <w:ilvl w:val="0"/>
          <w:numId w:val="36"/>
        </w:numPr>
        <w:spacing w:line="276" w:lineRule="auto"/>
        <w:jc w:val="both"/>
        <w:rPr>
          <w:rFonts w:ascii="Arial" w:hAnsi="Arial" w:cs="Arial"/>
          <w:sz w:val="24"/>
          <w:szCs w:val="24"/>
        </w:rPr>
      </w:pPr>
      <w:r>
        <w:rPr>
          <w:rFonts w:ascii="Arial" w:hAnsi="Arial" w:cs="Arial"/>
          <w:sz w:val="24"/>
          <w:szCs w:val="24"/>
        </w:rPr>
        <w:t>It is expected that this will be a one</w:t>
      </w:r>
      <w:r w:rsidR="00542910">
        <w:rPr>
          <w:rFonts w:ascii="Arial" w:hAnsi="Arial" w:cs="Arial"/>
          <w:sz w:val="24"/>
          <w:szCs w:val="24"/>
        </w:rPr>
        <w:t>-</w:t>
      </w:r>
      <w:r>
        <w:rPr>
          <w:rFonts w:ascii="Arial" w:hAnsi="Arial" w:cs="Arial"/>
          <w:sz w:val="24"/>
          <w:szCs w:val="24"/>
        </w:rPr>
        <w:t xml:space="preserve">year (12 months) study costing between £50K and £75K; </w:t>
      </w:r>
      <w:r w:rsidR="006E4687">
        <w:rPr>
          <w:rFonts w:ascii="Arial" w:hAnsi="Arial" w:cs="Arial"/>
          <w:sz w:val="24"/>
          <w:szCs w:val="24"/>
        </w:rPr>
        <w:t xml:space="preserve">however </w:t>
      </w:r>
      <w:r>
        <w:rPr>
          <w:rFonts w:ascii="Arial" w:hAnsi="Arial" w:cs="Arial"/>
          <w:sz w:val="24"/>
          <w:szCs w:val="24"/>
        </w:rPr>
        <w:t xml:space="preserve">please note that proposals received will be assessed against </w:t>
      </w:r>
      <w:proofErr w:type="gramStart"/>
      <w:r>
        <w:rPr>
          <w:rFonts w:ascii="Arial" w:hAnsi="Arial" w:cs="Arial"/>
          <w:sz w:val="24"/>
          <w:szCs w:val="24"/>
        </w:rPr>
        <w:t>a number of</w:t>
      </w:r>
      <w:proofErr w:type="gramEnd"/>
      <w:r>
        <w:rPr>
          <w:rFonts w:ascii="Arial" w:hAnsi="Arial" w:cs="Arial"/>
          <w:sz w:val="24"/>
          <w:szCs w:val="24"/>
        </w:rPr>
        <w:t xml:space="preserve"> criteri</w:t>
      </w:r>
      <w:r w:rsidR="00A65297">
        <w:rPr>
          <w:rFonts w:ascii="Arial" w:hAnsi="Arial" w:cs="Arial"/>
          <w:sz w:val="24"/>
          <w:szCs w:val="24"/>
        </w:rPr>
        <w:t>a</w:t>
      </w:r>
      <w:r>
        <w:rPr>
          <w:rFonts w:ascii="Arial" w:hAnsi="Arial" w:cs="Arial"/>
          <w:sz w:val="24"/>
          <w:szCs w:val="24"/>
        </w:rPr>
        <w:t xml:space="preserve"> including value for money</w:t>
      </w:r>
      <w:r w:rsidR="006E4687">
        <w:rPr>
          <w:rFonts w:ascii="Arial" w:hAnsi="Arial" w:cs="Arial"/>
          <w:sz w:val="24"/>
          <w:szCs w:val="24"/>
        </w:rPr>
        <w:t xml:space="preserve"> (see Section C)</w:t>
      </w:r>
      <w:r>
        <w:rPr>
          <w:rFonts w:ascii="Arial" w:hAnsi="Arial" w:cs="Arial"/>
          <w:sz w:val="24"/>
          <w:szCs w:val="24"/>
        </w:rPr>
        <w:t>.</w:t>
      </w:r>
    </w:p>
    <w:p w14:paraId="5B9A17CA" w14:textId="77777777" w:rsidR="000643A9" w:rsidRPr="000643A9" w:rsidRDefault="000643A9" w:rsidP="000643A9">
      <w:pPr>
        <w:pStyle w:val="ListParagraph"/>
        <w:rPr>
          <w:rFonts w:ascii="Arial" w:hAnsi="Arial" w:cs="Arial"/>
          <w:sz w:val="24"/>
          <w:szCs w:val="24"/>
        </w:rPr>
      </w:pPr>
    </w:p>
    <w:p w14:paraId="418F9858" w14:textId="341845EC" w:rsidR="003412DF" w:rsidRDefault="000643A9" w:rsidP="003412DF">
      <w:pPr>
        <w:pStyle w:val="ListParagraph"/>
        <w:numPr>
          <w:ilvl w:val="0"/>
          <w:numId w:val="36"/>
        </w:numPr>
        <w:spacing w:line="276" w:lineRule="auto"/>
        <w:jc w:val="both"/>
        <w:rPr>
          <w:rFonts w:ascii="Arial" w:hAnsi="Arial" w:cs="Arial"/>
          <w:sz w:val="24"/>
          <w:szCs w:val="24"/>
        </w:rPr>
      </w:pPr>
      <w:r>
        <w:rPr>
          <w:rFonts w:ascii="Arial" w:hAnsi="Arial" w:cs="Arial"/>
          <w:sz w:val="24"/>
          <w:szCs w:val="24"/>
        </w:rPr>
        <w:t xml:space="preserve">Applicants must have experience in </w:t>
      </w:r>
      <w:r w:rsidR="000B3691">
        <w:rPr>
          <w:rFonts w:ascii="Arial" w:hAnsi="Arial" w:cs="Arial"/>
          <w:sz w:val="24"/>
          <w:szCs w:val="24"/>
        </w:rPr>
        <w:t xml:space="preserve">carrying out </w:t>
      </w:r>
      <w:r>
        <w:rPr>
          <w:rFonts w:ascii="Arial" w:hAnsi="Arial" w:cs="Arial"/>
          <w:sz w:val="24"/>
          <w:szCs w:val="24"/>
        </w:rPr>
        <w:t xml:space="preserve">critical reviews and expertise in antimicrobial resistance and food processing technologies.  </w:t>
      </w:r>
      <w:r w:rsidR="00542910">
        <w:rPr>
          <w:rFonts w:ascii="Arial" w:hAnsi="Arial" w:cs="Arial"/>
          <w:sz w:val="24"/>
          <w:szCs w:val="24"/>
        </w:rPr>
        <w:t xml:space="preserve">The </w:t>
      </w:r>
      <w:r w:rsidR="000B3691">
        <w:rPr>
          <w:rFonts w:ascii="Arial" w:hAnsi="Arial" w:cs="Arial"/>
          <w:sz w:val="24"/>
          <w:szCs w:val="24"/>
        </w:rPr>
        <w:t>FSA encourages collaborative proposals to ensure all the relevant background and expertise is suitably covered to undertake this proposed work</w:t>
      </w:r>
      <w:r>
        <w:rPr>
          <w:rFonts w:ascii="Arial" w:hAnsi="Arial" w:cs="Arial"/>
          <w:sz w:val="24"/>
          <w:szCs w:val="24"/>
        </w:rPr>
        <w:t>.</w:t>
      </w:r>
    </w:p>
    <w:p w14:paraId="0BD27FC1" w14:textId="77777777" w:rsidR="001E03CD" w:rsidRPr="001E03CD" w:rsidRDefault="001E03CD" w:rsidP="001E03CD">
      <w:pPr>
        <w:pStyle w:val="ListParagraph"/>
        <w:rPr>
          <w:rFonts w:ascii="Arial" w:hAnsi="Arial" w:cs="Arial"/>
          <w:sz w:val="24"/>
          <w:szCs w:val="24"/>
        </w:rPr>
      </w:pPr>
    </w:p>
    <w:p w14:paraId="223F3997" w14:textId="3301A8E3" w:rsidR="001E03CD" w:rsidRPr="001E03CD" w:rsidRDefault="001E03CD" w:rsidP="003412DF">
      <w:pPr>
        <w:pStyle w:val="ListParagraph"/>
        <w:numPr>
          <w:ilvl w:val="0"/>
          <w:numId w:val="36"/>
        </w:numPr>
        <w:spacing w:line="276" w:lineRule="auto"/>
        <w:jc w:val="both"/>
        <w:rPr>
          <w:rFonts w:ascii="Arial" w:hAnsi="Arial" w:cs="Arial"/>
          <w:sz w:val="24"/>
          <w:szCs w:val="24"/>
        </w:rPr>
      </w:pPr>
      <w:r w:rsidRPr="001E03CD">
        <w:rPr>
          <w:rFonts w:ascii="Arial" w:hAnsi="Arial" w:cs="Arial"/>
          <w:sz w:val="24"/>
          <w:szCs w:val="24"/>
        </w:rPr>
        <w:t>The General Data Protection Regulation (GDPR) came into force on 25th May 2018 and is a mandatory requirement for all contracts and agreements that involve the transfer and processing of Personal Data. For this contract however, we do not anticipate a requirement to transfer or process Personal Data.</w:t>
      </w:r>
    </w:p>
    <w:p w14:paraId="3CD43A64" w14:textId="77777777" w:rsidR="001D6672" w:rsidRDefault="001D6672" w:rsidP="003412DF">
      <w:pPr>
        <w:spacing w:line="276" w:lineRule="auto"/>
        <w:jc w:val="both"/>
        <w:rPr>
          <w:rFonts w:ascii="Arial" w:hAnsi="Arial" w:cs="Arial"/>
          <w:color w:val="000000"/>
          <w:sz w:val="24"/>
          <w:szCs w:val="24"/>
          <w:lang w:eastAsia="en-GB"/>
        </w:rPr>
      </w:pPr>
    </w:p>
    <w:p w14:paraId="34D0E0AD" w14:textId="77777777" w:rsidR="001D6672" w:rsidRDefault="001D6672" w:rsidP="003412DF">
      <w:pPr>
        <w:spacing w:line="276" w:lineRule="auto"/>
        <w:jc w:val="both"/>
        <w:rPr>
          <w:rFonts w:ascii="Arial" w:hAnsi="Arial" w:cs="Arial"/>
          <w:color w:val="000000"/>
          <w:sz w:val="24"/>
          <w:szCs w:val="24"/>
          <w:lang w:eastAsia="en-GB"/>
        </w:rPr>
      </w:pPr>
    </w:p>
    <w:p w14:paraId="4C48183A" w14:textId="77777777" w:rsidR="006A7751" w:rsidRPr="00AC6408" w:rsidRDefault="006A7751" w:rsidP="006A7751">
      <w:pPr>
        <w:spacing w:line="240" w:lineRule="auto"/>
        <w:rPr>
          <w:rFonts w:ascii="Arial" w:hAnsi="Arial" w:cs="Arial"/>
          <w:sz w:val="24"/>
          <w:szCs w:val="24"/>
        </w:rPr>
      </w:pPr>
      <w:r w:rsidRPr="00AC6408">
        <w:rPr>
          <w:rFonts w:ascii="Arial" w:hAnsi="Arial" w:cs="Arial"/>
          <w:sz w:val="24"/>
          <w:szCs w:val="24"/>
          <w:u w:val="single"/>
        </w:rPr>
        <w:t>Outcomes</w:t>
      </w:r>
    </w:p>
    <w:p w14:paraId="04D63893" w14:textId="77777777" w:rsidR="006A7751" w:rsidRPr="00AC6408" w:rsidRDefault="006A7751" w:rsidP="006A7751">
      <w:pPr>
        <w:spacing w:line="240" w:lineRule="auto"/>
        <w:rPr>
          <w:rFonts w:ascii="Arial" w:hAnsi="Arial" w:cs="Arial"/>
          <w:sz w:val="24"/>
          <w:szCs w:val="24"/>
        </w:rPr>
      </w:pPr>
    </w:p>
    <w:p w14:paraId="2945082A" w14:textId="77777777" w:rsidR="004B2AE9" w:rsidRPr="00ED6241" w:rsidRDefault="006A7751" w:rsidP="00ED6241">
      <w:pPr>
        <w:spacing w:line="240" w:lineRule="auto"/>
        <w:jc w:val="both"/>
        <w:rPr>
          <w:rFonts w:ascii="Arial" w:hAnsi="Arial" w:cs="Arial"/>
          <w:sz w:val="24"/>
          <w:szCs w:val="24"/>
        </w:rPr>
      </w:pPr>
      <w:r w:rsidRPr="00AC6408">
        <w:rPr>
          <w:rFonts w:ascii="Arial" w:hAnsi="Arial" w:cs="Arial"/>
          <w:sz w:val="24"/>
          <w:szCs w:val="24"/>
        </w:rPr>
        <w:t>It is anticipate</w:t>
      </w:r>
      <w:r w:rsidR="00E40DC6">
        <w:rPr>
          <w:rFonts w:ascii="Arial" w:hAnsi="Arial" w:cs="Arial"/>
          <w:sz w:val="24"/>
          <w:szCs w:val="24"/>
        </w:rPr>
        <w:t>d</w:t>
      </w:r>
      <w:r w:rsidRPr="00AC6408">
        <w:rPr>
          <w:rFonts w:ascii="Arial" w:hAnsi="Arial" w:cs="Arial"/>
          <w:sz w:val="24"/>
          <w:szCs w:val="24"/>
        </w:rPr>
        <w:t xml:space="preserve"> that the following will be delivered to the FSA as part of this work:</w:t>
      </w:r>
    </w:p>
    <w:p w14:paraId="585705E7" w14:textId="77777777" w:rsidR="004B2AE9" w:rsidRPr="004B2AE9" w:rsidRDefault="004B2AE9" w:rsidP="00ED6241">
      <w:pPr>
        <w:spacing w:line="240" w:lineRule="auto"/>
        <w:jc w:val="both"/>
        <w:rPr>
          <w:rFonts w:ascii="Arial" w:hAnsi="Arial" w:cs="Arial"/>
          <w:sz w:val="24"/>
          <w:szCs w:val="24"/>
        </w:rPr>
      </w:pPr>
    </w:p>
    <w:p w14:paraId="1D8A562C" w14:textId="77777777" w:rsidR="004B2AE9" w:rsidRDefault="004B2AE9" w:rsidP="00ED6241">
      <w:pPr>
        <w:pStyle w:val="ListParagraph"/>
        <w:numPr>
          <w:ilvl w:val="0"/>
          <w:numId w:val="41"/>
        </w:numPr>
        <w:spacing w:line="240" w:lineRule="auto"/>
        <w:jc w:val="both"/>
        <w:rPr>
          <w:rFonts w:ascii="Arial" w:hAnsi="Arial" w:cs="Arial"/>
          <w:sz w:val="24"/>
          <w:szCs w:val="24"/>
        </w:rPr>
      </w:pPr>
      <w:r>
        <w:rPr>
          <w:rFonts w:ascii="Arial" w:hAnsi="Arial" w:cs="Arial"/>
          <w:sz w:val="24"/>
          <w:szCs w:val="24"/>
        </w:rPr>
        <w:t>A full technical report addressing the relevant areas of the critical review, which is suitable for publication on the FSA website.  The report will need to include a lay summary, executive summary, introduction (including the background and aims/objectives of the study), methodology, key findings of the review, discussions, conclusions and recommendations for further work.  Please note that the final report will undergo a peer-review process before it can be accepted by the FSA.  A draft report should be submitted at least four weeks before the final report is due to allow FSA officials time to comment.</w:t>
      </w:r>
    </w:p>
    <w:p w14:paraId="5F1894FF" w14:textId="77777777" w:rsidR="004B2AE9" w:rsidRDefault="004B2AE9" w:rsidP="00ED6241">
      <w:pPr>
        <w:spacing w:line="240" w:lineRule="auto"/>
        <w:jc w:val="both"/>
        <w:rPr>
          <w:rFonts w:ascii="Arial" w:hAnsi="Arial" w:cs="Arial"/>
          <w:sz w:val="24"/>
          <w:szCs w:val="24"/>
        </w:rPr>
      </w:pPr>
    </w:p>
    <w:p w14:paraId="4D18F19F" w14:textId="77777777" w:rsidR="004B2AE9" w:rsidRDefault="004B2AE9" w:rsidP="00ED6241">
      <w:pPr>
        <w:pStyle w:val="ListParagraph"/>
        <w:numPr>
          <w:ilvl w:val="0"/>
          <w:numId w:val="41"/>
        </w:numPr>
        <w:spacing w:line="240" w:lineRule="auto"/>
        <w:jc w:val="both"/>
        <w:rPr>
          <w:rFonts w:ascii="Arial" w:hAnsi="Arial" w:cs="Arial"/>
          <w:sz w:val="24"/>
          <w:szCs w:val="24"/>
        </w:rPr>
      </w:pPr>
      <w:r>
        <w:rPr>
          <w:rFonts w:ascii="Arial" w:hAnsi="Arial" w:cs="Arial"/>
          <w:sz w:val="24"/>
          <w:szCs w:val="24"/>
        </w:rPr>
        <w:t>The critical review should be both transparent and reproducible.  A full database of all the relevant publications included in the critical review should be provided to the FSA.  The database should be in a format suitable for publication on the FSA website.</w:t>
      </w:r>
    </w:p>
    <w:p w14:paraId="50FA4BAF" w14:textId="77777777" w:rsidR="004B2AE9" w:rsidRPr="004B2AE9" w:rsidRDefault="004B2AE9" w:rsidP="00ED6241">
      <w:pPr>
        <w:pStyle w:val="ListParagraph"/>
        <w:jc w:val="both"/>
        <w:rPr>
          <w:rFonts w:ascii="Arial" w:hAnsi="Arial" w:cs="Arial"/>
          <w:sz w:val="24"/>
          <w:szCs w:val="24"/>
        </w:rPr>
      </w:pPr>
    </w:p>
    <w:p w14:paraId="2D365A22" w14:textId="77777777" w:rsidR="004B2AE9" w:rsidRPr="00ED6241" w:rsidRDefault="004B2AE9" w:rsidP="00ED6241">
      <w:pPr>
        <w:pStyle w:val="ListParagraph"/>
        <w:numPr>
          <w:ilvl w:val="0"/>
          <w:numId w:val="41"/>
        </w:numPr>
        <w:spacing w:line="240" w:lineRule="auto"/>
        <w:jc w:val="both"/>
        <w:rPr>
          <w:rFonts w:ascii="Arial" w:hAnsi="Arial" w:cs="Arial"/>
          <w:sz w:val="24"/>
          <w:szCs w:val="24"/>
        </w:rPr>
      </w:pPr>
      <w:r>
        <w:rPr>
          <w:rFonts w:ascii="Arial" w:hAnsi="Arial" w:cs="Arial"/>
          <w:sz w:val="24"/>
          <w:szCs w:val="24"/>
        </w:rPr>
        <w:t>A meeting with FSA officials at Clive House to discuss the key findings and recommendations arising from the research.</w:t>
      </w:r>
      <w:r w:rsidR="00664FCC">
        <w:rPr>
          <w:rFonts w:ascii="Arial" w:hAnsi="Arial" w:cs="Arial"/>
          <w:sz w:val="24"/>
          <w:szCs w:val="24"/>
        </w:rPr>
        <w:t xml:space="preserve">  Findings may also be required to be presented to ACMSF at a future meeting.</w:t>
      </w:r>
    </w:p>
    <w:p w14:paraId="192C90DD" w14:textId="77777777" w:rsidR="00713CB6" w:rsidRDefault="00713CB6" w:rsidP="00ED6241">
      <w:pPr>
        <w:spacing w:line="276" w:lineRule="auto"/>
        <w:jc w:val="both"/>
        <w:rPr>
          <w:rFonts w:ascii="Arial" w:hAnsi="Arial" w:cs="Arial"/>
          <w:sz w:val="24"/>
          <w:szCs w:val="24"/>
        </w:rPr>
      </w:pPr>
    </w:p>
    <w:p w14:paraId="5DBE1ED6" w14:textId="77777777" w:rsidR="00713CB6" w:rsidRDefault="00713CB6" w:rsidP="00ED6241">
      <w:pPr>
        <w:spacing w:line="276" w:lineRule="auto"/>
        <w:jc w:val="both"/>
        <w:rPr>
          <w:rFonts w:ascii="Arial" w:hAnsi="Arial" w:cs="Arial"/>
          <w:sz w:val="24"/>
          <w:szCs w:val="24"/>
        </w:rPr>
      </w:pPr>
    </w:p>
    <w:p w14:paraId="61B1EC8E" w14:textId="77777777" w:rsidR="003547C5" w:rsidRDefault="003547C5" w:rsidP="00ED6241">
      <w:pPr>
        <w:spacing w:line="276" w:lineRule="auto"/>
        <w:jc w:val="both"/>
        <w:rPr>
          <w:rFonts w:ascii="Arial" w:hAnsi="Arial" w:cs="Arial"/>
          <w:sz w:val="24"/>
          <w:szCs w:val="24"/>
        </w:rPr>
      </w:pPr>
      <w:r>
        <w:rPr>
          <w:rFonts w:ascii="Arial" w:hAnsi="Arial" w:cs="Arial"/>
          <w:sz w:val="24"/>
          <w:szCs w:val="24"/>
        </w:rPr>
        <w:t>Collaborative applications with an appropriate management framework are encouraged to promote well-balanced, innovative proposals that offer value for money and make use of the best available research and analytical approaches.</w:t>
      </w:r>
    </w:p>
    <w:p w14:paraId="01CCE43F" w14:textId="77777777" w:rsidR="006E4687" w:rsidRPr="006E4687" w:rsidRDefault="006E4687" w:rsidP="003547C5">
      <w:pPr>
        <w:spacing w:line="276" w:lineRule="auto"/>
        <w:jc w:val="both"/>
        <w:rPr>
          <w:rFonts w:ascii="Arial" w:hAnsi="Arial" w:cs="Arial"/>
          <w:color w:val="FF0000"/>
          <w:sz w:val="24"/>
          <w:szCs w:val="24"/>
        </w:rPr>
      </w:pPr>
    </w:p>
    <w:p w14:paraId="2C5D0481" w14:textId="77777777" w:rsidR="006E4687" w:rsidRDefault="006E4687" w:rsidP="003547C5">
      <w:pPr>
        <w:spacing w:line="276" w:lineRule="auto"/>
        <w:jc w:val="both"/>
        <w:rPr>
          <w:rFonts w:ascii="Arial" w:hAnsi="Arial" w:cs="Arial"/>
          <w:sz w:val="24"/>
          <w:szCs w:val="24"/>
        </w:rPr>
      </w:pPr>
    </w:p>
    <w:p w14:paraId="07828483" w14:textId="77777777" w:rsidR="00CC1AC6" w:rsidRDefault="00CC1AC6" w:rsidP="003547C5">
      <w:pPr>
        <w:spacing w:line="276" w:lineRule="auto"/>
        <w:jc w:val="both"/>
        <w:rPr>
          <w:rFonts w:ascii="Arial" w:hAnsi="Arial" w:cs="Arial"/>
          <w:sz w:val="24"/>
          <w:szCs w:val="24"/>
          <w:u w:val="single"/>
        </w:rPr>
      </w:pPr>
      <w:r>
        <w:rPr>
          <w:rFonts w:ascii="Arial" w:hAnsi="Arial" w:cs="Arial"/>
          <w:sz w:val="24"/>
          <w:szCs w:val="24"/>
          <w:u w:val="single"/>
        </w:rPr>
        <w:t>Openness:</w:t>
      </w:r>
    </w:p>
    <w:p w14:paraId="3522502F" w14:textId="77777777" w:rsidR="00CC1AC6" w:rsidRDefault="00CC1AC6" w:rsidP="003547C5">
      <w:pPr>
        <w:spacing w:line="276" w:lineRule="auto"/>
        <w:jc w:val="both"/>
        <w:rPr>
          <w:rFonts w:ascii="Arial" w:hAnsi="Arial" w:cs="Arial"/>
          <w:sz w:val="24"/>
          <w:szCs w:val="24"/>
          <w:u w:val="single"/>
        </w:rPr>
      </w:pPr>
    </w:p>
    <w:p w14:paraId="006AF691" w14:textId="77777777" w:rsidR="00217370" w:rsidRPr="00CC1AC6" w:rsidRDefault="00CC1AC6" w:rsidP="00CC1AC6">
      <w:pPr>
        <w:pStyle w:val="CommentText"/>
      </w:pPr>
      <w:r>
        <w:rPr>
          <w:rFonts w:ascii="Arial" w:hAnsi="Arial" w:cs="Arial"/>
          <w:sz w:val="24"/>
          <w:szCs w:val="24"/>
        </w:rPr>
        <w:t>FSA</w:t>
      </w:r>
      <w:r w:rsidRPr="00301400">
        <w:rPr>
          <w:rFonts w:ascii="Arial" w:hAnsi="Arial" w:cs="Arial"/>
          <w:sz w:val="24"/>
          <w:szCs w:val="24"/>
        </w:rPr>
        <w:t xml:space="preserve"> </w:t>
      </w:r>
      <w:r>
        <w:rPr>
          <w:rFonts w:ascii="Arial" w:hAnsi="Arial" w:cs="Arial"/>
          <w:sz w:val="24"/>
          <w:szCs w:val="24"/>
        </w:rPr>
        <w:t xml:space="preserve">has </w:t>
      </w:r>
      <w:r w:rsidRPr="00301400">
        <w:rPr>
          <w:rFonts w:ascii="Arial" w:hAnsi="Arial" w:cs="Arial"/>
          <w:sz w:val="24"/>
          <w:szCs w:val="24"/>
        </w:rPr>
        <w:t>values</w:t>
      </w:r>
      <w:r>
        <w:rPr>
          <w:rFonts w:ascii="Arial" w:hAnsi="Arial" w:cs="Arial"/>
          <w:sz w:val="24"/>
          <w:szCs w:val="24"/>
        </w:rPr>
        <w:t xml:space="preserve"> and specific policy</w:t>
      </w:r>
      <w:r w:rsidRPr="00301400">
        <w:rPr>
          <w:rFonts w:ascii="Arial" w:hAnsi="Arial" w:cs="Arial"/>
          <w:sz w:val="24"/>
          <w:szCs w:val="24"/>
        </w:rPr>
        <w:t xml:space="preserve"> on being open and transparent</w:t>
      </w:r>
      <w:r>
        <w:rPr>
          <w:rFonts w:ascii="Arial" w:hAnsi="Arial" w:cs="Arial"/>
          <w:sz w:val="24"/>
          <w:szCs w:val="24"/>
        </w:rPr>
        <w:t>,</w:t>
      </w:r>
      <w:r w:rsidRPr="00301400">
        <w:rPr>
          <w:rFonts w:ascii="Arial" w:hAnsi="Arial" w:cs="Arial"/>
          <w:sz w:val="24"/>
          <w:szCs w:val="24"/>
        </w:rPr>
        <w:t xml:space="preserve"> which includes publishing the full dataset of its research and surveillance studies</w:t>
      </w:r>
      <w:r>
        <w:rPr>
          <w:rFonts w:ascii="Arial" w:hAnsi="Arial" w:cs="Arial"/>
          <w:sz w:val="24"/>
          <w:szCs w:val="24"/>
        </w:rPr>
        <w:t>.  Both</w:t>
      </w:r>
      <w:r w:rsidRPr="00301400">
        <w:rPr>
          <w:rFonts w:ascii="Arial" w:hAnsi="Arial" w:cs="Arial"/>
          <w:sz w:val="24"/>
          <w:szCs w:val="24"/>
        </w:rPr>
        <w:t xml:space="preserve"> the lead contractor and their sub-contractors must agree to</w:t>
      </w:r>
      <w:r>
        <w:rPr>
          <w:rFonts w:ascii="Arial" w:hAnsi="Arial" w:cs="Arial"/>
          <w:sz w:val="24"/>
          <w:szCs w:val="24"/>
        </w:rPr>
        <w:t xml:space="preserve"> this openness policy</w:t>
      </w:r>
      <w:r w:rsidRPr="00301400">
        <w:rPr>
          <w:rFonts w:ascii="Arial" w:hAnsi="Arial" w:cs="Arial"/>
          <w:sz w:val="24"/>
          <w:szCs w:val="24"/>
        </w:rPr>
        <w:t>.</w:t>
      </w:r>
      <w:r>
        <w:rPr>
          <w:rFonts w:ascii="Arial" w:hAnsi="Arial" w:cs="Arial"/>
          <w:sz w:val="24"/>
          <w:szCs w:val="24"/>
        </w:rPr>
        <w:t xml:space="preserve"> Any potential issues with this should be highlighted within the proposals.</w:t>
      </w:r>
    </w:p>
    <w:p w14:paraId="2281C3D6" w14:textId="77777777" w:rsidR="006A7751" w:rsidRDefault="006A7751" w:rsidP="003412DF">
      <w:pPr>
        <w:spacing w:line="276" w:lineRule="auto"/>
        <w:jc w:val="both"/>
        <w:rPr>
          <w:rFonts w:ascii="Arial" w:hAnsi="Arial" w:cs="Arial"/>
          <w:color w:val="000000"/>
          <w:sz w:val="24"/>
          <w:szCs w:val="24"/>
          <w:lang w:eastAsia="en-GB"/>
        </w:rPr>
      </w:pPr>
    </w:p>
    <w:p w14:paraId="6742B432" w14:textId="77777777" w:rsidR="002C7657" w:rsidRPr="00BE3C10" w:rsidRDefault="00BD62A9" w:rsidP="002238F9">
      <w:pPr>
        <w:pStyle w:val="ListParagraph"/>
        <w:numPr>
          <w:ilvl w:val="0"/>
          <w:numId w:val="23"/>
        </w:numPr>
        <w:spacing w:line="240" w:lineRule="auto"/>
        <w:ind w:left="426" w:hanging="426"/>
        <w:rPr>
          <w:rFonts w:ascii="Arial" w:hAnsi="Arial" w:cs="Arial"/>
          <w:b/>
          <w:sz w:val="24"/>
          <w:szCs w:val="24"/>
        </w:rPr>
      </w:pPr>
      <w:r w:rsidRPr="00BE3C10">
        <w:rPr>
          <w:rFonts w:ascii="Arial" w:hAnsi="Arial" w:cs="Arial"/>
          <w:b/>
          <w:sz w:val="24"/>
          <w:szCs w:val="24"/>
        </w:rPr>
        <w:t>PROCUREMENT</w:t>
      </w:r>
      <w:r w:rsidR="002C7657" w:rsidRPr="00BE3C10">
        <w:rPr>
          <w:rFonts w:ascii="Arial" w:hAnsi="Arial" w:cs="Arial"/>
          <w:b/>
          <w:sz w:val="24"/>
          <w:szCs w:val="24"/>
        </w:rPr>
        <w:t xml:space="preserve"> TIMETABLE</w:t>
      </w:r>
    </w:p>
    <w:p w14:paraId="0507C423" w14:textId="77777777" w:rsidR="009B4A42" w:rsidRPr="00BE3C10" w:rsidRDefault="002C7657" w:rsidP="002238F9">
      <w:pPr>
        <w:spacing w:line="240" w:lineRule="auto"/>
        <w:jc w:val="both"/>
        <w:rPr>
          <w:rFonts w:ascii="Arial" w:hAnsi="Arial" w:cs="Arial"/>
          <w:sz w:val="24"/>
          <w:szCs w:val="24"/>
        </w:rPr>
      </w:pPr>
      <w:r w:rsidRPr="00BE3C10">
        <w:rPr>
          <w:rFonts w:ascii="Arial" w:hAnsi="Arial" w:cs="Arial"/>
          <w:sz w:val="24"/>
          <w:szCs w:val="24"/>
        </w:rPr>
        <w:t xml:space="preserve">Table 1 details an </w:t>
      </w:r>
      <w:r w:rsidRPr="004D3042">
        <w:rPr>
          <w:rFonts w:ascii="Arial" w:hAnsi="Arial" w:cs="Arial"/>
          <w:b/>
          <w:sz w:val="24"/>
          <w:szCs w:val="24"/>
        </w:rPr>
        <w:t>estimated</w:t>
      </w:r>
      <w:r w:rsidRPr="00BE3C10">
        <w:rPr>
          <w:rFonts w:ascii="Arial" w:hAnsi="Arial" w:cs="Arial"/>
          <w:sz w:val="24"/>
          <w:szCs w:val="24"/>
        </w:rPr>
        <w:t xml:space="preserve"> project timetable for the project</w:t>
      </w:r>
      <w:r w:rsidR="002A6CEA" w:rsidRPr="00BE3C10">
        <w:rPr>
          <w:rFonts w:ascii="Arial" w:hAnsi="Arial" w:cs="Arial"/>
          <w:sz w:val="24"/>
          <w:szCs w:val="24"/>
        </w:rPr>
        <w:t>.</w:t>
      </w:r>
      <w:r w:rsidR="00452B59">
        <w:rPr>
          <w:rFonts w:ascii="Arial" w:hAnsi="Arial" w:cs="Arial"/>
          <w:sz w:val="24"/>
          <w:szCs w:val="24"/>
        </w:rPr>
        <w:t xml:space="preserve">  T</w:t>
      </w:r>
      <w:r w:rsidR="002A6CEA" w:rsidRPr="00BE3C10">
        <w:rPr>
          <w:rFonts w:ascii="Arial" w:hAnsi="Arial" w:cs="Arial"/>
          <w:sz w:val="24"/>
          <w:szCs w:val="24"/>
        </w:rPr>
        <w:t>enderers should however be aware that the Agency needs to acquire the evidence outlined in this ITT in a timely manner and you should justify your timings in your work plan.</w:t>
      </w:r>
    </w:p>
    <w:p w14:paraId="15FC25F8" w14:textId="77777777" w:rsidR="002C7657" w:rsidRPr="00BE3C10" w:rsidRDefault="002C7657" w:rsidP="002238F9">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398"/>
      </w:tblGrid>
      <w:tr w:rsidR="00BD26A7" w:rsidRPr="00BE3C10" w14:paraId="69BC78AC" w14:textId="77777777" w:rsidTr="00403F93">
        <w:trPr>
          <w:trHeight w:val="599"/>
        </w:trPr>
        <w:tc>
          <w:tcPr>
            <w:tcW w:w="9180" w:type="dxa"/>
            <w:gridSpan w:val="2"/>
            <w:shd w:val="clear" w:color="auto" w:fill="339933"/>
          </w:tcPr>
          <w:p w14:paraId="054957DD" w14:textId="77777777" w:rsidR="00BD26A7" w:rsidRPr="00BE3C10" w:rsidRDefault="008C29EF" w:rsidP="002238F9">
            <w:pPr>
              <w:pStyle w:val="BodyText1"/>
              <w:spacing w:before="120"/>
              <w:ind w:firstLine="0"/>
              <w:jc w:val="both"/>
              <w:rPr>
                <w:rFonts w:cs="Arial"/>
                <w:b/>
                <w:color w:val="FFFFFF"/>
                <w:sz w:val="24"/>
                <w:szCs w:val="24"/>
              </w:rPr>
            </w:pPr>
            <w:r w:rsidRPr="00BE3C10">
              <w:rPr>
                <w:rFonts w:cs="Arial"/>
                <w:b/>
                <w:color w:val="FFFFFF"/>
                <w:sz w:val="24"/>
                <w:szCs w:val="24"/>
              </w:rPr>
              <w:t>TABLE 1. ESTIMATED PROJECT TIMETABLE</w:t>
            </w:r>
          </w:p>
        </w:tc>
      </w:tr>
      <w:tr w:rsidR="00BD26A7" w:rsidRPr="00BE3C10" w14:paraId="70F283A5" w14:textId="77777777" w:rsidTr="00403F93">
        <w:tc>
          <w:tcPr>
            <w:tcW w:w="2660" w:type="dxa"/>
            <w:shd w:val="clear" w:color="auto" w:fill="339933"/>
          </w:tcPr>
          <w:p w14:paraId="7E6E51F2" w14:textId="77777777" w:rsidR="00BD26A7" w:rsidRPr="00BE3C10" w:rsidRDefault="008C29EF" w:rsidP="002238F9">
            <w:pPr>
              <w:pStyle w:val="BodyText1"/>
              <w:spacing w:before="120"/>
              <w:jc w:val="both"/>
              <w:rPr>
                <w:rFonts w:cs="Arial"/>
                <w:b/>
                <w:color w:val="FFFFFF"/>
                <w:sz w:val="24"/>
                <w:szCs w:val="24"/>
              </w:rPr>
            </w:pPr>
            <w:r w:rsidRPr="00BE3C10">
              <w:rPr>
                <w:rFonts w:cs="Arial"/>
                <w:b/>
                <w:color w:val="FFFFFF"/>
                <w:sz w:val="24"/>
                <w:szCs w:val="24"/>
              </w:rPr>
              <w:t>EXPECTED DATE</w:t>
            </w:r>
          </w:p>
        </w:tc>
        <w:tc>
          <w:tcPr>
            <w:tcW w:w="6520" w:type="dxa"/>
            <w:shd w:val="clear" w:color="auto" w:fill="339933"/>
          </w:tcPr>
          <w:p w14:paraId="694AAD98" w14:textId="77777777" w:rsidR="00BD26A7" w:rsidRPr="00BE3C10" w:rsidRDefault="008C29EF" w:rsidP="002238F9">
            <w:pPr>
              <w:pStyle w:val="BodyText1"/>
              <w:spacing w:before="120"/>
              <w:ind w:firstLine="0"/>
              <w:jc w:val="both"/>
              <w:rPr>
                <w:rFonts w:cs="Arial"/>
                <w:b/>
                <w:color w:val="FFFFFF"/>
                <w:sz w:val="24"/>
                <w:szCs w:val="24"/>
              </w:rPr>
            </w:pPr>
            <w:r w:rsidRPr="00BE3C10">
              <w:rPr>
                <w:rFonts w:cs="Arial"/>
                <w:b/>
                <w:color w:val="FFFFFF"/>
                <w:sz w:val="24"/>
                <w:szCs w:val="24"/>
              </w:rPr>
              <w:t xml:space="preserve">INVITATION TO (ITT) TENDER </w:t>
            </w:r>
          </w:p>
        </w:tc>
      </w:tr>
      <w:tr w:rsidR="002A6CEA" w:rsidRPr="00BE3C10" w14:paraId="6ED02F96"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22B15292" w14:textId="6B992A9F" w:rsidR="002A6CEA" w:rsidRPr="003547C5" w:rsidRDefault="00112A14" w:rsidP="004554CD">
            <w:pPr>
              <w:spacing w:line="240" w:lineRule="auto"/>
              <w:rPr>
                <w:rFonts w:ascii="Arial" w:hAnsi="Arial" w:cs="Arial"/>
                <w:color w:val="FF0000"/>
                <w:sz w:val="24"/>
                <w:szCs w:val="24"/>
              </w:rPr>
            </w:pPr>
            <w:r>
              <w:rPr>
                <w:rFonts w:ascii="Arial" w:hAnsi="Arial" w:cs="Arial"/>
                <w:color w:val="FF0000"/>
                <w:sz w:val="24"/>
                <w:szCs w:val="24"/>
              </w:rPr>
              <w:t>14</w:t>
            </w:r>
            <w:r w:rsidRPr="00112A14">
              <w:rPr>
                <w:rFonts w:ascii="Arial" w:hAnsi="Arial" w:cs="Arial"/>
                <w:color w:val="FF0000"/>
                <w:sz w:val="24"/>
                <w:szCs w:val="24"/>
                <w:vertAlign w:val="superscript"/>
              </w:rPr>
              <w:t>th</w:t>
            </w:r>
            <w:r>
              <w:rPr>
                <w:rFonts w:ascii="Arial" w:hAnsi="Arial" w:cs="Arial"/>
                <w:color w:val="FF0000"/>
                <w:sz w:val="24"/>
                <w:szCs w:val="24"/>
              </w:rPr>
              <w:t xml:space="preserve"> </w:t>
            </w:r>
            <w:r w:rsidR="003C7494">
              <w:rPr>
                <w:rFonts w:ascii="Arial" w:hAnsi="Arial" w:cs="Arial"/>
                <w:color w:val="FF0000"/>
                <w:sz w:val="24"/>
                <w:szCs w:val="24"/>
              </w:rPr>
              <w:t>June</w:t>
            </w:r>
            <w:r w:rsidR="00E40DC6">
              <w:rPr>
                <w:rFonts w:ascii="Arial" w:hAnsi="Arial" w:cs="Arial"/>
                <w:color w:val="FF0000"/>
                <w:sz w:val="24"/>
                <w:szCs w:val="24"/>
              </w:rPr>
              <w:t xml:space="preserve">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07B967CF"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Invitation to Tender (ITT) issued by the Agency </w:t>
            </w:r>
          </w:p>
        </w:tc>
      </w:tr>
      <w:tr w:rsidR="002A6CEA" w:rsidRPr="00BE3C10" w14:paraId="2C1CC617"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43BE80F5" w14:textId="1C537135" w:rsidR="002A6CEA" w:rsidRPr="003547C5" w:rsidRDefault="00B61008" w:rsidP="004554CD">
            <w:pPr>
              <w:spacing w:line="240" w:lineRule="auto"/>
              <w:rPr>
                <w:rFonts w:ascii="Arial" w:hAnsi="Arial" w:cs="Arial"/>
                <w:color w:val="FF0000"/>
                <w:sz w:val="24"/>
                <w:szCs w:val="24"/>
              </w:rPr>
            </w:pPr>
            <w:r>
              <w:rPr>
                <w:rFonts w:ascii="Arial" w:hAnsi="Arial" w:cs="Arial"/>
                <w:color w:val="FF0000"/>
                <w:sz w:val="24"/>
                <w:szCs w:val="24"/>
              </w:rPr>
              <w:t>14t</w:t>
            </w:r>
            <w:r w:rsidR="00BF4BC6" w:rsidRPr="00BF4BC6">
              <w:rPr>
                <w:rFonts w:ascii="Arial" w:hAnsi="Arial" w:cs="Arial"/>
                <w:color w:val="FF0000"/>
                <w:sz w:val="24"/>
                <w:szCs w:val="24"/>
                <w:vertAlign w:val="superscript"/>
              </w:rPr>
              <w:t>h</w:t>
            </w:r>
            <w:r w:rsidR="00BF4BC6">
              <w:rPr>
                <w:rFonts w:ascii="Arial" w:hAnsi="Arial" w:cs="Arial"/>
                <w:color w:val="FF0000"/>
                <w:sz w:val="24"/>
                <w:szCs w:val="24"/>
              </w:rPr>
              <w:t xml:space="preserve"> June</w:t>
            </w:r>
            <w:r w:rsidR="00E40DC6">
              <w:rPr>
                <w:rFonts w:ascii="Arial" w:hAnsi="Arial" w:cs="Arial"/>
                <w:color w:val="FF0000"/>
                <w:sz w:val="24"/>
                <w:szCs w:val="24"/>
              </w:rPr>
              <w:t xml:space="preserve"> 2018</w:t>
            </w:r>
          </w:p>
        </w:tc>
        <w:tc>
          <w:tcPr>
            <w:tcW w:w="6520" w:type="dxa"/>
            <w:tcBorders>
              <w:top w:val="single" w:sz="8" w:space="0" w:color="4F81BD"/>
              <w:bottom w:val="single" w:sz="8" w:space="0" w:color="4F81BD"/>
              <w:right w:val="single" w:sz="8" w:space="0" w:color="4F81BD"/>
            </w:tcBorders>
            <w:vAlign w:val="center"/>
          </w:tcPr>
          <w:p w14:paraId="7E660D65"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ITT Clarification period opens*</w:t>
            </w:r>
          </w:p>
        </w:tc>
      </w:tr>
      <w:tr w:rsidR="002A6CEA" w:rsidRPr="00BE3C10" w14:paraId="78884411"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66E8377F" w14:textId="77E72E26" w:rsidR="002A6CEA" w:rsidRPr="003547C5" w:rsidRDefault="00BF4BC6" w:rsidP="004554CD">
            <w:pPr>
              <w:spacing w:line="240" w:lineRule="auto"/>
              <w:rPr>
                <w:rFonts w:ascii="Arial" w:hAnsi="Arial" w:cs="Arial"/>
                <w:color w:val="FF0000"/>
                <w:sz w:val="24"/>
                <w:szCs w:val="24"/>
              </w:rPr>
            </w:pPr>
            <w:r>
              <w:rPr>
                <w:rFonts w:ascii="Arial" w:hAnsi="Arial" w:cs="Arial"/>
                <w:color w:val="FF0000"/>
                <w:sz w:val="24"/>
                <w:szCs w:val="24"/>
              </w:rPr>
              <w:t>2</w:t>
            </w:r>
            <w:r w:rsidR="00B61008">
              <w:rPr>
                <w:rFonts w:ascii="Arial" w:hAnsi="Arial" w:cs="Arial"/>
                <w:color w:val="FF0000"/>
                <w:sz w:val="24"/>
                <w:szCs w:val="24"/>
              </w:rPr>
              <w:t>8</w:t>
            </w:r>
            <w:r w:rsidRPr="00BF4BC6">
              <w:rPr>
                <w:rFonts w:ascii="Arial" w:hAnsi="Arial" w:cs="Arial"/>
                <w:color w:val="FF0000"/>
                <w:sz w:val="24"/>
                <w:szCs w:val="24"/>
                <w:vertAlign w:val="superscript"/>
              </w:rPr>
              <w:t>th</w:t>
            </w:r>
            <w:r>
              <w:rPr>
                <w:rFonts w:ascii="Arial" w:hAnsi="Arial" w:cs="Arial"/>
                <w:color w:val="FF0000"/>
                <w:sz w:val="24"/>
                <w:szCs w:val="24"/>
              </w:rPr>
              <w:t xml:space="preserve"> </w:t>
            </w:r>
            <w:r w:rsidR="00E40DC6">
              <w:rPr>
                <w:rFonts w:ascii="Arial" w:hAnsi="Arial" w:cs="Arial"/>
                <w:color w:val="FF0000"/>
                <w:sz w:val="24"/>
                <w:szCs w:val="24"/>
              </w:rPr>
              <w:t>June 2018</w:t>
            </w:r>
          </w:p>
        </w:tc>
        <w:tc>
          <w:tcPr>
            <w:tcW w:w="6520" w:type="dxa"/>
            <w:tcBorders>
              <w:top w:val="single" w:sz="8" w:space="0" w:color="4F81BD"/>
              <w:bottom w:val="single" w:sz="8" w:space="0" w:color="4F81BD"/>
              <w:right w:val="single" w:sz="8" w:space="0" w:color="4F81BD"/>
            </w:tcBorders>
            <w:vAlign w:val="center"/>
          </w:tcPr>
          <w:p w14:paraId="75A5E67D"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ITT Clarification period closes**</w:t>
            </w:r>
          </w:p>
        </w:tc>
      </w:tr>
      <w:tr w:rsidR="002A6CEA" w:rsidRPr="00BE3C10" w14:paraId="2CFA6E6D"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1EA8275B" w14:textId="1FE017A1" w:rsidR="002A6CEA" w:rsidRPr="003547C5" w:rsidRDefault="00BF4BC6" w:rsidP="004554CD">
            <w:pPr>
              <w:spacing w:line="240" w:lineRule="auto"/>
              <w:rPr>
                <w:rFonts w:ascii="Arial" w:hAnsi="Arial" w:cs="Arial"/>
                <w:color w:val="FF0000"/>
                <w:sz w:val="24"/>
                <w:szCs w:val="24"/>
              </w:rPr>
            </w:pPr>
            <w:r>
              <w:rPr>
                <w:rFonts w:ascii="Arial" w:hAnsi="Arial" w:cs="Arial"/>
                <w:color w:val="FF0000"/>
                <w:sz w:val="24"/>
                <w:szCs w:val="24"/>
              </w:rPr>
              <w:t>1</w:t>
            </w:r>
            <w:r w:rsidR="00B61008">
              <w:rPr>
                <w:rFonts w:ascii="Arial" w:hAnsi="Arial" w:cs="Arial"/>
                <w:color w:val="FF0000"/>
                <w:sz w:val="24"/>
                <w:szCs w:val="24"/>
              </w:rPr>
              <w:t>3</w:t>
            </w:r>
            <w:r w:rsidRPr="00BF4BC6">
              <w:rPr>
                <w:rFonts w:ascii="Arial" w:hAnsi="Arial" w:cs="Arial"/>
                <w:color w:val="FF0000"/>
                <w:sz w:val="24"/>
                <w:szCs w:val="24"/>
                <w:vertAlign w:val="superscript"/>
              </w:rPr>
              <w:t>th</w:t>
            </w:r>
            <w:r>
              <w:rPr>
                <w:rFonts w:ascii="Arial" w:hAnsi="Arial" w:cs="Arial"/>
                <w:color w:val="FF0000"/>
                <w:sz w:val="24"/>
                <w:szCs w:val="24"/>
              </w:rPr>
              <w:t xml:space="preserve"> July</w:t>
            </w:r>
            <w:r w:rsidR="00E40DC6">
              <w:rPr>
                <w:rFonts w:ascii="Arial" w:hAnsi="Arial" w:cs="Arial"/>
                <w:color w:val="FF0000"/>
                <w:sz w:val="24"/>
                <w:szCs w:val="24"/>
              </w:rPr>
              <w:t xml:space="preserve"> 2018</w:t>
            </w:r>
          </w:p>
        </w:tc>
        <w:tc>
          <w:tcPr>
            <w:tcW w:w="6520" w:type="dxa"/>
            <w:tcBorders>
              <w:top w:val="single" w:sz="8" w:space="0" w:color="4F81BD"/>
              <w:bottom w:val="single" w:sz="8" w:space="0" w:color="4F81BD"/>
              <w:right w:val="single" w:sz="8" w:space="0" w:color="4F81BD"/>
            </w:tcBorders>
            <w:vAlign w:val="center"/>
          </w:tcPr>
          <w:p w14:paraId="33FA862E"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Closing date for submission of ITT responses</w:t>
            </w:r>
            <w:r w:rsidR="004D3042">
              <w:rPr>
                <w:rFonts w:ascii="Arial" w:hAnsi="Arial" w:cs="Arial"/>
                <w:bCs/>
                <w:sz w:val="24"/>
                <w:szCs w:val="24"/>
              </w:rPr>
              <w:t>***</w:t>
            </w:r>
          </w:p>
        </w:tc>
      </w:tr>
      <w:tr w:rsidR="002A6CEA" w:rsidRPr="00BE3C10" w14:paraId="5048B109"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1E6B0BAA" w14:textId="41DA63D6" w:rsidR="002A6CEA" w:rsidRPr="003547C5" w:rsidRDefault="00BF4BC6" w:rsidP="004554CD">
            <w:pPr>
              <w:spacing w:line="240" w:lineRule="auto"/>
              <w:rPr>
                <w:rFonts w:ascii="Arial" w:hAnsi="Arial" w:cs="Arial"/>
                <w:color w:val="FF0000"/>
                <w:sz w:val="24"/>
                <w:szCs w:val="24"/>
              </w:rPr>
            </w:pPr>
            <w:r>
              <w:rPr>
                <w:rFonts w:ascii="Arial" w:hAnsi="Arial" w:cs="Arial"/>
                <w:color w:val="FF0000"/>
                <w:sz w:val="24"/>
                <w:szCs w:val="24"/>
              </w:rPr>
              <w:t>31</w:t>
            </w:r>
            <w:r w:rsidRPr="00BF4BC6">
              <w:rPr>
                <w:rFonts w:ascii="Arial" w:hAnsi="Arial" w:cs="Arial"/>
                <w:color w:val="FF0000"/>
                <w:sz w:val="24"/>
                <w:szCs w:val="24"/>
                <w:vertAlign w:val="superscript"/>
              </w:rPr>
              <w:t>st</w:t>
            </w:r>
            <w:r>
              <w:rPr>
                <w:rFonts w:ascii="Arial" w:hAnsi="Arial" w:cs="Arial"/>
                <w:color w:val="FF0000"/>
                <w:sz w:val="24"/>
                <w:szCs w:val="24"/>
              </w:rPr>
              <w:t xml:space="preserve"> </w:t>
            </w:r>
            <w:r w:rsidR="00E40DC6">
              <w:rPr>
                <w:rFonts w:ascii="Arial" w:hAnsi="Arial" w:cs="Arial"/>
                <w:color w:val="FF0000"/>
                <w:sz w:val="24"/>
                <w:szCs w:val="24"/>
              </w:rPr>
              <w:t>July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0BAB37DA"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Evaluation of ITT responses </w:t>
            </w:r>
          </w:p>
          <w:p w14:paraId="428A576C" w14:textId="77777777" w:rsidR="002A6CEA" w:rsidRPr="00BE3C10" w:rsidRDefault="002A6CEA" w:rsidP="000F2AF9">
            <w:pPr>
              <w:spacing w:line="240" w:lineRule="auto"/>
              <w:rPr>
                <w:rFonts w:ascii="Arial" w:hAnsi="Arial" w:cs="Arial"/>
                <w:bCs/>
                <w:sz w:val="24"/>
                <w:szCs w:val="24"/>
              </w:rPr>
            </w:pPr>
          </w:p>
        </w:tc>
      </w:tr>
      <w:tr w:rsidR="002A6CEA" w:rsidRPr="00BE3C10" w14:paraId="02027B0E"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0FBC8834" w14:textId="251D1CFA" w:rsidR="002A6CEA" w:rsidRPr="003547C5" w:rsidRDefault="00BF4BC6" w:rsidP="002238F9">
            <w:pPr>
              <w:spacing w:line="240" w:lineRule="auto"/>
              <w:rPr>
                <w:rFonts w:ascii="Arial" w:hAnsi="Arial" w:cs="Arial"/>
                <w:color w:val="FF0000"/>
                <w:sz w:val="24"/>
                <w:szCs w:val="24"/>
              </w:rPr>
            </w:pPr>
            <w:r>
              <w:rPr>
                <w:rFonts w:ascii="Arial" w:hAnsi="Arial" w:cs="Arial"/>
                <w:color w:val="FF0000"/>
                <w:sz w:val="24"/>
                <w:szCs w:val="24"/>
              </w:rPr>
              <w:t>3</w:t>
            </w:r>
            <w:r w:rsidRPr="00BF4BC6">
              <w:rPr>
                <w:rFonts w:ascii="Arial" w:hAnsi="Arial" w:cs="Arial"/>
                <w:color w:val="FF0000"/>
                <w:sz w:val="24"/>
                <w:szCs w:val="24"/>
                <w:vertAlign w:val="superscript"/>
              </w:rPr>
              <w:t>rd</w:t>
            </w:r>
            <w:r>
              <w:rPr>
                <w:rFonts w:ascii="Arial" w:hAnsi="Arial" w:cs="Arial"/>
                <w:color w:val="FF0000"/>
                <w:sz w:val="24"/>
                <w:szCs w:val="24"/>
              </w:rPr>
              <w:t xml:space="preserve"> August</w:t>
            </w:r>
            <w:r w:rsidR="00E40DC6">
              <w:rPr>
                <w:rFonts w:ascii="Arial" w:hAnsi="Arial" w:cs="Arial"/>
                <w:color w:val="FF0000"/>
                <w:sz w:val="24"/>
                <w:szCs w:val="24"/>
              </w:rPr>
              <w:t xml:space="preserve"> 2018</w:t>
            </w:r>
          </w:p>
        </w:tc>
        <w:tc>
          <w:tcPr>
            <w:tcW w:w="6520" w:type="dxa"/>
            <w:tcBorders>
              <w:top w:val="single" w:sz="8" w:space="0" w:color="4F81BD"/>
              <w:bottom w:val="single" w:sz="8" w:space="0" w:color="4F81BD"/>
              <w:right w:val="single" w:sz="8" w:space="0" w:color="4F81BD"/>
            </w:tcBorders>
            <w:vAlign w:val="center"/>
          </w:tcPr>
          <w:p w14:paraId="4EC1F5E0"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Tenderers contacted with points raised by appraisers for clarification on their </w:t>
            </w:r>
            <w:r w:rsidR="004D3042">
              <w:rPr>
                <w:rFonts w:ascii="Arial" w:hAnsi="Arial" w:cs="Arial"/>
                <w:bCs/>
                <w:sz w:val="24"/>
                <w:szCs w:val="24"/>
              </w:rPr>
              <w:t>tender</w:t>
            </w:r>
            <w:r w:rsidR="0022563C" w:rsidRPr="00BE3C10">
              <w:rPr>
                <w:rFonts w:ascii="Arial" w:hAnsi="Arial" w:cs="Arial"/>
                <w:bCs/>
                <w:sz w:val="24"/>
                <w:szCs w:val="24"/>
              </w:rPr>
              <w:t>,</w:t>
            </w:r>
            <w:r w:rsidRPr="00BE3C10">
              <w:rPr>
                <w:rFonts w:ascii="Arial" w:hAnsi="Arial" w:cs="Arial"/>
                <w:bCs/>
                <w:sz w:val="24"/>
                <w:szCs w:val="24"/>
              </w:rPr>
              <w:t xml:space="preserve"> </w:t>
            </w:r>
            <w:r w:rsidR="009B4A42" w:rsidRPr="00BE3C10">
              <w:rPr>
                <w:rFonts w:ascii="Arial" w:hAnsi="Arial" w:cs="Arial"/>
                <w:bCs/>
                <w:sz w:val="24"/>
                <w:szCs w:val="24"/>
              </w:rPr>
              <w:t>with 2 weeks to respond</w:t>
            </w:r>
          </w:p>
        </w:tc>
      </w:tr>
      <w:tr w:rsidR="002A6CEA" w:rsidRPr="00BE3C10" w14:paraId="171F6FD4"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3437720C" w14:textId="251C5CA7" w:rsidR="002A6CEA" w:rsidRPr="003547C5" w:rsidRDefault="00960B90" w:rsidP="004554CD">
            <w:pPr>
              <w:spacing w:line="240" w:lineRule="auto"/>
              <w:rPr>
                <w:rFonts w:ascii="Arial" w:hAnsi="Arial" w:cs="Arial"/>
                <w:color w:val="FF0000"/>
                <w:sz w:val="24"/>
                <w:szCs w:val="24"/>
              </w:rPr>
            </w:pPr>
            <w:r w:rsidRPr="003547C5">
              <w:rPr>
                <w:rFonts w:ascii="Arial" w:hAnsi="Arial" w:cs="Arial"/>
                <w:color w:val="FF0000"/>
                <w:sz w:val="24"/>
                <w:szCs w:val="24"/>
              </w:rPr>
              <w:t xml:space="preserve">By </w:t>
            </w:r>
            <w:proofErr w:type="spellStart"/>
            <w:r w:rsidR="00BF4BC6">
              <w:rPr>
                <w:rFonts w:ascii="Arial" w:hAnsi="Arial" w:cs="Arial"/>
                <w:color w:val="FF0000"/>
                <w:sz w:val="24"/>
                <w:szCs w:val="24"/>
              </w:rPr>
              <w:t>mid August</w:t>
            </w:r>
            <w:proofErr w:type="spellEnd"/>
            <w:r w:rsidR="00E40DC6">
              <w:rPr>
                <w:rFonts w:ascii="Arial" w:hAnsi="Arial" w:cs="Arial"/>
                <w:color w:val="FF0000"/>
                <w:sz w:val="24"/>
                <w:szCs w:val="24"/>
              </w:rPr>
              <w:t xml:space="preserve">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E1F0569"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Appraisal panel meeting held to consider clarified ITT responses</w:t>
            </w:r>
          </w:p>
        </w:tc>
      </w:tr>
      <w:tr w:rsidR="002A6CEA" w:rsidRPr="00BE3C10" w14:paraId="09201674"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2C11D3F6" w14:textId="656075C7" w:rsidR="002A6CEA" w:rsidRPr="003547C5" w:rsidRDefault="00960B90" w:rsidP="004554CD">
            <w:pPr>
              <w:spacing w:line="240" w:lineRule="auto"/>
              <w:rPr>
                <w:rFonts w:ascii="Arial" w:hAnsi="Arial" w:cs="Arial"/>
                <w:color w:val="FF0000"/>
                <w:sz w:val="24"/>
                <w:szCs w:val="24"/>
              </w:rPr>
            </w:pPr>
            <w:r w:rsidRPr="003547C5">
              <w:rPr>
                <w:rFonts w:ascii="Arial" w:hAnsi="Arial" w:cs="Arial"/>
                <w:color w:val="FF0000"/>
                <w:sz w:val="24"/>
                <w:szCs w:val="24"/>
              </w:rPr>
              <w:t xml:space="preserve">By </w:t>
            </w:r>
            <w:r w:rsidR="00BF4BC6">
              <w:rPr>
                <w:rFonts w:ascii="Arial" w:hAnsi="Arial" w:cs="Arial"/>
                <w:color w:val="FF0000"/>
                <w:sz w:val="24"/>
                <w:szCs w:val="24"/>
              </w:rPr>
              <w:t>end of August</w:t>
            </w:r>
            <w:r w:rsidR="00E40DC6">
              <w:rPr>
                <w:rFonts w:ascii="Arial" w:hAnsi="Arial" w:cs="Arial"/>
                <w:color w:val="FF0000"/>
                <w:sz w:val="24"/>
                <w:szCs w:val="24"/>
              </w:rPr>
              <w:t xml:space="preserve"> 2018</w:t>
            </w:r>
            <w:r w:rsidR="002A6CEA" w:rsidRPr="003547C5">
              <w:rPr>
                <w:rFonts w:ascii="Arial" w:hAnsi="Arial" w:cs="Arial"/>
                <w:color w:val="FF0000"/>
                <w:sz w:val="24"/>
                <w:szCs w:val="24"/>
              </w:rPr>
              <w:t xml:space="preserve"> </w:t>
            </w:r>
          </w:p>
        </w:tc>
        <w:tc>
          <w:tcPr>
            <w:tcW w:w="6520" w:type="dxa"/>
            <w:tcBorders>
              <w:top w:val="single" w:sz="8" w:space="0" w:color="4F81BD"/>
              <w:bottom w:val="single" w:sz="8" w:space="0" w:color="4F81BD"/>
              <w:right w:val="single" w:sz="8" w:space="0" w:color="4F81BD"/>
            </w:tcBorders>
            <w:vAlign w:val="center"/>
          </w:tcPr>
          <w:p w14:paraId="42FD43D5"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Tenderers notified of outcome of appraisal and preferred Tenderer (or Tenderers) identified</w:t>
            </w:r>
          </w:p>
        </w:tc>
      </w:tr>
      <w:tr w:rsidR="002A6CEA" w:rsidRPr="00BE3C10" w14:paraId="63851901"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2F0A0BFA" w14:textId="436F4C43" w:rsidR="002A6CEA" w:rsidRPr="003547C5" w:rsidRDefault="00E40DC6" w:rsidP="002238F9">
            <w:pPr>
              <w:spacing w:line="240" w:lineRule="auto"/>
              <w:rPr>
                <w:rFonts w:ascii="Arial" w:hAnsi="Arial" w:cs="Arial"/>
                <w:color w:val="FF0000"/>
                <w:sz w:val="24"/>
                <w:szCs w:val="24"/>
              </w:rPr>
            </w:pPr>
            <w:r>
              <w:rPr>
                <w:rFonts w:ascii="Arial" w:hAnsi="Arial" w:cs="Arial"/>
                <w:color w:val="FF0000"/>
                <w:sz w:val="24"/>
                <w:szCs w:val="24"/>
              </w:rPr>
              <w:lastRenderedPageBreak/>
              <w:t xml:space="preserve">By </w:t>
            </w:r>
            <w:r w:rsidR="00BF4BC6">
              <w:rPr>
                <w:rFonts w:ascii="Arial" w:hAnsi="Arial" w:cs="Arial"/>
                <w:color w:val="FF0000"/>
                <w:sz w:val="24"/>
                <w:szCs w:val="24"/>
              </w:rPr>
              <w:t>end</w:t>
            </w:r>
            <w:r>
              <w:rPr>
                <w:rFonts w:ascii="Arial" w:hAnsi="Arial" w:cs="Arial"/>
                <w:color w:val="FF0000"/>
                <w:sz w:val="24"/>
                <w:szCs w:val="24"/>
              </w:rPr>
              <w:t>-September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2F7A3343"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Contract awarded and signed</w:t>
            </w:r>
          </w:p>
          <w:p w14:paraId="7E0D6914" w14:textId="77777777" w:rsidR="002A6CEA" w:rsidRPr="00BE3C10" w:rsidRDefault="002A6CEA" w:rsidP="000F2AF9">
            <w:pPr>
              <w:spacing w:line="240" w:lineRule="auto"/>
              <w:rPr>
                <w:rFonts w:ascii="Arial" w:hAnsi="Arial" w:cs="Arial"/>
                <w:bCs/>
                <w:sz w:val="24"/>
                <w:szCs w:val="24"/>
              </w:rPr>
            </w:pPr>
          </w:p>
        </w:tc>
      </w:tr>
      <w:tr w:rsidR="002A6CEA" w:rsidRPr="00BE3C10" w14:paraId="5F1D96B3" w14:textId="77777777" w:rsidTr="007276C8">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vAlign w:val="center"/>
          </w:tcPr>
          <w:p w14:paraId="041D1535" w14:textId="77777777" w:rsidR="002A6CEA" w:rsidRPr="003547C5" w:rsidRDefault="00960B90" w:rsidP="00D11B46">
            <w:pPr>
              <w:spacing w:line="240" w:lineRule="auto"/>
              <w:rPr>
                <w:rFonts w:ascii="Arial" w:hAnsi="Arial" w:cs="Arial"/>
                <w:color w:val="FF0000"/>
                <w:sz w:val="24"/>
                <w:szCs w:val="24"/>
              </w:rPr>
            </w:pPr>
            <w:r w:rsidRPr="003547C5">
              <w:rPr>
                <w:rFonts w:ascii="Arial" w:hAnsi="Arial" w:cs="Arial"/>
                <w:color w:val="FF0000"/>
                <w:sz w:val="24"/>
                <w:szCs w:val="24"/>
              </w:rPr>
              <w:t>1</w:t>
            </w:r>
            <w:r w:rsidRPr="003547C5">
              <w:rPr>
                <w:rFonts w:ascii="Arial" w:hAnsi="Arial" w:cs="Arial"/>
                <w:color w:val="FF0000"/>
                <w:sz w:val="24"/>
                <w:szCs w:val="24"/>
                <w:vertAlign w:val="superscript"/>
              </w:rPr>
              <w:t>st</w:t>
            </w:r>
            <w:r w:rsidR="00E40DC6">
              <w:rPr>
                <w:rFonts w:ascii="Arial" w:hAnsi="Arial" w:cs="Arial"/>
                <w:color w:val="FF0000"/>
                <w:sz w:val="24"/>
                <w:szCs w:val="24"/>
              </w:rPr>
              <w:t xml:space="preserve"> October 2018</w:t>
            </w:r>
          </w:p>
        </w:tc>
        <w:tc>
          <w:tcPr>
            <w:tcW w:w="6520" w:type="dxa"/>
            <w:tcBorders>
              <w:top w:val="single" w:sz="8" w:space="0" w:color="4F81BD"/>
              <w:bottom w:val="single" w:sz="8" w:space="0" w:color="4F81BD"/>
              <w:right w:val="single" w:sz="8" w:space="0" w:color="4F81BD"/>
            </w:tcBorders>
            <w:vAlign w:val="center"/>
          </w:tcPr>
          <w:p w14:paraId="6AC33D8F"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Project </w:t>
            </w:r>
            <w:r w:rsidR="000B577A">
              <w:rPr>
                <w:rFonts w:ascii="Arial" w:hAnsi="Arial" w:cs="Arial"/>
                <w:bCs/>
                <w:sz w:val="24"/>
                <w:szCs w:val="24"/>
              </w:rPr>
              <w:t xml:space="preserve">initiation meeting takes place and project </w:t>
            </w:r>
            <w:r w:rsidRPr="00BE3C10">
              <w:rPr>
                <w:rFonts w:ascii="Arial" w:hAnsi="Arial" w:cs="Arial"/>
                <w:bCs/>
                <w:sz w:val="24"/>
                <w:szCs w:val="24"/>
              </w:rPr>
              <w:t>commences</w:t>
            </w:r>
            <w:r w:rsidR="000B577A">
              <w:rPr>
                <w:rFonts w:ascii="Arial" w:hAnsi="Arial" w:cs="Arial"/>
                <w:bCs/>
                <w:sz w:val="24"/>
                <w:szCs w:val="24"/>
              </w:rPr>
              <w:t xml:space="preserve">  </w:t>
            </w:r>
          </w:p>
        </w:tc>
      </w:tr>
      <w:tr w:rsidR="00D22286" w:rsidRPr="00BE3C10" w14:paraId="2532C626"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0D2B459F" w14:textId="07A402AE" w:rsidR="00D22286" w:rsidRPr="003547C5" w:rsidRDefault="00960B90" w:rsidP="002238F9">
            <w:pPr>
              <w:spacing w:line="240" w:lineRule="auto"/>
              <w:rPr>
                <w:rFonts w:ascii="Arial" w:hAnsi="Arial" w:cs="Arial"/>
                <w:color w:val="FF0000"/>
                <w:sz w:val="24"/>
                <w:szCs w:val="24"/>
              </w:rPr>
            </w:pPr>
            <w:r w:rsidRPr="003547C5">
              <w:rPr>
                <w:rFonts w:ascii="Arial" w:hAnsi="Arial" w:cs="Arial"/>
                <w:color w:val="FF0000"/>
                <w:sz w:val="24"/>
                <w:szCs w:val="24"/>
              </w:rPr>
              <w:t>30</w:t>
            </w:r>
            <w:r w:rsidRPr="003547C5">
              <w:rPr>
                <w:rFonts w:ascii="Arial" w:hAnsi="Arial" w:cs="Arial"/>
                <w:color w:val="FF0000"/>
                <w:sz w:val="24"/>
                <w:szCs w:val="24"/>
                <w:vertAlign w:val="superscript"/>
              </w:rPr>
              <w:t>th</w:t>
            </w:r>
            <w:r w:rsidR="00BF4BC6">
              <w:rPr>
                <w:rFonts w:ascii="Arial" w:hAnsi="Arial" w:cs="Arial"/>
                <w:color w:val="FF0000"/>
                <w:sz w:val="24"/>
                <w:szCs w:val="24"/>
              </w:rPr>
              <w:t xml:space="preserve"> September 2019</w:t>
            </w:r>
          </w:p>
        </w:tc>
        <w:tc>
          <w:tcPr>
            <w:tcW w:w="6520" w:type="dxa"/>
            <w:tcBorders>
              <w:top w:val="single" w:sz="8" w:space="0" w:color="4F81BD"/>
              <w:bottom w:val="single" w:sz="8" w:space="0" w:color="4F81BD"/>
              <w:right w:val="single" w:sz="8" w:space="0" w:color="4F81BD"/>
            </w:tcBorders>
            <w:vAlign w:val="center"/>
          </w:tcPr>
          <w:p w14:paraId="501A8A26" w14:textId="77777777" w:rsidR="00D22286" w:rsidRPr="00BE3C10" w:rsidRDefault="00D22286" w:rsidP="000F2AF9">
            <w:pPr>
              <w:spacing w:line="240" w:lineRule="auto"/>
              <w:rPr>
                <w:rFonts w:ascii="Arial" w:hAnsi="Arial" w:cs="Arial"/>
                <w:bCs/>
                <w:sz w:val="24"/>
                <w:szCs w:val="24"/>
              </w:rPr>
            </w:pPr>
            <w:r w:rsidRPr="00BE3C10">
              <w:rPr>
                <w:rFonts w:ascii="Arial" w:hAnsi="Arial" w:cs="Arial"/>
                <w:bCs/>
                <w:sz w:val="24"/>
                <w:szCs w:val="24"/>
              </w:rPr>
              <w:t>Latest date for submission of final report to FSA</w:t>
            </w:r>
          </w:p>
        </w:tc>
      </w:tr>
    </w:tbl>
    <w:p w14:paraId="27E85A53" w14:textId="77777777" w:rsidR="002A6CEA" w:rsidRPr="00BE3C10" w:rsidRDefault="002A6CEA" w:rsidP="002238F9">
      <w:pPr>
        <w:spacing w:line="240" w:lineRule="auto"/>
        <w:rPr>
          <w:rFonts w:ascii="Arial" w:hAnsi="Arial" w:cs="Arial"/>
          <w:sz w:val="24"/>
          <w:szCs w:val="24"/>
        </w:rPr>
      </w:pPr>
    </w:p>
    <w:p w14:paraId="17DDF6AD" w14:textId="77777777" w:rsidR="002A6CEA" w:rsidRPr="00BE3C10" w:rsidRDefault="002A6CEA" w:rsidP="002238F9">
      <w:pPr>
        <w:spacing w:line="240" w:lineRule="auto"/>
        <w:rPr>
          <w:rFonts w:ascii="Arial" w:hAnsi="Arial" w:cs="Arial"/>
          <w:sz w:val="20"/>
          <w:szCs w:val="20"/>
        </w:rPr>
      </w:pPr>
      <w:r w:rsidRPr="00BE3C10">
        <w:rPr>
          <w:rFonts w:ascii="Arial" w:hAnsi="Arial" w:cs="Arial"/>
          <w:sz w:val="20"/>
          <w:szCs w:val="20"/>
        </w:rPr>
        <w:t xml:space="preserve">* If a Tenderer wishes to raise any points of clarification over the procurement process, the actual project objectives or any other query these must be raised through the </w:t>
      </w:r>
      <w:r w:rsidR="0059167A">
        <w:rPr>
          <w:rFonts w:ascii="Arial" w:hAnsi="Arial" w:cs="Arial"/>
          <w:sz w:val="20"/>
          <w:szCs w:val="20"/>
        </w:rPr>
        <w:t>ECMS</w:t>
      </w:r>
      <w:r w:rsidR="004D3042">
        <w:rPr>
          <w:rFonts w:ascii="Arial" w:hAnsi="Arial" w:cs="Arial"/>
          <w:sz w:val="20"/>
          <w:szCs w:val="20"/>
        </w:rPr>
        <w:t xml:space="preserve"> by the date specified</w:t>
      </w:r>
      <w:r w:rsidRPr="00BE3C10">
        <w:rPr>
          <w:rFonts w:ascii="Arial" w:hAnsi="Arial" w:cs="Arial"/>
          <w:sz w:val="20"/>
          <w:szCs w:val="20"/>
        </w:rPr>
        <w:t xml:space="preserve">.  </w:t>
      </w:r>
    </w:p>
    <w:p w14:paraId="394CFA21" w14:textId="77777777" w:rsidR="002A6CEA" w:rsidRDefault="002A6CEA" w:rsidP="002238F9">
      <w:pPr>
        <w:spacing w:line="240" w:lineRule="auto"/>
        <w:rPr>
          <w:rFonts w:ascii="Arial" w:hAnsi="Arial" w:cs="Arial"/>
          <w:sz w:val="20"/>
          <w:szCs w:val="20"/>
        </w:rPr>
      </w:pPr>
      <w:r w:rsidRPr="00BE3C10">
        <w:rPr>
          <w:rFonts w:ascii="Arial" w:hAnsi="Arial" w:cs="Arial"/>
          <w:sz w:val="20"/>
          <w:szCs w:val="20"/>
        </w:rPr>
        <w:t>** Queries will not be answered after this date.</w:t>
      </w:r>
    </w:p>
    <w:p w14:paraId="59248F11" w14:textId="77777777" w:rsidR="004D3042" w:rsidRDefault="004D3042" w:rsidP="002238F9">
      <w:pPr>
        <w:spacing w:line="240" w:lineRule="auto"/>
        <w:rPr>
          <w:rFonts w:ascii="Arial" w:hAnsi="Arial" w:cs="Arial"/>
          <w:sz w:val="20"/>
          <w:szCs w:val="20"/>
        </w:rPr>
      </w:pPr>
      <w:r>
        <w:rPr>
          <w:rFonts w:ascii="Arial" w:hAnsi="Arial" w:cs="Arial"/>
          <w:sz w:val="20"/>
          <w:szCs w:val="20"/>
        </w:rPr>
        <w:t xml:space="preserve">*** Submissions must be uploaded onto the </w:t>
      </w:r>
      <w:r w:rsidR="0059167A">
        <w:rPr>
          <w:rFonts w:ascii="Arial" w:hAnsi="Arial" w:cs="Arial"/>
          <w:sz w:val="20"/>
          <w:szCs w:val="20"/>
        </w:rPr>
        <w:t>ECMS</w:t>
      </w:r>
      <w:r>
        <w:rPr>
          <w:rFonts w:ascii="Arial" w:hAnsi="Arial" w:cs="Arial"/>
          <w:sz w:val="20"/>
          <w:szCs w:val="20"/>
        </w:rPr>
        <w:t xml:space="preserve"> before the closing date and time. </w:t>
      </w:r>
    </w:p>
    <w:p w14:paraId="6A91592A" w14:textId="77777777" w:rsidR="000B577A" w:rsidRPr="00BE3C10" w:rsidRDefault="007276C8" w:rsidP="002238F9">
      <w:pPr>
        <w:spacing w:line="240" w:lineRule="auto"/>
        <w:rPr>
          <w:rFonts w:ascii="Arial" w:hAnsi="Arial" w:cs="Arial"/>
          <w:sz w:val="20"/>
          <w:szCs w:val="20"/>
        </w:rPr>
      </w:pPr>
      <w:r>
        <w:rPr>
          <w:rFonts w:ascii="Arial" w:hAnsi="Arial" w:cs="Arial"/>
          <w:sz w:val="20"/>
          <w:szCs w:val="20"/>
        </w:rPr>
        <w:t>§ These</w:t>
      </w:r>
      <w:r w:rsidR="000B577A">
        <w:rPr>
          <w:rFonts w:ascii="Arial" w:hAnsi="Arial" w:cs="Arial"/>
          <w:sz w:val="20"/>
          <w:szCs w:val="20"/>
        </w:rPr>
        <w:t xml:space="preserve"> stages are optional</w:t>
      </w:r>
    </w:p>
    <w:p w14:paraId="65167FDD" w14:textId="77777777" w:rsidR="006720A1" w:rsidRDefault="006720A1" w:rsidP="002238F9">
      <w:pPr>
        <w:spacing w:line="240" w:lineRule="auto"/>
        <w:jc w:val="both"/>
        <w:rPr>
          <w:rFonts w:ascii="Arial" w:hAnsi="Arial" w:cs="Arial"/>
          <w:b/>
          <w:sz w:val="24"/>
          <w:szCs w:val="24"/>
        </w:rPr>
      </w:pPr>
    </w:p>
    <w:p w14:paraId="2B3438CC" w14:textId="77777777" w:rsidR="002A6CEA" w:rsidRDefault="002A6CEA" w:rsidP="002238F9">
      <w:pPr>
        <w:spacing w:line="240" w:lineRule="auto"/>
        <w:jc w:val="both"/>
        <w:rPr>
          <w:rFonts w:ascii="Arial" w:hAnsi="Arial" w:cs="Arial"/>
          <w:b/>
          <w:sz w:val="24"/>
          <w:szCs w:val="24"/>
        </w:rPr>
      </w:pPr>
      <w:r w:rsidRPr="00BE3C10">
        <w:rPr>
          <w:rFonts w:ascii="Arial" w:hAnsi="Arial" w:cs="Arial"/>
          <w:b/>
          <w:sz w:val="24"/>
          <w:szCs w:val="24"/>
        </w:rPr>
        <w:t>Further Information</w:t>
      </w:r>
    </w:p>
    <w:p w14:paraId="0D73B916" w14:textId="77777777" w:rsidR="00850E61" w:rsidRPr="00BE3C10" w:rsidRDefault="00850E61" w:rsidP="002238F9">
      <w:pPr>
        <w:spacing w:line="240" w:lineRule="auto"/>
        <w:jc w:val="both"/>
        <w:rPr>
          <w:rFonts w:ascii="Arial" w:hAnsi="Arial" w:cs="Arial"/>
          <w:b/>
          <w:sz w:val="24"/>
          <w:szCs w:val="24"/>
        </w:rPr>
      </w:pPr>
    </w:p>
    <w:p w14:paraId="2B9045B4" w14:textId="77777777" w:rsidR="00702205" w:rsidRDefault="0097788E" w:rsidP="00702205">
      <w:pPr>
        <w:spacing w:line="240" w:lineRule="auto"/>
        <w:jc w:val="both"/>
        <w:rPr>
          <w:rFonts w:ascii="Arial" w:hAnsi="Arial" w:cs="Arial"/>
          <w:sz w:val="24"/>
          <w:szCs w:val="24"/>
        </w:rPr>
      </w:pPr>
      <w:r w:rsidRPr="00BE3C10">
        <w:rPr>
          <w:rFonts w:ascii="Arial" w:hAnsi="Arial" w:cs="Arial"/>
          <w:sz w:val="24"/>
          <w:szCs w:val="24"/>
        </w:rPr>
        <w:t>For any technical queries</w:t>
      </w:r>
      <w:r w:rsidR="00702205">
        <w:rPr>
          <w:rFonts w:ascii="Arial" w:hAnsi="Arial" w:cs="Arial"/>
          <w:sz w:val="24"/>
          <w:szCs w:val="24"/>
        </w:rPr>
        <w:t xml:space="preserve"> or</w:t>
      </w:r>
      <w:r w:rsidR="002A6CEA" w:rsidRPr="00BE3C10">
        <w:rPr>
          <w:rFonts w:ascii="Arial" w:hAnsi="Arial" w:cs="Arial"/>
          <w:sz w:val="24"/>
          <w:szCs w:val="24"/>
        </w:rPr>
        <w:t xml:space="preserve"> </w:t>
      </w:r>
      <w:r w:rsidR="00C0273D">
        <w:rPr>
          <w:rFonts w:ascii="Arial" w:hAnsi="Arial" w:cs="Arial"/>
          <w:sz w:val="24"/>
          <w:szCs w:val="24"/>
        </w:rPr>
        <w:t>issues</w:t>
      </w:r>
      <w:r w:rsidRPr="00BE3C10">
        <w:rPr>
          <w:rFonts w:ascii="Arial" w:hAnsi="Arial" w:cs="Arial"/>
          <w:sz w:val="24"/>
          <w:szCs w:val="24"/>
        </w:rPr>
        <w:t xml:space="preserve"> regarding the use of </w:t>
      </w:r>
      <w:r w:rsidR="00063AF6" w:rsidRPr="00BE3C10">
        <w:rPr>
          <w:rFonts w:ascii="Arial" w:hAnsi="Arial" w:cs="Arial"/>
          <w:sz w:val="24"/>
          <w:szCs w:val="24"/>
        </w:rPr>
        <w:t>E</w:t>
      </w:r>
      <w:r w:rsidR="00FB6CBC">
        <w:rPr>
          <w:rFonts w:ascii="Arial" w:hAnsi="Arial" w:cs="Arial"/>
          <w:sz w:val="24"/>
          <w:szCs w:val="24"/>
        </w:rPr>
        <w:t>CMS</w:t>
      </w:r>
      <w:r w:rsidRPr="00BE3C10">
        <w:rPr>
          <w:rFonts w:ascii="Arial" w:hAnsi="Arial" w:cs="Arial"/>
          <w:sz w:val="24"/>
          <w:szCs w:val="24"/>
        </w:rPr>
        <w:t xml:space="preserve"> </w:t>
      </w:r>
      <w:r w:rsidR="002A6CEA" w:rsidRPr="00BE3C10">
        <w:rPr>
          <w:rFonts w:ascii="Arial" w:hAnsi="Arial" w:cs="Arial"/>
          <w:sz w:val="24"/>
          <w:szCs w:val="24"/>
        </w:rPr>
        <w:t xml:space="preserve">please </w:t>
      </w:r>
      <w:r w:rsidR="00702205">
        <w:rPr>
          <w:rFonts w:ascii="Arial" w:hAnsi="Arial" w:cs="Arial"/>
          <w:sz w:val="24"/>
          <w:szCs w:val="24"/>
        </w:rPr>
        <w:t>contact the</w:t>
      </w:r>
      <w:r w:rsidR="00702205" w:rsidRPr="00702205">
        <w:rPr>
          <w:rFonts w:ascii="Arial" w:hAnsi="Arial" w:cs="Arial"/>
          <w:sz w:val="24"/>
          <w:szCs w:val="24"/>
        </w:rPr>
        <w:t xml:space="preserve"> </w:t>
      </w:r>
      <w:proofErr w:type="spellStart"/>
      <w:r w:rsidR="00702205" w:rsidRPr="00702205">
        <w:rPr>
          <w:rFonts w:ascii="Arial" w:hAnsi="Arial" w:cs="Arial"/>
          <w:sz w:val="24"/>
          <w:szCs w:val="24"/>
        </w:rPr>
        <w:t>eSourcing</w:t>
      </w:r>
      <w:proofErr w:type="spellEnd"/>
      <w:r w:rsidR="00702205" w:rsidRPr="00702205">
        <w:rPr>
          <w:rFonts w:ascii="Arial" w:hAnsi="Arial" w:cs="Arial"/>
          <w:sz w:val="24"/>
          <w:szCs w:val="24"/>
        </w:rPr>
        <w:t xml:space="preserve"> Helpdesk:</w:t>
      </w:r>
    </w:p>
    <w:p w14:paraId="58CED385" w14:textId="77777777" w:rsidR="00702205" w:rsidRPr="00702205" w:rsidRDefault="00702205" w:rsidP="00702205">
      <w:pPr>
        <w:spacing w:line="240" w:lineRule="auto"/>
        <w:jc w:val="both"/>
        <w:rPr>
          <w:rFonts w:ascii="Arial" w:hAnsi="Arial" w:cs="Arial"/>
          <w:sz w:val="24"/>
          <w:szCs w:val="24"/>
        </w:rPr>
      </w:pPr>
    </w:p>
    <w:p w14:paraId="119579F3" w14:textId="77777777" w:rsidR="00664FCC" w:rsidRDefault="00702205" w:rsidP="002238F9">
      <w:pPr>
        <w:spacing w:line="240" w:lineRule="auto"/>
        <w:jc w:val="both"/>
        <w:rPr>
          <w:rFonts w:ascii="Arial" w:hAnsi="Arial" w:cs="Arial"/>
          <w:sz w:val="24"/>
          <w:szCs w:val="24"/>
        </w:rPr>
      </w:pPr>
      <w:r w:rsidRPr="00702205">
        <w:rPr>
          <w:rFonts w:ascii="Arial" w:hAnsi="Arial" w:cs="Arial"/>
          <w:sz w:val="24"/>
          <w:szCs w:val="24"/>
        </w:rPr>
        <w:t>Phone: 0800 368 4850</w:t>
      </w:r>
    </w:p>
    <w:p w14:paraId="2E741095" w14:textId="77777777" w:rsidR="00702205" w:rsidRDefault="00702205" w:rsidP="002238F9">
      <w:pPr>
        <w:spacing w:line="240" w:lineRule="auto"/>
        <w:jc w:val="both"/>
        <w:rPr>
          <w:rFonts w:ascii="Arial" w:hAnsi="Arial" w:cs="Arial"/>
          <w:sz w:val="24"/>
          <w:szCs w:val="24"/>
        </w:rPr>
      </w:pPr>
      <w:r w:rsidRPr="00702205">
        <w:rPr>
          <w:rFonts w:ascii="Arial" w:hAnsi="Arial" w:cs="Arial"/>
          <w:sz w:val="24"/>
          <w:szCs w:val="24"/>
        </w:rPr>
        <w:t xml:space="preserve">Email: </w:t>
      </w:r>
      <w:hyperlink r:id="rId21" w:history="1">
        <w:r w:rsidR="00664FCC" w:rsidRPr="005E721B">
          <w:rPr>
            <w:rStyle w:val="Hyperlink"/>
            <w:rFonts w:ascii="Arial" w:hAnsi="Arial" w:cs="Arial"/>
            <w:sz w:val="24"/>
            <w:szCs w:val="24"/>
          </w:rPr>
          <w:t>help@bravosolution.co.uk</w:t>
        </w:r>
      </w:hyperlink>
      <w:r w:rsidR="00664FCC">
        <w:rPr>
          <w:rFonts w:ascii="Arial" w:hAnsi="Arial" w:cs="Arial"/>
          <w:sz w:val="24"/>
          <w:szCs w:val="24"/>
        </w:rPr>
        <w:t xml:space="preserve"> </w:t>
      </w:r>
    </w:p>
    <w:p w14:paraId="35ACEB89" w14:textId="77777777" w:rsidR="00664FCC" w:rsidRDefault="00664FCC" w:rsidP="002238F9">
      <w:pPr>
        <w:spacing w:line="240" w:lineRule="auto"/>
        <w:jc w:val="both"/>
        <w:rPr>
          <w:rFonts w:ascii="Arial" w:hAnsi="Arial" w:cs="Arial"/>
          <w:sz w:val="24"/>
          <w:szCs w:val="24"/>
        </w:rPr>
      </w:pPr>
    </w:p>
    <w:p w14:paraId="45D4C494" w14:textId="77777777" w:rsidR="00702205" w:rsidRPr="00BE3C10" w:rsidRDefault="00702205" w:rsidP="00702205">
      <w:pPr>
        <w:spacing w:line="240" w:lineRule="auto"/>
        <w:jc w:val="both"/>
        <w:rPr>
          <w:rFonts w:ascii="Arial" w:hAnsi="Arial" w:cs="Arial"/>
          <w:sz w:val="24"/>
          <w:szCs w:val="24"/>
        </w:rPr>
      </w:pPr>
      <w:r w:rsidRPr="00BE3C10">
        <w:rPr>
          <w:rFonts w:ascii="Arial" w:hAnsi="Arial" w:cs="Arial"/>
          <w:sz w:val="24"/>
          <w:szCs w:val="24"/>
        </w:rPr>
        <w:t>For any points of clarification regarding th</w:t>
      </w:r>
      <w:r>
        <w:rPr>
          <w:rFonts w:ascii="Arial" w:hAnsi="Arial" w:cs="Arial"/>
          <w:sz w:val="24"/>
          <w:szCs w:val="24"/>
        </w:rPr>
        <w:t xml:space="preserve">is specification </w:t>
      </w:r>
      <w:r w:rsidRPr="00BE3C10">
        <w:rPr>
          <w:rFonts w:ascii="Arial" w:hAnsi="Arial" w:cs="Arial"/>
          <w:sz w:val="24"/>
          <w:szCs w:val="24"/>
        </w:rPr>
        <w:t xml:space="preserve">or the </w:t>
      </w:r>
      <w:r w:rsidR="00C0273D">
        <w:rPr>
          <w:rFonts w:ascii="Arial" w:hAnsi="Arial" w:cs="Arial"/>
          <w:sz w:val="24"/>
          <w:szCs w:val="24"/>
        </w:rPr>
        <w:t xml:space="preserve">FSA’s </w:t>
      </w:r>
      <w:r w:rsidRPr="00BE3C10">
        <w:rPr>
          <w:rFonts w:ascii="Arial" w:hAnsi="Arial" w:cs="Arial"/>
          <w:sz w:val="24"/>
          <w:szCs w:val="24"/>
        </w:rPr>
        <w:t xml:space="preserve">procurement procedures please </w:t>
      </w:r>
      <w:r>
        <w:rPr>
          <w:rFonts w:ascii="Arial" w:hAnsi="Arial" w:cs="Arial"/>
          <w:sz w:val="24"/>
          <w:szCs w:val="24"/>
        </w:rPr>
        <w:t>submit</w:t>
      </w:r>
      <w:r w:rsidRPr="00BE3C10">
        <w:rPr>
          <w:rFonts w:ascii="Arial" w:hAnsi="Arial" w:cs="Arial"/>
          <w:sz w:val="24"/>
          <w:szCs w:val="24"/>
        </w:rPr>
        <w:t xml:space="preserve"> through </w:t>
      </w:r>
      <w:r>
        <w:rPr>
          <w:rFonts w:ascii="Arial" w:hAnsi="Arial" w:cs="Arial"/>
          <w:sz w:val="24"/>
          <w:szCs w:val="24"/>
        </w:rPr>
        <w:t>ECMS</w:t>
      </w:r>
      <w:r w:rsidRPr="00BE3C10">
        <w:rPr>
          <w:rFonts w:ascii="Arial" w:hAnsi="Arial" w:cs="Arial"/>
          <w:sz w:val="24"/>
          <w:szCs w:val="24"/>
        </w:rPr>
        <w:t xml:space="preserve">. </w:t>
      </w:r>
    </w:p>
    <w:p w14:paraId="0E864B7E" w14:textId="77777777" w:rsidR="0091438C" w:rsidRPr="00BE3C10" w:rsidRDefault="0091438C" w:rsidP="002238F9">
      <w:pPr>
        <w:spacing w:line="240" w:lineRule="auto"/>
        <w:jc w:val="both"/>
        <w:rPr>
          <w:rFonts w:ascii="Arial" w:hAnsi="Arial" w:cs="Arial"/>
          <w:b/>
          <w:sz w:val="24"/>
          <w:szCs w:val="24"/>
        </w:rPr>
      </w:pPr>
    </w:p>
    <w:p w14:paraId="510ADF90" w14:textId="77777777" w:rsidR="0091438C" w:rsidRPr="00BE3C10" w:rsidRDefault="0091438C" w:rsidP="002238F9">
      <w:pPr>
        <w:spacing w:line="240" w:lineRule="auto"/>
        <w:jc w:val="both"/>
        <w:rPr>
          <w:rFonts w:ascii="Arial" w:hAnsi="Arial" w:cs="Arial"/>
          <w:b/>
          <w:sz w:val="24"/>
          <w:szCs w:val="24"/>
        </w:rPr>
      </w:pPr>
    </w:p>
    <w:p w14:paraId="292F7965" w14:textId="77777777" w:rsidR="002A6CEA" w:rsidRPr="00BE3C10" w:rsidRDefault="002A6CEA" w:rsidP="002238F9">
      <w:pPr>
        <w:spacing w:line="240" w:lineRule="auto"/>
        <w:jc w:val="both"/>
        <w:rPr>
          <w:rFonts w:ascii="Arial" w:hAnsi="Arial" w:cs="Arial"/>
          <w:b/>
          <w:sz w:val="24"/>
          <w:szCs w:val="24"/>
        </w:rPr>
      </w:pPr>
      <w:r w:rsidRPr="00BE3C10">
        <w:rPr>
          <w:rFonts w:ascii="Arial" w:hAnsi="Arial" w:cs="Arial"/>
          <w:b/>
          <w:sz w:val="24"/>
          <w:szCs w:val="24"/>
        </w:rPr>
        <w:t xml:space="preserve">Closing </w:t>
      </w:r>
      <w:r w:rsidR="0097788E" w:rsidRPr="00BE3C10">
        <w:rPr>
          <w:rFonts w:ascii="Arial" w:hAnsi="Arial" w:cs="Arial"/>
          <w:b/>
          <w:sz w:val="24"/>
          <w:szCs w:val="24"/>
        </w:rPr>
        <w:t>D</w:t>
      </w:r>
      <w:r w:rsidRPr="00BE3C10">
        <w:rPr>
          <w:rFonts w:ascii="Arial" w:hAnsi="Arial" w:cs="Arial"/>
          <w:b/>
          <w:sz w:val="24"/>
          <w:szCs w:val="24"/>
        </w:rPr>
        <w:t>ate</w:t>
      </w:r>
    </w:p>
    <w:p w14:paraId="1D50E89E" w14:textId="35FD2E89" w:rsidR="002A6CEA" w:rsidRDefault="004D3042" w:rsidP="002238F9">
      <w:pPr>
        <w:spacing w:after="120" w:line="240" w:lineRule="auto"/>
        <w:jc w:val="both"/>
        <w:rPr>
          <w:rFonts w:ascii="Arial" w:hAnsi="Arial" w:cs="Arial"/>
          <w:sz w:val="24"/>
          <w:szCs w:val="24"/>
        </w:rPr>
      </w:pPr>
      <w:r>
        <w:rPr>
          <w:rFonts w:ascii="Arial" w:hAnsi="Arial" w:cs="Arial"/>
          <w:sz w:val="24"/>
          <w:szCs w:val="24"/>
        </w:rPr>
        <w:t>Tender</w:t>
      </w:r>
      <w:r w:rsidR="007D53FE">
        <w:rPr>
          <w:rFonts w:ascii="Arial" w:hAnsi="Arial" w:cs="Arial"/>
          <w:sz w:val="24"/>
          <w:szCs w:val="24"/>
        </w:rPr>
        <w:t>s should be submitted on</w:t>
      </w:r>
      <w:r w:rsidR="002A6CEA" w:rsidRPr="00BE3C10">
        <w:rPr>
          <w:rFonts w:ascii="Arial" w:hAnsi="Arial" w:cs="Arial"/>
          <w:sz w:val="24"/>
          <w:szCs w:val="24"/>
        </w:rPr>
        <w:t xml:space="preserve"> </w:t>
      </w:r>
      <w:r w:rsidR="00063AF6" w:rsidRPr="00BE3C10">
        <w:rPr>
          <w:rFonts w:ascii="Arial" w:hAnsi="Arial" w:cs="Arial"/>
          <w:sz w:val="24"/>
          <w:szCs w:val="24"/>
        </w:rPr>
        <w:t>E</w:t>
      </w:r>
      <w:r w:rsidR="00FB6CBC">
        <w:rPr>
          <w:rFonts w:ascii="Arial" w:hAnsi="Arial" w:cs="Arial"/>
          <w:sz w:val="24"/>
          <w:szCs w:val="24"/>
        </w:rPr>
        <w:t>CMS</w:t>
      </w:r>
      <w:r w:rsidR="002A6CEA" w:rsidRPr="00BE3C10">
        <w:rPr>
          <w:rFonts w:ascii="Arial" w:hAnsi="Arial" w:cs="Arial"/>
          <w:sz w:val="24"/>
          <w:szCs w:val="24"/>
        </w:rPr>
        <w:t xml:space="preserve"> </w:t>
      </w:r>
      <w:r w:rsidR="002A6CEA" w:rsidRPr="003547C5">
        <w:rPr>
          <w:rFonts w:ascii="Arial" w:hAnsi="Arial" w:cs="Arial"/>
          <w:b/>
          <w:color w:val="FF0000"/>
          <w:sz w:val="24"/>
          <w:szCs w:val="24"/>
          <w:u w:val="single"/>
        </w:rPr>
        <w:t xml:space="preserve">by </w:t>
      </w:r>
      <w:r w:rsidR="00452B59" w:rsidRPr="003547C5">
        <w:rPr>
          <w:rFonts w:ascii="Arial" w:hAnsi="Arial" w:cs="Arial"/>
          <w:b/>
          <w:color w:val="FF0000"/>
          <w:sz w:val="24"/>
          <w:szCs w:val="24"/>
          <w:u w:val="single"/>
        </w:rPr>
        <w:t xml:space="preserve">the </w:t>
      </w:r>
      <w:r w:rsidR="00BF4BC6">
        <w:rPr>
          <w:rFonts w:ascii="Arial" w:hAnsi="Arial" w:cs="Arial"/>
          <w:b/>
          <w:color w:val="FF0000"/>
          <w:sz w:val="24"/>
          <w:szCs w:val="24"/>
          <w:u w:val="single"/>
        </w:rPr>
        <w:t>1</w:t>
      </w:r>
      <w:r w:rsidR="00B61008">
        <w:rPr>
          <w:rFonts w:ascii="Arial" w:hAnsi="Arial" w:cs="Arial"/>
          <w:b/>
          <w:color w:val="FF0000"/>
          <w:sz w:val="24"/>
          <w:szCs w:val="24"/>
          <w:u w:val="single"/>
        </w:rPr>
        <w:t>3</w:t>
      </w:r>
      <w:bookmarkStart w:id="0" w:name="_GoBack"/>
      <w:bookmarkEnd w:id="0"/>
      <w:r w:rsidR="004554CD" w:rsidRPr="003547C5">
        <w:rPr>
          <w:rFonts w:ascii="Arial" w:hAnsi="Arial" w:cs="Arial"/>
          <w:b/>
          <w:color w:val="FF0000"/>
          <w:sz w:val="24"/>
          <w:szCs w:val="24"/>
          <w:u w:val="single"/>
          <w:vertAlign w:val="superscript"/>
        </w:rPr>
        <w:t>th</w:t>
      </w:r>
      <w:r w:rsidR="004554CD" w:rsidRPr="003547C5">
        <w:rPr>
          <w:rFonts w:ascii="Arial" w:hAnsi="Arial" w:cs="Arial"/>
          <w:b/>
          <w:color w:val="FF0000"/>
          <w:sz w:val="24"/>
          <w:szCs w:val="24"/>
          <w:u w:val="single"/>
        </w:rPr>
        <w:t xml:space="preserve"> </w:t>
      </w:r>
      <w:r w:rsidR="00E40DC6">
        <w:rPr>
          <w:rFonts w:ascii="Arial" w:hAnsi="Arial" w:cs="Arial"/>
          <w:b/>
          <w:color w:val="FF0000"/>
          <w:sz w:val="24"/>
          <w:szCs w:val="24"/>
          <w:u w:val="single"/>
        </w:rPr>
        <w:t>Ju</w:t>
      </w:r>
      <w:r w:rsidR="00BF4BC6">
        <w:rPr>
          <w:rFonts w:ascii="Arial" w:hAnsi="Arial" w:cs="Arial"/>
          <w:b/>
          <w:color w:val="FF0000"/>
          <w:sz w:val="24"/>
          <w:szCs w:val="24"/>
          <w:u w:val="single"/>
        </w:rPr>
        <w:t>ly</w:t>
      </w:r>
      <w:r w:rsidR="00E40DC6">
        <w:rPr>
          <w:rFonts w:ascii="Arial" w:hAnsi="Arial" w:cs="Arial"/>
          <w:b/>
          <w:color w:val="FF0000"/>
          <w:sz w:val="24"/>
          <w:szCs w:val="24"/>
          <w:u w:val="single"/>
        </w:rPr>
        <w:t xml:space="preserve"> 2018</w:t>
      </w:r>
      <w:r w:rsidR="00452B59" w:rsidRPr="003547C5">
        <w:rPr>
          <w:rFonts w:ascii="Arial" w:hAnsi="Arial" w:cs="Arial"/>
          <w:b/>
          <w:color w:val="FF0000"/>
          <w:sz w:val="24"/>
          <w:szCs w:val="24"/>
        </w:rPr>
        <w:t>.</w:t>
      </w:r>
    </w:p>
    <w:p w14:paraId="43F8AF78" w14:textId="77777777" w:rsidR="00103AC4" w:rsidRPr="00103AC4" w:rsidRDefault="00103AC4" w:rsidP="002238F9">
      <w:pPr>
        <w:spacing w:after="120" w:line="240" w:lineRule="auto"/>
        <w:jc w:val="both"/>
        <w:rPr>
          <w:rFonts w:ascii="Arial" w:hAnsi="Arial" w:cs="Arial"/>
          <w:sz w:val="24"/>
          <w:szCs w:val="24"/>
        </w:rPr>
      </w:pPr>
    </w:p>
    <w:p w14:paraId="36705FAB" w14:textId="77777777" w:rsidR="008B6F0F" w:rsidRPr="00BE3C10" w:rsidRDefault="004D3042" w:rsidP="002238F9">
      <w:pPr>
        <w:spacing w:after="120" w:line="240" w:lineRule="auto"/>
        <w:jc w:val="both"/>
        <w:rPr>
          <w:rFonts w:ascii="Arial" w:hAnsi="Arial" w:cs="Arial"/>
          <w:sz w:val="24"/>
        </w:rPr>
      </w:pPr>
      <w:r>
        <w:rPr>
          <w:rFonts w:ascii="Arial" w:hAnsi="Arial" w:cs="Arial"/>
          <w:b/>
          <w:sz w:val="24"/>
          <w:szCs w:val="24"/>
        </w:rPr>
        <w:t>Tender</w:t>
      </w:r>
      <w:r w:rsidR="0097788E" w:rsidRPr="00BE3C10">
        <w:rPr>
          <w:rFonts w:ascii="Arial" w:hAnsi="Arial" w:cs="Arial"/>
          <w:b/>
          <w:sz w:val="24"/>
          <w:szCs w:val="24"/>
        </w:rPr>
        <w:t>s</w:t>
      </w:r>
      <w:r w:rsidR="002A6CEA" w:rsidRPr="00BE3C10">
        <w:rPr>
          <w:rFonts w:ascii="Arial" w:hAnsi="Arial" w:cs="Arial"/>
          <w:b/>
          <w:sz w:val="24"/>
          <w:szCs w:val="24"/>
        </w:rPr>
        <w:t xml:space="preserve"> received after this </w:t>
      </w:r>
      <w:r w:rsidR="009B4A42" w:rsidRPr="00BE3C10">
        <w:rPr>
          <w:rFonts w:ascii="Arial" w:hAnsi="Arial" w:cs="Arial"/>
          <w:b/>
          <w:sz w:val="24"/>
          <w:szCs w:val="24"/>
        </w:rPr>
        <w:t xml:space="preserve">time </w:t>
      </w:r>
      <w:r w:rsidR="002A6CEA" w:rsidRPr="00BE3C10">
        <w:rPr>
          <w:rFonts w:ascii="Arial" w:hAnsi="Arial" w:cs="Arial"/>
          <w:b/>
          <w:sz w:val="24"/>
          <w:szCs w:val="24"/>
        </w:rPr>
        <w:t>will not be considered or evaluated</w:t>
      </w:r>
      <w:r w:rsidR="000365DB" w:rsidRPr="00BE3C10">
        <w:rPr>
          <w:rFonts w:ascii="Arial" w:hAnsi="Arial" w:cs="Arial"/>
          <w:b/>
          <w:sz w:val="24"/>
          <w:szCs w:val="24"/>
        </w:rPr>
        <w:t>.</w:t>
      </w:r>
      <w:r w:rsidR="008B6F0F" w:rsidRPr="00BE3C10">
        <w:rPr>
          <w:rFonts w:ascii="Arial" w:hAnsi="Arial" w:cs="Arial"/>
          <w:sz w:val="24"/>
        </w:rPr>
        <w:t xml:space="preserve"> </w:t>
      </w:r>
      <w:r w:rsidR="000365DB" w:rsidRPr="00BE3C10">
        <w:rPr>
          <w:rFonts w:ascii="Arial" w:hAnsi="Arial" w:cs="Arial"/>
          <w:b/>
          <w:sz w:val="24"/>
          <w:szCs w:val="24"/>
        </w:rPr>
        <w:t>Please allow sufficient time to upload your tender and all supporting evidence before the closing date.</w:t>
      </w:r>
    </w:p>
    <w:p w14:paraId="1012EB21" w14:textId="77777777" w:rsidR="0097788E" w:rsidRPr="00BE3C10" w:rsidRDefault="002A6CEA" w:rsidP="002238F9">
      <w:pPr>
        <w:spacing w:after="120" w:line="240" w:lineRule="auto"/>
        <w:jc w:val="both"/>
        <w:rPr>
          <w:rFonts w:ascii="Arial" w:hAnsi="Arial" w:cs="Arial"/>
          <w:sz w:val="24"/>
          <w:szCs w:val="24"/>
        </w:rPr>
      </w:pPr>
      <w:r w:rsidRPr="00BE3C10">
        <w:rPr>
          <w:rFonts w:ascii="Arial" w:hAnsi="Arial" w:cs="Arial"/>
          <w:sz w:val="24"/>
          <w:szCs w:val="24"/>
        </w:rPr>
        <w:t xml:space="preserve"> </w:t>
      </w:r>
    </w:p>
    <w:p w14:paraId="40D319D2" w14:textId="77777777" w:rsidR="0097788E" w:rsidRPr="007D53FE" w:rsidRDefault="0097788E" w:rsidP="002238F9">
      <w:pPr>
        <w:spacing w:after="120" w:line="240" w:lineRule="auto"/>
        <w:jc w:val="both"/>
        <w:rPr>
          <w:rFonts w:ascii="Arial" w:hAnsi="Arial" w:cs="Arial"/>
          <w:b/>
          <w:sz w:val="24"/>
          <w:szCs w:val="24"/>
        </w:rPr>
      </w:pPr>
      <w:r w:rsidRPr="007D53FE">
        <w:rPr>
          <w:rFonts w:ascii="Arial" w:hAnsi="Arial" w:cs="Arial"/>
          <w:b/>
          <w:sz w:val="24"/>
          <w:szCs w:val="24"/>
        </w:rPr>
        <w:t xml:space="preserve">Notification of Submission of </w:t>
      </w:r>
      <w:r w:rsidR="004D3042" w:rsidRPr="007D53FE">
        <w:rPr>
          <w:rFonts w:ascii="Arial" w:hAnsi="Arial" w:cs="Arial"/>
          <w:b/>
          <w:sz w:val="24"/>
          <w:szCs w:val="24"/>
        </w:rPr>
        <w:t>Tender</w:t>
      </w:r>
      <w:r w:rsidR="00C11196" w:rsidRPr="007D53FE">
        <w:rPr>
          <w:rFonts w:ascii="Arial" w:hAnsi="Arial" w:cs="Arial"/>
          <w:b/>
          <w:sz w:val="24"/>
          <w:szCs w:val="24"/>
        </w:rPr>
        <w:t xml:space="preserve"> </w:t>
      </w:r>
    </w:p>
    <w:p w14:paraId="7D92560A" w14:textId="77777777" w:rsidR="0097788E" w:rsidRPr="00BE3C10" w:rsidRDefault="002A6CEA" w:rsidP="002238F9">
      <w:pPr>
        <w:spacing w:after="120" w:line="240" w:lineRule="auto"/>
        <w:jc w:val="both"/>
        <w:rPr>
          <w:rFonts w:ascii="Arial" w:hAnsi="Arial" w:cs="Arial"/>
          <w:sz w:val="24"/>
          <w:szCs w:val="24"/>
        </w:rPr>
      </w:pPr>
      <w:r w:rsidRPr="00BE3C10">
        <w:rPr>
          <w:rFonts w:ascii="Arial" w:hAnsi="Arial" w:cs="Arial"/>
          <w:sz w:val="24"/>
          <w:szCs w:val="24"/>
        </w:rPr>
        <w:t xml:space="preserve">On successfully submitting your tender you should </w:t>
      </w:r>
      <w:r w:rsidR="009B4A42" w:rsidRPr="00BE3C10">
        <w:rPr>
          <w:rFonts w:ascii="Arial" w:hAnsi="Arial" w:cs="Arial"/>
          <w:sz w:val="24"/>
          <w:szCs w:val="24"/>
        </w:rPr>
        <w:t xml:space="preserve">see a popup box appear on the screen indicating that your </w:t>
      </w:r>
      <w:r w:rsidR="004D3042">
        <w:rPr>
          <w:rFonts w:ascii="Arial" w:hAnsi="Arial" w:cs="Arial"/>
          <w:sz w:val="24"/>
          <w:szCs w:val="24"/>
        </w:rPr>
        <w:t>tender</w:t>
      </w:r>
      <w:r w:rsidR="009B4A42" w:rsidRPr="00BE3C10">
        <w:rPr>
          <w:rFonts w:ascii="Arial" w:hAnsi="Arial" w:cs="Arial"/>
          <w:sz w:val="24"/>
          <w:szCs w:val="24"/>
        </w:rPr>
        <w:t xml:space="preserve"> has been successfully </w:t>
      </w:r>
      <w:r w:rsidR="00EA179C" w:rsidRPr="00BE3C10">
        <w:rPr>
          <w:rFonts w:ascii="Arial" w:hAnsi="Arial" w:cs="Arial"/>
          <w:sz w:val="24"/>
          <w:szCs w:val="24"/>
        </w:rPr>
        <w:t>submitted</w:t>
      </w:r>
      <w:r w:rsidR="007D53FE">
        <w:rPr>
          <w:rFonts w:ascii="Arial" w:hAnsi="Arial" w:cs="Arial"/>
          <w:sz w:val="24"/>
          <w:szCs w:val="24"/>
        </w:rPr>
        <w:t>.</w:t>
      </w:r>
      <w:r w:rsidR="00EA179C" w:rsidRPr="00BE3C10">
        <w:rPr>
          <w:rFonts w:ascii="Arial" w:hAnsi="Arial" w:cs="Arial"/>
          <w:sz w:val="24"/>
          <w:szCs w:val="24"/>
        </w:rPr>
        <w:t xml:space="preserve"> </w:t>
      </w:r>
      <w:r w:rsidR="009B4A42" w:rsidRPr="00BE3C10">
        <w:rPr>
          <w:rFonts w:ascii="Arial" w:hAnsi="Arial" w:cs="Arial"/>
          <w:sz w:val="24"/>
          <w:szCs w:val="24"/>
        </w:rPr>
        <w:t xml:space="preserve">In </w:t>
      </w:r>
      <w:proofErr w:type="gramStart"/>
      <w:r w:rsidR="009B4A42" w:rsidRPr="00BE3C10">
        <w:rPr>
          <w:rFonts w:ascii="Arial" w:hAnsi="Arial" w:cs="Arial"/>
          <w:sz w:val="24"/>
          <w:szCs w:val="24"/>
        </w:rPr>
        <w:t>addition</w:t>
      </w:r>
      <w:proofErr w:type="gramEnd"/>
      <w:r w:rsidR="009B4A42" w:rsidRPr="00BE3C10">
        <w:rPr>
          <w:rFonts w:ascii="Arial" w:hAnsi="Arial" w:cs="Arial"/>
          <w:sz w:val="24"/>
          <w:szCs w:val="24"/>
        </w:rPr>
        <w:t xml:space="preserve"> you will </w:t>
      </w:r>
      <w:r w:rsidRPr="00BE3C10">
        <w:rPr>
          <w:rFonts w:ascii="Arial" w:hAnsi="Arial" w:cs="Arial"/>
          <w:sz w:val="24"/>
          <w:szCs w:val="24"/>
        </w:rPr>
        <w:t xml:space="preserve">receive an automatic email from </w:t>
      </w:r>
      <w:r w:rsidR="00063AF6" w:rsidRPr="00BE3C10">
        <w:rPr>
          <w:rFonts w:ascii="Arial" w:hAnsi="Arial" w:cs="Arial"/>
          <w:sz w:val="24"/>
          <w:szCs w:val="24"/>
        </w:rPr>
        <w:t>E</w:t>
      </w:r>
      <w:r w:rsidR="007D53FE">
        <w:rPr>
          <w:rFonts w:ascii="Arial" w:hAnsi="Arial" w:cs="Arial"/>
          <w:sz w:val="24"/>
          <w:szCs w:val="24"/>
        </w:rPr>
        <w:t>CMS</w:t>
      </w:r>
      <w:r w:rsidRPr="00BE3C10">
        <w:rPr>
          <w:rFonts w:ascii="Arial" w:hAnsi="Arial" w:cs="Arial"/>
          <w:sz w:val="24"/>
          <w:szCs w:val="24"/>
        </w:rPr>
        <w:t xml:space="preserve"> with a reference </w:t>
      </w:r>
      <w:r w:rsidR="007D53FE">
        <w:rPr>
          <w:rFonts w:ascii="Arial" w:hAnsi="Arial" w:cs="Arial"/>
          <w:sz w:val="24"/>
          <w:szCs w:val="24"/>
        </w:rPr>
        <w:t>code</w:t>
      </w:r>
      <w:r w:rsidRPr="00BE3C10">
        <w:rPr>
          <w:rFonts w:ascii="Arial" w:hAnsi="Arial" w:cs="Arial"/>
          <w:sz w:val="24"/>
          <w:szCs w:val="24"/>
        </w:rPr>
        <w:t xml:space="preserve">.  </w:t>
      </w:r>
    </w:p>
    <w:p w14:paraId="71FBCC25" w14:textId="77777777" w:rsidR="00FD2661" w:rsidRPr="00BE3C10" w:rsidRDefault="00FD2661" w:rsidP="002238F9">
      <w:pPr>
        <w:pStyle w:val="Heading1"/>
        <w:numPr>
          <w:ilvl w:val="0"/>
          <w:numId w:val="23"/>
        </w:numPr>
        <w:pBdr>
          <w:bottom w:val="none" w:sz="0" w:space="0" w:color="auto"/>
        </w:pBdr>
        <w:tabs>
          <w:tab w:val="left" w:pos="-709"/>
        </w:tabs>
        <w:ind w:left="426" w:hanging="426"/>
        <w:rPr>
          <w:rFonts w:ascii="Arial" w:hAnsi="Arial"/>
          <w:color w:val="auto"/>
        </w:rPr>
      </w:pPr>
      <w:r w:rsidRPr="00BE3C10">
        <w:rPr>
          <w:rFonts w:ascii="Arial" w:hAnsi="Arial"/>
          <w:color w:val="auto"/>
        </w:rPr>
        <w:t>EVALUATION OF TENDERS</w:t>
      </w:r>
    </w:p>
    <w:p w14:paraId="63D393DC" w14:textId="77777777" w:rsidR="00FD2661" w:rsidRPr="00BE3C10" w:rsidRDefault="00FD2661" w:rsidP="002238F9">
      <w:pPr>
        <w:pStyle w:val="Heading1"/>
        <w:pBdr>
          <w:bottom w:val="none" w:sz="0" w:space="0" w:color="auto"/>
        </w:pBdr>
        <w:tabs>
          <w:tab w:val="left" w:pos="-709"/>
        </w:tabs>
        <w:jc w:val="both"/>
        <w:rPr>
          <w:rFonts w:ascii="Arial" w:hAnsi="Arial"/>
          <w:b w:val="0"/>
          <w:color w:val="auto"/>
        </w:rPr>
      </w:pPr>
      <w:r w:rsidRPr="00BE3C10">
        <w:rPr>
          <w:rFonts w:ascii="Arial" w:hAnsi="Arial"/>
          <w:b w:val="0"/>
          <w:color w:val="auto"/>
        </w:rPr>
        <w:t>The Tenderers Application consists of the:</w:t>
      </w:r>
    </w:p>
    <w:p w14:paraId="46DC58D5" w14:textId="77777777" w:rsidR="00FD2661" w:rsidRPr="00BE3C10" w:rsidRDefault="00FD2661"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Technical envelope (80% of overall value), in which applicants should detail the approach, the work plan and thei</w:t>
      </w:r>
      <w:r w:rsidR="00303D99" w:rsidRPr="00BE3C10">
        <w:rPr>
          <w:rFonts w:ascii="Arial" w:hAnsi="Arial"/>
          <w:b w:val="0"/>
          <w:color w:val="auto"/>
        </w:rPr>
        <w:t>r ability to undertake the work</w:t>
      </w:r>
      <w:r w:rsidR="00E06893" w:rsidRPr="00BE3C10">
        <w:rPr>
          <w:rFonts w:ascii="Arial" w:hAnsi="Arial"/>
          <w:b w:val="0"/>
          <w:color w:val="auto"/>
        </w:rPr>
        <w:t>, and</w:t>
      </w:r>
    </w:p>
    <w:p w14:paraId="0E48AB2A" w14:textId="77777777" w:rsidR="00FD2661" w:rsidRPr="00BE3C10" w:rsidRDefault="00FD2661"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Financial envelope (20% of overall value), in which applicants should outline all costs to conduct the proposed work</w:t>
      </w:r>
      <w:r w:rsidR="00FB59D5" w:rsidRPr="00BE3C10">
        <w:rPr>
          <w:rFonts w:ascii="Arial" w:hAnsi="Arial"/>
          <w:b w:val="0"/>
          <w:color w:val="auto"/>
        </w:rPr>
        <w:t>,</w:t>
      </w:r>
      <w:r w:rsidRPr="00BE3C10">
        <w:rPr>
          <w:rFonts w:ascii="Arial" w:hAnsi="Arial"/>
          <w:b w:val="0"/>
          <w:color w:val="auto"/>
        </w:rPr>
        <w:t xml:space="preserve"> and </w:t>
      </w:r>
    </w:p>
    <w:p w14:paraId="14DB1E30" w14:textId="77777777" w:rsidR="00FD2661" w:rsidRPr="00BE3C10" w:rsidRDefault="00914856"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lastRenderedPageBreak/>
        <w:t>A</w:t>
      </w:r>
      <w:r>
        <w:rPr>
          <w:rFonts w:ascii="Arial" w:hAnsi="Arial"/>
          <w:b w:val="0"/>
          <w:color w:val="auto"/>
        </w:rPr>
        <w:t xml:space="preserve">ny </w:t>
      </w:r>
      <w:r w:rsidR="00FD2661" w:rsidRPr="00BE3C10">
        <w:rPr>
          <w:rFonts w:ascii="Arial" w:hAnsi="Arial"/>
          <w:b w:val="0"/>
          <w:color w:val="auto"/>
        </w:rPr>
        <w:t>other re</w:t>
      </w:r>
      <w:r>
        <w:rPr>
          <w:rFonts w:ascii="Arial" w:hAnsi="Arial"/>
          <w:b w:val="0"/>
          <w:color w:val="auto"/>
        </w:rPr>
        <w:t>levant supporting information</w:t>
      </w:r>
    </w:p>
    <w:p w14:paraId="3521C632" w14:textId="77777777" w:rsidR="00FD2661" w:rsidRDefault="00FD2661" w:rsidP="002238F9">
      <w:pPr>
        <w:pStyle w:val="Heading1"/>
        <w:pBdr>
          <w:bottom w:val="none" w:sz="0" w:space="0" w:color="auto"/>
        </w:pBdr>
        <w:tabs>
          <w:tab w:val="left" w:pos="-709"/>
        </w:tabs>
        <w:jc w:val="both"/>
        <w:rPr>
          <w:rFonts w:ascii="Arial" w:hAnsi="Arial"/>
          <w:b w:val="0"/>
          <w:color w:val="auto"/>
        </w:rPr>
      </w:pPr>
      <w:r w:rsidRPr="00BE3C10">
        <w:rPr>
          <w:rFonts w:ascii="Arial" w:hAnsi="Arial"/>
          <w:b w:val="0"/>
          <w:color w:val="auto"/>
        </w:rPr>
        <w:t xml:space="preserve">Tenders will be evaluated by FSA internal appraisers and external experts using a numerical system.  The table below shows the weightings that have been allocated to each section </w:t>
      </w:r>
      <w:r w:rsidR="0066233A">
        <w:rPr>
          <w:rFonts w:ascii="Arial" w:hAnsi="Arial"/>
          <w:b w:val="0"/>
          <w:color w:val="auto"/>
        </w:rPr>
        <w:t xml:space="preserve">of the application form </w:t>
      </w:r>
      <w:r w:rsidRPr="00BE3C10">
        <w:rPr>
          <w:rFonts w:ascii="Arial" w:hAnsi="Arial"/>
          <w:b w:val="0"/>
          <w:color w:val="auto"/>
        </w:rPr>
        <w:t xml:space="preserve">and </w:t>
      </w:r>
      <w:r w:rsidR="0066233A">
        <w:rPr>
          <w:rFonts w:ascii="Arial" w:hAnsi="Arial"/>
          <w:b w:val="0"/>
          <w:color w:val="auto"/>
        </w:rPr>
        <w:t xml:space="preserve">these </w:t>
      </w:r>
      <w:r w:rsidRPr="00BE3C10">
        <w:rPr>
          <w:rFonts w:ascii="Arial" w:hAnsi="Arial"/>
          <w:b w:val="0"/>
          <w:color w:val="auto"/>
        </w:rPr>
        <w:t xml:space="preserve">will be used by the appraisers: </w:t>
      </w:r>
    </w:p>
    <w:p w14:paraId="6BBD2CD3" w14:textId="77777777" w:rsidR="00523751" w:rsidRPr="00523751" w:rsidRDefault="00523751" w:rsidP="00523751">
      <w:pPr>
        <w:rPr>
          <w:lang w:val="en-US" w:bidi="en-U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3"/>
        <w:gridCol w:w="2494"/>
      </w:tblGrid>
      <w:tr w:rsidR="00FD2661" w:rsidRPr="00BE3C10" w14:paraId="2D73458C" w14:textId="77777777" w:rsidTr="00B6276E">
        <w:trPr>
          <w:trHeight w:val="599"/>
        </w:trPr>
        <w:tc>
          <w:tcPr>
            <w:tcW w:w="5000" w:type="pct"/>
            <w:gridSpan w:val="2"/>
            <w:shd w:val="clear" w:color="auto" w:fill="339933"/>
          </w:tcPr>
          <w:p w14:paraId="536D917D" w14:textId="77777777" w:rsidR="00FD2661" w:rsidRPr="00BE3C10" w:rsidRDefault="00FD2661" w:rsidP="004D3042">
            <w:pPr>
              <w:pStyle w:val="BodyText1"/>
              <w:spacing w:before="120"/>
              <w:ind w:firstLine="0"/>
              <w:jc w:val="both"/>
              <w:rPr>
                <w:rFonts w:cs="Arial"/>
                <w:b/>
                <w:color w:val="FFFFFF"/>
                <w:sz w:val="24"/>
                <w:szCs w:val="24"/>
              </w:rPr>
            </w:pPr>
            <w:r w:rsidRPr="00BE3C10">
              <w:rPr>
                <w:rFonts w:cs="Arial"/>
                <w:b/>
                <w:color w:val="FFFFFF"/>
                <w:sz w:val="24"/>
                <w:szCs w:val="24"/>
              </w:rPr>
              <w:t xml:space="preserve">TABLE 2. </w:t>
            </w:r>
            <w:r w:rsidR="004D3042">
              <w:rPr>
                <w:rFonts w:cs="Arial"/>
                <w:b/>
                <w:color w:val="FFFFFF"/>
                <w:sz w:val="24"/>
                <w:szCs w:val="24"/>
              </w:rPr>
              <w:t>E</w:t>
            </w:r>
            <w:r w:rsidRPr="00BE3C10">
              <w:rPr>
                <w:rFonts w:cs="Arial"/>
                <w:b/>
                <w:color w:val="FFFFFF"/>
                <w:sz w:val="24"/>
                <w:szCs w:val="24"/>
              </w:rPr>
              <w:t>VALUATION CRITERIA FOR SELECTION OF SUCCESSFUL TENDERER</w:t>
            </w:r>
          </w:p>
        </w:tc>
      </w:tr>
      <w:tr w:rsidR="00FD2661" w:rsidRPr="00BE3C10" w14:paraId="710D4FC5" w14:textId="77777777" w:rsidTr="00B6276E">
        <w:tc>
          <w:tcPr>
            <w:tcW w:w="3611" w:type="pct"/>
            <w:shd w:val="clear" w:color="auto" w:fill="339933"/>
          </w:tcPr>
          <w:p w14:paraId="3A3FDD3B" w14:textId="77777777" w:rsidR="00FD2661" w:rsidRPr="00BE3C10" w:rsidRDefault="004D3042" w:rsidP="002238F9">
            <w:pPr>
              <w:pStyle w:val="BodyText1"/>
              <w:spacing w:before="120"/>
              <w:jc w:val="both"/>
              <w:rPr>
                <w:rFonts w:cs="Arial"/>
                <w:b/>
                <w:color w:val="FFFFFF"/>
                <w:sz w:val="24"/>
                <w:szCs w:val="24"/>
              </w:rPr>
            </w:pPr>
            <w:r>
              <w:rPr>
                <w:rFonts w:cs="Arial"/>
                <w:b/>
                <w:color w:val="FFFFFF"/>
                <w:sz w:val="24"/>
                <w:szCs w:val="24"/>
              </w:rPr>
              <w:t>CRITERIA</w:t>
            </w:r>
          </w:p>
        </w:tc>
        <w:tc>
          <w:tcPr>
            <w:tcW w:w="1389" w:type="pct"/>
            <w:shd w:val="clear" w:color="auto" w:fill="339933"/>
          </w:tcPr>
          <w:p w14:paraId="3F170450" w14:textId="77777777" w:rsidR="00FD2661" w:rsidRPr="00BE3C10" w:rsidRDefault="00FD2661" w:rsidP="002238F9">
            <w:pPr>
              <w:pStyle w:val="BodyText1"/>
              <w:spacing w:before="120"/>
              <w:ind w:firstLine="0"/>
              <w:jc w:val="center"/>
              <w:rPr>
                <w:rFonts w:cs="Arial"/>
                <w:b/>
                <w:color w:val="FFFFFF"/>
                <w:sz w:val="24"/>
                <w:szCs w:val="24"/>
              </w:rPr>
            </w:pPr>
            <w:r w:rsidRPr="00BE3C10">
              <w:rPr>
                <w:rFonts w:cs="Arial"/>
                <w:b/>
                <w:color w:val="FFFFFF"/>
                <w:sz w:val="24"/>
                <w:szCs w:val="24"/>
              </w:rPr>
              <w:t>PERCENTAGE WEIGHTINGS</w:t>
            </w:r>
          </w:p>
        </w:tc>
      </w:tr>
      <w:tr w:rsidR="00FD2661" w:rsidRPr="00BE3C10" w14:paraId="54BC6729" w14:textId="77777777" w:rsidTr="00B6276E">
        <w:tc>
          <w:tcPr>
            <w:tcW w:w="3611" w:type="pct"/>
            <w:shd w:val="clear" w:color="auto" w:fill="E4F8E4"/>
          </w:tcPr>
          <w:p w14:paraId="26BA292F" w14:textId="77777777" w:rsidR="00FD2661" w:rsidRPr="00BE3C10" w:rsidRDefault="00FD2661" w:rsidP="002238F9">
            <w:pPr>
              <w:pStyle w:val="BodyText1"/>
              <w:spacing w:before="120"/>
              <w:ind w:firstLine="0"/>
              <w:jc w:val="both"/>
              <w:rPr>
                <w:rFonts w:cs="Arial"/>
                <w:color w:val="000000"/>
                <w:sz w:val="24"/>
                <w:szCs w:val="24"/>
              </w:rPr>
            </w:pPr>
            <w:r w:rsidRPr="00BE3C10">
              <w:rPr>
                <w:rFonts w:cs="Arial"/>
                <w:color w:val="000000"/>
                <w:sz w:val="24"/>
                <w:szCs w:val="24"/>
              </w:rPr>
              <w:t xml:space="preserve">TECHNICAL CRITERIA – </w:t>
            </w:r>
            <w:r w:rsidRPr="004D3042">
              <w:rPr>
                <w:rFonts w:cs="Arial"/>
                <w:b/>
                <w:color w:val="000000"/>
                <w:sz w:val="24"/>
                <w:szCs w:val="24"/>
              </w:rPr>
              <w:t>80% overall Value</w:t>
            </w:r>
          </w:p>
        </w:tc>
        <w:tc>
          <w:tcPr>
            <w:tcW w:w="1389" w:type="pct"/>
            <w:shd w:val="clear" w:color="auto" w:fill="E4F8E4"/>
          </w:tcPr>
          <w:p w14:paraId="4ECACA36" w14:textId="77777777" w:rsidR="00FD2661" w:rsidRPr="00BE3C10" w:rsidRDefault="00FD2661" w:rsidP="002238F9">
            <w:pPr>
              <w:pStyle w:val="BodyText1"/>
              <w:spacing w:before="120"/>
              <w:jc w:val="both"/>
              <w:rPr>
                <w:rFonts w:cs="Arial"/>
                <w:color w:val="000000"/>
                <w:sz w:val="24"/>
                <w:szCs w:val="24"/>
              </w:rPr>
            </w:pPr>
            <w:r w:rsidRPr="00BE3C10">
              <w:rPr>
                <w:rFonts w:cs="Arial"/>
                <w:color w:val="000000"/>
                <w:sz w:val="24"/>
                <w:szCs w:val="24"/>
              </w:rPr>
              <w:t>Made up of</w:t>
            </w:r>
          </w:p>
        </w:tc>
      </w:tr>
      <w:tr w:rsidR="00FD2661" w:rsidRPr="00BE3C10" w14:paraId="47E3AA36" w14:textId="77777777" w:rsidTr="009749D1">
        <w:trPr>
          <w:trHeight w:val="365"/>
        </w:trPr>
        <w:tc>
          <w:tcPr>
            <w:tcW w:w="3611" w:type="pct"/>
            <w:shd w:val="clear" w:color="auto" w:fill="E4F8E4"/>
            <w:vAlign w:val="center"/>
          </w:tcPr>
          <w:p w14:paraId="5ACE7F29" w14:textId="77777777" w:rsidR="00FD2661" w:rsidRPr="006F7C96" w:rsidRDefault="006F7C96" w:rsidP="006F7C96">
            <w:pPr>
              <w:pStyle w:val="ListParagraph"/>
              <w:numPr>
                <w:ilvl w:val="0"/>
                <w:numId w:val="24"/>
              </w:numPr>
              <w:spacing w:line="240" w:lineRule="auto"/>
              <w:jc w:val="both"/>
              <w:rPr>
                <w:rFonts w:ascii="Arial" w:hAnsi="Arial" w:cs="Arial"/>
                <w:sz w:val="24"/>
                <w:szCs w:val="24"/>
                <w:lang w:eastAsia="en-GB"/>
              </w:rPr>
            </w:pPr>
            <w:r>
              <w:rPr>
                <w:rFonts w:ascii="Arial" w:hAnsi="Arial" w:cs="Arial"/>
                <w:sz w:val="24"/>
                <w:szCs w:val="24"/>
                <w:lang w:eastAsia="en-GB"/>
              </w:rPr>
              <w:t xml:space="preserve"> </w:t>
            </w:r>
            <w:r w:rsidR="004D3042">
              <w:rPr>
                <w:rFonts w:ascii="Arial" w:hAnsi="Arial" w:cs="Arial"/>
                <w:sz w:val="24"/>
                <w:szCs w:val="24"/>
                <w:lang w:eastAsia="en-GB"/>
              </w:rPr>
              <w:t>Tender</w:t>
            </w:r>
            <w:r>
              <w:rPr>
                <w:rFonts w:ascii="Arial" w:hAnsi="Arial" w:cs="Arial"/>
                <w:sz w:val="24"/>
                <w:szCs w:val="24"/>
                <w:lang w:eastAsia="en-GB"/>
              </w:rPr>
              <w:t xml:space="preserve"> summary and o</w:t>
            </w:r>
            <w:r w:rsidR="00FD2661" w:rsidRPr="006F7C96">
              <w:rPr>
                <w:rFonts w:ascii="Arial" w:hAnsi="Arial" w:cs="Arial"/>
                <w:sz w:val="24"/>
                <w:szCs w:val="24"/>
                <w:lang w:eastAsia="en-GB"/>
              </w:rPr>
              <w:t>bjectives</w:t>
            </w:r>
          </w:p>
        </w:tc>
        <w:tc>
          <w:tcPr>
            <w:tcW w:w="1389" w:type="pct"/>
            <w:shd w:val="clear" w:color="auto" w:fill="E4F8E4"/>
          </w:tcPr>
          <w:p w14:paraId="3EF13DFB" w14:textId="77777777" w:rsidR="00FD2661" w:rsidRPr="00BE3C10" w:rsidRDefault="00FD2661" w:rsidP="002238F9">
            <w:pPr>
              <w:pStyle w:val="BodyText1"/>
              <w:spacing w:before="120"/>
              <w:ind w:left="33" w:firstLine="0"/>
              <w:jc w:val="center"/>
              <w:rPr>
                <w:rFonts w:cs="Arial"/>
                <w:color w:val="000000"/>
                <w:sz w:val="24"/>
                <w:szCs w:val="24"/>
              </w:rPr>
            </w:pPr>
            <w:r w:rsidRPr="00BE3C10">
              <w:rPr>
                <w:rFonts w:cs="Arial"/>
                <w:color w:val="000000"/>
                <w:sz w:val="24"/>
                <w:szCs w:val="24"/>
              </w:rPr>
              <w:t>10%</w:t>
            </w:r>
          </w:p>
        </w:tc>
      </w:tr>
      <w:tr w:rsidR="00FD2661" w:rsidRPr="00BE3C10" w14:paraId="0020A74C" w14:textId="77777777" w:rsidTr="00B6276E">
        <w:tc>
          <w:tcPr>
            <w:tcW w:w="3611" w:type="pct"/>
            <w:shd w:val="clear" w:color="auto" w:fill="E4F8E4"/>
            <w:vAlign w:val="center"/>
          </w:tcPr>
          <w:p w14:paraId="0405C644" w14:textId="77777777" w:rsidR="00FD2661" w:rsidRPr="006F7C96" w:rsidRDefault="006F7C96" w:rsidP="00BC4907">
            <w:pPr>
              <w:pStyle w:val="ListParagraph"/>
              <w:numPr>
                <w:ilvl w:val="0"/>
                <w:numId w:val="24"/>
              </w:numPr>
              <w:spacing w:line="240" w:lineRule="auto"/>
              <w:jc w:val="both"/>
              <w:rPr>
                <w:rFonts w:ascii="Arial" w:hAnsi="Arial" w:cs="Arial"/>
                <w:b/>
                <w:sz w:val="24"/>
                <w:szCs w:val="24"/>
                <w:lang w:eastAsia="en-GB"/>
              </w:rPr>
            </w:pPr>
            <w:r>
              <w:rPr>
                <w:rFonts w:ascii="Arial" w:hAnsi="Arial" w:cs="Arial"/>
                <w:sz w:val="24"/>
                <w:szCs w:val="24"/>
                <w:lang w:eastAsia="en-GB"/>
              </w:rPr>
              <w:t xml:space="preserve"> </w:t>
            </w:r>
            <w:r w:rsidR="00FD2661" w:rsidRPr="006F7C96">
              <w:rPr>
                <w:rFonts w:ascii="Arial" w:hAnsi="Arial" w:cs="Arial"/>
                <w:sz w:val="24"/>
                <w:szCs w:val="24"/>
                <w:lang w:eastAsia="en-GB"/>
              </w:rPr>
              <w:t>The approach</w:t>
            </w:r>
            <w:r>
              <w:rPr>
                <w:rFonts w:ascii="Arial" w:hAnsi="Arial" w:cs="Arial"/>
                <w:sz w:val="24"/>
                <w:szCs w:val="24"/>
                <w:lang w:eastAsia="en-GB"/>
              </w:rPr>
              <w:t>/scope of work</w:t>
            </w:r>
            <w:r w:rsidR="00BC4907">
              <w:rPr>
                <w:rFonts w:ascii="Arial" w:hAnsi="Arial" w:cs="Arial"/>
                <w:sz w:val="24"/>
                <w:szCs w:val="24"/>
                <w:lang w:eastAsia="en-GB"/>
              </w:rPr>
              <w:t>, including innovation</w:t>
            </w:r>
            <w:r w:rsidR="00FD2661" w:rsidRPr="006F7C96">
              <w:rPr>
                <w:rFonts w:ascii="Arial" w:hAnsi="Arial" w:cs="Arial"/>
                <w:b/>
                <w:sz w:val="24"/>
                <w:szCs w:val="24"/>
                <w:lang w:eastAsia="en-GB"/>
              </w:rPr>
              <w:t xml:space="preserve"> </w:t>
            </w:r>
          </w:p>
        </w:tc>
        <w:tc>
          <w:tcPr>
            <w:tcW w:w="1389" w:type="pct"/>
            <w:shd w:val="clear" w:color="auto" w:fill="E4F8E4"/>
          </w:tcPr>
          <w:p w14:paraId="6C93E0B6" w14:textId="77777777" w:rsidR="00FD2661" w:rsidRPr="00BE3C10" w:rsidRDefault="00FD2661" w:rsidP="002238F9">
            <w:pPr>
              <w:pStyle w:val="BodyText1"/>
              <w:spacing w:before="120"/>
              <w:ind w:left="33" w:firstLine="0"/>
              <w:jc w:val="center"/>
              <w:rPr>
                <w:rFonts w:cs="Arial"/>
                <w:color w:val="000000"/>
                <w:sz w:val="24"/>
                <w:szCs w:val="24"/>
              </w:rPr>
            </w:pPr>
            <w:r w:rsidRPr="00BE3C10">
              <w:rPr>
                <w:rFonts w:cs="Arial"/>
                <w:color w:val="000000"/>
                <w:sz w:val="24"/>
                <w:szCs w:val="24"/>
              </w:rPr>
              <w:t>20%</w:t>
            </w:r>
          </w:p>
        </w:tc>
      </w:tr>
      <w:tr w:rsidR="00FD2661" w:rsidRPr="00BE3C10" w14:paraId="7136AC39" w14:textId="77777777" w:rsidTr="00B6276E">
        <w:tc>
          <w:tcPr>
            <w:tcW w:w="3611" w:type="pct"/>
            <w:shd w:val="clear" w:color="auto" w:fill="E4F8E4"/>
            <w:vAlign w:val="center"/>
          </w:tcPr>
          <w:p w14:paraId="7FBEC7C7" w14:textId="77777777" w:rsidR="00FD2661" w:rsidRPr="006F7C96" w:rsidRDefault="006B3F91" w:rsidP="006F7C96">
            <w:pPr>
              <w:pStyle w:val="ListParagraph"/>
              <w:numPr>
                <w:ilvl w:val="0"/>
                <w:numId w:val="24"/>
              </w:numPr>
              <w:spacing w:line="240" w:lineRule="auto"/>
              <w:jc w:val="both"/>
              <w:rPr>
                <w:rFonts w:ascii="Arial" w:hAnsi="Arial" w:cs="Arial"/>
                <w:sz w:val="24"/>
                <w:szCs w:val="24"/>
                <w:lang w:eastAsia="en-GB"/>
              </w:rPr>
            </w:pPr>
            <w:r>
              <w:rPr>
                <w:rFonts w:ascii="Arial" w:hAnsi="Arial" w:cs="Arial"/>
                <w:sz w:val="24"/>
                <w:szCs w:val="24"/>
                <w:lang w:eastAsia="en-GB"/>
              </w:rPr>
              <w:t xml:space="preserve"> The</w:t>
            </w:r>
            <w:r w:rsidR="006F7C96">
              <w:rPr>
                <w:rFonts w:ascii="Arial" w:hAnsi="Arial" w:cs="Arial"/>
                <w:sz w:val="24"/>
                <w:szCs w:val="24"/>
                <w:lang w:eastAsia="en-GB"/>
              </w:rPr>
              <w:t xml:space="preserve"> plan and deliverables</w:t>
            </w:r>
          </w:p>
        </w:tc>
        <w:tc>
          <w:tcPr>
            <w:tcW w:w="1389" w:type="pct"/>
            <w:shd w:val="clear" w:color="auto" w:fill="E4F8E4"/>
          </w:tcPr>
          <w:p w14:paraId="55030DD6" w14:textId="77777777" w:rsidR="00FD2661" w:rsidRPr="00BE3C10" w:rsidRDefault="006F7C96" w:rsidP="002238F9">
            <w:pPr>
              <w:pStyle w:val="BodyText1"/>
              <w:spacing w:before="120"/>
              <w:ind w:left="33" w:firstLine="0"/>
              <w:jc w:val="center"/>
              <w:rPr>
                <w:rFonts w:cs="Arial"/>
                <w:color w:val="000000"/>
                <w:sz w:val="24"/>
                <w:szCs w:val="24"/>
              </w:rPr>
            </w:pPr>
            <w:r>
              <w:rPr>
                <w:rFonts w:cs="Arial"/>
                <w:color w:val="000000"/>
                <w:sz w:val="24"/>
                <w:szCs w:val="24"/>
              </w:rPr>
              <w:t>1</w:t>
            </w:r>
            <w:r w:rsidR="00FD2661" w:rsidRPr="00BE3C10">
              <w:rPr>
                <w:rFonts w:cs="Arial"/>
                <w:color w:val="000000"/>
                <w:sz w:val="24"/>
                <w:szCs w:val="24"/>
              </w:rPr>
              <w:t>0%</w:t>
            </w:r>
          </w:p>
        </w:tc>
      </w:tr>
      <w:tr w:rsidR="00FD2661" w:rsidRPr="00BE3C10" w14:paraId="3009CF32" w14:textId="77777777" w:rsidTr="00B6276E">
        <w:tc>
          <w:tcPr>
            <w:tcW w:w="3611" w:type="pct"/>
            <w:shd w:val="clear" w:color="auto" w:fill="E4F8E4"/>
            <w:vAlign w:val="center"/>
          </w:tcPr>
          <w:p w14:paraId="5979EC9C" w14:textId="77777777" w:rsidR="00FD2661" w:rsidRPr="006F7C96" w:rsidRDefault="006F7C96" w:rsidP="006F7C96">
            <w:pPr>
              <w:pStyle w:val="ListParagraph"/>
              <w:numPr>
                <w:ilvl w:val="0"/>
                <w:numId w:val="24"/>
              </w:numPr>
              <w:spacing w:line="240" w:lineRule="auto"/>
              <w:jc w:val="both"/>
              <w:rPr>
                <w:rFonts w:ascii="Arial" w:hAnsi="Arial" w:cs="Arial"/>
                <w:color w:val="000000"/>
                <w:sz w:val="24"/>
                <w:szCs w:val="24"/>
              </w:rPr>
            </w:pPr>
            <w:r>
              <w:rPr>
                <w:rFonts w:ascii="Arial" w:hAnsi="Arial" w:cs="Arial"/>
                <w:sz w:val="24"/>
                <w:szCs w:val="24"/>
                <w:lang w:eastAsia="en-GB"/>
              </w:rPr>
              <w:t xml:space="preserve"> </w:t>
            </w:r>
            <w:r w:rsidR="00FD2661" w:rsidRPr="006F7C96">
              <w:rPr>
                <w:rFonts w:ascii="Arial" w:hAnsi="Arial" w:cs="Arial"/>
                <w:sz w:val="24"/>
                <w:szCs w:val="24"/>
                <w:lang w:eastAsia="en-GB"/>
              </w:rPr>
              <w:t xml:space="preserve">Organisational experience, expertise and </w:t>
            </w:r>
            <w:r>
              <w:rPr>
                <w:rFonts w:ascii="Arial" w:hAnsi="Arial" w:cs="Arial"/>
                <w:sz w:val="24"/>
                <w:szCs w:val="24"/>
                <w:lang w:eastAsia="en-GB"/>
              </w:rPr>
              <w:t>staff effort</w:t>
            </w:r>
          </w:p>
        </w:tc>
        <w:tc>
          <w:tcPr>
            <w:tcW w:w="1389" w:type="pct"/>
            <w:shd w:val="clear" w:color="auto" w:fill="E4F8E4"/>
          </w:tcPr>
          <w:p w14:paraId="3576F7B6" w14:textId="77777777" w:rsidR="00FD2661" w:rsidRPr="00BE3C10" w:rsidRDefault="00FD2661" w:rsidP="002238F9">
            <w:pPr>
              <w:pStyle w:val="BodyText1"/>
              <w:spacing w:before="120"/>
              <w:ind w:left="33" w:firstLine="0"/>
              <w:jc w:val="center"/>
              <w:rPr>
                <w:rFonts w:cs="Arial"/>
                <w:color w:val="000000"/>
                <w:sz w:val="24"/>
                <w:szCs w:val="24"/>
              </w:rPr>
            </w:pPr>
            <w:r w:rsidRPr="00BE3C10">
              <w:rPr>
                <w:rFonts w:cs="Arial"/>
                <w:color w:val="000000"/>
                <w:sz w:val="24"/>
                <w:szCs w:val="24"/>
              </w:rPr>
              <w:t>15%</w:t>
            </w:r>
          </w:p>
        </w:tc>
      </w:tr>
      <w:tr w:rsidR="00FD2661" w:rsidRPr="00BE3C10" w14:paraId="678FBA8D" w14:textId="77777777" w:rsidTr="00B6276E">
        <w:tc>
          <w:tcPr>
            <w:tcW w:w="3611" w:type="pct"/>
            <w:shd w:val="clear" w:color="auto" w:fill="E4F8E4"/>
          </w:tcPr>
          <w:p w14:paraId="035E6EFC" w14:textId="77777777" w:rsidR="00FD2661" w:rsidRPr="00BE3C10" w:rsidRDefault="006F7C96" w:rsidP="006F7C96">
            <w:pPr>
              <w:pStyle w:val="BodyText1"/>
              <w:numPr>
                <w:ilvl w:val="0"/>
                <w:numId w:val="24"/>
              </w:numPr>
              <w:spacing w:before="120"/>
              <w:jc w:val="both"/>
              <w:rPr>
                <w:rFonts w:cs="Arial"/>
                <w:color w:val="000000"/>
                <w:sz w:val="24"/>
                <w:szCs w:val="24"/>
              </w:rPr>
            </w:pPr>
            <w:r>
              <w:rPr>
                <w:rFonts w:cs="Arial"/>
                <w:sz w:val="24"/>
                <w:szCs w:val="24"/>
                <w:lang w:eastAsia="en-GB"/>
              </w:rPr>
              <w:t xml:space="preserve"> </w:t>
            </w:r>
            <w:r w:rsidR="00FD2661" w:rsidRPr="00BE3C10">
              <w:rPr>
                <w:rFonts w:cs="Arial"/>
                <w:sz w:val="24"/>
                <w:szCs w:val="24"/>
                <w:lang w:eastAsia="en-GB"/>
              </w:rPr>
              <w:t>Project management</w:t>
            </w:r>
          </w:p>
        </w:tc>
        <w:tc>
          <w:tcPr>
            <w:tcW w:w="1389" w:type="pct"/>
            <w:shd w:val="clear" w:color="auto" w:fill="E4F8E4"/>
          </w:tcPr>
          <w:p w14:paraId="58D46767" w14:textId="77777777" w:rsidR="00FD2661" w:rsidRPr="00BE3C10" w:rsidRDefault="00FD2661" w:rsidP="006F7C96">
            <w:pPr>
              <w:pStyle w:val="BodyText1"/>
              <w:spacing w:before="120"/>
              <w:ind w:left="33" w:firstLine="0"/>
              <w:jc w:val="center"/>
              <w:rPr>
                <w:rFonts w:cs="Arial"/>
                <w:color w:val="000000"/>
                <w:sz w:val="24"/>
                <w:szCs w:val="24"/>
              </w:rPr>
            </w:pPr>
            <w:r w:rsidRPr="00BE3C10">
              <w:rPr>
                <w:rFonts w:cs="Arial"/>
                <w:color w:val="000000"/>
                <w:sz w:val="24"/>
                <w:szCs w:val="24"/>
              </w:rPr>
              <w:t>1</w:t>
            </w:r>
            <w:r w:rsidR="006F7C96">
              <w:rPr>
                <w:rFonts w:cs="Arial"/>
                <w:color w:val="000000"/>
                <w:sz w:val="24"/>
                <w:szCs w:val="24"/>
              </w:rPr>
              <w:t>0</w:t>
            </w:r>
            <w:r w:rsidRPr="00BE3C10">
              <w:rPr>
                <w:rFonts w:cs="Arial"/>
                <w:color w:val="000000"/>
                <w:sz w:val="24"/>
                <w:szCs w:val="24"/>
              </w:rPr>
              <w:t>%</w:t>
            </w:r>
          </w:p>
        </w:tc>
      </w:tr>
      <w:tr w:rsidR="00FD2661" w:rsidRPr="00BE3C10" w14:paraId="603FA1EC" w14:textId="77777777" w:rsidTr="006F7C96">
        <w:tc>
          <w:tcPr>
            <w:tcW w:w="3611" w:type="pct"/>
            <w:shd w:val="clear" w:color="auto" w:fill="E4F8E4"/>
          </w:tcPr>
          <w:p w14:paraId="0FF48ECA" w14:textId="77777777" w:rsidR="00FD2661" w:rsidRPr="00BE3C10" w:rsidRDefault="006F7C96" w:rsidP="006F7C96">
            <w:pPr>
              <w:pStyle w:val="BodyText1"/>
              <w:numPr>
                <w:ilvl w:val="0"/>
                <w:numId w:val="24"/>
              </w:numPr>
              <w:spacing w:before="120"/>
              <w:jc w:val="both"/>
              <w:rPr>
                <w:rFonts w:cs="Arial"/>
                <w:color w:val="000000"/>
                <w:sz w:val="24"/>
                <w:szCs w:val="24"/>
              </w:rPr>
            </w:pPr>
            <w:r>
              <w:rPr>
                <w:rFonts w:cs="Arial"/>
                <w:color w:val="000000"/>
                <w:sz w:val="24"/>
                <w:szCs w:val="24"/>
              </w:rPr>
              <w:t xml:space="preserve"> Risk management</w:t>
            </w:r>
          </w:p>
        </w:tc>
        <w:tc>
          <w:tcPr>
            <w:tcW w:w="1389" w:type="pct"/>
            <w:shd w:val="clear" w:color="auto" w:fill="E4F8E4"/>
            <w:vAlign w:val="center"/>
          </w:tcPr>
          <w:p w14:paraId="34168D83" w14:textId="77777777" w:rsidR="00FD2661" w:rsidRPr="00BE3C10" w:rsidRDefault="006F7C96" w:rsidP="006F7C96">
            <w:pPr>
              <w:pStyle w:val="BodyText1"/>
              <w:spacing w:before="120"/>
              <w:ind w:firstLine="34"/>
              <w:jc w:val="center"/>
              <w:rPr>
                <w:rFonts w:cs="Arial"/>
                <w:color w:val="000000"/>
                <w:sz w:val="24"/>
                <w:szCs w:val="24"/>
              </w:rPr>
            </w:pPr>
            <w:r>
              <w:rPr>
                <w:rFonts w:cs="Arial"/>
                <w:color w:val="000000"/>
                <w:sz w:val="24"/>
                <w:szCs w:val="24"/>
              </w:rPr>
              <w:t>5%</w:t>
            </w:r>
          </w:p>
        </w:tc>
      </w:tr>
      <w:tr w:rsidR="006F7C96" w:rsidRPr="00BE3C10" w14:paraId="2C6A4FAB" w14:textId="77777777" w:rsidTr="00B6276E">
        <w:tc>
          <w:tcPr>
            <w:tcW w:w="3611" w:type="pct"/>
            <w:shd w:val="clear" w:color="auto" w:fill="E4F8E4"/>
          </w:tcPr>
          <w:p w14:paraId="0433B195" w14:textId="77777777" w:rsidR="006F7C96" w:rsidRDefault="006F7C96" w:rsidP="00132E3A">
            <w:pPr>
              <w:pStyle w:val="BodyText1"/>
              <w:numPr>
                <w:ilvl w:val="0"/>
                <w:numId w:val="24"/>
              </w:numPr>
              <w:spacing w:before="120"/>
              <w:jc w:val="both"/>
              <w:rPr>
                <w:rFonts w:cs="Arial"/>
                <w:color w:val="000000"/>
                <w:sz w:val="24"/>
                <w:szCs w:val="24"/>
              </w:rPr>
            </w:pPr>
            <w:r>
              <w:rPr>
                <w:rFonts w:cs="Arial"/>
                <w:color w:val="000000"/>
                <w:sz w:val="24"/>
                <w:szCs w:val="24"/>
              </w:rPr>
              <w:t>Quality management</w:t>
            </w:r>
            <w:r w:rsidR="00132E3A">
              <w:rPr>
                <w:rFonts w:cs="Arial"/>
                <w:color w:val="000000"/>
                <w:sz w:val="24"/>
                <w:szCs w:val="24"/>
              </w:rPr>
              <w:t>, ethics, data p</w:t>
            </w:r>
            <w:r w:rsidR="00BC4907">
              <w:rPr>
                <w:rFonts w:cs="Arial"/>
                <w:color w:val="000000"/>
                <w:sz w:val="24"/>
                <w:szCs w:val="24"/>
              </w:rPr>
              <w:t>rotection, dissemination and sustainability</w:t>
            </w:r>
          </w:p>
        </w:tc>
        <w:tc>
          <w:tcPr>
            <w:tcW w:w="1389" w:type="pct"/>
            <w:shd w:val="clear" w:color="auto" w:fill="E4F8E4"/>
          </w:tcPr>
          <w:p w14:paraId="4E30423F" w14:textId="77777777" w:rsidR="006F7C96" w:rsidRPr="00BE3C10" w:rsidRDefault="006F7C96" w:rsidP="006F7C96">
            <w:pPr>
              <w:pStyle w:val="BodyText1"/>
              <w:spacing w:before="120"/>
              <w:ind w:firstLine="0"/>
              <w:jc w:val="center"/>
              <w:rPr>
                <w:rFonts w:cs="Arial"/>
                <w:color w:val="000000"/>
                <w:sz w:val="24"/>
                <w:szCs w:val="24"/>
              </w:rPr>
            </w:pPr>
            <w:r w:rsidRPr="00BE3C10">
              <w:rPr>
                <w:rFonts w:cs="Arial"/>
                <w:color w:val="000000"/>
                <w:sz w:val="24"/>
                <w:szCs w:val="24"/>
              </w:rPr>
              <w:t>10%</w:t>
            </w:r>
          </w:p>
        </w:tc>
      </w:tr>
      <w:tr w:rsidR="00FD2661" w:rsidRPr="00BE3C10" w14:paraId="78C5A0D5" w14:textId="77777777" w:rsidTr="00B6276E">
        <w:tc>
          <w:tcPr>
            <w:tcW w:w="3611" w:type="pct"/>
            <w:shd w:val="clear" w:color="auto" w:fill="E4F8E4"/>
          </w:tcPr>
          <w:p w14:paraId="057F125D" w14:textId="77777777" w:rsidR="00FD2661" w:rsidRPr="00BE3C10" w:rsidRDefault="00FD2661" w:rsidP="002238F9">
            <w:pPr>
              <w:pStyle w:val="BodyText1"/>
              <w:spacing w:before="120"/>
              <w:ind w:firstLine="0"/>
              <w:jc w:val="both"/>
              <w:rPr>
                <w:rFonts w:cs="Arial"/>
                <w:color w:val="000000"/>
                <w:sz w:val="24"/>
                <w:szCs w:val="24"/>
              </w:rPr>
            </w:pPr>
            <w:r w:rsidRPr="00BE3C10">
              <w:rPr>
                <w:rFonts w:cs="Arial"/>
                <w:color w:val="000000"/>
                <w:sz w:val="24"/>
                <w:szCs w:val="24"/>
              </w:rPr>
              <w:t xml:space="preserve">FINANCIAL CRITERIA – </w:t>
            </w:r>
            <w:r w:rsidRPr="004D3042">
              <w:rPr>
                <w:rFonts w:cs="Arial"/>
                <w:b/>
                <w:color w:val="000000"/>
                <w:sz w:val="24"/>
                <w:szCs w:val="24"/>
              </w:rPr>
              <w:t>20% overall value</w:t>
            </w:r>
          </w:p>
        </w:tc>
        <w:tc>
          <w:tcPr>
            <w:tcW w:w="1389" w:type="pct"/>
            <w:shd w:val="clear" w:color="auto" w:fill="E4F8E4"/>
          </w:tcPr>
          <w:p w14:paraId="76F038F2" w14:textId="77777777" w:rsidR="00FD2661" w:rsidRPr="00BE3C10" w:rsidRDefault="006F7C96" w:rsidP="002238F9">
            <w:pPr>
              <w:pStyle w:val="BodyText1"/>
              <w:spacing w:before="120"/>
              <w:ind w:firstLine="0"/>
              <w:jc w:val="center"/>
              <w:rPr>
                <w:rFonts w:cs="Arial"/>
                <w:color w:val="000000"/>
                <w:sz w:val="24"/>
                <w:szCs w:val="24"/>
              </w:rPr>
            </w:pPr>
            <w:r>
              <w:rPr>
                <w:rFonts w:cs="Arial"/>
                <w:color w:val="000000"/>
                <w:sz w:val="24"/>
                <w:szCs w:val="24"/>
              </w:rPr>
              <w:t>20%</w:t>
            </w:r>
          </w:p>
        </w:tc>
      </w:tr>
    </w:tbl>
    <w:p w14:paraId="50B81492" w14:textId="77777777" w:rsidR="006720A1" w:rsidRDefault="006720A1" w:rsidP="002238F9">
      <w:pPr>
        <w:pStyle w:val="Heading2"/>
        <w:spacing w:line="240" w:lineRule="auto"/>
        <w:rPr>
          <w:rFonts w:ascii="Arial" w:hAnsi="Arial" w:cs="Arial"/>
        </w:rPr>
      </w:pPr>
    </w:p>
    <w:p w14:paraId="40FA155B" w14:textId="77777777" w:rsidR="00FD2661" w:rsidRPr="00BE3C10" w:rsidRDefault="00AD2C06" w:rsidP="002238F9">
      <w:pPr>
        <w:pStyle w:val="Heading2"/>
        <w:spacing w:line="240" w:lineRule="auto"/>
        <w:rPr>
          <w:rFonts w:ascii="Arial" w:hAnsi="Arial" w:cs="Arial"/>
        </w:rPr>
      </w:pPr>
      <w:r w:rsidRPr="00BE3C10">
        <w:rPr>
          <w:rFonts w:ascii="Arial" w:hAnsi="Arial" w:cs="Arial"/>
        </w:rPr>
        <w:t xml:space="preserve">The </w:t>
      </w:r>
      <w:r w:rsidR="004D3042">
        <w:rPr>
          <w:rFonts w:ascii="Arial" w:hAnsi="Arial" w:cs="Arial"/>
        </w:rPr>
        <w:t>T</w:t>
      </w:r>
      <w:r w:rsidRPr="00BE3C10">
        <w:rPr>
          <w:rFonts w:ascii="Arial" w:hAnsi="Arial" w:cs="Arial"/>
        </w:rPr>
        <w:t xml:space="preserve">echnical </w:t>
      </w:r>
      <w:r w:rsidR="004D3042">
        <w:rPr>
          <w:rFonts w:ascii="Arial" w:hAnsi="Arial" w:cs="Arial"/>
        </w:rPr>
        <w:t>E</w:t>
      </w:r>
      <w:r w:rsidRPr="00BE3C10">
        <w:rPr>
          <w:rFonts w:ascii="Arial" w:hAnsi="Arial" w:cs="Arial"/>
        </w:rPr>
        <w:t>nvelope</w:t>
      </w:r>
    </w:p>
    <w:p w14:paraId="5512289D" w14:textId="77777777" w:rsidR="00FD2661"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The Technical envelope is split in to </w:t>
      </w:r>
      <w:r w:rsidR="00E57A66">
        <w:rPr>
          <w:rFonts w:ascii="Arial" w:hAnsi="Arial" w:cs="Arial"/>
          <w:sz w:val="24"/>
          <w:szCs w:val="24"/>
        </w:rPr>
        <w:t>7</w:t>
      </w:r>
      <w:r w:rsidRPr="00BE3C10">
        <w:rPr>
          <w:rFonts w:ascii="Arial" w:hAnsi="Arial" w:cs="Arial"/>
          <w:sz w:val="24"/>
          <w:szCs w:val="24"/>
        </w:rPr>
        <w:t xml:space="preserve"> </w:t>
      </w:r>
      <w:r w:rsidR="002F0CEC">
        <w:rPr>
          <w:rFonts w:ascii="Arial" w:hAnsi="Arial" w:cs="Arial"/>
          <w:sz w:val="24"/>
          <w:szCs w:val="24"/>
        </w:rPr>
        <w:t>sections</w:t>
      </w:r>
      <w:r w:rsidRPr="00BE3C10">
        <w:rPr>
          <w:rFonts w:ascii="Arial" w:hAnsi="Arial" w:cs="Arial"/>
          <w:sz w:val="24"/>
          <w:szCs w:val="24"/>
        </w:rPr>
        <w:t xml:space="preserve"> for evaluation.</w:t>
      </w:r>
      <w:r w:rsidR="0066233A">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sidR="00AC1AAA">
        <w:rPr>
          <w:rFonts w:ascii="Arial" w:hAnsi="Arial" w:cs="Arial"/>
          <w:sz w:val="24"/>
          <w:szCs w:val="24"/>
        </w:rPr>
        <w:t>the actual application form</w:t>
      </w:r>
      <w:r w:rsidRPr="00BE3C10">
        <w:rPr>
          <w:rFonts w:ascii="Arial" w:hAnsi="Arial" w:cs="Arial"/>
          <w:sz w:val="24"/>
          <w:szCs w:val="24"/>
        </w:rPr>
        <w:t>.</w:t>
      </w:r>
    </w:p>
    <w:p w14:paraId="34ACDFBC" w14:textId="77777777" w:rsidR="00FD2661" w:rsidRPr="00BE3C10" w:rsidRDefault="00FD2661" w:rsidP="002238F9">
      <w:pPr>
        <w:spacing w:line="240" w:lineRule="auto"/>
        <w:jc w:val="both"/>
        <w:rPr>
          <w:rFonts w:ascii="Arial" w:hAnsi="Arial" w:cs="Arial"/>
          <w:sz w:val="24"/>
          <w:szCs w:val="24"/>
        </w:rPr>
      </w:pPr>
    </w:p>
    <w:p w14:paraId="670FFAD3" w14:textId="77777777" w:rsidR="00FD2661" w:rsidRPr="00BE3C10"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A numerical appraisal scoring system will be used to assess the information given in the Technical envelope of the </w:t>
      </w:r>
      <w:r w:rsidR="004D3042">
        <w:rPr>
          <w:rFonts w:ascii="Arial" w:hAnsi="Arial" w:cs="Arial"/>
          <w:sz w:val="24"/>
          <w:szCs w:val="24"/>
        </w:rPr>
        <w:t>tender</w:t>
      </w:r>
      <w:r w:rsidRPr="00BE3C10">
        <w:rPr>
          <w:rFonts w:ascii="Arial" w:hAnsi="Arial" w:cs="Arial"/>
          <w:sz w:val="24"/>
          <w:szCs w:val="24"/>
        </w:rPr>
        <w:t>.  Appraisers will allocate a score of 0, 30, 60, 80 or 100 to each part of the Technical envelope, depending on the quality and relevance of evidence provided.  The scores will then be subjected to the weightings given in Table 2.</w:t>
      </w:r>
    </w:p>
    <w:p w14:paraId="6B164E16" w14:textId="77777777" w:rsidR="00FD2661" w:rsidRDefault="00FD2661" w:rsidP="002238F9">
      <w:pPr>
        <w:spacing w:line="240" w:lineRule="auto"/>
        <w:jc w:val="both"/>
        <w:rPr>
          <w:rFonts w:ascii="Arial" w:hAnsi="Arial" w:cs="Arial"/>
          <w:sz w:val="24"/>
          <w:szCs w:val="24"/>
        </w:rPr>
      </w:pPr>
    </w:p>
    <w:p w14:paraId="51BE8F3D" w14:textId="77777777" w:rsidR="00FD2661" w:rsidRPr="00BE3C10"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All </w:t>
      </w:r>
      <w:r w:rsidR="0066233A">
        <w:rPr>
          <w:rFonts w:ascii="Arial" w:hAnsi="Arial" w:cs="Arial"/>
          <w:sz w:val="24"/>
          <w:szCs w:val="24"/>
        </w:rPr>
        <w:t xml:space="preserve">technical </w:t>
      </w:r>
      <w:r w:rsidRPr="00BE3C10">
        <w:rPr>
          <w:rFonts w:ascii="Arial" w:hAnsi="Arial" w:cs="Arial"/>
          <w:sz w:val="24"/>
          <w:szCs w:val="24"/>
        </w:rPr>
        <w:t>criteria will be evaluated as follows:</w:t>
      </w:r>
    </w:p>
    <w:p w14:paraId="1689EAB5" w14:textId="77777777" w:rsidR="00FD2661" w:rsidRPr="00BE3C10" w:rsidRDefault="00FD2661" w:rsidP="002238F9">
      <w:pPr>
        <w:spacing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FD2661" w:rsidRPr="00BE3C10" w14:paraId="191C9F92" w14:textId="77777777" w:rsidTr="009749D1">
        <w:tc>
          <w:tcPr>
            <w:tcW w:w="1134" w:type="dxa"/>
          </w:tcPr>
          <w:p w14:paraId="43FDE989" w14:textId="77777777" w:rsidR="00FD2661" w:rsidRPr="00E57A66" w:rsidRDefault="00FD2661" w:rsidP="002238F9">
            <w:pPr>
              <w:spacing w:line="240" w:lineRule="auto"/>
              <w:jc w:val="center"/>
              <w:rPr>
                <w:rFonts w:ascii="Arial" w:hAnsi="Arial" w:cs="Arial"/>
                <w:sz w:val="24"/>
                <w:szCs w:val="24"/>
              </w:rPr>
            </w:pPr>
            <w:r w:rsidRPr="00E57A66">
              <w:rPr>
                <w:rFonts w:ascii="Arial" w:hAnsi="Arial" w:cs="Arial"/>
                <w:sz w:val="24"/>
                <w:szCs w:val="24"/>
              </w:rPr>
              <w:lastRenderedPageBreak/>
              <w:t>SCORE</w:t>
            </w:r>
          </w:p>
        </w:tc>
        <w:tc>
          <w:tcPr>
            <w:tcW w:w="8000" w:type="dxa"/>
          </w:tcPr>
          <w:p w14:paraId="7EF5070E" w14:textId="77777777" w:rsidR="00FD2661" w:rsidRPr="00E57A66" w:rsidRDefault="00FD2661" w:rsidP="002238F9">
            <w:pPr>
              <w:spacing w:line="240" w:lineRule="auto"/>
              <w:rPr>
                <w:rFonts w:ascii="Arial" w:hAnsi="Arial" w:cs="Arial"/>
                <w:sz w:val="24"/>
                <w:szCs w:val="24"/>
              </w:rPr>
            </w:pPr>
            <w:r w:rsidRPr="00E57A66">
              <w:rPr>
                <w:rFonts w:ascii="Arial" w:hAnsi="Arial" w:cs="Arial"/>
                <w:sz w:val="24"/>
                <w:szCs w:val="24"/>
              </w:rPr>
              <w:t xml:space="preserve">DESCRIPTION FOR SCORE OF EACH </w:t>
            </w:r>
            <w:proofErr w:type="gramStart"/>
            <w:r w:rsidR="004D3042">
              <w:rPr>
                <w:rFonts w:ascii="Arial" w:hAnsi="Arial" w:cs="Arial"/>
                <w:sz w:val="24"/>
                <w:szCs w:val="24"/>
              </w:rPr>
              <w:t>CRITERIA</w:t>
            </w:r>
            <w:proofErr w:type="gramEnd"/>
          </w:p>
        </w:tc>
      </w:tr>
      <w:tr w:rsidR="00FD2661" w:rsidRPr="00BE3C10" w14:paraId="454C846C" w14:textId="77777777" w:rsidTr="00914856">
        <w:tc>
          <w:tcPr>
            <w:tcW w:w="1134" w:type="dxa"/>
            <w:vAlign w:val="center"/>
          </w:tcPr>
          <w:p w14:paraId="7A2264B3"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100</w:t>
            </w:r>
          </w:p>
        </w:tc>
        <w:tc>
          <w:tcPr>
            <w:tcW w:w="8000" w:type="dxa"/>
          </w:tcPr>
          <w:p w14:paraId="147E1DDE"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fully meets</w:t>
            </w:r>
            <w:r w:rsidR="00A315B4">
              <w:rPr>
                <w:rFonts w:ascii="Arial" w:hAnsi="Arial" w:cs="Arial"/>
                <w:sz w:val="24"/>
                <w:szCs w:val="24"/>
              </w:rPr>
              <w:t xml:space="preserve"> or exceeds</w:t>
            </w:r>
            <w:r w:rsidR="00FD2661" w:rsidRPr="00E57A66">
              <w:rPr>
                <w:rFonts w:ascii="Arial" w:hAnsi="Arial" w:cs="Arial"/>
                <w:sz w:val="24"/>
                <w:szCs w:val="24"/>
              </w:rPr>
              <w:t xml:space="preserve"> the </w:t>
            </w:r>
            <w:r>
              <w:rPr>
                <w:rFonts w:ascii="Arial" w:hAnsi="Arial" w:cs="Arial"/>
                <w:sz w:val="24"/>
                <w:szCs w:val="24"/>
              </w:rPr>
              <w:t>criteria</w:t>
            </w:r>
            <w:r w:rsidR="00FD2661" w:rsidRPr="00E57A66">
              <w:rPr>
                <w:rFonts w:ascii="Arial" w:hAnsi="Arial" w:cs="Arial"/>
                <w:sz w:val="24"/>
                <w:szCs w:val="24"/>
              </w:rPr>
              <w:t xml:space="preserve"> set </w:t>
            </w:r>
          </w:p>
        </w:tc>
      </w:tr>
      <w:tr w:rsidR="00FD2661" w:rsidRPr="00BE3C10" w14:paraId="740A8A25" w14:textId="77777777" w:rsidTr="00914856">
        <w:tc>
          <w:tcPr>
            <w:tcW w:w="1134" w:type="dxa"/>
            <w:vAlign w:val="center"/>
          </w:tcPr>
          <w:p w14:paraId="2380F49C"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80</w:t>
            </w:r>
          </w:p>
        </w:tc>
        <w:tc>
          <w:tcPr>
            <w:tcW w:w="8000" w:type="dxa"/>
          </w:tcPr>
          <w:p w14:paraId="2534C231"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minor modification but almost fully meets the </w:t>
            </w:r>
            <w:r>
              <w:rPr>
                <w:rFonts w:ascii="Arial" w:hAnsi="Arial" w:cs="Arial"/>
                <w:sz w:val="24"/>
                <w:szCs w:val="24"/>
              </w:rPr>
              <w:t>criteria</w:t>
            </w:r>
            <w:r w:rsidR="00FD2661" w:rsidRPr="00E57A66">
              <w:rPr>
                <w:rFonts w:ascii="Arial" w:hAnsi="Arial" w:cs="Arial"/>
                <w:sz w:val="24"/>
                <w:szCs w:val="24"/>
              </w:rPr>
              <w:t xml:space="preserve"> with only a few gaps in the evidence remaining </w:t>
            </w:r>
          </w:p>
        </w:tc>
      </w:tr>
      <w:tr w:rsidR="00FD2661" w:rsidRPr="00BE3C10" w14:paraId="56698B09" w14:textId="77777777" w:rsidTr="00914856">
        <w:tc>
          <w:tcPr>
            <w:tcW w:w="1134" w:type="dxa"/>
            <w:vAlign w:val="center"/>
          </w:tcPr>
          <w:p w14:paraId="53629E0F"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60</w:t>
            </w:r>
          </w:p>
        </w:tc>
        <w:tc>
          <w:tcPr>
            <w:tcW w:w="8000" w:type="dxa"/>
          </w:tcPr>
          <w:p w14:paraId="09567F97"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some modification but addresses most of the </w:t>
            </w:r>
            <w:r>
              <w:rPr>
                <w:rFonts w:ascii="Arial" w:hAnsi="Arial" w:cs="Arial"/>
                <w:sz w:val="24"/>
                <w:szCs w:val="24"/>
              </w:rPr>
              <w:t>criteria</w:t>
            </w:r>
            <w:r w:rsidR="00FD2661" w:rsidRPr="00E57A66">
              <w:rPr>
                <w:rFonts w:ascii="Arial" w:hAnsi="Arial" w:cs="Arial"/>
                <w:sz w:val="24"/>
                <w:szCs w:val="24"/>
              </w:rPr>
              <w:t>, but may not be detailed enough and/or has several gaps remaining</w:t>
            </w:r>
          </w:p>
        </w:tc>
      </w:tr>
      <w:tr w:rsidR="00FD2661" w:rsidRPr="00BE3C10" w14:paraId="25EC5D97" w14:textId="77777777" w:rsidTr="00914856">
        <w:tc>
          <w:tcPr>
            <w:tcW w:w="1134" w:type="dxa"/>
            <w:vAlign w:val="center"/>
          </w:tcPr>
          <w:p w14:paraId="2A07C78A"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30</w:t>
            </w:r>
          </w:p>
        </w:tc>
        <w:tc>
          <w:tcPr>
            <w:tcW w:w="8000" w:type="dxa"/>
          </w:tcPr>
          <w:p w14:paraId="077EC8DC"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significant modification due to significant gaps </w:t>
            </w:r>
          </w:p>
        </w:tc>
      </w:tr>
      <w:tr w:rsidR="00FD2661" w:rsidRPr="00BE3C10" w14:paraId="7A8F283E" w14:textId="77777777" w:rsidTr="00914856">
        <w:tc>
          <w:tcPr>
            <w:tcW w:w="1134" w:type="dxa"/>
            <w:vAlign w:val="center"/>
          </w:tcPr>
          <w:p w14:paraId="77CF3023"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0</w:t>
            </w:r>
          </w:p>
        </w:tc>
        <w:tc>
          <w:tcPr>
            <w:tcW w:w="8000" w:type="dxa"/>
          </w:tcPr>
          <w:p w14:paraId="62769717" w14:textId="77777777" w:rsidR="00FD2661" w:rsidRPr="00E57A66" w:rsidRDefault="004D3042" w:rsidP="00D54E33">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does not m</w:t>
            </w:r>
            <w:r w:rsidR="00D54E33">
              <w:rPr>
                <w:rFonts w:ascii="Arial" w:hAnsi="Arial" w:cs="Arial"/>
                <w:sz w:val="24"/>
                <w:szCs w:val="24"/>
              </w:rPr>
              <w:t>eet the specification or policy</w:t>
            </w:r>
          </w:p>
        </w:tc>
      </w:tr>
    </w:tbl>
    <w:p w14:paraId="6107B906" w14:textId="77777777" w:rsidR="00850E61" w:rsidRDefault="00850E61" w:rsidP="002238F9">
      <w:pPr>
        <w:spacing w:line="240" w:lineRule="auto"/>
        <w:jc w:val="both"/>
        <w:rPr>
          <w:rFonts w:ascii="Arial" w:hAnsi="Arial" w:cs="Arial"/>
          <w:sz w:val="24"/>
          <w:szCs w:val="24"/>
        </w:rPr>
      </w:pPr>
    </w:p>
    <w:p w14:paraId="0052079B" w14:textId="77777777" w:rsidR="003554B8" w:rsidRPr="00BE3C10" w:rsidRDefault="00C23550" w:rsidP="002238F9">
      <w:pPr>
        <w:spacing w:line="240" w:lineRule="auto"/>
        <w:jc w:val="both"/>
        <w:rPr>
          <w:rFonts w:ascii="Arial" w:hAnsi="Arial" w:cs="Arial"/>
          <w:sz w:val="24"/>
          <w:szCs w:val="24"/>
        </w:rPr>
      </w:pPr>
      <w:r>
        <w:rPr>
          <w:rFonts w:ascii="Arial" w:hAnsi="Arial" w:cs="Arial"/>
          <w:sz w:val="24"/>
          <w:szCs w:val="24"/>
        </w:rPr>
        <w:t>If the applicant does not reach a minimum score of 30 in the technical evaluation they will be automatically eliminated from the process.</w:t>
      </w:r>
    </w:p>
    <w:p w14:paraId="65FA726A" w14:textId="77777777" w:rsidR="00FD2661" w:rsidRDefault="008760A6" w:rsidP="002238F9">
      <w:pPr>
        <w:pStyle w:val="Heading2"/>
        <w:spacing w:line="240" w:lineRule="auto"/>
        <w:rPr>
          <w:rFonts w:ascii="Arial" w:hAnsi="Arial" w:cs="Arial"/>
        </w:rPr>
      </w:pPr>
      <w:r w:rsidRPr="00BE3C10">
        <w:rPr>
          <w:rFonts w:ascii="Arial" w:hAnsi="Arial" w:cs="Arial"/>
        </w:rPr>
        <w:t xml:space="preserve">The </w:t>
      </w:r>
      <w:r w:rsidR="002F0CEC">
        <w:rPr>
          <w:rFonts w:ascii="Arial" w:hAnsi="Arial" w:cs="Arial"/>
        </w:rPr>
        <w:t>F</w:t>
      </w:r>
      <w:r w:rsidRPr="00BE3C10">
        <w:rPr>
          <w:rFonts w:ascii="Arial" w:hAnsi="Arial" w:cs="Arial"/>
        </w:rPr>
        <w:t xml:space="preserve">inancial </w:t>
      </w:r>
      <w:r w:rsidR="002F0CEC">
        <w:rPr>
          <w:rFonts w:ascii="Arial" w:hAnsi="Arial" w:cs="Arial"/>
        </w:rPr>
        <w:t>E</w:t>
      </w:r>
      <w:r w:rsidRPr="00BE3C10">
        <w:rPr>
          <w:rFonts w:ascii="Arial" w:hAnsi="Arial" w:cs="Arial"/>
        </w:rPr>
        <w:t>nvelope</w:t>
      </w:r>
    </w:p>
    <w:p w14:paraId="540433AF" w14:textId="77777777" w:rsidR="002F0CEC" w:rsidRPr="002F0CEC" w:rsidRDefault="002F0CEC" w:rsidP="002F0CEC"/>
    <w:p w14:paraId="403FAD5F" w14:textId="77777777" w:rsidR="002F0CEC" w:rsidRDefault="002F0CEC" w:rsidP="002F0CEC">
      <w:pPr>
        <w:spacing w:line="240" w:lineRule="auto"/>
        <w:jc w:val="both"/>
        <w:rPr>
          <w:rFonts w:ascii="Arial" w:hAnsi="Arial" w:cs="Arial"/>
          <w:sz w:val="24"/>
          <w:szCs w:val="24"/>
        </w:rPr>
      </w:pPr>
      <w:r w:rsidRPr="00BE3C10">
        <w:rPr>
          <w:rFonts w:ascii="Arial" w:hAnsi="Arial" w:cs="Arial"/>
          <w:sz w:val="24"/>
          <w:szCs w:val="24"/>
        </w:rPr>
        <w:t xml:space="preserve">The </w:t>
      </w:r>
      <w:r>
        <w:rPr>
          <w:rFonts w:ascii="Arial" w:hAnsi="Arial" w:cs="Arial"/>
          <w:sz w:val="24"/>
          <w:szCs w:val="24"/>
        </w:rPr>
        <w:t>Financia</w:t>
      </w:r>
      <w:r w:rsidRPr="00BE3C10">
        <w:rPr>
          <w:rFonts w:ascii="Arial" w:hAnsi="Arial" w:cs="Arial"/>
          <w:sz w:val="24"/>
          <w:szCs w:val="24"/>
        </w:rPr>
        <w:t xml:space="preserve">l envelope is split in to </w:t>
      </w:r>
      <w:r>
        <w:rPr>
          <w:rFonts w:ascii="Arial" w:hAnsi="Arial" w:cs="Arial"/>
          <w:sz w:val="24"/>
          <w:szCs w:val="24"/>
        </w:rPr>
        <w:t>5</w:t>
      </w:r>
      <w:r w:rsidRPr="00BE3C10">
        <w:rPr>
          <w:rFonts w:ascii="Arial" w:hAnsi="Arial" w:cs="Arial"/>
          <w:sz w:val="24"/>
          <w:szCs w:val="24"/>
        </w:rPr>
        <w:t xml:space="preserve"> </w:t>
      </w:r>
      <w:r>
        <w:rPr>
          <w:rFonts w:ascii="Arial" w:hAnsi="Arial" w:cs="Arial"/>
          <w:sz w:val="24"/>
          <w:szCs w:val="24"/>
        </w:rPr>
        <w:t>sections</w:t>
      </w:r>
      <w:r w:rsidRPr="00BE3C10">
        <w:rPr>
          <w:rFonts w:ascii="Arial" w:hAnsi="Arial" w:cs="Arial"/>
          <w:sz w:val="24"/>
          <w:szCs w:val="24"/>
        </w:rPr>
        <w:t>.</w:t>
      </w:r>
      <w:r>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Pr>
          <w:rFonts w:ascii="Arial" w:hAnsi="Arial" w:cs="Arial"/>
          <w:sz w:val="24"/>
          <w:szCs w:val="24"/>
        </w:rPr>
        <w:t>the actual application form</w:t>
      </w:r>
      <w:r w:rsidRPr="00BE3C10">
        <w:rPr>
          <w:rFonts w:ascii="Arial" w:hAnsi="Arial" w:cs="Arial"/>
          <w:sz w:val="24"/>
          <w:szCs w:val="24"/>
        </w:rPr>
        <w:t>.</w:t>
      </w:r>
    </w:p>
    <w:p w14:paraId="65EAE575" w14:textId="77777777" w:rsidR="002F0CEC" w:rsidRPr="002F0CEC" w:rsidRDefault="002F0CEC" w:rsidP="002F0CEC"/>
    <w:p w14:paraId="7F71B26F"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A numerical appraisal scoring system will be used to assess the information given in the </w:t>
      </w:r>
      <w:r w:rsidR="00063AF6">
        <w:rPr>
          <w:rFonts w:ascii="Arial" w:hAnsi="Arial" w:cs="Arial"/>
          <w:sz w:val="24"/>
          <w:szCs w:val="24"/>
        </w:rPr>
        <w:t>financial</w:t>
      </w:r>
      <w:r>
        <w:rPr>
          <w:rFonts w:ascii="Arial" w:hAnsi="Arial" w:cs="Arial"/>
          <w:sz w:val="24"/>
          <w:szCs w:val="24"/>
        </w:rPr>
        <w:t xml:space="preserve"> </w:t>
      </w:r>
      <w:r w:rsidRPr="00E57A66">
        <w:rPr>
          <w:rFonts w:ascii="Arial" w:hAnsi="Arial" w:cs="Arial"/>
          <w:sz w:val="24"/>
          <w:szCs w:val="24"/>
        </w:rPr>
        <w:t xml:space="preserve">envelope of the </w:t>
      </w:r>
      <w:r w:rsidR="004D3042">
        <w:rPr>
          <w:rFonts w:ascii="Arial" w:hAnsi="Arial" w:cs="Arial"/>
          <w:sz w:val="24"/>
          <w:szCs w:val="24"/>
        </w:rPr>
        <w:t>tender</w:t>
      </w:r>
      <w:r w:rsidRPr="00E57A66">
        <w:rPr>
          <w:rFonts w:ascii="Arial" w:hAnsi="Arial" w:cs="Arial"/>
          <w:sz w:val="24"/>
          <w:szCs w:val="24"/>
        </w:rPr>
        <w:t>.  Appraisers will allocate a score of 0, 30, 60, 80 or 100 to</w:t>
      </w:r>
      <w:r w:rsidR="002F0CEC">
        <w:rPr>
          <w:rFonts w:ascii="Arial" w:hAnsi="Arial" w:cs="Arial"/>
          <w:sz w:val="24"/>
          <w:szCs w:val="24"/>
        </w:rPr>
        <w:t xml:space="preserve"> </w:t>
      </w:r>
      <w:r w:rsidRPr="00E57A66">
        <w:rPr>
          <w:rFonts w:ascii="Arial" w:hAnsi="Arial" w:cs="Arial"/>
          <w:sz w:val="24"/>
          <w:szCs w:val="24"/>
        </w:rPr>
        <w:t xml:space="preserve">the </w:t>
      </w:r>
      <w:r w:rsidR="00063AF6">
        <w:rPr>
          <w:rFonts w:ascii="Arial" w:hAnsi="Arial" w:cs="Arial"/>
          <w:sz w:val="24"/>
          <w:szCs w:val="24"/>
        </w:rPr>
        <w:t>financial</w:t>
      </w:r>
      <w:r w:rsidRPr="00E57A66">
        <w:rPr>
          <w:rFonts w:ascii="Arial" w:hAnsi="Arial" w:cs="Arial"/>
          <w:sz w:val="24"/>
          <w:szCs w:val="24"/>
        </w:rPr>
        <w:t xml:space="preserve"> envelope, depending on the quality and relevance of evidence provided.  The scores will then be subjected to the weighting given in Table 2.</w:t>
      </w:r>
    </w:p>
    <w:p w14:paraId="47D752F8" w14:textId="77777777" w:rsidR="00FD2661" w:rsidRPr="00BE3C10" w:rsidRDefault="00FD2661" w:rsidP="002238F9">
      <w:pPr>
        <w:pStyle w:val="FootnoteText"/>
        <w:jc w:val="both"/>
        <w:rPr>
          <w:rFonts w:ascii="Arial" w:hAnsi="Arial" w:cs="Arial"/>
          <w:b/>
          <w:sz w:val="24"/>
          <w:szCs w:val="24"/>
        </w:rPr>
      </w:pPr>
    </w:p>
    <w:p w14:paraId="2A96DDAB" w14:textId="77777777" w:rsidR="00FD2661" w:rsidRPr="00BE3C10" w:rsidRDefault="00FD2661" w:rsidP="002238F9">
      <w:pPr>
        <w:pStyle w:val="FootnoteText"/>
        <w:jc w:val="both"/>
        <w:rPr>
          <w:rFonts w:ascii="Arial" w:hAnsi="Arial" w:cs="Arial"/>
          <w:b/>
          <w:sz w:val="24"/>
          <w:szCs w:val="24"/>
        </w:rPr>
      </w:pPr>
      <w:r w:rsidRPr="00BE3C10">
        <w:rPr>
          <w:rFonts w:ascii="Arial" w:hAnsi="Arial" w:cs="Arial"/>
          <w:b/>
          <w:sz w:val="24"/>
          <w:szCs w:val="24"/>
        </w:rPr>
        <w:t>Requirement for the financial envelope</w:t>
      </w:r>
    </w:p>
    <w:p w14:paraId="78C2C056" w14:textId="77777777" w:rsidR="00FD2661" w:rsidRPr="00BE3C10" w:rsidRDefault="00FD2661" w:rsidP="002238F9">
      <w:pPr>
        <w:pStyle w:val="FootnoteText"/>
        <w:jc w:val="both"/>
        <w:rPr>
          <w:rFonts w:ascii="Arial" w:hAnsi="Arial" w:cs="Arial"/>
          <w:sz w:val="24"/>
          <w:szCs w:val="24"/>
        </w:rPr>
      </w:pPr>
      <w:r w:rsidRPr="00BE3C10">
        <w:rPr>
          <w:rFonts w:ascii="Arial" w:hAnsi="Arial" w:cs="Arial"/>
          <w:sz w:val="24"/>
          <w:szCs w:val="24"/>
        </w:rPr>
        <w:t xml:space="preserve">Please complete the Finance template provided. Costs should be quoted excluding VAT </w:t>
      </w:r>
      <w:proofErr w:type="gramStart"/>
      <w:r w:rsidRPr="00BE3C10">
        <w:rPr>
          <w:rFonts w:ascii="Arial" w:hAnsi="Arial" w:cs="Arial"/>
          <w:sz w:val="24"/>
          <w:szCs w:val="24"/>
        </w:rPr>
        <w:t>for the purpose of</w:t>
      </w:r>
      <w:proofErr w:type="gramEnd"/>
      <w:r w:rsidRPr="00BE3C10">
        <w:rPr>
          <w:rFonts w:ascii="Arial" w:hAnsi="Arial" w:cs="Arial"/>
          <w:sz w:val="24"/>
          <w:szCs w:val="24"/>
        </w:rPr>
        <w:t xml:space="preserve"> comparison of tenders. The Agency’s financial year runs from 1 April to 31 March. All costings should be recorded in line with this timescale.</w:t>
      </w:r>
      <w:r w:rsidRPr="00BE3C10">
        <w:rPr>
          <w:rFonts w:ascii="Arial" w:hAnsi="Arial" w:cs="Arial"/>
          <w:b/>
          <w:sz w:val="24"/>
          <w:szCs w:val="24"/>
        </w:rPr>
        <w:t xml:space="preserve"> </w:t>
      </w:r>
    </w:p>
    <w:p w14:paraId="62598D90" w14:textId="77777777" w:rsidR="00FD2661" w:rsidRPr="00BE3C10" w:rsidRDefault="00FD2661" w:rsidP="002238F9">
      <w:pPr>
        <w:spacing w:line="240" w:lineRule="auto"/>
        <w:jc w:val="both"/>
        <w:rPr>
          <w:rFonts w:ascii="Arial" w:hAnsi="Arial" w:cs="Arial"/>
          <w:sz w:val="24"/>
          <w:szCs w:val="24"/>
        </w:rPr>
      </w:pPr>
    </w:p>
    <w:p w14:paraId="2098C3ED" w14:textId="77777777" w:rsidR="00FD2661" w:rsidRDefault="00FD2661" w:rsidP="002238F9">
      <w:pPr>
        <w:spacing w:line="240" w:lineRule="auto"/>
        <w:jc w:val="both"/>
        <w:rPr>
          <w:rFonts w:ascii="Arial" w:hAnsi="Arial" w:cs="Arial"/>
          <w:b/>
          <w:sz w:val="24"/>
          <w:szCs w:val="24"/>
        </w:rPr>
      </w:pPr>
      <w:r w:rsidRPr="00BE3C10">
        <w:rPr>
          <w:rFonts w:ascii="Arial" w:hAnsi="Arial" w:cs="Arial"/>
          <w:b/>
          <w:sz w:val="24"/>
          <w:szCs w:val="24"/>
        </w:rPr>
        <w:t>Evaluation of the financial envelope</w:t>
      </w:r>
    </w:p>
    <w:p w14:paraId="1FA1232E" w14:textId="77777777" w:rsidR="00E57A66" w:rsidRDefault="00E57A66" w:rsidP="002238F9">
      <w:pPr>
        <w:spacing w:line="240" w:lineRule="auto"/>
        <w:jc w:val="both"/>
        <w:rPr>
          <w:rFonts w:ascii="Arial" w:hAnsi="Arial" w:cs="Arial"/>
          <w:b/>
          <w:sz w:val="24"/>
          <w:szCs w:val="24"/>
        </w:rPr>
      </w:pPr>
    </w:p>
    <w:p w14:paraId="03CF6B83" w14:textId="77777777" w:rsidR="00E57A66" w:rsidRPr="00E57A66" w:rsidRDefault="00E57A66" w:rsidP="00E57A66">
      <w:pPr>
        <w:spacing w:line="240" w:lineRule="auto"/>
        <w:jc w:val="both"/>
        <w:rPr>
          <w:rFonts w:ascii="Arial" w:hAnsi="Arial" w:cs="Arial"/>
          <w:b/>
          <w:sz w:val="24"/>
          <w:szCs w:val="24"/>
        </w:rPr>
      </w:pPr>
      <w:r>
        <w:rPr>
          <w:rFonts w:ascii="Arial" w:hAnsi="Arial" w:cs="Arial"/>
          <w:b/>
          <w:sz w:val="24"/>
          <w:szCs w:val="24"/>
        </w:rPr>
        <w:t>Financial</w:t>
      </w:r>
      <w:r w:rsidRPr="00E57A66">
        <w:rPr>
          <w:rFonts w:ascii="Arial" w:hAnsi="Arial" w:cs="Arial"/>
          <w:b/>
          <w:sz w:val="24"/>
          <w:szCs w:val="24"/>
        </w:rPr>
        <w:t xml:space="preserve"> </w:t>
      </w:r>
      <w:r w:rsidR="004D3042">
        <w:rPr>
          <w:rFonts w:ascii="Arial" w:hAnsi="Arial" w:cs="Arial"/>
          <w:b/>
          <w:sz w:val="24"/>
          <w:szCs w:val="24"/>
        </w:rPr>
        <w:t>criteria</w:t>
      </w:r>
      <w:r w:rsidRPr="00E57A66">
        <w:rPr>
          <w:rFonts w:ascii="Arial" w:hAnsi="Arial" w:cs="Arial"/>
          <w:b/>
          <w:sz w:val="24"/>
          <w:szCs w:val="24"/>
        </w:rPr>
        <w:t xml:space="preserve"> will be evaluated as follows:</w:t>
      </w:r>
    </w:p>
    <w:p w14:paraId="475C4539" w14:textId="77777777" w:rsidR="00E57A66" w:rsidRPr="00E57A66" w:rsidRDefault="00E57A66" w:rsidP="00E57A66">
      <w:pPr>
        <w:spacing w:line="240" w:lineRule="au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E57A66" w:rsidRPr="00E57A66" w14:paraId="6CEE465D" w14:textId="77777777" w:rsidTr="00702205">
        <w:tc>
          <w:tcPr>
            <w:tcW w:w="1134" w:type="dxa"/>
          </w:tcPr>
          <w:p w14:paraId="39D8843C"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SCORE</w:t>
            </w:r>
          </w:p>
        </w:tc>
        <w:tc>
          <w:tcPr>
            <w:tcW w:w="8000" w:type="dxa"/>
          </w:tcPr>
          <w:p w14:paraId="4255B42F"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DESCRIPTION FOR SCORE OF THE </w:t>
            </w:r>
            <w:r w:rsidR="004D3042">
              <w:rPr>
                <w:rFonts w:ascii="Arial" w:hAnsi="Arial" w:cs="Arial"/>
                <w:sz w:val="24"/>
                <w:szCs w:val="24"/>
              </w:rPr>
              <w:t>CRITERIA</w:t>
            </w:r>
          </w:p>
        </w:tc>
      </w:tr>
      <w:tr w:rsidR="00E57A66" w:rsidRPr="00E57A66" w14:paraId="4086D147" w14:textId="77777777" w:rsidTr="00914856">
        <w:tc>
          <w:tcPr>
            <w:tcW w:w="1134" w:type="dxa"/>
            <w:vAlign w:val="center"/>
          </w:tcPr>
          <w:p w14:paraId="0C0E4F15"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100</w:t>
            </w:r>
          </w:p>
        </w:tc>
        <w:tc>
          <w:tcPr>
            <w:tcW w:w="8000" w:type="dxa"/>
          </w:tcPr>
          <w:p w14:paraId="1BFC7E52" w14:textId="77777777" w:rsidR="00E57A66" w:rsidRPr="00E57A66" w:rsidRDefault="00E57A66" w:rsidP="00236386">
            <w:pPr>
              <w:spacing w:line="240" w:lineRule="auto"/>
              <w:jc w:val="both"/>
              <w:rPr>
                <w:rFonts w:ascii="Arial" w:hAnsi="Arial" w:cs="Arial"/>
                <w:sz w:val="24"/>
                <w:szCs w:val="24"/>
              </w:rPr>
            </w:pPr>
            <w:r w:rsidRPr="00E57A66">
              <w:rPr>
                <w:rFonts w:ascii="Arial" w:hAnsi="Arial" w:cs="Arial"/>
                <w:sz w:val="24"/>
                <w:szCs w:val="24"/>
              </w:rPr>
              <w:t xml:space="preserve">There is full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are appropriate.  The </w:t>
            </w:r>
            <w:r w:rsidR="004D3042">
              <w:rPr>
                <w:rFonts w:ascii="Arial" w:hAnsi="Arial" w:cs="Arial"/>
                <w:sz w:val="24"/>
                <w:szCs w:val="24"/>
              </w:rPr>
              <w:t>tender</w:t>
            </w:r>
            <w:r w:rsidRPr="00E57A66">
              <w:rPr>
                <w:rFonts w:ascii="Arial" w:hAnsi="Arial" w:cs="Arial"/>
                <w:sz w:val="24"/>
                <w:szCs w:val="24"/>
              </w:rPr>
              <w:t xml:space="preserve"> is the best value for money for the work proposed to meet the specific evidence requirement advertised</w:t>
            </w:r>
          </w:p>
        </w:tc>
      </w:tr>
      <w:tr w:rsidR="00E57A66" w:rsidRPr="00E57A66" w14:paraId="6B26C1D8" w14:textId="77777777" w:rsidTr="00914856">
        <w:tc>
          <w:tcPr>
            <w:tcW w:w="1134" w:type="dxa"/>
            <w:vAlign w:val="center"/>
          </w:tcPr>
          <w:p w14:paraId="0F176132"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80</w:t>
            </w:r>
          </w:p>
        </w:tc>
        <w:tc>
          <w:tcPr>
            <w:tcW w:w="8000" w:type="dxa"/>
          </w:tcPr>
          <w:p w14:paraId="0EF86AD2" w14:textId="77777777" w:rsidR="00E57A66" w:rsidRPr="00E57A66" w:rsidRDefault="00E57A66" w:rsidP="00236386">
            <w:pPr>
              <w:spacing w:line="240" w:lineRule="auto"/>
              <w:jc w:val="both"/>
              <w:rPr>
                <w:rFonts w:ascii="Arial" w:hAnsi="Arial" w:cs="Arial"/>
                <w:sz w:val="24"/>
                <w:szCs w:val="24"/>
              </w:rPr>
            </w:pPr>
            <w:r w:rsidRPr="00E57A66">
              <w:rPr>
                <w:rFonts w:ascii="Arial" w:hAnsi="Arial" w:cs="Arial"/>
                <w:sz w:val="24"/>
                <w:szCs w:val="24"/>
              </w:rPr>
              <w:t xml:space="preserve">There is some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requested.  The </w:t>
            </w:r>
            <w:r w:rsidR="004D3042">
              <w:rPr>
                <w:rFonts w:ascii="Arial" w:hAnsi="Arial" w:cs="Arial"/>
                <w:sz w:val="24"/>
                <w:szCs w:val="24"/>
              </w:rPr>
              <w:t>tender</w:t>
            </w:r>
            <w:r w:rsidRPr="00E57A66">
              <w:rPr>
                <w:rFonts w:ascii="Arial" w:hAnsi="Arial" w:cs="Arial"/>
                <w:sz w:val="24"/>
                <w:szCs w:val="24"/>
              </w:rPr>
              <w:t xml:space="preserve"> is reasonable value for money for the work proposed to meet the specific evidence requirement advertised.</w:t>
            </w:r>
          </w:p>
        </w:tc>
      </w:tr>
      <w:tr w:rsidR="00E57A66" w:rsidRPr="00E57A66" w14:paraId="02257684" w14:textId="77777777" w:rsidTr="00914856">
        <w:tc>
          <w:tcPr>
            <w:tcW w:w="1134" w:type="dxa"/>
            <w:vAlign w:val="center"/>
          </w:tcPr>
          <w:p w14:paraId="48E76737"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60</w:t>
            </w:r>
          </w:p>
        </w:tc>
        <w:tc>
          <w:tcPr>
            <w:tcW w:w="8000" w:type="dxa"/>
          </w:tcPr>
          <w:p w14:paraId="706F8A9C"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Limited rational is given for the resources requested and/or the </w:t>
            </w:r>
            <w:r w:rsidR="004D3042">
              <w:rPr>
                <w:rFonts w:ascii="Arial" w:hAnsi="Arial" w:cs="Arial"/>
                <w:sz w:val="24"/>
                <w:szCs w:val="24"/>
              </w:rPr>
              <w:t>tender</w:t>
            </w:r>
            <w:r w:rsidRPr="00E57A66">
              <w:rPr>
                <w:rFonts w:ascii="Arial" w:hAnsi="Arial" w:cs="Arial"/>
                <w:sz w:val="24"/>
                <w:szCs w:val="24"/>
              </w:rPr>
              <w:t xml:space="preserve"> does not offer very good value for money, but is not poor value</w:t>
            </w:r>
          </w:p>
        </w:tc>
      </w:tr>
      <w:tr w:rsidR="00E57A66" w:rsidRPr="00E57A66" w14:paraId="4A250361" w14:textId="77777777" w:rsidTr="00914856">
        <w:tc>
          <w:tcPr>
            <w:tcW w:w="1134" w:type="dxa"/>
            <w:vAlign w:val="center"/>
          </w:tcPr>
          <w:p w14:paraId="72405288"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30</w:t>
            </w:r>
          </w:p>
        </w:tc>
        <w:tc>
          <w:tcPr>
            <w:tcW w:w="8000" w:type="dxa"/>
          </w:tcPr>
          <w:p w14:paraId="28AB2E89"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is relatively poor value for money with little/no justification for costs or resources requested.</w:t>
            </w:r>
          </w:p>
        </w:tc>
      </w:tr>
      <w:tr w:rsidR="00E57A66" w:rsidRPr="00E57A66" w14:paraId="0E6FFAE7" w14:textId="77777777" w:rsidTr="00914856">
        <w:tc>
          <w:tcPr>
            <w:tcW w:w="1134" w:type="dxa"/>
            <w:vAlign w:val="center"/>
          </w:tcPr>
          <w:p w14:paraId="08FF7044"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0</w:t>
            </w:r>
          </w:p>
        </w:tc>
        <w:tc>
          <w:tcPr>
            <w:tcW w:w="8000" w:type="dxa"/>
          </w:tcPr>
          <w:p w14:paraId="4A8293E1"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costs are not considered value for money and the applicant provided no rationale for costs or resources requested</w:t>
            </w:r>
          </w:p>
        </w:tc>
      </w:tr>
    </w:tbl>
    <w:p w14:paraId="78F9336D" w14:textId="77777777" w:rsidR="00454058" w:rsidRDefault="00454058" w:rsidP="002238F9">
      <w:pPr>
        <w:spacing w:line="240" w:lineRule="auto"/>
        <w:jc w:val="both"/>
        <w:rPr>
          <w:rFonts w:ascii="Arial" w:hAnsi="Arial" w:cs="Arial"/>
          <w:b/>
          <w:sz w:val="24"/>
          <w:szCs w:val="24"/>
        </w:rPr>
      </w:pPr>
    </w:p>
    <w:p w14:paraId="0B36CFB1" w14:textId="77777777" w:rsidR="00E57A66" w:rsidRPr="00BE3C10" w:rsidRDefault="00E57A66" w:rsidP="003E4416">
      <w:pPr>
        <w:spacing w:line="240" w:lineRule="auto"/>
        <w:rPr>
          <w:rFonts w:ascii="Arial" w:hAnsi="Arial" w:cs="Arial"/>
          <w:b/>
          <w:sz w:val="24"/>
          <w:szCs w:val="24"/>
        </w:rPr>
      </w:pPr>
    </w:p>
    <w:sectPr w:rsidR="00E57A66" w:rsidRPr="00BE3C10" w:rsidSect="002F3CB6">
      <w:headerReference w:type="default" r:id="rId22"/>
      <w:footerReference w:type="default" r:id="rId23"/>
      <w:type w:val="continuous"/>
      <w:pgSz w:w="11906" w:h="16838"/>
      <w:pgMar w:top="1105" w:right="1440" w:bottom="1440"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D54CE" w14:textId="77777777" w:rsidR="00E97E27" w:rsidRDefault="00E97E27" w:rsidP="00241A8F">
      <w:pPr>
        <w:spacing w:line="240" w:lineRule="auto"/>
      </w:pPr>
      <w:r>
        <w:separator/>
      </w:r>
    </w:p>
  </w:endnote>
  <w:endnote w:type="continuationSeparator" w:id="0">
    <w:p w14:paraId="209990BB" w14:textId="77777777" w:rsidR="00E97E27" w:rsidRDefault="00E97E27" w:rsidP="00241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23B49" w14:textId="31E76EE9" w:rsidR="00712422" w:rsidRPr="00FB0475" w:rsidRDefault="00712422" w:rsidP="00553417">
    <w:pPr>
      <w:pStyle w:val="Footer"/>
      <w:rPr>
        <w:rFonts w:ascii="Arial" w:hAnsi="Arial" w:cs="Arial"/>
        <w:sz w:val="20"/>
        <w:szCs w:val="20"/>
      </w:rPr>
    </w:pPr>
    <w:r>
      <w:rPr>
        <w:rFonts w:ascii="Arial" w:hAnsi="Arial" w:cs="Arial"/>
        <w:sz w:val="20"/>
        <w:szCs w:val="20"/>
      </w:rPr>
      <w:t>Specification (Rev 10/16)</w:t>
    </w:r>
    <w:r w:rsidRPr="00FB0475">
      <w:rPr>
        <w:rFonts w:ascii="Arial" w:hAnsi="Arial" w:cs="Arial"/>
        <w:b/>
        <w:color w:val="00B050"/>
        <w:sz w:val="20"/>
        <w:szCs w:val="20"/>
      </w:rPr>
      <w:t xml:space="preserve"> </w:t>
    </w:r>
    <w:r w:rsidRPr="00FB0475">
      <w:rPr>
        <w:rFonts w:ascii="Arial" w:hAnsi="Arial" w:cs="Arial"/>
        <w:sz w:val="20"/>
        <w:szCs w:val="20"/>
      </w:rPr>
      <w:tab/>
    </w:r>
    <w:r w:rsidRPr="00617ED2">
      <w:rPr>
        <w:rFonts w:ascii="Arial" w:hAnsi="Arial" w:cs="Arial"/>
        <w:sz w:val="20"/>
        <w:szCs w:val="20"/>
      </w:rPr>
      <w:fldChar w:fldCharType="begin"/>
    </w:r>
    <w:r w:rsidRPr="00617ED2">
      <w:rPr>
        <w:rFonts w:ascii="Arial" w:hAnsi="Arial" w:cs="Arial"/>
        <w:sz w:val="20"/>
        <w:szCs w:val="20"/>
      </w:rPr>
      <w:instrText xml:space="preserve"> STYLEREF  Tenderreference  \* MERGEFORMAT </w:instrText>
    </w:r>
    <w:r w:rsidRPr="00617ED2">
      <w:rPr>
        <w:rFonts w:ascii="Arial" w:hAnsi="Arial" w:cs="Arial"/>
        <w:sz w:val="20"/>
        <w:szCs w:val="20"/>
      </w:rPr>
      <w:fldChar w:fldCharType="separate"/>
    </w:r>
    <w:r w:rsidR="00B61008">
      <w:rPr>
        <w:rFonts w:ascii="Arial" w:hAnsi="Arial" w:cs="Arial"/>
        <w:noProof/>
        <w:sz w:val="20"/>
        <w:szCs w:val="20"/>
      </w:rPr>
      <w:t>FS301059</w:t>
    </w:r>
    <w:r w:rsidRPr="00617ED2">
      <w:rPr>
        <w:rFonts w:ascii="Arial" w:hAnsi="Arial" w:cs="Arial"/>
        <w:sz w:val="20"/>
        <w:szCs w:val="20"/>
      </w:rPr>
      <w:fldChar w:fldCharType="end"/>
    </w:r>
    <w:r w:rsidRPr="00FB0475">
      <w:rPr>
        <w:rFonts w:ascii="Arial" w:hAnsi="Arial" w:cs="Arial"/>
        <w:sz w:val="20"/>
        <w:szCs w:val="20"/>
      </w:rPr>
      <w:tab/>
      <w:t xml:space="preserve">Page </w:t>
    </w:r>
    <w:r w:rsidRPr="00FB0475">
      <w:rPr>
        <w:rFonts w:ascii="Arial" w:hAnsi="Arial" w:cs="Arial"/>
        <w:sz w:val="20"/>
        <w:szCs w:val="20"/>
      </w:rPr>
      <w:fldChar w:fldCharType="begin"/>
    </w:r>
    <w:r w:rsidRPr="00FB0475">
      <w:rPr>
        <w:rFonts w:ascii="Arial" w:hAnsi="Arial" w:cs="Arial"/>
        <w:sz w:val="20"/>
        <w:szCs w:val="20"/>
      </w:rPr>
      <w:instrText xml:space="preserve"> PAGE  \* Arabic  \* MERGEFORMAT </w:instrText>
    </w:r>
    <w:r w:rsidRPr="00FB0475">
      <w:rPr>
        <w:rFonts w:ascii="Arial" w:hAnsi="Arial" w:cs="Arial"/>
        <w:sz w:val="20"/>
        <w:szCs w:val="20"/>
      </w:rPr>
      <w:fldChar w:fldCharType="separate"/>
    </w:r>
    <w:r w:rsidR="00B61008">
      <w:rPr>
        <w:rFonts w:ascii="Arial" w:hAnsi="Arial" w:cs="Arial"/>
        <w:noProof/>
        <w:sz w:val="20"/>
        <w:szCs w:val="20"/>
      </w:rPr>
      <w:t>12</w:t>
    </w:r>
    <w:r w:rsidRPr="00FB0475">
      <w:rPr>
        <w:rFonts w:ascii="Arial" w:hAnsi="Arial" w:cs="Arial"/>
        <w:sz w:val="20"/>
        <w:szCs w:val="20"/>
      </w:rPr>
      <w:fldChar w:fldCharType="end"/>
    </w:r>
    <w:r w:rsidRPr="00FB0475">
      <w:rPr>
        <w:rFonts w:ascii="Arial" w:hAnsi="Arial" w:cs="Arial"/>
        <w:sz w:val="20"/>
        <w:szCs w:val="20"/>
      </w:rPr>
      <w:t xml:space="preserve"> of </w:t>
    </w:r>
    <w:fldSimple w:instr=" NUMPAGES  \* Arabic  \* MERGEFORMAT ">
      <w:r w:rsidR="00B61008" w:rsidRPr="00B61008">
        <w:rPr>
          <w:rFonts w:ascii="Arial" w:hAnsi="Arial" w:cs="Arial"/>
          <w:noProof/>
          <w:sz w:val="20"/>
          <w:szCs w:val="20"/>
        </w:rPr>
        <w:t>12</w:t>
      </w:r>
    </w:fldSimple>
  </w:p>
  <w:p w14:paraId="5B69451F" w14:textId="77777777" w:rsidR="00712422" w:rsidRDefault="0071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F1964" w14:textId="77777777" w:rsidR="00E97E27" w:rsidRDefault="00E97E27" w:rsidP="00241A8F">
      <w:pPr>
        <w:spacing w:line="240" w:lineRule="auto"/>
      </w:pPr>
      <w:r>
        <w:separator/>
      </w:r>
    </w:p>
  </w:footnote>
  <w:footnote w:type="continuationSeparator" w:id="0">
    <w:p w14:paraId="0A3E07EA" w14:textId="77777777" w:rsidR="00E97E27" w:rsidRDefault="00E97E27" w:rsidP="00241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6012"/>
      <w:gridCol w:w="3036"/>
    </w:tblGrid>
    <w:tr w:rsidR="00712422" w:rsidRPr="00685BDA" w14:paraId="747E9A4A" w14:textId="77777777" w:rsidTr="00FA7798">
      <w:trPr>
        <w:trHeight w:val="429"/>
      </w:trPr>
      <w:tc>
        <w:tcPr>
          <w:tcW w:w="6345" w:type="dxa"/>
        </w:tcPr>
        <w:p w14:paraId="473929AE" w14:textId="77777777" w:rsidR="00712422" w:rsidRPr="00685BDA" w:rsidRDefault="00712422" w:rsidP="00570218">
          <w:pPr>
            <w:ind w:right="115"/>
            <w:rPr>
              <w:rFonts w:ascii="Arial" w:hAnsi="Arial" w:cs="Arial"/>
              <w:b/>
              <w:sz w:val="28"/>
              <w:szCs w:val="28"/>
            </w:rPr>
          </w:pPr>
          <w:r>
            <w:rPr>
              <w:rFonts w:ascii="Arial" w:hAnsi="Arial" w:cs="Arial"/>
              <w:b/>
              <w:sz w:val="28"/>
              <w:szCs w:val="28"/>
            </w:rPr>
            <w:t>Schedule 2</w:t>
          </w:r>
        </w:p>
      </w:tc>
      <w:tc>
        <w:tcPr>
          <w:tcW w:w="0" w:type="auto"/>
          <w:vMerge w:val="restart"/>
        </w:tcPr>
        <w:p w14:paraId="7700CB27" w14:textId="77777777" w:rsidR="00712422" w:rsidRPr="00685BDA" w:rsidRDefault="00712422" w:rsidP="00685BDA">
          <w:pPr>
            <w:ind w:right="-188"/>
            <w:rPr>
              <w:rFonts w:ascii="Arial" w:hAnsi="Arial" w:cs="Arial"/>
              <w:b/>
              <w:sz w:val="28"/>
              <w:szCs w:val="28"/>
            </w:rPr>
          </w:pPr>
          <w:r>
            <w:rPr>
              <w:noProof/>
              <w:lang w:eastAsia="en-GB"/>
            </w:rPr>
            <w:drawing>
              <wp:inline distT="0" distB="0" distL="0" distR="0" wp14:anchorId="70AC6A61" wp14:editId="2179FB7C">
                <wp:extent cx="1771650" cy="962025"/>
                <wp:effectExtent l="19050" t="0" r="0" b="0"/>
                <wp:docPr id="1" name="Picture 1" descr="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
                        <a:srcRect r="-4622" b="-13420"/>
                        <a:stretch>
                          <a:fillRect/>
                        </a:stretch>
                      </pic:blipFill>
                      <pic:spPr bwMode="auto">
                        <a:xfrm>
                          <a:off x="0" y="0"/>
                          <a:ext cx="1771650" cy="962025"/>
                        </a:xfrm>
                        <a:prstGeom prst="rect">
                          <a:avLst/>
                        </a:prstGeom>
                        <a:noFill/>
                        <a:ln w="9525">
                          <a:noFill/>
                          <a:miter lim="800000"/>
                          <a:headEnd/>
                          <a:tailEnd/>
                        </a:ln>
                      </pic:spPr>
                    </pic:pic>
                  </a:graphicData>
                </a:graphic>
              </wp:inline>
            </w:drawing>
          </w:r>
        </w:p>
      </w:tc>
    </w:tr>
    <w:tr w:rsidR="00712422" w:rsidRPr="00685BDA" w14:paraId="476C0C3F" w14:textId="77777777" w:rsidTr="00FA7798">
      <w:trPr>
        <w:trHeight w:val="787"/>
      </w:trPr>
      <w:tc>
        <w:tcPr>
          <w:tcW w:w="6345" w:type="dxa"/>
        </w:tcPr>
        <w:p w14:paraId="37F2044A" w14:textId="77777777" w:rsidR="00712422" w:rsidRDefault="00712422" w:rsidP="00685BDA">
          <w:pPr>
            <w:ind w:right="115"/>
            <w:rPr>
              <w:rFonts w:ascii="Arial" w:hAnsi="Arial" w:cs="Arial"/>
              <w:b/>
              <w:sz w:val="28"/>
              <w:szCs w:val="28"/>
            </w:rPr>
          </w:pPr>
        </w:p>
        <w:p w14:paraId="5A9B6B04" w14:textId="77777777" w:rsidR="00712422" w:rsidRPr="00685BDA" w:rsidRDefault="00712422" w:rsidP="00685BDA">
          <w:pPr>
            <w:ind w:right="115"/>
            <w:rPr>
              <w:rFonts w:ascii="Arial" w:hAnsi="Arial" w:cs="Arial"/>
              <w:b/>
              <w:sz w:val="28"/>
              <w:szCs w:val="28"/>
            </w:rPr>
          </w:pPr>
          <w:r>
            <w:rPr>
              <w:rFonts w:ascii="Arial" w:hAnsi="Arial" w:cs="Arial"/>
              <w:b/>
              <w:sz w:val="28"/>
              <w:szCs w:val="28"/>
            </w:rPr>
            <w:t>SPECIFICATION</w:t>
          </w:r>
        </w:p>
        <w:p w14:paraId="17655405" w14:textId="77777777" w:rsidR="00712422" w:rsidRPr="00685BDA" w:rsidRDefault="00712422" w:rsidP="00685BDA">
          <w:pPr>
            <w:ind w:right="115"/>
            <w:rPr>
              <w:rFonts w:ascii="Arial" w:hAnsi="Arial" w:cs="Arial"/>
              <w:b/>
              <w:sz w:val="28"/>
              <w:szCs w:val="28"/>
            </w:rPr>
          </w:pPr>
        </w:p>
      </w:tc>
      <w:tc>
        <w:tcPr>
          <w:tcW w:w="0" w:type="auto"/>
          <w:vMerge/>
        </w:tcPr>
        <w:p w14:paraId="2554F5F2" w14:textId="77777777" w:rsidR="00712422" w:rsidRPr="00F02F7C" w:rsidRDefault="00712422" w:rsidP="00685BDA">
          <w:pPr>
            <w:ind w:right="-188"/>
          </w:pPr>
        </w:p>
      </w:tc>
    </w:tr>
  </w:tbl>
  <w:p w14:paraId="171EA3BB" w14:textId="77777777" w:rsidR="00712422" w:rsidRDefault="00712422" w:rsidP="000038D8">
    <w:pPr>
      <w:pStyle w:val="Header"/>
    </w:pPr>
    <w:r>
      <w:rPr>
        <w:noProof/>
        <w:lang w:eastAsia="en-GB"/>
      </w:rPr>
      <mc:AlternateContent>
        <mc:Choice Requires="wps">
          <w:drawing>
            <wp:anchor distT="0" distB="0" distL="114300" distR="114300" simplePos="0" relativeHeight="251657728" behindDoc="0" locked="0" layoutInCell="0" allowOverlap="1" wp14:anchorId="5FB17B6B" wp14:editId="36D89AA1">
              <wp:simplePos x="0" y="0"/>
              <wp:positionH relativeFrom="column">
                <wp:posOffset>-9525</wp:posOffset>
              </wp:positionH>
              <wp:positionV relativeFrom="paragraph">
                <wp:posOffset>24765</wp:posOffset>
              </wp:positionV>
              <wp:extent cx="5791200" cy="0"/>
              <wp:effectExtent l="19050" t="15240" r="1905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E42D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5pt" to="45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" o:allowincell="f" strokecolor="green"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284408"/>
    <w:multiLevelType w:val="hybridMultilevel"/>
    <w:tmpl w:val="64A972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4B1DC5"/>
    <w:multiLevelType w:val="hybridMultilevel"/>
    <w:tmpl w:val="B6C884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984639B"/>
    <w:multiLevelType w:val="hybridMultilevel"/>
    <w:tmpl w:val="A47A05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3514A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596C76"/>
    <w:multiLevelType w:val="hybridMultilevel"/>
    <w:tmpl w:val="2CB0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136D1D"/>
    <w:multiLevelType w:val="hybridMultilevel"/>
    <w:tmpl w:val="8C90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3C2B34"/>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411C64"/>
    <w:multiLevelType w:val="hybridMultilevel"/>
    <w:tmpl w:val="BCB060CC"/>
    <w:lvl w:ilvl="0" w:tplc="0ED6868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2573AB"/>
    <w:multiLevelType w:val="hybridMultilevel"/>
    <w:tmpl w:val="1BA27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D83272"/>
    <w:multiLevelType w:val="hybridMultilevel"/>
    <w:tmpl w:val="10D871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FBC91EE"/>
    <w:multiLevelType w:val="hybridMultilevel"/>
    <w:tmpl w:val="22D1E1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FA5B10"/>
    <w:multiLevelType w:val="hybridMultilevel"/>
    <w:tmpl w:val="6368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04453C"/>
    <w:multiLevelType w:val="hybridMultilevel"/>
    <w:tmpl w:val="F294BA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BE1FAE"/>
    <w:multiLevelType w:val="hybridMultilevel"/>
    <w:tmpl w:val="32E49E52"/>
    <w:lvl w:ilvl="0" w:tplc="C4126EB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4897F13"/>
    <w:multiLevelType w:val="hybridMultilevel"/>
    <w:tmpl w:val="49B0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1A7094"/>
    <w:multiLevelType w:val="hybridMultilevel"/>
    <w:tmpl w:val="C00209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9C95ABD"/>
    <w:multiLevelType w:val="hybridMultilevel"/>
    <w:tmpl w:val="10BAF9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D1B473F"/>
    <w:multiLevelType w:val="hybridMultilevel"/>
    <w:tmpl w:val="E80E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3F2274"/>
    <w:multiLevelType w:val="hybridMultilevel"/>
    <w:tmpl w:val="0D44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631DAD"/>
    <w:multiLevelType w:val="hybridMultilevel"/>
    <w:tmpl w:val="EB90B6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1A78F2"/>
    <w:multiLevelType w:val="hybridMultilevel"/>
    <w:tmpl w:val="E15AD2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81045B"/>
    <w:multiLevelType w:val="hybridMultilevel"/>
    <w:tmpl w:val="DB3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831E0"/>
    <w:multiLevelType w:val="hybridMultilevel"/>
    <w:tmpl w:val="B6A2DA88"/>
    <w:lvl w:ilvl="0" w:tplc="F0C207CA">
      <w:start w:val="1"/>
      <w:numFmt w:val="bullet"/>
      <w:lvlText w:val=""/>
      <w:lvlJc w:val="left"/>
      <w:pPr>
        <w:ind w:left="567"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517D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BF639D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433262"/>
    <w:multiLevelType w:val="multilevel"/>
    <w:tmpl w:val="366C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015774"/>
    <w:multiLevelType w:val="multilevel"/>
    <w:tmpl w:val="0E10EA26"/>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7" w15:restartNumberingAfterBreak="0">
    <w:nsid w:val="38C06A3A"/>
    <w:multiLevelType w:val="hybridMultilevel"/>
    <w:tmpl w:val="58F2B0EA"/>
    <w:lvl w:ilvl="0" w:tplc="976CB02C">
      <w:start w:val="1"/>
      <w:numFmt w:val="decimal"/>
      <w:lvlText w:val="%1."/>
      <w:lvlJc w:val="left"/>
      <w:pPr>
        <w:tabs>
          <w:tab w:val="num" w:pos="360"/>
        </w:tabs>
        <w:ind w:left="360" w:hanging="360"/>
      </w:pPr>
      <w:rPr>
        <w:b w:val="0"/>
      </w:rPr>
    </w:lvl>
    <w:lvl w:ilvl="1" w:tplc="3A7C3542">
      <w:start w:val="1"/>
      <w:numFmt w:val="lowerLetter"/>
      <w:lvlText w:val="%2."/>
      <w:lvlJc w:val="left"/>
      <w:pPr>
        <w:tabs>
          <w:tab w:val="num" w:pos="1080"/>
        </w:tabs>
        <w:ind w:left="1080" w:hanging="360"/>
      </w:pPr>
      <w:rPr>
        <w:rFonts w:hint="default"/>
        <w:b w:val="0"/>
        <w:bCs w:val="0"/>
        <w:i w:val="0"/>
        <w:iCs w:val="0"/>
      </w:rPr>
    </w:lvl>
    <w:lvl w:ilvl="2" w:tplc="FE721996">
      <w:start w:val="9"/>
      <w:numFmt w:val="bullet"/>
      <w:lvlText w:val="-"/>
      <w:lvlJc w:val="left"/>
      <w:pPr>
        <w:tabs>
          <w:tab w:val="num" w:pos="1980"/>
        </w:tabs>
        <w:ind w:left="1980" w:hanging="360"/>
      </w:pPr>
      <w:rPr>
        <w:rFonts w:ascii="Arial" w:eastAsia="Times New Roman" w:hAnsi="Arial" w:cs="Times New Roman" w:hint="default"/>
      </w:rPr>
    </w:lvl>
    <w:lvl w:ilvl="3" w:tplc="6944DB84">
      <w:start w:val="1"/>
      <w:numFmt w:val="bullet"/>
      <w:lvlText w:val=""/>
      <w:lvlJc w:val="left"/>
      <w:pPr>
        <w:tabs>
          <w:tab w:val="num" w:pos="2520"/>
        </w:tabs>
        <w:ind w:left="2520" w:hanging="360"/>
      </w:pPr>
      <w:rPr>
        <w:rFonts w:ascii="Symbol" w:hAnsi="Symbol" w:hint="default"/>
        <w:color w:val="auto"/>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393A2029"/>
    <w:multiLevelType w:val="hybridMultilevel"/>
    <w:tmpl w:val="145A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4A7A7C"/>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79509F"/>
    <w:multiLevelType w:val="hybridMultilevel"/>
    <w:tmpl w:val="40601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F33B4B"/>
    <w:multiLevelType w:val="hybridMultilevel"/>
    <w:tmpl w:val="FD8A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95987"/>
    <w:multiLevelType w:val="hybridMultilevel"/>
    <w:tmpl w:val="8BDC0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227A81"/>
    <w:multiLevelType w:val="hybridMultilevel"/>
    <w:tmpl w:val="0FE04C8E"/>
    <w:lvl w:ilvl="0" w:tplc="3DF8A47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24630B"/>
    <w:multiLevelType w:val="multilevel"/>
    <w:tmpl w:val="615688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F9B40C8"/>
    <w:multiLevelType w:val="hybridMultilevel"/>
    <w:tmpl w:val="AFB899E0"/>
    <w:lvl w:ilvl="0" w:tplc="51F0EADE">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0227897"/>
    <w:multiLevelType w:val="hybridMultilevel"/>
    <w:tmpl w:val="B04CF052"/>
    <w:lvl w:ilvl="0" w:tplc="0F5808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34E2925"/>
    <w:multiLevelType w:val="hybridMultilevel"/>
    <w:tmpl w:val="3250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0E6573"/>
    <w:multiLevelType w:val="hybridMultilevel"/>
    <w:tmpl w:val="8C7E5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7164B5"/>
    <w:multiLevelType w:val="hybridMultilevel"/>
    <w:tmpl w:val="84EA8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6B2CDF"/>
    <w:multiLevelType w:val="hybridMultilevel"/>
    <w:tmpl w:val="EF0A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24A85"/>
    <w:multiLevelType w:val="hybridMultilevel"/>
    <w:tmpl w:val="3A787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19C5B44"/>
    <w:multiLevelType w:val="hybridMultilevel"/>
    <w:tmpl w:val="034A94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2CC0378"/>
    <w:multiLevelType w:val="hybridMultilevel"/>
    <w:tmpl w:val="E1121F7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A92319"/>
    <w:multiLevelType w:val="hybridMultilevel"/>
    <w:tmpl w:val="E1121F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834AD9"/>
    <w:multiLevelType w:val="hybridMultilevel"/>
    <w:tmpl w:val="66600636"/>
    <w:lvl w:ilvl="0" w:tplc="F0C207CA">
      <w:start w:val="1"/>
      <w:numFmt w:val="bullet"/>
      <w:lvlText w:val=""/>
      <w:lvlJc w:val="left"/>
      <w:pPr>
        <w:ind w:left="567"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934711"/>
    <w:multiLevelType w:val="hybridMultilevel"/>
    <w:tmpl w:val="DF4CF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4D0232D"/>
    <w:multiLevelType w:val="hybridMultilevel"/>
    <w:tmpl w:val="6D5CE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730A92"/>
    <w:multiLevelType w:val="hybridMultilevel"/>
    <w:tmpl w:val="82F0B1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12"/>
  </w:num>
  <w:num w:numId="3">
    <w:abstractNumId w:val="5"/>
  </w:num>
  <w:num w:numId="4">
    <w:abstractNumId w:val="28"/>
  </w:num>
  <w:num w:numId="5">
    <w:abstractNumId w:val="46"/>
  </w:num>
  <w:num w:numId="6">
    <w:abstractNumId w:val="3"/>
  </w:num>
  <w:num w:numId="7">
    <w:abstractNumId w:val="9"/>
  </w:num>
  <w:num w:numId="8">
    <w:abstractNumId w:val="6"/>
  </w:num>
  <w:num w:numId="9">
    <w:abstractNumId w:val="24"/>
  </w:num>
  <w:num w:numId="10">
    <w:abstractNumId w:val="29"/>
  </w:num>
  <w:num w:numId="11">
    <w:abstractNumId w:val="44"/>
  </w:num>
  <w:num w:numId="12">
    <w:abstractNumId w:val="43"/>
  </w:num>
  <w:num w:numId="13">
    <w:abstractNumId w:val="21"/>
  </w:num>
  <w:num w:numId="14">
    <w:abstractNumId w:val="34"/>
  </w:num>
  <w:num w:numId="15">
    <w:abstractNumId w:val="23"/>
  </w:num>
  <w:num w:numId="16">
    <w:abstractNumId w:val="42"/>
  </w:num>
  <w:num w:numId="17">
    <w:abstractNumId w:val="48"/>
  </w:num>
  <w:num w:numId="18">
    <w:abstractNumId w:val="26"/>
  </w:num>
  <w:num w:numId="19">
    <w:abstractNumId w:val="19"/>
  </w:num>
  <w:num w:numId="20">
    <w:abstractNumId w:val="7"/>
  </w:num>
  <w:num w:numId="21">
    <w:abstractNumId w:val="18"/>
  </w:num>
  <w:num w:numId="22">
    <w:abstractNumId w:val="20"/>
  </w:num>
  <w:num w:numId="23">
    <w:abstractNumId w:val="13"/>
  </w:num>
  <w:num w:numId="24">
    <w:abstractNumId w:val="36"/>
  </w:num>
  <w:num w:numId="25">
    <w:abstractNumId w:val="40"/>
  </w:num>
  <w:num w:numId="26">
    <w:abstractNumId w:val="4"/>
  </w:num>
  <w:num w:numId="27">
    <w:abstractNumId w:val="30"/>
  </w:num>
  <w:num w:numId="28">
    <w:abstractNumId w:val="41"/>
  </w:num>
  <w:num w:numId="29">
    <w:abstractNumId w:val="14"/>
  </w:num>
  <w:num w:numId="30">
    <w:abstractNumId w:val="27"/>
  </w:num>
  <w:num w:numId="31">
    <w:abstractNumId w:val="11"/>
  </w:num>
  <w:num w:numId="32">
    <w:abstractNumId w:val="25"/>
  </w:num>
  <w:num w:numId="33">
    <w:abstractNumId w:val="37"/>
  </w:num>
  <w:num w:numId="34">
    <w:abstractNumId w:val="38"/>
  </w:num>
  <w:num w:numId="35">
    <w:abstractNumId w:val="16"/>
  </w:num>
  <w:num w:numId="36">
    <w:abstractNumId w:val="39"/>
  </w:num>
  <w:num w:numId="37">
    <w:abstractNumId w:val="33"/>
  </w:num>
  <w:num w:numId="38">
    <w:abstractNumId w:val="17"/>
  </w:num>
  <w:num w:numId="39">
    <w:abstractNumId w:val="35"/>
  </w:num>
  <w:num w:numId="40">
    <w:abstractNumId w:val="47"/>
  </w:num>
  <w:num w:numId="41">
    <w:abstractNumId w:val="22"/>
  </w:num>
  <w:num w:numId="42">
    <w:abstractNumId w:val="45"/>
  </w:num>
  <w:num w:numId="43">
    <w:abstractNumId w:val="31"/>
  </w:num>
  <w:num w:numId="44">
    <w:abstractNumId w:val="10"/>
  </w:num>
  <w:num w:numId="45">
    <w:abstractNumId w:val="2"/>
  </w:num>
  <w:num w:numId="46">
    <w:abstractNumId w:val="1"/>
  </w:num>
  <w:num w:numId="47">
    <w:abstractNumId w:val="0"/>
  </w:num>
  <w:num w:numId="48">
    <w:abstractNumId w:val="3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33"/>
    <w:rsid w:val="00000EFB"/>
    <w:rsid w:val="00001ABB"/>
    <w:rsid w:val="0000351B"/>
    <w:rsid w:val="000038D8"/>
    <w:rsid w:val="0000475E"/>
    <w:rsid w:val="00012681"/>
    <w:rsid w:val="00012922"/>
    <w:rsid w:val="00022EF1"/>
    <w:rsid w:val="00024D59"/>
    <w:rsid w:val="00026574"/>
    <w:rsid w:val="00033D91"/>
    <w:rsid w:val="000365DB"/>
    <w:rsid w:val="00036928"/>
    <w:rsid w:val="00037026"/>
    <w:rsid w:val="00037155"/>
    <w:rsid w:val="000445F9"/>
    <w:rsid w:val="000470A7"/>
    <w:rsid w:val="00055FCA"/>
    <w:rsid w:val="0005665A"/>
    <w:rsid w:val="00057EEC"/>
    <w:rsid w:val="000609E8"/>
    <w:rsid w:val="0006263C"/>
    <w:rsid w:val="00063AF6"/>
    <w:rsid w:val="000643A9"/>
    <w:rsid w:val="0006509F"/>
    <w:rsid w:val="00066CCF"/>
    <w:rsid w:val="0006785A"/>
    <w:rsid w:val="0007130E"/>
    <w:rsid w:val="00074424"/>
    <w:rsid w:val="00082818"/>
    <w:rsid w:val="00086EEF"/>
    <w:rsid w:val="000931EB"/>
    <w:rsid w:val="00093935"/>
    <w:rsid w:val="000949AD"/>
    <w:rsid w:val="0009626D"/>
    <w:rsid w:val="00096B43"/>
    <w:rsid w:val="00097C08"/>
    <w:rsid w:val="000A0214"/>
    <w:rsid w:val="000A3340"/>
    <w:rsid w:val="000A5556"/>
    <w:rsid w:val="000B05EA"/>
    <w:rsid w:val="000B08E4"/>
    <w:rsid w:val="000B2A49"/>
    <w:rsid w:val="000B3691"/>
    <w:rsid w:val="000B577A"/>
    <w:rsid w:val="000B580F"/>
    <w:rsid w:val="000C2551"/>
    <w:rsid w:val="000D1CA2"/>
    <w:rsid w:val="000D6475"/>
    <w:rsid w:val="000D6C6D"/>
    <w:rsid w:val="000D7BED"/>
    <w:rsid w:val="000E1537"/>
    <w:rsid w:val="000E201B"/>
    <w:rsid w:val="000E46C5"/>
    <w:rsid w:val="000E57B2"/>
    <w:rsid w:val="000E59BF"/>
    <w:rsid w:val="000F0042"/>
    <w:rsid w:val="000F0610"/>
    <w:rsid w:val="000F2258"/>
    <w:rsid w:val="000F2A8B"/>
    <w:rsid w:val="000F2AF9"/>
    <w:rsid w:val="000F5CB2"/>
    <w:rsid w:val="00100E49"/>
    <w:rsid w:val="00103AC4"/>
    <w:rsid w:val="00104CED"/>
    <w:rsid w:val="00110F94"/>
    <w:rsid w:val="00111E8C"/>
    <w:rsid w:val="00112A14"/>
    <w:rsid w:val="00113942"/>
    <w:rsid w:val="00116B08"/>
    <w:rsid w:val="00121AD8"/>
    <w:rsid w:val="00124481"/>
    <w:rsid w:val="00124B77"/>
    <w:rsid w:val="0012796E"/>
    <w:rsid w:val="00127AA1"/>
    <w:rsid w:val="001302FE"/>
    <w:rsid w:val="001313FA"/>
    <w:rsid w:val="00131B84"/>
    <w:rsid w:val="00132312"/>
    <w:rsid w:val="00132E3A"/>
    <w:rsid w:val="001340A7"/>
    <w:rsid w:val="00134848"/>
    <w:rsid w:val="00136727"/>
    <w:rsid w:val="00142B4D"/>
    <w:rsid w:val="00142DB5"/>
    <w:rsid w:val="0014343D"/>
    <w:rsid w:val="00144833"/>
    <w:rsid w:val="001454C3"/>
    <w:rsid w:val="00147C1B"/>
    <w:rsid w:val="00152EB6"/>
    <w:rsid w:val="00153F4E"/>
    <w:rsid w:val="00154D7B"/>
    <w:rsid w:val="001569DB"/>
    <w:rsid w:val="00162DBF"/>
    <w:rsid w:val="001662E6"/>
    <w:rsid w:val="00170D48"/>
    <w:rsid w:val="001850AE"/>
    <w:rsid w:val="00187D72"/>
    <w:rsid w:val="001A5D02"/>
    <w:rsid w:val="001A7981"/>
    <w:rsid w:val="001B2970"/>
    <w:rsid w:val="001C2A83"/>
    <w:rsid w:val="001C4D95"/>
    <w:rsid w:val="001C5977"/>
    <w:rsid w:val="001D0E8E"/>
    <w:rsid w:val="001D36F4"/>
    <w:rsid w:val="001D3E9D"/>
    <w:rsid w:val="001D6203"/>
    <w:rsid w:val="001D6672"/>
    <w:rsid w:val="001D66B4"/>
    <w:rsid w:val="001D772B"/>
    <w:rsid w:val="001E03CD"/>
    <w:rsid w:val="001E330F"/>
    <w:rsid w:val="001E3654"/>
    <w:rsid w:val="001E3A20"/>
    <w:rsid w:val="001E3B3C"/>
    <w:rsid w:val="001E6E04"/>
    <w:rsid w:val="001F0377"/>
    <w:rsid w:val="001F0DED"/>
    <w:rsid w:val="001F2358"/>
    <w:rsid w:val="002018B2"/>
    <w:rsid w:val="00204A84"/>
    <w:rsid w:val="002066D6"/>
    <w:rsid w:val="00206B9C"/>
    <w:rsid w:val="00211416"/>
    <w:rsid w:val="00215CE6"/>
    <w:rsid w:val="00217370"/>
    <w:rsid w:val="00222ADF"/>
    <w:rsid w:val="002238F9"/>
    <w:rsid w:val="00223BDC"/>
    <w:rsid w:val="00224955"/>
    <w:rsid w:val="00224F58"/>
    <w:rsid w:val="00225616"/>
    <w:rsid w:val="0022563C"/>
    <w:rsid w:val="00225F8B"/>
    <w:rsid w:val="00227D21"/>
    <w:rsid w:val="00227D58"/>
    <w:rsid w:val="00231ADF"/>
    <w:rsid w:val="00236386"/>
    <w:rsid w:val="00236E99"/>
    <w:rsid w:val="00241A8F"/>
    <w:rsid w:val="002420D9"/>
    <w:rsid w:val="0024704B"/>
    <w:rsid w:val="00253A94"/>
    <w:rsid w:val="00256C2E"/>
    <w:rsid w:val="00260AA3"/>
    <w:rsid w:val="002616F5"/>
    <w:rsid w:val="0026216A"/>
    <w:rsid w:val="00262500"/>
    <w:rsid w:val="00264F7D"/>
    <w:rsid w:val="00267729"/>
    <w:rsid w:val="00270B2A"/>
    <w:rsid w:val="002731CF"/>
    <w:rsid w:val="00273551"/>
    <w:rsid w:val="00275AD9"/>
    <w:rsid w:val="0028488D"/>
    <w:rsid w:val="00290CC8"/>
    <w:rsid w:val="00292068"/>
    <w:rsid w:val="00293047"/>
    <w:rsid w:val="00296E19"/>
    <w:rsid w:val="002A1679"/>
    <w:rsid w:val="002A1DE4"/>
    <w:rsid w:val="002A64FB"/>
    <w:rsid w:val="002A6CEA"/>
    <w:rsid w:val="002A7001"/>
    <w:rsid w:val="002B32CF"/>
    <w:rsid w:val="002B74AD"/>
    <w:rsid w:val="002C03E6"/>
    <w:rsid w:val="002C7631"/>
    <w:rsid w:val="002C7657"/>
    <w:rsid w:val="002D6562"/>
    <w:rsid w:val="002E0C1F"/>
    <w:rsid w:val="002E11FA"/>
    <w:rsid w:val="002E19F0"/>
    <w:rsid w:val="002E2729"/>
    <w:rsid w:val="002E465C"/>
    <w:rsid w:val="002F0608"/>
    <w:rsid w:val="002F0CEC"/>
    <w:rsid w:val="002F1FF8"/>
    <w:rsid w:val="002F3CB6"/>
    <w:rsid w:val="002F5984"/>
    <w:rsid w:val="002F6B82"/>
    <w:rsid w:val="002F703D"/>
    <w:rsid w:val="00301400"/>
    <w:rsid w:val="00301BE0"/>
    <w:rsid w:val="00303D99"/>
    <w:rsid w:val="003048E7"/>
    <w:rsid w:val="003157E6"/>
    <w:rsid w:val="00322076"/>
    <w:rsid w:val="00322517"/>
    <w:rsid w:val="003231C6"/>
    <w:rsid w:val="00325B63"/>
    <w:rsid w:val="00332447"/>
    <w:rsid w:val="00335A6A"/>
    <w:rsid w:val="00337AB4"/>
    <w:rsid w:val="003404FF"/>
    <w:rsid w:val="003412C5"/>
    <w:rsid w:val="003412DF"/>
    <w:rsid w:val="00345E4D"/>
    <w:rsid w:val="00346D9C"/>
    <w:rsid w:val="00350226"/>
    <w:rsid w:val="00350F07"/>
    <w:rsid w:val="003547C5"/>
    <w:rsid w:val="003554B8"/>
    <w:rsid w:val="00355AEF"/>
    <w:rsid w:val="00357231"/>
    <w:rsid w:val="0035775D"/>
    <w:rsid w:val="003622BE"/>
    <w:rsid w:val="00363224"/>
    <w:rsid w:val="003632C8"/>
    <w:rsid w:val="00366412"/>
    <w:rsid w:val="0036747E"/>
    <w:rsid w:val="00370B84"/>
    <w:rsid w:val="00372F4C"/>
    <w:rsid w:val="003743F4"/>
    <w:rsid w:val="00374D58"/>
    <w:rsid w:val="00375262"/>
    <w:rsid w:val="00375A96"/>
    <w:rsid w:val="0037642A"/>
    <w:rsid w:val="00376B1C"/>
    <w:rsid w:val="00377518"/>
    <w:rsid w:val="003A00D6"/>
    <w:rsid w:val="003A164D"/>
    <w:rsid w:val="003A6C0F"/>
    <w:rsid w:val="003A7EBC"/>
    <w:rsid w:val="003B273C"/>
    <w:rsid w:val="003B39B6"/>
    <w:rsid w:val="003B6495"/>
    <w:rsid w:val="003C10E5"/>
    <w:rsid w:val="003C7494"/>
    <w:rsid w:val="003D0E00"/>
    <w:rsid w:val="003D0EEE"/>
    <w:rsid w:val="003D130A"/>
    <w:rsid w:val="003D428B"/>
    <w:rsid w:val="003E1D3E"/>
    <w:rsid w:val="003E4416"/>
    <w:rsid w:val="003F4EBB"/>
    <w:rsid w:val="003F4EFA"/>
    <w:rsid w:val="003F6ABC"/>
    <w:rsid w:val="003F7639"/>
    <w:rsid w:val="00402295"/>
    <w:rsid w:val="00403F93"/>
    <w:rsid w:val="0040546D"/>
    <w:rsid w:val="00405C3F"/>
    <w:rsid w:val="00407355"/>
    <w:rsid w:val="00410BBE"/>
    <w:rsid w:val="00411B77"/>
    <w:rsid w:val="00412DF8"/>
    <w:rsid w:val="00415BDC"/>
    <w:rsid w:val="0042091F"/>
    <w:rsid w:val="00421092"/>
    <w:rsid w:val="00421A63"/>
    <w:rsid w:val="0042425A"/>
    <w:rsid w:val="0043184D"/>
    <w:rsid w:val="00433F1B"/>
    <w:rsid w:val="004376F7"/>
    <w:rsid w:val="00440985"/>
    <w:rsid w:val="0044210F"/>
    <w:rsid w:val="00442695"/>
    <w:rsid w:val="004430B5"/>
    <w:rsid w:val="004468A7"/>
    <w:rsid w:val="00450E34"/>
    <w:rsid w:val="00452B59"/>
    <w:rsid w:val="0045385A"/>
    <w:rsid w:val="00454058"/>
    <w:rsid w:val="004554CD"/>
    <w:rsid w:val="00461420"/>
    <w:rsid w:val="004628F2"/>
    <w:rsid w:val="0046327D"/>
    <w:rsid w:val="00464320"/>
    <w:rsid w:val="00464C94"/>
    <w:rsid w:val="0046512C"/>
    <w:rsid w:val="0046521F"/>
    <w:rsid w:val="004654CC"/>
    <w:rsid w:val="004654EA"/>
    <w:rsid w:val="00465615"/>
    <w:rsid w:val="00465644"/>
    <w:rsid w:val="00470EF0"/>
    <w:rsid w:val="00473F02"/>
    <w:rsid w:val="004822CF"/>
    <w:rsid w:val="004949C9"/>
    <w:rsid w:val="00495873"/>
    <w:rsid w:val="00495B0F"/>
    <w:rsid w:val="00497F0A"/>
    <w:rsid w:val="004A1C4E"/>
    <w:rsid w:val="004A5041"/>
    <w:rsid w:val="004B2AE9"/>
    <w:rsid w:val="004B3D50"/>
    <w:rsid w:val="004B7966"/>
    <w:rsid w:val="004C0FA3"/>
    <w:rsid w:val="004C2C6D"/>
    <w:rsid w:val="004C2F95"/>
    <w:rsid w:val="004C4A8B"/>
    <w:rsid w:val="004D09EC"/>
    <w:rsid w:val="004D3042"/>
    <w:rsid w:val="004D38C5"/>
    <w:rsid w:val="004D7434"/>
    <w:rsid w:val="004E31E6"/>
    <w:rsid w:val="004E3600"/>
    <w:rsid w:val="004E3FEE"/>
    <w:rsid w:val="004E74BC"/>
    <w:rsid w:val="004F0045"/>
    <w:rsid w:val="004F3819"/>
    <w:rsid w:val="004F3F24"/>
    <w:rsid w:val="004F6287"/>
    <w:rsid w:val="0050050C"/>
    <w:rsid w:val="00503960"/>
    <w:rsid w:val="00504172"/>
    <w:rsid w:val="00505EE4"/>
    <w:rsid w:val="00511619"/>
    <w:rsid w:val="005123EB"/>
    <w:rsid w:val="00512B85"/>
    <w:rsid w:val="005163DF"/>
    <w:rsid w:val="00517B32"/>
    <w:rsid w:val="00522A51"/>
    <w:rsid w:val="0052331A"/>
    <w:rsid w:val="00523751"/>
    <w:rsid w:val="005244A7"/>
    <w:rsid w:val="00525AE5"/>
    <w:rsid w:val="0053254A"/>
    <w:rsid w:val="0053459C"/>
    <w:rsid w:val="00534A28"/>
    <w:rsid w:val="00536B12"/>
    <w:rsid w:val="00540385"/>
    <w:rsid w:val="00542910"/>
    <w:rsid w:val="00545D11"/>
    <w:rsid w:val="00547523"/>
    <w:rsid w:val="0054758C"/>
    <w:rsid w:val="00550A53"/>
    <w:rsid w:val="00552B44"/>
    <w:rsid w:val="00553417"/>
    <w:rsid w:val="005549A4"/>
    <w:rsid w:val="00557F5B"/>
    <w:rsid w:val="00561652"/>
    <w:rsid w:val="00563A92"/>
    <w:rsid w:val="0056731D"/>
    <w:rsid w:val="00570218"/>
    <w:rsid w:val="00570DE0"/>
    <w:rsid w:val="00572A9F"/>
    <w:rsid w:val="00574EAD"/>
    <w:rsid w:val="0057583C"/>
    <w:rsid w:val="0057583E"/>
    <w:rsid w:val="00586310"/>
    <w:rsid w:val="00590163"/>
    <w:rsid w:val="0059167A"/>
    <w:rsid w:val="00592D95"/>
    <w:rsid w:val="005A2347"/>
    <w:rsid w:val="005B0071"/>
    <w:rsid w:val="005B267D"/>
    <w:rsid w:val="005B28FD"/>
    <w:rsid w:val="005C22B0"/>
    <w:rsid w:val="005C4AF3"/>
    <w:rsid w:val="005C6118"/>
    <w:rsid w:val="005D0BA5"/>
    <w:rsid w:val="005D139B"/>
    <w:rsid w:val="005E0B52"/>
    <w:rsid w:val="005E466F"/>
    <w:rsid w:val="005E507F"/>
    <w:rsid w:val="005F2464"/>
    <w:rsid w:val="005F28C7"/>
    <w:rsid w:val="005F7F2B"/>
    <w:rsid w:val="0060197F"/>
    <w:rsid w:val="00601BAD"/>
    <w:rsid w:val="00606058"/>
    <w:rsid w:val="00606307"/>
    <w:rsid w:val="006123EF"/>
    <w:rsid w:val="00612523"/>
    <w:rsid w:val="0061476D"/>
    <w:rsid w:val="00617ED2"/>
    <w:rsid w:val="0062004A"/>
    <w:rsid w:val="006219A7"/>
    <w:rsid w:val="006221CA"/>
    <w:rsid w:val="006222C6"/>
    <w:rsid w:val="00625F63"/>
    <w:rsid w:val="006267BF"/>
    <w:rsid w:val="00630C51"/>
    <w:rsid w:val="0063435F"/>
    <w:rsid w:val="006358F6"/>
    <w:rsid w:val="006378BD"/>
    <w:rsid w:val="0064072B"/>
    <w:rsid w:val="006409EC"/>
    <w:rsid w:val="00653283"/>
    <w:rsid w:val="006558E7"/>
    <w:rsid w:val="006563AF"/>
    <w:rsid w:val="00656CB3"/>
    <w:rsid w:val="006575DF"/>
    <w:rsid w:val="00662095"/>
    <w:rsid w:val="0066233A"/>
    <w:rsid w:val="00664FCC"/>
    <w:rsid w:val="0067013F"/>
    <w:rsid w:val="00670453"/>
    <w:rsid w:val="006720A1"/>
    <w:rsid w:val="0067264F"/>
    <w:rsid w:val="006743DE"/>
    <w:rsid w:val="0067586F"/>
    <w:rsid w:val="00685BDA"/>
    <w:rsid w:val="0068647E"/>
    <w:rsid w:val="00690FFF"/>
    <w:rsid w:val="0069359D"/>
    <w:rsid w:val="00694595"/>
    <w:rsid w:val="00694F58"/>
    <w:rsid w:val="00696C34"/>
    <w:rsid w:val="0069702D"/>
    <w:rsid w:val="0069795F"/>
    <w:rsid w:val="006A7751"/>
    <w:rsid w:val="006B0608"/>
    <w:rsid w:val="006B16A4"/>
    <w:rsid w:val="006B3543"/>
    <w:rsid w:val="006B3F91"/>
    <w:rsid w:val="006B7947"/>
    <w:rsid w:val="006C5EA0"/>
    <w:rsid w:val="006D060D"/>
    <w:rsid w:val="006D24AD"/>
    <w:rsid w:val="006D2FB5"/>
    <w:rsid w:val="006D65F2"/>
    <w:rsid w:val="006D7673"/>
    <w:rsid w:val="006E202B"/>
    <w:rsid w:val="006E3C8A"/>
    <w:rsid w:val="006E4687"/>
    <w:rsid w:val="006E4998"/>
    <w:rsid w:val="006F141C"/>
    <w:rsid w:val="006F4E5E"/>
    <w:rsid w:val="006F7C96"/>
    <w:rsid w:val="00701182"/>
    <w:rsid w:val="00702205"/>
    <w:rsid w:val="00702D5E"/>
    <w:rsid w:val="00703372"/>
    <w:rsid w:val="00703838"/>
    <w:rsid w:val="00704145"/>
    <w:rsid w:val="00707EE6"/>
    <w:rsid w:val="00712422"/>
    <w:rsid w:val="00712703"/>
    <w:rsid w:val="00713CB6"/>
    <w:rsid w:val="00716524"/>
    <w:rsid w:val="007168B0"/>
    <w:rsid w:val="007215D6"/>
    <w:rsid w:val="0072287D"/>
    <w:rsid w:val="007228A2"/>
    <w:rsid w:val="00722A03"/>
    <w:rsid w:val="0072352D"/>
    <w:rsid w:val="007254D1"/>
    <w:rsid w:val="0072589D"/>
    <w:rsid w:val="00726D3A"/>
    <w:rsid w:val="00726DA6"/>
    <w:rsid w:val="007276C8"/>
    <w:rsid w:val="00731C04"/>
    <w:rsid w:val="00734117"/>
    <w:rsid w:val="007345D0"/>
    <w:rsid w:val="0073796C"/>
    <w:rsid w:val="007452E2"/>
    <w:rsid w:val="0075552E"/>
    <w:rsid w:val="00761450"/>
    <w:rsid w:val="007623C5"/>
    <w:rsid w:val="00765087"/>
    <w:rsid w:val="00774EFA"/>
    <w:rsid w:val="00775FDC"/>
    <w:rsid w:val="00780B27"/>
    <w:rsid w:val="00781A69"/>
    <w:rsid w:val="00781C21"/>
    <w:rsid w:val="00781E15"/>
    <w:rsid w:val="00783E13"/>
    <w:rsid w:val="0078540E"/>
    <w:rsid w:val="0079083F"/>
    <w:rsid w:val="00790D09"/>
    <w:rsid w:val="007923D2"/>
    <w:rsid w:val="0079475A"/>
    <w:rsid w:val="007A1F45"/>
    <w:rsid w:val="007A253F"/>
    <w:rsid w:val="007A2CA8"/>
    <w:rsid w:val="007B405C"/>
    <w:rsid w:val="007B4586"/>
    <w:rsid w:val="007B5244"/>
    <w:rsid w:val="007C0E52"/>
    <w:rsid w:val="007C14EF"/>
    <w:rsid w:val="007C2829"/>
    <w:rsid w:val="007C2CC0"/>
    <w:rsid w:val="007C6F8A"/>
    <w:rsid w:val="007D18AA"/>
    <w:rsid w:val="007D327C"/>
    <w:rsid w:val="007D53FE"/>
    <w:rsid w:val="007D7766"/>
    <w:rsid w:val="007E00C1"/>
    <w:rsid w:val="007E23DE"/>
    <w:rsid w:val="007E33F8"/>
    <w:rsid w:val="007E75B7"/>
    <w:rsid w:val="007F1867"/>
    <w:rsid w:val="00800A66"/>
    <w:rsid w:val="00804AE8"/>
    <w:rsid w:val="00806115"/>
    <w:rsid w:val="00807563"/>
    <w:rsid w:val="00807818"/>
    <w:rsid w:val="0081010C"/>
    <w:rsid w:val="00816A9F"/>
    <w:rsid w:val="008171B7"/>
    <w:rsid w:val="00817963"/>
    <w:rsid w:val="00820951"/>
    <w:rsid w:val="00821248"/>
    <w:rsid w:val="00825E30"/>
    <w:rsid w:val="00825F1D"/>
    <w:rsid w:val="00826B06"/>
    <w:rsid w:val="00826F50"/>
    <w:rsid w:val="00833067"/>
    <w:rsid w:val="008331BA"/>
    <w:rsid w:val="00833C0B"/>
    <w:rsid w:val="008350EE"/>
    <w:rsid w:val="0085087D"/>
    <w:rsid w:val="00850E61"/>
    <w:rsid w:val="00851FFF"/>
    <w:rsid w:val="00852D91"/>
    <w:rsid w:val="0085465C"/>
    <w:rsid w:val="008610B4"/>
    <w:rsid w:val="00861499"/>
    <w:rsid w:val="00863228"/>
    <w:rsid w:val="008648B8"/>
    <w:rsid w:val="00864C39"/>
    <w:rsid w:val="00866D9C"/>
    <w:rsid w:val="00873B28"/>
    <w:rsid w:val="008741EF"/>
    <w:rsid w:val="008760A6"/>
    <w:rsid w:val="00876A0E"/>
    <w:rsid w:val="00885D5E"/>
    <w:rsid w:val="0089296A"/>
    <w:rsid w:val="00893DBD"/>
    <w:rsid w:val="00893DCB"/>
    <w:rsid w:val="008B0BA9"/>
    <w:rsid w:val="008B3524"/>
    <w:rsid w:val="008B4D1E"/>
    <w:rsid w:val="008B6F0F"/>
    <w:rsid w:val="008C162C"/>
    <w:rsid w:val="008C29EF"/>
    <w:rsid w:val="008C4331"/>
    <w:rsid w:val="008C46C4"/>
    <w:rsid w:val="008C6578"/>
    <w:rsid w:val="008C7DC8"/>
    <w:rsid w:val="008D1FA1"/>
    <w:rsid w:val="008D2C48"/>
    <w:rsid w:val="008E4B80"/>
    <w:rsid w:val="008E6A64"/>
    <w:rsid w:val="008E7C61"/>
    <w:rsid w:val="008F6030"/>
    <w:rsid w:val="00901814"/>
    <w:rsid w:val="0090404B"/>
    <w:rsid w:val="009041AB"/>
    <w:rsid w:val="009045B2"/>
    <w:rsid w:val="009048F4"/>
    <w:rsid w:val="00911E8F"/>
    <w:rsid w:val="009132CB"/>
    <w:rsid w:val="0091438C"/>
    <w:rsid w:val="009144D3"/>
    <w:rsid w:val="00914856"/>
    <w:rsid w:val="009151D0"/>
    <w:rsid w:val="00916646"/>
    <w:rsid w:val="00920A65"/>
    <w:rsid w:val="00921715"/>
    <w:rsid w:val="00922BF6"/>
    <w:rsid w:val="00924F43"/>
    <w:rsid w:val="00941C8F"/>
    <w:rsid w:val="009420BD"/>
    <w:rsid w:val="009432B0"/>
    <w:rsid w:val="00946210"/>
    <w:rsid w:val="00947FBE"/>
    <w:rsid w:val="009504AA"/>
    <w:rsid w:val="009544E5"/>
    <w:rsid w:val="00954FAB"/>
    <w:rsid w:val="00954FDF"/>
    <w:rsid w:val="00955E97"/>
    <w:rsid w:val="00960B90"/>
    <w:rsid w:val="00960FAD"/>
    <w:rsid w:val="00973671"/>
    <w:rsid w:val="009740EF"/>
    <w:rsid w:val="009749D1"/>
    <w:rsid w:val="00975434"/>
    <w:rsid w:val="00976921"/>
    <w:rsid w:val="0097788E"/>
    <w:rsid w:val="00982E20"/>
    <w:rsid w:val="00984943"/>
    <w:rsid w:val="00985E49"/>
    <w:rsid w:val="00990B7F"/>
    <w:rsid w:val="00990C3B"/>
    <w:rsid w:val="00990D08"/>
    <w:rsid w:val="00993035"/>
    <w:rsid w:val="00996E3B"/>
    <w:rsid w:val="009A1765"/>
    <w:rsid w:val="009A3E0C"/>
    <w:rsid w:val="009A4536"/>
    <w:rsid w:val="009B0023"/>
    <w:rsid w:val="009B2598"/>
    <w:rsid w:val="009B4A42"/>
    <w:rsid w:val="009B5BB9"/>
    <w:rsid w:val="009B616B"/>
    <w:rsid w:val="009C0372"/>
    <w:rsid w:val="009C05F2"/>
    <w:rsid w:val="009C2748"/>
    <w:rsid w:val="009C38D5"/>
    <w:rsid w:val="009C5995"/>
    <w:rsid w:val="009C5A6E"/>
    <w:rsid w:val="009C6990"/>
    <w:rsid w:val="009D6D5A"/>
    <w:rsid w:val="009D6DA0"/>
    <w:rsid w:val="009E0038"/>
    <w:rsid w:val="009F0F2E"/>
    <w:rsid w:val="009F0FAA"/>
    <w:rsid w:val="009F13D3"/>
    <w:rsid w:val="009F2561"/>
    <w:rsid w:val="009F3FB7"/>
    <w:rsid w:val="00A005CD"/>
    <w:rsid w:val="00A01269"/>
    <w:rsid w:val="00A02475"/>
    <w:rsid w:val="00A132E9"/>
    <w:rsid w:val="00A1493C"/>
    <w:rsid w:val="00A20426"/>
    <w:rsid w:val="00A21155"/>
    <w:rsid w:val="00A249EF"/>
    <w:rsid w:val="00A27D27"/>
    <w:rsid w:val="00A27D29"/>
    <w:rsid w:val="00A315B4"/>
    <w:rsid w:val="00A33806"/>
    <w:rsid w:val="00A35B10"/>
    <w:rsid w:val="00A41FB8"/>
    <w:rsid w:val="00A42CEF"/>
    <w:rsid w:val="00A50A65"/>
    <w:rsid w:val="00A52F31"/>
    <w:rsid w:val="00A53438"/>
    <w:rsid w:val="00A54E7A"/>
    <w:rsid w:val="00A5513B"/>
    <w:rsid w:val="00A554D9"/>
    <w:rsid w:val="00A570FA"/>
    <w:rsid w:val="00A6159D"/>
    <w:rsid w:val="00A62F38"/>
    <w:rsid w:val="00A65297"/>
    <w:rsid w:val="00A659F2"/>
    <w:rsid w:val="00A73AE3"/>
    <w:rsid w:val="00A73F1E"/>
    <w:rsid w:val="00A80DEB"/>
    <w:rsid w:val="00A8193E"/>
    <w:rsid w:val="00A81DDA"/>
    <w:rsid w:val="00A82833"/>
    <w:rsid w:val="00A83DA2"/>
    <w:rsid w:val="00A95BE7"/>
    <w:rsid w:val="00AA2052"/>
    <w:rsid w:val="00AA2998"/>
    <w:rsid w:val="00AA4141"/>
    <w:rsid w:val="00AB1F1C"/>
    <w:rsid w:val="00AB4CC0"/>
    <w:rsid w:val="00AB6CB9"/>
    <w:rsid w:val="00AB7BA9"/>
    <w:rsid w:val="00AC078E"/>
    <w:rsid w:val="00AC1AAA"/>
    <w:rsid w:val="00AC1D61"/>
    <w:rsid w:val="00AC35F0"/>
    <w:rsid w:val="00AC6408"/>
    <w:rsid w:val="00AC7C6F"/>
    <w:rsid w:val="00AD10B1"/>
    <w:rsid w:val="00AD2BC3"/>
    <w:rsid w:val="00AD2C06"/>
    <w:rsid w:val="00AD5AFB"/>
    <w:rsid w:val="00AE37BE"/>
    <w:rsid w:val="00AE4658"/>
    <w:rsid w:val="00AE48A4"/>
    <w:rsid w:val="00AF1DB1"/>
    <w:rsid w:val="00AF1E3E"/>
    <w:rsid w:val="00AF1FB3"/>
    <w:rsid w:val="00AF5C26"/>
    <w:rsid w:val="00B04C8E"/>
    <w:rsid w:val="00B07BB7"/>
    <w:rsid w:val="00B11EAA"/>
    <w:rsid w:val="00B17986"/>
    <w:rsid w:val="00B23FC1"/>
    <w:rsid w:val="00B250F6"/>
    <w:rsid w:val="00B25C1B"/>
    <w:rsid w:val="00B274EE"/>
    <w:rsid w:val="00B27647"/>
    <w:rsid w:val="00B34520"/>
    <w:rsid w:val="00B36391"/>
    <w:rsid w:val="00B366B6"/>
    <w:rsid w:val="00B37963"/>
    <w:rsid w:val="00B41F3B"/>
    <w:rsid w:val="00B42D77"/>
    <w:rsid w:val="00B44852"/>
    <w:rsid w:val="00B46EAB"/>
    <w:rsid w:val="00B52434"/>
    <w:rsid w:val="00B52787"/>
    <w:rsid w:val="00B56FDE"/>
    <w:rsid w:val="00B61008"/>
    <w:rsid w:val="00B613B5"/>
    <w:rsid w:val="00B616CF"/>
    <w:rsid w:val="00B61B08"/>
    <w:rsid w:val="00B6276E"/>
    <w:rsid w:val="00B62A39"/>
    <w:rsid w:val="00B62AC7"/>
    <w:rsid w:val="00B6330A"/>
    <w:rsid w:val="00B64B8E"/>
    <w:rsid w:val="00B671E4"/>
    <w:rsid w:val="00B7090A"/>
    <w:rsid w:val="00B72B30"/>
    <w:rsid w:val="00B73B09"/>
    <w:rsid w:val="00B73D19"/>
    <w:rsid w:val="00B7735C"/>
    <w:rsid w:val="00B774FC"/>
    <w:rsid w:val="00B810AD"/>
    <w:rsid w:val="00B84E4C"/>
    <w:rsid w:val="00B85D5B"/>
    <w:rsid w:val="00B86480"/>
    <w:rsid w:val="00B86D88"/>
    <w:rsid w:val="00B87090"/>
    <w:rsid w:val="00B9167A"/>
    <w:rsid w:val="00B92CF3"/>
    <w:rsid w:val="00B931CE"/>
    <w:rsid w:val="00B95592"/>
    <w:rsid w:val="00B95826"/>
    <w:rsid w:val="00B97C9D"/>
    <w:rsid w:val="00BA435F"/>
    <w:rsid w:val="00BA4CCF"/>
    <w:rsid w:val="00BA5117"/>
    <w:rsid w:val="00BB2A08"/>
    <w:rsid w:val="00BB62DC"/>
    <w:rsid w:val="00BC03CE"/>
    <w:rsid w:val="00BC3CDB"/>
    <w:rsid w:val="00BC4907"/>
    <w:rsid w:val="00BC4A66"/>
    <w:rsid w:val="00BC51BE"/>
    <w:rsid w:val="00BC702B"/>
    <w:rsid w:val="00BD26A7"/>
    <w:rsid w:val="00BD37CE"/>
    <w:rsid w:val="00BD62A9"/>
    <w:rsid w:val="00BD762D"/>
    <w:rsid w:val="00BE1FFD"/>
    <w:rsid w:val="00BE27CB"/>
    <w:rsid w:val="00BE3C10"/>
    <w:rsid w:val="00BE7FC6"/>
    <w:rsid w:val="00BF47EF"/>
    <w:rsid w:val="00BF4BC6"/>
    <w:rsid w:val="00BF55CE"/>
    <w:rsid w:val="00BF629A"/>
    <w:rsid w:val="00C0273D"/>
    <w:rsid w:val="00C0362B"/>
    <w:rsid w:val="00C037CC"/>
    <w:rsid w:val="00C11196"/>
    <w:rsid w:val="00C11255"/>
    <w:rsid w:val="00C1140A"/>
    <w:rsid w:val="00C12012"/>
    <w:rsid w:val="00C137BE"/>
    <w:rsid w:val="00C21E7F"/>
    <w:rsid w:val="00C22D32"/>
    <w:rsid w:val="00C23550"/>
    <w:rsid w:val="00C24900"/>
    <w:rsid w:val="00C25369"/>
    <w:rsid w:val="00C26DEA"/>
    <w:rsid w:val="00C27EE8"/>
    <w:rsid w:val="00C35F55"/>
    <w:rsid w:val="00C434F4"/>
    <w:rsid w:val="00C45115"/>
    <w:rsid w:val="00C4773E"/>
    <w:rsid w:val="00C505F6"/>
    <w:rsid w:val="00C516C3"/>
    <w:rsid w:val="00C51BE5"/>
    <w:rsid w:val="00C55D83"/>
    <w:rsid w:val="00C64ADC"/>
    <w:rsid w:val="00C67545"/>
    <w:rsid w:val="00C71235"/>
    <w:rsid w:val="00C76443"/>
    <w:rsid w:val="00C87241"/>
    <w:rsid w:val="00C9138A"/>
    <w:rsid w:val="00C92D00"/>
    <w:rsid w:val="00C95738"/>
    <w:rsid w:val="00C96843"/>
    <w:rsid w:val="00C9797F"/>
    <w:rsid w:val="00CA20AB"/>
    <w:rsid w:val="00CA22E0"/>
    <w:rsid w:val="00CA3130"/>
    <w:rsid w:val="00CA4C6A"/>
    <w:rsid w:val="00CA4F6A"/>
    <w:rsid w:val="00CA61A8"/>
    <w:rsid w:val="00CB7505"/>
    <w:rsid w:val="00CC0828"/>
    <w:rsid w:val="00CC1AC6"/>
    <w:rsid w:val="00CC2FE6"/>
    <w:rsid w:val="00CC45C8"/>
    <w:rsid w:val="00CC6057"/>
    <w:rsid w:val="00CD08D5"/>
    <w:rsid w:val="00CD593A"/>
    <w:rsid w:val="00CE0411"/>
    <w:rsid w:val="00CE55E9"/>
    <w:rsid w:val="00CE6810"/>
    <w:rsid w:val="00CE7D36"/>
    <w:rsid w:val="00CF071F"/>
    <w:rsid w:val="00CF21D4"/>
    <w:rsid w:val="00D00377"/>
    <w:rsid w:val="00D00C38"/>
    <w:rsid w:val="00D01A0A"/>
    <w:rsid w:val="00D0386E"/>
    <w:rsid w:val="00D05138"/>
    <w:rsid w:val="00D07D70"/>
    <w:rsid w:val="00D104EA"/>
    <w:rsid w:val="00D115F0"/>
    <w:rsid w:val="00D11B46"/>
    <w:rsid w:val="00D11CBB"/>
    <w:rsid w:val="00D2039D"/>
    <w:rsid w:val="00D22286"/>
    <w:rsid w:val="00D22B68"/>
    <w:rsid w:val="00D27F71"/>
    <w:rsid w:val="00D31452"/>
    <w:rsid w:val="00D3440B"/>
    <w:rsid w:val="00D40EC7"/>
    <w:rsid w:val="00D46CB4"/>
    <w:rsid w:val="00D50E49"/>
    <w:rsid w:val="00D51B93"/>
    <w:rsid w:val="00D54E33"/>
    <w:rsid w:val="00D60A4B"/>
    <w:rsid w:val="00D639DA"/>
    <w:rsid w:val="00D64D0D"/>
    <w:rsid w:val="00D729A9"/>
    <w:rsid w:val="00D7341F"/>
    <w:rsid w:val="00D76352"/>
    <w:rsid w:val="00D815D6"/>
    <w:rsid w:val="00D8441A"/>
    <w:rsid w:val="00D8492D"/>
    <w:rsid w:val="00D87FC6"/>
    <w:rsid w:val="00D91CD0"/>
    <w:rsid w:val="00D92EF5"/>
    <w:rsid w:val="00D93EDB"/>
    <w:rsid w:val="00D95A6A"/>
    <w:rsid w:val="00DA1409"/>
    <w:rsid w:val="00DA2D55"/>
    <w:rsid w:val="00DB1F3C"/>
    <w:rsid w:val="00DB2B65"/>
    <w:rsid w:val="00DB32D0"/>
    <w:rsid w:val="00DC2B70"/>
    <w:rsid w:val="00DC3B42"/>
    <w:rsid w:val="00DC5A85"/>
    <w:rsid w:val="00DD104D"/>
    <w:rsid w:val="00DD2038"/>
    <w:rsid w:val="00DD28F8"/>
    <w:rsid w:val="00DD3327"/>
    <w:rsid w:val="00DD5DD1"/>
    <w:rsid w:val="00DE1C86"/>
    <w:rsid w:val="00DE1CA6"/>
    <w:rsid w:val="00DE4FBD"/>
    <w:rsid w:val="00DE6617"/>
    <w:rsid w:val="00DE6EA2"/>
    <w:rsid w:val="00DF28B8"/>
    <w:rsid w:val="00DF3671"/>
    <w:rsid w:val="00DF40EC"/>
    <w:rsid w:val="00DF4893"/>
    <w:rsid w:val="00E06893"/>
    <w:rsid w:val="00E12EE5"/>
    <w:rsid w:val="00E13303"/>
    <w:rsid w:val="00E15C68"/>
    <w:rsid w:val="00E15F58"/>
    <w:rsid w:val="00E2472B"/>
    <w:rsid w:val="00E40436"/>
    <w:rsid w:val="00E40DC6"/>
    <w:rsid w:val="00E4577E"/>
    <w:rsid w:val="00E518B5"/>
    <w:rsid w:val="00E56C74"/>
    <w:rsid w:val="00E57A66"/>
    <w:rsid w:val="00E62995"/>
    <w:rsid w:val="00E63096"/>
    <w:rsid w:val="00E75DCF"/>
    <w:rsid w:val="00E84E76"/>
    <w:rsid w:val="00E86556"/>
    <w:rsid w:val="00E87A87"/>
    <w:rsid w:val="00E91E80"/>
    <w:rsid w:val="00E93E84"/>
    <w:rsid w:val="00E9438F"/>
    <w:rsid w:val="00E97E27"/>
    <w:rsid w:val="00EA105B"/>
    <w:rsid w:val="00EA179C"/>
    <w:rsid w:val="00EA21E1"/>
    <w:rsid w:val="00EA530E"/>
    <w:rsid w:val="00EB1B68"/>
    <w:rsid w:val="00EB2FD3"/>
    <w:rsid w:val="00EB6FD9"/>
    <w:rsid w:val="00EB7401"/>
    <w:rsid w:val="00EC1747"/>
    <w:rsid w:val="00EC4DBC"/>
    <w:rsid w:val="00EC6EB2"/>
    <w:rsid w:val="00ED30A7"/>
    <w:rsid w:val="00ED6241"/>
    <w:rsid w:val="00EE0ED3"/>
    <w:rsid w:val="00EE61FE"/>
    <w:rsid w:val="00EE702D"/>
    <w:rsid w:val="00EE70EF"/>
    <w:rsid w:val="00EE76FC"/>
    <w:rsid w:val="00EE79C1"/>
    <w:rsid w:val="00EE7E46"/>
    <w:rsid w:val="00EF6344"/>
    <w:rsid w:val="00EF7587"/>
    <w:rsid w:val="00F00A09"/>
    <w:rsid w:val="00F012D1"/>
    <w:rsid w:val="00F01FCC"/>
    <w:rsid w:val="00F02CB5"/>
    <w:rsid w:val="00F06FB2"/>
    <w:rsid w:val="00F076D7"/>
    <w:rsid w:val="00F12991"/>
    <w:rsid w:val="00F150D6"/>
    <w:rsid w:val="00F15D6B"/>
    <w:rsid w:val="00F25F23"/>
    <w:rsid w:val="00F27E39"/>
    <w:rsid w:val="00F316D9"/>
    <w:rsid w:val="00F354E2"/>
    <w:rsid w:val="00F35CF1"/>
    <w:rsid w:val="00F42EA9"/>
    <w:rsid w:val="00F4499D"/>
    <w:rsid w:val="00F51F64"/>
    <w:rsid w:val="00F5306A"/>
    <w:rsid w:val="00F5369B"/>
    <w:rsid w:val="00F5718B"/>
    <w:rsid w:val="00F610D5"/>
    <w:rsid w:val="00F6187A"/>
    <w:rsid w:val="00F64BEB"/>
    <w:rsid w:val="00F70A91"/>
    <w:rsid w:val="00F7271A"/>
    <w:rsid w:val="00F72E36"/>
    <w:rsid w:val="00F77897"/>
    <w:rsid w:val="00F82B2C"/>
    <w:rsid w:val="00F84C0A"/>
    <w:rsid w:val="00F9687A"/>
    <w:rsid w:val="00F96BC8"/>
    <w:rsid w:val="00FA06D3"/>
    <w:rsid w:val="00FA5604"/>
    <w:rsid w:val="00FA56C7"/>
    <w:rsid w:val="00FA5B3D"/>
    <w:rsid w:val="00FA7798"/>
    <w:rsid w:val="00FB0475"/>
    <w:rsid w:val="00FB0C47"/>
    <w:rsid w:val="00FB22FE"/>
    <w:rsid w:val="00FB2C4F"/>
    <w:rsid w:val="00FB59D5"/>
    <w:rsid w:val="00FB6CBC"/>
    <w:rsid w:val="00FC1B3C"/>
    <w:rsid w:val="00FC3610"/>
    <w:rsid w:val="00FC4AB2"/>
    <w:rsid w:val="00FC59D6"/>
    <w:rsid w:val="00FC73B8"/>
    <w:rsid w:val="00FD2661"/>
    <w:rsid w:val="00FD645C"/>
    <w:rsid w:val="00FD652E"/>
    <w:rsid w:val="00FD77F3"/>
    <w:rsid w:val="00FE2050"/>
    <w:rsid w:val="00FF3CE6"/>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E336C1"/>
  <w15:docId w15:val="{7C6F70F7-2C63-4E79-9214-7F484C0C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CEC"/>
    <w:pPr>
      <w:spacing w:line="288" w:lineRule="auto"/>
    </w:pPr>
    <w:rPr>
      <w:sz w:val="22"/>
      <w:szCs w:val="22"/>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
    <w:basedOn w:val="Normal"/>
    <w:next w:val="Normal"/>
    <w:link w:val="Heading1Char"/>
    <w:qFormat/>
    <w:rsid w:val="002F703D"/>
    <w:pPr>
      <w:pBdr>
        <w:bottom w:val="single" w:sz="12" w:space="1" w:color="365F91"/>
      </w:pBdr>
      <w:spacing w:before="240" w:after="240" w:line="240" w:lineRule="auto"/>
      <w:outlineLvl w:val="0"/>
    </w:pPr>
    <w:rPr>
      <w:rFonts w:ascii="Cambria" w:eastAsia="Times New Roman" w:hAnsi="Cambria" w:cs="Arial"/>
      <w:b/>
      <w:bCs/>
      <w:color w:val="1F497D"/>
      <w:sz w:val="24"/>
      <w:szCs w:val="24"/>
      <w:lang w:val="en-US" w:bidi="en-US"/>
    </w:rPr>
  </w:style>
  <w:style w:type="paragraph" w:styleId="Heading2">
    <w:name w:val="heading 2"/>
    <w:basedOn w:val="Normal"/>
    <w:next w:val="Normal"/>
    <w:link w:val="Heading2Char"/>
    <w:uiPriority w:val="9"/>
    <w:unhideWhenUsed/>
    <w:qFormat/>
    <w:rsid w:val="00AD2C0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833"/>
    <w:pPr>
      <w:ind w:left="720"/>
    </w:pPr>
  </w:style>
  <w:style w:type="character" w:styleId="Hyperlink">
    <w:name w:val="Hyperlink"/>
    <w:basedOn w:val="DefaultParagraphFont"/>
    <w:uiPriority w:val="99"/>
    <w:unhideWhenUsed/>
    <w:rsid w:val="00CC0828"/>
    <w:rPr>
      <w:color w:val="0000FF"/>
      <w:u w:val="single"/>
    </w:rPr>
  </w:style>
  <w:style w:type="paragraph" w:styleId="Header">
    <w:name w:val="header"/>
    <w:basedOn w:val="Normal"/>
    <w:link w:val="HeaderChar"/>
    <w:unhideWhenUsed/>
    <w:rsid w:val="00241A8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1A8F"/>
  </w:style>
  <w:style w:type="paragraph" w:styleId="Footer">
    <w:name w:val="footer"/>
    <w:basedOn w:val="Normal"/>
    <w:link w:val="FooterChar"/>
    <w:uiPriority w:val="99"/>
    <w:unhideWhenUsed/>
    <w:rsid w:val="00241A8F"/>
    <w:pPr>
      <w:tabs>
        <w:tab w:val="center" w:pos="4513"/>
        <w:tab w:val="right" w:pos="9026"/>
      </w:tabs>
      <w:spacing w:line="240" w:lineRule="auto"/>
    </w:pPr>
  </w:style>
  <w:style w:type="character" w:customStyle="1" w:styleId="FooterChar">
    <w:name w:val="Footer Char"/>
    <w:basedOn w:val="DefaultParagraphFont"/>
    <w:link w:val="Footer"/>
    <w:uiPriority w:val="99"/>
    <w:rsid w:val="00241A8F"/>
  </w:style>
  <w:style w:type="paragraph" w:styleId="BalloonText">
    <w:name w:val="Balloon Text"/>
    <w:basedOn w:val="Normal"/>
    <w:link w:val="BalloonTextChar"/>
    <w:uiPriority w:val="99"/>
    <w:semiHidden/>
    <w:unhideWhenUsed/>
    <w:rsid w:val="00241A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8F"/>
    <w:rPr>
      <w:rFonts w:ascii="Tahoma" w:hAnsi="Tahoma" w:cs="Tahoma"/>
      <w:sz w:val="16"/>
      <w:szCs w:val="16"/>
    </w:rPr>
  </w:style>
  <w:style w:type="character" w:styleId="CommentReference">
    <w:name w:val="annotation reference"/>
    <w:basedOn w:val="DefaultParagraphFont"/>
    <w:uiPriority w:val="99"/>
    <w:semiHidden/>
    <w:unhideWhenUsed/>
    <w:rsid w:val="00876A0E"/>
    <w:rPr>
      <w:sz w:val="16"/>
      <w:szCs w:val="16"/>
    </w:rPr>
  </w:style>
  <w:style w:type="paragraph" w:styleId="CommentText">
    <w:name w:val="annotation text"/>
    <w:basedOn w:val="Normal"/>
    <w:link w:val="CommentTextChar"/>
    <w:uiPriority w:val="99"/>
    <w:unhideWhenUsed/>
    <w:rsid w:val="00876A0E"/>
    <w:pPr>
      <w:spacing w:line="240" w:lineRule="auto"/>
    </w:pPr>
    <w:rPr>
      <w:sz w:val="20"/>
      <w:szCs w:val="20"/>
    </w:rPr>
  </w:style>
  <w:style w:type="character" w:customStyle="1" w:styleId="CommentTextChar">
    <w:name w:val="Comment Text Char"/>
    <w:basedOn w:val="DefaultParagraphFont"/>
    <w:link w:val="CommentText"/>
    <w:uiPriority w:val="99"/>
    <w:rsid w:val="00876A0E"/>
    <w:rPr>
      <w:sz w:val="20"/>
      <w:szCs w:val="20"/>
    </w:rPr>
  </w:style>
  <w:style w:type="paragraph" w:styleId="CommentSubject">
    <w:name w:val="annotation subject"/>
    <w:basedOn w:val="CommentText"/>
    <w:next w:val="CommentText"/>
    <w:link w:val="CommentSubjectChar"/>
    <w:uiPriority w:val="99"/>
    <w:semiHidden/>
    <w:unhideWhenUsed/>
    <w:rsid w:val="00876A0E"/>
    <w:rPr>
      <w:b/>
      <w:bCs/>
    </w:rPr>
  </w:style>
  <w:style w:type="character" w:customStyle="1" w:styleId="CommentSubjectChar">
    <w:name w:val="Comment Subject Char"/>
    <w:basedOn w:val="CommentTextChar"/>
    <w:link w:val="CommentSubject"/>
    <w:uiPriority w:val="99"/>
    <w:semiHidden/>
    <w:rsid w:val="00876A0E"/>
    <w:rPr>
      <w:b/>
      <w:bCs/>
      <w:sz w:val="20"/>
      <w:szCs w:val="20"/>
    </w:rPr>
  </w:style>
  <w:style w:type="character" w:styleId="FollowedHyperlink">
    <w:name w:val="FollowedHyperlink"/>
    <w:basedOn w:val="DefaultParagraphFont"/>
    <w:uiPriority w:val="99"/>
    <w:semiHidden/>
    <w:unhideWhenUsed/>
    <w:rsid w:val="00B42D77"/>
    <w:rPr>
      <w:color w:val="800080"/>
      <w:u w:val="single"/>
    </w:rPr>
  </w:style>
  <w:style w:type="paragraph" w:styleId="BodyText">
    <w:name w:val="Body Text"/>
    <w:basedOn w:val="Normal"/>
    <w:link w:val="BodyTextChar"/>
    <w:rsid w:val="0081010C"/>
    <w:pPr>
      <w:spacing w:after="12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81010C"/>
    <w:rPr>
      <w:rFonts w:ascii="Arial" w:eastAsia="Times New Roman" w:hAnsi="Arial" w:cs="Times New Roman"/>
      <w:sz w:val="24"/>
      <w:szCs w:val="20"/>
      <w:lang w:eastAsia="en-GB"/>
    </w:rPr>
  </w:style>
  <w:style w:type="paragraph" w:styleId="Revision">
    <w:name w:val="Revision"/>
    <w:hidden/>
    <w:uiPriority w:val="99"/>
    <w:semiHidden/>
    <w:rsid w:val="00421092"/>
    <w:rPr>
      <w:sz w:val="22"/>
      <w:szCs w:val="22"/>
      <w:lang w:eastAsia="en-U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
    <w:basedOn w:val="DefaultParagraphFont"/>
    <w:link w:val="Heading1"/>
    <w:rsid w:val="002F703D"/>
    <w:rPr>
      <w:rFonts w:ascii="Cambria" w:eastAsia="Times New Roman" w:hAnsi="Cambria" w:cs="Arial"/>
      <w:b/>
      <w:bCs/>
      <w:color w:val="1F497D"/>
      <w:sz w:val="24"/>
      <w:szCs w:val="24"/>
      <w:lang w:val="en-US" w:bidi="en-US"/>
    </w:rPr>
  </w:style>
  <w:style w:type="paragraph" w:styleId="FootnoteText">
    <w:name w:val="footnote text"/>
    <w:basedOn w:val="Normal"/>
    <w:link w:val="FootnoteTextChar"/>
    <w:rsid w:val="002F703D"/>
    <w:pPr>
      <w:spacing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2F703D"/>
    <w:rPr>
      <w:rFonts w:ascii="Times New Roman" w:eastAsia="Times New Roman" w:hAnsi="Times New Roman" w:cs="Times New Roman"/>
      <w:sz w:val="20"/>
      <w:szCs w:val="20"/>
      <w:lang w:eastAsia="en-GB"/>
    </w:rPr>
  </w:style>
  <w:style w:type="paragraph" w:customStyle="1" w:styleId="BodyText1">
    <w:name w:val="Body Text1"/>
    <w:basedOn w:val="Normal"/>
    <w:rsid w:val="002F703D"/>
    <w:pPr>
      <w:spacing w:before="240" w:after="120" w:line="240" w:lineRule="auto"/>
      <w:ind w:firstLine="357"/>
    </w:pPr>
    <w:rPr>
      <w:rFonts w:ascii="Arial" w:eastAsia="Times New Roman" w:hAnsi="Arial"/>
      <w:noProof/>
      <w:sz w:val="20"/>
      <w:lang w:val="en-US" w:bidi="en-US"/>
    </w:rPr>
  </w:style>
  <w:style w:type="paragraph" w:customStyle="1" w:styleId="01-Level1-BB">
    <w:name w:val="01-Level1-BB"/>
    <w:basedOn w:val="Normal"/>
    <w:next w:val="Normal"/>
    <w:rsid w:val="002F703D"/>
    <w:pPr>
      <w:spacing w:line="240" w:lineRule="auto"/>
      <w:ind w:firstLine="357"/>
      <w:jc w:val="both"/>
    </w:pPr>
    <w:rPr>
      <w:rFonts w:ascii="Arial" w:eastAsia="Times New Roman" w:hAnsi="Arial"/>
      <w:b/>
      <w:lang w:val="en-US" w:bidi="en-US"/>
    </w:rPr>
  </w:style>
  <w:style w:type="paragraph" w:customStyle="1" w:styleId="Para">
    <w:name w:val="Para"/>
    <w:autoRedefine/>
    <w:rsid w:val="002F703D"/>
    <w:pPr>
      <w:tabs>
        <w:tab w:val="left" w:pos="709"/>
      </w:tabs>
      <w:suppressAutoHyphens/>
      <w:spacing w:before="120" w:after="120"/>
      <w:ind w:left="1440"/>
    </w:pPr>
    <w:rPr>
      <w:rFonts w:eastAsia="Times New Roman"/>
      <w:sz w:val="24"/>
      <w:lang w:eastAsia="en-US"/>
    </w:rPr>
  </w:style>
  <w:style w:type="character" w:customStyle="1" w:styleId="ListParagraphChar">
    <w:name w:val="List Paragraph Char"/>
    <w:basedOn w:val="DefaultParagraphFont"/>
    <w:link w:val="ListParagraph"/>
    <w:uiPriority w:val="34"/>
    <w:locked/>
    <w:rsid w:val="002F703D"/>
  </w:style>
  <w:style w:type="paragraph" w:styleId="NormalWeb">
    <w:name w:val="Normal (Web)"/>
    <w:basedOn w:val="Normal"/>
    <w:uiPriority w:val="99"/>
    <w:unhideWhenUsed/>
    <w:rsid w:val="009A1765"/>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C2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2C0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D2C06"/>
    <w:rPr>
      <w:rFonts w:ascii="Cambria" w:eastAsia="Times New Roman" w:hAnsi="Cambria" w:cs="Times New Roman"/>
      <w:b/>
      <w:bCs/>
      <w:kern w:val="28"/>
      <w:sz w:val="32"/>
      <w:szCs w:val="32"/>
      <w:lang w:eastAsia="en-US"/>
    </w:rPr>
  </w:style>
  <w:style w:type="character" w:customStyle="1" w:styleId="Heading2Char">
    <w:name w:val="Heading 2 Char"/>
    <w:basedOn w:val="DefaultParagraphFont"/>
    <w:link w:val="Heading2"/>
    <w:uiPriority w:val="9"/>
    <w:rsid w:val="00AD2C06"/>
    <w:rPr>
      <w:rFonts w:ascii="Cambria" w:eastAsia="Times New Roman" w:hAnsi="Cambria" w:cs="Times New Roman"/>
      <w:b/>
      <w:bCs/>
      <w:i/>
      <w:iCs/>
      <w:sz w:val="28"/>
      <w:szCs w:val="28"/>
      <w:lang w:eastAsia="en-US"/>
    </w:rPr>
  </w:style>
  <w:style w:type="paragraph" w:customStyle="1" w:styleId="Tenderreference">
    <w:name w:val="Tenderreferenc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TenderTitle">
    <w:name w:val="TenderTitl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Default">
    <w:name w:val="Default"/>
    <w:rsid w:val="00B95826"/>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0F2258"/>
    <w:rPr>
      <w:color w:val="808080"/>
      <w:shd w:val="clear" w:color="auto" w:fill="E6E6E6"/>
    </w:rPr>
  </w:style>
  <w:style w:type="paragraph" w:styleId="NoSpacing">
    <w:name w:val="No Spacing"/>
    <w:uiPriority w:val="1"/>
    <w:qFormat/>
    <w:rsid w:val="0075552E"/>
    <w:pPr>
      <w:ind w:left="714" w:hanging="357"/>
    </w:pPr>
    <w:rPr>
      <w:rFonts w:ascii="Arial" w:eastAsia="Times New Roman" w:hAnsi="Arial" w:cs="Arial"/>
      <w:sz w:val="24"/>
      <w:lang w:eastAsia="en-US"/>
    </w:rPr>
  </w:style>
  <w:style w:type="character" w:styleId="FootnoteReference">
    <w:name w:val="footnote reference"/>
    <w:basedOn w:val="DefaultParagraphFont"/>
    <w:uiPriority w:val="99"/>
    <w:semiHidden/>
    <w:unhideWhenUsed/>
    <w:rsid w:val="004B2AE9"/>
    <w:rPr>
      <w:vertAlign w:val="superscript"/>
    </w:rPr>
  </w:style>
  <w:style w:type="character" w:customStyle="1" w:styleId="field">
    <w:name w:val="field"/>
    <w:basedOn w:val="DefaultParagraphFont"/>
    <w:rsid w:val="00D51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67671">
      <w:bodyDiv w:val="1"/>
      <w:marLeft w:val="0"/>
      <w:marRight w:val="0"/>
      <w:marTop w:val="0"/>
      <w:marBottom w:val="0"/>
      <w:divBdr>
        <w:top w:val="none" w:sz="0" w:space="0" w:color="auto"/>
        <w:left w:val="none" w:sz="0" w:space="0" w:color="auto"/>
        <w:bottom w:val="none" w:sz="0" w:space="0" w:color="auto"/>
        <w:right w:val="none" w:sz="0" w:space="0" w:color="auto"/>
      </w:divBdr>
    </w:div>
    <w:div w:id="330567547">
      <w:bodyDiv w:val="1"/>
      <w:marLeft w:val="0"/>
      <w:marRight w:val="0"/>
      <w:marTop w:val="0"/>
      <w:marBottom w:val="0"/>
      <w:divBdr>
        <w:top w:val="none" w:sz="0" w:space="0" w:color="auto"/>
        <w:left w:val="none" w:sz="0" w:space="0" w:color="auto"/>
        <w:bottom w:val="none" w:sz="0" w:space="0" w:color="auto"/>
        <w:right w:val="none" w:sz="0" w:space="0" w:color="auto"/>
      </w:divBdr>
    </w:div>
    <w:div w:id="405302437">
      <w:bodyDiv w:val="1"/>
      <w:marLeft w:val="0"/>
      <w:marRight w:val="0"/>
      <w:marTop w:val="0"/>
      <w:marBottom w:val="0"/>
      <w:divBdr>
        <w:top w:val="none" w:sz="0" w:space="0" w:color="auto"/>
        <w:left w:val="none" w:sz="0" w:space="0" w:color="auto"/>
        <w:bottom w:val="none" w:sz="0" w:space="0" w:color="auto"/>
        <w:right w:val="none" w:sz="0" w:space="0" w:color="auto"/>
      </w:divBdr>
    </w:div>
    <w:div w:id="568617492">
      <w:bodyDiv w:val="1"/>
      <w:marLeft w:val="0"/>
      <w:marRight w:val="0"/>
      <w:marTop w:val="0"/>
      <w:marBottom w:val="0"/>
      <w:divBdr>
        <w:top w:val="none" w:sz="0" w:space="0" w:color="auto"/>
        <w:left w:val="none" w:sz="0" w:space="0" w:color="auto"/>
        <w:bottom w:val="none" w:sz="0" w:space="0" w:color="auto"/>
        <w:right w:val="none" w:sz="0" w:space="0" w:color="auto"/>
      </w:divBdr>
    </w:div>
    <w:div w:id="774323339">
      <w:bodyDiv w:val="1"/>
      <w:marLeft w:val="0"/>
      <w:marRight w:val="0"/>
      <w:marTop w:val="0"/>
      <w:marBottom w:val="0"/>
      <w:divBdr>
        <w:top w:val="none" w:sz="0" w:space="0" w:color="auto"/>
        <w:left w:val="none" w:sz="0" w:space="0" w:color="auto"/>
        <w:bottom w:val="none" w:sz="0" w:space="0" w:color="auto"/>
        <w:right w:val="none" w:sz="0" w:space="0" w:color="auto"/>
      </w:divBdr>
    </w:div>
    <w:div w:id="849025453">
      <w:bodyDiv w:val="1"/>
      <w:marLeft w:val="0"/>
      <w:marRight w:val="0"/>
      <w:marTop w:val="0"/>
      <w:marBottom w:val="0"/>
      <w:divBdr>
        <w:top w:val="none" w:sz="0" w:space="0" w:color="auto"/>
        <w:left w:val="none" w:sz="0" w:space="0" w:color="auto"/>
        <w:bottom w:val="none" w:sz="0" w:space="0" w:color="auto"/>
        <w:right w:val="none" w:sz="0" w:space="0" w:color="auto"/>
      </w:divBdr>
    </w:div>
    <w:div w:id="1360475742">
      <w:bodyDiv w:val="1"/>
      <w:marLeft w:val="0"/>
      <w:marRight w:val="0"/>
      <w:marTop w:val="0"/>
      <w:marBottom w:val="0"/>
      <w:divBdr>
        <w:top w:val="none" w:sz="0" w:space="0" w:color="auto"/>
        <w:left w:val="none" w:sz="0" w:space="0" w:color="auto"/>
        <w:bottom w:val="none" w:sz="0" w:space="0" w:color="auto"/>
        <w:right w:val="none" w:sz="0" w:space="0" w:color="auto"/>
      </w:divBdr>
    </w:div>
    <w:div w:id="1480925521">
      <w:bodyDiv w:val="1"/>
      <w:marLeft w:val="0"/>
      <w:marRight w:val="0"/>
      <w:marTop w:val="0"/>
      <w:marBottom w:val="0"/>
      <w:divBdr>
        <w:top w:val="none" w:sz="0" w:space="0" w:color="auto"/>
        <w:left w:val="none" w:sz="0" w:space="0" w:color="auto"/>
        <w:bottom w:val="none" w:sz="0" w:space="0" w:color="auto"/>
        <w:right w:val="none" w:sz="0" w:space="0" w:color="auto"/>
      </w:divBdr>
      <w:divsChild>
        <w:div w:id="963392648">
          <w:marLeft w:val="0"/>
          <w:marRight w:val="0"/>
          <w:marTop w:val="0"/>
          <w:marBottom w:val="0"/>
          <w:divBdr>
            <w:top w:val="none" w:sz="0" w:space="0" w:color="auto"/>
            <w:left w:val="none" w:sz="0" w:space="0" w:color="auto"/>
            <w:bottom w:val="none" w:sz="0" w:space="0" w:color="auto"/>
            <w:right w:val="none" w:sz="0" w:space="0" w:color="auto"/>
          </w:divBdr>
          <w:divsChild>
            <w:div w:id="745958429">
              <w:marLeft w:val="0"/>
              <w:marRight w:val="0"/>
              <w:marTop w:val="0"/>
              <w:marBottom w:val="0"/>
              <w:divBdr>
                <w:top w:val="none" w:sz="0" w:space="0" w:color="auto"/>
                <w:left w:val="none" w:sz="0" w:space="0" w:color="auto"/>
                <w:bottom w:val="none" w:sz="0" w:space="0" w:color="auto"/>
                <w:right w:val="none" w:sz="0" w:space="0" w:color="auto"/>
              </w:divBdr>
              <w:divsChild>
                <w:div w:id="2119790087">
                  <w:marLeft w:val="0"/>
                  <w:marRight w:val="0"/>
                  <w:marTop w:val="0"/>
                  <w:marBottom w:val="0"/>
                  <w:divBdr>
                    <w:top w:val="none" w:sz="0" w:space="0" w:color="auto"/>
                    <w:left w:val="none" w:sz="0" w:space="0" w:color="auto"/>
                    <w:bottom w:val="none" w:sz="0" w:space="0" w:color="auto"/>
                    <w:right w:val="none" w:sz="0" w:space="0" w:color="auto"/>
                  </w:divBdr>
                  <w:divsChild>
                    <w:div w:id="1819834917">
                      <w:marLeft w:val="0"/>
                      <w:marRight w:val="0"/>
                      <w:marTop w:val="0"/>
                      <w:marBottom w:val="0"/>
                      <w:divBdr>
                        <w:top w:val="none" w:sz="0" w:space="0" w:color="auto"/>
                        <w:left w:val="none" w:sz="0" w:space="0" w:color="auto"/>
                        <w:bottom w:val="none" w:sz="0" w:space="0" w:color="auto"/>
                        <w:right w:val="none" w:sz="0" w:space="0" w:color="auto"/>
                      </w:divBdr>
                      <w:divsChild>
                        <w:div w:id="1311441332">
                          <w:marLeft w:val="0"/>
                          <w:marRight w:val="0"/>
                          <w:marTop w:val="0"/>
                          <w:marBottom w:val="0"/>
                          <w:divBdr>
                            <w:top w:val="none" w:sz="0" w:space="0" w:color="auto"/>
                            <w:left w:val="none" w:sz="0" w:space="0" w:color="auto"/>
                            <w:bottom w:val="none" w:sz="0" w:space="0" w:color="auto"/>
                            <w:right w:val="none" w:sz="0" w:space="0" w:color="auto"/>
                          </w:divBdr>
                          <w:divsChild>
                            <w:div w:id="821197274">
                              <w:marLeft w:val="0"/>
                              <w:marRight w:val="0"/>
                              <w:marTop w:val="0"/>
                              <w:marBottom w:val="0"/>
                              <w:divBdr>
                                <w:top w:val="none" w:sz="0" w:space="0" w:color="auto"/>
                                <w:left w:val="none" w:sz="0" w:space="0" w:color="auto"/>
                                <w:bottom w:val="none" w:sz="0" w:space="0" w:color="auto"/>
                                <w:right w:val="none" w:sz="0" w:space="0" w:color="auto"/>
                              </w:divBdr>
                              <w:divsChild>
                                <w:div w:id="38435710">
                                  <w:marLeft w:val="0"/>
                                  <w:marRight w:val="0"/>
                                  <w:marTop w:val="0"/>
                                  <w:marBottom w:val="0"/>
                                  <w:divBdr>
                                    <w:top w:val="none" w:sz="0" w:space="0" w:color="auto"/>
                                    <w:left w:val="none" w:sz="0" w:space="0" w:color="auto"/>
                                    <w:bottom w:val="none" w:sz="0" w:space="0" w:color="auto"/>
                                    <w:right w:val="none" w:sz="0" w:space="0" w:color="auto"/>
                                  </w:divBdr>
                                  <w:divsChild>
                                    <w:div w:id="1291739379">
                                      <w:marLeft w:val="0"/>
                                      <w:marRight w:val="0"/>
                                      <w:marTop w:val="0"/>
                                      <w:marBottom w:val="0"/>
                                      <w:divBdr>
                                        <w:top w:val="none" w:sz="0" w:space="0" w:color="auto"/>
                                        <w:left w:val="none" w:sz="0" w:space="0" w:color="auto"/>
                                        <w:bottom w:val="none" w:sz="0" w:space="0" w:color="auto"/>
                                        <w:right w:val="none" w:sz="0" w:space="0" w:color="auto"/>
                                      </w:divBdr>
                                      <w:divsChild>
                                        <w:div w:id="1813911075">
                                          <w:marLeft w:val="0"/>
                                          <w:marRight w:val="0"/>
                                          <w:marTop w:val="0"/>
                                          <w:marBottom w:val="0"/>
                                          <w:divBdr>
                                            <w:top w:val="none" w:sz="0" w:space="0" w:color="auto"/>
                                            <w:left w:val="none" w:sz="0" w:space="0" w:color="auto"/>
                                            <w:bottom w:val="none" w:sz="0" w:space="0" w:color="auto"/>
                                            <w:right w:val="none" w:sz="0" w:space="0" w:color="auto"/>
                                          </w:divBdr>
                                          <w:divsChild>
                                            <w:div w:id="92477761">
                                              <w:marLeft w:val="0"/>
                                              <w:marRight w:val="0"/>
                                              <w:marTop w:val="0"/>
                                              <w:marBottom w:val="0"/>
                                              <w:divBdr>
                                                <w:top w:val="none" w:sz="0" w:space="0" w:color="auto"/>
                                                <w:left w:val="none" w:sz="0" w:space="0" w:color="auto"/>
                                                <w:bottom w:val="none" w:sz="0" w:space="0" w:color="auto"/>
                                                <w:right w:val="none" w:sz="0" w:space="0" w:color="auto"/>
                                              </w:divBdr>
                                              <w:divsChild>
                                                <w:div w:id="325862965">
                                                  <w:marLeft w:val="0"/>
                                                  <w:marRight w:val="0"/>
                                                  <w:marTop w:val="0"/>
                                                  <w:marBottom w:val="0"/>
                                                  <w:divBdr>
                                                    <w:top w:val="none" w:sz="0" w:space="0" w:color="auto"/>
                                                    <w:left w:val="none" w:sz="0" w:space="0" w:color="auto"/>
                                                    <w:bottom w:val="none" w:sz="0" w:space="0" w:color="auto"/>
                                                    <w:right w:val="none" w:sz="0" w:space="0" w:color="auto"/>
                                                  </w:divBdr>
                                                  <w:divsChild>
                                                    <w:div w:id="1024670905">
                                                      <w:marLeft w:val="0"/>
                                                      <w:marRight w:val="0"/>
                                                      <w:marTop w:val="0"/>
                                                      <w:marBottom w:val="0"/>
                                                      <w:divBdr>
                                                        <w:top w:val="none" w:sz="0" w:space="0" w:color="auto"/>
                                                        <w:left w:val="none" w:sz="0" w:space="0" w:color="auto"/>
                                                        <w:bottom w:val="none" w:sz="0" w:space="0" w:color="auto"/>
                                                        <w:right w:val="none" w:sz="0" w:space="0" w:color="auto"/>
                                                      </w:divBdr>
                                                      <w:divsChild>
                                                        <w:div w:id="215505658">
                                                          <w:marLeft w:val="0"/>
                                                          <w:marRight w:val="0"/>
                                                          <w:marTop w:val="0"/>
                                                          <w:marBottom w:val="0"/>
                                                          <w:divBdr>
                                                            <w:top w:val="none" w:sz="0" w:space="0" w:color="auto"/>
                                                            <w:left w:val="none" w:sz="0" w:space="0" w:color="auto"/>
                                                            <w:bottom w:val="none" w:sz="0" w:space="0" w:color="auto"/>
                                                            <w:right w:val="none" w:sz="0" w:space="0" w:color="auto"/>
                                                          </w:divBdr>
                                                          <w:divsChild>
                                                            <w:div w:id="1818842642">
                                                              <w:marLeft w:val="0"/>
                                                              <w:marRight w:val="0"/>
                                                              <w:marTop w:val="0"/>
                                                              <w:marBottom w:val="0"/>
                                                              <w:divBdr>
                                                                <w:top w:val="none" w:sz="0" w:space="0" w:color="auto"/>
                                                                <w:left w:val="none" w:sz="0" w:space="0" w:color="auto"/>
                                                                <w:bottom w:val="none" w:sz="0" w:space="0" w:color="auto"/>
                                                                <w:right w:val="none" w:sz="0" w:space="0" w:color="auto"/>
                                                              </w:divBdr>
                                                              <w:divsChild>
                                                                <w:div w:id="1150289883">
                                                                  <w:marLeft w:val="0"/>
                                                                  <w:marRight w:val="0"/>
                                                                  <w:marTop w:val="0"/>
                                                                  <w:marBottom w:val="0"/>
                                                                  <w:divBdr>
                                                                    <w:top w:val="none" w:sz="0" w:space="0" w:color="auto"/>
                                                                    <w:left w:val="none" w:sz="0" w:space="0" w:color="auto"/>
                                                                    <w:bottom w:val="none" w:sz="0" w:space="0" w:color="auto"/>
                                                                    <w:right w:val="none" w:sz="0" w:space="0" w:color="auto"/>
                                                                  </w:divBdr>
                                                                  <w:divsChild>
                                                                    <w:div w:id="10643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22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od.gov.uk" TargetMode="External"/><Relationship Id="rId18" Type="http://schemas.openxmlformats.org/officeDocument/2006/relationships/hyperlink" Target="https://www.food.gov.uk/research/foodborne-diseases/a-systematic-review-of-amr-bacteria-in-pork-poultry-dairy-products-seafood-and-fresh-produce-at-uk-retail-level" TargetMode="External"/><Relationship Id="rId3" Type="http://schemas.openxmlformats.org/officeDocument/2006/relationships/customXml" Target="../customXml/item3.xml"/><Relationship Id="rId21" Type="http://schemas.openxmlformats.org/officeDocument/2006/relationships/hyperlink" Target="mailto:help@bravosolution.co.uk" TargetMode="External"/><Relationship Id="rId7" Type="http://schemas.openxmlformats.org/officeDocument/2006/relationships/styles" Target="styles.xml"/><Relationship Id="rId12" Type="http://schemas.openxmlformats.org/officeDocument/2006/relationships/hyperlink" Target="https://food.bravosolution.co.uk/web/login.html" TargetMode="External"/><Relationship Id="rId17" Type="http://schemas.openxmlformats.org/officeDocument/2006/relationships/hyperlink" Target="https://acmsf.food.gov.uk/sites/default/files/acm_1278_amr_repo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uk-5-year-antimicrobial-resistance-strategy-2013-to-2018" TargetMode="External"/><Relationship Id="rId20" Type="http://schemas.openxmlformats.org/officeDocument/2006/relationships/hyperlink" Target="https://www.food.gov.uk/sites/default/files/campylobacter-amr-repor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mr-review.org/"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ood.gov.uk/sites/default/files/eusurvey-amr-retail-meat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about-us/data-and-policies/underpinning-dat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0D77B4E8EB04291640F2E981AC102" ma:contentTypeVersion="1" ma:contentTypeDescription="Create a new document." ma:contentTypeScope="" ma:versionID="d36b7bdafc82aaf1a86b26085d1589a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87B0-5D16-4EF1-9E22-531EA69A722F}">
  <ds:schemaRefs>
    <ds:schemaRef ds:uri="http://schemas.microsoft.com/sharepoint/v3"/>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EC464BA-917E-4E63-A6F7-53FA6D40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6404794-5706-486C-B9FB-2586FC2BF08C}">
  <ds:schemaRefs>
    <ds:schemaRef ds:uri="http://schemas.microsoft.com/sharepoint/v3/contenttype/forms"/>
  </ds:schemaRefs>
</ds:datastoreItem>
</file>

<file path=customXml/itemProps4.xml><?xml version="1.0" encoding="utf-8"?>
<ds:datastoreItem xmlns:ds="http://schemas.openxmlformats.org/officeDocument/2006/customXml" ds:itemID="{9764A38B-CD48-40E0-BE9B-305A2C817DC7}">
  <ds:schemaRefs>
    <ds:schemaRef ds:uri="http://schemas.openxmlformats.org/officeDocument/2006/bibliography"/>
  </ds:schemaRefs>
</ds:datastoreItem>
</file>

<file path=customXml/itemProps5.xml><?xml version="1.0" encoding="utf-8"?>
<ds:datastoreItem xmlns:ds="http://schemas.openxmlformats.org/officeDocument/2006/customXml" ds:itemID="{39A90077-9237-497D-A177-66B60B95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3639</Words>
  <Characters>20747</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Evidence Specification</vt:lpstr>
    </vt:vector>
  </TitlesOfParts>
  <Company>Food Standards Agency</Company>
  <LinksUpToDate>false</LinksUpToDate>
  <CharactersWithSpaces>24338</CharactersWithSpaces>
  <SharedDoc>false</SharedDoc>
  <HLinks>
    <vt:vector size="6" baseType="variant">
      <vt:variant>
        <vt:i4>2097270</vt:i4>
      </vt:variant>
      <vt:variant>
        <vt:i4>0</vt:i4>
      </vt:variant>
      <vt:variant>
        <vt:i4>0</vt:i4>
      </vt:variant>
      <vt:variant>
        <vt:i4>5</vt:i4>
      </vt:variant>
      <vt:variant>
        <vt:lpwstr>https://fsa-esourcing.eurodyn.com/epps/home.do</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Specification (Final)</dc:title>
  <dc:creator>Food Standards Agency</dc:creator>
  <lastModifiedBy>Mark Croft</lastModifiedBy>
  <revision>2</revision>
  <lastPrinted>2014-03-13T12:16:00.0000000Z</lastPrinted>
  <dcterms:created xsi:type="dcterms:W3CDTF">2018-06-14T09:41:00.0000000Z</dcterms:created>
  <dcterms:modified xsi:type="dcterms:W3CDTF">2018-06-14T09:41:00.0000000Z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0x010100A970D77B4E8EB04291640F2E981AC102</vt:lpwstr>
  </property>
</Properties>
</file>