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34E8B"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7A34E8E" w14:textId="77777777" w:rsidTr="00061C01">
        <w:tc>
          <w:tcPr>
            <w:tcW w:w="4539" w:type="dxa"/>
          </w:tcPr>
          <w:p w14:paraId="37A34E8C" w14:textId="77777777" w:rsidR="00582B96" w:rsidRPr="008D4A19" w:rsidRDefault="00582B96" w:rsidP="0099116D">
            <w:pPr>
              <w:tabs>
                <w:tab w:val="left" w:pos="3531"/>
              </w:tabs>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7A3528B" wp14:editId="37A3528C">
                  <wp:extent cx="1368425" cy="821055"/>
                  <wp:effectExtent l="0" t="0" r="3175"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371433" cy="822860"/>
                          </a:xfrm>
                          <a:prstGeom prst="rect">
                            <a:avLst/>
                          </a:prstGeom>
                          <a:noFill/>
                          <a:ln w="9525">
                            <a:noFill/>
                            <a:miter lim="800000"/>
                            <a:headEnd/>
                            <a:tailEnd/>
                          </a:ln>
                        </pic:spPr>
                      </pic:pic>
                    </a:graphicData>
                  </a:graphic>
                </wp:inline>
              </w:drawing>
            </w:r>
            <w:r w:rsidR="005341E1">
              <w:rPr>
                <w:rFonts w:eastAsiaTheme="minorHAnsi" w:cstheme="minorBidi"/>
                <w:b/>
                <w:color w:val="FF0000"/>
                <w:szCs w:val="22"/>
              </w:rPr>
              <w:tab/>
            </w:r>
          </w:p>
        </w:tc>
        <w:tc>
          <w:tcPr>
            <w:tcW w:w="4487" w:type="dxa"/>
          </w:tcPr>
          <w:p w14:paraId="37A34E8D" w14:textId="77777777" w:rsidR="00582B96" w:rsidRPr="008D4A19" w:rsidRDefault="00582B96" w:rsidP="00061C01">
            <w:pPr>
              <w:spacing w:after="200" w:line="276" w:lineRule="auto"/>
              <w:jc w:val="right"/>
              <w:rPr>
                <w:rFonts w:eastAsiaTheme="minorHAnsi" w:cstheme="minorBidi"/>
                <w:b/>
                <w:color w:val="FF0000"/>
                <w:szCs w:val="22"/>
              </w:rPr>
            </w:pPr>
          </w:p>
        </w:tc>
      </w:tr>
    </w:tbl>
    <w:p w14:paraId="37A34E8F" w14:textId="77777777" w:rsidR="00582B96" w:rsidRDefault="00582B96" w:rsidP="00582B96"/>
    <w:p w14:paraId="37A34E90" w14:textId="77777777" w:rsidR="00582B96" w:rsidRPr="00D144D9" w:rsidRDefault="00582B96" w:rsidP="00582B96">
      <w:pPr>
        <w:rPr>
          <w:color w:val="FF0000"/>
        </w:rPr>
      </w:pPr>
    </w:p>
    <w:p w14:paraId="37A34E91" w14:textId="77777777" w:rsidR="00582B96" w:rsidRDefault="00582B96" w:rsidP="00582B96"/>
    <w:p w14:paraId="37A34E92" w14:textId="77777777" w:rsidR="00582B96" w:rsidRDefault="00582B96" w:rsidP="00582B96"/>
    <w:p w14:paraId="37A34E93" w14:textId="77777777" w:rsidR="00582B96" w:rsidRDefault="00582B96" w:rsidP="00582B96"/>
    <w:p w14:paraId="37A34E94" w14:textId="77777777" w:rsidR="00C5289B" w:rsidRDefault="00C5289B" w:rsidP="00582B96">
      <w:pPr>
        <w:rPr>
          <w:b/>
          <w:sz w:val="52"/>
          <w:szCs w:val="52"/>
        </w:rPr>
      </w:pPr>
    </w:p>
    <w:p w14:paraId="37A34E95" w14:textId="77777777" w:rsidR="00582B96" w:rsidRPr="00360CDD" w:rsidRDefault="00582B96" w:rsidP="00582B96">
      <w:pPr>
        <w:rPr>
          <w:b/>
          <w:sz w:val="52"/>
          <w:szCs w:val="52"/>
        </w:rPr>
      </w:pPr>
      <w:r w:rsidRPr="00360CDD">
        <w:rPr>
          <w:b/>
          <w:sz w:val="52"/>
          <w:szCs w:val="52"/>
        </w:rPr>
        <w:t xml:space="preserve">SPECIFICATION </w:t>
      </w:r>
    </w:p>
    <w:p w14:paraId="37A34E96" w14:textId="77777777" w:rsidR="00582B96" w:rsidRDefault="00582B96" w:rsidP="00582B96">
      <w:pPr>
        <w:rPr>
          <w:b/>
          <w:sz w:val="48"/>
          <w:szCs w:val="48"/>
        </w:rPr>
      </w:pPr>
    </w:p>
    <w:p w14:paraId="37A34E97" w14:textId="77777777" w:rsidR="00582B96" w:rsidRDefault="00582B96" w:rsidP="00582B96">
      <w:pPr>
        <w:rPr>
          <w:b/>
          <w:sz w:val="48"/>
          <w:szCs w:val="48"/>
        </w:rPr>
      </w:pPr>
    </w:p>
    <w:p w14:paraId="37A34E98" w14:textId="77777777" w:rsidR="00582B96" w:rsidRDefault="00582B96" w:rsidP="00582B96">
      <w:pPr>
        <w:rPr>
          <w:b/>
          <w:sz w:val="48"/>
          <w:szCs w:val="48"/>
        </w:rPr>
      </w:pPr>
    </w:p>
    <w:p w14:paraId="37A34E99" w14:textId="6DBEF539" w:rsidR="00582B96" w:rsidRPr="00360CDD" w:rsidRDefault="00582B96" w:rsidP="00582B96">
      <w:pPr>
        <w:rPr>
          <w:b/>
          <w:color w:val="FF0000"/>
          <w:sz w:val="36"/>
          <w:szCs w:val="36"/>
        </w:rPr>
      </w:pPr>
      <w:r w:rsidRPr="00360CDD">
        <w:rPr>
          <w:b/>
          <w:sz w:val="36"/>
          <w:szCs w:val="36"/>
        </w:rPr>
        <w:t>INVITATION TO TENDER</w:t>
      </w:r>
      <w:r w:rsidR="00CC2261">
        <w:rPr>
          <w:b/>
          <w:sz w:val="36"/>
          <w:szCs w:val="36"/>
        </w:rPr>
        <w:t xml:space="preserve"> -</w:t>
      </w:r>
      <w:r w:rsidRPr="00360CDD">
        <w:rPr>
          <w:b/>
          <w:sz w:val="36"/>
          <w:szCs w:val="36"/>
        </w:rPr>
        <w:t xml:space="preserve"> </w:t>
      </w:r>
      <w:r w:rsidR="00AF1B51">
        <w:rPr>
          <w:b/>
          <w:sz w:val="36"/>
          <w:szCs w:val="36"/>
        </w:rPr>
        <w:t>30080</w:t>
      </w:r>
    </w:p>
    <w:p w14:paraId="37A34E9A" w14:textId="77777777" w:rsidR="00582B96" w:rsidRPr="00360CDD" w:rsidRDefault="00582B96" w:rsidP="00582B96">
      <w:pPr>
        <w:autoSpaceDE w:val="0"/>
        <w:autoSpaceDN w:val="0"/>
        <w:adjustRightInd w:val="0"/>
        <w:rPr>
          <w:rFonts w:cs="Arial"/>
          <w:b/>
          <w:bCs/>
          <w:sz w:val="48"/>
          <w:szCs w:val="48"/>
        </w:rPr>
      </w:pPr>
    </w:p>
    <w:p w14:paraId="37A34E9B" w14:textId="77777777" w:rsidR="00697B8B" w:rsidRDefault="00697B8B" w:rsidP="00582B96">
      <w:pPr>
        <w:autoSpaceDE w:val="0"/>
        <w:autoSpaceDN w:val="0"/>
        <w:adjustRightInd w:val="0"/>
        <w:rPr>
          <w:rFonts w:cs="Arial"/>
          <w:b/>
          <w:bCs/>
          <w:color w:val="FF0000"/>
          <w:sz w:val="36"/>
          <w:szCs w:val="36"/>
        </w:rPr>
      </w:pPr>
    </w:p>
    <w:p w14:paraId="37A34E9C" w14:textId="77777777" w:rsidR="00582B96" w:rsidRPr="00AF1B51" w:rsidRDefault="00697B8B" w:rsidP="00EC2C8F">
      <w:pPr>
        <w:autoSpaceDE w:val="0"/>
        <w:autoSpaceDN w:val="0"/>
        <w:adjustRightInd w:val="0"/>
        <w:rPr>
          <w:rFonts w:cs="Arial"/>
          <w:b/>
          <w:bCs/>
          <w:sz w:val="36"/>
          <w:szCs w:val="36"/>
        </w:rPr>
      </w:pPr>
      <w:r w:rsidRPr="00AF1B51">
        <w:rPr>
          <w:rFonts w:cs="Arial"/>
          <w:b/>
          <w:bCs/>
          <w:sz w:val="36"/>
          <w:szCs w:val="36"/>
        </w:rPr>
        <w:t>Skills development, job readiness and pre-apprenticeship training for unemployed</w:t>
      </w:r>
      <w:r w:rsidR="00A8252D" w:rsidRPr="00AF1B51">
        <w:rPr>
          <w:rFonts w:cs="Arial"/>
          <w:b/>
          <w:bCs/>
          <w:sz w:val="36"/>
          <w:szCs w:val="36"/>
        </w:rPr>
        <w:t xml:space="preserve"> groups; Sector Skills </w:t>
      </w:r>
    </w:p>
    <w:p w14:paraId="37A34E9D" w14:textId="7BAF84C1" w:rsidR="00DB50BD" w:rsidRPr="00AF1B51" w:rsidRDefault="004D30F5" w:rsidP="00EC2C8F">
      <w:pPr>
        <w:autoSpaceDE w:val="0"/>
        <w:autoSpaceDN w:val="0"/>
        <w:adjustRightInd w:val="0"/>
        <w:rPr>
          <w:rFonts w:cs="Arial"/>
          <w:b/>
          <w:bCs/>
          <w:sz w:val="36"/>
          <w:szCs w:val="36"/>
        </w:rPr>
      </w:pPr>
      <w:r w:rsidRPr="00AF1B51">
        <w:rPr>
          <w:rFonts w:cs="Arial"/>
          <w:b/>
          <w:bCs/>
          <w:sz w:val="36"/>
          <w:szCs w:val="36"/>
        </w:rPr>
        <w:t>23-902</w:t>
      </w:r>
    </w:p>
    <w:p w14:paraId="37A34E9E" w14:textId="77777777" w:rsidR="00582B96" w:rsidRPr="00AF1B51" w:rsidRDefault="00582B96" w:rsidP="00582B96">
      <w:pPr>
        <w:rPr>
          <w:b/>
          <w:sz w:val="48"/>
          <w:szCs w:val="48"/>
        </w:rPr>
      </w:pPr>
    </w:p>
    <w:p w14:paraId="37A34E9F" w14:textId="77777777" w:rsidR="00582B96" w:rsidRPr="00AF1B51" w:rsidRDefault="00582B96" w:rsidP="00582B96">
      <w:pPr>
        <w:rPr>
          <w:b/>
          <w:sz w:val="48"/>
          <w:szCs w:val="48"/>
        </w:rPr>
      </w:pPr>
    </w:p>
    <w:p w14:paraId="37A34EA0" w14:textId="77777777" w:rsidR="00582B96" w:rsidRPr="00AF1B51" w:rsidRDefault="00697B8B" w:rsidP="00582B96">
      <w:pPr>
        <w:rPr>
          <w:b/>
          <w:sz w:val="36"/>
          <w:szCs w:val="36"/>
        </w:rPr>
      </w:pPr>
      <w:r w:rsidRPr="00AF1B51">
        <w:rPr>
          <w:b/>
          <w:sz w:val="36"/>
          <w:szCs w:val="36"/>
        </w:rPr>
        <w:t>London</w:t>
      </w:r>
    </w:p>
    <w:p w14:paraId="37A34EA1" w14:textId="77777777" w:rsidR="00582B96" w:rsidRDefault="00582B96" w:rsidP="00582B96">
      <w:pPr>
        <w:rPr>
          <w:b/>
          <w:sz w:val="48"/>
          <w:szCs w:val="48"/>
        </w:rPr>
      </w:pPr>
    </w:p>
    <w:p w14:paraId="37A34EA2" w14:textId="77777777" w:rsidR="00DB50BD" w:rsidRDefault="00DB50BD" w:rsidP="00582B96">
      <w:pPr>
        <w:rPr>
          <w:b/>
          <w:sz w:val="48"/>
          <w:szCs w:val="48"/>
        </w:rPr>
      </w:pPr>
    </w:p>
    <w:p w14:paraId="37A34EA3" w14:textId="1951B94E" w:rsidR="00582B96" w:rsidRPr="00360CDD" w:rsidRDefault="00582B96" w:rsidP="00582B96">
      <w:pPr>
        <w:rPr>
          <w:b/>
          <w:sz w:val="36"/>
          <w:szCs w:val="36"/>
        </w:rPr>
      </w:pPr>
      <w:r w:rsidRPr="00360CDD">
        <w:rPr>
          <w:b/>
          <w:sz w:val="36"/>
          <w:szCs w:val="36"/>
        </w:rPr>
        <w:t>DATE:</w:t>
      </w:r>
      <w:r w:rsidR="002F71DB">
        <w:rPr>
          <w:b/>
          <w:sz w:val="36"/>
          <w:szCs w:val="36"/>
        </w:rPr>
        <w:t xml:space="preserve"> </w:t>
      </w:r>
      <w:r w:rsidR="00AF1B51">
        <w:rPr>
          <w:b/>
          <w:sz w:val="36"/>
          <w:szCs w:val="36"/>
        </w:rPr>
        <w:t>June</w:t>
      </w:r>
      <w:r w:rsidR="00DB50BD">
        <w:rPr>
          <w:b/>
          <w:sz w:val="36"/>
          <w:szCs w:val="36"/>
        </w:rPr>
        <w:t xml:space="preserve"> </w:t>
      </w:r>
      <w:r w:rsidR="00F76597">
        <w:rPr>
          <w:b/>
          <w:sz w:val="36"/>
          <w:szCs w:val="36"/>
        </w:rPr>
        <w:t>2016</w:t>
      </w:r>
    </w:p>
    <w:p w14:paraId="37A34EA4" w14:textId="77777777" w:rsidR="00582B96" w:rsidRDefault="00582B96"/>
    <w:tbl>
      <w:tblPr>
        <w:tblW w:w="0" w:type="auto"/>
        <w:tblLook w:val="01E0" w:firstRow="1" w:lastRow="1" w:firstColumn="1" w:lastColumn="1" w:noHBand="0" w:noVBand="0"/>
      </w:tblPr>
      <w:tblGrid>
        <w:gridCol w:w="4421"/>
        <w:gridCol w:w="4366"/>
      </w:tblGrid>
      <w:tr w:rsidR="00ED67E0" w14:paraId="37A34EA7" w14:textId="77777777" w:rsidTr="00B24D65">
        <w:tc>
          <w:tcPr>
            <w:tcW w:w="4421" w:type="dxa"/>
          </w:tcPr>
          <w:p w14:paraId="37A34EA5" w14:textId="77777777" w:rsidR="00ED67E0" w:rsidRDefault="00ED67E0" w:rsidP="000419AD">
            <w:pPr>
              <w:pStyle w:val="Header"/>
              <w:tabs>
                <w:tab w:val="clear" w:pos="4153"/>
                <w:tab w:val="clear" w:pos="8306"/>
                <w:tab w:val="left" w:pos="1185"/>
              </w:tabs>
            </w:pPr>
            <w:r>
              <w:tab/>
            </w:r>
          </w:p>
        </w:tc>
        <w:tc>
          <w:tcPr>
            <w:tcW w:w="4366" w:type="dxa"/>
          </w:tcPr>
          <w:p w14:paraId="37A34EA6" w14:textId="77777777" w:rsidR="00ED67E0" w:rsidRDefault="00ED67E0" w:rsidP="000419AD">
            <w:pPr>
              <w:pStyle w:val="Header"/>
              <w:jc w:val="right"/>
            </w:pPr>
          </w:p>
        </w:tc>
      </w:tr>
      <w:tr w:rsidR="00ED67E0" w:rsidRPr="002465E9" w14:paraId="37A34EAA" w14:textId="77777777" w:rsidTr="00B24D65">
        <w:tc>
          <w:tcPr>
            <w:tcW w:w="4421" w:type="dxa"/>
          </w:tcPr>
          <w:p w14:paraId="37A34EA8" w14:textId="77777777" w:rsidR="00ED67E0" w:rsidRDefault="00ED67E0" w:rsidP="000419AD">
            <w:pPr>
              <w:pStyle w:val="Header"/>
            </w:pPr>
            <w:r>
              <w:rPr>
                <w:noProof/>
                <w:lang w:eastAsia="en-GB"/>
              </w:rPr>
              <w:lastRenderedPageBreak/>
              <w:drawing>
                <wp:inline distT="0" distB="0" distL="0" distR="0" wp14:anchorId="37A3528D" wp14:editId="37A3528E">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3"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7A34EA9" w14:textId="77777777" w:rsidR="00ED67E0" w:rsidRDefault="000D51DE" w:rsidP="000419AD">
            <w:pPr>
              <w:pStyle w:val="Header"/>
              <w:jc w:val="right"/>
            </w:pPr>
            <w:r>
              <w:rPr>
                <w:noProof/>
                <w:lang w:eastAsia="en-GB"/>
              </w:rPr>
              <w:drawing>
                <wp:inline distT="0" distB="0" distL="0" distR="0" wp14:anchorId="37A3528F" wp14:editId="37A35290">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7A34EAD" w14:textId="77777777" w:rsidTr="00B24D65">
        <w:tc>
          <w:tcPr>
            <w:tcW w:w="4421" w:type="dxa"/>
          </w:tcPr>
          <w:p w14:paraId="37A34EAB" w14:textId="77777777" w:rsidR="008441FE" w:rsidRDefault="008441FE" w:rsidP="000419AD">
            <w:pPr>
              <w:pStyle w:val="Header"/>
              <w:rPr>
                <w:noProof/>
                <w:lang w:eastAsia="en-GB"/>
              </w:rPr>
            </w:pPr>
          </w:p>
        </w:tc>
        <w:tc>
          <w:tcPr>
            <w:tcW w:w="4366" w:type="dxa"/>
          </w:tcPr>
          <w:p w14:paraId="37A34EAC" w14:textId="77777777" w:rsidR="008441FE" w:rsidRDefault="008441FE" w:rsidP="000419AD">
            <w:pPr>
              <w:pStyle w:val="Header"/>
              <w:jc w:val="right"/>
              <w:rPr>
                <w:noProof/>
                <w:lang w:eastAsia="en-GB"/>
              </w:rPr>
            </w:pPr>
          </w:p>
        </w:tc>
      </w:tr>
    </w:tbl>
    <w:p w14:paraId="37A34EAE"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37A34EB2" w14:textId="77777777" w:rsidTr="528D0592">
        <w:trPr>
          <w:trHeight w:val="597"/>
        </w:trPr>
        <w:tc>
          <w:tcPr>
            <w:tcW w:w="9088" w:type="dxa"/>
          </w:tcPr>
          <w:p w14:paraId="37A34EB0" w14:textId="5A30041B" w:rsidR="007654E6" w:rsidRPr="00AF1B51" w:rsidRDefault="00AF1B51" w:rsidP="00A524B5">
            <w:pPr>
              <w:pStyle w:val="BodyText"/>
              <w:tabs>
                <w:tab w:val="num" w:pos="1134"/>
              </w:tabs>
              <w:spacing w:after="0"/>
              <w:jc w:val="both"/>
              <w:rPr>
                <w:rFonts w:ascii="Arial" w:hAnsi="Arial" w:cs="Arial"/>
                <w:b/>
              </w:rPr>
            </w:pPr>
            <w:r>
              <w:rPr>
                <w:rFonts w:ascii="Arial" w:hAnsi="Arial" w:cs="Arial"/>
                <w:b/>
              </w:rPr>
              <w:t>ESF</w:t>
            </w:r>
            <w:r w:rsidR="00B3399A" w:rsidRPr="00AF1B51">
              <w:rPr>
                <w:rFonts w:ascii="Arial" w:hAnsi="Arial" w:cs="Arial"/>
                <w:b/>
              </w:rPr>
              <w:t xml:space="preserve">: </w:t>
            </w:r>
            <w:r w:rsidR="00EC2C8F" w:rsidRPr="00AF1B51">
              <w:rPr>
                <w:rFonts w:ascii="Arial" w:hAnsi="Arial" w:cs="Arial"/>
                <w:b/>
              </w:rPr>
              <w:t>Skills development, job readiness and pre-apprenticeship training for unemployed groups; Sector Skills</w:t>
            </w:r>
            <w:r w:rsidR="00114E3A">
              <w:rPr>
                <w:rFonts w:ascii="Arial" w:hAnsi="Arial" w:cs="Arial"/>
                <w:b/>
              </w:rPr>
              <w:t xml:space="preserve"> itt_30080</w:t>
            </w:r>
            <w:bookmarkStart w:id="0" w:name="_GoBack"/>
            <w:bookmarkEnd w:id="0"/>
          </w:p>
          <w:p w14:paraId="37A34EB1"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37A34EB4" w14:textId="77777777" w:rsidTr="528D0592">
        <w:trPr>
          <w:trHeight w:val="567"/>
        </w:trPr>
        <w:tc>
          <w:tcPr>
            <w:tcW w:w="9088" w:type="dxa"/>
            <w:shd w:val="clear" w:color="auto" w:fill="D9D9D9" w:themeFill="background1" w:themeFillShade="D9"/>
            <w:vAlign w:val="center"/>
          </w:tcPr>
          <w:p w14:paraId="37A34EB3" w14:textId="77777777" w:rsidR="00967429" w:rsidRPr="00FD3B0A" w:rsidRDefault="004C726D" w:rsidP="00FD3B0A">
            <w:pPr>
              <w:pStyle w:val="SpecificationHeading"/>
            </w:pPr>
            <w:r w:rsidRPr="00FD3B0A">
              <w:t>BACKGROUND</w:t>
            </w:r>
          </w:p>
        </w:tc>
      </w:tr>
      <w:tr w:rsidR="0099116D" w:rsidRPr="0099116D" w14:paraId="37A34F26" w14:textId="77777777" w:rsidTr="528D0592">
        <w:tc>
          <w:tcPr>
            <w:tcW w:w="9088" w:type="dxa"/>
          </w:tcPr>
          <w:p w14:paraId="37A34EB5" w14:textId="77777777" w:rsidR="00B24D65" w:rsidRPr="0099116D" w:rsidRDefault="00B24D65" w:rsidP="00A524B5">
            <w:pPr>
              <w:tabs>
                <w:tab w:val="num" w:pos="900"/>
              </w:tabs>
              <w:autoSpaceDE w:val="0"/>
              <w:autoSpaceDN w:val="0"/>
              <w:adjustRightInd w:val="0"/>
              <w:rPr>
                <w:rFonts w:cs="Arial"/>
                <w:b/>
              </w:rPr>
            </w:pPr>
          </w:p>
          <w:p w14:paraId="37A34EB6" w14:textId="77777777" w:rsidR="001F0385" w:rsidRPr="0099116D" w:rsidRDefault="002833D9" w:rsidP="00A524B5">
            <w:pPr>
              <w:tabs>
                <w:tab w:val="num" w:pos="900"/>
              </w:tabs>
              <w:autoSpaceDE w:val="0"/>
              <w:autoSpaceDN w:val="0"/>
              <w:adjustRightInd w:val="0"/>
              <w:rPr>
                <w:rFonts w:cs="Arial"/>
                <w:b/>
              </w:rPr>
            </w:pPr>
            <w:r w:rsidRPr="0099116D">
              <w:rPr>
                <w:rFonts w:cs="Arial"/>
                <w:b/>
              </w:rPr>
              <w:t>General</w:t>
            </w:r>
          </w:p>
          <w:p w14:paraId="37A34EB7" w14:textId="77777777" w:rsidR="002833D9" w:rsidRPr="0099116D" w:rsidRDefault="002833D9" w:rsidP="00A524B5">
            <w:pPr>
              <w:tabs>
                <w:tab w:val="num" w:pos="900"/>
              </w:tabs>
              <w:autoSpaceDE w:val="0"/>
              <w:autoSpaceDN w:val="0"/>
              <w:adjustRightInd w:val="0"/>
              <w:rPr>
                <w:rFonts w:cs="Arial"/>
                <w:b/>
              </w:rPr>
            </w:pPr>
          </w:p>
          <w:p w14:paraId="37A34EB8" w14:textId="77777777" w:rsidR="00B24D65" w:rsidRPr="0099116D" w:rsidRDefault="00B24D65" w:rsidP="00A524B5">
            <w:pPr>
              <w:tabs>
                <w:tab w:val="num" w:pos="900"/>
              </w:tabs>
              <w:autoSpaceDE w:val="0"/>
              <w:autoSpaceDN w:val="0"/>
              <w:adjustRightInd w:val="0"/>
              <w:rPr>
                <w:rFonts w:cs="Arial"/>
              </w:rPr>
            </w:pPr>
            <w:r w:rsidRPr="0099116D">
              <w:rPr>
                <w:rFonts w:cs="Arial"/>
              </w:rPr>
              <w:t xml:space="preserve">The contracting authority is the Secretary of State for Business Innovation and </w:t>
            </w:r>
            <w:r w:rsidR="002E3B40" w:rsidRPr="0099116D">
              <w:rPr>
                <w:rFonts w:cs="Arial"/>
              </w:rPr>
              <w:t xml:space="preserve">Skills </w:t>
            </w:r>
            <w:r w:rsidRPr="0099116D">
              <w:rPr>
                <w:rFonts w:cs="Arial"/>
              </w:rPr>
              <w:t>acting through the Skills Funding Agency</w:t>
            </w:r>
            <w:r w:rsidR="00442DA3" w:rsidRPr="0099116D">
              <w:rPr>
                <w:rFonts w:cs="Arial"/>
              </w:rPr>
              <w:t xml:space="preserve"> </w:t>
            </w:r>
            <w:r w:rsidRPr="0099116D">
              <w:rPr>
                <w:rFonts w:cs="Arial"/>
              </w:rPr>
              <w:t>(SFA), an executive agency of the Department for Business Innovation and Skills exercising functions to fund adult education and skills.</w:t>
            </w:r>
          </w:p>
          <w:p w14:paraId="37A34EB9" w14:textId="77777777" w:rsidR="002833D9" w:rsidRPr="0099116D" w:rsidRDefault="002833D9" w:rsidP="00A524B5">
            <w:pPr>
              <w:tabs>
                <w:tab w:val="num" w:pos="900"/>
              </w:tabs>
              <w:autoSpaceDE w:val="0"/>
              <w:autoSpaceDN w:val="0"/>
              <w:adjustRightInd w:val="0"/>
              <w:rPr>
                <w:rFonts w:cs="Arial"/>
              </w:rPr>
            </w:pPr>
          </w:p>
          <w:p w14:paraId="37A34EBA" w14:textId="77777777" w:rsidR="002833D9" w:rsidRPr="0099116D" w:rsidRDefault="002833D9" w:rsidP="00A524B5">
            <w:pPr>
              <w:rPr>
                <w:rFonts w:cs="Arial"/>
              </w:rPr>
            </w:pPr>
            <w:r w:rsidRPr="0099116D">
              <w:rPr>
                <w:rFonts w:cs="Arial"/>
              </w:rPr>
              <w:t>T</w:t>
            </w:r>
            <w:r w:rsidR="009F51A8" w:rsidRPr="0099116D">
              <w:rPr>
                <w:rFonts w:cs="Arial"/>
              </w:rPr>
              <w:t>he SFA, acting as an Opt-In Organisation</w:t>
            </w:r>
            <w:r w:rsidRPr="0099116D">
              <w:rPr>
                <w:rFonts w:cs="Arial"/>
              </w:rPr>
              <w:t xml:space="preserve"> for the European Social Fund (ESF), is procuring education and training services to meet priorities identified by </w:t>
            </w:r>
            <w:r w:rsidR="00F3689D" w:rsidRPr="0099116D">
              <w:t xml:space="preserve">Local Enterprise Partnership (LEP) area European Structural and Investment Funds Sub–Committees. </w:t>
            </w:r>
            <w:r w:rsidRPr="0099116D">
              <w:rPr>
                <w:rFonts w:cs="Arial"/>
              </w:rPr>
              <w:t>As a</w:t>
            </w:r>
            <w:r w:rsidR="009F51A8" w:rsidRPr="0099116D">
              <w:rPr>
                <w:rFonts w:cs="Arial"/>
              </w:rPr>
              <w:t>n</w:t>
            </w:r>
            <w:r w:rsidRPr="0099116D">
              <w:rPr>
                <w:rFonts w:cs="Arial"/>
              </w:rPr>
              <w:t xml:space="preserve"> </w:t>
            </w:r>
            <w:r w:rsidR="009F51A8" w:rsidRPr="0099116D">
              <w:rPr>
                <w:rFonts w:cs="Arial"/>
              </w:rPr>
              <w:t>Opt-In Organisation</w:t>
            </w:r>
            <w:r w:rsidRPr="0099116D">
              <w:rPr>
                <w:rFonts w:cs="Arial"/>
              </w:rPr>
              <w:t xml:space="preserve"> the SFA provides match funding at Priority Axis level utilising sources of public funding as match for ESF funded activity.</w:t>
            </w:r>
          </w:p>
          <w:p w14:paraId="37A34EBB" w14:textId="77777777" w:rsidR="002833D9" w:rsidRPr="0099116D" w:rsidRDefault="002833D9" w:rsidP="00A524B5">
            <w:pPr>
              <w:rPr>
                <w:rFonts w:cs="Arial"/>
              </w:rPr>
            </w:pPr>
          </w:p>
          <w:p w14:paraId="37A34EBD" w14:textId="77777777" w:rsidR="00B07433" w:rsidRPr="0099116D" w:rsidRDefault="00B07433" w:rsidP="00B07433">
            <w:r w:rsidRPr="0099116D">
              <w:rPr>
                <w:rFonts w:cs="Arial"/>
              </w:rPr>
              <w:t>This Invitation to Tender (ITT) is for Priority Axis 1 and its Investment Priorities (IP)</w:t>
            </w:r>
            <w:r w:rsidRPr="0099116D">
              <w:t xml:space="preserve">, where the need has been identified both in the LEP area and European Structural and Investment Fund Strategies.  </w:t>
            </w:r>
          </w:p>
          <w:p w14:paraId="37A34EBE" w14:textId="77777777" w:rsidR="00B07433" w:rsidRPr="0099116D" w:rsidRDefault="00B07433" w:rsidP="00B07433">
            <w:pPr>
              <w:rPr>
                <w:rFonts w:cs="Arial"/>
              </w:rPr>
            </w:pPr>
          </w:p>
          <w:p w14:paraId="37A34EBF" w14:textId="77777777" w:rsidR="00B07433" w:rsidRDefault="00B07433" w:rsidP="00B07433">
            <w:r w:rsidRPr="00DB50BD">
              <w:t>The Priority Axis 1 supports activity to increase participation in the labour market and thereby improve social inclusion and mobility.   The objectives of Priority Axis 1 covered in this specification are:</w:t>
            </w:r>
          </w:p>
          <w:p w14:paraId="4CF58524" w14:textId="77777777" w:rsidR="00CC2261" w:rsidRPr="00DB50BD" w:rsidRDefault="00CC2261" w:rsidP="00B07433"/>
          <w:p w14:paraId="37A34EC0" w14:textId="77777777" w:rsidR="00B07433" w:rsidRPr="00DB50BD" w:rsidRDefault="00B07433" w:rsidP="00B07433">
            <w:pPr>
              <w:pStyle w:val="ListParagraph"/>
              <w:numPr>
                <w:ilvl w:val="0"/>
                <w:numId w:val="20"/>
              </w:numPr>
            </w:pPr>
            <w:r w:rsidRPr="00DB50BD">
              <w:t>To improve the employability of long-term unemployed people, so that they can compete effectively in the labour market.</w:t>
            </w:r>
          </w:p>
          <w:p w14:paraId="37A34EC1" w14:textId="77777777" w:rsidR="00B07433" w:rsidRPr="00DB50BD" w:rsidRDefault="00B07433" w:rsidP="00B07433">
            <w:pPr>
              <w:pStyle w:val="ListParagraph"/>
              <w:numPr>
                <w:ilvl w:val="0"/>
                <w:numId w:val="20"/>
              </w:numPr>
            </w:pPr>
            <w:r w:rsidRPr="00DB50BD">
              <w:t xml:space="preserve">To provide </w:t>
            </w:r>
            <w:r w:rsidR="00DB50BD" w:rsidRPr="00DB50BD">
              <w:t>participants</w:t>
            </w:r>
            <w:r w:rsidRPr="00DB50BD">
              <w:t xml:space="preserve"> from groups which face particular labour market disadvantage with additional support so that they can compete effectively in the labour market.</w:t>
            </w:r>
          </w:p>
          <w:p w14:paraId="37A34EC2" w14:textId="77777777" w:rsidR="00B07433" w:rsidRPr="00DB50BD" w:rsidRDefault="00B07433" w:rsidP="00B07433">
            <w:pPr>
              <w:pStyle w:val="ListParagraph"/>
              <w:numPr>
                <w:ilvl w:val="0"/>
                <w:numId w:val="20"/>
              </w:numPr>
            </w:pPr>
            <w:r w:rsidRPr="00DB50BD">
              <w:t>To encourage inactive people to participate in the labour market and to improve their employability.</w:t>
            </w:r>
          </w:p>
          <w:p w14:paraId="37A34EC3" w14:textId="77777777" w:rsidR="00B07433" w:rsidRPr="00DB50BD" w:rsidRDefault="00B07433" w:rsidP="00B07433">
            <w:pPr>
              <w:pStyle w:val="ListParagraph"/>
              <w:numPr>
                <w:ilvl w:val="0"/>
                <w:numId w:val="20"/>
              </w:numPr>
            </w:pPr>
            <w:r w:rsidRPr="00DB50BD">
              <w:t>To address the basic skills needs of unemployed and inactive people so that they can compete effectively in the labour market.</w:t>
            </w:r>
          </w:p>
          <w:p w14:paraId="37A34EC4" w14:textId="77777777" w:rsidR="00B07433" w:rsidRPr="00DB50BD" w:rsidRDefault="00B07433" w:rsidP="00B07433">
            <w:pPr>
              <w:pStyle w:val="Default"/>
              <w:numPr>
                <w:ilvl w:val="0"/>
                <w:numId w:val="20"/>
              </w:numPr>
              <w:rPr>
                <w:color w:val="auto"/>
              </w:rPr>
            </w:pPr>
            <w:r w:rsidRPr="00DB50BD">
              <w:rPr>
                <w:color w:val="auto"/>
              </w:rPr>
              <w:t xml:space="preserve">To provide support for women at a disadvantage in the labour market, and particularly those who are currently inactive, to contribute to our efforts to reduce the gender employment gap. </w:t>
            </w:r>
          </w:p>
          <w:p w14:paraId="37A34EC5" w14:textId="77777777" w:rsidR="00B07433" w:rsidRPr="00DB50BD" w:rsidRDefault="00B07433" w:rsidP="00B07433">
            <w:pPr>
              <w:pStyle w:val="Default"/>
              <w:numPr>
                <w:ilvl w:val="0"/>
                <w:numId w:val="20"/>
              </w:numPr>
              <w:rPr>
                <w:color w:val="auto"/>
              </w:rPr>
            </w:pPr>
            <w:r w:rsidRPr="00DB50BD">
              <w:rPr>
                <w:color w:val="auto"/>
              </w:rPr>
              <w:lastRenderedPageBreak/>
              <w:t xml:space="preserve">To support people with multiple and complex barriers to participation to address these underlying issues and to move closer to or into the labour market. </w:t>
            </w:r>
          </w:p>
          <w:p w14:paraId="37A34EC6" w14:textId="77777777" w:rsidR="00B07433" w:rsidRPr="00DB50BD" w:rsidRDefault="00B07433" w:rsidP="00B07433">
            <w:pPr>
              <w:pStyle w:val="ListParagraph"/>
              <w:numPr>
                <w:ilvl w:val="0"/>
                <w:numId w:val="20"/>
              </w:numPr>
            </w:pPr>
            <w:r w:rsidRPr="00DB50BD">
              <w:t>To support prisoners in custody and on release, and those without work who are serving sentences in the community, to improve their employability.</w:t>
            </w:r>
          </w:p>
          <w:p w14:paraId="37A34EC7" w14:textId="77777777" w:rsidR="00B07433" w:rsidRPr="00DB50BD" w:rsidRDefault="00B07433" w:rsidP="00B07433">
            <w:pPr>
              <w:pStyle w:val="ListParagraph"/>
              <w:numPr>
                <w:ilvl w:val="0"/>
                <w:numId w:val="20"/>
              </w:numPr>
            </w:pPr>
            <w:r w:rsidRPr="00DB50BD">
              <w:t xml:space="preserve">To engage marginalised </w:t>
            </w:r>
            <w:r w:rsidR="00DB50BD" w:rsidRPr="00DB50BD">
              <w:t>participants</w:t>
            </w:r>
            <w:r w:rsidRPr="00DB50BD">
              <w:t xml:space="preserve"> and support them to re-engage with education, training, or in employment.</w:t>
            </w:r>
          </w:p>
          <w:p w14:paraId="37A34EC8" w14:textId="77777777" w:rsidR="00B07433" w:rsidRPr="00DB50BD" w:rsidRDefault="00B07433" w:rsidP="00B07433"/>
          <w:p w14:paraId="37A34EC9" w14:textId="77777777" w:rsidR="00B07433" w:rsidRDefault="00B07433" w:rsidP="00B07433">
            <w:r w:rsidRPr="00DB50BD">
              <w:t>The strands in Priority Axis 1 in this specification are:</w:t>
            </w:r>
          </w:p>
          <w:p w14:paraId="02019DDC" w14:textId="77777777" w:rsidR="00CC2261" w:rsidRPr="00DB50BD" w:rsidRDefault="00CC2261" w:rsidP="00B07433"/>
          <w:p w14:paraId="37A34ECA" w14:textId="77777777" w:rsidR="00B07433" w:rsidRPr="00DB50BD" w:rsidRDefault="00B07433" w:rsidP="00B07433">
            <w:pPr>
              <w:pStyle w:val="ListParagraph"/>
              <w:numPr>
                <w:ilvl w:val="0"/>
                <w:numId w:val="21"/>
              </w:numPr>
            </w:pPr>
            <w:r w:rsidRPr="00DB50BD">
              <w:rPr>
                <w:b/>
              </w:rPr>
              <w:t>Access to employment for jobseekers and inactive people</w:t>
            </w:r>
            <w:r w:rsidRPr="00DB50BD">
              <w:t xml:space="preserve"> (IP1.1) - to help those who are disadvantaged but still relatively close to the labour market to tackle their barriers to work, and enter and sustain employment.  </w:t>
            </w:r>
          </w:p>
          <w:p w14:paraId="37A34ECB" w14:textId="77777777" w:rsidR="00B07433" w:rsidRPr="00DB50BD" w:rsidRDefault="00B07433" w:rsidP="00A524B5">
            <w:pPr>
              <w:tabs>
                <w:tab w:val="num" w:pos="900"/>
              </w:tabs>
              <w:autoSpaceDE w:val="0"/>
              <w:autoSpaceDN w:val="0"/>
              <w:adjustRightInd w:val="0"/>
              <w:rPr>
                <w:rFonts w:cs="Arial"/>
              </w:rPr>
            </w:pPr>
          </w:p>
          <w:p w14:paraId="37A34ECC" w14:textId="77777777" w:rsidR="00B07433" w:rsidRPr="00DB50BD" w:rsidRDefault="00B07433" w:rsidP="00A524B5">
            <w:pPr>
              <w:tabs>
                <w:tab w:val="num" w:pos="900"/>
              </w:tabs>
              <w:autoSpaceDE w:val="0"/>
              <w:autoSpaceDN w:val="0"/>
              <w:adjustRightInd w:val="0"/>
              <w:rPr>
                <w:rFonts w:cs="Arial"/>
              </w:rPr>
            </w:pPr>
          </w:p>
          <w:p w14:paraId="37A34ECD" w14:textId="77777777" w:rsidR="00B07433" w:rsidRPr="00DB50BD" w:rsidRDefault="00B07433" w:rsidP="00B07433">
            <w:pPr>
              <w:rPr>
                <w:b/>
              </w:rPr>
            </w:pPr>
            <w:r w:rsidRPr="00DB50BD">
              <w:rPr>
                <w:b/>
              </w:rPr>
              <w:t>Access to Employment for Jobseekers and Inactive People</w:t>
            </w:r>
          </w:p>
          <w:p w14:paraId="37A34ECE" w14:textId="77777777" w:rsidR="00B07433" w:rsidRPr="00DB50BD" w:rsidRDefault="00B07433" w:rsidP="00B07433">
            <w:pPr>
              <w:rPr>
                <w:rFonts w:cs="Arial"/>
                <w:b/>
              </w:rPr>
            </w:pPr>
          </w:p>
          <w:p w14:paraId="37A34ECF" w14:textId="56D333DB" w:rsidR="00B07433" w:rsidRPr="00DB50BD" w:rsidRDefault="00B07433" w:rsidP="00B07433">
            <w:pPr>
              <w:autoSpaceDE w:val="0"/>
              <w:autoSpaceDN w:val="0"/>
              <w:adjustRightInd w:val="0"/>
              <w:rPr>
                <w:rFonts w:cs="Arial"/>
                <w:lang w:eastAsia="en-GB"/>
              </w:rPr>
            </w:pPr>
            <w:r w:rsidRPr="00DB50BD">
              <w:rPr>
                <w:rFonts w:cs="Arial"/>
                <w:lang w:eastAsia="en-GB"/>
              </w:rPr>
              <w:t xml:space="preserve">The Government is promoting employment for all by providing support mechanisms and benefits that incentivise work and reduce worklessness, to ensure that </w:t>
            </w:r>
            <w:r w:rsidR="00CC2261" w:rsidRPr="00DB50BD">
              <w:rPr>
                <w:rFonts w:cs="Arial"/>
                <w:lang w:eastAsia="en-GB"/>
              </w:rPr>
              <w:t>participants</w:t>
            </w:r>
            <w:r w:rsidRPr="00DB50BD">
              <w:rPr>
                <w:rFonts w:cs="Arial"/>
                <w:lang w:eastAsia="en-GB"/>
              </w:rPr>
              <w:t xml:space="preserve">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37A34ED0" w14:textId="77777777" w:rsidR="00B07433" w:rsidRPr="00DB50BD" w:rsidRDefault="00B07433" w:rsidP="00B07433">
            <w:pPr>
              <w:autoSpaceDE w:val="0"/>
              <w:autoSpaceDN w:val="0"/>
              <w:adjustRightInd w:val="0"/>
              <w:rPr>
                <w:rFonts w:cs="Arial"/>
                <w:lang w:eastAsia="en-GB"/>
              </w:rPr>
            </w:pPr>
          </w:p>
          <w:p w14:paraId="37A34ED1" w14:textId="7B329AC7" w:rsidR="00B07433" w:rsidRPr="00DB50BD" w:rsidRDefault="00B07433" w:rsidP="00B07433">
            <w:pPr>
              <w:tabs>
                <w:tab w:val="num" w:pos="900"/>
              </w:tabs>
              <w:autoSpaceDE w:val="0"/>
              <w:autoSpaceDN w:val="0"/>
              <w:adjustRightInd w:val="0"/>
              <w:rPr>
                <w:rFonts w:cs="Arial"/>
              </w:rPr>
            </w:pPr>
            <w:r w:rsidRPr="00DB50BD">
              <w:rPr>
                <w:rFonts w:cs="Arial"/>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w:t>
            </w:r>
            <w:r w:rsidR="00CC2261" w:rsidRPr="00DB50BD">
              <w:rPr>
                <w:rFonts w:cs="Arial"/>
                <w:lang w:eastAsia="en-GB"/>
              </w:rPr>
              <w:t>participants</w:t>
            </w:r>
            <w:r w:rsidRPr="00DB50BD">
              <w:rPr>
                <w:rFonts w:cs="Arial"/>
                <w:lang w:eastAsia="en-GB"/>
              </w:rPr>
              <w:t xml:space="preserve"> and businesses in local labour markets. This will be the primary added value for ESF. Activities include help to identify the barriers </w:t>
            </w:r>
            <w:r w:rsidR="00CC2261" w:rsidRPr="00DB50BD">
              <w:rPr>
                <w:rFonts w:cs="Arial"/>
                <w:lang w:eastAsia="en-GB"/>
              </w:rPr>
              <w:t>participants</w:t>
            </w:r>
            <w:r w:rsidRPr="00DB50BD">
              <w:rPr>
                <w:rFonts w:cs="Arial"/>
                <w:lang w:eastAsia="en-GB"/>
              </w:rPr>
              <w:t xml:space="preserve"> face in moving into work (for example: confidence, lack of recent work experience, basic skills, job-related skills, </w:t>
            </w:r>
            <w:r w:rsidR="00CC2261" w:rsidRPr="00DB50BD">
              <w:rPr>
                <w:rFonts w:cs="Arial"/>
                <w:lang w:eastAsia="en-GB"/>
              </w:rPr>
              <w:t>job seeking</w:t>
            </w:r>
            <w:r w:rsidRPr="00DB50BD">
              <w:rPr>
                <w:rFonts w:cs="Arial"/>
                <w:lang w:eastAsia="en-GB"/>
              </w:rPr>
              <w:t xml:space="preserve"> skills, or other material barriers like debt or transport difficulties) and working with them to tackle these barriers.</w:t>
            </w:r>
          </w:p>
          <w:p w14:paraId="37A34ED2" w14:textId="77777777" w:rsidR="00B07433" w:rsidRPr="00DB50BD" w:rsidRDefault="00B07433" w:rsidP="00A524B5">
            <w:pPr>
              <w:tabs>
                <w:tab w:val="num" w:pos="900"/>
              </w:tabs>
              <w:autoSpaceDE w:val="0"/>
              <w:autoSpaceDN w:val="0"/>
              <w:adjustRightInd w:val="0"/>
              <w:rPr>
                <w:rFonts w:cs="Arial"/>
              </w:rPr>
            </w:pPr>
          </w:p>
          <w:p w14:paraId="1CD29250" w14:textId="4392025D" w:rsidR="001866DC" w:rsidRPr="001866DC" w:rsidRDefault="001866DC" w:rsidP="001866DC">
            <w:pPr>
              <w:rPr>
                <w:rFonts w:cs="Arial"/>
              </w:rPr>
            </w:pPr>
            <w:r w:rsidRPr="001866DC">
              <w:rPr>
                <w:rFonts w:cs="Arial"/>
              </w:rPr>
              <w:t>The SFA is looking to procure an organisation to deliver education and training that helps unemployed and inactive people to enter into employment and sustain employment in the LEP area set out below</w:t>
            </w:r>
            <w:r>
              <w:rPr>
                <w:rFonts w:cs="Arial"/>
              </w:rPr>
              <w:t>.</w:t>
            </w:r>
          </w:p>
          <w:p w14:paraId="37A34ED5" w14:textId="77777777" w:rsidR="000D51DE" w:rsidRPr="00DB50BD" w:rsidRDefault="000D51DE" w:rsidP="00A524B5">
            <w:pPr>
              <w:rPr>
                <w:rFonts w:cs="Arial"/>
              </w:rPr>
            </w:pPr>
          </w:p>
          <w:p w14:paraId="37A34ED6" w14:textId="77777777" w:rsidR="0099116D" w:rsidRPr="00DB50BD" w:rsidRDefault="00A30D71" w:rsidP="00697B8B">
            <w:pPr>
              <w:pStyle w:val="TableParagraph"/>
              <w:spacing w:before="16" w:line="260" w:lineRule="exact"/>
              <w:rPr>
                <w:rFonts w:ascii="Arial" w:eastAsia="Times New Roman" w:hAnsi="Arial" w:cs="Arial"/>
                <w:b/>
              </w:rPr>
            </w:pPr>
            <w:r w:rsidRPr="00DB50BD">
              <w:rPr>
                <w:rFonts w:ascii="Arial" w:eastAsia="Times New Roman" w:hAnsi="Arial" w:cs="Arial"/>
                <w:b/>
              </w:rPr>
              <w:t xml:space="preserve">London Enterprise Panel </w:t>
            </w:r>
            <w:r w:rsidR="00653A12" w:rsidRPr="00DB50BD">
              <w:rPr>
                <w:rFonts w:ascii="Arial" w:eastAsia="Times New Roman" w:hAnsi="Arial" w:cs="Arial"/>
                <w:b/>
              </w:rPr>
              <w:t>Background</w:t>
            </w:r>
          </w:p>
          <w:p w14:paraId="37A34ED7" w14:textId="77777777" w:rsidR="00653A12" w:rsidRPr="00DB50BD" w:rsidRDefault="00653A12" w:rsidP="00697B8B">
            <w:pPr>
              <w:pStyle w:val="TableParagraph"/>
              <w:spacing w:before="16" w:line="260" w:lineRule="exact"/>
              <w:rPr>
                <w:rFonts w:ascii="Arial" w:eastAsia="Times New Roman" w:hAnsi="Arial" w:cs="Arial"/>
              </w:rPr>
            </w:pPr>
            <w:r w:rsidRPr="00DB50BD" w:rsidDel="00653A12">
              <w:rPr>
                <w:rFonts w:cs="Arial"/>
                <w:b/>
                <w:u w:val="single"/>
              </w:rPr>
              <w:t xml:space="preserve"> </w:t>
            </w:r>
          </w:p>
          <w:p w14:paraId="37A34ED8" w14:textId="77777777" w:rsidR="001B5FFF" w:rsidRPr="00DB50BD" w:rsidRDefault="001B5FFF" w:rsidP="001B5FFF">
            <w:pPr>
              <w:spacing w:after="240"/>
              <w:jc w:val="both"/>
              <w:rPr>
                <w:rFonts w:cs="Arial"/>
              </w:rPr>
            </w:pPr>
            <w:r w:rsidRPr="00DB50BD">
              <w:rPr>
                <w:rFonts w:cs="Arial"/>
              </w:rPr>
              <w:t xml:space="preserve">ESF in London is managed by the Greater London Authority who act as the Intermediate Body for ESF under the strategic direction of the Mayor and the London Enterprise Panel.  </w:t>
            </w:r>
          </w:p>
          <w:p w14:paraId="37A34ED9" w14:textId="77777777" w:rsidR="001B5FFF" w:rsidRPr="00DB50BD" w:rsidRDefault="001B5FFF" w:rsidP="001B5FFF">
            <w:pPr>
              <w:spacing w:after="240"/>
              <w:jc w:val="both"/>
              <w:rPr>
                <w:rFonts w:cs="Arial"/>
              </w:rPr>
            </w:pPr>
            <w:r w:rsidRPr="00DB50BD">
              <w:rPr>
                <w:rFonts w:cs="Arial"/>
              </w:rPr>
              <w:t xml:space="preserve">The London Enterprise Panel (LEP) produced a detailed European Structural and Investment Fund (ESIF) Strategy in 2014 detailing how ESF supported the capital’s Jobs and Growth aims.  The LEP has been allocated approximately £748m for the </w:t>
            </w:r>
            <w:r w:rsidRPr="00DB50BD">
              <w:rPr>
                <w:rFonts w:cs="Arial"/>
              </w:rPr>
              <w:lastRenderedPageBreak/>
              <w:t>delivery of the ESIF Strategy for London 2014-20 (https://lep.london/publication/european-funding-strategy-2014-20)</w:t>
            </w:r>
          </w:p>
          <w:p w14:paraId="37A34EDA" w14:textId="77777777" w:rsidR="001B5FFF" w:rsidRPr="00DB50BD" w:rsidRDefault="001B5FFF" w:rsidP="001B5FFF">
            <w:pPr>
              <w:spacing w:after="240"/>
              <w:jc w:val="both"/>
              <w:rPr>
                <w:rFonts w:cs="Arial"/>
              </w:rPr>
            </w:pPr>
            <w:r w:rsidRPr="00DB50BD">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37A34EDB" w14:textId="77777777" w:rsidR="001B5FFF" w:rsidRPr="00DB50BD" w:rsidRDefault="001B5FFF" w:rsidP="001B5FFF">
            <w:pPr>
              <w:spacing w:after="240"/>
              <w:jc w:val="both"/>
              <w:rPr>
                <w:rFonts w:cs="Arial"/>
              </w:rPr>
            </w:pPr>
            <w:r w:rsidRPr="00DB50BD">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37A34EDC" w14:textId="77777777" w:rsidR="001B5FFF" w:rsidRPr="00DB50BD" w:rsidRDefault="001B5FFF" w:rsidP="001B5FFF">
            <w:pPr>
              <w:spacing w:after="240"/>
              <w:jc w:val="both"/>
              <w:rPr>
                <w:rFonts w:cs="Arial"/>
              </w:rPr>
            </w:pPr>
            <w:r w:rsidRPr="00DB50BD">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37A34EDD" w14:textId="77777777" w:rsidR="001B5FFF" w:rsidRPr="00DB50BD" w:rsidRDefault="001B5FFF" w:rsidP="001B5FFF">
            <w:pPr>
              <w:spacing w:after="240"/>
              <w:jc w:val="both"/>
              <w:rPr>
                <w:rFonts w:cs="Arial"/>
              </w:rPr>
            </w:pPr>
            <w:r w:rsidRPr="00DB50BD">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37A34EDE" w14:textId="77777777" w:rsidR="001B5FFF" w:rsidRPr="00DB50BD" w:rsidRDefault="001B5FFF" w:rsidP="001B5FFF">
            <w:pPr>
              <w:spacing w:after="240"/>
              <w:jc w:val="both"/>
              <w:rPr>
                <w:rFonts w:cs="Arial"/>
              </w:rPr>
            </w:pPr>
            <w:r w:rsidRPr="00DB50BD">
              <w:rPr>
                <w:rFonts w:cs="Arial"/>
              </w:rPr>
              <w:t xml:space="preserve">In developing these programmes, the LEP has brought together stakeholders including the ESF co-financing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objective of providing Londoners, especially disadvantaged Londoners, the skills they need to get, remain in and prosper in jobs.  </w:t>
            </w:r>
          </w:p>
          <w:p w14:paraId="37A34EDF" w14:textId="77777777" w:rsidR="001B5FFF" w:rsidRPr="00DB50BD" w:rsidRDefault="001B5FFF" w:rsidP="001B5FFF">
            <w:pPr>
              <w:spacing w:after="240"/>
              <w:jc w:val="both"/>
              <w:rPr>
                <w:rFonts w:cs="Arial"/>
              </w:rPr>
            </w:pPr>
            <w:r w:rsidRPr="00DB50BD">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37A34EE0" w14:textId="77777777" w:rsidR="001B5FFF" w:rsidRPr="00DB50BD" w:rsidRDefault="001B5FFF" w:rsidP="001B5FFF">
            <w:pPr>
              <w:spacing w:after="240"/>
              <w:jc w:val="both"/>
              <w:rPr>
                <w:rFonts w:cs="Arial"/>
              </w:rPr>
            </w:pPr>
            <w:r w:rsidRPr="00DB50BD">
              <w:rPr>
                <w:rFonts w:cs="Arial"/>
              </w:rPr>
              <w:t>https://lep.london/publication/european-social-fund-proposed-opt-organisation-provision</w:t>
            </w:r>
          </w:p>
          <w:p w14:paraId="37A34EE1" w14:textId="77777777" w:rsidR="001B5FFF" w:rsidRPr="00DB50BD" w:rsidRDefault="001B5FFF" w:rsidP="001B5FFF">
            <w:pPr>
              <w:spacing w:after="240"/>
              <w:jc w:val="both"/>
              <w:rPr>
                <w:rFonts w:cs="Arial"/>
              </w:rPr>
            </w:pPr>
            <w:r w:rsidRPr="00DB50BD">
              <w:rPr>
                <w:rFonts w:cs="Arial"/>
              </w:rPr>
              <w:t xml:space="preserve">Bidders should be committed to working in partnership to deliver the ESF programmes in London ‎and consider how they will work collaboratively to achieve </w:t>
            </w:r>
            <w:r w:rsidRPr="00DB50BD">
              <w:rPr>
                <w:rFonts w:cs="Arial"/>
              </w:rPr>
              <w:lastRenderedPageBreak/>
              <w:t>the overall programme objectives. The LEP is keen to do what it can to encourage the integration of ESF provision with other local services.</w:t>
            </w:r>
          </w:p>
          <w:p w14:paraId="37A34EE2" w14:textId="77777777" w:rsidR="00A30D71" w:rsidRPr="00DB50BD" w:rsidRDefault="00A30D71" w:rsidP="00697B8B">
            <w:pPr>
              <w:spacing w:after="240"/>
              <w:jc w:val="both"/>
              <w:rPr>
                <w:rFonts w:cs="Arial"/>
                <w:b/>
              </w:rPr>
            </w:pPr>
            <w:r w:rsidRPr="00DB50BD">
              <w:rPr>
                <w:rFonts w:cs="Arial"/>
                <w:b/>
              </w:rPr>
              <w:t>Service Specific Background</w:t>
            </w:r>
          </w:p>
          <w:p w14:paraId="37A34EE3" w14:textId="77777777" w:rsidR="00697E75" w:rsidRPr="0099116D" w:rsidRDefault="00193437" w:rsidP="00697E75">
            <w:pPr>
              <w:rPr>
                <w:rFonts w:cs="Arial"/>
              </w:rPr>
            </w:pPr>
            <w:r w:rsidRPr="0099116D">
              <w:rPr>
                <w:rFonts w:cs="Arial"/>
              </w:rPr>
              <w:t>These</w:t>
            </w:r>
            <w:r w:rsidR="00697E75" w:rsidRPr="0099116D">
              <w:rPr>
                <w:rFonts w:cs="Arial"/>
              </w:rPr>
              <w:t xml:space="preserve"> Service</w:t>
            </w:r>
            <w:r w:rsidRPr="0099116D">
              <w:rPr>
                <w:rFonts w:cs="Arial"/>
              </w:rPr>
              <w:t>s aim</w:t>
            </w:r>
            <w:r w:rsidR="00697E75" w:rsidRPr="0099116D">
              <w:rPr>
                <w:rFonts w:cs="Arial"/>
              </w:rPr>
              <w:t xml:space="preserve"> to get unemployed and economically inactive Londoners into jobs created by growing and significant sectors in London, by giving them the skills they need to compete effectively in these industries.  It will do this by providing personal on-going support and guidance to Londoners to better participate in these industries and providing employer-responsive training.</w:t>
            </w:r>
          </w:p>
          <w:p w14:paraId="37A34EE4" w14:textId="77777777" w:rsidR="00F06D2E" w:rsidRPr="0099116D" w:rsidRDefault="00F06D2E" w:rsidP="00697E75">
            <w:pPr>
              <w:rPr>
                <w:rFonts w:cs="Arial"/>
              </w:rPr>
            </w:pPr>
          </w:p>
          <w:p w14:paraId="37A34EE5" w14:textId="77777777" w:rsidR="008C04B3" w:rsidRPr="0099116D" w:rsidRDefault="008C04B3" w:rsidP="008C04B3">
            <w:pPr>
              <w:rPr>
                <w:rFonts w:cs="Arial"/>
              </w:rPr>
            </w:pPr>
            <w:r w:rsidRPr="0099116D">
              <w:rPr>
                <w:rFonts w:cs="Arial"/>
              </w:rPr>
              <w:t>Whilst the focus of this Service is on the sectors referenced below, candidates can work with other sectors where there is a demonstrable and clear rationale and need for intervention in 2 of the Lots (for further details see below).</w:t>
            </w:r>
          </w:p>
          <w:p w14:paraId="37A34EE6" w14:textId="77777777" w:rsidR="008C04B3" w:rsidRPr="0099116D" w:rsidRDefault="008C04B3" w:rsidP="00697E75">
            <w:pPr>
              <w:rPr>
                <w:rFonts w:cs="Arial"/>
              </w:rPr>
            </w:pPr>
          </w:p>
          <w:p w14:paraId="37A34EE7" w14:textId="77777777" w:rsidR="00A8252D" w:rsidRPr="0099116D" w:rsidRDefault="00A8252D" w:rsidP="00A8252D">
            <w:pPr>
              <w:rPr>
                <w:rFonts w:cs="Arial"/>
                <w:bCs/>
              </w:rPr>
            </w:pPr>
            <w:r w:rsidRPr="0099116D">
              <w:rPr>
                <w:rFonts w:cs="Arial"/>
                <w:b/>
                <w:bCs/>
                <w:u w:val="single"/>
              </w:rPr>
              <w:t>Retail</w:t>
            </w:r>
            <w:r w:rsidR="00697E75" w:rsidRPr="0099116D">
              <w:rPr>
                <w:rFonts w:cs="Arial"/>
                <w:b/>
                <w:bCs/>
                <w:u w:val="single"/>
              </w:rPr>
              <w:t xml:space="preserve">: </w:t>
            </w:r>
            <w:r w:rsidR="00697E75" w:rsidRPr="0099116D">
              <w:rPr>
                <w:rFonts w:cs="Arial"/>
                <w:bCs/>
                <w:u w:val="single"/>
              </w:rPr>
              <w:t xml:space="preserve"> </w:t>
            </w:r>
            <w:r w:rsidR="00697E75" w:rsidRPr="0099116D">
              <w:rPr>
                <w:rFonts w:cs="Arial"/>
                <w:bCs/>
              </w:rPr>
              <w:t>The Retail Sector</w:t>
            </w:r>
            <w:r w:rsidRPr="0099116D">
              <w:rPr>
                <w:rFonts w:cs="Arial"/>
                <w:b/>
                <w:bCs/>
              </w:rPr>
              <w:t xml:space="preserve"> </w:t>
            </w:r>
            <w:r w:rsidRPr="0099116D">
              <w:rPr>
                <w:rFonts w:cs="Arial"/>
                <w:bCs/>
              </w:rPr>
              <w:t xml:space="preserve">is a </w:t>
            </w:r>
            <w:r w:rsidRPr="0099116D">
              <w:rPr>
                <w:rFonts w:cs="Arial"/>
              </w:rPr>
              <w:t xml:space="preserve">significant sector in London, with the capital’s retail workforce estimated to grow by 429,000 by 2020 (GLA Economics). </w:t>
            </w:r>
            <w:r w:rsidRPr="0099116D">
              <w:rPr>
                <w:rFonts w:cs="Arial"/>
                <w:bCs/>
              </w:rPr>
              <w:t>According to the UKCES 2013 report ‘Working Futures 2012-2020’, retail employs three million people, 1 in 10 of the UK workforce, of which 66% work within the largest 75 retail companies. 56% of retail employees work part time and 54% are in customer-facing roles. Retail plays a crucial role in providing entry level job opportunities and in engaging young people and women - almost a third of the employees in 2013 were under 25 years of age and 58% were women.</w:t>
            </w:r>
            <w:r w:rsidRPr="0099116D">
              <w:rPr>
                <w:rFonts w:cs="Arial"/>
                <w:bCs/>
                <w:vertAlign w:val="superscript"/>
              </w:rPr>
              <w:footnoteReference w:id="1"/>
            </w:r>
            <w:r w:rsidRPr="0099116D">
              <w:rPr>
                <w:rFonts w:cs="Arial"/>
                <w:bCs/>
              </w:rPr>
              <w:t xml:space="preserve"> A significant proportion of businesses in the sector are micro-businesses, employing less than 10 people</w:t>
            </w:r>
            <w:r w:rsidRPr="0099116D">
              <w:rPr>
                <w:rFonts w:cs="Arial"/>
                <w:bCs/>
                <w:vertAlign w:val="superscript"/>
              </w:rPr>
              <w:footnoteReference w:id="2"/>
            </w:r>
            <w:r w:rsidRPr="0099116D">
              <w:rPr>
                <w:rFonts w:cs="Arial"/>
                <w:bCs/>
              </w:rPr>
              <w:t>, and these businesses encounter more difficulties in finding suitable applicants. The sector often lacks formal training.</w:t>
            </w:r>
          </w:p>
          <w:p w14:paraId="37A34EE8" w14:textId="77777777" w:rsidR="00A8252D" w:rsidRPr="0099116D" w:rsidRDefault="00A8252D" w:rsidP="00A8252D">
            <w:pPr>
              <w:rPr>
                <w:rFonts w:cs="Arial"/>
                <w:bCs/>
              </w:rPr>
            </w:pPr>
          </w:p>
          <w:p w14:paraId="37A34EE9" w14:textId="77777777" w:rsidR="00A8252D" w:rsidRPr="0099116D" w:rsidRDefault="00A8252D" w:rsidP="00A8252D">
            <w:pPr>
              <w:rPr>
                <w:rFonts w:cs="Arial"/>
                <w:bCs/>
              </w:rPr>
            </w:pPr>
            <w:r w:rsidRPr="0099116D">
              <w:rPr>
                <w:rFonts w:cs="Arial"/>
                <w:bCs/>
              </w:rPr>
              <w:t>Retail has traditionally attracted applicants with lower skills levels. Job specific skills and customer handling are the most commonly lacking skills according to employers</w:t>
            </w:r>
            <w:r w:rsidRPr="0099116D">
              <w:rPr>
                <w:rFonts w:cs="Arial"/>
                <w:bCs/>
                <w:vertAlign w:val="superscript"/>
              </w:rPr>
              <w:footnoteReference w:id="3"/>
            </w:r>
            <w:r w:rsidRPr="0099116D">
              <w:rPr>
                <w:rFonts w:cs="Arial"/>
                <w:bCs/>
              </w:rPr>
              <w:t>.  Employees and applicants also lack planning and organisation skills and strategic management skills</w:t>
            </w:r>
            <w:r w:rsidRPr="0099116D">
              <w:rPr>
                <w:rFonts w:cs="Arial"/>
                <w:bCs/>
                <w:vertAlign w:val="superscript"/>
              </w:rPr>
              <w:footnoteReference w:id="4"/>
            </w:r>
            <w:r w:rsidRPr="0099116D">
              <w:rPr>
                <w:rFonts w:cs="Arial"/>
                <w:bCs/>
              </w:rPr>
              <w:t>.  The skills requirements for the sector include: ICT, technology, e-commerce, m-commerce and web-design; financial; analytics; big data management; managerial and leadership; marketing; technical and product knowledge; customer service, management, advisory and support. Skills gaps are most acute in sales and customer service occupations</w:t>
            </w:r>
            <w:r w:rsidRPr="0099116D">
              <w:rPr>
                <w:rFonts w:cs="Arial"/>
                <w:bCs/>
                <w:vertAlign w:val="superscript"/>
              </w:rPr>
              <w:footnoteReference w:id="5"/>
            </w:r>
            <w:r w:rsidRPr="0099116D">
              <w:rPr>
                <w:rFonts w:cs="Arial"/>
                <w:bCs/>
              </w:rPr>
              <w:t xml:space="preserve">. </w:t>
            </w:r>
          </w:p>
          <w:p w14:paraId="37A34EEA" w14:textId="77777777" w:rsidR="00A8252D" w:rsidRPr="0099116D" w:rsidRDefault="00A8252D" w:rsidP="00A8252D">
            <w:pPr>
              <w:rPr>
                <w:rFonts w:cs="Arial"/>
                <w:bCs/>
              </w:rPr>
            </w:pPr>
          </w:p>
          <w:p w14:paraId="37A34EEB" w14:textId="77777777" w:rsidR="00A8252D" w:rsidRPr="0099116D" w:rsidRDefault="00A8252D" w:rsidP="00A8252D">
            <w:pPr>
              <w:rPr>
                <w:rFonts w:cs="Arial"/>
                <w:bCs/>
              </w:rPr>
            </w:pPr>
            <w:r w:rsidRPr="0099116D">
              <w:rPr>
                <w:rFonts w:cs="Arial"/>
                <w:bCs/>
              </w:rPr>
              <w:t xml:space="preserve">Increasing concentration of businesses, competition from the Internet and technological developments such as automated checkout are expected to reduce the need for more traditional sales occupations and this trend is expected to continue. In contrast, customer service occupations represent a much smaller but </w:t>
            </w:r>
            <w:r w:rsidRPr="0099116D">
              <w:rPr>
                <w:rFonts w:cs="Arial"/>
                <w:bCs/>
              </w:rPr>
              <w:lastRenderedPageBreak/>
              <w:t>rapidly growing category. The demand for more specialist sales and customer care occupations is expected to continue over the coming decade.</w:t>
            </w:r>
            <w:r w:rsidRPr="0099116D">
              <w:rPr>
                <w:rFonts w:cs="Arial"/>
                <w:bCs/>
                <w:vertAlign w:val="superscript"/>
              </w:rPr>
              <w:footnoteReference w:id="6"/>
            </w:r>
          </w:p>
          <w:p w14:paraId="37A34EEC" w14:textId="77777777" w:rsidR="00A8252D" w:rsidRPr="0099116D" w:rsidRDefault="00A8252D" w:rsidP="00A8252D">
            <w:pPr>
              <w:rPr>
                <w:rFonts w:cs="Arial"/>
                <w:b/>
                <w:bCs/>
                <w:u w:val="single"/>
              </w:rPr>
            </w:pPr>
          </w:p>
          <w:p w14:paraId="37A34EED" w14:textId="77777777" w:rsidR="00A8252D" w:rsidRPr="0099116D" w:rsidRDefault="00A8252D" w:rsidP="00A8252D">
            <w:pPr>
              <w:rPr>
                <w:rFonts w:cs="Arial"/>
                <w:bCs/>
              </w:rPr>
            </w:pPr>
            <w:r w:rsidRPr="0099116D">
              <w:rPr>
                <w:rFonts w:cs="Arial"/>
                <w:b/>
                <w:bCs/>
                <w:u w:val="single"/>
              </w:rPr>
              <w:t>Tourism and hospitality</w:t>
            </w:r>
            <w:r w:rsidR="00697E75" w:rsidRPr="0099116D">
              <w:rPr>
                <w:rFonts w:cs="Arial"/>
                <w:b/>
                <w:bCs/>
                <w:u w:val="single"/>
              </w:rPr>
              <w:t xml:space="preserve">: </w:t>
            </w:r>
            <w:r w:rsidR="00697E75" w:rsidRPr="0099116D">
              <w:rPr>
                <w:rFonts w:cs="Arial"/>
                <w:bCs/>
              </w:rPr>
              <w:t>This sector</w:t>
            </w:r>
            <w:r w:rsidRPr="0099116D">
              <w:rPr>
                <w:rFonts w:cs="Arial"/>
                <w:bCs/>
              </w:rPr>
              <w:t xml:space="preserve"> is identified as a growth sector for London in the LEP’s Economic Development Plan and there will be job opportunities created by both new and replacement demand (an estimated 135,000 jobs per annum nationally). The sector is characterised predominantly by a young and female workforce, as two in five employees are under 30 years old and 57% of the total workforce is female</w:t>
            </w:r>
            <w:r w:rsidRPr="0099116D">
              <w:rPr>
                <w:rFonts w:cs="Arial"/>
                <w:bCs/>
                <w:vertAlign w:val="superscript"/>
              </w:rPr>
              <w:footnoteReference w:id="7"/>
            </w:r>
            <w:r w:rsidRPr="0099116D">
              <w:rPr>
                <w:rFonts w:cs="Arial"/>
                <w:bCs/>
              </w:rPr>
              <w:t xml:space="preserve">. However, women are under-represented in senior management positions and over-represented in low skilled ones. The sector has a higher than average concentration of migrant, part-time and temporary workers, compared to the economy as a whole. </w:t>
            </w:r>
          </w:p>
          <w:p w14:paraId="37A34EEE" w14:textId="77777777" w:rsidR="00A8252D" w:rsidRPr="0099116D" w:rsidRDefault="00A8252D" w:rsidP="00A8252D">
            <w:pPr>
              <w:rPr>
                <w:rFonts w:cs="Arial"/>
                <w:bCs/>
              </w:rPr>
            </w:pPr>
          </w:p>
          <w:p w14:paraId="37A34EEF" w14:textId="77777777" w:rsidR="00A8252D" w:rsidRPr="0099116D" w:rsidRDefault="00A8252D" w:rsidP="00A8252D">
            <w:pPr>
              <w:rPr>
                <w:rFonts w:cs="Arial"/>
                <w:bCs/>
              </w:rPr>
            </w:pPr>
            <w:r w:rsidRPr="0099116D">
              <w:rPr>
                <w:rFonts w:cs="Arial"/>
                <w:bCs/>
              </w:rPr>
              <w:t>Tourism and hospitality has the highest incidence of retention problems of any of the 15 SSA sectors</w:t>
            </w:r>
            <w:r w:rsidRPr="0099116D">
              <w:rPr>
                <w:rFonts w:cs="Arial"/>
                <w:bCs/>
                <w:vertAlign w:val="superscript"/>
              </w:rPr>
              <w:footnoteReference w:id="8"/>
            </w:r>
            <w:r w:rsidRPr="0099116D">
              <w:rPr>
                <w:rFonts w:cs="Arial"/>
                <w:bCs/>
              </w:rPr>
              <w:t>. A fifth of employers reported skills gaps and a lack of “job-ready” personnel, (most skills gaps are related to the fact that people were ‘new’ to the job)</w:t>
            </w:r>
            <w:r w:rsidRPr="0099116D">
              <w:rPr>
                <w:rFonts w:cs="Arial"/>
                <w:bCs/>
                <w:vertAlign w:val="superscript"/>
              </w:rPr>
              <w:footnoteReference w:id="9"/>
            </w:r>
            <w:r w:rsidRPr="0099116D">
              <w:rPr>
                <w:rFonts w:cs="Arial"/>
                <w:bCs/>
              </w:rPr>
              <w:t>. According to the UKCES Employer Skills Survey 2013 it is also the sector with the highest percentage of skills gaps with 66% of hard-to-fill vacancies as a result of skill shortages</w:t>
            </w:r>
            <w:r w:rsidRPr="0099116D">
              <w:rPr>
                <w:rFonts w:cs="Arial"/>
                <w:bCs/>
                <w:vertAlign w:val="superscript"/>
              </w:rPr>
              <w:footnoteReference w:id="10"/>
            </w:r>
            <w:r w:rsidRPr="0099116D">
              <w:rPr>
                <w:rFonts w:cs="Arial"/>
                <w:bCs/>
              </w:rPr>
              <w:t xml:space="preserve"> and 9% of staff reported as having skills gaps</w:t>
            </w:r>
            <w:r w:rsidRPr="0099116D">
              <w:rPr>
                <w:rFonts w:cs="Arial"/>
                <w:bCs/>
                <w:vertAlign w:val="superscript"/>
              </w:rPr>
              <w:footnoteReference w:id="11"/>
            </w:r>
            <w:r w:rsidRPr="0099116D">
              <w:rPr>
                <w:rFonts w:cs="Arial"/>
                <w:bCs/>
              </w:rPr>
              <w:t>. However, it is also the sector with the highest percentage of staff who are both overqualified and over-skilled (24%)</w:t>
            </w:r>
            <w:r w:rsidRPr="0099116D">
              <w:rPr>
                <w:rFonts w:cs="Arial"/>
                <w:bCs/>
                <w:vertAlign w:val="superscript"/>
              </w:rPr>
              <w:footnoteReference w:id="12"/>
            </w:r>
            <w:r w:rsidRPr="0099116D">
              <w:rPr>
                <w:rFonts w:cs="Arial"/>
                <w:bCs/>
              </w:rPr>
              <w:t xml:space="preserve">. </w:t>
            </w:r>
          </w:p>
          <w:p w14:paraId="37A34EF0" w14:textId="77777777" w:rsidR="00A8252D" w:rsidRPr="0099116D" w:rsidRDefault="00A8252D" w:rsidP="00A8252D">
            <w:pPr>
              <w:rPr>
                <w:rFonts w:cs="Arial"/>
                <w:bCs/>
                <w:i/>
              </w:rPr>
            </w:pPr>
          </w:p>
          <w:p w14:paraId="37A34EF1" w14:textId="77777777" w:rsidR="00A8252D" w:rsidRPr="0099116D" w:rsidRDefault="00A8252D" w:rsidP="00A8252D">
            <w:pPr>
              <w:rPr>
                <w:rFonts w:cs="Arial"/>
                <w:bCs/>
              </w:rPr>
            </w:pPr>
            <w:r w:rsidRPr="0099116D">
              <w:rPr>
                <w:rFonts w:cs="Arial"/>
                <w:bCs/>
              </w:rPr>
              <w:t>According to the Employer’s Skills Survey the most common skills shortages are: job specific skills, followed by customer handling skills, team working skills, and planning and organisation skills. Communication and management and leadership skills have also been identified as skills shortages.</w:t>
            </w:r>
          </w:p>
          <w:p w14:paraId="37A34EF2" w14:textId="77777777" w:rsidR="00A8252D" w:rsidRPr="0099116D" w:rsidRDefault="00A8252D" w:rsidP="00A8252D">
            <w:pPr>
              <w:rPr>
                <w:rFonts w:cs="Arial"/>
                <w:bCs/>
              </w:rPr>
            </w:pPr>
          </w:p>
          <w:p w14:paraId="37A34EF3" w14:textId="77777777" w:rsidR="00A8252D" w:rsidRPr="0099116D" w:rsidRDefault="00A8252D" w:rsidP="00A8252D">
            <w:pPr>
              <w:rPr>
                <w:rFonts w:cs="Arial"/>
                <w:bCs/>
              </w:rPr>
            </w:pPr>
            <w:r w:rsidRPr="0099116D">
              <w:rPr>
                <w:rFonts w:cs="Arial"/>
                <w:b/>
                <w:bCs/>
                <w:u w:val="single"/>
              </w:rPr>
              <w:t>Health and Social Care</w:t>
            </w:r>
            <w:r w:rsidRPr="0099116D">
              <w:rPr>
                <w:rFonts w:cs="Arial"/>
                <w:bCs/>
              </w:rPr>
              <w:t>: This sector is a significant employer in London and its workforce is estimated to grow by 540,000 by 2020 (GLA Economics). The social care sector is characterised by high rates of part-time working at 40%, compared to an average of 28% for the whole economy</w:t>
            </w:r>
            <w:r w:rsidRPr="0099116D">
              <w:rPr>
                <w:rFonts w:cs="Arial"/>
                <w:bCs/>
                <w:vertAlign w:val="superscript"/>
              </w:rPr>
              <w:footnoteReference w:id="13"/>
            </w:r>
            <w:r w:rsidRPr="0099116D">
              <w:rPr>
                <w:rFonts w:cs="Arial"/>
                <w:bCs/>
              </w:rPr>
              <w:t>, and by a high staff turnover rate; an average of 1 in 4 care workers leave their employer each year</w:t>
            </w:r>
            <w:r w:rsidRPr="0099116D">
              <w:rPr>
                <w:rFonts w:cs="Arial"/>
                <w:bCs/>
                <w:vertAlign w:val="superscript"/>
              </w:rPr>
              <w:footnoteReference w:id="14"/>
            </w:r>
            <w:r w:rsidRPr="0099116D">
              <w:rPr>
                <w:rFonts w:cs="Arial"/>
                <w:bCs/>
              </w:rPr>
              <w:t>. Employees state that poor terms and conditions are the main push factors, but lack of interest in this type of work also negatively affects the sector.</w:t>
            </w:r>
          </w:p>
          <w:p w14:paraId="37A34EF4" w14:textId="77777777" w:rsidR="00A8252D" w:rsidRPr="0099116D" w:rsidRDefault="00A8252D" w:rsidP="00A8252D">
            <w:pPr>
              <w:rPr>
                <w:rFonts w:cs="Arial"/>
                <w:bCs/>
              </w:rPr>
            </w:pPr>
          </w:p>
          <w:p w14:paraId="37A34EF5" w14:textId="77777777" w:rsidR="00A8252D" w:rsidRPr="0099116D" w:rsidRDefault="00A8252D" w:rsidP="00A8252D">
            <w:pPr>
              <w:rPr>
                <w:rFonts w:cs="Arial"/>
                <w:bCs/>
              </w:rPr>
            </w:pPr>
            <w:r w:rsidRPr="0099116D">
              <w:rPr>
                <w:rFonts w:cs="Arial"/>
                <w:bCs/>
              </w:rPr>
              <w:t>Within the adult social care sub-sector the majority of organisations are micro (49%) or small (37%)</w:t>
            </w:r>
            <w:r w:rsidRPr="0099116D">
              <w:rPr>
                <w:rFonts w:cs="Arial"/>
                <w:bCs/>
                <w:vertAlign w:val="superscript"/>
              </w:rPr>
              <w:footnoteReference w:id="15"/>
            </w:r>
            <w:r w:rsidRPr="0099116D">
              <w:rPr>
                <w:rFonts w:cs="Arial"/>
                <w:bCs/>
              </w:rPr>
              <w:t xml:space="preserve">. Three quarters (76%) of the adult social care jobs are direct care-providing roles (care workers, senior care workers, support workers, </w:t>
            </w:r>
            <w:r w:rsidRPr="0099116D">
              <w:rPr>
                <w:rFonts w:cs="Arial"/>
                <w:bCs/>
              </w:rPr>
              <w:lastRenderedPageBreak/>
              <w:t>jobs for direct payments recipients and others involved in providing support directly); 7% are managerial and supervisory roles, 6% are professional roles requiring a professional qualification and 11% are “other”, which includes administrative jobs, ancillary jobs and other jobs not directly involved in providing care (catering, cleaning, transport and maintenance).</w:t>
            </w:r>
            <w:r w:rsidRPr="0099116D">
              <w:rPr>
                <w:rFonts w:cs="Arial"/>
                <w:bCs/>
                <w:vertAlign w:val="superscript"/>
              </w:rPr>
              <w:footnoteReference w:id="16"/>
            </w:r>
          </w:p>
          <w:p w14:paraId="37A34EF6" w14:textId="77777777" w:rsidR="00A8252D" w:rsidRPr="0099116D" w:rsidRDefault="00A8252D" w:rsidP="00A8252D">
            <w:pPr>
              <w:rPr>
                <w:rFonts w:cs="Arial"/>
                <w:bCs/>
              </w:rPr>
            </w:pPr>
          </w:p>
          <w:p w14:paraId="37A34EF7" w14:textId="77777777" w:rsidR="00A8252D" w:rsidRDefault="00A8252D" w:rsidP="00A8252D">
            <w:pPr>
              <w:rPr>
                <w:rFonts w:cs="Arial"/>
                <w:bCs/>
              </w:rPr>
            </w:pPr>
            <w:r w:rsidRPr="0099116D">
              <w:rPr>
                <w:rFonts w:cs="Arial"/>
                <w:bCs/>
              </w:rPr>
              <w:t>Within the social care sector, there is a need for:</w:t>
            </w:r>
          </w:p>
          <w:p w14:paraId="1311A3FE" w14:textId="77777777" w:rsidR="00CC2261" w:rsidRPr="0099116D" w:rsidRDefault="00CC2261" w:rsidP="00A8252D">
            <w:pPr>
              <w:rPr>
                <w:rFonts w:cs="Arial"/>
                <w:bCs/>
              </w:rPr>
            </w:pPr>
          </w:p>
          <w:p w14:paraId="37A34EF8" w14:textId="77777777" w:rsidR="00A8252D" w:rsidRPr="0099116D" w:rsidRDefault="00A8252D" w:rsidP="00870894">
            <w:pPr>
              <w:numPr>
                <w:ilvl w:val="0"/>
                <w:numId w:val="13"/>
              </w:numPr>
              <w:rPr>
                <w:rFonts w:cs="Arial"/>
                <w:bCs/>
              </w:rPr>
            </w:pPr>
            <w:r w:rsidRPr="0099116D">
              <w:rPr>
                <w:rFonts w:cs="Arial"/>
                <w:bCs/>
              </w:rPr>
              <w:t>Promoting careers and designing new entry routes to ensure the progression and sustainability of the workforce.</w:t>
            </w:r>
          </w:p>
          <w:p w14:paraId="37A34EF9" w14:textId="77777777" w:rsidR="00A8252D" w:rsidRPr="0099116D" w:rsidRDefault="00A8252D" w:rsidP="00870894">
            <w:pPr>
              <w:numPr>
                <w:ilvl w:val="0"/>
                <w:numId w:val="13"/>
              </w:numPr>
              <w:rPr>
                <w:rFonts w:cs="Arial"/>
                <w:bCs/>
              </w:rPr>
            </w:pPr>
            <w:r w:rsidRPr="0099116D">
              <w:rPr>
                <w:rFonts w:cs="Arial"/>
                <w:bCs/>
              </w:rPr>
              <w:t xml:space="preserve">Improving recruitment and retention plans and workforce development. </w:t>
            </w:r>
          </w:p>
          <w:p w14:paraId="37A34EFA" w14:textId="77777777" w:rsidR="00A8252D" w:rsidRPr="0099116D" w:rsidRDefault="00A8252D" w:rsidP="00870894">
            <w:pPr>
              <w:numPr>
                <w:ilvl w:val="0"/>
                <w:numId w:val="13"/>
              </w:numPr>
              <w:rPr>
                <w:rFonts w:cs="Arial"/>
                <w:bCs/>
              </w:rPr>
            </w:pPr>
            <w:r w:rsidRPr="0099116D">
              <w:rPr>
                <w:rFonts w:cs="Arial"/>
                <w:bCs/>
              </w:rPr>
              <w:t>Supporting induction, basic employability skills and gateway qualifications.</w:t>
            </w:r>
          </w:p>
          <w:p w14:paraId="37A34EFB" w14:textId="77777777" w:rsidR="00A8252D" w:rsidRPr="0099116D" w:rsidRDefault="00A8252D" w:rsidP="00870894">
            <w:pPr>
              <w:numPr>
                <w:ilvl w:val="0"/>
                <w:numId w:val="13"/>
              </w:numPr>
              <w:rPr>
                <w:rFonts w:cs="Arial"/>
                <w:bCs/>
              </w:rPr>
            </w:pPr>
            <w:r w:rsidRPr="0099116D">
              <w:rPr>
                <w:rFonts w:cs="Arial"/>
                <w:bCs/>
              </w:rPr>
              <w:t>Raising awareness of the impact of policy changes (namely the potential of the Care Act, 2014).</w:t>
            </w:r>
          </w:p>
          <w:p w14:paraId="37A34EFC" w14:textId="77777777" w:rsidR="00A8252D" w:rsidRPr="0099116D" w:rsidRDefault="00A8252D" w:rsidP="00870894">
            <w:pPr>
              <w:numPr>
                <w:ilvl w:val="0"/>
                <w:numId w:val="13"/>
              </w:numPr>
              <w:rPr>
                <w:rFonts w:cs="Arial"/>
                <w:bCs/>
              </w:rPr>
            </w:pPr>
            <w:r w:rsidRPr="0099116D">
              <w:rPr>
                <w:rFonts w:cs="Arial"/>
                <w:bCs/>
              </w:rPr>
              <w:t xml:space="preserve">Utilising apprenticeships in a more comprehensive way </w:t>
            </w:r>
            <w:r w:rsidRPr="0099116D">
              <w:rPr>
                <w:rFonts w:cs="Arial"/>
                <w:bCs/>
                <w:vertAlign w:val="superscript"/>
              </w:rPr>
              <w:footnoteReference w:id="17"/>
            </w:r>
            <w:r w:rsidRPr="0099116D">
              <w:rPr>
                <w:rFonts w:cs="Arial"/>
                <w:bCs/>
              </w:rPr>
              <w:t xml:space="preserve">(for example by working in partnership with other organisations to sustain the cost). </w:t>
            </w:r>
          </w:p>
          <w:p w14:paraId="37A34EFD" w14:textId="77777777" w:rsidR="00A8252D" w:rsidRPr="0099116D" w:rsidRDefault="00A8252D" w:rsidP="00870894">
            <w:pPr>
              <w:numPr>
                <w:ilvl w:val="0"/>
                <w:numId w:val="13"/>
              </w:numPr>
              <w:rPr>
                <w:rFonts w:cs="Arial"/>
                <w:bCs/>
              </w:rPr>
            </w:pPr>
            <w:r w:rsidRPr="0099116D">
              <w:rPr>
                <w:rFonts w:cs="Arial"/>
                <w:bCs/>
              </w:rPr>
              <w:t>Developing management and leadership capabilities.</w:t>
            </w:r>
          </w:p>
          <w:p w14:paraId="37A34EFE" w14:textId="77777777" w:rsidR="00A8252D" w:rsidRPr="0099116D" w:rsidRDefault="00A8252D" w:rsidP="00A8252D">
            <w:pPr>
              <w:rPr>
                <w:rFonts w:cs="Arial"/>
                <w:bCs/>
                <w:i/>
              </w:rPr>
            </w:pPr>
          </w:p>
          <w:p w14:paraId="37A34EFF" w14:textId="77777777" w:rsidR="00A8252D" w:rsidRPr="0099116D" w:rsidRDefault="00A8252D" w:rsidP="00A8252D">
            <w:pPr>
              <w:rPr>
                <w:rFonts w:cs="Arial"/>
                <w:bCs/>
              </w:rPr>
            </w:pPr>
            <w:r w:rsidRPr="0099116D">
              <w:rPr>
                <w:rFonts w:cs="Arial"/>
                <w:bCs/>
              </w:rPr>
              <w:t>Skills needs are</w:t>
            </w:r>
            <w:r w:rsidRPr="0099116D">
              <w:rPr>
                <w:rFonts w:cs="Arial"/>
                <w:bCs/>
                <w:i/>
              </w:rPr>
              <w:t xml:space="preserve"> </w:t>
            </w:r>
            <w:r w:rsidRPr="0099116D">
              <w:rPr>
                <w:rFonts w:cs="Arial"/>
                <w:bCs/>
              </w:rPr>
              <w:t>mostly related to: intermediate, job specific skills required to deliver effective person-centred social care</w:t>
            </w:r>
            <w:r w:rsidRPr="0099116D">
              <w:rPr>
                <w:rFonts w:cs="Arial"/>
                <w:bCs/>
                <w:vertAlign w:val="superscript"/>
              </w:rPr>
              <w:footnoteReference w:id="18"/>
            </w:r>
            <w:r w:rsidRPr="0099116D">
              <w:rPr>
                <w:rFonts w:cs="Arial"/>
                <w:bCs/>
              </w:rPr>
              <w:t>; professional, management and leadership skills; specialist skills and knowledge associated with age-related ill health and disabilities; transferable management skills relating to use of resources; and relevant knowledge of environmental issues/new technologies</w:t>
            </w:r>
            <w:r w:rsidRPr="0099116D">
              <w:rPr>
                <w:rFonts w:cs="Arial"/>
                <w:bCs/>
                <w:vertAlign w:val="superscript"/>
              </w:rPr>
              <w:footnoteReference w:id="19"/>
            </w:r>
            <w:r w:rsidRPr="0099116D">
              <w:rPr>
                <w:rFonts w:cs="Arial"/>
                <w:bCs/>
              </w:rPr>
              <w:t>. Literacy and numeracy skills and basic core skills are also needed for entry level positions.</w:t>
            </w:r>
          </w:p>
          <w:p w14:paraId="37A34F00" w14:textId="77777777" w:rsidR="00A8252D" w:rsidRPr="0099116D" w:rsidRDefault="00A8252D" w:rsidP="00A8252D">
            <w:pPr>
              <w:rPr>
                <w:rFonts w:cs="Arial"/>
                <w:bCs/>
              </w:rPr>
            </w:pPr>
          </w:p>
          <w:p w14:paraId="37A34F01" w14:textId="77777777" w:rsidR="00A8252D" w:rsidRPr="0099116D" w:rsidRDefault="00A8252D" w:rsidP="00A8252D">
            <w:pPr>
              <w:rPr>
                <w:rFonts w:cs="Arial"/>
                <w:bCs/>
              </w:rPr>
            </w:pPr>
            <w:r w:rsidRPr="0099116D">
              <w:rPr>
                <w:rFonts w:cs="Arial"/>
                <w:b/>
                <w:bCs/>
                <w:u w:val="single"/>
              </w:rPr>
              <w:t>Creative and cultural industries</w:t>
            </w:r>
            <w:r w:rsidRPr="0099116D">
              <w:rPr>
                <w:rFonts w:cs="Arial"/>
                <w:b/>
                <w:bCs/>
              </w:rPr>
              <w:t>:</w:t>
            </w:r>
            <w:r w:rsidRPr="0099116D">
              <w:rPr>
                <w:rFonts w:cs="Arial"/>
                <w:bCs/>
              </w:rPr>
              <w:t xml:space="preserve"> The UK has the largest creative industries sector in the world and London is the main hub, with just under a third of the UK’s creative industry jobs. The numbers employed in creative occupations is also steadily increasing</w:t>
            </w:r>
            <w:r w:rsidRPr="0099116D">
              <w:rPr>
                <w:rFonts w:cs="Arial"/>
                <w:bCs/>
                <w:vertAlign w:val="superscript"/>
              </w:rPr>
              <w:footnoteReference w:id="20"/>
            </w:r>
            <w:r w:rsidRPr="0099116D">
              <w:rPr>
                <w:rFonts w:cs="Arial"/>
                <w:bCs/>
              </w:rPr>
              <w:t>; there were 1.71 million jobs in the creative industries in 2013, an increase of 10.1% since 2011</w:t>
            </w:r>
            <w:r w:rsidRPr="0099116D">
              <w:rPr>
                <w:rFonts w:cs="Arial"/>
                <w:bCs/>
                <w:vertAlign w:val="superscript"/>
              </w:rPr>
              <w:footnoteReference w:id="21"/>
            </w:r>
            <w:r w:rsidRPr="0099116D">
              <w:rPr>
                <w:rFonts w:cs="Arial"/>
                <w:bCs/>
              </w:rPr>
              <w:t xml:space="preserve">. </w:t>
            </w:r>
          </w:p>
          <w:p w14:paraId="37A34F02" w14:textId="77777777" w:rsidR="00A8252D" w:rsidRPr="0099116D" w:rsidRDefault="00A8252D" w:rsidP="00A8252D">
            <w:pPr>
              <w:rPr>
                <w:rFonts w:cs="Arial"/>
                <w:bCs/>
              </w:rPr>
            </w:pPr>
          </w:p>
          <w:p w14:paraId="37A34F03" w14:textId="77777777" w:rsidR="00A8252D" w:rsidRPr="0099116D" w:rsidRDefault="00A8252D" w:rsidP="00A8252D">
            <w:pPr>
              <w:rPr>
                <w:rFonts w:cs="Arial"/>
                <w:bCs/>
              </w:rPr>
            </w:pPr>
            <w:r w:rsidRPr="0099116D">
              <w:rPr>
                <w:rFonts w:cs="Arial"/>
                <w:bCs/>
              </w:rPr>
              <w:t>However, a quarter of businesses have experienced difficulties in recruiting staff, primarily due to a lack of experience (43%), a lack of specialist skills (38%) or a lack of interest in the role as a whole (24%)</w:t>
            </w:r>
            <w:r w:rsidRPr="0099116D">
              <w:rPr>
                <w:rFonts w:cs="Arial"/>
                <w:bCs/>
                <w:vertAlign w:val="superscript"/>
              </w:rPr>
              <w:footnoteReference w:id="22"/>
            </w:r>
            <w:r w:rsidRPr="0099116D">
              <w:rPr>
                <w:rFonts w:cs="Arial"/>
                <w:bCs/>
              </w:rPr>
              <w:t>. Positions that are more difficult to fill are those in Associate Professional and Technical Occupations (e.g. specialist skilled roles; sound engineers, lighting technicians, costume and wardrobe professionals, etc.)</w:t>
            </w:r>
            <w:r w:rsidRPr="0099116D">
              <w:rPr>
                <w:rFonts w:cs="Arial"/>
                <w:bCs/>
                <w:vertAlign w:val="superscript"/>
              </w:rPr>
              <w:footnoteReference w:id="23"/>
            </w:r>
            <w:r w:rsidRPr="0099116D">
              <w:rPr>
                <w:rFonts w:cs="Arial"/>
                <w:bCs/>
              </w:rPr>
              <w:t>. However, employers state that lack of experience and of “job-ready” young graduates put a strain on the recruitment process</w:t>
            </w:r>
            <w:r w:rsidRPr="0099116D">
              <w:rPr>
                <w:rFonts w:cs="Arial"/>
                <w:bCs/>
                <w:vertAlign w:val="superscript"/>
              </w:rPr>
              <w:footnoteReference w:id="24"/>
            </w:r>
            <w:r w:rsidRPr="0099116D">
              <w:rPr>
                <w:rFonts w:cs="Arial"/>
                <w:bCs/>
              </w:rPr>
              <w:t xml:space="preserve">. There is also an </w:t>
            </w:r>
            <w:r w:rsidRPr="0099116D">
              <w:rPr>
                <w:rFonts w:cs="Arial"/>
                <w:bCs/>
              </w:rPr>
              <w:lastRenderedPageBreak/>
              <w:t xml:space="preserve">increased demand for Continuing Professional Development (CPD) as 30% of those working in creative industries in London are self-employed. </w:t>
            </w:r>
          </w:p>
          <w:p w14:paraId="37A34F04" w14:textId="77777777" w:rsidR="00A8252D" w:rsidRPr="0099116D" w:rsidRDefault="00A8252D" w:rsidP="00A8252D">
            <w:pPr>
              <w:rPr>
                <w:rFonts w:cs="Arial"/>
                <w:bCs/>
              </w:rPr>
            </w:pPr>
          </w:p>
          <w:p w14:paraId="37A34F05" w14:textId="77777777" w:rsidR="00A8252D" w:rsidRDefault="00A8252D" w:rsidP="00A8252D">
            <w:pPr>
              <w:rPr>
                <w:rFonts w:cs="Arial"/>
                <w:bCs/>
              </w:rPr>
            </w:pPr>
            <w:r w:rsidRPr="0099116D">
              <w:rPr>
                <w:rFonts w:cs="Arial"/>
                <w:bCs/>
              </w:rPr>
              <w:t>Skills shortages include but are not limited to:</w:t>
            </w:r>
          </w:p>
          <w:p w14:paraId="26CCFB0E" w14:textId="77777777" w:rsidR="00CC2261" w:rsidRPr="0099116D" w:rsidRDefault="00CC2261" w:rsidP="00A8252D">
            <w:pPr>
              <w:rPr>
                <w:rFonts w:cs="Arial"/>
                <w:bCs/>
              </w:rPr>
            </w:pPr>
          </w:p>
          <w:p w14:paraId="37A34F06" w14:textId="77777777" w:rsidR="00A8252D" w:rsidRPr="0099116D" w:rsidRDefault="00A8252D" w:rsidP="00870894">
            <w:pPr>
              <w:numPr>
                <w:ilvl w:val="0"/>
                <w:numId w:val="12"/>
              </w:numPr>
              <w:rPr>
                <w:rFonts w:cs="Arial"/>
                <w:bCs/>
              </w:rPr>
            </w:pPr>
            <w:r w:rsidRPr="0099116D">
              <w:rPr>
                <w:rFonts w:cs="Arial"/>
                <w:bCs/>
                <w:u w:val="single"/>
              </w:rPr>
              <w:t>Creative skills</w:t>
            </w:r>
            <w:r w:rsidRPr="0099116D">
              <w:rPr>
                <w:rFonts w:cs="Arial"/>
                <w:bCs/>
              </w:rPr>
              <w:t xml:space="preserve"> (the ability to form ideas and concepts)</w:t>
            </w:r>
            <w:r w:rsidRPr="0099116D">
              <w:rPr>
                <w:rFonts w:cs="Arial"/>
                <w:bCs/>
                <w:vertAlign w:val="superscript"/>
              </w:rPr>
              <w:footnoteReference w:id="25"/>
            </w:r>
            <w:r w:rsidRPr="0099116D">
              <w:rPr>
                <w:rFonts w:cs="Arial"/>
                <w:bCs/>
              </w:rPr>
              <w:t>: these include skills such as story-writing and music composition, and are often in demand for film, literature, performing arts, music, design and cultural heritage sub sectors.</w:t>
            </w:r>
          </w:p>
          <w:p w14:paraId="37A34F07" w14:textId="77777777" w:rsidR="00A8252D" w:rsidRPr="0099116D" w:rsidRDefault="00A8252D" w:rsidP="00870894">
            <w:pPr>
              <w:numPr>
                <w:ilvl w:val="0"/>
                <w:numId w:val="12"/>
              </w:numPr>
              <w:rPr>
                <w:rFonts w:cs="Arial"/>
                <w:bCs/>
              </w:rPr>
            </w:pPr>
            <w:r w:rsidRPr="0099116D">
              <w:rPr>
                <w:rFonts w:cs="Arial"/>
                <w:bCs/>
                <w:u w:val="single"/>
              </w:rPr>
              <w:t>Dealing with the convergence of technologies</w:t>
            </w:r>
            <w:r w:rsidRPr="0099116D">
              <w:rPr>
                <w:rFonts w:cs="Arial"/>
                <w:bCs/>
              </w:rPr>
              <w:t>: an understanding of different technology platforms and their impact on content development and digital work flow.</w:t>
            </w:r>
          </w:p>
          <w:p w14:paraId="37A34F08" w14:textId="77777777" w:rsidR="00A8252D" w:rsidRPr="0099116D" w:rsidRDefault="00A8252D" w:rsidP="00870894">
            <w:pPr>
              <w:numPr>
                <w:ilvl w:val="0"/>
                <w:numId w:val="12"/>
              </w:numPr>
              <w:rPr>
                <w:rFonts w:cs="Arial"/>
                <w:bCs/>
              </w:rPr>
            </w:pPr>
            <w:r w:rsidRPr="0099116D">
              <w:rPr>
                <w:rFonts w:cs="Arial"/>
                <w:bCs/>
                <w:u w:val="single"/>
              </w:rPr>
              <w:t>Multiplatform skills</w:t>
            </w:r>
            <w:r w:rsidRPr="0099116D">
              <w:rPr>
                <w:rFonts w:cs="Arial"/>
                <w:bCs/>
              </w:rPr>
              <w:t>: the creative and technical skills to produce content for distribution across all potential platforms, and the ability to understand and exploit technological advances, requiring high levels of technology-rated skills.</w:t>
            </w:r>
          </w:p>
          <w:p w14:paraId="37A34F09" w14:textId="77777777" w:rsidR="00A8252D" w:rsidRPr="0099116D" w:rsidRDefault="00A8252D" w:rsidP="00870894">
            <w:pPr>
              <w:numPr>
                <w:ilvl w:val="0"/>
                <w:numId w:val="12"/>
              </w:numPr>
              <w:rPr>
                <w:rFonts w:cs="Arial"/>
                <w:bCs/>
              </w:rPr>
            </w:pPr>
            <w:r w:rsidRPr="0099116D">
              <w:rPr>
                <w:rFonts w:cs="Arial"/>
                <w:bCs/>
                <w:u w:val="single"/>
              </w:rPr>
              <w:t>Management, leadership, business and entrepreneurial skills</w:t>
            </w:r>
            <w:r w:rsidRPr="0099116D">
              <w:rPr>
                <w:rFonts w:cs="Arial"/>
                <w:bCs/>
              </w:rPr>
              <w:t>: especially project management for multi-platform development; the hybrid skills combining effective leadership with innovation, creativity and understanding of technology, and the analytical skills to understand audience interests and translate them into business intelligence.</w:t>
            </w:r>
          </w:p>
          <w:p w14:paraId="37A34F0A" w14:textId="77777777" w:rsidR="00A8252D" w:rsidRPr="0099116D" w:rsidRDefault="00A8252D" w:rsidP="00870894">
            <w:pPr>
              <w:numPr>
                <w:ilvl w:val="0"/>
                <w:numId w:val="12"/>
              </w:numPr>
              <w:rPr>
                <w:rFonts w:cs="Arial"/>
                <w:bCs/>
              </w:rPr>
            </w:pPr>
            <w:r w:rsidRPr="0099116D">
              <w:rPr>
                <w:rFonts w:cs="Arial"/>
                <w:bCs/>
                <w:u w:val="single"/>
              </w:rPr>
              <w:t>IP and monetisation of multiplatform content</w:t>
            </w:r>
            <w:r w:rsidRPr="0099116D">
              <w:rPr>
                <w:rFonts w:cs="Arial"/>
                <w:bCs/>
              </w:rPr>
              <w:t>: understanding of intellectual property legislation to protect from piracy, and exploiting intellectual property internationally to take full advantage of emerging markets</w:t>
            </w:r>
          </w:p>
          <w:p w14:paraId="37A34F0B" w14:textId="77777777" w:rsidR="00A8252D" w:rsidRPr="0099116D" w:rsidRDefault="00A8252D" w:rsidP="00870894">
            <w:pPr>
              <w:numPr>
                <w:ilvl w:val="0"/>
                <w:numId w:val="12"/>
              </w:numPr>
              <w:rPr>
                <w:rFonts w:cs="Arial"/>
                <w:bCs/>
              </w:rPr>
            </w:pPr>
            <w:r w:rsidRPr="0099116D">
              <w:rPr>
                <w:rFonts w:cs="Arial"/>
                <w:bCs/>
                <w:u w:val="single"/>
              </w:rPr>
              <w:t>Archiving:</w:t>
            </w:r>
            <w:r w:rsidRPr="0099116D">
              <w:rPr>
                <w:rFonts w:cs="Arial"/>
                <w:bCs/>
              </w:rPr>
              <w:t xml:space="preserve"> particularly archiving digital content.</w:t>
            </w:r>
          </w:p>
          <w:p w14:paraId="37A34F0C" w14:textId="77777777" w:rsidR="00A8252D" w:rsidRPr="0099116D" w:rsidRDefault="00A8252D" w:rsidP="00870894">
            <w:pPr>
              <w:numPr>
                <w:ilvl w:val="0"/>
                <w:numId w:val="12"/>
              </w:numPr>
              <w:rPr>
                <w:rFonts w:cs="Arial"/>
                <w:bCs/>
              </w:rPr>
            </w:pPr>
            <w:r w:rsidRPr="0099116D">
              <w:rPr>
                <w:rFonts w:cs="Arial"/>
                <w:bCs/>
                <w:u w:val="single"/>
              </w:rPr>
              <w:t>Sales and marketing</w:t>
            </w:r>
            <w:r w:rsidRPr="0099116D">
              <w:rPr>
                <w:rFonts w:cs="Arial"/>
                <w:bCs/>
              </w:rPr>
              <w:t>: which are particularly important in Commercial Radio and an emerging need in other sectors.</w:t>
            </w:r>
          </w:p>
          <w:p w14:paraId="37A34F0D" w14:textId="77777777" w:rsidR="00A8252D" w:rsidRPr="0099116D" w:rsidRDefault="00A8252D" w:rsidP="00870894">
            <w:pPr>
              <w:numPr>
                <w:ilvl w:val="0"/>
                <w:numId w:val="12"/>
              </w:numPr>
              <w:rPr>
                <w:rFonts w:cs="Arial"/>
                <w:bCs/>
              </w:rPr>
            </w:pPr>
            <w:r w:rsidRPr="0099116D">
              <w:rPr>
                <w:rFonts w:cs="Arial"/>
                <w:bCs/>
                <w:u w:val="single"/>
              </w:rPr>
              <w:t>Foreign language skills</w:t>
            </w:r>
            <w:r w:rsidRPr="0099116D">
              <w:rPr>
                <w:rFonts w:cs="Arial"/>
                <w:bCs/>
              </w:rPr>
              <w:t>: as part of operating in a global marketplace</w:t>
            </w:r>
          </w:p>
          <w:p w14:paraId="37A34F0E" w14:textId="77777777" w:rsidR="00A8252D" w:rsidRPr="0099116D" w:rsidRDefault="00A8252D" w:rsidP="00870894">
            <w:pPr>
              <w:numPr>
                <w:ilvl w:val="0"/>
                <w:numId w:val="12"/>
              </w:numPr>
              <w:rPr>
                <w:rFonts w:cs="Arial"/>
                <w:bCs/>
              </w:rPr>
            </w:pPr>
            <w:r w:rsidRPr="0099116D">
              <w:rPr>
                <w:rFonts w:cs="Arial"/>
                <w:bCs/>
                <w:u w:val="single"/>
              </w:rPr>
              <w:t>Fundraising skills</w:t>
            </w:r>
            <w:r w:rsidRPr="0099116D">
              <w:rPr>
                <w:rFonts w:cs="Arial"/>
                <w:bCs/>
              </w:rPr>
              <w:t xml:space="preserve"> particularly for performing arts, visual arts and cultural heritage.</w:t>
            </w:r>
          </w:p>
          <w:p w14:paraId="37A34F0F" w14:textId="77777777" w:rsidR="00A8252D" w:rsidRPr="0099116D" w:rsidRDefault="00A8252D" w:rsidP="00870894">
            <w:pPr>
              <w:numPr>
                <w:ilvl w:val="0"/>
                <w:numId w:val="12"/>
              </w:numPr>
              <w:rPr>
                <w:rFonts w:cs="Arial"/>
                <w:bCs/>
              </w:rPr>
            </w:pPr>
            <w:r w:rsidRPr="0099116D">
              <w:rPr>
                <w:rFonts w:cs="Arial"/>
                <w:bCs/>
                <w:u w:val="single"/>
              </w:rPr>
              <w:t>STEM and strong literacy, numeracy and employability knowledge</w:t>
            </w:r>
            <w:r w:rsidRPr="0099116D">
              <w:rPr>
                <w:rFonts w:cs="Arial"/>
                <w:bCs/>
              </w:rPr>
              <w:t xml:space="preserve"> e.g. good written and oral communication skills, IT programming skills, analytical and problem-solving skills.</w:t>
            </w:r>
            <w:r w:rsidRPr="0099116D">
              <w:rPr>
                <w:rFonts w:cs="Arial"/>
                <w:bCs/>
                <w:vertAlign w:val="superscript"/>
              </w:rPr>
              <w:footnoteReference w:id="26"/>
            </w:r>
          </w:p>
          <w:p w14:paraId="37A34F10" w14:textId="77777777" w:rsidR="00A8252D" w:rsidRPr="0099116D" w:rsidRDefault="00A8252D" w:rsidP="00A8252D">
            <w:pPr>
              <w:rPr>
                <w:rFonts w:cs="Arial"/>
                <w:bCs/>
              </w:rPr>
            </w:pPr>
          </w:p>
          <w:p w14:paraId="37A34F11" w14:textId="77777777" w:rsidR="00A8252D" w:rsidRPr="0099116D" w:rsidRDefault="00A8252D" w:rsidP="00A8252D">
            <w:pPr>
              <w:rPr>
                <w:rFonts w:cs="Arial"/>
                <w:bCs/>
              </w:rPr>
            </w:pPr>
            <w:r w:rsidRPr="0099116D">
              <w:rPr>
                <w:rFonts w:cs="Arial"/>
                <w:b/>
                <w:bCs/>
                <w:u w:val="single"/>
              </w:rPr>
              <w:t>ICT/Digital Industries</w:t>
            </w:r>
            <w:r w:rsidRPr="0099116D">
              <w:rPr>
                <w:rFonts w:cs="Arial"/>
                <w:bCs/>
              </w:rPr>
              <w:t>:</w:t>
            </w:r>
            <w:r w:rsidRPr="0099116D">
              <w:rPr>
                <w:rFonts w:cs="Arial"/>
              </w:rPr>
              <w:t xml:space="preserve"> </w:t>
            </w:r>
            <w:r w:rsidRPr="0099116D">
              <w:rPr>
                <w:rFonts w:cs="Arial"/>
                <w:bCs/>
              </w:rPr>
              <w:t>Whilst ICT and Telecoms is an industry in itself, its workforce serves many other business and consumer services and industries. Of the 1.5 million people working in IT and Telecoms, 59% work in the industry itself and 41% work as IT or telecoms professionals in other industries. The IT and Telecom industry has over 144,000 workplaces in the UK, with a significant proportion (45%) located in London and the South East.</w:t>
            </w:r>
            <w:r w:rsidRPr="0099116D">
              <w:rPr>
                <w:rFonts w:cs="Arial"/>
                <w:bCs/>
                <w:vertAlign w:val="superscript"/>
              </w:rPr>
              <w:footnoteReference w:id="27"/>
            </w:r>
            <w:r w:rsidRPr="0099116D">
              <w:rPr>
                <w:rFonts w:cs="Arial"/>
                <w:bCs/>
              </w:rPr>
              <w:t xml:space="preserve"> Between 2012 and 2017, employment of IT and Telecoms staff is forecast to grow by around 2.5% per </w:t>
            </w:r>
            <w:r w:rsidRPr="0099116D">
              <w:rPr>
                <w:rFonts w:cs="Arial"/>
                <w:bCs/>
              </w:rPr>
              <w:lastRenderedPageBreak/>
              <w:t>annum on average – more than three times higher than the forecast for UK employment as a whole</w:t>
            </w:r>
            <w:r w:rsidRPr="0099116D">
              <w:rPr>
                <w:rFonts w:cs="Arial"/>
                <w:bCs/>
                <w:vertAlign w:val="superscript"/>
              </w:rPr>
              <w:footnoteReference w:id="28"/>
            </w:r>
            <w:r w:rsidRPr="0099116D">
              <w:rPr>
                <w:rFonts w:cs="Arial"/>
                <w:bCs/>
              </w:rPr>
              <w:t xml:space="preserve">. </w:t>
            </w:r>
          </w:p>
          <w:p w14:paraId="37A34F12" w14:textId="77777777" w:rsidR="00A8252D" w:rsidRPr="0099116D" w:rsidRDefault="00A8252D" w:rsidP="00A8252D">
            <w:pPr>
              <w:rPr>
                <w:rFonts w:cs="Arial"/>
                <w:bCs/>
              </w:rPr>
            </w:pPr>
          </w:p>
          <w:p w14:paraId="37A34F13" w14:textId="77777777" w:rsidR="00A8252D" w:rsidRPr="0099116D" w:rsidRDefault="00A8252D" w:rsidP="00A8252D">
            <w:pPr>
              <w:rPr>
                <w:rFonts w:cs="Arial"/>
                <w:bCs/>
              </w:rPr>
            </w:pPr>
            <w:r w:rsidRPr="0099116D">
              <w:rPr>
                <w:rFonts w:cs="Arial"/>
                <w:bCs/>
              </w:rPr>
              <w:t>Skills shortages include security and data protection skills, analytical and research skills, interpersonal skills as well as core business skills such as sales. Hard-to-fill positions in the sector included programmers/software developers and web design/development professionals.</w:t>
            </w:r>
            <w:r w:rsidRPr="0099116D">
              <w:rPr>
                <w:rFonts w:cs="Arial"/>
                <w:bCs/>
                <w:vertAlign w:val="superscript"/>
              </w:rPr>
              <w:footnoteReference w:id="29"/>
            </w:r>
          </w:p>
          <w:p w14:paraId="37A34F14" w14:textId="77777777" w:rsidR="00A8252D" w:rsidRPr="0099116D" w:rsidRDefault="00A8252D" w:rsidP="00A8252D">
            <w:pPr>
              <w:rPr>
                <w:rFonts w:cs="Arial"/>
                <w:bCs/>
              </w:rPr>
            </w:pPr>
          </w:p>
          <w:p w14:paraId="37A34F15" w14:textId="77777777" w:rsidR="00A8252D" w:rsidRPr="0099116D" w:rsidRDefault="00A8252D" w:rsidP="00A8252D">
            <w:pPr>
              <w:rPr>
                <w:rFonts w:cs="Arial"/>
                <w:bCs/>
              </w:rPr>
            </w:pPr>
            <w:r w:rsidRPr="0099116D">
              <w:rPr>
                <w:rFonts w:cs="Arial"/>
                <w:bCs/>
              </w:rPr>
              <w:t>Growth in the IT sector is expected to be into managerial and senior professional positions (ICT managers, IT strategy and planning professionals and software professionals) – accounting for two-thirds of expected growth. This is followed by associate professional and technician level positions (such as IT user support), skilled trades (telecoms and computer engineers) and administrative roles (database assistants and clerks)</w:t>
            </w:r>
            <w:r w:rsidRPr="0099116D">
              <w:rPr>
                <w:rFonts w:cs="Arial"/>
                <w:bCs/>
                <w:vertAlign w:val="superscript"/>
              </w:rPr>
              <w:footnoteReference w:id="30"/>
            </w:r>
            <w:r w:rsidRPr="0099116D">
              <w:rPr>
                <w:rFonts w:cs="Arial"/>
                <w:bCs/>
              </w:rPr>
              <w:t>. There is expected to be a significant demand for big data staff, which is forecast to increase by a rate of between 13% and 23% per annum. Demand is for developers, architects, analysts and administrators</w:t>
            </w:r>
            <w:r w:rsidRPr="0099116D">
              <w:rPr>
                <w:rFonts w:cs="Arial"/>
                <w:bCs/>
                <w:vertAlign w:val="superscript"/>
              </w:rPr>
              <w:footnoteReference w:id="31"/>
            </w:r>
            <w:r w:rsidRPr="0099116D">
              <w:rPr>
                <w:rFonts w:cs="Arial"/>
                <w:bCs/>
              </w:rPr>
              <w:t xml:space="preserve">. </w:t>
            </w:r>
          </w:p>
          <w:p w14:paraId="37A34F16" w14:textId="77777777" w:rsidR="00A8252D" w:rsidRPr="0099116D" w:rsidRDefault="00A8252D" w:rsidP="00A8252D">
            <w:pPr>
              <w:rPr>
                <w:rFonts w:cs="Arial"/>
                <w:bCs/>
              </w:rPr>
            </w:pPr>
          </w:p>
          <w:p w14:paraId="37A34F17" w14:textId="77777777" w:rsidR="00A8252D" w:rsidRPr="0099116D" w:rsidRDefault="00A8252D" w:rsidP="00A8252D">
            <w:pPr>
              <w:rPr>
                <w:rFonts w:cs="Arial"/>
                <w:bCs/>
              </w:rPr>
            </w:pPr>
            <w:r w:rsidRPr="0099116D">
              <w:rPr>
                <w:rFonts w:cs="Arial"/>
                <w:bCs/>
              </w:rPr>
              <w:t>Gender is a significant and worsening issue for the IT and Telecoms sector. Of the 1.1 million working as IT specialists in the UK, less than one in six (16%) are women and their representation in the sector has declined slightly over the past 10 years</w:t>
            </w:r>
            <w:r w:rsidRPr="0099116D">
              <w:rPr>
                <w:rFonts w:cs="Arial"/>
                <w:bCs/>
                <w:vertAlign w:val="superscript"/>
              </w:rPr>
              <w:footnoteReference w:id="32"/>
            </w:r>
            <w:r w:rsidRPr="0099116D">
              <w:rPr>
                <w:rFonts w:cs="Arial"/>
                <w:bCs/>
              </w:rPr>
              <w:t>. In London, only 17% of IT specialists are women. There is a lack of part-time roles for women working as IT specialists – only 18% of women were employed on a part-time basis, a figure well below other occupations</w:t>
            </w:r>
            <w:r w:rsidRPr="0099116D">
              <w:rPr>
                <w:rFonts w:cs="Arial"/>
                <w:bCs/>
                <w:vertAlign w:val="superscript"/>
              </w:rPr>
              <w:footnoteReference w:id="33"/>
            </w:r>
            <w:r w:rsidRPr="0099116D">
              <w:rPr>
                <w:rFonts w:cs="Arial"/>
                <w:bCs/>
              </w:rPr>
              <w:t>.  Anecdotal information suggests that there is a growing number of self-employed and freelancers in parts of this sector.</w:t>
            </w:r>
          </w:p>
          <w:p w14:paraId="37A34F18" w14:textId="77777777" w:rsidR="00024044" w:rsidRPr="0099116D" w:rsidRDefault="00024044" w:rsidP="00697B8B">
            <w:pPr>
              <w:rPr>
                <w:rFonts w:cs="Arial"/>
              </w:rPr>
            </w:pPr>
          </w:p>
          <w:p w14:paraId="37A34F19" w14:textId="77777777" w:rsidR="00821DD1" w:rsidRDefault="00EA29F4" w:rsidP="0099116D">
            <w:pPr>
              <w:rPr>
                <w:rFonts w:cs="Arial"/>
              </w:rPr>
            </w:pPr>
            <w:r w:rsidRPr="0099116D">
              <w:rPr>
                <w:rFonts w:cs="Arial"/>
              </w:rPr>
              <w:t>The services will be broken down</w:t>
            </w:r>
            <w:r w:rsidR="003266C2" w:rsidRPr="0099116D">
              <w:rPr>
                <w:rFonts w:cs="Arial"/>
              </w:rPr>
              <w:t xml:space="preserve"> into two</w:t>
            </w:r>
            <w:r w:rsidRPr="0099116D">
              <w:rPr>
                <w:rFonts w:cs="Arial"/>
              </w:rPr>
              <w:t xml:space="preserve"> area</w:t>
            </w:r>
            <w:r w:rsidR="003266C2" w:rsidRPr="0099116D">
              <w:rPr>
                <w:rFonts w:cs="Arial"/>
              </w:rPr>
              <w:t>s</w:t>
            </w:r>
            <w:r w:rsidRPr="0099116D">
              <w:rPr>
                <w:rFonts w:cs="Arial"/>
              </w:rPr>
              <w:t xml:space="preserve"> (Central &amp; South and North, East &amp; West) and by key growth sectors across these areas:</w:t>
            </w:r>
            <w:r w:rsidR="00821DD1">
              <w:rPr>
                <w:rFonts w:cs="Arial"/>
              </w:rPr>
              <w:t xml:space="preserve"> </w:t>
            </w:r>
          </w:p>
          <w:p w14:paraId="20C7FFE9" w14:textId="77777777" w:rsidR="00CC2261" w:rsidRDefault="00CC2261" w:rsidP="0099116D">
            <w:pPr>
              <w:rPr>
                <w:rFonts w:cs="Arial"/>
              </w:rPr>
            </w:pPr>
          </w:p>
          <w:p w14:paraId="37A34F1A" w14:textId="77777777" w:rsidR="00EA29F4" w:rsidRPr="00821DD1" w:rsidRDefault="00EA29F4" w:rsidP="00821DD1">
            <w:pPr>
              <w:pStyle w:val="ListParagraph"/>
              <w:numPr>
                <w:ilvl w:val="0"/>
                <w:numId w:val="24"/>
              </w:numPr>
              <w:rPr>
                <w:rFonts w:cs="Arial"/>
              </w:rPr>
            </w:pPr>
            <w:r w:rsidRPr="00821DD1">
              <w:rPr>
                <w:rFonts w:cs="Arial"/>
              </w:rPr>
              <w:t>Retail, Tourism and Hospitality</w:t>
            </w:r>
          </w:p>
          <w:p w14:paraId="37A34F1B" w14:textId="77777777" w:rsidR="00EA29F4" w:rsidRPr="0099116D" w:rsidRDefault="00EA29F4" w:rsidP="0099116D">
            <w:pPr>
              <w:pStyle w:val="ListParagraph"/>
              <w:numPr>
                <w:ilvl w:val="0"/>
                <w:numId w:val="23"/>
              </w:numPr>
              <w:rPr>
                <w:rFonts w:cs="Arial"/>
              </w:rPr>
            </w:pPr>
            <w:r w:rsidRPr="0099116D">
              <w:rPr>
                <w:rFonts w:cs="Arial"/>
              </w:rPr>
              <w:t>Health &amp; Social Care</w:t>
            </w:r>
          </w:p>
          <w:p w14:paraId="37A34F1C" w14:textId="77777777" w:rsidR="00EA29F4" w:rsidRPr="0099116D" w:rsidRDefault="00EA29F4" w:rsidP="0099116D">
            <w:pPr>
              <w:pStyle w:val="ListParagraph"/>
              <w:numPr>
                <w:ilvl w:val="0"/>
                <w:numId w:val="23"/>
              </w:numPr>
              <w:rPr>
                <w:rFonts w:cs="Arial"/>
              </w:rPr>
            </w:pPr>
            <w:r w:rsidRPr="0099116D">
              <w:rPr>
                <w:rFonts w:cs="Arial"/>
              </w:rPr>
              <w:t>Creative &amp; Cultural</w:t>
            </w:r>
          </w:p>
          <w:p w14:paraId="37A34F1D" w14:textId="77777777" w:rsidR="00EA29F4" w:rsidRPr="0099116D" w:rsidRDefault="00EA29F4" w:rsidP="0099116D">
            <w:pPr>
              <w:pStyle w:val="ListParagraph"/>
              <w:numPr>
                <w:ilvl w:val="0"/>
                <w:numId w:val="23"/>
              </w:numPr>
              <w:rPr>
                <w:rFonts w:cs="Arial"/>
              </w:rPr>
            </w:pPr>
            <w:r w:rsidRPr="0099116D">
              <w:rPr>
                <w:rFonts w:cs="Arial"/>
              </w:rPr>
              <w:t>ICT &amp; digital</w:t>
            </w:r>
          </w:p>
          <w:p w14:paraId="37A34F1E" w14:textId="77777777" w:rsidR="00EA29F4" w:rsidRPr="0099116D" w:rsidRDefault="00EA29F4" w:rsidP="0099116D">
            <w:pPr>
              <w:pStyle w:val="ListParagraph"/>
              <w:numPr>
                <w:ilvl w:val="0"/>
                <w:numId w:val="23"/>
              </w:numPr>
              <w:rPr>
                <w:rFonts w:cs="Arial"/>
              </w:rPr>
            </w:pPr>
            <w:r w:rsidRPr="0099116D">
              <w:rPr>
                <w:rFonts w:cs="Arial"/>
              </w:rPr>
              <w:t>Other sectors</w:t>
            </w:r>
          </w:p>
          <w:p w14:paraId="37A34F1F" w14:textId="77777777" w:rsidR="008C04B3" w:rsidRPr="0099116D" w:rsidRDefault="008C04B3" w:rsidP="008C04B3">
            <w:pPr>
              <w:rPr>
                <w:rFonts w:cs="Arial"/>
              </w:rPr>
            </w:pPr>
          </w:p>
          <w:p w14:paraId="37A34F20" w14:textId="77777777" w:rsidR="008C04B3" w:rsidRPr="0099116D" w:rsidRDefault="00EA29F4" w:rsidP="008C04B3">
            <w:pPr>
              <w:rPr>
                <w:rFonts w:cs="Arial"/>
              </w:rPr>
            </w:pPr>
            <w:r w:rsidRPr="0099116D">
              <w:rPr>
                <w:rFonts w:cs="Arial"/>
              </w:rPr>
              <w:t>’Other sectors’</w:t>
            </w:r>
            <w:r w:rsidR="008C04B3" w:rsidRPr="0099116D">
              <w:rPr>
                <w:rFonts w:cs="Arial"/>
              </w:rPr>
              <w:t xml:space="preserve"> do not have a specified sector and Candidates are invited to propose a sector based on need. Candidates will need to support this choice with a demonstrable and clear rationale and evidence of need for intervention. Note</w:t>
            </w:r>
            <w:r w:rsidR="004165EB" w:rsidRPr="0099116D">
              <w:rPr>
                <w:rFonts w:cs="Arial"/>
              </w:rPr>
              <w:t>,</w:t>
            </w:r>
            <w:r w:rsidR="008C04B3" w:rsidRPr="0099116D">
              <w:rPr>
                <w:rFonts w:cs="Arial"/>
              </w:rPr>
              <w:t xml:space="preserve"> a separate strand of ESF provision is being commissioned focusing on the Construction sector. Candidates applying to deliver </w:t>
            </w:r>
            <w:r w:rsidRPr="0099116D">
              <w:rPr>
                <w:rFonts w:cs="Arial"/>
              </w:rPr>
              <w:t xml:space="preserve">‘other sectors’ </w:t>
            </w:r>
            <w:r w:rsidR="008C04B3" w:rsidRPr="0099116D">
              <w:rPr>
                <w:rFonts w:cs="Arial"/>
              </w:rPr>
              <w:t>cannot therefore choose the Construction sector.</w:t>
            </w:r>
          </w:p>
          <w:p w14:paraId="37A34F21" w14:textId="77777777" w:rsidR="00B520AF" w:rsidRPr="0099116D" w:rsidRDefault="00B520AF" w:rsidP="00B520AF">
            <w:pPr>
              <w:pStyle w:val="Default"/>
              <w:rPr>
                <w:color w:val="auto"/>
                <w:lang w:eastAsia="en-GB"/>
              </w:rPr>
            </w:pPr>
          </w:p>
          <w:p w14:paraId="37A34F22" w14:textId="77777777" w:rsidR="00B520AF" w:rsidRPr="0099116D" w:rsidRDefault="00B520AF" w:rsidP="00B520AF">
            <w:pPr>
              <w:pStyle w:val="Default"/>
              <w:rPr>
                <w:color w:val="auto"/>
                <w:lang w:eastAsia="en-GB"/>
              </w:rPr>
            </w:pPr>
            <w:r w:rsidRPr="0099116D">
              <w:rPr>
                <w:color w:val="auto"/>
                <w:lang w:eastAsia="en-GB"/>
              </w:rPr>
              <w:t>This programme has been developed through a range of activities; one to one consultations with stakeholders representing a wide range of local interests; review of previous projects funded through the 2007-13 ESF round as well as complimentary programmes</w:t>
            </w:r>
            <w:r w:rsidR="00821DD1">
              <w:rPr>
                <w:color w:val="auto"/>
                <w:lang w:eastAsia="en-GB"/>
              </w:rPr>
              <w:t xml:space="preserve"> and through</w:t>
            </w:r>
            <w:r w:rsidRPr="0099116D">
              <w:rPr>
                <w:color w:val="auto"/>
                <w:lang w:eastAsia="en-GB"/>
              </w:rPr>
              <w:t xml:space="preserve"> a Task and Finish group who carried out a review of all the evidence available appertaining to this particular group of participants, including current participation and indicative trends.</w:t>
            </w:r>
          </w:p>
          <w:p w14:paraId="37A34F23" w14:textId="77777777" w:rsidR="00B520AF" w:rsidRPr="0099116D" w:rsidRDefault="00B520AF" w:rsidP="00B520AF">
            <w:pPr>
              <w:pStyle w:val="Default"/>
              <w:rPr>
                <w:color w:val="auto"/>
                <w:lang w:eastAsia="en-GB"/>
              </w:rPr>
            </w:pPr>
          </w:p>
          <w:p w14:paraId="37A34F24" w14:textId="77777777" w:rsidR="00B520AF" w:rsidRPr="0099116D" w:rsidRDefault="00B520AF" w:rsidP="00B520AF">
            <w:pPr>
              <w:pStyle w:val="Default"/>
              <w:rPr>
                <w:color w:val="auto"/>
                <w:lang w:eastAsia="en-GB"/>
              </w:rPr>
            </w:pPr>
            <w:r w:rsidRPr="0099116D">
              <w:rPr>
                <w:color w:val="auto"/>
                <w:lang w:eastAsia="en-GB"/>
              </w:rPr>
              <w:t>The demand for the interventions described in this programme is supported by data and intelligence and softer partner views and feedback.</w:t>
            </w:r>
          </w:p>
          <w:p w14:paraId="37A34F25" w14:textId="77777777" w:rsidR="000D51DE" w:rsidRPr="0099116D" w:rsidRDefault="000D51DE" w:rsidP="00697B8B">
            <w:pPr>
              <w:rPr>
                <w:rFonts w:cs="Arial"/>
                <w:lang w:eastAsia="en-GB"/>
              </w:rPr>
            </w:pPr>
          </w:p>
        </w:tc>
      </w:tr>
      <w:tr w:rsidR="0099116D" w:rsidRPr="0099116D" w14:paraId="37A34F28" w14:textId="77777777" w:rsidTr="528D0592">
        <w:trPr>
          <w:trHeight w:val="567"/>
        </w:trPr>
        <w:tc>
          <w:tcPr>
            <w:tcW w:w="9088" w:type="dxa"/>
            <w:shd w:val="clear" w:color="auto" w:fill="D9D9D9" w:themeFill="background1" w:themeFillShade="D9"/>
            <w:vAlign w:val="center"/>
          </w:tcPr>
          <w:p w14:paraId="37A34F27" w14:textId="77777777" w:rsidR="00967429" w:rsidRPr="0099116D" w:rsidRDefault="002E25F4" w:rsidP="00C107CE">
            <w:pPr>
              <w:tabs>
                <w:tab w:val="num" w:pos="900"/>
              </w:tabs>
              <w:autoSpaceDE w:val="0"/>
              <w:autoSpaceDN w:val="0"/>
              <w:adjustRightInd w:val="0"/>
              <w:rPr>
                <w:rFonts w:cs="Arial"/>
                <w:b/>
              </w:rPr>
            </w:pPr>
            <w:r w:rsidRPr="0099116D">
              <w:rPr>
                <w:rFonts w:cs="Arial"/>
                <w:b/>
              </w:rPr>
              <w:lastRenderedPageBreak/>
              <w:t>DEFINITION OF TERMS</w:t>
            </w:r>
          </w:p>
        </w:tc>
      </w:tr>
      <w:tr w:rsidR="0099116D" w:rsidRPr="0099116D" w14:paraId="37A34F48" w14:textId="77777777" w:rsidTr="528D0592">
        <w:tc>
          <w:tcPr>
            <w:tcW w:w="9088" w:type="dxa"/>
          </w:tcPr>
          <w:p w14:paraId="37A34F29" w14:textId="77777777" w:rsidR="002E25F4" w:rsidRPr="0099116D" w:rsidRDefault="002E25F4" w:rsidP="00A524B5">
            <w:pPr>
              <w:rPr>
                <w:rFonts w:cs="Arial"/>
                <w:i/>
              </w:rPr>
            </w:pPr>
          </w:p>
          <w:p w14:paraId="37A34F2A" w14:textId="77777777" w:rsidR="000304B2" w:rsidRPr="0099116D" w:rsidRDefault="000304B2" w:rsidP="000304B2">
            <w:pPr>
              <w:ind w:left="360" w:hanging="360"/>
            </w:pPr>
            <w:r w:rsidRPr="0099116D">
              <w:rPr>
                <w:b/>
              </w:rPr>
              <w:t xml:space="preserve">Candidate: </w:t>
            </w:r>
            <w:r w:rsidRPr="0099116D">
              <w:t>means an organisation who has been invited to take part in this restricted procurement procedure</w:t>
            </w:r>
          </w:p>
          <w:p w14:paraId="37A34F2B" w14:textId="77777777" w:rsidR="000304B2" w:rsidRPr="0099116D" w:rsidRDefault="000304B2" w:rsidP="000304B2">
            <w:pPr>
              <w:ind w:left="360" w:hanging="360"/>
              <w:rPr>
                <w:b/>
              </w:rPr>
            </w:pPr>
          </w:p>
          <w:p w14:paraId="37A34F2C" w14:textId="77777777" w:rsidR="000304B2" w:rsidRPr="0099116D" w:rsidRDefault="000304B2" w:rsidP="000304B2">
            <w:pPr>
              <w:ind w:left="360" w:hanging="360"/>
              <w:rPr>
                <w:b/>
              </w:rPr>
            </w:pPr>
            <w:r w:rsidRPr="0099116D">
              <w:rPr>
                <w:b/>
              </w:rPr>
              <w:t>Disability</w:t>
            </w:r>
            <w:r w:rsidRPr="0099116D">
              <w:t>:</w:t>
            </w:r>
            <w:r w:rsidR="00043303" w:rsidRPr="0099116D">
              <w:t xml:space="preserve">  A person </w:t>
            </w:r>
            <w:r w:rsidR="00043303" w:rsidRPr="0099116D">
              <w:rPr>
                <w:lang w:val="en"/>
              </w:rPr>
              <w:t>who has a physical or mental impairment that has a substantial and long-term adverse effect on the ability to carry out normal day-to-day activities.</w:t>
            </w:r>
          </w:p>
          <w:p w14:paraId="37A34F2D" w14:textId="77777777" w:rsidR="000304B2" w:rsidRPr="0099116D" w:rsidRDefault="000304B2" w:rsidP="000304B2">
            <w:pPr>
              <w:ind w:left="360" w:hanging="360"/>
              <w:rPr>
                <w:b/>
              </w:rPr>
            </w:pPr>
          </w:p>
          <w:p w14:paraId="37A34F2E" w14:textId="77777777" w:rsidR="000304B2" w:rsidRPr="0099116D" w:rsidRDefault="000304B2" w:rsidP="000304B2">
            <w:pPr>
              <w:ind w:left="360" w:hanging="360"/>
            </w:pPr>
            <w:r w:rsidRPr="0099116D">
              <w:rPr>
                <w:b/>
              </w:rPr>
              <w:t>Eligibility:</w:t>
            </w:r>
            <w:r w:rsidRPr="0099116D">
              <w:t xml:space="preserve"> Only people who are eligible to work in UK are eligible for this </w:t>
            </w:r>
            <w:r w:rsidR="00BC7F87" w:rsidRPr="0099116D">
              <w:t xml:space="preserve">EU </w:t>
            </w:r>
            <w:r w:rsidRPr="0099116D">
              <w:t xml:space="preserve">programme.  </w:t>
            </w:r>
          </w:p>
          <w:p w14:paraId="37A34F2F" w14:textId="77777777" w:rsidR="003C7376" w:rsidRPr="0099116D" w:rsidRDefault="003C7376" w:rsidP="000304B2">
            <w:pPr>
              <w:autoSpaceDE w:val="0"/>
              <w:autoSpaceDN w:val="0"/>
              <w:adjustRightInd w:val="0"/>
              <w:ind w:left="360" w:hanging="360"/>
            </w:pPr>
          </w:p>
          <w:p w14:paraId="37A34F30" w14:textId="77777777" w:rsidR="00B07433" w:rsidRPr="0099116D" w:rsidRDefault="00B07433" w:rsidP="00B07433">
            <w:pPr>
              <w:autoSpaceDE w:val="0"/>
              <w:autoSpaceDN w:val="0"/>
              <w:adjustRightInd w:val="0"/>
              <w:ind w:left="360" w:hanging="360"/>
              <w:rPr>
                <w:b/>
              </w:rPr>
            </w:pPr>
            <w:r w:rsidRPr="0099116D">
              <w:rPr>
                <w:b/>
              </w:rPr>
              <w:t xml:space="preserve">IAG: </w:t>
            </w:r>
            <w:r w:rsidRPr="0099116D">
              <w:t>Information, advice and guidance service offered to participants.</w:t>
            </w:r>
            <w:r w:rsidRPr="0099116D">
              <w:rPr>
                <w:b/>
              </w:rPr>
              <w:t xml:space="preserve"> </w:t>
            </w:r>
          </w:p>
          <w:p w14:paraId="37A34F31" w14:textId="77777777" w:rsidR="00DA77E5" w:rsidRPr="0099116D" w:rsidRDefault="00DA77E5" w:rsidP="000304B2">
            <w:pPr>
              <w:autoSpaceDE w:val="0"/>
              <w:autoSpaceDN w:val="0"/>
              <w:adjustRightInd w:val="0"/>
              <w:ind w:left="360" w:hanging="360"/>
            </w:pPr>
          </w:p>
          <w:p w14:paraId="37A34F32" w14:textId="77777777" w:rsidR="00DA77E5" w:rsidRPr="0099116D" w:rsidRDefault="00DA77E5" w:rsidP="00DA77E5">
            <w:pPr>
              <w:autoSpaceDE w:val="0"/>
              <w:autoSpaceDN w:val="0"/>
              <w:adjustRightInd w:val="0"/>
              <w:ind w:left="360" w:hanging="360"/>
              <w:rPr>
                <w:rFonts w:cs="Arial"/>
                <w:iCs/>
                <w:lang w:eastAsia="en-GB"/>
              </w:rPr>
            </w:pPr>
            <w:r w:rsidRPr="0099116D">
              <w:rPr>
                <w:rFonts w:cs="Arial"/>
                <w:b/>
                <w:iCs/>
                <w:lang w:eastAsia="en-GB"/>
              </w:rPr>
              <w:t>Inactive</w:t>
            </w:r>
            <w:r w:rsidRPr="0099116D">
              <w:rPr>
                <w:rFonts w:cs="Arial"/>
                <w:iCs/>
                <w:lang w:eastAsia="en-GB"/>
              </w:rPr>
              <w:t>:  are persons currently not part of the labour force (in the sense that they are not employed or unemployed according to the definitions provided).</w:t>
            </w:r>
          </w:p>
          <w:p w14:paraId="37A34F33" w14:textId="77777777" w:rsidR="003A723F" w:rsidRPr="0099116D" w:rsidRDefault="00AA0B4C" w:rsidP="00DA77E5">
            <w:pPr>
              <w:autoSpaceDE w:val="0"/>
              <w:autoSpaceDN w:val="0"/>
              <w:adjustRightInd w:val="0"/>
              <w:ind w:left="360" w:hanging="360"/>
            </w:pPr>
            <w:r w:rsidRPr="0099116D">
              <w:t xml:space="preserve"> </w:t>
            </w:r>
          </w:p>
          <w:p w14:paraId="37A34F34" w14:textId="77777777" w:rsidR="00B07433" w:rsidRPr="0099116D" w:rsidRDefault="00B07433" w:rsidP="00B07433">
            <w:pPr>
              <w:autoSpaceDE w:val="0"/>
              <w:autoSpaceDN w:val="0"/>
              <w:adjustRightInd w:val="0"/>
              <w:ind w:left="360" w:hanging="360"/>
            </w:pPr>
            <w:r w:rsidRPr="0099116D">
              <w:rPr>
                <w:b/>
              </w:rPr>
              <w:t>Job Seeking:</w:t>
            </w:r>
            <w:r w:rsidRPr="0099116D">
              <w:t xml:space="preserve"> Where applicable, persons engaged in job seeking is understood to be persons usually without work and actively seeking work.</w:t>
            </w:r>
          </w:p>
          <w:p w14:paraId="37A34F35" w14:textId="77777777" w:rsidR="00B07433" w:rsidRDefault="00B07433" w:rsidP="00DA77E5">
            <w:pPr>
              <w:autoSpaceDE w:val="0"/>
              <w:autoSpaceDN w:val="0"/>
              <w:adjustRightInd w:val="0"/>
              <w:ind w:left="360" w:hanging="360"/>
            </w:pPr>
          </w:p>
          <w:p w14:paraId="0648C1E5" w14:textId="77777777" w:rsidR="00CC2261" w:rsidRPr="0099116D" w:rsidRDefault="00CC2261" w:rsidP="00CC2261">
            <w:pPr>
              <w:autoSpaceDE w:val="0"/>
              <w:autoSpaceDN w:val="0"/>
              <w:adjustRightInd w:val="0"/>
              <w:ind w:left="360" w:hanging="360"/>
            </w:pPr>
            <w:r w:rsidRPr="0099116D">
              <w:rPr>
                <w:b/>
              </w:rPr>
              <w:t>Micro Businesses:</w:t>
            </w:r>
            <w:r w:rsidRPr="0099116D">
              <w:t xml:space="preserve"> This relates to organisations employing less than 10 Employees </w:t>
            </w:r>
          </w:p>
          <w:p w14:paraId="14406AAA" w14:textId="77777777" w:rsidR="00CC2261" w:rsidRPr="0099116D" w:rsidRDefault="00CC2261" w:rsidP="00DA77E5">
            <w:pPr>
              <w:autoSpaceDE w:val="0"/>
              <w:autoSpaceDN w:val="0"/>
              <w:adjustRightInd w:val="0"/>
              <w:ind w:left="360" w:hanging="360"/>
            </w:pPr>
          </w:p>
          <w:p w14:paraId="37A34F36" w14:textId="25A21C1A" w:rsidR="000304B2" w:rsidRPr="0099116D" w:rsidRDefault="000304B2" w:rsidP="000304B2">
            <w:pPr>
              <w:autoSpaceDE w:val="0"/>
              <w:autoSpaceDN w:val="0"/>
              <w:adjustRightInd w:val="0"/>
              <w:ind w:left="360" w:hanging="360"/>
            </w:pPr>
            <w:r w:rsidRPr="0099116D">
              <w:rPr>
                <w:b/>
              </w:rPr>
              <w:t xml:space="preserve">Qualifications: </w:t>
            </w:r>
            <w:r w:rsidRPr="0099116D">
              <w:t xml:space="preserve">Qualification means a formal outcome assessment and validation process which is obtained when a competent body determines that </w:t>
            </w:r>
            <w:r w:rsidR="00CC2261" w:rsidRPr="0099116D">
              <w:t>a</w:t>
            </w:r>
            <w:r w:rsidRPr="0099116D">
              <w:t xml:space="preserve"> </w:t>
            </w:r>
            <w:r w:rsidR="00CC2261">
              <w:t>participant</w:t>
            </w:r>
            <w:r w:rsidRPr="0099116D">
              <w:t xml:space="preserve"> has achieved learning outcomes to given standards.  Regulated qualifications/aims are those listed in the Learning Aims Reference Service as being regulated.  Non-regulated aims are those listed in the Learning Aims Reference Service as being non-regulated.  </w:t>
            </w:r>
          </w:p>
          <w:p w14:paraId="37A34F37" w14:textId="77777777" w:rsidR="000304B2" w:rsidRPr="0099116D" w:rsidRDefault="000304B2" w:rsidP="000304B2">
            <w:pPr>
              <w:autoSpaceDE w:val="0"/>
              <w:autoSpaceDN w:val="0"/>
              <w:adjustRightInd w:val="0"/>
              <w:ind w:left="360" w:hanging="360"/>
            </w:pPr>
          </w:p>
          <w:p w14:paraId="37A34F38" w14:textId="77777777" w:rsidR="000304B2" w:rsidRPr="0099116D" w:rsidRDefault="00C107CE" w:rsidP="00C107CE">
            <w:pPr>
              <w:autoSpaceDE w:val="0"/>
              <w:autoSpaceDN w:val="0"/>
              <w:adjustRightInd w:val="0"/>
              <w:ind w:left="360" w:hanging="360"/>
            </w:pPr>
            <w:r w:rsidRPr="0099116D">
              <w:t xml:space="preserve">     </w:t>
            </w:r>
            <w:r w:rsidR="000304B2" w:rsidRPr="0099116D">
              <w:t>Regulated and non-regulated aims must be planned to be delivered within budget.</w:t>
            </w:r>
          </w:p>
          <w:p w14:paraId="37A34F39" w14:textId="77777777" w:rsidR="000304B2" w:rsidRPr="0099116D" w:rsidRDefault="000304B2" w:rsidP="00C107CE">
            <w:pPr>
              <w:autoSpaceDE w:val="0"/>
              <w:autoSpaceDN w:val="0"/>
              <w:adjustRightInd w:val="0"/>
              <w:ind w:left="360" w:hanging="360"/>
            </w:pPr>
          </w:p>
          <w:p w14:paraId="37A34F3A" w14:textId="77777777" w:rsidR="000304B2" w:rsidRPr="0099116D" w:rsidRDefault="00C107CE" w:rsidP="00C107CE">
            <w:pPr>
              <w:autoSpaceDE w:val="0"/>
              <w:autoSpaceDN w:val="0"/>
              <w:adjustRightInd w:val="0"/>
              <w:ind w:left="360" w:hanging="360"/>
            </w:pPr>
            <w:r w:rsidRPr="0099116D">
              <w:t xml:space="preserve">     </w:t>
            </w:r>
            <w:r w:rsidR="000304B2" w:rsidRPr="0099116D">
              <w:t>Qualification rates are based on the published LARS rates at the start of the contract.</w:t>
            </w:r>
          </w:p>
          <w:p w14:paraId="37A34F3B" w14:textId="77777777" w:rsidR="000304B2" w:rsidRPr="0099116D" w:rsidRDefault="000304B2" w:rsidP="000304B2">
            <w:pPr>
              <w:autoSpaceDE w:val="0"/>
              <w:autoSpaceDN w:val="0"/>
              <w:adjustRightInd w:val="0"/>
              <w:ind w:left="360" w:hanging="360"/>
            </w:pPr>
          </w:p>
          <w:p w14:paraId="37A34F3C" w14:textId="0BAA7259" w:rsidR="000304B2" w:rsidRPr="0099116D" w:rsidRDefault="000304B2" w:rsidP="000304B2">
            <w:pPr>
              <w:autoSpaceDE w:val="0"/>
              <w:autoSpaceDN w:val="0"/>
              <w:adjustRightInd w:val="0"/>
              <w:ind w:left="360" w:hanging="360"/>
            </w:pPr>
            <w:r w:rsidRPr="0099116D">
              <w:rPr>
                <w:b/>
              </w:rPr>
              <w:t xml:space="preserve">Services:  </w:t>
            </w:r>
            <w:r w:rsidRPr="0099116D">
              <w:t xml:space="preserve">The provision of education, training or support delivered to </w:t>
            </w:r>
            <w:r w:rsidR="00CC2261">
              <w:t>participan</w:t>
            </w:r>
            <w:r w:rsidR="00CC2261" w:rsidRPr="0099116D">
              <w:t>ts</w:t>
            </w:r>
            <w:r w:rsidRPr="0099116D">
              <w:t>.</w:t>
            </w:r>
          </w:p>
          <w:p w14:paraId="37A34F3D" w14:textId="77777777" w:rsidR="000304B2" w:rsidRDefault="000304B2" w:rsidP="000304B2">
            <w:pPr>
              <w:autoSpaceDE w:val="0"/>
              <w:autoSpaceDN w:val="0"/>
              <w:adjustRightInd w:val="0"/>
              <w:ind w:left="360" w:hanging="360"/>
            </w:pPr>
          </w:p>
          <w:p w14:paraId="322D8A43" w14:textId="181DFD91" w:rsidR="00CC2261" w:rsidRDefault="00CC2261" w:rsidP="000304B2">
            <w:pPr>
              <w:autoSpaceDE w:val="0"/>
              <w:autoSpaceDN w:val="0"/>
              <w:adjustRightInd w:val="0"/>
              <w:ind w:left="360" w:hanging="360"/>
            </w:pPr>
            <w:r w:rsidRPr="0099116D">
              <w:rPr>
                <w:b/>
              </w:rPr>
              <w:t>Small and Medium sized Enterprises</w:t>
            </w:r>
            <w:r w:rsidRPr="0099116D">
              <w:t>: This applies to organisations employing less than 250 employees</w:t>
            </w:r>
          </w:p>
          <w:p w14:paraId="51955341" w14:textId="77777777" w:rsidR="00CC2261" w:rsidRPr="0099116D" w:rsidRDefault="00CC2261" w:rsidP="000304B2">
            <w:pPr>
              <w:autoSpaceDE w:val="0"/>
              <w:autoSpaceDN w:val="0"/>
              <w:adjustRightInd w:val="0"/>
              <w:ind w:left="360" w:hanging="360"/>
            </w:pPr>
          </w:p>
          <w:p w14:paraId="37A34F3E" w14:textId="77777777" w:rsidR="000304B2" w:rsidRPr="0099116D" w:rsidRDefault="00B07433" w:rsidP="000304B2">
            <w:pPr>
              <w:autoSpaceDE w:val="0"/>
              <w:autoSpaceDN w:val="0"/>
              <w:adjustRightInd w:val="0"/>
              <w:ind w:left="360" w:hanging="360"/>
            </w:pPr>
            <w:r w:rsidRPr="0099116D">
              <w:rPr>
                <w:b/>
              </w:rPr>
              <w:t>Status</w:t>
            </w:r>
            <w:r w:rsidR="000304B2" w:rsidRPr="0099116D">
              <w:rPr>
                <w:b/>
              </w:rPr>
              <w:t>:</w:t>
            </w:r>
            <w:r w:rsidR="000304B2" w:rsidRPr="0099116D">
              <w:t xml:space="preserve"> Employment status and age are determined on the date of starting on the</w:t>
            </w:r>
            <w:r w:rsidR="00E82E42" w:rsidRPr="0099116D">
              <w:t xml:space="preserve"> Services</w:t>
            </w:r>
            <w:r w:rsidR="000304B2" w:rsidRPr="0099116D">
              <w:t>.</w:t>
            </w:r>
            <w:r w:rsidR="000304B2" w:rsidRPr="0099116D">
              <w:rPr>
                <w:b/>
              </w:rPr>
              <w:t xml:space="preserve"> </w:t>
            </w:r>
          </w:p>
          <w:p w14:paraId="37A34F3F" w14:textId="77777777" w:rsidR="000304B2" w:rsidRPr="0099116D" w:rsidRDefault="000304B2" w:rsidP="000304B2">
            <w:pPr>
              <w:autoSpaceDE w:val="0"/>
              <w:autoSpaceDN w:val="0"/>
              <w:adjustRightInd w:val="0"/>
              <w:ind w:left="360" w:hanging="360"/>
            </w:pPr>
          </w:p>
          <w:p w14:paraId="37A34F40" w14:textId="77777777" w:rsidR="000304B2" w:rsidRPr="0099116D" w:rsidRDefault="000304B2" w:rsidP="000304B2">
            <w:pPr>
              <w:autoSpaceDE w:val="0"/>
              <w:autoSpaceDN w:val="0"/>
              <w:adjustRightInd w:val="0"/>
              <w:ind w:left="360" w:hanging="360"/>
            </w:pPr>
            <w:r w:rsidRPr="0099116D">
              <w:rPr>
                <w:b/>
              </w:rPr>
              <w:t>Survey</w:t>
            </w:r>
            <w:r w:rsidRPr="0099116D">
              <w:t>: Where applicable, long term sustained outcomes over 6 months will be monitored separately.  Some ESF indicators will be collected by survey by the ESF Managing Authority directly from the participants.</w:t>
            </w:r>
          </w:p>
          <w:p w14:paraId="37A34F41" w14:textId="77777777" w:rsidR="005A1D76" w:rsidRPr="0099116D" w:rsidRDefault="005A1D76" w:rsidP="000304B2">
            <w:pPr>
              <w:autoSpaceDE w:val="0"/>
              <w:autoSpaceDN w:val="0"/>
              <w:adjustRightInd w:val="0"/>
              <w:ind w:left="360" w:hanging="360"/>
            </w:pPr>
          </w:p>
          <w:p w14:paraId="37A34F46" w14:textId="17D31CD2" w:rsidR="00043303" w:rsidRPr="0099116D" w:rsidRDefault="005A1D76" w:rsidP="00CC2261">
            <w:pPr>
              <w:autoSpaceDE w:val="0"/>
              <w:autoSpaceDN w:val="0"/>
              <w:adjustRightInd w:val="0"/>
              <w:ind w:left="360" w:hanging="360"/>
            </w:pPr>
            <w:r w:rsidRPr="0099116D">
              <w:rPr>
                <w:b/>
              </w:rPr>
              <w:t>Unemployed:</w:t>
            </w:r>
            <w:r w:rsidRPr="0099116D">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7A34F47" w14:textId="77777777" w:rsidR="00200BC6" w:rsidRPr="0099116D" w:rsidRDefault="00200BC6" w:rsidP="00B07433">
            <w:pPr>
              <w:autoSpaceDE w:val="0"/>
              <w:autoSpaceDN w:val="0"/>
              <w:adjustRightInd w:val="0"/>
              <w:ind w:left="360" w:hanging="360"/>
            </w:pPr>
          </w:p>
        </w:tc>
      </w:tr>
      <w:tr w:rsidR="0099116D" w:rsidRPr="0099116D" w14:paraId="37A34F4A" w14:textId="77777777" w:rsidTr="528D0592">
        <w:trPr>
          <w:trHeight w:val="567"/>
        </w:trPr>
        <w:tc>
          <w:tcPr>
            <w:tcW w:w="9088" w:type="dxa"/>
            <w:shd w:val="clear" w:color="auto" w:fill="D9D9D9" w:themeFill="background1" w:themeFillShade="D9"/>
            <w:vAlign w:val="center"/>
          </w:tcPr>
          <w:p w14:paraId="37A34F49" w14:textId="77777777" w:rsidR="00967429" w:rsidRPr="0099116D" w:rsidRDefault="002E25F4" w:rsidP="00C107CE">
            <w:pPr>
              <w:autoSpaceDE w:val="0"/>
              <w:autoSpaceDN w:val="0"/>
              <w:adjustRightInd w:val="0"/>
              <w:rPr>
                <w:rFonts w:cs="Arial"/>
                <w:b/>
                <w:lang w:eastAsia="en-GB"/>
              </w:rPr>
            </w:pPr>
            <w:r w:rsidRPr="0099116D">
              <w:rPr>
                <w:rFonts w:cs="Arial"/>
                <w:b/>
                <w:lang w:eastAsia="en-GB"/>
              </w:rPr>
              <w:lastRenderedPageBreak/>
              <w:t>SERVICE REQUIREMENTS</w:t>
            </w:r>
          </w:p>
        </w:tc>
      </w:tr>
      <w:tr w:rsidR="0099116D" w:rsidRPr="0099116D" w14:paraId="37A34FD9" w14:textId="77777777" w:rsidTr="528D0592">
        <w:tc>
          <w:tcPr>
            <w:tcW w:w="9088" w:type="dxa"/>
          </w:tcPr>
          <w:p w14:paraId="37A34F4B" w14:textId="77777777" w:rsidR="000D51DE" w:rsidRPr="0099116D" w:rsidRDefault="000D51DE" w:rsidP="00A524B5">
            <w:pPr>
              <w:rPr>
                <w:rFonts w:cs="Arial"/>
                <w:b/>
              </w:rPr>
            </w:pPr>
          </w:p>
          <w:p w14:paraId="37A34F4C" w14:textId="77777777" w:rsidR="002E25F4" w:rsidRPr="0099116D" w:rsidRDefault="002E25F4" w:rsidP="00A524B5">
            <w:pPr>
              <w:rPr>
                <w:rFonts w:cs="Arial"/>
                <w:b/>
              </w:rPr>
            </w:pPr>
            <w:r w:rsidRPr="0099116D">
              <w:rPr>
                <w:rFonts w:cs="Arial"/>
                <w:b/>
              </w:rPr>
              <w:t xml:space="preserve">General </w:t>
            </w:r>
            <w:r w:rsidR="00EA180F" w:rsidRPr="0099116D">
              <w:rPr>
                <w:rFonts w:cs="Arial"/>
                <w:b/>
              </w:rPr>
              <w:t>Service Requirements</w:t>
            </w:r>
          </w:p>
          <w:p w14:paraId="37A34F4D" w14:textId="77777777" w:rsidR="00EA180F" w:rsidRPr="0099116D" w:rsidRDefault="00EA180F" w:rsidP="00A524B5">
            <w:pPr>
              <w:rPr>
                <w:rFonts w:cs="Arial"/>
                <w:b/>
              </w:rPr>
            </w:pPr>
          </w:p>
          <w:p w14:paraId="37A34F4E" w14:textId="77777777" w:rsidR="002E25F4" w:rsidRPr="0099116D" w:rsidRDefault="002E25F4" w:rsidP="00A524B5">
            <w:pPr>
              <w:rPr>
                <w:rFonts w:cs="Arial"/>
              </w:rPr>
            </w:pPr>
            <w:r w:rsidRPr="0099116D">
              <w:rPr>
                <w:rFonts w:cs="Arial"/>
              </w:rPr>
              <w:t>All activities must complement and avoid duplication with other provision, thereby adding value to D</w:t>
            </w:r>
            <w:r w:rsidR="00F3689D" w:rsidRPr="0099116D">
              <w:rPr>
                <w:rFonts w:cs="Arial"/>
              </w:rPr>
              <w:t xml:space="preserve">epartment for </w:t>
            </w:r>
            <w:r w:rsidRPr="0099116D">
              <w:rPr>
                <w:rFonts w:cs="Arial"/>
              </w:rPr>
              <w:t>W</w:t>
            </w:r>
            <w:r w:rsidR="00F3689D" w:rsidRPr="0099116D">
              <w:rPr>
                <w:rFonts w:cs="Arial"/>
              </w:rPr>
              <w:t xml:space="preserve">ork and </w:t>
            </w:r>
            <w:r w:rsidRPr="0099116D">
              <w:rPr>
                <w:rFonts w:cs="Arial"/>
              </w:rPr>
              <w:t>P</w:t>
            </w:r>
            <w:r w:rsidR="00F3689D" w:rsidRPr="0099116D">
              <w:rPr>
                <w:rFonts w:cs="Arial"/>
              </w:rPr>
              <w:t>ensions</w:t>
            </w:r>
            <w:r w:rsidRPr="0099116D">
              <w:rPr>
                <w:rFonts w:cs="Arial"/>
              </w:rPr>
              <w:t>/Big Lottery</w:t>
            </w:r>
            <w:r w:rsidR="00581451" w:rsidRPr="0099116D">
              <w:rPr>
                <w:rFonts w:cs="Arial"/>
              </w:rPr>
              <w:t>, E</w:t>
            </w:r>
            <w:r w:rsidR="00F3689D" w:rsidRPr="0099116D">
              <w:rPr>
                <w:rFonts w:cs="Arial"/>
              </w:rPr>
              <w:t xml:space="preserve">ducation </w:t>
            </w:r>
            <w:r w:rsidR="00581451" w:rsidRPr="0099116D">
              <w:rPr>
                <w:rFonts w:cs="Arial"/>
              </w:rPr>
              <w:t>F</w:t>
            </w:r>
            <w:r w:rsidR="00F3689D" w:rsidRPr="0099116D">
              <w:rPr>
                <w:rFonts w:cs="Arial"/>
              </w:rPr>
              <w:t xml:space="preserve">unding </w:t>
            </w:r>
            <w:r w:rsidR="00581451" w:rsidRPr="0099116D">
              <w:rPr>
                <w:rFonts w:cs="Arial"/>
              </w:rPr>
              <w:t>A</w:t>
            </w:r>
            <w:r w:rsidR="00F3689D" w:rsidRPr="0099116D">
              <w:rPr>
                <w:rFonts w:cs="Arial"/>
              </w:rPr>
              <w:t>gency</w:t>
            </w:r>
            <w:r w:rsidR="00581451" w:rsidRPr="0099116D">
              <w:rPr>
                <w:rFonts w:cs="Arial"/>
              </w:rPr>
              <w:t>,</w:t>
            </w:r>
            <w:r w:rsidRPr="0099116D">
              <w:rPr>
                <w:rFonts w:cs="Arial"/>
              </w:rPr>
              <w:t xml:space="preserve"> Skills Funding Agency</w:t>
            </w:r>
            <w:r w:rsidR="00C107CE" w:rsidRPr="0099116D">
              <w:rPr>
                <w:rFonts w:cs="Arial"/>
              </w:rPr>
              <w:t>, local</w:t>
            </w:r>
            <w:r w:rsidR="00581451" w:rsidRPr="0099116D">
              <w:rPr>
                <w:rFonts w:cs="Arial"/>
              </w:rPr>
              <w:t xml:space="preserve"> authority</w:t>
            </w:r>
            <w:r w:rsidR="00C0243B" w:rsidRPr="0099116D">
              <w:rPr>
                <w:rFonts w:cs="Arial"/>
              </w:rPr>
              <w:t>,</w:t>
            </w:r>
            <w:r w:rsidR="00581451" w:rsidRPr="0099116D">
              <w:rPr>
                <w:rFonts w:cs="Arial"/>
              </w:rPr>
              <w:t xml:space="preserve"> </w:t>
            </w:r>
            <w:r w:rsidR="00C0243B" w:rsidRPr="0099116D">
              <w:rPr>
                <w:rFonts w:cs="Arial"/>
              </w:rPr>
              <w:t>N</w:t>
            </w:r>
            <w:r w:rsidR="00F3689D" w:rsidRPr="0099116D">
              <w:rPr>
                <w:rFonts w:cs="Arial"/>
              </w:rPr>
              <w:t xml:space="preserve">ational </w:t>
            </w:r>
            <w:r w:rsidR="00C0243B" w:rsidRPr="0099116D">
              <w:rPr>
                <w:rFonts w:cs="Arial"/>
              </w:rPr>
              <w:t>C</w:t>
            </w:r>
            <w:r w:rsidR="00F3689D" w:rsidRPr="0099116D">
              <w:rPr>
                <w:rFonts w:cs="Arial"/>
              </w:rPr>
              <w:t xml:space="preserve">areers </w:t>
            </w:r>
            <w:r w:rsidR="00C0243B" w:rsidRPr="0099116D">
              <w:rPr>
                <w:rFonts w:cs="Arial"/>
              </w:rPr>
              <w:t>S</w:t>
            </w:r>
            <w:r w:rsidR="00F3689D" w:rsidRPr="0099116D">
              <w:rPr>
                <w:rFonts w:cs="Arial"/>
              </w:rPr>
              <w:t>ervice</w:t>
            </w:r>
            <w:r w:rsidR="00C0243B" w:rsidRPr="0099116D">
              <w:rPr>
                <w:rFonts w:cs="Arial"/>
              </w:rPr>
              <w:t xml:space="preserve"> and the new Careers Enterprise Company </w:t>
            </w:r>
            <w:r w:rsidRPr="0099116D">
              <w:rPr>
                <w:rFonts w:cs="Arial"/>
              </w:rPr>
              <w:t xml:space="preserve">funded provision. </w:t>
            </w:r>
            <w:r w:rsidR="0006724D" w:rsidRPr="0099116D">
              <w:rPr>
                <w:rFonts w:cs="Arial"/>
              </w:rPr>
              <w:t xml:space="preserve"> </w:t>
            </w:r>
            <w:r w:rsidRPr="0099116D">
              <w:rPr>
                <w:rFonts w:cs="Arial"/>
              </w:rPr>
              <w:t xml:space="preserve">Successful </w:t>
            </w:r>
            <w:r w:rsidR="00C6219F" w:rsidRPr="0099116D">
              <w:rPr>
                <w:rFonts w:cs="Arial"/>
              </w:rPr>
              <w:t>candidate</w:t>
            </w:r>
            <w:r w:rsidRPr="0099116D">
              <w:rPr>
                <w:rFonts w:cs="Arial"/>
              </w:rPr>
              <w:t>s will be required to ensure that ESF provision will clearly add value and not duplicate any provision that can be arranged locally through existing mainstream institutions.</w:t>
            </w:r>
          </w:p>
          <w:p w14:paraId="37A34F4F" w14:textId="77777777" w:rsidR="00ED156A" w:rsidRPr="0099116D" w:rsidRDefault="00ED156A" w:rsidP="00A524B5">
            <w:pPr>
              <w:rPr>
                <w:rFonts w:cs="Arial"/>
              </w:rPr>
            </w:pPr>
          </w:p>
          <w:p w14:paraId="37A34F50" w14:textId="77777777" w:rsidR="0031325C" w:rsidRPr="0099116D" w:rsidRDefault="00ED156A" w:rsidP="00A524B5">
            <w:pPr>
              <w:rPr>
                <w:rFonts w:cs="Arial"/>
                <w:b/>
                <w:i/>
              </w:rPr>
            </w:pPr>
            <w:r w:rsidRPr="0099116D">
              <w:rPr>
                <w:rFonts w:cs="Arial"/>
                <w:b/>
                <w:i/>
              </w:rPr>
              <w:t>Capacity and readiness to deliver</w:t>
            </w:r>
          </w:p>
          <w:p w14:paraId="37A34F51" w14:textId="77777777" w:rsidR="00ED156A" w:rsidRPr="0099116D" w:rsidRDefault="00ED156A" w:rsidP="00ED156A">
            <w:pPr>
              <w:autoSpaceDE w:val="0"/>
              <w:autoSpaceDN w:val="0"/>
              <w:adjustRightInd w:val="0"/>
              <w:rPr>
                <w:rFonts w:cs="Arial"/>
              </w:rPr>
            </w:pPr>
            <w:r w:rsidRPr="0099116D">
              <w:rPr>
                <w:rFonts w:cs="Arial"/>
              </w:rPr>
              <w:t>Candidates must have:</w:t>
            </w:r>
          </w:p>
          <w:p w14:paraId="37A34F52" w14:textId="77777777" w:rsidR="00810BFF" w:rsidRPr="0099116D" w:rsidRDefault="00810BFF" w:rsidP="00810BFF">
            <w:pPr>
              <w:pStyle w:val="ListParagraph"/>
              <w:numPr>
                <w:ilvl w:val="0"/>
                <w:numId w:val="10"/>
              </w:numPr>
              <w:rPr>
                <w:rFonts w:cs="Arial"/>
                <w:szCs w:val="22"/>
              </w:rPr>
            </w:pPr>
            <w:r w:rsidRPr="0099116D">
              <w:rPr>
                <w:rFonts w:cs="Arial"/>
                <w:szCs w:val="22"/>
              </w:rPr>
              <w:t>The resources to offer very locally tailored solutions and flexible delivery to meet the skills and apprenticeship priorities of employers.</w:t>
            </w:r>
          </w:p>
          <w:p w14:paraId="37A34F53" w14:textId="77777777" w:rsidR="00ED156A" w:rsidRPr="0099116D" w:rsidRDefault="00ED156A" w:rsidP="00810BFF">
            <w:pPr>
              <w:pStyle w:val="ListParagraph"/>
              <w:numPr>
                <w:ilvl w:val="0"/>
                <w:numId w:val="10"/>
              </w:numPr>
              <w:rPr>
                <w:rFonts w:cs="Arial"/>
                <w:lang w:eastAsia="en-GB"/>
              </w:rPr>
            </w:pPr>
            <w:r w:rsidRPr="0099116D">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37A34F54" w14:textId="0934DBCA" w:rsidR="002F71DB" w:rsidRPr="0099116D" w:rsidRDefault="002F71DB" w:rsidP="00810BFF">
            <w:pPr>
              <w:pStyle w:val="ListParagraph"/>
              <w:numPr>
                <w:ilvl w:val="0"/>
                <w:numId w:val="10"/>
              </w:numPr>
              <w:rPr>
                <w:rFonts w:cs="Arial"/>
                <w:lang w:eastAsia="en-GB"/>
              </w:rPr>
            </w:pPr>
            <w:r w:rsidRPr="0099116D">
              <w:rPr>
                <w:rFonts w:cs="Arial"/>
                <w:lang w:eastAsia="en-GB"/>
              </w:rPr>
              <w:t xml:space="preserve">Candidates must be able to demonstrate the ability to undertake robust initial assessment of eligible </w:t>
            </w:r>
            <w:r w:rsidR="00CC2261">
              <w:rPr>
                <w:rFonts w:cs="Arial"/>
                <w:lang w:eastAsia="en-GB"/>
              </w:rPr>
              <w:t>participan</w:t>
            </w:r>
            <w:r w:rsidR="00CC2261" w:rsidRPr="0099116D">
              <w:rPr>
                <w:rFonts w:cs="Arial"/>
                <w:lang w:eastAsia="en-GB"/>
              </w:rPr>
              <w:t>ts</w:t>
            </w:r>
            <w:r w:rsidRPr="0099116D">
              <w:rPr>
                <w:rFonts w:cs="Arial"/>
                <w:lang w:eastAsia="en-GB"/>
              </w:rPr>
              <w:t xml:space="preserve">.  Vocational training delivered must be regulated units and qualifications on the Qualifications and Curriculum Framework and be able to support </w:t>
            </w:r>
            <w:r w:rsidR="00CC2261">
              <w:rPr>
                <w:rFonts w:cs="Arial"/>
                <w:lang w:eastAsia="en-GB"/>
              </w:rPr>
              <w:t>participan</w:t>
            </w:r>
            <w:r w:rsidR="00CC2261" w:rsidRPr="0099116D">
              <w:rPr>
                <w:rFonts w:cs="Arial"/>
                <w:lang w:eastAsia="en-GB"/>
              </w:rPr>
              <w:t>ts</w:t>
            </w:r>
            <w:r w:rsidRPr="0099116D">
              <w:rPr>
                <w:rFonts w:cs="Arial"/>
                <w:lang w:eastAsia="en-GB"/>
              </w:rPr>
              <w:t xml:space="preserve"> into higher levels of training and workplace </w:t>
            </w:r>
            <w:r w:rsidR="005A1D76" w:rsidRPr="0099116D">
              <w:rPr>
                <w:rFonts w:cs="Arial"/>
                <w:lang w:eastAsia="en-GB"/>
              </w:rPr>
              <w:t>progression</w:t>
            </w:r>
          </w:p>
          <w:p w14:paraId="37A34F55" w14:textId="77777777" w:rsidR="00ED156A" w:rsidRPr="0099116D" w:rsidRDefault="00ED156A" w:rsidP="00515602">
            <w:pPr>
              <w:rPr>
                <w:rFonts w:cs="Arial"/>
                <w:lang w:eastAsia="en-GB"/>
              </w:rPr>
            </w:pPr>
          </w:p>
          <w:p w14:paraId="37A34F56" w14:textId="77777777" w:rsidR="00ED156A" w:rsidRPr="0099116D" w:rsidRDefault="00ED156A" w:rsidP="00515602">
            <w:pPr>
              <w:rPr>
                <w:rFonts w:cs="Arial"/>
                <w:b/>
                <w:i/>
                <w:lang w:eastAsia="en-GB"/>
              </w:rPr>
            </w:pPr>
            <w:r w:rsidRPr="0099116D">
              <w:rPr>
                <w:rFonts w:cs="Arial"/>
                <w:b/>
                <w:i/>
                <w:lang w:eastAsia="en-GB"/>
              </w:rPr>
              <w:t>Track record</w:t>
            </w:r>
          </w:p>
          <w:p w14:paraId="37A34F57" w14:textId="77777777" w:rsidR="00ED156A" w:rsidRPr="0099116D" w:rsidRDefault="00812EC6" w:rsidP="00515602">
            <w:pPr>
              <w:rPr>
                <w:rFonts w:cs="Arial"/>
                <w:szCs w:val="22"/>
              </w:rPr>
            </w:pPr>
            <w:r w:rsidRPr="0099116D">
              <w:rPr>
                <w:rFonts w:cs="Arial"/>
              </w:rPr>
              <w:t>T</w:t>
            </w:r>
            <w:r w:rsidRPr="0099116D">
              <w:rPr>
                <w:rFonts w:cs="Arial"/>
                <w:szCs w:val="22"/>
              </w:rPr>
              <w:t xml:space="preserve">he ability to deliver the required activity, based on a track record in the successful delivery and management of this type </w:t>
            </w:r>
            <w:r w:rsidR="00273291" w:rsidRPr="0099116D">
              <w:rPr>
                <w:rFonts w:cs="Arial"/>
                <w:szCs w:val="22"/>
              </w:rPr>
              <w:t xml:space="preserve">and size </w:t>
            </w:r>
            <w:r w:rsidRPr="0099116D">
              <w:rPr>
                <w:rFonts w:cs="Arial"/>
                <w:szCs w:val="22"/>
              </w:rPr>
              <w:t>of programme</w:t>
            </w:r>
          </w:p>
          <w:p w14:paraId="37A34F58" w14:textId="77777777" w:rsidR="00E43DDB" w:rsidRPr="0099116D" w:rsidRDefault="00E43DDB" w:rsidP="00515602">
            <w:pPr>
              <w:rPr>
                <w:rFonts w:cs="Arial"/>
                <w:szCs w:val="22"/>
              </w:rPr>
            </w:pPr>
          </w:p>
          <w:p w14:paraId="37A34F59" w14:textId="77777777" w:rsidR="00E43DDB" w:rsidRPr="0099116D" w:rsidRDefault="00E43DDB" w:rsidP="00E43DDB">
            <w:pPr>
              <w:rPr>
                <w:rFonts w:cs="Arial"/>
                <w:b/>
                <w:i/>
                <w:lang w:eastAsia="en-GB"/>
              </w:rPr>
            </w:pPr>
            <w:r w:rsidRPr="0099116D">
              <w:rPr>
                <w:rFonts w:cs="Arial"/>
                <w:b/>
                <w:i/>
                <w:lang w:eastAsia="en-GB"/>
              </w:rPr>
              <w:lastRenderedPageBreak/>
              <w:t>Information, Advice and Guidance</w:t>
            </w:r>
          </w:p>
          <w:p w14:paraId="37A34F5A" w14:textId="77777777" w:rsidR="00E43DDB" w:rsidRPr="0099116D" w:rsidRDefault="00E43DDB" w:rsidP="00E43DDB">
            <w:pPr>
              <w:rPr>
                <w:rFonts w:cs="Arial"/>
                <w:lang w:eastAsia="en-GB"/>
              </w:rPr>
            </w:pPr>
            <w:r w:rsidRPr="0099116D">
              <w:rPr>
                <w:rFonts w:cs="Arial"/>
                <w:lang w:eastAsia="en-GB"/>
              </w:rPr>
              <w:t>Where the activity requires effective Information, Advice and Guidance successful</w:t>
            </w:r>
          </w:p>
          <w:p w14:paraId="37A34F5B" w14:textId="77777777" w:rsidR="00E43DDB" w:rsidRPr="0099116D" w:rsidRDefault="00E43DDB" w:rsidP="00E43DDB">
            <w:pPr>
              <w:rPr>
                <w:rFonts w:cs="Arial"/>
                <w:lang w:eastAsia="en-GB"/>
              </w:rPr>
            </w:pPr>
            <w:r w:rsidRPr="0099116D">
              <w:rPr>
                <w:rFonts w:cs="Arial"/>
                <w:lang w:eastAsia="en-GB"/>
              </w:rPr>
              <w:t>applicants and/or subcontractors delivering this element will either hold or be</w:t>
            </w:r>
          </w:p>
          <w:p w14:paraId="37A34F5C" w14:textId="77777777" w:rsidR="00E43DDB" w:rsidRPr="0099116D" w:rsidRDefault="00E43DDB" w:rsidP="00E43DDB">
            <w:pPr>
              <w:rPr>
                <w:rFonts w:cs="Arial"/>
                <w:lang w:eastAsia="en-GB"/>
              </w:rPr>
            </w:pPr>
            <w:r w:rsidRPr="0099116D">
              <w:rPr>
                <w:rFonts w:cs="Arial"/>
                <w:lang w:eastAsia="en-GB"/>
              </w:rPr>
              <w:t>working towards the Matrix standard.</w:t>
            </w:r>
          </w:p>
          <w:p w14:paraId="37A34F5D" w14:textId="77777777" w:rsidR="00E43DDB" w:rsidRPr="0099116D" w:rsidRDefault="00E43DDB" w:rsidP="00E43DDB">
            <w:pPr>
              <w:rPr>
                <w:rFonts w:cs="Arial"/>
                <w:lang w:eastAsia="en-GB"/>
              </w:rPr>
            </w:pPr>
          </w:p>
          <w:p w14:paraId="37A34F5E" w14:textId="77777777" w:rsidR="00ED156A" w:rsidRPr="0099116D" w:rsidRDefault="002E25F4" w:rsidP="00A524B5">
            <w:pPr>
              <w:rPr>
                <w:rFonts w:cs="Arial"/>
              </w:rPr>
            </w:pPr>
            <w:r w:rsidRPr="0099116D">
              <w:rPr>
                <w:rFonts w:cs="Arial"/>
                <w:b/>
                <w:i/>
              </w:rPr>
              <w:t>Management and quality assurance</w:t>
            </w:r>
          </w:p>
          <w:p w14:paraId="37A34F5F" w14:textId="77777777" w:rsidR="002E25F4" w:rsidRPr="0099116D" w:rsidRDefault="002E25F4" w:rsidP="00A524B5">
            <w:pPr>
              <w:rPr>
                <w:rFonts w:cs="Arial"/>
              </w:rPr>
            </w:pPr>
            <w:r w:rsidRPr="0099116D">
              <w:rPr>
                <w:rFonts w:cs="Arial"/>
              </w:rPr>
              <w:t>Candidates will need to have effective management arrangements in place to ensure all of the req</w:t>
            </w:r>
            <w:r w:rsidR="001E712C" w:rsidRPr="0099116D">
              <w:rPr>
                <w:rFonts w:cs="Arial"/>
              </w:rPr>
              <w:t>uirements of this specification are fulfilled</w:t>
            </w:r>
            <w:r w:rsidRPr="0099116D">
              <w:rPr>
                <w:rFonts w:cs="Arial"/>
              </w:rPr>
              <w:t xml:space="preserve">. </w:t>
            </w:r>
            <w:r w:rsidR="00F45857" w:rsidRPr="0099116D">
              <w:rPr>
                <w:rFonts w:cs="Arial"/>
              </w:rPr>
              <w:t xml:space="preserve"> </w:t>
            </w:r>
            <w:r w:rsidRPr="0099116D">
              <w:rPr>
                <w:rFonts w:cs="Arial"/>
              </w:rPr>
              <w:t>The Services must be delivered to a high quality and successful tenderers will need to have in place quality assurance and improvement processes.</w:t>
            </w:r>
          </w:p>
          <w:p w14:paraId="37A34F60" w14:textId="77777777" w:rsidR="00B06A9F" w:rsidRPr="0099116D" w:rsidRDefault="00B06A9F" w:rsidP="00A524B5">
            <w:pPr>
              <w:rPr>
                <w:rFonts w:cs="Arial"/>
              </w:rPr>
            </w:pPr>
          </w:p>
          <w:p w14:paraId="37A34F61" w14:textId="77777777" w:rsidR="00B06A9F" w:rsidRPr="0099116D" w:rsidRDefault="00B06A9F" w:rsidP="00515602">
            <w:pPr>
              <w:rPr>
                <w:rFonts w:cs="Arial"/>
              </w:rPr>
            </w:pPr>
            <w:r w:rsidRPr="0099116D">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7A34F62" w14:textId="77777777" w:rsidR="00810BFF" w:rsidRPr="0099116D" w:rsidRDefault="00810BFF" w:rsidP="00515602">
            <w:pPr>
              <w:rPr>
                <w:rFonts w:cs="Arial"/>
              </w:rPr>
            </w:pPr>
          </w:p>
          <w:p w14:paraId="37A34F63" w14:textId="77777777" w:rsidR="00D008CB" w:rsidRPr="0099116D" w:rsidRDefault="00D008CB" w:rsidP="00D008CB">
            <w:pPr>
              <w:rPr>
                <w:rFonts w:cs="Arial"/>
              </w:rPr>
            </w:pPr>
            <w:r w:rsidRPr="0099116D">
              <w:rPr>
                <w:rFonts w:cs="Arial"/>
              </w:rPr>
              <w:t>Candidates should also share appropriate data with other ESF programmes and evaluations in-line with Data Protection law.  Candidates will make the participants aware that their data will be used for evaluation.</w:t>
            </w:r>
          </w:p>
          <w:p w14:paraId="37A34F64" w14:textId="77777777" w:rsidR="001A4B05" w:rsidRPr="0099116D" w:rsidRDefault="001A4B05" w:rsidP="00A524B5">
            <w:pPr>
              <w:rPr>
                <w:rFonts w:cs="Arial"/>
              </w:rPr>
            </w:pPr>
          </w:p>
          <w:p w14:paraId="37A34F65" w14:textId="77777777" w:rsidR="002E25F4" w:rsidRPr="0099116D" w:rsidRDefault="002E25F4" w:rsidP="00A524B5">
            <w:pPr>
              <w:rPr>
                <w:rFonts w:cs="Arial"/>
              </w:rPr>
            </w:pPr>
            <w:r w:rsidRPr="0099116D">
              <w:rPr>
                <w:rFonts w:cs="Arial"/>
                <w:b/>
                <w:i/>
              </w:rPr>
              <w:t>Partnership working</w:t>
            </w:r>
          </w:p>
          <w:p w14:paraId="37A34F66" w14:textId="77777777" w:rsidR="002E25F4" w:rsidRPr="0099116D" w:rsidRDefault="002E25F4" w:rsidP="00A524B5">
            <w:pPr>
              <w:rPr>
                <w:rFonts w:cs="Arial"/>
              </w:rPr>
            </w:pPr>
            <w:r w:rsidRPr="0099116D">
              <w:rPr>
                <w:rFonts w:cs="Arial"/>
              </w:rPr>
              <w:t>Candidates will be required to work in partnership with other organisations delivering education and training in the area to ensure the Service is complementary to and not in competition with other funded provision.</w:t>
            </w:r>
          </w:p>
          <w:p w14:paraId="37A34F67" w14:textId="77777777" w:rsidR="002E25F4" w:rsidRPr="0099116D" w:rsidRDefault="002E25F4" w:rsidP="00A524B5">
            <w:pPr>
              <w:rPr>
                <w:rFonts w:cs="Arial"/>
              </w:rPr>
            </w:pPr>
          </w:p>
          <w:p w14:paraId="37A34F68" w14:textId="77777777" w:rsidR="002E25F4" w:rsidRPr="0099116D" w:rsidRDefault="002E25F4" w:rsidP="00A524B5">
            <w:pPr>
              <w:rPr>
                <w:rFonts w:cs="Arial"/>
              </w:rPr>
            </w:pPr>
            <w:r w:rsidRPr="0099116D">
              <w:rPr>
                <w:rFonts w:cs="Arial"/>
              </w:rPr>
              <w:t xml:space="preserve">The Service must be able to respond to changing local needs and opportunities, as well as policy changes. </w:t>
            </w:r>
          </w:p>
          <w:p w14:paraId="37A34F69" w14:textId="77777777" w:rsidR="00ED156A" w:rsidRPr="0099116D" w:rsidRDefault="00ED156A" w:rsidP="00A524B5">
            <w:pPr>
              <w:rPr>
                <w:rFonts w:cs="Arial"/>
                <w:highlight w:val="yellow"/>
              </w:rPr>
            </w:pPr>
          </w:p>
          <w:p w14:paraId="37A34F6A" w14:textId="77777777" w:rsidR="002E25F4" w:rsidRPr="0099116D" w:rsidRDefault="00ED156A" w:rsidP="00C107CE">
            <w:pPr>
              <w:autoSpaceDE w:val="0"/>
              <w:autoSpaceDN w:val="0"/>
              <w:adjustRightInd w:val="0"/>
              <w:rPr>
                <w:rFonts w:cs="Arial"/>
              </w:rPr>
            </w:pPr>
            <w:r w:rsidRPr="0099116D">
              <w:rPr>
                <w:rFonts w:cs="Arial"/>
              </w:rPr>
              <w:t xml:space="preserve">Candidates will be required to establish linkages with and have an understanding of, local stakeholder needs and develop strong links with the key stakeholders. </w:t>
            </w:r>
          </w:p>
          <w:p w14:paraId="37A34F6B" w14:textId="77777777" w:rsidR="00C0243B" w:rsidRPr="0099116D" w:rsidRDefault="00C0243B" w:rsidP="00A524B5">
            <w:pPr>
              <w:rPr>
                <w:rFonts w:cs="Arial"/>
              </w:rPr>
            </w:pPr>
          </w:p>
          <w:p w14:paraId="37A34F6C" w14:textId="77777777" w:rsidR="00043303" w:rsidRPr="0099116D" w:rsidRDefault="00043303" w:rsidP="00043303">
            <w:pPr>
              <w:autoSpaceDE w:val="0"/>
              <w:autoSpaceDN w:val="0"/>
              <w:adjustRightInd w:val="0"/>
              <w:rPr>
                <w:rFonts w:cs="Arial"/>
              </w:rPr>
            </w:pPr>
            <w:r w:rsidRPr="0099116D">
              <w:rPr>
                <w:rFonts w:cs="Arial"/>
              </w:rPr>
              <w:t xml:space="preserve">Candidates will be required to work with employers to identify the skills gaps and needs to drive employer growth. </w:t>
            </w:r>
          </w:p>
          <w:p w14:paraId="37A34F6D" w14:textId="77777777" w:rsidR="00043303" w:rsidRPr="0099116D" w:rsidRDefault="00043303" w:rsidP="00A524B5">
            <w:pPr>
              <w:rPr>
                <w:rFonts w:cs="Arial"/>
              </w:rPr>
            </w:pPr>
          </w:p>
          <w:p w14:paraId="37A34F6E" w14:textId="77777777" w:rsidR="000E66D3" w:rsidRPr="0099116D" w:rsidRDefault="00FA5F66" w:rsidP="00A524B5">
            <w:pPr>
              <w:rPr>
                <w:rFonts w:cs="Arial"/>
              </w:rPr>
            </w:pPr>
            <w:r w:rsidRPr="0099116D">
              <w:rPr>
                <w:rFonts w:cs="Arial"/>
              </w:rPr>
              <w:t xml:space="preserve">Where the Service works with Jobcentre Plus clients the Candidates will be required to co-operate </w:t>
            </w:r>
            <w:r w:rsidR="004B698A" w:rsidRPr="0099116D">
              <w:rPr>
                <w:rFonts w:cs="Arial"/>
                <w:bCs/>
                <w:szCs w:val="22"/>
                <w:lang w:eastAsia="en-GB"/>
              </w:rPr>
              <w:t xml:space="preserve">effectively with Jobcentre Plus making them aware of candidates who fail to attend training and notifying them of any instances where </w:t>
            </w:r>
            <w:r w:rsidR="00DB50BD">
              <w:rPr>
                <w:rFonts w:cs="Arial"/>
                <w:bCs/>
                <w:szCs w:val="22"/>
                <w:lang w:eastAsia="en-GB"/>
              </w:rPr>
              <w:t>participan</w:t>
            </w:r>
            <w:r w:rsidR="00DB50BD" w:rsidRPr="0099116D">
              <w:rPr>
                <w:rFonts w:cs="Arial"/>
                <w:bCs/>
                <w:szCs w:val="22"/>
                <w:lang w:eastAsia="en-GB"/>
              </w:rPr>
              <w:t>ts</w:t>
            </w:r>
            <w:r w:rsidR="004B698A" w:rsidRPr="0099116D">
              <w:rPr>
                <w:rFonts w:cs="Arial"/>
                <w:bCs/>
                <w:szCs w:val="22"/>
                <w:lang w:eastAsia="en-GB"/>
              </w:rPr>
              <w:t xml:space="preserve"> leave training due to starting work.</w:t>
            </w:r>
            <w:r w:rsidR="00210134" w:rsidRPr="0099116D">
              <w:rPr>
                <w:rFonts w:cs="Arial"/>
                <w:bCs/>
                <w:szCs w:val="22"/>
                <w:lang w:eastAsia="en-GB"/>
              </w:rPr>
              <w:t xml:space="preserve">  </w:t>
            </w:r>
            <w:r w:rsidR="00136327" w:rsidRPr="0099116D">
              <w:rPr>
                <w:rFonts w:cs="Arial"/>
              </w:rPr>
              <w:t xml:space="preserve">Candidates will be required to establish links with </w:t>
            </w:r>
            <w:r w:rsidR="000E66D3" w:rsidRPr="0099116D">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w:t>
            </w:r>
            <w:r w:rsidR="00DB50BD">
              <w:rPr>
                <w:rFonts w:cs="Arial"/>
                <w:szCs w:val="22"/>
                <w:lang w:eastAsia="en-GB"/>
              </w:rPr>
              <w:t>participan</w:t>
            </w:r>
            <w:r w:rsidR="00DB50BD" w:rsidRPr="0099116D">
              <w:rPr>
                <w:rFonts w:cs="Arial"/>
                <w:szCs w:val="22"/>
                <w:lang w:eastAsia="en-GB"/>
              </w:rPr>
              <w:t>ts</w:t>
            </w:r>
            <w:r w:rsidR="000E66D3" w:rsidRPr="0099116D">
              <w:rPr>
                <w:rFonts w:cs="Arial"/>
                <w:szCs w:val="22"/>
                <w:lang w:eastAsia="en-GB"/>
              </w:rPr>
              <w:t xml:space="preserve">.  </w:t>
            </w:r>
          </w:p>
          <w:p w14:paraId="37A34F6F" w14:textId="77777777" w:rsidR="000E66D3" w:rsidRPr="0099116D" w:rsidRDefault="000E66D3" w:rsidP="00A524B5">
            <w:pPr>
              <w:rPr>
                <w:rFonts w:cs="Arial"/>
              </w:rPr>
            </w:pPr>
          </w:p>
          <w:p w14:paraId="37A34F70" w14:textId="77777777" w:rsidR="002E25F4" w:rsidRPr="0099116D" w:rsidRDefault="002E25F4" w:rsidP="00A524B5">
            <w:pPr>
              <w:rPr>
                <w:rFonts w:cs="Arial"/>
              </w:rPr>
            </w:pPr>
            <w:r w:rsidRPr="0099116D">
              <w:rPr>
                <w:rFonts w:cs="Arial"/>
                <w:b/>
                <w:i/>
              </w:rPr>
              <w:t>Market intelligence and local knowledge</w:t>
            </w:r>
          </w:p>
          <w:p w14:paraId="37A34F71" w14:textId="77777777" w:rsidR="002E25F4" w:rsidRPr="0099116D" w:rsidRDefault="002E25F4" w:rsidP="00BC7F87">
            <w:pPr>
              <w:autoSpaceDE w:val="0"/>
              <w:autoSpaceDN w:val="0"/>
              <w:adjustRightInd w:val="0"/>
              <w:ind w:left="29"/>
              <w:rPr>
                <w:rFonts w:cs="Arial"/>
              </w:rPr>
            </w:pPr>
            <w:r w:rsidRPr="0099116D">
              <w:rPr>
                <w:rFonts w:cs="Arial"/>
              </w:rPr>
              <w:t>The delivery of the Services must take into account the current and future social and economic indicators including labour market</w:t>
            </w:r>
            <w:r w:rsidR="00BC7F87" w:rsidRPr="0099116D">
              <w:rPr>
                <w:rFonts w:cs="Arial"/>
              </w:rPr>
              <w:t xml:space="preserve"> intelligence. Candidates must be able to demonstrate a</w:t>
            </w:r>
            <w:r w:rsidR="00812EC6" w:rsidRPr="0099116D">
              <w:rPr>
                <w:rFonts w:cs="Arial"/>
                <w:szCs w:val="22"/>
              </w:rPr>
              <w:t xml:space="preserve"> comprehensive understanding of the current employment market and the c</w:t>
            </w:r>
            <w:r w:rsidR="00812EC6" w:rsidRPr="0099116D">
              <w:rPr>
                <w:rFonts w:cs="Arial"/>
              </w:rPr>
              <w:t xml:space="preserve">urrent and future social and economic indicators including labour </w:t>
            </w:r>
            <w:r w:rsidR="00812EC6" w:rsidRPr="0099116D">
              <w:rPr>
                <w:rFonts w:cs="Arial"/>
              </w:rPr>
              <w:lastRenderedPageBreak/>
              <w:t>market intelligence</w:t>
            </w:r>
            <w:r w:rsidR="00BC7F87" w:rsidRPr="0099116D">
              <w:rPr>
                <w:rFonts w:cs="Arial"/>
              </w:rPr>
              <w:t xml:space="preserve"> for the geographical area being supported</w:t>
            </w:r>
            <w:r w:rsidR="00885437" w:rsidRPr="0099116D">
              <w:rPr>
                <w:rFonts w:cs="Arial"/>
              </w:rPr>
              <w:t xml:space="preserve">. Candidates must also have an understanding of local skills shortages and gaps and any existing skills support structures within the LEP area. </w:t>
            </w:r>
          </w:p>
          <w:p w14:paraId="37A34F72" w14:textId="77777777" w:rsidR="00043303" w:rsidRPr="0099116D" w:rsidRDefault="00043303" w:rsidP="00BC7F87">
            <w:pPr>
              <w:autoSpaceDE w:val="0"/>
              <w:autoSpaceDN w:val="0"/>
              <w:adjustRightInd w:val="0"/>
              <w:ind w:left="29"/>
              <w:rPr>
                <w:rFonts w:cs="Arial"/>
                <w:strike/>
                <w:szCs w:val="22"/>
                <w:highlight w:val="yellow"/>
              </w:rPr>
            </w:pPr>
          </w:p>
          <w:p w14:paraId="37A34F73" w14:textId="77777777" w:rsidR="002E25F4" w:rsidRPr="0099116D" w:rsidRDefault="002E25F4" w:rsidP="00A524B5">
            <w:pPr>
              <w:pStyle w:val="letteredlist"/>
              <w:numPr>
                <w:ilvl w:val="0"/>
                <w:numId w:val="0"/>
              </w:numPr>
              <w:spacing w:after="0"/>
              <w:ind w:left="29"/>
              <w:rPr>
                <w:b/>
                <w:i/>
              </w:rPr>
            </w:pPr>
            <w:r w:rsidRPr="0099116D">
              <w:rPr>
                <w:b/>
                <w:i/>
              </w:rPr>
              <w:t>Management information and reporting</w:t>
            </w:r>
          </w:p>
          <w:p w14:paraId="37A34F74" w14:textId="77777777" w:rsidR="002E25F4" w:rsidRPr="0099116D" w:rsidRDefault="002E25F4" w:rsidP="00A524B5">
            <w:pPr>
              <w:rPr>
                <w:rFonts w:cs="Arial"/>
              </w:rPr>
            </w:pPr>
            <w:r w:rsidRPr="0099116D">
              <w:t xml:space="preserve">Candidates will develop management information systems to enable it to submit data to the Skills Funding Agency via the Individual Learner Record </w:t>
            </w:r>
            <w:r w:rsidR="00F20E79" w:rsidRPr="0099116D">
              <w:t xml:space="preserve">(ILR) </w:t>
            </w:r>
            <w:r w:rsidRPr="0099116D">
              <w:t xml:space="preserve">and put in place robust arrangements for ensuring that the evidence required to support payments is collected and retained.  </w:t>
            </w:r>
          </w:p>
          <w:p w14:paraId="37A34F75" w14:textId="77777777" w:rsidR="002E25F4" w:rsidRPr="0099116D" w:rsidRDefault="002E25F4" w:rsidP="00A524B5">
            <w:pPr>
              <w:rPr>
                <w:rFonts w:cs="Arial"/>
              </w:rPr>
            </w:pPr>
          </w:p>
          <w:p w14:paraId="37A34F76" w14:textId="77777777" w:rsidR="002E25F4" w:rsidRPr="0099116D" w:rsidRDefault="002E25F4" w:rsidP="00A524B5">
            <w:pPr>
              <w:rPr>
                <w:rFonts w:cs="Arial"/>
                <w:strike/>
              </w:rPr>
            </w:pPr>
            <w:r w:rsidRPr="0099116D">
              <w:rPr>
                <w:rFonts w:cs="Arial"/>
              </w:rPr>
              <w:t xml:space="preserve">Candidates will be required to share with LEPs </w:t>
            </w:r>
            <w:r w:rsidR="00025EF8" w:rsidRPr="0099116D">
              <w:rPr>
                <w:rFonts w:cs="Arial"/>
              </w:rPr>
              <w:t xml:space="preserve">and the Skills Funding Agency </w:t>
            </w:r>
            <w:r w:rsidRPr="0099116D">
              <w:rPr>
                <w:rFonts w:cs="Arial"/>
              </w:rPr>
              <w:t xml:space="preserve">ongoing performance management data as well as additional intelligence to improve the effectiveness </w:t>
            </w:r>
            <w:r w:rsidR="002F71DB" w:rsidRPr="0099116D">
              <w:rPr>
                <w:rFonts w:cs="Arial"/>
              </w:rPr>
              <w:t>of Skills</w:t>
            </w:r>
            <w:r w:rsidR="006B0A4D" w:rsidRPr="0099116D">
              <w:rPr>
                <w:rFonts w:cs="Arial"/>
              </w:rPr>
              <w:t xml:space="preserve"> Support projects in the LEP area in the future</w:t>
            </w:r>
            <w:r w:rsidRPr="0099116D">
              <w:rPr>
                <w:rFonts w:cs="Arial"/>
                <w:strike/>
              </w:rPr>
              <w:t xml:space="preserve"> </w:t>
            </w:r>
          </w:p>
          <w:p w14:paraId="37A34F77" w14:textId="77777777" w:rsidR="00043303" w:rsidRPr="0099116D" w:rsidRDefault="00043303" w:rsidP="00C22AF6">
            <w:pPr>
              <w:ind w:left="360" w:hanging="331"/>
              <w:rPr>
                <w:rFonts w:cs="Arial"/>
                <w:b/>
              </w:rPr>
            </w:pPr>
          </w:p>
          <w:p w14:paraId="37A34F78" w14:textId="77777777" w:rsidR="00193437" w:rsidRPr="0099116D" w:rsidRDefault="00193437" w:rsidP="00454504">
            <w:pPr>
              <w:rPr>
                <w:rFonts w:cs="Arial"/>
                <w:b/>
              </w:rPr>
            </w:pPr>
            <w:r w:rsidRPr="0099116D">
              <w:rPr>
                <w:rFonts w:cs="Arial"/>
                <w:b/>
              </w:rPr>
              <w:t>Service Specific Requirements</w:t>
            </w:r>
          </w:p>
          <w:p w14:paraId="37A34F79" w14:textId="77777777" w:rsidR="00193437" w:rsidRPr="0099116D" w:rsidRDefault="00193437" w:rsidP="00CF069B">
            <w:pPr>
              <w:rPr>
                <w:rFonts w:cs="Arial"/>
                <w:highlight w:val="yellow"/>
              </w:rPr>
            </w:pPr>
          </w:p>
          <w:p w14:paraId="37A34F7A" w14:textId="77777777" w:rsidR="00B07433" w:rsidRDefault="00B07433" w:rsidP="00B07433">
            <w:pPr>
              <w:rPr>
                <w:rFonts w:cs="Arial"/>
              </w:rPr>
            </w:pPr>
            <w:r w:rsidRPr="0099116D">
              <w:rPr>
                <w:rFonts w:cs="Arial"/>
              </w:rPr>
              <w:t>The aim of the Services is to provide bespoke support and training for the unemployed and those economically inactive and seeking a return to the labour market but facing skills related barriers to entering the labour market.  The provision will help to deliver the vocationally related skills needed by local employers.</w:t>
            </w:r>
          </w:p>
          <w:p w14:paraId="37A34F7B" w14:textId="77777777" w:rsidR="003F6750" w:rsidRDefault="003F6750" w:rsidP="00B07433">
            <w:pPr>
              <w:rPr>
                <w:rFonts w:cs="Arial"/>
              </w:rPr>
            </w:pPr>
          </w:p>
          <w:p w14:paraId="37A34F7C" w14:textId="77777777" w:rsidR="003F6750" w:rsidRPr="0099116D" w:rsidRDefault="003F6750" w:rsidP="003F6750">
            <w:pPr>
              <w:rPr>
                <w:rFonts w:cs="Arial"/>
              </w:rPr>
            </w:pPr>
            <w:r w:rsidRPr="0099116D">
              <w:rPr>
                <w:rFonts w:cs="Arial"/>
              </w:rPr>
              <w:t xml:space="preserve">The </w:t>
            </w:r>
            <w:r>
              <w:rPr>
                <w:rFonts w:cs="Arial"/>
              </w:rPr>
              <w:t xml:space="preserve">Services must </w:t>
            </w:r>
            <w:r w:rsidRPr="0099116D">
              <w:rPr>
                <w:rFonts w:cs="Arial"/>
              </w:rPr>
              <w:t xml:space="preserve">support unemployed and economically inactive Londoners to take up opportunities leading to employment (including apprenticeships and self-employment) and to sustain these for six months.  </w:t>
            </w:r>
          </w:p>
          <w:p w14:paraId="37A34F7D" w14:textId="77777777" w:rsidR="003F6750" w:rsidRPr="0099116D" w:rsidRDefault="003F6750" w:rsidP="003F6750">
            <w:pPr>
              <w:pStyle w:val="ListParagraph"/>
              <w:ind w:left="0" w:right="113"/>
              <w:rPr>
                <w:rFonts w:cs="Arial"/>
                <w:b/>
                <w:szCs w:val="22"/>
              </w:rPr>
            </w:pPr>
          </w:p>
          <w:p w14:paraId="37A34F7E" w14:textId="77777777" w:rsidR="003F6750" w:rsidRDefault="003F6750" w:rsidP="003F6750">
            <w:pPr>
              <w:rPr>
                <w:rFonts w:cs="Arial"/>
              </w:rPr>
            </w:pPr>
            <w:r w:rsidRPr="0099116D">
              <w:rPr>
                <w:rFonts w:cs="Arial"/>
              </w:rPr>
              <w:t xml:space="preserve">The </w:t>
            </w:r>
            <w:r>
              <w:rPr>
                <w:rFonts w:cs="Arial"/>
              </w:rPr>
              <w:t xml:space="preserve"> Services must </w:t>
            </w:r>
            <w:r w:rsidRPr="0099116D">
              <w:rPr>
                <w:rFonts w:cs="Arial"/>
              </w:rPr>
              <w:t xml:space="preserve">: </w:t>
            </w:r>
          </w:p>
          <w:p w14:paraId="1905675A" w14:textId="77777777" w:rsidR="00CC2261" w:rsidRPr="0099116D" w:rsidRDefault="00CC2261" w:rsidP="003F6750">
            <w:pPr>
              <w:rPr>
                <w:rFonts w:cs="Arial"/>
              </w:rPr>
            </w:pPr>
          </w:p>
          <w:p w14:paraId="37A34F7F" w14:textId="77777777" w:rsidR="003F6750" w:rsidRPr="0099116D" w:rsidRDefault="003F6750" w:rsidP="003F6750">
            <w:pPr>
              <w:pStyle w:val="ListParagraph"/>
              <w:numPr>
                <w:ilvl w:val="0"/>
                <w:numId w:val="10"/>
              </w:numPr>
              <w:spacing w:line="240" w:lineRule="atLeast"/>
              <w:rPr>
                <w:rFonts w:cs="Arial"/>
              </w:rPr>
            </w:pPr>
            <w:r w:rsidRPr="0099116D">
              <w:rPr>
                <w:rFonts w:cs="Arial"/>
              </w:rPr>
              <w:t xml:space="preserve">engage 9319 participants </w:t>
            </w:r>
          </w:p>
          <w:p w14:paraId="37A34F80" w14:textId="77777777" w:rsidR="003F6750" w:rsidRPr="0099116D" w:rsidRDefault="003F6750" w:rsidP="003F6750">
            <w:pPr>
              <w:pStyle w:val="ListParagraph"/>
              <w:spacing w:line="240" w:lineRule="atLeast"/>
              <w:rPr>
                <w:rFonts w:cs="Arial"/>
              </w:rPr>
            </w:pPr>
          </w:p>
          <w:p w14:paraId="37A34F81" w14:textId="77777777" w:rsidR="003F6750" w:rsidRPr="0099116D" w:rsidRDefault="003F6750" w:rsidP="003F6750">
            <w:pPr>
              <w:pStyle w:val="ListParagraph"/>
              <w:numPr>
                <w:ilvl w:val="0"/>
                <w:numId w:val="10"/>
              </w:numPr>
              <w:spacing w:line="240" w:lineRule="atLeast"/>
              <w:rPr>
                <w:rFonts w:cs="Arial"/>
              </w:rPr>
            </w:pPr>
            <w:r w:rsidRPr="0099116D">
              <w:rPr>
                <w:rFonts w:cs="Arial"/>
              </w:rPr>
              <w:t>support 3728 participants gain employment or apprenticeships</w:t>
            </w:r>
          </w:p>
          <w:p w14:paraId="37A34F82" w14:textId="77777777" w:rsidR="003F6750" w:rsidRPr="0099116D" w:rsidRDefault="003F6750" w:rsidP="003F6750">
            <w:pPr>
              <w:pStyle w:val="ListParagraph"/>
              <w:rPr>
                <w:rFonts w:cs="Arial"/>
              </w:rPr>
            </w:pPr>
          </w:p>
          <w:p w14:paraId="37A34F83" w14:textId="77777777" w:rsidR="003F6750" w:rsidRPr="0099116D" w:rsidRDefault="003F6750" w:rsidP="003F6750">
            <w:pPr>
              <w:pStyle w:val="ListParagraph"/>
              <w:numPr>
                <w:ilvl w:val="0"/>
                <w:numId w:val="10"/>
              </w:numPr>
              <w:spacing w:line="240" w:lineRule="atLeast"/>
              <w:rPr>
                <w:rFonts w:cs="Arial"/>
              </w:rPr>
            </w:pPr>
            <w:r w:rsidRPr="0099116D">
              <w:rPr>
                <w:rFonts w:cs="Arial"/>
              </w:rPr>
              <w:t>support 1789 participants sustain their employment or apprenticeships for 26 weeks out of 32</w:t>
            </w:r>
          </w:p>
          <w:p w14:paraId="37A34F84" w14:textId="77777777" w:rsidR="003F6750" w:rsidRPr="0099116D" w:rsidRDefault="003F6750" w:rsidP="003F6750">
            <w:pPr>
              <w:pStyle w:val="ListParagraph"/>
              <w:rPr>
                <w:rFonts w:cs="Arial"/>
              </w:rPr>
            </w:pPr>
          </w:p>
          <w:p w14:paraId="37A34F85" w14:textId="77777777" w:rsidR="003F6750" w:rsidRPr="0099116D" w:rsidRDefault="003F6750" w:rsidP="003F6750">
            <w:pPr>
              <w:pStyle w:val="ListParagraph"/>
              <w:numPr>
                <w:ilvl w:val="0"/>
                <w:numId w:val="10"/>
              </w:numPr>
              <w:spacing w:line="240" w:lineRule="atLeast"/>
              <w:rPr>
                <w:rFonts w:cs="Arial"/>
              </w:rPr>
            </w:pPr>
            <w:r w:rsidRPr="0099116D">
              <w:rPr>
                <w:rFonts w:cs="Arial"/>
              </w:rPr>
              <w:t>support 932 participants to progress in work by enrolling on a further training course or qualification during their period of sustained employment.</w:t>
            </w:r>
          </w:p>
          <w:p w14:paraId="37A34F86" w14:textId="77777777" w:rsidR="003F6750" w:rsidRPr="0099116D" w:rsidRDefault="003F6750" w:rsidP="00B07433">
            <w:pPr>
              <w:rPr>
                <w:rFonts w:cs="Arial"/>
              </w:rPr>
            </w:pPr>
          </w:p>
          <w:p w14:paraId="37A34F87" w14:textId="77777777" w:rsidR="003F6750" w:rsidRPr="0099116D" w:rsidRDefault="003F6750" w:rsidP="003F6750">
            <w:pPr>
              <w:rPr>
                <w:rFonts w:cs="Arial"/>
              </w:rPr>
            </w:pPr>
            <w:r w:rsidRPr="0099116D">
              <w:rPr>
                <w:rFonts w:cs="Arial"/>
              </w:rPr>
              <w:t xml:space="preserve">The Services will upskill and support Londoners into jobs in some of London’s key growth sectors, through demand led, employer informed approaches, facilitating their mobility between sites to ensure sustainability and that they progress into well paid employment through </w:t>
            </w:r>
            <w:r>
              <w:rPr>
                <w:rFonts w:cs="Arial"/>
              </w:rPr>
              <w:t>two</w:t>
            </w:r>
            <w:r w:rsidRPr="0099116D">
              <w:rPr>
                <w:rFonts w:cs="Arial"/>
              </w:rPr>
              <w:t xml:space="preserve"> stages:</w:t>
            </w:r>
          </w:p>
          <w:p w14:paraId="37A34F88" w14:textId="77777777" w:rsidR="003F6750" w:rsidRPr="0099116D" w:rsidRDefault="003F6750" w:rsidP="003F6750">
            <w:pPr>
              <w:rPr>
                <w:rFonts w:cs="Arial"/>
              </w:rPr>
            </w:pPr>
          </w:p>
          <w:p w14:paraId="37A34F89" w14:textId="77777777" w:rsidR="003F6750" w:rsidRPr="0099116D" w:rsidRDefault="003F6750" w:rsidP="003F6750">
            <w:pPr>
              <w:numPr>
                <w:ilvl w:val="0"/>
                <w:numId w:val="10"/>
              </w:numPr>
              <w:spacing w:after="160" w:line="259" w:lineRule="auto"/>
              <w:rPr>
                <w:rFonts w:cs="Arial"/>
                <w:bCs/>
              </w:rPr>
            </w:pPr>
            <w:r w:rsidRPr="0099116D">
              <w:rPr>
                <w:rFonts w:cs="Arial"/>
                <w:bCs/>
              </w:rPr>
              <w:t>Promotion &amp; pre-employment support;</w:t>
            </w:r>
          </w:p>
          <w:p w14:paraId="37A34F8A" w14:textId="77777777" w:rsidR="00B07433" w:rsidRPr="00DB50BD" w:rsidRDefault="003F6750" w:rsidP="00DB50BD">
            <w:pPr>
              <w:pStyle w:val="ListParagraph"/>
              <w:numPr>
                <w:ilvl w:val="0"/>
                <w:numId w:val="25"/>
              </w:numPr>
              <w:rPr>
                <w:rFonts w:cs="Arial"/>
                <w:bCs/>
              </w:rPr>
            </w:pPr>
            <w:r w:rsidRPr="00DB50BD">
              <w:rPr>
                <w:rFonts w:cs="Arial"/>
                <w:bCs/>
              </w:rPr>
              <w:t>Support into work and progression</w:t>
            </w:r>
            <w:r>
              <w:rPr>
                <w:rFonts w:cs="Arial"/>
                <w:bCs/>
              </w:rPr>
              <w:t>.</w:t>
            </w:r>
          </w:p>
          <w:p w14:paraId="37A34F8B" w14:textId="77777777" w:rsidR="003F6750" w:rsidRPr="0099116D" w:rsidRDefault="003F6750" w:rsidP="003F6750">
            <w:pPr>
              <w:rPr>
                <w:rFonts w:cs="Arial"/>
              </w:rPr>
            </w:pPr>
          </w:p>
          <w:p w14:paraId="37A34F8C" w14:textId="77777777" w:rsidR="00314DF6" w:rsidRPr="0099116D" w:rsidRDefault="00314DF6" w:rsidP="00314DF6">
            <w:pPr>
              <w:rPr>
                <w:rFonts w:cs="Arial"/>
              </w:rPr>
            </w:pPr>
            <w:r w:rsidRPr="0099116D">
              <w:rPr>
                <w:rFonts w:cs="Arial"/>
              </w:rPr>
              <w:lastRenderedPageBreak/>
              <w:t>Participants will undertake an initial assessment that will diagnose their existing skills and identify skills gaps in relation to employer requirements and/or opportunities for self-employment.  An individual learning plan will then be devised.</w:t>
            </w:r>
          </w:p>
          <w:p w14:paraId="37A34F8D" w14:textId="77777777" w:rsidR="00314DF6" w:rsidRPr="0099116D" w:rsidRDefault="00314DF6" w:rsidP="00314DF6">
            <w:pPr>
              <w:rPr>
                <w:rFonts w:cs="Arial"/>
              </w:rPr>
            </w:pPr>
          </w:p>
          <w:p w14:paraId="37A34F8E" w14:textId="77777777" w:rsidR="00314DF6" w:rsidRPr="0099116D" w:rsidRDefault="00314DF6" w:rsidP="00314DF6">
            <w:pPr>
              <w:rPr>
                <w:rFonts w:cs="Arial"/>
              </w:rPr>
            </w:pPr>
            <w:r w:rsidRPr="0099116D">
              <w:rPr>
                <w:rFonts w:cs="Arial"/>
              </w:rPr>
              <w:t xml:space="preserve">The Services will provide meaningful and appropriate information advice and guidance including an overview of the local labour market that will support </w:t>
            </w:r>
            <w:r w:rsidR="00DB50BD">
              <w:rPr>
                <w:rFonts w:cs="Arial"/>
              </w:rPr>
              <w:t>participan</w:t>
            </w:r>
            <w:r w:rsidR="00DB50BD" w:rsidRPr="0099116D">
              <w:rPr>
                <w:rFonts w:cs="Arial"/>
              </w:rPr>
              <w:t>ts</w:t>
            </w:r>
            <w:r w:rsidRPr="0099116D">
              <w:rPr>
                <w:rFonts w:cs="Arial"/>
              </w:rPr>
              <w:t xml:space="preserve"> to secure suitable progression into a successful outcome and which raises interest in careers in the LEP’s priority sectors.</w:t>
            </w:r>
          </w:p>
          <w:p w14:paraId="37A34F8F" w14:textId="77777777" w:rsidR="00314DF6" w:rsidRPr="0099116D" w:rsidRDefault="00314DF6" w:rsidP="00314DF6">
            <w:pPr>
              <w:rPr>
                <w:rFonts w:cs="Arial"/>
              </w:rPr>
            </w:pPr>
          </w:p>
          <w:p w14:paraId="37A34F90" w14:textId="77777777" w:rsidR="00314DF6" w:rsidRPr="0099116D" w:rsidRDefault="00314DF6" w:rsidP="00314DF6">
            <w:pPr>
              <w:rPr>
                <w:rFonts w:cs="Arial"/>
                <w:bCs/>
                <w:sz w:val="20"/>
              </w:rPr>
            </w:pPr>
            <w:r w:rsidRPr="0099116D">
              <w:rPr>
                <w:rFonts w:cs="Arial"/>
                <w:szCs w:val="23"/>
              </w:rPr>
              <w:t>The Services must provide individual and continuous mentor/key worker support for each participant.</w:t>
            </w:r>
          </w:p>
          <w:p w14:paraId="37A34F91" w14:textId="77777777" w:rsidR="00314DF6" w:rsidRPr="0099116D" w:rsidRDefault="00314DF6" w:rsidP="00314DF6">
            <w:pPr>
              <w:rPr>
                <w:rFonts w:cs="Arial"/>
              </w:rPr>
            </w:pPr>
          </w:p>
          <w:p w14:paraId="37A34F92" w14:textId="77777777" w:rsidR="00314DF6" w:rsidRPr="0099116D" w:rsidRDefault="00314DF6" w:rsidP="00314DF6">
            <w:pPr>
              <w:rPr>
                <w:rFonts w:cs="Arial"/>
              </w:rPr>
            </w:pPr>
            <w:r w:rsidRPr="0099116D">
              <w:rPr>
                <w:rFonts w:cs="Arial"/>
              </w:rPr>
              <w:t xml:space="preserve">The Services will provide participants with advice on vacancies, job search, CV writing and interview techniques and assistance with registration, searching and applications for Apprenticeship vacancies on </w:t>
            </w:r>
            <w:hyperlink r:id="rId15" w:history="1">
              <w:r w:rsidRPr="0099116D">
                <w:rPr>
                  <w:rStyle w:val="Hyperlink"/>
                  <w:rFonts w:cs="Arial"/>
                  <w:color w:val="auto"/>
                </w:rPr>
                <w:t>www.apprenticeships.org.uk</w:t>
              </w:r>
            </w:hyperlink>
            <w:r w:rsidRPr="0099116D">
              <w:rPr>
                <w:rFonts w:cs="Arial"/>
              </w:rPr>
              <w:t xml:space="preserve"> as well as independent study and career skills.</w:t>
            </w:r>
          </w:p>
          <w:p w14:paraId="37A34F93" w14:textId="77777777" w:rsidR="00314DF6" w:rsidRPr="0099116D" w:rsidRDefault="00314DF6" w:rsidP="00314DF6">
            <w:pPr>
              <w:rPr>
                <w:rFonts w:cs="Arial"/>
              </w:rPr>
            </w:pPr>
          </w:p>
          <w:p w14:paraId="37A34F94" w14:textId="77777777" w:rsidR="00314DF6" w:rsidRPr="0099116D" w:rsidRDefault="00314DF6" w:rsidP="00314DF6">
            <w:pPr>
              <w:rPr>
                <w:rFonts w:cs="Arial"/>
              </w:rPr>
            </w:pPr>
            <w:r w:rsidRPr="0099116D">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 or self-employment.</w:t>
            </w:r>
          </w:p>
          <w:p w14:paraId="37A34F95" w14:textId="77777777" w:rsidR="00314DF6" w:rsidRPr="0099116D" w:rsidRDefault="00314DF6" w:rsidP="00314DF6">
            <w:pPr>
              <w:rPr>
                <w:rFonts w:cs="Arial"/>
              </w:rPr>
            </w:pPr>
          </w:p>
          <w:p w14:paraId="37A34F96" w14:textId="77777777" w:rsidR="00314DF6" w:rsidRPr="0099116D" w:rsidRDefault="00314DF6" w:rsidP="00314DF6">
            <w:pPr>
              <w:rPr>
                <w:rFonts w:cs="Arial"/>
              </w:rPr>
            </w:pPr>
            <w:r w:rsidRPr="0099116D">
              <w:rPr>
                <w:rFonts w:cs="Arial"/>
              </w:rPr>
              <w:t xml:space="preserve">The Services will support the development of innovative approaches to pre-employment support and training, including team working, coaching and mentoring, confidence building and employability training.  The Services will support activity that promotes vocational pathways, internships, work experience and volunteering which are supported by one to one mentoring.  The Services should also provide self-employment support that reflects the needs of the </w:t>
            </w:r>
            <w:r w:rsidR="004A6287">
              <w:rPr>
                <w:rFonts w:cs="Arial"/>
              </w:rPr>
              <w:t>participants</w:t>
            </w:r>
            <w:r w:rsidR="004A6287" w:rsidRPr="0099116D">
              <w:rPr>
                <w:rFonts w:cs="Arial"/>
              </w:rPr>
              <w:t xml:space="preserve"> </w:t>
            </w:r>
            <w:r w:rsidRPr="0099116D">
              <w:rPr>
                <w:rFonts w:cs="Arial"/>
              </w:rPr>
              <w:t>being supported.</w:t>
            </w:r>
          </w:p>
          <w:p w14:paraId="37A34F97" w14:textId="77777777" w:rsidR="00314DF6" w:rsidRPr="0099116D" w:rsidRDefault="00314DF6" w:rsidP="00314DF6">
            <w:pPr>
              <w:rPr>
                <w:rFonts w:cs="Arial"/>
              </w:rPr>
            </w:pPr>
          </w:p>
          <w:p w14:paraId="37A34F98" w14:textId="77777777" w:rsidR="00314DF6" w:rsidRPr="0099116D" w:rsidRDefault="00314DF6" w:rsidP="00314DF6">
            <w:pPr>
              <w:rPr>
                <w:rFonts w:cs="Arial"/>
              </w:rPr>
            </w:pPr>
            <w:r w:rsidRPr="0099116D">
              <w:rPr>
                <w:rFonts w:cs="Arial"/>
              </w:rPr>
              <w:t xml:space="preserve">The Services will support </w:t>
            </w:r>
            <w:r w:rsidR="00DB50BD">
              <w:rPr>
                <w:rFonts w:cs="Arial"/>
              </w:rPr>
              <w:t>participan</w:t>
            </w:r>
            <w:r w:rsidR="00DB50BD" w:rsidRPr="0099116D">
              <w:rPr>
                <w:rFonts w:cs="Arial"/>
              </w:rPr>
              <w:t>ts</w:t>
            </w:r>
            <w:r w:rsidRPr="0099116D">
              <w:rPr>
                <w:rFonts w:cs="Arial"/>
              </w:rPr>
              <w:t xml:space="preserve"> to address personal and social barriers to employment for example through the purchase of tools, travel costs, childcare and the requirement to have PPE equipment.  </w:t>
            </w:r>
          </w:p>
          <w:p w14:paraId="37A34F99" w14:textId="77777777" w:rsidR="00314DF6" w:rsidRPr="0099116D" w:rsidRDefault="00314DF6" w:rsidP="00314DF6">
            <w:pPr>
              <w:rPr>
                <w:rFonts w:cs="Arial"/>
              </w:rPr>
            </w:pPr>
          </w:p>
          <w:p w14:paraId="37A34F9A" w14:textId="77777777" w:rsidR="00314DF6" w:rsidRPr="0099116D" w:rsidRDefault="00314DF6" w:rsidP="00314DF6">
            <w:pPr>
              <w:autoSpaceDE w:val="0"/>
              <w:autoSpaceDN w:val="0"/>
              <w:adjustRightInd w:val="0"/>
              <w:rPr>
                <w:rFonts w:cs="Arial"/>
              </w:rPr>
            </w:pPr>
            <w:r w:rsidRPr="0099116D">
              <w:rPr>
                <w:rFonts w:cs="Arial"/>
              </w:rPr>
              <w:t xml:space="preserve">The Services should support sustained engagement, transition and progression through creation of individual support packages, appropriate to the particular needs of the </w:t>
            </w:r>
            <w:r w:rsidR="00DB50BD">
              <w:rPr>
                <w:rFonts w:cs="Arial"/>
              </w:rPr>
              <w:t>participant</w:t>
            </w:r>
            <w:r w:rsidRPr="0099116D">
              <w:rPr>
                <w:rFonts w:cs="Arial"/>
              </w:rPr>
              <w:t xml:space="preserve">.  </w:t>
            </w:r>
            <w:r w:rsidR="00DB50BD">
              <w:rPr>
                <w:rFonts w:cs="Arial"/>
              </w:rPr>
              <w:t>Participan</w:t>
            </w:r>
            <w:r w:rsidR="00DB50BD" w:rsidRPr="0099116D">
              <w:rPr>
                <w:rFonts w:cs="Arial"/>
              </w:rPr>
              <w:t>ts</w:t>
            </w:r>
            <w:r w:rsidRPr="0099116D">
              <w:rPr>
                <w:rFonts w:cs="Arial"/>
              </w:rPr>
              <w:t xml:space="preserve"> will receive regular progress reviews, will receive an exit interview and the Services will track the individual after leaving the programme.  </w:t>
            </w:r>
          </w:p>
          <w:p w14:paraId="37A34F9B" w14:textId="77777777" w:rsidR="00314DF6" w:rsidRPr="0099116D" w:rsidRDefault="00314DF6" w:rsidP="00314DF6">
            <w:pPr>
              <w:autoSpaceDE w:val="0"/>
              <w:autoSpaceDN w:val="0"/>
              <w:adjustRightInd w:val="0"/>
              <w:rPr>
                <w:rFonts w:cs="Arial"/>
              </w:rPr>
            </w:pPr>
          </w:p>
          <w:p w14:paraId="37A34F9C" w14:textId="77777777" w:rsidR="00314DF6" w:rsidRPr="0099116D" w:rsidRDefault="00314DF6" w:rsidP="00314DF6">
            <w:pPr>
              <w:rPr>
                <w:rFonts w:cs="Arial"/>
              </w:rPr>
            </w:pPr>
            <w:r w:rsidRPr="0099116D">
              <w:rPr>
                <w:rFonts w:cs="Arial"/>
              </w:rPr>
              <w:t xml:space="preserve">Where </w:t>
            </w:r>
            <w:r w:rsidR="00DB50BD">
              <w:rPr>
                <w:rFonts w:cs="Arial"/>
              </w:rPr>
              <w:t>participan</w:t>
            </w:r>
            <w:r w:rsidR="00DB50BD" w:rsidRPr="0099116D">
              <w:rPr>
                <w:rFonts w:cs="Arial"/>
              </w:rPr>
              <w:t>ts</w:t>
            </w:r>
            <w:r w:rsidRPr="0099116D">
              <w:rPr>
                <w:rFonts w:cs="Arial"/>
              </w:rPr>
              <w:t xml:space="preserve"> gain positive outcomes the Services will provide continuous support that will include regular communication, interventions, coaching and mentoring support for the participant up to the 26</w:t>
            </w:r>
            <w:r w:rsidRPr="0099116D">
              <w:rPr>
                <w:rFonts w:cs="Arial"/>
                <w:vertAlign w:val="superscript"/>
              </w:rPr>
              <w:t>th</w:t>
            </w:r>
            <w:r w:rsidRPr="0099116D">
              <w:rPr>
                <w:rFonts w:cs="Arial"/>
              </w:rPr>
              <w:t xml:space="preserve"> week in employment.  </w:t>
            </w:r>
          </w:p>
          <w:p w14:paraId="37A34F9D" w14:textId="77777777" w:rsidR="00314DF6" w:rsidRPr="0099116D" w:rsidRDefault="00314DF6" w:rsidP="00314DF6">
            <w:pPr>
              <w:autoSpaceDE w:val="0"/>
              <w:autoSpaceDN w:val="0"/>
              <w:adjustRightInd w:val="0"/>
              <w:rPr>
                <w:rFonts w:cs="Arial"/>
              </w:rPr>
            </w:pPr>
          </w:p>
          <w:p w14:paraId="37A34F9E" w14:textId="77777777" w:rsidR="00314DF6" w:rsidRPr="0099116D" w:rsidRDefault="00314DF6" w:rsidP="00314DF6">
            <w:pPr>
              <w:rPr>
                <w:rFonts w:cs="Arial"/>
              </w:rPr>
            </w:pPr>
            <w:r w:rsidRPr="0099116D">
              <w:rPr>
                <w:rFonts w:cs="Arial"/>
              </w:rPr>
              <w:t xml:space="preserve">The Services will be required to work with employers to identify potential apprenticeship and job opportunities.  The Services will provide a single point of contact service for employers which provides a candidate matching service.  The matching service will set up and maintain a candidate/employer vacancy bank and support employers to identify candidates who meet their needs and will develop a mechanism to ensure candidates engage with match service.  The Services will </w:t>
            </w:r>
            <w:r w:rsidRPr="0099116D">
              <w:rPr>
                <w:rFonts w:cs="Arial"/>
              </w:rPr>
              <w:lastRenderedPageBreak/>
              <w:t>provide employers with a selection of suitable candidates for each vacancy and any other support related to the recruitment process as required by the employer</w:t>
            </w:r>
            <w:r w:rsidRPr="0099116D">
              <w:t xml:space="preserve">.  </w:t>
            </w:r>
            <w:r w:rsidRPr="0099116D">
              <w:rPr>
                <w:rFonts w:cs="Arial"/>
              </w:rPr>
              <w:t>The Services should provide mentoring support to employers to assist them in supporting their new employees.</w:t>
            </w:r>
          </w:p>
          <w:p w14:paraId="37A34FA1" w14:textId="77777777" w:rsidR="00CF069B" w:rsidRPr="0099116D" w:rsidRDefault="00CF069B" w:rsidP="00C22AF6">
            <w:pPr>
              <w:pStyle w:val="ListParagraph"/>
              <w:ind w:left="0" w:right="113"/>
              <w:rPr>
                <w:rFonts w:cs="Arial"/>
                <w:b/>
                <w:szCs w:val="22"/>
              </w:rPr>
            </w:pPr>
          </w:p>
          <w:p w14:paraId="37A34FA2" w14:textId="77777777" w:rsidR="0099116D" w:rsidRPr="0099116D" w:rsidRDefault="00250B1C" w:rsidP="0099116D">
            <w:pPr>
              <w:pStyle w:val="ListParagraph"/>
              <w:ind w:left="0" w:right="113"/>
              <w:rPr>
                <w:rFonts w:cs="Arial"/>
                <w:b/>
                <w:szCs w:val="22"/>
              </w:rPr>
            </w:pPr>
            <w:r w:rsidRPr="0099116D">
              <w:rPr>
                <w:rFonts w:cs="Arial"/>
                <w:b/>
                <w:szCs w:val="22"/>
              </w:rPr>
              <w:t>Promotion</w:t>
            </w:r>
            <w:r w:rsidR="003908B7" w:rsidRPr="0099116D">
              <w:rPr>
                <w:rFonts w:cs="Arial"/>
                <w:b/>
                <w:szCs w:val="22"/>
              </w:rPr>
              <w:t xml:space="preserve"> &amp; Pre-employment Support</w:t>
            </w:r>
          </w:p>
          <w:p w14:paraId="37A34FA3" w14:textId="77777777" w:rsidR="008C04B3" w:rsidRPr="0099116D" w:rsidRDefault="00CA04E9" w:rsidP="0099116D">
            <w:pPr>
              <w:pStyle w:val="ListParagraph"/>
              <w:ind w:left="0" w:right="113"/>
            </w:pPr>
            <w:r w:rsidRPr="0099116D">
              <w:t>The</w:t>
            </w:r>
            <w:r w:rsidR="003F6750">
              <w:t xml:space="preserve"> Services must </w:t>
            </w:r>
            <w:r w:rsidRPr="0099116D">
              <w:t>focus on engaging participants on the programme, drawing on links with Jobcentre Plus and other avenues</w:t>
            </w:r>
            <w:r w:rsidR="008C04B3" w:rsidRPr="0099116D">
              <w:t>, Local Authorities, Voluntary and Community Sector (VCS) organisations, outreach and other local employment programmes, including those commissioned through ESF.</w:t>
            </w:r>
          </w:p>
          <w:p w14:paraId="37A34FA4" w14:textId="77777777" w:rsidR="00CA04E9" w:rsidRPr="0099116D" w:rsidRDefault="00CA04E9" w:rsidP="00CA04E9">
            <w:pPr>
              <w:rPr>
                <w:rFonts w:cs="Arial"/>
                <w:bCs/>
              </w:rPr>
            </w:pPr>
          </w:p>
          <w:p w14:paraId="37A34FA5" w14:textId="77777777" w:rsidR="00CA04E9" w:rsidRPr="0099116D" w:rsidRDefault="00CA04E9" w:rsidP="00CA04E9">
            <w:pPr>
              <w:rPr>
                <w:rFonts w:cs="Arial"/>
                <w:bCs/>
              </w:rPr>
            </w:pPr>
            <w:r w:rsidRPr="0099116D">
              <w:rPr>
                <w:rFonts w:cs="Arial"/>
                <w:bCs/>
              </w:rPr>
              <w:t xml:space="preserve">For sectors such as cultural and creative industries and ICT/Digital industries, </w:t>
            </w:r>
            <w:r w:rsidR="003F6750">
              <w:rPr>
                <w:rFonts w:cs="Arial"/>
                <w:bCs/>
              </w:rPr>
              <w:t xml:space="preserve">The Services </w:t>
            </w:r>
            <w:r w:rsidRPr="0099116D">
              <w:rPr>
                <w:rFonts w:cs="Arial"/>
                <w:bCs/>
              </w:rPr>
              <w:t xml:space="preserve">should aim to recruit participants underrepresented in these industries in London – these include women, BAME groups and disabled people. </w:t>
            </w:r>
          </w:p>
          <w:p w14:paraId="37A34FA6" w14:textId="77777777" w:rsidR="00CA04E9" w:rsidRPr="0099116D" w:rsidRDefault="00CA04E9" w:rsidP="00CA04E9">
            <w:pPr>
              <w:rPr>
                <w:rFonts w:cs="Arial"/>
                <w:bCs/>
              </w:rPr>
            </w:pPr>
          </w:p>
          <w:p w14:paraId="37A34FA7" w14:textId="77777777" w:rsidR="00CA04E9" w:rsidRPr="0099116D" w:rsidRDefault="003F6750" w:rsidP="00CA04E9">
            <w:pPr>
              <w:rPr>
                <w:rFonts w:cs="Arial"/>
                <w:bCs/>
              </w:rPr>
            </w:pPr>
            <w:r>
              <w:rPr>
                <w:rFonts w:cs="Arial"/>
                <w:bCs/>
              </w:rPr>
              <w:t>S</w:t>
            </w:r>
            <w:r w:rsidR="00CA04E9" w:rsidRPr="0099116D">
              <w:rPr>
                <w:rFonts w:cs="Arial"/>
                <w:bCs/>
              </w:rPr>
              <w:t xml:space="preserve">ome of the sectors (such as retail, tourism and hospitality, and health and social care) </w:t>
            </w:r>
            <w:r>
              <w:rPr>
                <w:rFonts w:cs="Arial"/>
                <w:bCs/>
              </w:rPr>
              <w:t xml:space="preserve">should be promoted </w:t>
            </w:r>
            <w:r w:rsidR="00CA04E9" w:rsidRPr="0099116D">
              <w:rPr>
                <w:rFonts w:cs="Arial"/>
                <w:bCs/>
              </w:rPr>
              <w:t>to potential participants as a career in order to overcome perceptions that they do not offer opportunities beyond low paid and unstable work. This could include linking with other marketing campaigns in th</w:t>
            </w:r>
            <w:r w:rsidR="00CF6EEA" w:rsidRPr="0099116D">
              <w:rPr>
                <w:rFonts w:cs="Arial"/>
                <w:bCs/>
              </w:rPr>
              <w:t xml:space="preserve">ese sectors, such as the </w:t>
            </w:r>
            <w:r w:rsidR="00250B1C" w:rsidRPr="0099116D">
              <w:rPr>
                <w:rFonts w:cs="Arial"/>
                <w:bCs/>
              </w:rPr>
              <w:t>‘</w:t>
            </w:r>
            <w:r w:rsidR="00CF6EEA" w:rsidRPr="0099116D">
              <w:rPr>
                <w:rFonts w:cs="Arial"/>
                <w:bCs/>
              </w:rPr>
              <w:t>I Care…A</w:t>
            </w:r>
            <w:r w:rsidR="00CA04E9" w:rsidRPr="0099116D">
              <w:rPr>
                <w:rFonts w:cs="Arial"/>
                <w:bCs/>
              </w:rPr>
              <w:t>mbassadors</w:t>
            </w:r>
            <w:r w:rsidR="00250B1C" w:rsidRPr="0099116D">
              <w:rPr>
                <w:rFonts w:cs="Arial"/>
                <w:bCs/>
              </w:rPr>
              <w:t>’</w:t>
            </w:r>
            <w:r w:rsidR="00CA04E9" w:rsidRPr="0099116D">
              <w:rPr>
                <w:rFonts w:cs="Arial"/>
                <w:bCs/>
              </w:rPr>
              <w:t xml:space="preserve"> scheme in the health and social care sector. </w:t>
            </w:r>
          </w:p>
          <w:p w14:paraId="37A34FA8" w14:textId="77777777" w:rsidR="00214A44" w:rsidRPr="0099116D" w:rsidRDefault="00214A44" w:rsidP="00CA04E9">
            <w:pPr>
              <w:rPr>
                <w:rFonts w:cs="Arial"/>
                <w:bCs/>
              </w:rPr>
            </w:pPr>
          </w:p>
          <w:p w14:paraId="37A34FA9" w14:textId="77777777" w:rsidR="00214A44" w:rsidRPr="0099116D" w:rsidRDefault="003F6750" w:rsidP="00214A44">
            <w:pPr>
              <w:rPr>
                <w:rFonts w:cs="Arial"/>
              </w:rPr>
            </w:pPr>
            <w:r>
              <w:rPr>
                <w:rFonts w:cs="Arial"/>
              </w:rPr>
              <w:t>T</w:t>
            </w:r>
            <w:r w:rsidR="00214A44" w:rsidRPr="0099116D">
              <w:rPr>
                <w:rFonts w:cs="Arial"/>
              </w:rPr>
              <w:t xml:space="preserve">he Services should deliver, as required, challenging and substantive short preparation courses prior to accessing vocational courses or work experience. </w:t>
            </w:r>
          </w:p>
          <w:p w14:paraId="37A34FAA" w14:textId="77777777" w:rsidR="00214A44" w:rsidRPr="0099116D" w:rsidRDefault="00214A44" w:rsidP="00CA04E9">
            <w:pPr>
              <w:rPr>
                <w:rFonts w:cs="Arial"/>
                <w:bCs/>
              </w:rPr>
            </w:pPr>
          </w:p>
          <w:p w14:paraId="37A34FAB" w14:textId="77777777" w:rsidR="00214A44" w:rsidRPr="0099116D" w:rsidRDefault="00214A44" w:rsidP="00214A44">
            <w:pPr>
              <w:rPr>
                <w:rFonts w:cs="Arial"/>
              </w:rPr>
            </w:pPr>
            <w:r w:rsidRPr="0099116D">
              <w:rPr>
                <w:rFonts w:cs="Arial"/>
              </w:rPr>
              <w:t>On average, participants are expected to receive at least 60 Guided Learning Hours for this activity through regulated and/or non-regulated activity.</w:t>
            </w:r>
          </w:p>
          <w:p w14:paraId="37A34FAC" w14:textId="77777777" w:rsidR="00214A44" w:rsidRPr="0099116D" w:rsidRDefault="00214A44" w:rsidP="00CA04E9">
            <w:pPr>
              <w:rPr>
                <w:rFonts w:cs="Arial"/>
                <w:bCs/>
              </w:rPr>
            </w:pPr>
          </w:p>
          <w:p w14:paraId="37A34FAD" w14:textId="77777777" w:rsidR="003908B7" w:rsidRPr="0099116D" w:rsidRDefault="00DE15D7" w:rsidP="003908B7">
            <w:r w:rsidRPr="0099116D">
              <w:rPr>
                <w:rFonts w:cs="Arial"/>
                <w:b/>
                <w:bCs/>
              </w:rPr>
              <w:t>N</w:t>
            </w:r>
            <w:r w:rsidR="003908B7" w:rsidRPr="0099116D">
              <w:rPr>
                <w:rFonts w:cs="Arial"/>
                <w:b/>
                <w:bCs/>
              </w:rPr>
              <w:t>on-regulated activity:</w:t>
            </w:r>
          </w:p>
          <w:p w14:paraId="37A34FAE" w14:textId="77777777" w:rsidR="003908B7" w:rsidRPr="0099116D" w:rsidRDefault="003908B7" w:rsidP="003908B7">
            <w:r w:rsidRPr="0099116D">
              <w:rPr>
                <w:rFonts w:cs="Arial"/>
              </w:rPr>
              <w:t>Soft skills (employability skills, ESOL, literacy, ICT etc.)</w:t>
            </w:r>
          </w:p>
          <w:p w14:paraId="37A34FAF" w14:textId="77777777" w:rsidR="0099116D" w:rsidRPr="0099116D" w:rsidRDefault="003908B7" w:rsidP="0099116D">
            <w:pPr>
              <w:rPr>
                <w:rFonts w:cs="Arial"/>
              </w:rPr>
            </w:pPr>
            <w:r w:rsidRPr="0099116D">
              <w:rPr>
                <w:rFonts w:cs="Arial"/>
              </w:rPr>
              <w:t>Work placements</w:t>
            </w:r>
          </w:p>
          <w:p w14:paraId="37A34FB0" w14:textId="77777777" w:rsidR="0099116D" w:rsidRPr="0099116D" w:rsidRDefault="003908B7" w:rsidP="0099116D">
            <w:pPr>
              <w:rPr>
                <w:rFonts w:cs="Arial"/>
              </w:rPr>
            </w:pPr>
            <w:r w:rsidRPr="0099116D">
              <w:rPr>
                <w:rFonts w:cs="Arial"/>
              </w:rPr>
              <w:t>Work shadowing</w:t>
            </w:r>
          </w:p>
          <w:p w14:paraId="37A34FB1" w14:textId="77777777" w:rsidR="003908B7" w:rsidRPr="0099116D" w:rsidRDefault="003908B7" w:rsidP="0099116D">
            <w:r w:rsidRPr="0099116D">
              <w:rPr>
                <w:rFonts w:cs="Arial"/>
                <w:bCs/>
              </w:rPr>
              <w:t>Mentoring support</w:t>
            </w:r>
          </w:p>
          <w:p w14:paraId="37A34FB2" w14:textId="77777777" w:rsidR="003908B7" w:rsidRPr="0099116D" w:rsidRDefault="003908B7" w:rsidP="003908B7">
            <w:pPr>
              <w:rPr>
                <w:rFonts w:cs="Arial"/>
              </w:rPr>
            </w:pPr>
          </w:p>
          <w:p w14:paraId="37A34FB3" w14:textId="77777777" w:rsidR="003908B7" w:rsidRPr="0099116D" w:rsidRDefault="00DE15D7" w:rsidP="003908B7">
            <w:r w:rsidRPr="0099116D">
              <w:rPr>
                <w:rFonts w:cs="Arial"/>
                <w:b/>
                <w:bCs/>
              </w:rPr>
              <w:t>R</w:t>
            </w:r>
            <w:r w:rsidR="003908B7" w:rsidRPr="0099116D">
              <w:rPr>
                <w:rFonts w:cs="Arial"/>
                <w:b/>
                <w:bCs/>
              </w:rPr>
              <w:t>egulated activity:</w:t>
            </w:r>
          </w:p>
          <w:p w14:paraId="37A34FB4" w14:textId="77777777" w:rsidR="003908B7" w:rsidRPr="0099116D" w:rsidRDefault="003908B7" w:rsidP="003908B7">
            <w:r w:rsidRPr="0099116D">
              <w:rPr>
                <w:rFonts w:cs="Arial"/>
              </w:rPr>
              <w:t xml:space="preserve">Work based vocational training </w:t>
            </w:r>
          </w:p>
          <w:p w14:paraId="37A34FB5" w14:textId="77777777" w:rsidR="003908B7" w:rsidRPr="0099116D" w:rsidRDefault="003908B7" w:rsidP="003908B7">
            <w:r w:rsidRPr="0099116D">
              <w:rPr>
                <w:rFonts w:cs="Arial"/>
              </w:rPr>
              <w:t xml:space="preserve">Taster </w:t>
            </w:r>
            <w:r w:rsidR="00DE15D7" w:rsidRPr="0099116D">
              <w:rPr>
                <w:rFonts w:cs="Arial"/>
              </w:rPr>
              <w:t xml:space="preserve">(full) </w:t>
            </w:r>
            <w:r w:rsidRPr="0099116D">
              <w:rPr>
                <w:rFonts w:cs="Arial"/>
              </w:rPr>
              <w:t>unit</w:t>
            </w:r>
          </w:p>
          <w:p w14:paraId="37A34FB6" w14:textId="77777777" w:rsidR="003908B7" w:rsidRPr="0099116D" w:rsidRDefault="003908B7" w:rsidP="003908B7">
            <w:r w:rsidRPr="0099116D">
              <w:rPr>
                <w:rFonts w:cs="Arial"/>
              </w:rPr>
              <w:t>Core skill qualifications</w:t>
            </w:r>
          </w:p>
          <w:p w14:paraId="37A34FB7" w14:textId="77777777" w:rsidR="003908B7" w:rsidRPr="0099116D" w:rsidRDefault="003908B7" w:rsidP="003908B7">
            <w:r w:rsidRPr="0099116D">
              <w:rPr>
                <w:rFonts w:cs="Arial"/>
              </w:rPr>
              <w:t>Certificates and industry qualifications</w:t>
            </w:r>
          </w:p>
          <w:p w14:paraId="37A34FB8" w14:textId="77777777" w:rsidR="00D20198" w:rsidRPr="0099116D" w:rsidRDefault="00D20198" w:rsidP="002C2B65">
            <w:pPr>
              <w:pStyle w:val="ListParagraph"/>
              <w:ind w:left="0" w:right="113"/>
              <w:rPr>
                <w:rFonts w:cs="Arial"/>
                <w:b/>
                <w:szCs w:val="22"/>
              </w:rPr>
            </w:pPr>
          </w:p>
          <w:p w14:paraId="37A34FB9" w14:textId="77777777" w:rsidR="00CA04E9" w:rsidRPr="0099116D" w:rsidRDefault="003908B7" w:rsidP="0099116D">
            <w:pPr>
              <w:jc w:val="both"/>
              <w:rPr>
                <w:rFonts w:cs="Arial"/>
                <w:bCs/>
              </w:rPr>
            </w:pPr>
            <w:r w:rsidRPr="0099116D">
              <w:rPr>
                <w:rFonts w:cs="Arial"/>
                <w:bCs/>
              </w:rPr>
              <w:t xml:space="preserve">The Services should offer </w:t>
            </w:r>
            <w:r w:rsidR="00CA04E9" w:rsidRPr="0099116D">
              <w:rPr>
                <w:rFonts w:cs="Arial"/>
                <w:bCs/>
              </w:rPr>
              <w:t xml:space="preserve">Self-employment support for work in sectors such as creative and cultural, and ICT and digital services. </w:t>
            </w:r>
          </w:p>
          <w:p w14:paraId="37A34FBA" w14:textId="77777777" w:rsidR="00CA04E9" w:rsidRPr="0099116D" w:rsidRDefault="00CA04E9" w:rsidP="00CA04E9">
            <w:pPr>
              <w:rPr>
                <w:rFonts w:cs="Arial"/>
                <w:bCs/>
              </w:rPr>
            </w:pPr>
          </w:p>
          <w:p w14:paraId="37A34FBB" w14:textId="77777777" w:rsidR="00CA04E9" w:rsidRPr="0099116D" w:rsidRDefault="003F6750" w:rsidP="00CA04E9">
            <w:pPr>
              <w:rPr>
                <w:rFonts w:cs="Arial"/>
                <w:bCs/>
              </w:rPr>
            </w:pPr>
            <w:r>
              <w:rPr>
                <w:rFonts w:cs="Arial"/>
                <w:bCs/>
              </w:rPr>
              <w:t xml:space="preserve"> The Services should be delivered taking account of the following</w:t>
            </w:r>
            <w:r w:rsidR="00CA04E9" w:rsidRPr="0099116D">
              <w:rPr>
                <w:rFonts w:cs="Arial"/>
                <w:bCs/>
              </w:rPr>
              <w:t xml:space="preserve">:  </w:t>
            </w:r>
          </w:p>
          <w:p w14:paraId="37A34FBC" w14:textId="77777777" w:rsidR="00CA04E9" w:rsidRPr="0099116D" w:rsidRDefault="00CA04E9" w:rsidP="00CA04E9">
            <w:pPr>
              <w:rPr>
                <w:rFonts w:cs="Arial"/>
                <w:b/>
                <w:bCs/>
              </w:rPr>
            </w:pPr>
          </w:p>
          <w:p w14:paraId="37A34FBD" w14:textId="77777777" w:rsidR="00CA04E9" w:rsidRPr="0099116D" w:rsidRDefault="00CA04E9" w:rsidP="00810BFF">
            <w:pPr>
              <w:numPr>
                <w:ilvl w:val="0"/>
                <w:numId w:val="10"/>
              </w:numPr>
              <w:rPr>
                <w:rFonts w:cs="Arial"/>
                <w:bCs/>
              </w:rPr>
            </w:pPr>
            <w:r w:rsidRPr="0099116D">
              <w:rPr>
                <w:rFonts w:cs="Arial"/>
                <w:b/>
                <w:bCs/>
              </w:rPr>
              <w:t>Retail and tourism and hospitality</w:t>
            </w:r>
            <w:r w:rsidRPr="0099116D">
              <w:rPr>
                <w:rFonts w:cs="Arial"/>
                <w:bCs/>
              </w:rPr>
              <w:t>: training should respond to and anticipate technological changes in the retail sector and how these impact on the roles and skills that retailers want to recruit to.</w:t>
            </w:r>
          </w:p>
          <w:p w14:paraId="37A34FBE" w14:textId="77777777" w:rsidR="00CA04E9" w:rsidRPr="0099116D" w:rsidRDefault="00CA04E9" w:rsidP="0099116D">
            <w:pPr>
              <w:pStyle w:val="ListParagraph"/>
              <w:numPr>
                <w:ilvl w:val="0"/>
                <w:numId w:val="10"/>
              </w:numPr>
              <w:rPr>
                <w:rFonts w:cs="Arial"/>
                <w:bCs/>
              </w:rPr>
            </w:pPr>
            <w:r w:rsidRPr="0099116D">
              <w:rPr>
                <w:rFonts w:cs="Arial"/>
                <w:b/>
                <w:bCs/>
              </w:rPr>
              <w:t>Health and Social Care:</w:t>
            </w:r>
            <w:r w:rsidRPr="0099116D">
              <w:rPr>
                <w:rFonts w:cs="Arial"/>
                <w:bCs/>
              </w:rPr>
              <w:t xml:space="preserve"> </w:t>
            </w:r>
            <w:r w:rsidR="003908B7" w:rsidRPr="0099116D">
              <w:rPr>
                <w:rFonts w:cs="Arial"/>
                <w:bCs/>
              </w:rPr>
              <w:t xml:space="preserve">the Services should offer </w:t>
            </w:r>
            <w:r w:rsidR="003908B7" w:rsidRPr="0099116D">
              <w:rPr>
                <w:rFonts w:cs="Arial"/>
                <w:bCs/>
                <w:i/>
              </w:rPr>
              <w:t xml:space="preserve">access to </w:t>
            </w:r>
            <w:r w:rsidR="003908B7" w:rsidRPr="0099116D">
              <w:rPr>
                <w:rFonts w:cs="Arial"/>
                <w:bCs/>
              </w:rPr>
              <w:t>the Care Certificate (</w:t>
            </w:r>
            <w:r w:rsidR="003908B7" w:rsidRPr="0099116D">
              <w:rPr>
                <w:rFonts w:cs="Arial"/>
                <w:bCs/>
                <w:i/>
              </w:rPr>
              <w:t xml:space="preserve">through their employer links or sourced through alternative </w:t>
            </w:r>
            <w:r w:rsidR="003908B7" w:rsidRPr="0099116D">
              <w:rPr>
                <w:rFonts w:cs="Arial"/>
                <w:bCs/>
                <w:i/>
              </w:rPr>
              <w:lastRenderedPageBreak/>
              <w:t>funding)</w:t>
            </w:r>
            <w:r w:rsidR="003908B7" w:rsidRPr="0099116D">
              <w:rPr>
                <w:rFonts w:cs="Arial"/>
                <w:bCs/>
              </w:rPr>
              <w:t xml:space="preserve">, </w:t>
            </w:r>
            <w:r w:rsidRPr="0099116D">
              <w:rPr>
                <w:rFonts w:cs="Arial"/>
                <w:bCs/>
              </w:rPr>
              <w:t xml:space="preserve">and include key core competencies for health care, such as manual handling and health and safety, as well as provision for specialisms such as dementia care and dentistry. It should also respond to changes in health and social care policy which impact on employer needs. For example if health and social care are integrated, </w:t>
            </w:r>
            <w:r w:rsidR="00054537">
              <w:rPr>
                <w:rFonts w:cs="Arial"/>
                <w:bCs/>
              </w:rPr>
              <w:t>candidate</w:t>
            </w:r>
            <w:r w:rsidRPr="0099116D">
              <w:rPr>
                <w:rFonts w:cs="Arial"/>
                <w:bCs/>
              </w:rPr>
              <w:t xml:space="preserve">s should consider developing training for hybrid workers. </w:t>
            </w:r>
          </w:p>
          <w:p w14:paraId="37A34FBF" w14:textId="77777777" w:rsidR="00CA04E9" w:rsidRPr="0099116D" w:rsidRDefault="00CA04E9" w:rsidP="00810BFF">
            <w:pPr>
              <w:numPr>
                <w:ilvl w:val="0"/>
                <w:numId w:val="10"/>
              </w:numPr>
              <w:rPr>
                <w:rFonts w:cs="Arial"/>
                <w:bCs/>
              </w:rPr>
            </w:pPr>
            <w:r w:rsidRPr="0099116D">
              <w:rPr>
                <w:rFonts w:cs="Arial"/>
                <w:b/>
                <w:bCs/>
              </w:rPr>
              <w:t xml:space="preserve">Creative and cultural industries: </w:t>
            </w:r>
            <w:r w:rsidRPr="0099116D">
              <w:rPr>
                <w:rFonts w:cs="Arial"/>
                <w:bCs/>
              </w:rPr>
              <w:t xml:space="preserve">the </w:t>
            </w:r>
            <w:r w:rsidR="00193437" w:rsidRPr="0099116D">
              <w:rPr>
                <w:rFonts w:cs="Arial"/>
                <w:bCs/>
              </w:rPr>
              <w:t>Services</w:t>
            </w:r>
            <w:r w:rsidRPr="0099116D">
              <w:rPr>
                <w:rFonts w:cs="Arial"/>
                <w:bCs/>
              </w:rPr>
              <w:t xml:space="preserve"> should respond to the skills needs of these industries with a particular emphasis on ICT qualifications where appropriate. As there is significant crossover between the creative and cultural and ICT and digital sectors, proposals that cut across these sectors would be welcome.</w:t>
            </w:r>
          </w:p>
          <w:p w14:paraId="37A34FC0" w14:textId="77777777" w:rsidR="00CA04E9" w:rsidRPr="0099116D" w:rsidRDefault="00CA04E9" w:rsidP="00810BFF">
            <w:pPr>
              <w:numPr>
                <w:ilvl w:val="0"/>
                <w:numId w:val="10"/>
              </w:numPr>
              <w:rPr>
                <w:rFonts w:cs="Arial"/>
                <w:b/>
                <w:bCs/>
              </w:rPr>
            </w:pPr>
            <w:r w:rsidRPr="0099116D">
              <w:rPr>
                <w:rFonts w:cs="Arial"/>
                <w:b/>
                <w:bCs/>
              </w:rPr>
              <w:t xml:space="preserve">ICT and Digital Industries: </w:t>
            </w:r>
            <w:r w:rsidRPr="0099116D">
              <w:rPr>
                <w:rFonts w:cs="Arial"/>
                <w:bCs/>
              </w:rPr>
              <w:t xml:space="preserve">the </w:t>
            </w:r>
            <w:r w:rsidR="00193437" w:rsidRPr="0099116D">
              <w:rPr>
                <w:rFonts w:cs="Arial"/>
                <w:bCs/>
              </w:rPr>
              <w:t>Services</w:t>
            </w:r>
            <w:r w:rsidRPr="0099116D">
              <w:rPr>
                <w:rFonts w:cs="Arial"/>
                <w:bCs/>
              </w:rPr>
              <w:t xml:space="preserve"> should provide training that is responsive to the needs of ICT businesses, particularly SMEs, and include industry qualifications such as the CISCO Academy and Microsoft Academy, as well as sector-specific pre-apprenticeship activity recognising that the majority of the apprenticeships for this sector are level 3 and above.</w:t>
            </w:r>
            <w:r w:rsidRPr="0099116D">
              <w:rPr>
                <w:rFonts w:cs="Arial"/>
                <w:b/>
                <w:bCs/>
              </w:rPr>
              <w:t xml:space="preserve"> </w:t>
            </w:r>
          </w:p>
          <w:p w14:paraId="37A34FC1" w14:textId="77777777" w:rsidR="00CA04E9" w:rsidRPr="0099116D" w:rsidRDefault="00CA04E9" w:rsidP="00CA04E9">
            <w:pPr>
              <w:rPr>
                <w:rFonts w:cs="Arial"/>
                <w:bCs/>
              </w:rPr>
            </w:pPr>
          </w:p>
          <w:p w14:paraId="37A34FC2" w14:textId="77777777" w:rsidR="00F117FE" w:rsidRPr="0099116D" w:rsidRDefault="008C04B3" w:rsidP="00CA04E9">
            <w:pPr>
              <w:rPr>
                <w:rFonts w:cs="Arial"/>
                <w:bCs/>
              </w:rPr>
            </w:pPr>
            <w:r w:rsidRPr="0099116D">
              <w:rPr>
                <w:rFonts w:cs="Arial"/>
                <w:bCs/>
              </w:rPr>
              <w:t xml:space="preserve">Proposals </w:t>
            </w:r>
            <w:r w:rsidR="00250B1C" w:rsidRPr="0099116D">
              <w:rPr>
                <w:rFonts w:cs="Arial"/>
                <w:bCs/>
              </w:rPr>
              <w:t>must</w:t>
            </w:r>
            <w:r w:rsidRPr="0099116D">
              <w:rPr>
                <w:rFonts w:cs="Arial"/>
                <w:bCs/>
              </w:rPr>
              <w:t xml:space="preserve"> also demonstrate how support will be delivered in a flexible way to meet the needs of </w:t>
            </w:r>
            <w:r w:rsidR="00DB50BD">
              <w:rPr>
                <w:rFonts w:cs="Arial"/>
                <w:bCs/>
              </w:rPr>
              <w:t>participan</w:t>
            </w:r>
            <w:r w:rsidR="00DB50BD" w:rsidRPr="0099116D">
              <w:rPr>
                <w:rFonts w:cs="Arial"/>
                <w:bCs/>
              </w:rPr>
              <w:t>ts</w:t>
            </w:r>
            <w:r w:rsidRPr="0099116D">
              <w:rPr>
                <w:rFonts w:cs="Arial"/>
                <w:bCs/>
              </w:rPr>
              <w:t xml:space="preserve">. </w:t>
            </w:r>
            <w:r w:rsidR="00CA04E9" w:rsidRPr="0099116D">
              <w:rPr>
                <w:rFonts w:cs="Arial"/>
                <w:bCs/>
              </w:rPr>
              <w:t xml:space="preserve">For all sectors, </w:t>
            </w:r>
            <w:r w:rsidR="00F117FE" w:rsidRPr="0099116D">
              <w:rPr>
                <w:rFonts w:cs="Arial"/>
                <w:bCs/>
              </w:rPr>
              <w:t>the Services</w:t>
            </w:r>
            <w:r w:rsidR="00CA04E9" w:rsidRPr="0099116D">
              <w:rPr>
                <w:rFonts w:cs="Arial"/>
                <w:bCs/>
              </w:rPr>
              <w:t xml:space="preserve"> </w:t>
            </w:r>
            <w:r w:rsidR="00250B1C" w:rsidRPr="0099116D">
              <w:rPr>
                <w:rFonts w:cs="Arial"/>
                <w:bCs/>
              </w:rPr>
              <w:t>must</w:t>
            </w:r>
            <w:r w:rsidR="00CA04E9" w:rsidRPr="0099116D">
              <w:rPr>
                <w:rFonts w:cs="Arial"/>
                <w:bCs/>
              </w:rPr>
              <w:t xml:space="preserve"> be responsive to employer needs, with a </w:t>
            </w:r>
            <w:r w:rsidR="00CA04E9" w:rsidRPr="0099116D">
              <w:rPr>
                <w:rFonts w:cs="Arial"/>
                <w:b/>
                <w:bCs/>
              </w:rPr>
              <w:t>preference for employer-led or designed provision</w:t>
            </w:r>
            <w:r w:rsidR="00CA04E9" w:rsidRPr="0099116D">
              <w:rPr>
                <w:rFonts w:cs="Arial"/>
                <w:bCs/>
              </w:rPr>
              <w:t xml:space="preserve">, where possible. </w:t>
            </w:r>
          </w:p>
          <w:p w14:paraId="37A34FC3" w14:textId="77777777" w:rsidR="003908B7" w:rsidRPr="0099116D" w:rsidRDefault="003908B7" w:rsidP="00CA04E9">
            <w:pPr>
              <w:rPr>
                <w:rFonts w:cs="Arial"/>
                <w:bCs/>
              </w:rPr>
            </w:pPr>
          </w:p>
          <w:p w14:paraId="37A34FC4" w14:textId="77777777" w:rsidR="00CA04E9" w:rsidRPr="0099116D" w:rsidRDefault="00CA04E9" w:rsidP="00CA04E9">
            <w:pPr>
              <w:rPr>
                <w:rFonts w:cs="Arial"/>
                <w:bCs/>
              </w:rPr>
            </w:pPr>
            <w:r w:rsidRPr="0099116D">
              <w:rPr>
                <w:rFonts w:cs="Arial"/>
                <w:bCs/>
              </w:rPr>
              <w:t xml:space="preserve">As many employers in these sectors are small businesses, </w:t>
            </w:r>
            <w:r w:rsidR="003F6750">
              <w:rPr>
                <w:rFonts w:cs="Arial"/>
                <w:bCs/>
              </w:rPr>
              <w:t xml:space="preserve">The Services must </w:t>
            </w:r>
            <w:r w:rsidRPr="0099116D">
              <w:rPr>
                <w:rFonts w:cs="Arial"/>
                <w:bCs/>
              </w:rPr>
              <w:t xml:space="preserve">engage with SMEs, and make the programme simple, understandable and clearly related to their business needs. </w:t>
            </w:r>
          </w:p>
          <w:p w14:paraId="37A34FC5" w14:textId="77777777" w:rsidR="003C1BBB" w:rsidRPr="0099116D" w:rsidRDefault="003C1BBB" w:rsidP="002C2B65">
            <w:pPr>
              <w:rPr>
                <w:rFonts w:cs="Arial"/>
                <w:bCs/>
              </w:rPr>
            </w:pPr>
          </w:p>
          <w:p w14:paraId="37A34FC6" w14:textId="77777777" w:rsidR="003C1BBB" w:rsidRPr="0099116D" w:rsidRDefault="003F6750" w:rsidP="003C1BBB">
            <w:pPr>
              <w:rPr>
                <w:rFonts w:ascii="Calibri" w:hAnsi="Calibri"/>
                <w:sz w:val="22"/>
                <w:szCs w:val="22"/>
              </w:rPr>
            </w:pPr>
            <w:r>
              <w:rPr>
                <w:iCs/>
              </w:rPr>
              <w:t xml:space="preserve"> The Services must</w:t>
            </w:r>
            <w:r w:rsidR="003C1BBB" w:rsidRPr="0099116D">
              <w:rPr>
                <w:iCs/>
              </w:rPr>
              <w:t xml:space="preserve">, where appropriate deliver provision to meet the needs of local employers and learners, this could include clustering together units from different qualifications.  Where employers require vendor specific training, alternative sources of funding </w:t>
            </w:r>
            <w:r>
              <w:rPr>
                <w:iCs/>
              </w:rPr>
              <w:t xml:space="preserve">should be sought </w:t>
            </w:r>
            <w:r w:rsidR="003C1BBB" w:rsidRPr="0099116D">
              <w:rPr>
                <w:iCs/>
              </w:rPr>
              <w:t>to support this activity</w:t>
            </w:r>
            <w:r w:rsidR="003C1BBB" w:rsidRPr="0099116D">
              <w:t>.</w:t>
            </w:r>
          </w:p>
          <w:p w14:paraId="37A34FC7" w14:textId="77777777" w:rsidR="002C2B65" w:rsidRPr="0099116D" w:rsidRDefault="002C2B65" w:rsidP="002C2B65">
            <w:pPr>
              <w:rPr>
                <w:rFonts w:cs="Arial"/>
                <w:bCs/>
              </w:rPr>
            </w:pPr>
          </w:p>
          <w:p w14:paraId="37A34FC8" w14:textId="77777777" w:rsidR="002C2B65" w:rsidRPr="0099116D" w:rsidRDefault="002C2B65" w:rsidP="002C2B65">
            <w:pPr>
              <w:rPr>
                <w:rFonts w:cs="Arial"/>
                <w:b/>
                <w:bCs/>
              </w:rPr>
            </w:pPr>
            <w:r w:rsidRPr="0099116D">
              <w:rPr>
                <w:rFonts w:cs="Arial"/>
                <w:b/>
                <w:bCs/>
              </w:rPr>
              <w:t>Support into work and progression</w:t>
            </w:r>
          </w:p>
          <w:p w14:paraId="37A34FC9" w14:textId="77777777" w:rsidR="003908B7" w:rsidRPr="0099116D" w:rsidRDefault="003908B7" w:rsidP="003908B7">
            <w:pPr>
              <w:rPr>
                <w:rFonts w:cs="Arial"/>
                <w:bCs/>
              </w:rPr>
            </w:pPr>
            <w:r w:rsidRPr="0099116D">
              <w:rPr>
                <w:rFonts w:cs="Arial"/>
                <w:bCs/>
              </w:rPr>
              <w:t xml:space="preserve">The Services </w:t>
            </w:r>
            <w:r w:rsidR="00933C19" w:rsidRPr="0099116D">
              <w:rPr>
                <w:rFonts w:cs="Arial"/>
                <w:bCs/>
              </w:rPr>
              <w:t>will</w:t>
            </w:r>
            <w:r w:rsidRPr="0099116D">
              <w:rPr>
                <w:rFonts w:cs="Arial"/>
                <w:bCs/>
              </w:rPr>
              <w:t xml:space="preserve"> work with participants to ensure that they are job-ready, building on the pre-employment support they have received to match participants with appropriate job opportunities, ensuring that employers receive suitable candidates. As relationships with employers will be central to brokering job opportunities, the Candidate </w:t>
            </w:r>
            <w:r w:rsidR="00933C19" w:rsidRPr="0099116D">
              <w:rPr>
                <w:rFonts w:cs="Arial"/>
                <w:bCs/>
              </w:rPr>
              <w:t>must</w:t>
            </w:r>
            <w:r w:rsidRPr="0099116D">
              <w:rPr>
                <w:rFonts w:cs="Arial"/>
                <w:bCs/>
              </w:rPr>
              <w:t xml:space="preserve"> ensure that they develop positive relationships with employers and are aware of their recruitment needs</w:t>
            </w:r>
          </w:p>
          <w:p w14:paraId="37A34FCA" w14:textId="77777777" w:rsidR="003908B7" w:rsidRPr="0099116D" w:rsidRDefault="003908B7" w:rsidP="003908B7">
            <w:pPr>
              <w:rPr>
                <w:rFonts w:cs="Arial"/>
                <w:bCs/>
              </w:rPr>
            </w:pPr>
          </w:p>
          <w:p w14:paraId="37A34FCB" w14:textId="77777777" w:rsidR="003908B7" w:rsidRPr="0099116D" w:rsidRDefault="003908B7" w:rsidP="003908B7">
            <w:pPr>
              <w:rPr>
                <w:rFonts w:cs="Arial"/>
                <w:bCs/>
              </w:rPr>
            </w:pPr>
            <w:r w:rsidRPr="0099116D">
              <w:rPr>
                <w:rFonts w:cs="Arial"/>
                <w:bCs/>
              </w:rPr>
              <w:t>The Services must support participants to sustain employment opportunities paying the London Living Wage where possible. The Services must offer in-work support for participants once they have secured a job for at least t</w:t>
            </w:r>
            <w:r w:rsidR="00933C19" w:rsidRPr="0099116D">
              <w:rPr>
                <w:rFonts w:cs="Arial"/>
                <w:bCs/>
              </w:rPr>
              <w:t>he</w:t>
            </w:r>
            <w:r w:rsidRPr="0099116D">
              <w:rPr>
                <w:rFonts w:cs="Arial"/>
                <w:bCs/>
              </w:rPr>
              <w:t xml:space="preserve"> first six months or to help them complete an apprenticeship. Participants </w:t>
            </w:r>
            <w:r w:rsidR="00933C19" w:rsidRPr="0099116D">
              <w:rPr>
                <w:rFonts w:cs="Arial"/>
                <w:bCs/>
              </w:rPr>
              <w:t>will</w:t>
            </w:r>
            <w:r w:rsidRPr="0099116D">
              <w:rPr>
                <w:rFonts w:cs="Arial"/>
                <w:bCs/>
              </w:rPr>
              <w:t xml:space="preserve"> have a personal adviser who supports them as needed during this time. </w:t>
            </w:r>
          </w:p>
          <w:p w14:paraId="37A34FCC" w14:textId="77777777" w:rsidR="008F2009" w:rsidRPr="0099116D" w:rsidRDefault="008F2009" w:rsidP="008F2009">
            <w:pPr>
              <w:rPr>
                <w:rFonts w:cs="Arial"/>
                <w:bCs/>
              </w:rPr>
            </w:pPr>
          </w:p>
          <w:p w14:paraId="37A34FCD" w14:textId="77777777" w:rsidR="00821DD1" w:rsidRDefault="00821DD1" w:rsidP="00821DD1">
            <w:pPr>
              <w:rPr>
                <w:rFonts w:cs="Arial"/>
                <w:bCs/>
              </w:rPr>
            </w:pPr>
            <w:r>
              <w:rPr>
                <w:rFonts w:cs="Arial"/>
                <w:bCs/>
              </w:rPr>
              <w:t xml:space="preserve">Once in employment the </w:t>
            </w:r>
            <w:r w:rsidR="003F6750">
              <w:rPr>
                <w:rFonts w:cs="Arial"/>
                <w:bCs/>
              </w:rPr>
              <w:t xml:space="preserve">Services must work with </w:t>
            </w:r>
            <w:r>
              <w:rPr>
                <w:rFonts w:cs="Arial"/>
                <w:bCs/>
              </w:rPr>
              <w:t xml:space="preserve">participants to develop an individual progression plan. As part of this, the Services should support participants to sustain and progress in employment </w:t>
            </w:r>
            <w:r w:rsidRPr="000C649B">
              <w:rPr>
                <w:rFonts w:cs="Arial"/>
                <w:bCs/>
              </w:rPr>
              <w:t>by providing</w:t>
            </w:r>
            <w:r>
              <w:rPr>
                <w:rFonts w:cs="Arial"/>
                <w:bCs/>
              </w:rPr>
              <w:t xml:space="preserve"> </w:t>
            </w:r>
            <w:r w:rsidRPr="000C649B">
              <w:rPr>
                <w:rFonts w:cs="Arial"/>
                <w:bCs/>
              </w:rPr>
              <w:t>relevant vocational</w:t>
            </w:r>
            <w:r>
              <w:rPr>
                <w:rFonts w:cs="Arial"/>
                <w:bCs/>
              </w:rPr>
              <w:t xml:space="preserve"> or higher level</w:t>
            </w:r>
            <w:r w:rsidRPr="000C649B">
              <w:rPr>
                <w:rFonts w:cs="Arial"/>
                <w:bCs/>
              </w:rPr>
              <w:t xml:space="preserve"> training</w:t>
            </w:r>
            <w:r>
              <w:rPr>
                <w:rFonts w:cs="Arial"/>
                <w:bCs/>
              </w:rPr>
              <w:t xml:space="preserve"> </w:t>
            </w:r>
            <w:r w:rsidRPr="000C649B">
              <w:rPr>
                <w:rFonts w:cs="Arial"/>
                <w:bCs/>
              </w:rPr>
              <w:t>to help clients progress in higher skilled and better paid jobs</w:t>
            </w:r>
            <w:r>
              <w:rPr>
                <w:rFonts w:cs="Arial"/>
                <w:bCs/>
              </w:rPr>
              <w:t>.</w:t>
            </w:r>
          </w:p>
          <w:p w14:paraId="37A34FD1" w14:textId="77777777" w:rsidR="0099116D" w:rsidRPr="0099116D" w:rsidRDefault="0099116D" w:rsidP="00313712">
            <w:pPr>
              <w:ind w:left="720"/>
              <w:rPr>
                <w:rFonts w:cs="Arial"/>
                <w:bCs/>
              </w:rPr>
            </w:pPr>
          </w:p>
          <w:p w14:paraId="37A34FD2" w14:textId="77777777" w:rsidR="00313712" w:rsidRPr="0099116D" w:rsidRDefault="00313712" w:rsidP="00313712">
            <w:pPr>
              <w:rPr>
                <w:rFonts w:cs="Arial"/>
                <w:b/>
              </w:rPr>
            </w:pPr>
            <w:r w:rsidRPr="0099116D">
              <w:rPr>
                <w:rFonts w:cs="Arial"/>
                <w:b/>
              </w:rPr>
              <w:t>London Employability Performance Rating</w:t>
            </w:r>
          </w:p>
          <w:p w14:paraId="37A34FD3" w14:textId="77777777" w:rsidR="00313712" w:rsidRPr="0099116D" w:rsidRDefault="00313712" w:rsidP="00313712">
            <w:pPr>
              <w:spacing w:before="100" w:beforeAutospacing="1" w:after="100" w:afterAutospacing="1"/>
              <w:rPr>
                <w:rFonts w:eastAsiaTheme="minorHAnsi" w:cs="Arial"/>
                <w:lang w:eastAsia="en-GB"/>
              </w:rPr>
            </w:pPr>
            <w:r w:rsidRPr="0099116D">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37A34FD4" w14:textId="77777777" w:rsidR="00A60AF4" w:rsidRDefault="00313712" w:rsidP="0099116D">
            <w:pPr>
              <w:spacing w:before="100" w:beforeAutospacing="1" w:after="100" w:afterAutospacing="1"/>
              <w:rPr>
                <w:rFonts w:eastAsia="Arial" w:cs="Arial"/>
                <w:u w:val="single"/>
                <w:lang w:eastAsia="en-GB"/>
              </w:rPr>
            </w:pPr>
            <w:r w:rsidRPr="0099116D">
              <w:rPr>
                <w:rFonts w:eastAsiaTheme="minorHAnsi" w:cs="Arial"/>
                <w:lang w:eastAsia="en-GB"/>
              </w:rPr>
              <w:t xml:space="preserve">Further information about the London Employability Performance Rating can be found on the Greater London Authority’s website: </w:t>
            </w:r>
            <w:hyperlink r:id="rId16" w:history="1">
              <w:r w:rsidRPr="0099116D">
                <w:rPr>
                  <w:rFonts w:eastAsia="Arial" w:cs="Arial"/>
                  <w:u w:val="single"/>
                  <w:lang w:eastAsia="en-GB"/>
                </w:rPr>
                <w:t>http://data.london.gov.uk/london-employability-performance-rating/</w:t>
              </w:r>
            </w:hyperlink>
            <w:r w:rsidRPr="0099116D">
              <w:rPr>
                <w:rFonts w:eastAsia="Arial" w:cs="Arial"/>
                <w:u w:val="single"/>
                <w:lang w:eastAsia="en-GB"/>
              </w:rPr>
              <w:t xml:space="preserve"> </w:t>
            </w:r>
          </w:p>
          <w:p w14:paraId="37A34FD6" w14:textId="77777777" w:rsidR="00821DD1" w:rsidRDefault="00821DD1" w:rsidP="00821DD1">
            <w:pPr>
              <w:spacing w:after="240"/>
              <w:jc w:val="both"/>
              <w:rPr>
                <w:rFonts w:cs="Arial"/>
                <w:b/>
                <w:u w:val="single"/>
              </w:rPr>
            </w:pPr>
            <w:r>
              <w:rPr>
                <w:rFonts w:cs="Arial"/>
                <w:b/>
                <w:u w:val="single"/>
              </w:rPr>
              <w:t>Borough provision</w:t>
            </w:r>
          </w:p>
          <w:p w14:paraId="37A34FD8" w14:textId="7F5AB0F9" w:rsidR="00344FA1" w:rsidRPr="00CC2261" w:rsidRDefault="00821DD1" w:rsidP="00CC2261">
            <w:pPr>
              <w:spacing w:after="240"/>
              <w:jc w:val="both"/>
              <w:rPr>
                <w:rFonts w:cs="Arial"/>
                <w:lang w:eastAsia="en-GB"/>
              </w:rPr>
            </w:pPr>
            <w:r w:rsidRPr="0099116D">
              <w:rPr>
                <w:rFonts w:cs="Arial"/>
                <w:lang w:eastAsia="en-GB"/>
              </w:rPr>
              <w:t xml:space="preserve">In 2016-17 financial year a number of London boroughs will be delivering skills projects which relate to some of the sectors in this programme (e.g. health and social care) as part of the New Homes Bonus (NHB) LEP Programme. This provision is likely to be complementary and therefore the LEP will work with London boroughs to ensure that the ESF and NHB provision is linked, where appropriate, and complementary. The LEP will work with London Councils to ensure </w:t>
            </w:r>
            <w:r w:rsidR="003F6750">
              <w:rPr>
                <w:rFonts w:cs="Arial"/>
                <w:lang w:eastAsia="en-GB"/>
              </w:rPr>
              <w:t xml:space="preserve">the successful </w:t>
            </w:r>
            <w:r w:rsidR="00054537">
              <w:rPr>
                <w:rFonts w:cs="Arial"/>
                <w:lang w:eastAsia="en-GB"/>
              </w:rPr>
              <w:t>candidate</w:t>
            </w:r>
            <w:r w:rsidRPr="0099116D">
              <w:rPr>
                <w:rFonts w:cs="Arial"/>
                <w:lang w:eastAsia="en-GB"/>
              </w:rPr>
              <w:t xml:space="preserve">s </w:t>
            </w:r>
            <w:r w:rsidR="003F6750">
              <w:rPr>
                <w:rFonts w:cs="Arial"/>
                <w:lang w:eastAsia="en-GB"/>
              </w:rPr>
              <w:t xml:space="preserve">delivering </w:t>
            </w:r>
            <w:r w:rsidRPr="0099116D">
              <w:rPr>
                <w:rFonts w:cs="Arial"/>
                <w:lang w:eastAsia="en-GB"/>
              </w:rPr>
              <w:t>both types of provision come together to make the necessary practical links between programmes.</w:t>
            </w:r>
          </w:p>
        </w:tc>
      </w:tr>
      <w:tr w:rsidR="0099116D" w:rsidRPr="0099116D" w14:paraId="37A34FDB" w14:textId="77777777" w:rsidTr="528D0592">
        <w:trPr>
          <w:trHeight w:val="567"/>
        </w:trPr>
        <w:tc>
          <w:tcPr>
            <w:tcW w:w="9088" w:type="dxa"/>
            <w:shd w:val="clear" w:color="auto" w:fill="D9D9D9" w:themeFill="background1" w:themeFillShade="D9"/>
            <w:vAlign w:val="center"/>
          </w:tcPr>
          <w:p w14:paraId="37A34FDA" w14:textId="77777777" w:rsidR="00967429" w:rsidRPr="0099116D" w:rsidRDefault="00A005EF" w:rsidP="00FD3B0A">
            <w:pPr>
              <w:pStyle w:val="SpecificationHeading"/>
              <w:rPr>
                <w:color w:val="auto"/>
              </w:rPr>
            </w:pPr>
            <w:r w:rsidRPr="0099116D">
              <w:rPr>
                <w:color w:val="auto"/>
              </w:rPr>
              <w:lastRenderedPageBreak/>
              <w:t>ELIGIBILITY</w:t>
            </w:r>
          </w:p>
        </w:tc>
      </w:tr>
      <w:tr w:rsidR="0099116D" w:rsidRPr="0099116D" w14:paraId="37A35016" w14:textId="77777777" w:rsidTr="528D0592">
        <w:tc>
          <w:tcPr>
            <w:tcW w:w="9088" w:type="dxa"/>
          </w:tcPr>
          <w:p w14:paraId="37A34FDC" w14:textId="77777777" w:rsidR="001E23AA" w:rsidRPr="0099116D" w:rsidRDefault="001E23AA" w:rsidP="002F70E9">
            <w:pPr>
              <w:rPr>
                <w:rFonts w:cs="Arial"/>
                <w:b/>
                <w:u w:val="single"/>
              </w:rPr>
            </w:pPr>
          </w:p>
          <w:p w14:paraId="37A34FDD" w14:textId="77777777" w:rsidR="00A005EF" w:rsidRPr="0099116D" w:rsidRDefault="00A005EF" w:rsidP="00A005EF">
            <w:pPr>
              <w:rPr>
                <w:b/>
              </w:rPr>
            </w:pPr>
            <w:r w:rsidRPr="0099116D">
              <w:rPr>
                <w:b/>
              </w:rPr>
              <w:t>General</w:t>
            </w:r>
          </w:p>
          <w:p w14:paraId="37A34FDE" w14:textId="77777777" w:rsidR="00313712" w:rsidRPr="0099116D" w:rsidRDefault="00313712" w:rsidP="00A005EF"/>
          <w:p w14:paraId="37A34FDF" w14:textId="77777777" w:rsidR="00A005EF" w:rsidRPr="0099116D" w:rsidRDefault="00A005EF" w:rsidP="00A005EF">
            <w:pPr>
              <w:rPr>
                <w:rFonts w:cs="Arial"/>
              </w:rPr>
            </w:pPr>
            <w:r w:rsidRPr="0099116D">
              <w:rPr>
                <w:rFonts w:cs="Arial"/>
              </w:rPr>
              <w:t xml:space="preserve">General eligibility requirements are set out in : </w:t>
            </w:r>
            <w:r w:rsidR="00025EF8" w:rsidRPr="0099116D">
              <w:rPr>
                <w:rFonts w:cs="Arial"/>
              </w:rPr>
              <w:t>the</w:t>
            </w:r>
            <w:r w:rsidR="00025EF8" w:rsidRPr="0099116D">
              <w:t xml:space="preserve"> </w:t>
            </w:r>
            <w:r w:rsidRPr="0099116D">
              <w:rPr>
                <w:rFonts w:cs="Arial"/>
              </w:rPr>
              <w:t>European Social Fund Programme for England 2014-2020</w:t>
            </w:r>
            <w:r w:rsidR="00384AE2" w:rsidRPr="0099116D">
              <w:rPr>
                <w:rFonts w:cs="Arial"/>
              </w:rPr>
              <w:t xml:space="preserve"> National Eligibility Rules</w:t>
            </w:r>
            <w:r w:rsidR="00025EF8" w:rsidRPr="0099116D">
              <w:rPr>
                <w:rFonts w:cs="Arial"/>
              </w:rPr>
              <w:t xml:space="preserve"> which can be found here: </w:t>
            </w:r>
            <w:hyperlink r:id="rId17" w:history="1">
              <w:r w:rsidR="002A463B" w:rsidRPr="0099116D">
                <w:rPr>
                  <w:rStyle w:val="Hyperlink"/>
                  <w:rFonts w:cs="Arial"/>
                  <w:color w:val="auto"/>
                  <w:sz w:val="24"/>
                  <w:szCs w:val="24"/>
                </w:rPr>
                <w:t>https://www.gov.uk/government/publications/european-structural-and-investment-funds-programme-guidance</w:t>
              </w:r>
            </w:hyperlink>
            <w:r w:rsidR="00475879" w:rsidRPr="0099116D">
              <w:rPr>
                <w:rFonts w:cs="Arial"/>
              </w:rPr>
              <w:t xml:space="preserve"> </w:t>
            </w:r>
          </w:p>
          <w:p w14:paraId="37A34FE0" w14:textId="77777777" w:rsidR="002A463B" w:rsidRPr="0099116D" w:rsidRDefault="002A463B" w:rsidP="00C107CE">
            <w:pPr>
              <w:rPr>
                <w:rFonts w:cs="Arial"/>
              </w:rPr>
            </w:pPr>
          </w:p>
          <w:p w14:paraId="37A34FE1" w14:textId="77777777" w:rsidR="002A463B" w:rsidRPr="0099116D" w:rsidRDefault="002A463B" w:rsidP="00C107CE">
            <w:pPr>
              <w:rPr>
                <w:rFonts w:cs="Arial"/>
              </w:rPr>
            </w:pPr>
            <w:r w:rsidRPr="0099116D">
              <w:rPr>
                <w:rFonts w:cs="Arial"/>
                <w:b/>
              </w:rPr>
              <w:t>Service Specific Eligibility</w:t>
            </w:r>
          </w:p>
          <w:p w14:paraId="37A34FE2" w14:textId="77777777" w:rsidR="008C14BD" w:rsidRPr="0099116D" w:rsidRDefault="008C14BD" w:rsidP="00C107CE">
            <w:pPr>
              <w:rPr>
                <w:rFonts w:cs="Arial"/>
                <w:highlight w:val="yellow"/>
              </w:rPr>
            </w:pPr>
          </w:p>
          <w:p w14:paraId="37A34FE3" w14:textId="77777777" w:rsidR="008C14BD" w:rsidRPr="0099116D" w:rsidRDefault="008C14BD" w:rsidP="008C14BD">
            <w:pPr>
              <w:ind w:right="113"/>
              <w:rPr>
                <w:rFonts w:cs="Arial"/>
                <w:bCs/>
              </w:rPr>
            </w:pPr>
            <w:r w:rsidRPr="0099116D">
              <w:rPr>
                <w:rFonts w:cs="Arial"/>
                <w:bCs/>
              </w:rPr>
              <w:t>The Services should target:</w:t>
            </w:r>
          </w:p>
          <w:p w14:paraId="37A34FE4" w14:textId="77777777" w:rsidR="008C14BD" w:rsidRPr="0099116D" w:rsidRDefault="008C14BD" w:rsidP="008C14BD">
            <w:pPr>
              <w:ind w:right="113"/>
              <w:rPr>
                <w:rFonts w:cs="Arial"/>
                <w:szCs w:val="22"/>
              </w:rPr>
            </w:pPr>
          </w:p>
          <w:p w14:paraId="37A34FE5" w14:textId="77777777" w:rsidR="008C14BD" w:rsidRPr="0099116D" w:rsidRDefault="008C14BD" w:rsidP="008C14BD">
            <w:pPr>
              <w:overflowPunct w:val="0"/>
              <w:autoSpaceDE w:val="0"/>
              <w:autoSpaceDN w:val="0"/>
              <w:adjustRightInd w:val="0"/>
              <w:jc w:val="both"/>
              <w:textAlignment w:val="baseline"/>
              <w:rPr>
                <w:rFonts w:cs="Arial"/>
                <w:lang w:eastAsia="en-GB"/>
              </w:rPr>
            </w:pPr>
            <w:r w:rsidRPr="0099116D">
              <w:rPr>
                <w:rFonts w:cs="Arial"/>
                <w:lang w:eastAsia="en-GB"/>
              </w:rPr>
              <w:t>Unemployed and economically inactive people of working age, including:</w:t>
            </w:r>
          </w:p>
          <w:p w14:paraId="37A34FE6" w14:textId="77777777" w:rsidR="008C14BD" w:rsidRPr="0099116D" w:rsidRDefault="008C14BD" w:rsidP="00870894">
            <w:pPr>
              <w:numPr>
                <w:ilvl w:val="0"/>
                <w:numId w:val="11"/>
              </w:numPr>
              <w:rPr>
                <w:rFonts w:cs="Arial"/>
                <w:bCs/>
              </w:rPr>
            </w:pPr>
            <w:r w:rsidRPr="0099116D">
              <w:rPr>
                <w:rFonts w:cs="Arial"/>
                <w:bCs/>
              </w:rPr>
              <w:t>People who have been unemployed for over 6 months who are aged 25+ (including Work Programme returners)</w:t>
            </w:r>
          </w:p>
          <w:p w14:paraId="37A34FE7" w14:textId="77777777" w:rsidR="008C14BD" w:rsidRPr="0099116D" w:rsidRDefault="008C14BD" w:rsidP="00870894">
            <w:pPr>
              <w:numPr>
                <w:ilvl w:val="0"/>
                <w:numId w:val="11"/>
              </w:numPr>
              <w:rPr>
                <w:rFonts w:cs="Arial"/>
                <w:bCs/>
              </w:rPr>
            </w:pPr>
            <w:r w:rsidRPr="0099116D">
              <w:rPr>
                <w:rFonts w:cs="Arial"/>
                <w:bCs/>
              </w:rPr>
              <w:t>Young people aged 18-24</w:t>
            </w:r>
          </w:p>
          <w:p w14:paraId="37A34FE8" w14:textId="77777777" w:rsidR="008C14BD" w:rsidRPr="0099116D" w:rsidRDefault="008C14BD" w:rsidP="00870894">
            <w:pPr>
              <w:numPr>
                <w:ilvl w:val="0"/>
                <w:numId w:val="11"/>
              </w:numPr>
              <w:rPr>
                <w:rFonts w:cs="Arial"/>
                <w:bCs/>
              </w:rPr>
            </w:pPr>
            <w:r w:rsidRPr="0099116D">
              <w:rPr>
                <w:rFonts w:cs="Arial"/>
                <w:bCs/>
              </w:rPr>
              <w:t>Economically inactive people, excluding students</w:t>
            </w:r>
          </w:p>
          <w:p w14:paraId="37A34FE9" w14:textId="77777777" w:rsidR="008C14BD" w:rsidRPr="0099116D" w:rsidRDefault="008C14BD" w:rsidP="00870894">
            <w:pPr>
              <w:numPr>
                <w:ilvl w:val="0"/>
                <w:numId w:val="11"/>
              </w:numPr>
              <w:rPr>
                <w:rFonts w:cs="Arial"/>
                <w:bCs/>
              </w:rPr>
            </w:pPr>
            <w:r w:rsidRPr="0099116D">
              <w:rPr>
                <w:rFonts w:cs="Arial"/>
                <w:bCs/>
              </w:rPr>
              <w:t xml:space="preserve">Women </w:t>
            </w:r>
          </w:p>
          <w:p w14:paraId="37A34FEA" w14:textId="77777777" w:rsidR="008C14BD" w:rsidRPr="0099116D" w:rsidRDefault="008C14BD" w:rsidP="00870894">
            <w:pPr>
              <w:numPr>
                <w:ilvl w:val="0"/>
                <w:numId w:val="11"/>
              </w:numPr>
              <w:rPr>
                <w:rFonts w:cs="Arial"/>
                <w:bCs/>
              </w:rPr>
            </w:pPr>
            <w:r w:rsidRPr="0099116D">
              <w:rPr>
                <w:rFonts w:cs="Arial"/>
                <w:bCs/>
              </w:rPr>
              <w:t>People age 50+</w:t>
            </w:r>
          </w:p>
          <w:p w14:paraId="37A34FEB" w14:textId="77777777" w:rsidR="008C14BD" w:rsidRPr="0099116D" w:rsidRDefault="008C14BD" w:rsidP="00870894">
            <w:pPr>
              <w:numPr>
                <w:ilvl w:val="0"/>
                <w:numId w:val="11"/>
              </w:numPr>
              <w:rPr>
                <w:rFonts w:cs="Arial"/>
                <w:bCs/>
              </w:rPr>
            </w:pPr>
            <w:r w:rsidRPr="0099116D">
              <w:rPr>
                <w:rFonts w:cs="Arial"/>
                <w:bCs/>
              </w:rPr>
              <w:t>BAME groups, particularly young black men</w:t>
            </w:r>
          </w:p>
          <w:p w14:paraId="37A34FEC" w14:textId="77777777" w:rsidR="008C14BD" w:rsidRPr="0099116D" w:rsidRDefault="008C14BD" w:rsidP="00870894">
            <w:pPr>
              <w:numPr>
                <w:ilvl w:val="0"/>
                <w:numId w:val="11"/>
              </w:numPr>
              <w:rPr>
                <w:rFonts w:cs="Arial"/>
                <w:bCs/>
              </w:rPr>
            </w:pPr>
            <w:r w:rsidRPr="0099116D">
              <w:rPr>
                <w:rFonts w:cs="Arial"/>
                <w:bCs/>
              </w:rPr>
              <w:t>Ex-offenders</w:t>
            </w:r>
          </w:p>
          <w:p w14:paraId="37A34FED" w14:textId="77777777" w:rsidR="008C14BD" w:rsidRPr="0099116D" w:rsidRDefault="008C14BD" w:rsidP="00870894">
            <w:pPr>
              <w:numPr>
                <w:ilvl w:val="0"/>
                <w:numId w:val="11"/>
              </w:numPr>
              <w:rPr>
                <w:rFonts w:cs="Arial"/>
                <w:bCs/>
              </w:rPr>
            </w:pPr>
            <w:r w:rsidRPr="0099116D">
              <w:rPr>
                <w:rFonts w:cs="Arial"/>
                <w:bCs/>
              </w:rPr>
              <w:lastRenderedPageBreak/>
              <w:t>Ex-military</w:t>
            </w:r>
          </w:p>
          <w:p w14:paraId="37A34FEE" w14:textId="77777777" w:rsidR="008C14BD" w:rsidRPr="0099116D" w:rsidRDefault="008C14BD" w:rsidP="00870894">
            <w:pPr>
              <w:numPr>
                <w:ilvl w:val="0"/>
                <w:numId w:val="11"/>
              </w:numPr>
              <w:rPr>
                <w:rFonts w:cs="Arial"/>
                <w:bCs/>
              </w:rPr>
            </w:pPr>
            <w:r w:rsidRPr="0099116D">
              <w:rPr>
                <w:rFonts w:cs="Arial"/>
                <w:bCs/>
              </w:rPr>
              <w:t>Care leavers</w:t>
            </w:r>
          </w:p>
          <w:p w14:paraId="37A34FEF" w14:textId="77777777" w:rsidR="008C14BD" w:rsidRPr="0099116D" w:rsidRDefault="008C14BD" w:rsidP="00870894">
            <w:pPr>
              <w:numPr>
                <w:ilvl w:val="0"/>
                <w:numId w:val="11"/>
              </w:numPr>
              <w:rPr>
                <w:rFonts w:cs="Arial"/>
                <w:bCs/>
              </w:rPr>
            </w:pPr>
            <w:r w:rsidRPr="0099116D">
              <w:rPr>
                <w:rFonts w:cs="Arial"/>
                <w:bCs/>
              </w:rPr>
              <w:t>People with disabilities including mental health issues</w:t>
            </w:r>
          </w:p>
          <w:p w14:paraId="37A34FF0" w14:textId="77777777" w:rsidR="008C14BD" w:rsidRPr="0099116D" w:rsidRDefault="008C14BD" w:rsidP="00C107CE">
            <w:pPr>
              <w:rPr>
                <w:rFonts w:cs="Arial"/>
                <w:highlight w:val="yellow"/>
              </w:rPr>
            </w:pPr>
          </w:p>
          <w:p w14:paraId="37A34FF1" w14:textId="77777777" w:rsidR="00430548" w:rsidRPr="0099116D" w:rsidRDefault="00430548" w:rsidP="00C107CE">
            <w:pPr>
              <w:rPr>
                <w:rFonts w:cs="Arial"/>
              </w:rPr>
            </w:pPr>
            <w:r w:rsidRPr="0099116D">
              <w:rPr>
                <w:rFonts w:cs="Arial"/>
              </w:rPr>
              <w:t xml:space="preserve">For sectors such as cultural and creative industries and OCT/Digital industries, the Services should aim to recruit participants underrepresented in these industries </w:t>
            </w:r>
            <w:r w:rsidR="0099116D" w:rsidRPr="0099116D">
              <w:rPr>
                <w:rFonts w:cs="Arial"/>
              </w:rPr>
              <w:t>in London</w:t>
            </w:r>
            <w:r w:rsidRPr="0099116D">
              <w:rPr>
                <w:rFonts w:cs="Arial"/>
              </w:rPr>
              <w:t>.</w:t>
            </w:r>
          </w:p>
          <w:p w14:paraId="37A34FF2" w14:textId="77777777" w:rsidR="00043303" w:rsidRPr="0099116D" w:rsidRDefault="00043303" w:rsidP="00C107CE">
            <w:pPr>
              <w:rPr>
                <w:rFonts w:cs="Arial"/>
              </w:rPr>
            </w:pPr>
          </w:p>
          <w:p w14:paraId="37A34FF3" w14:textId="77777777" w:rsidR="00394F36" w:rsidRPr="0099116D" w:rsidRDefault="00394F36" w:rsidP="00394F36">
            <w:pPr>
              <w:rPr>
                <w:rFonts w:cs="Arial"/>
              </w:rPr>
            </w:pPr>
            <w:r w:rsidRPr="0099116D">
              <w:rPr>
                <w:rFonts w:cs="Arial"/>
              </w:rPr>
              <w:t>Please note LEP Specific requirements are subject to the National Eligibility Rules detailed above.</w:t>
            </w:r>
          </w:p>
          <w:p w14:paraId="37A34FF4" w14:textId="77777777" w:rsidR="002F52AA" w:rsidRPr="0099116D" w:rsidRDefault="002F52AA" w:rsidP="00394F36">
            <w:pPr>
              <w:rPr>
                <w:rFonts w:cs="Arial"/>
                <w:iCs/>
              </w:rPr>
            </w:pPr>
          </w:p>
          <w:p w14:paraId="37A34FF5" w14:textId="77777777" w:rsidR="00394F36" w:rsidRPr="0099116D" w:rsidRDefault="00394F36" w:rsidP="0099116D">
            <w:pPr>
              <w:rPr>
                <w:rFonts w:ascii="Calibri" w:hAnsi="Calibri"/>
                <w:iCs/>
                <w:sz w:val="22"/>
                <w:szCs w:val="22"/>
              </w:rPr>
            </w:pPr>
            <w:r w:rsidRPr="0099116D">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7A34FF6" w14:textId="77777777" w:rsidR="00394F36" w:rsidRPr="0099116D" w:rsidRDefault="00394F36" w:rsidP="00A005EF">
            <w:pPr>
              <w:rPr>
                <w:rFonts w:cs="Arial"/>
              </w:rPr>
            </w:pPr>
          </w:p>
          <w:tbl>
            <w:tblPr>
              <w:tblW w:w="5954" w:type="dxa"/>
              <w:tblLayout w:type="fixed"/>
              <w:tblLook w:val="04A0" w:firstRow="1" w:lastRow="0" w:firstColumn="1" w:lastColumn="0" w:noHBand="0" w:noVBand="1"/>
            </w:tblPr>
            <w:tblGrid>
              <w:gridCol w:w="4423"/>
              <w:gridCol w:w="1531"/>
            </w:tblGrid>
            <w:tr w:rsidR="0099116D" w:rsidRPr="0099116D" w14:paraId="37A34FF9" w14:textId="77777777" w:rsidTr="0099116D">
              <w:trPr>
                <w:trHeight w:val="504"/>
              </w:trPr>
              <w:tc>
                <w:tcPr>
                  <w:tcW w:w="4423" w:type="dxa"/>
                  <w:tcBorders>
                    <w:top w:val="nil"/>
                    <w:left w:val="nil"/>
                    <w:bottom w:val="nil"/>
                    <w:right w:val="nil"/>
                  </w:tcBorders>
                  <w:shd w:val="clear" w:color="auto" w:fill="auto"/>
                  <w:noWrap/>
                  <w:vAlign w:val="bottom"/>
                  <w:hideMark/>
                </w:tcPr>
                <w:p w14:paraId="37A34FF7" w14:textId="77777777" w:rsidR="006F3B33" w:rsidRPr="0099116D" w:rsidRDefault="006F3B33" w:rsidP="006F3B33">
                  <w:pPr>
                    <w:rPr>
                      <w:rFonts w:cs="Arial"/>
                      <w:sz w:val="20"/>
                      <w:szCs w:val="20"/>
                      <w:lang w:eastAsia="en-GB"/>
                    </w:rPr>
                  </w:pPr>
                </w:p>
              </w:tc>
              <w:tc>
                <w:tcPr>
                  <w:tcW w:w="1531" w:type="dxa"/>
                  <w:tcBorders>
                    <w:top w:val="nil"/>
                    <w:left w:val="nil"/>
                    <w:bottom w:val="nil"/>
                    <w:right w:val="nil"/>
                  </w:tcBorders>
                  <w:shd w:val="clear" w:color="auto" w:fill="auto"/>
                  <w:vAlign w:val="bottom"/>
                  <w:hideMark/>
                </w:tcPr>
                <w:p w14:paraId="37A34FF8" w14:textId="77777777" w:rsidR="006F3B33" w:rsidRPr="0099116D" w:rsidRDefault="006F3B33" w:rsidP="006F3B33">
                  <w:pPr>
                    <w:jc w:val="center"/>
                    <w:rPr>
                      <w:rFonts w:cs="Arial"/>
                      <w:b/>
                      <w:bCs/>
                      <w:sz w:val="22"/>
                      <w:szCs w:val="22"/>
                      <w:lang w:eastAsia="en-GB"/>
                    </w:rPr>
                  </w:pPr>
                  <w:r w:rsidRPr="0099116D">
                    <w:rPr>
                      <w:rFonts w:cs="Arial"/>
                      <w:b/>
                      <w:bCs/>
                      <w:sz w:val="22"/>
                      <w:szCs w:val="22"/>
                      <w:lang w:eastAsia="en-GB"/>
                    </w:rPr>
                    <w:t>More Developed</w:t>
                  </w:r>
                </w:p>
              </w:tc>
            </w:tr>
            <w:tr w:rsidR="0099116D" w:rsidRPr="0099116D" w14:paraId="37A34FFC" w14:textId="77777777" w:rsidTr="0099116D">
              <w:trPr>
                <w:trHeight w:val="576"/>
              </w:trPr>
              <w:tc>
                <w:tcPr>
                  <w:tcW w:w="4423" w:type="dxa"/>
                  <w:tcBorders>
                    <w:top w:val="nil"/>
                    <w:left w:val="nil"/>
                    <w:bottom w:val="nil"/>
                    <w:right w:val="nil"/>
                  </w:tcBorders>
                  <w:shd w:val="clear" w:color="auto" w:fill="auto"/>
                  <w:vAlign w:val="bottom"/>
                  <w:hideMark/>
                </w:tcPr>
                <w:p w14:paraId="37A34FFA" w14:textId="77777777" w:rsidR="006F3B33" w:rsidRPr="0099116D" w:rsidRDefault="006F3B33" w:rsidP="006F3B33">
                  <w:pPr>
                    <w:rPr>
                      <w:rFonts w:cs="Arial"/>
                      <w:sz w:val="22"/>
                      <w:szCs w:val="22"/>
                      <w:lang w:eastAsia="en-GB"/>
                    </w:rPr>
                  </w:pPr>
                  <w:r w:rsidRPr="0099116D">
                    <w:rPr>
                      <w:rFonts w:cs="Arial"/>
                      <w:sz w:val="22"/>
                      <w:szCs w:val="22"/>
                      <w:lang w:eastAsia="en-GB"/>
                    </w:rPr>
                    <w:t>Total participants who are unemployed (including long term unemployed)</w:t>
                  </w:r>
                </w:p>
              </w:tc>
              <w:tc>
                <w:tcPr>
                  <w:tcW w:w="1531" w:type="dxa"/>
                  <w:tcBorders>
                    <w:top w:val="nil"/>
                    <w:left w:val="nil"/>
                    <w:bottom w:val="nil"/>
                    <w:right w:val="nil"/>
                  </w:tcBorders>
                  <w:shd w:val="clear" w:color="auto" w:fill="auto"/>
                  <w:noWrap/>
                  <w:vAlign w:val="bottom"/>
                  <w:hideMark/>
                </w:tcPr>
                <w:p w14:paraId="37A34FFB" w14:textId="77777777" w:rsidR="006F3B33" w:rsidRPr="0099116D" w:rsidRDefault="006F3B33" w:rsidP="006F3B33">
                  <w:pPr>
                    <w:jc w:val="center"/>
                    <w:rPr>
                      <w:rFonts w:cs="Arial"/>
                      <w:sz w:val="22"/>
                      <w:szCs w:val="22"/>
                      <w:lang w:eastAsia="en-GB"/>
                    </w:rPr>
                  </w:pPr>
                  <w:r w:rsidRPr="0099116D">
                    <w:rPr>
                      <w:rFonts w:cs="Arial"/>
                      <w:sz w:val="22"/>
                      <w:szCs w:val="22"/>
                      <w:lang w:eastAsia="en-GB"/>
                    </w:rPr>
                    <w:t>70%</w:t>
                  </w:r>
                </w:p>
              </w:tc>
            </w:tr>
            <w:tr w:rsidR="0099116D" w:rsidRPr="0099116D" w14:paraId="37A34FFF" w14:textId="77777777" w:rsidTr="0099116D">
              <w:trPr>
                <w:trHeight w:val="288"/>
              </w:trPr>
              <w:tc>
                <w:tcPr>
                  <w:tcW w:w="4423" w:type="dxa"/>
                  <w:tcBorders>
                    <w:top w:val="nil"/>
                    <w:left w:val="nil"/>
                    <w:bottom w:val="nil"/>
                    <w:right w:val="nil"/>
                  </w:tcBorders>
                  <w:shd w:val="clear" w:color="auto" w:fill="auto"/>
                  <w:vAlign w:val="bottom"/>
                  <w:hideMark/>
                </w:tcPr>
                <w:p w14:paraId="37A34FFD" w14:textId="77777777" w:rsidR="006F3B33" w:rsidRPr="0099116D" w:rsidRDefault="006F3B33" w:rsidP="006F3B33">
                  <w:pPr>
                    <w:rPr>
                      <w:rFonts w:cs="Arial"/>
                      <w:sz w:val="22"/>
                      <w:szCs w:val="22"/>
                      <w:lang w:eastAsia="en-GB"/>
                    </w:rPr>
                  </w:pPr>
                  <w:r w:rsidRPr="0099116D">
                    <w:rPr>
                      <w:rFonts w:cs="Arial"/>
                      <w:sz w:val="22"/>
                      <w:szCs w:val="22"/>
                      <w:lang w:eastAsia="en-GB"/>
                    </w:rPr>
                    <w:t>Total participants who are inactive</w:t>
                  </w:r>
                </w:p>
              </w:tc>
              <w:tc>
                <w:tcPr>
                  <w:tcW w:w="1531" w:type="dxa"/>
                  <w:tcBorders>
                    <w:top w:val="nil"/>
                    <w:left w:val="nil"/>
                    <w:bottom w:val="nil"/>
                    <w:right w:val="nil"/>
                  </w:tcBorders>
                  <w:shd w:val="clear" w:color="auto" w:fill="auto"/>
                  <w:noWrap/>
                  <w:vAlign w:val="bottom"/>
                  <w:hideMark/>
                </w:tcPr>
                <w:p w14:paraId="37A34FFE" w14:textId="77777777" w:rsidR="006F3B33" w:rsidRPr="0099116D" w:rsidRDefault="006F3B33" w:rsidP="006F3B33">
                  <w:pPr>
                    <w:jc w:val="center"/>
                    <w:rPr>
                      <w:rFonts w:cs="Arial"/>
                      <w:sz w:val="22"/>
                      <w:szCs w:val="22"/>
                      <w:lang w:eastAsia="en-GB"/>
                    </w:rPr>
                  </w:pPr>
                  <w:r w:rsidRPr="0099116D">
                    <w:rPr>
                      <w:rFonts w:cs="Arial"/>
                      <w:sz w:val="22"/>
                      <w:szCs w:val="22"/>
                      <w:lang w:eastAsia="en-GB"/>
                    </w:rPr>
                    <w:t>25%</w:t>
                  </w:r>
                </w:p>
              </w:tc>
            </w:tr>
            <w:tr w:rsidR="0099116D" w:rsidRPr="0099116D" w14:paraId="37A35002" w14:textId="77777777" w:rsidTr="0099116D">
              <w:trPr>
                <w:trHeight w:val="288"/>
              </w:trPr>
              <w:tc>
                <w:tcPr>
                  <w:tcW w:w="4423" w:type="dxa"/>
                  <w:tcBorders>
                    <w:top w:val="nil"/>
                    <w:left w:val="nil"/>
                    <w:bottom w:val="nil"/>
                    <w:right w:val="nil"/>
                  </w:tcBorders>
                  <w:shd w:val="clear" w:color="auto" w:fill="auto"/>
                  <w:vAlign w:val="bottom"/>
                  <w:hideMark/>
                </w:tcPr>
                <w:p w14:paraId="37A35000" w14:textId="77777777" w:rsidR="006F3B33" w:rsidRPr="0099116D" w:rsidRDefault="006F3B33" w:rsidP="006F3B33">
                  <w:pPr>
                    <w:rPr>
                      <w:rFonts w:cs="Arial"/>
                      <w:sz w:val="22"/>
                      <w:szCs w:val="22"/>
                      <w:lang w:eastAsia="en-GB"/>
                    </w:rPr>
                  </w:pPr>
                  <w:r w:rsidRPr="0099116D">
                    <w:rPr>
                      <w:rFonts w:cs="Arial"/>
                      <w:sz w:val="22"/>
                      <w:szCs w:val="22"/>
                      <w:lang w:eastAsia="en-GB"/>
                    </w:rPr>
                    <w:t>Participants who are over 5</w:t>
                  </w:r>
                  <w:r w:rsidR="00FA3260">
                    <w:rPr>
                      <w:rFonts w:cs="Arial"/>
                      <w:sz w:val="22"/>
                      <w:szCs w:val="22"/>
                      <w:lang w:eastAsia="en-GB"/>
                    </w:rPr>
                    <w:t>0</w:t>
                  </w:r>
                </w:p>
              </w:tc>
              <w:tc>
                <w:tcPr>
                  <w:tcW w:w="1531" w:type="dxa"/>
                  <w:tcBorders>
                    <w:top w:val="nil"/>
                    <w:left w:val="nil"/>
                    <w:bottom w:val="nil"/>
                    <w:right w:val="nil"/>
                  </w:tcBorders>
                  <w:shd w:val="clear" w:color="auto" w:fill="auto"/>
                  <w:noWrap/>
                  <w:vAlign w:val="bottom"/>
                  <w:hideMark/>
                </w:tcPr>
                <w:p w14:paraId="37A35001" w14:textId="77777777" w:rsidR="006F3B33" w:rsidRPr="0099116D" w:rsidRDefault="006F3B33" w:rsidP="006F3B33">
                  <w:pPr>
                    <w:jc w:val="center"/>
                    <w:rPr>
                      <w:rFonts w:cs="Arial"/>
                      <w:sz w:val="22"/>
                      <w:szCs w:val="22"/>
                      <w:lang w:eastAsia="en-GB"/>
                    </w:rPr>
                  </w:pPr>
                  <w:r w:rsidRPr="0099116D">
                    <w:rPr>
                      <w:rFonts w:cs="Arial"/>
                      <w:sz w:val="22"/>
                      <w:szCs w:val="22"/>
                      <w:lang w:eastAsia="en-GB"/>
                    </w:rPr>
                    <w:t>20%</w:t>
                  </w:r>
                </w:p>
              </w:tc>
            </w:tr>
            <w:tr w:rsidR="0099116D" w:rsidRPr="0099116D" w14:paraId="37A35005" w14:textId="77777777" w:rsidTr="0099116D">
              <w:trPr>
                <w:trHeight w:val="288"/>
              </w:trPr>
              <w:tc>
                <w:tcPr>
                  <w:tcW w:w="4423" w:type="dxa"/>
                  <w:tcBorders>
                    <w:top w:val="nil"/>
                    <w:left w:val="nil"/>
                    <w:bottom w:val="nil"/>
                    <w:right w:val="nil"/>
                  </w:tcBorders>
                  <w:shd w:val="clear" w:color="auto" w:fill="auto"/>
                  <w:vAlign w:val="bottom"/>
                  <w:hideMark/>
                </w:tcPr>
                <w:p w14:paraId="37A35003" w14:textId="77777777" w:rsidR="006F3B33" w:rsidRPr="0099116D" w:rsidRDefault="006F3B33" w:rsidP="006F3B33">
                  <w:pPr>
                    <w:rPr>
                      <w:rFonts w:cs="Arial"/>
                      <w:sz w:val="22"/>
                      <w:szCs w:val="22"/>
                      <w:lang w:eastAsia="en-GB"/>
                    </w:rPr>
                  </w:pPr>
                  <w:r w:rsidRPr="0099116D">
                    <w:rPr>
                      <w:rFonts w:cs="Arial"/>
                      <w:sz w:val="22"/>
                      <w:szCs w:val="22"/>
                      <w:lang w:eastAsia="en-GB"/>
                    </w:rPr>
                    <w:t>Participants from ethnic minorities</w:t>
                  </w:r>
                </w:p>
              </w:tc>
              <w:tc>
                <w:tcPr>
                  <w:tcW w:w="1531" w:type="dxa"/>
                  <w:tcBorders>
                    <w:top w:val="nil"/>
                    <w:left w:val="nil"/>
                    <w:bottom w:val="nil"/>
                    <w:right w:val="nil"/>
                  </w:tcBorders>
                  <w:shd w:val="clear" w:color="auto" w:fill="auto"/>
                  <w:noWrap/>
                  <w:vAlign w:val="bottom"/>
                  <w:hideMark/>
                </w:tcPr>
                <w:p w14:paraId="37A35004" w14:textId="77777777" w:rsidR="006F3B33" w:rsidRPr="0099116D" w:rsidRDefault="002A5F6F" w:rsidP="006F3B33">
                  <w:pPr>
                    <w:jc w:val="center"/>
                    <w:rPr>
                      <w:rFonts w:cs="Arial"/>
                      <w:sz w:val="22"/>
                      <w:szCs w:val="22"/>
                      <w:lang w:eastAsia="en-GB"/>
                    </w:rPr>
                  </w:pPr>
                  <w:r>
                    <w:rPr>
                      <w:rFonts w:cs="Arial"/>
                      <w:sz w:val="22"/>
                      <w:szCs w:val="22"/>
                      <w:lang w:eastAsia="en-GB"/>
                    </w:rPr>
                    <w:t>56</w:t>
                  </w:r>
                  <w:r w:rsidR="006F3B33" w:rsidRPr="0099116D">
                    <w:rPr>
                      <w:rFonts w:cs="Arial"/>
                      <w:sz w:val="22"/>
                      <w:szCs w:val="22"/>
                      <w:lang w:eastAsia="en-GB"/>
                    </w:rPr>
                    <w:t>%</w:t>
                  </w:r>
                </w:p>
              </w:tc>
            </w:tr>
            <w:tr w:rsidR="0099116D" w:rsidRPr="0099116D" w14:paraId="37A35008" w14:textId="77777777" w:rsidTr="0099116D">
              <w:trPr>
                <w:trHeight w:val="288"/>
              </w:trPr>
              <w:tc>
                <w:tcPr>
                  <w:tcW w:w="4423" w:type="dxa"/>
                  <w:tcBorders>
                    <w:top w:val="nil"/>
                    <w:left w:val="nil"/>
                    <w:bottom w:val="nil"/>
                    <w:right w:val="nil"/>
                  </w:tcBorders>
                  <w:shd w:val="clear" w:color="auto" w:fill="auto"/>
                  <w:vAlign w:val="bottom"/>
                  <w:hideMark/>
                </w:tcPr>
                <w:p w14:paraId="37A35006" w14:textId="77777777" w:rsidR="006F3B33" w:rsidRPr="0099116D" w:rsidRDefault="006F3B33" w:rsidP="006F3B33">
                  <w:pPr>
                    <w:rPr>
                      <w:rFonts w:cs="Arial"/>
                      <w:sz w:val="22"/>
                      <w:szCs w:val="22"/>
                      <w:lang w:eastAsia="en-GB"/>
                    </w:rPr>
                  </w:pPr>
                  <w:r w:rsidRPr="0099116D">
                    <w:rPr>
                      <w:rFonts w:cs="Arial"/>
                      <w:sz w:val="22"/>
                      <w:szCs w:val="22"/>
                      <w:lang w:eastAsia="en-GB"/>
                    </w:rPr>
                    <w:t>Female participants</w:t>
                  </w:r>
                </w:p>
              </w:tc>
              <w:tc>
                <w:tcPr>
                  <w:tcW w:w="1531" w:type="dxa"/>
                  <w:tcBorders>
                    <w:top w:val="nil"/>
                    <w:left w:val="nil"/>
                    <w:bottom w:val="nil"/>
                    <w:right w:val="nil"/>
                  </w:tcBorders>
                  <w:shd w:val="clear" w:color="auto" w:fill="auto"/>
                  <w:noWrap/>
                  <w:vAlign w:val="bottom"/>
                  <w:hideMark/>
                </w:tcPr>
                <w:p w14:paraId="37A35007" w14:textId="77777777" w:rsidR="006F3B33" w:rsidRPr="0099116D" w:rsidRDefault="006F3B33" w:rsidP="006F3B33">
                  <w:pPr>
                    <w:jc w:val="center"/>
                    <w:rPr>
                      <w:rFonts w:cs="Arial"/>
                      <w:sz w:val="22"/>
                      <w:szCs w:val="22"/>
                      <w:lang w:eastAsia="en-GB"/>
                    </w:rPr>
                  </w:pPr>
                  <w:r w:rsidRPr="0099116D">
                    <w:rPr>
                      <w:rFonts w:cs="Arial"/>
                      <w:sz w:val="22"/>
                      <w:szCs w:val="22"/>
                      <w:lang w:eastAsia="en-GB"/>
                    </w:rPr>
                    <w:t>45%</w:t>
                  </w:r>
                </w:p>
              </w:tc>
            </w:tr>
            <w:tr w:rsidR="0099116D" w:rsidRPr="0099116D" w14:paraId="37A3500B" w14:textId="77777777" w:rsidTr="0099116D">
              <w:trPr>
                <w:trHeight w:val="288"/>
              </w:trPr>
              <w:tc>
                <w:tcPr>
                  <w:tcW w:w="4423" w:type="dxa"/>
                  <w:tcBorders>
                    <w:top w:val="nil"/>
                    <w:left w:val="nil"/>
                    <w:bottom w:val="nil"/>
                    <w:right w:val="nil"/>
                  </w:tcBorders>
                  <w:shd w:val="clear" w:color="auto" w:fill="auto"/>
                  <w:vAlign w:val="bottom"/>
                  <w:hideMark/>
                </w:tcPr>
                <w:p w14:paraId="37A35009" w14:textId="77777777" w:rsidR="006F3B33" w:rsidRPr="0099116D" w:rsidRDefault="006F3B33" w:rsidP="006F3B33">
                  <w:pPr>
                    <w:rPr>
                      <w:rFonts w:cs="Arial"/>
                      <w:sz w:val="22"/>
                      <w:szCs w:val="22"/>
                      <w:lang w:eastAsia="en-GB"/>
                    </w:rPr>
                  </w:pPr>
                  <w:r w:rsidRPr="0099116D">
                    <w:rPr>
                      <w:rFonts w:cs="Arial"/>
                      <w:sz w:val="22"/>
                      <w:szCs w:val="22"/>
                      <w:lang w:eastAsia="en-GB"/>
                    </w:rPr>
                    <w:t>Participants without basic skills</w:t>
                  </w:r>
                </w:p>
              </w:tc>
              <w:tc>
                <w:tcPr>
                  <w:tcW w:w="1531" w:type="dxa"/>
                  <w:tcBorders>
                    <w:top w:val="nil"/>
                    <w:left w:val="nil"/>
                    <w:bottom w:val="nil"/>
                    <w:right w:val="nil"/>
                  </w:tcBorders>
                  <w:shd w:val="clear" w:color="auto" w:fill="auto"/>
                  <w:noWrap/>
                  <w:vAlign w:val="bottom"/>
                  <w:hideMark/>
                </w:tcPr>
                <w:p w14:paraId="37A3500A" w14:textId="77777777" w:rsidR="006F3B33" w:rsidRPr="0099116D" w:rsidRDefault="006F3B33" w:rsidP="006F3B33">
                  <w:pPr>
                    <w:jc w:val="center"/>
                    <w:rPr>
                      <w:rFonts w:cs="Arial"/>
                      <w:sz w:val="22"/>
                      <w:szCs w:val="22"/>
                      <w:lang w:eastAsia="en-GB"/>
                    </w:rPr>
                  </w:pPr>
                  <w:r w:rsidRPr="0099116D">
                    <w:rPr>
                      <w:rFonts w:cs="Arial"/>
                      <w:sz w:val="22"/>
                      <w:szCs w:val="22"/>
                      <w:lang w:eastAsia="en-GB"/>
                    </w:rPr>
                    <w:t>21%</w:t>
                  </w:r>
                </w:p>
              </w:tc>
            </w:tr>
            <w:tr w:rsidR="0099116D" w:rsidRPr="0099116D" w14:paraId="37A3500E" w14:textId="77777777" w:rsidTr="0099116D">
              <w:trPr>
                <w:trHeight w:val="54"/>
              </w:trPr>
              <w:tc>
                <w:tcPr>
                  <w:tcW w:w="4423" w:type="dxa"/>
                  <w:tcBorders>
                    <w:top w:val="nil"/>
                    <w:left w:val="nil"/>
                    <w:bottom w:val="nil"/>
                    <w:right w:val="nil"/>
                  </w:tcBorders>
                  <w:shd w:val="clear" w:color="auto" w:fill="auto"/>
                  <w:vAlign w:val="bottom"/>
                  <w:hideMark/>
                </w:tcPr>
                <w:p w14:paraId="37A3500C" w14:textId="77777777" w:rsidR="006F3B33" w:rsidRPr="0099116D" w:rsidRDefault="006F3B33" w:rsidP="006F3B33">
                  <w:pPr>
                    <w:rPr>
                      <w:rFonts w:cs="Arial"/>
                      <w:sz w:val="22"/>
                      <w:szCs w:val="22"/>
                      <w:lang w:eastAsia="en-GB"/>
                    </w:rPr>
                  </w:pPr>
                  <w:r w:rsidRPr="0099116D">
                    <w:rPr>
                      <w:rFonts w:cs="Arial"/>
                      <w:sz w:val="22"/>
                      <w:szCs w:val="22"/>
                      <w:lang w:eastAsia="en-GB"/>
                    </w:rPr>
                    <w:t>Participants with a disability or health problems</w:t>
                  </w:r>
                </w:p>
              </w:tc>
              <w:tc>
                <w:tcPr>
                  <w:tcW w:w="1531" w:type="dxa"/>
                  <w:tcBorders>
                    <w:top w:val="nil"/>
                    <w:left w:val="nil"/>
                    <w:bottom w:val="nil"/>
                    <w:right w:val="nil"/>
                  </w:tcBorders>
                  <w:shd w:val="clear" w:color="auto" w:fill="auto"/>
                  <w:noWrap/>
                  <w:vAlign w:val="bottom"/>
                  <w:hideMark/>
                </w:tcPr>
                <w:p w14:paraId="37A3500D" w14:textId="77777777" w:rsidR="006F3B33" w:rsidRPr="0099116D" w:rsidRDefault="006F3B33" w:rsidP="006F3B33">
                  <w:pPr>
                    <w:jc w:val="center"/>
                    <w:rPr>
                      <w:rFonts w:cs="Arial"/>
                      <w:sz w:val="22"/>
                      <w:szCs w:val="22"/>
                      <w:lang w:eastAsia="en-GB"/>
                    </w:rPr>
                  </w:pPr>
                  <w:r w:rsidRPr="0099116D">
                    <w:rPr>
                      <w:rFonts w:cs="Arial"/>
                      <w:sz w:val="22"/>
                      <w:szCs w:val="22"/>
                      <w:lang w:eastAsia="en-GB"/>
                    </w:rPr>
                    <w:t>25%</w:t>
                  </w:r>
                </w:p>
              </w:tc>
            </w:tr>
            <w:tr w:rsidR="0099116D" w:rsidRPr="0099116D" w14:paraId="37A35011" w14:textId="77777777" w:rsidTr="0099116D">
              <w:trPr>
                <w:trHeight w:val="288"/>
              </w:trPr>
              <w:tc>
                <w:tcPr>
                  <w:tcW w:w="4423" w:type="dxa"/>
                  <w:tcBorders>
                    <w:top w:val="nil"/>
                    <w:left w:val="nil"/>
                    <w:bottom w:val="nil"/>
                    <w:right w:val="nil"/>
                  </w:tcBorders>
                  <w:shd w:val="clear" w:color="auto" w:fill="auto"/>
                  <w:vAlign w:val="bottom"/>
                  <w:hideMark/>
                </w:tcPr>
                <w:p w14:paraId="37A3500F" w14:textId="77777777" w:rsidR="006F3B33" w:rsidRPr="0099116D" w:rsidRDefault="006F3B33" w:rsidP="006F3B33">
                  <w:pPr>
                    <w:rPr>
                      <w:rFonts w:cs="Arial"/>
                      <w:sz w:val="22"/>
                      <w:szCs w:val="22"/>
                      <w:lang w:eastAsia="en-GB"/>
                    </w:rPr>
                  </w:pPr>
                  <w:r w:rsidRPr="0099116D">
                    <w:rPr>
                      <w:rFonts w:cs="Arial"/>
                      <w:sz w:val="22"/>
                      <w:szCs w:val="22"/>
                      <w:lang w:eastAsia="en-GB"/>
                    </w:rPr>
                    <w:t>Participants who are lone parents</w:t>
                  </w:r>
                </w:p>
              </w:tc>
              <w:tc>
                <w:tcPr>
                  <w:tcW w:w="1531" w:type="dxa"/>
                  <w:tcBorders>
                    <w:top w:val="nil"/>
                    <w:left w:val="nil"/>
                    <w:bottom w:val="nil"/>
                    <w:right w:val="nil"/>
                  </w:tcBorders>
                  <w:shd w:val="clear" w:color="auto" w:fill="auto"/>
                  <w:noWrap/>
                  <w:vAlign w:val="bottom"/>
                  <w:hideMark/>
                </w:tcPr>
                <w:p w14:paraId="37A35010" w14:textId="77777777" w:rsidR="006F3B33" w:rsidRPr="0099116D" w:rsidRDefault="006F3B33" w:rsidP="006F3B33">
                  <w:pPr>
                    <w:jc w:val="center"/>
                    <w:rPr>
                      <w:rFonts w:cs="Arial"/>
                      <w:sz w:val="22"/>
                      <w:szCs w:val="22"/>
                      <w:lang w:eastAsia="en-GB"/>
                    </w:rPr>
                  </w:pPr>
                  <w:r w:rsidRPr="0099116D">
                    <w:rPr>
                      <w:rFonts w:cs="Arial"/>
                      <w:sz w:val="22"/>
                      <w:szCs w:val="22"/>
                      <w:lang w:eastAsia="en-GB"/>
                    </w:rPr>
                    <w:t>13%</w:t>
                  </w:r>
                </w:p>
              </w:tc>
            </w:tr>
            <w:tr w:rsidR="00DB50BD" w:rsidRPr="0099116D" w14:paraId="37A35014" w14:textId="77777777" w:rsidTr="0099116D">
              <w:trPr>
                <w:trHeight w:val="288"/>
              </w:trPr>
              <w:tc>
                <w:tcPr>
                  <w:tcW w:w="4423" w:type="dxa"/>
                  <w:tcBorders>
                    <w:top w:val="nil"/>
                    <w:left w:val="nil"/>
                    <w:bottom w:val="nil"/>
                    <w:right w:val="nil"/>
                  </w:tcBorders>
                  <w:shd w:val="clear" w:color="auto" w:fill="auto"/>
                  <w:vAlign w:val="bottom"/>
                </w:tcPr>
                <w:p w14:paraId="37A35012" w14:textId="77777777" w:rsidR="00DB50BD" w:rsidRPr="0099116D" w:rsidRDefault="00DB50BD" w:rsidP="006F3B33">
                  <w:pPr>
                    <w:rPr>
                      <w:rFonts w:cs="Arial"/>
                      <w:sz w:val="22"/>
                      <w:szCs w:val="22"/>
                      <w:lang w:eastAsia="en-GB"/>
                    </w:rPr>
                  </w:pPr>
                </w:p>
              </w:tc>
              <w:tc>
                <w:tcPr>
                  <w:tcW w:w="1531" w:type="dxa"/>
                  <w:tcBorders>
                    <w:top w:val="nil"/>
                    <w:left w:val="nil"/>
                    <w:bottom w:val="nil"/>
                    <w:right w:val="nil"/>
                  </w:tcBorders>
                  <w:shd w:val="clear" w:color="auto" w:fill="auto"/>
                  <w:noWrap/>
                  <w:vAlign w:val="bottom"/>
                </w:tcPr>
                <w:p w14:paraId="37A35013" w14:textId="77777777" w:rsidR="00DB50BD" w:rsidRPr="0099116D" w:rsidRDefault="00DB50BD" w:rsidP="006F3B33">
                  <w:pPr>
                    <w:jc w:val="center"/>
                    <w:rPr>
                      <w:rFonts w:cs="Arial"/>
                      <w:sz w:val="22"/>
                      <w:szCs w:val="22"/>
                      <w:lang w:eastAsia="en-GB"/>
                    </w:rPr>
                  </w:pPr>
                </w:p>
              </w:tc>
            </w:tr>
          </w:tbl>
          <w:p w14:paraId="37A35015" w14:textId="77777777" w:rsidR="00FD3B0A" w:rsidRPr="0099116D" w:rsidRDefault="00FD3B0A" w:rsidP="00225C7E">
            <w:pPr>
              <w:autoSpaceDE w:val="0"/>
              <w:autoSpaceDN w:val="0"/>
              <w:adjustRightInd w:val="0"/>
              <w:rPr>
                <w:rFonts w:cs="Arial"/>
              </w:rPr>
            </w:pPr>
          </w:p>
        </w:tc>
      </w:tr>
      <w:tr w:rsidR="0099116D" w:rsidRPr="0099116D" w14:paraId="37A35018" w14:textId="77777777" w:rsidTr="528D0592">
        <w:trPr>
          <w:trHeight w:val="567"/>
        </w:trPr>
        <w:tc>
          <w:tcPr>
            <w:tcW w:w="9088" w:type="dxa"/>
            <w:shd w:val="clear" w:color="auto" w:fill="D9D9D9" w:themeFill="background1" w:themeFillShade="D9"/>
            <w:vAlign w:val="center"/>
          </w:tcPr>
          <w:p w14:paraId="37A35017" w14:textId="77777777" w:rsidR="00967429" w:rsidRPr="0099116D" w:rsidRDefault="00A005EF" w:rsidP="005E37D8">
            <w:pPr>
              <w:spacing w:before="120" w:after="120"/>
              <w:rPr>
                <w:b/>
                <w:bCs/>
              </w:rPr>
            </w:pPr>
            <w:r w:rsidRPr="0099116D">
              <w:rPr>
                <w:b/>
              </w:rPr>
              <w:lastRenderedPageBreak/>
              <w:t>GEOGRAPHY / AREA OF DELIVERY</w:t>
            </w:r>
          </w:p>
        </w:tc>
      </w:tr>
      <w:tr w:rsidR="0099116D" w:rsidRPr="0099116D" w14:paraId="37A35053" w14:textId="77777777" w:rsidTr="528D0592">
        <w:trPr>
          <w:trHeight w:val="983"/>
        </w:trPr>
        <w:tc>
          <w:tcPr>
            <w:tcW w:w="9088" w:type="dxa"/>
          </w:tcPr>
          <w:p w14:paraId="37A35019" w14:textId="77777777" w:rsidR="00A005EF" w:rsidRPr="0099116D" w:rsidRDefault="00A005EF" w:rsidP="00A005EF"/>
          <w:p w14:paraId="37A3501A" w14:textId="77777777" w:rsidR="007E7731" w:rsidRPr="0099116D" w:rsidRDefault="007E7731" w:rsidP="00A005EF">
            <w:pPr>
              <w:rPr>
                <w:b/>
              </w:rPr>
            </w:pPr>
            <w:r w:rsidRPr="0099116D">
              <w:rPr>
                <w:b/>
              </w:rPr>
              <w:t>LEP Specific</w:t>
            </w:r>
          </w:p>
          <w:p w14:paraId="37A3501B" w14:textId="77777777" w:rsidR="007E7731" w:rsidRPr="0099116D" w:rsidRDefault="007E7731" w:rsidP="00A005EF">
            <w:pPr>
              <w:rPr>
                <w:b/>
              </w:rPr>
            </w:pPr>
          </w:p>
          <w:p w14:paraId="37A3501C" w14:textId="77777777" w:rsidR="00DE28F3" w:rsidRPr="0099116D" w:rsidRDefault="00DE28F3" w:rsidP="00DE28F3">
            <w:r w:rsidRPr="0099116D">
              <w:t xml:space="preserve">The Services will be delivered within the London Enterprise Panel area.  </w:t>
            </w:r>
          </w:p>
          <w:p w14:paraId="37A3501D" w14:textId="77777777" w:rsidR="00DE28F3" w:rsidRPr="0099116D" w:rsidRDefault="00DE28F3" w:rsidP="00DE28F3">
            <w:r w:rsidRPr="0099116D">
              <w:t xml:space="preserve">London has been divided into four Functional Economic Areas (FEAs) covering Central, North East, South and West London. </w:t>
            </w:r>
          </w:p>
          <w:p w14:paraId="37A3501E" w14:textId="77777777" w:rsidR="00DE28F3" w:rsidRPr="0099116D" w:rsidRDefault="00DE28F3" w:rsidP="00DE28F3"/>
          <w:p w14:paraId="37A3501F" w14:textId="77777777" w:rsidR="003908B7" w:rsidRPr="0099116D" w:rsidRDefault="003908B7" w:rsidP="003908B7">
            <w:r w:rsidRPr="0099116D">
              <w:t xml:space="preserve">For the purposes of this specification London has been divided into two Contract Package Areas (CPAs) covering the Central and South and North East and West London Functional Economic Areas. </w:t>
            </w:r>
          </w:p>
          <w:p w14:paraId="37A35020" w14:textId="77777777" w:rsidR="00313712" w:rsidRPr="0099116D" w:rsidRDefault="00313712" w:rsidP="00313712"/>
          <w:p w14:paraId="37A35021" w14:textId="77777777" w:rsidR="00313712" w:rsidRPr="0099116D" w:rsidRDefault="00313712" w:rsidP="00313712">
            <w:r w:rsidRPr="0099116D">
              <w:t xml:space="preserve">The SFA is looking to procure one candidate for each </w:t>
            </w:r>
            <w:r w:rsidR="00647E1F" w:rsidRPr="0099116D">
              <w:t>CPA</w:t>
            </w:r>
            <w:r w:rsidRPr="0099116D">
              <w:t>.</w:t>
            </w:r>
          </w:p>
          <w:p w14:paraId="37A35022" w14:textId="77777777" w:rsidR="00313712" w:rsidRPr="0099116D" w:rsidRDefault="00313712" w:rsidP="00313712"/>
          <w:p w14:paraId="37A35023" w14:textId="77777777" w:rsidR="00313712" w:rsidRPr="0099116D" w:rsidRDefault="00313712" w:rsidP="00313712">
            <w:r w:rsidRPr="0099116D">
              <w:t xml:space="preserve">A candidate can cover more than one </w:t>
            </w:r>
            <w:r w:rsidR="00647E1F" w:rsidRPr="0099116D">
              <w:t>CPA</w:t>
            </w:r>
            <w:r w:rsidRPr="0099116D">
              <w:t xml:space="preserve">. Please note that a separate application must be made for each </w:t>
            </w:r>
            <w:r w:rsidR="00647E1F" w:rsidRPr="0099116D">
              <w:t>CPA</w:t>
            </w:r>
            <w:r w:rsidRPr="0099116D">
              <w:t xml:space="preserve">. </w:t>
            </w:r>
          </w:p>
          <w:p w14:paraId="37A35024" w14:textId="77777777" w:rsidR="00313712" w:rsidRPr="0099116D" w:rsidRDefault="00313712" w:rsidP="00313712"/>
          <w:p w14:paraId="37A35025" w14:textId="77777777" w:rsidR="003908B7" w:rsidRPr="0099116D" w:rsidRDefault="00313712" w:rsidP="003908B7">
            <w:r w:rsidRPr="0099116D">
              <w:lastRenderedPageBreak/>
              <w:t xml:space="preserve">Candidates must cover </w:t>
            </w:r>
            <w:r w:rsidRPr="0099116D">
              <w:rPr>
                <w:bCs/>
              </w:rPr>
              <w:t xml:space="preserve">all </w:t>
            </w:r>
            <w:r w:rsidRPr="0099116D">
              <w:t>boroughs within an FEA.</w:t>
            </w:r>
            <w:r w:rsidR="003908B7" w:rsidRPr="0099116D">
              <w:t xml:space="preserve"> A minimum number of participants must be supported from each Function Economic Area with</w:t>
            </w:r>
            <w:r w:rsidR="002A5F6F">
              <w:t>in</w:t>
            </w:r>
            <w:r w:rsidR="003908B7" w:rsidRPr="0099116D">
              <w:t xml:space="preserve"> the CPAs, for further details see funding and deliverables section.</w:t>
            </w:r>
          </w:p>
          <w:p w14:paraId="37A35026" w14:textId="77777777" w:rsidR="00313712" w:rsidRPr="0099116D" w:rsidRDefault="00313712" w:rsidP="00313712">
            <w:pPr>
              <w:autoSpaceDE w:val="0"/>
              <w:autoSpaceDN w:val="0"/>
              <w:adjustRightInd w:val="0"/>
              <w:rPr>
                <w:rFonts w:cs="Arial"/>
              </w:rPr>
            </w:pPr>
          </w:p>
          <w:p w14:paraId="37A35027" w14:textId="77777777" w:rsidR="00313712" w:rsidRPr="0099116D" w:rsidRDefault="00313712" w:rsidP="00313712">
            <w:pPr>
              <w:autoSpaceDE w:val="0"/>
              <w:autoSpaceDN w:val="0"/>
              <w:adjustRightInd w:val="0"/>
              <w:rPr>
                <w:rFonts w:cs="Arial"/>
                <w:u w:val="single"/>
              </w:rPr>
            </w:pPr>
            <w:r w:rsidRPr="0099116D">
              <w:rPr>
                <w:rFonts w:cs="Arial"/>
                <w:b/>
                <w:u w:val="single"/>
              </w:rPr>
              <w:t>Central</w:t>
            </w:r>
            <w:r w:rsidR="00D433CB" w:rsidRPr="0099116D">
              <w:rPr>
                <w:rFonts w:cs="Arial"/>
                <w:b/>
                <w:u w:val="single"/>
              </w:rPr>
              <w:t xml:space="preserve"> and South</w:t>
            </w:r>
            <w:r w:rsidRPr="0099116D">
              <w:rPr>
                <w:rFonts w:cs="Arial"/>
                <w:b/>
                <w:u w:val="single"/>
              </w:rPr>
              <w:t xml:space="preserve"> London </w:t>
            </w:r>
          </w:p>
          <w:p w14:paraId="37A35028" w14:textId="77777777" w:rsidR="00313712" w:rsidRPr="0099116D" w:rsidRDefault="00313712" w:rsidP="00313712">
            <w:pPr>
              <w:autoSpaceDE w:val="0"/>
              <w:autoSpaceDN w:val="0"/>
              <w:adjustRightInd w:val="0"/>
              <w:rPr>
                <w:rFonts w:cs="Arial"/>
                <w:b/>
              </w:rPr>
            </w:pPr>
          </w:p>
          <w:p w14:paraId="37A35029" w14:textId="77777777" w:rsidR="00313712" w:rsidRPr="0099116D" w:rsidRDefault="00313712" w:rsidP="00313712">
            <w:pPr>
              <w:autoSpaceDE w:val="0"/>
              <w:autoSpaceDN w:val="0"/>
              <w:adjustRightInd w:val="0"/>
              <w:rPr>
                <w:rFonts w:cs="Arial"/>
              </w:rPr>
            </w:pPr>
            <w:r w:rsidRPr="0099116D">
              <w:rPr>
                <w:rFonts w:cs="Arial"/>
              </w:rPr>
              <w:t>Camden</w:t>
            </w:r>
          </w:p>
          <w:p w14:paraId="37A3502A" w14:textId="77777777" w:rsidR="00313712" w:rsidRPr="0099116D" w:rsidRDefault="00313712" w:rsidP="00313712">
            <w:pPr>
              <w:autoSpaceDE w:val="0"/>
              <w:autoSpaceDN w:val="0"/>
              <w:adjustRightInd w:val="0"/>
              <w:rPr>
                <w:rFonts w:cs="Arial"/>
              </w:rPr>
            </w:pPr>
            <w:r w:rsidRPr="0099116D">
              <w:rPr>
                <w:rFonts w:cs="Arial"/>
              </w:rPr>
              <w:t>City of London</w:t>
            </w:r>
          </w:p>
          <w:p w14:paraId="37A3502B" w14:textId="77777777" w:rsidR="00313712" w:rsidRPr="0099116D" w:rsidRDefault="00313712" w:rsidP="00313712">
            <w:pPr>
              <w:autoSpaceDE w:val="0"/>
              <w:autoSpaceDN w:val="0"/>
              <w:adjustRightInd w:val="0"/>
              <w:rPr>
                <w:rFonts w:cs="Arial"/>
              </w:rPr>
            </w:pPr>
            <w:r w:rsidRPr="0099116D">
              <w:rPr>
                <w:rFonts w:cs="Arial"/>
              </w:rPr>
              <w:t>Islington</w:t>
            </w:r>
          </w:p>
          <w:p w14:paraId="37A3502C" w14:textId="77777777" w:rsidR="00313712" w:rsidRPr="0099116D" w:rsidRDefault="00313712" w:rsidP="00313712">
            <w:pPr>
              <w:autoSpaceDE w:val="0"/>
              <w:autoSpaceDN w:val="0"/>
              <w:adjustRightInd w:val="0"/>
              <w:rPr>
                <w:rFonts w:cs="Arial"/>
              </w:rPr>
            </w:pPr>
            <w:r w:rsidRPr="0099116D">
              <w:rPr>
                <w:rFonts w:cs="Arial"/>
              </w:rPr>
              <w:t>Kensington and Chelsea</w:t>
            </w:r>
          </w:p>
          <w:p w14:paraId="37A3502D" w14:textId="77777777" w:rsidR="00313712" w:rsidRPr="0099116D" w:rsidRDefault="00313712" w:rsidP="00313712">
            <w:pPr>
              <w:autoSpaceDE w:val="0"/>
              <w:autoSpaceDN w:val="0"/>
              <w:adjustRightInd w:val="0"/>
              <w:rPr>
                <w:rFonts w:cs="Arial"/>
              </w:rPr>
            </w:pPr>
            <w:r w:rsidRPr="0099116D">
              <w:rPr>
                <w:rFonts w:cs="Arial"/>
              </w:rPr>
              <w:t>Lambeth</w:t>
            </w:r>
          </w:p>
          <w:p w14:paraId="37A3502E" w14:textId="77777777" w:rsidR="00313712" w:rsidRPr="0099116D" w:rsidRDefault="00313712" w:rsidP="00313712">
            <w:pPr>
              <w:autoSpaceDE w:val="0"/>
              <w:autoSpaceDN w:val="0"/>
              <w:adjustRightInd w:val="0"/>
              <w:rPr>
                <w:rFonts w:cs="Arial"/>
              </w:rPr>
            </w:pPr>
            <w:r w:rsidRPr="0099116D">
              <w:rPr>
                <w:rFonts w:cs="Arial"/>
              </w:rPr>
              <w:t>Lewisham</w:t>
            </w:r>
          </w:p>
          <w:p w14:paraId="37A3502F" w14:textId="77777777" w:rsidR="00313712" w:rsidRPr="0099116D" w:rsidRDefault="00313712" w:rsidP="00313712">
            <w:pPr>
              <w:autoSpaceDE w:val="0"/>
              <w:autoSpaceDN w:val="0"/>
              <w:adjustRightInd w:val="0"/>
              <w:rPr>
                <w:rFonts w:cs="Arial"/>
              </w:rPr>
            </w:pPr>
            <w:r w:rsidRPr="0099116D">
              <w:rPr>
                <w:rFonts w:cs="Arial"/>
              </w:rPr>
              <w:t>Southwark</w:t>
            </w:r>
          </w:p>
          <w:p w14:paraId="37A35030" w14:textId="77777777" w:rsidR="00313712" w:rsidRPr="0099116D" w:rsidRDefault="00313712" w:rsidP="00313712">
            <w:pPr>
              <w:autoSpaceDE w:val="0"/>
              <w:autoSpaceDN w:val="0"/>
              <w:adjustRightInd w:val="0"/>
              <w:rPr>
                <w:rFonts w:cs="Arial"/>
              </w:rPr>
            </w:pPr>
            <w:r w:rsidRPr="0099116D">
              <w:rPr>
                <w:rFonts w:cs="Arial"/>
              </w:rPr>
              <w:t>Wandsworth</w:t>
            </w:r>
          </w:p>
          <w:p w14:paraId="37A35031" w14:textId="77777777" w:rsidR="00D433CB" w:rsidRPr="0099116D" w:rsidRDefault="00313712" w:rsidP="00313712">
            <w:pPr>
              <w:autoSpaceDE w:val="0"/>
              <w:autoSpaceDN w:val="0"/>
              <w:adjustRightInd w:val="0"/>
              <w:rPr>
                <w:rFonts w:cs="Arial"/>
              </w:rPr>
            </w:pPr>
            <w:r w:rsidRPr="0099116D">
              <w:rPr>
                <w:rFonts w:cs="Arial"/>
              </w:rPr>
              <w:t>Westminster</w:t>
            </w:r>
          </w:p>
          <w:p w14:paraId="37A35032" w14:textId="77777777" w:rsidR="00313712" w:rsidRPr="0099116D" w:rsidRDefault="00313712" w:rsidP="00313712">
            <w:pPr>
              <w:autoSpaceDE w:val="0"/>
              <w:autoSpaceDN w:val="0"/>
              <w:adjustRightInd w:val="0"/>
              <w:rPr>
                <w:rFonts w:cs="Arial"/>
              </w:rPr>
            </w:pPr>
            <w:r w:rsidRPr="0099116D">
              <w:rPr>
                <w:rFonts w:cs="Arial"/>
              </w:rPr>
              <w:t xml:space="preserve"> </w:t>
            </w:r>
          </w:p>
          <w:p w14:paraId="37A35033" w14:textId="77777777" w:rsidR="00D433CB" w:rsidRPr="0099116D" w:rsidRDefault="00D433CB" w:rsidP="00D433CB">
            <w:pPr>
              <w:autoSpaceDE w:val="0"/>
              <w:autoSpaceDN w:val="0"/>
              <w:adjustRightInd w:val="0"/>
              <w:rPr>
                <w:rFonts w:cs="Arial"/>
              </w:rPr>
            </w:pPr>
            <w:r w:rsidRPr="0099116D">
              <w:rPr>
                <w:rFonts w:cs="Arial"/>
              </w:rPr>
              <w:t>Bexley</w:t>
            </w:r>
          </w:p>
          <w:p w14:paraId="37A35034" w14:textId="77777777" w:rsidR="00D433CB" w:rsidRPr="0099116D" w:rsidRDefault="00D433CB" w:rsidP="00D433CB">
            <w:pPr>
              <w:autoSpaceDE w:val="0"/>
              <w:autoSpaceDN w:val="0"/>
              <w:adjustRightInd w:val="0"/>
              <w:rPr>
                <w:rFonts w:cs="Arial"/>
              </w:rPr>
            </w:pPr>
            <w:r w:rsidRPr="0099116D">
              <w:rPr>
                <w:rFonts w:cs="Arial"/>
              </w:rPr>
              <w:t>Bromley</w:t>
            </w:r>
          </w:p>
          <w:p w14:paraId="37A35035" w14:textId="77777777" w:rsidR="00D433CB" w:rsidRPr="0099116D" w:rsidRDefault="00D433CB" w:rsidP="00D433CB">
            <w:pPr>
              <w:autoSpaceDE w:val="0"/>
              <w:autoSpaceDN w:val="0"/>
              <w:adjustRightInd w:val="0"/>
              <w:rPr>
                <w:rFonts w:cs="Arial"/>
              </w:rPr>
            </w:pPr>
            <w:r w:rsidRPr="0099116D">
              <w:rPr>
                <w:rFonts w:cs="Arial"/>
              </w:rPr>
              <w:t>Croydon</w:t>
            </w:r>
          </w:p>
          <w:p w14:paraId="37A35036" w14:textId="77777777" w:rsidR="00D433CB" w:rsidRPr="0099116D" w:rsidRDefault="00D433CB" w:rsidP="00D433CB">
            <w:pPr>
              <w:autoSpaceDE w:val="0"/>
              <w:autoSpaceDN w:val="0"/>
              <w:adjustRightInd w:val="0"/>
              <w:rPr>
                <w:rFonts w:cs="Arial"/>
              </w:rPr>
            </w:pPr>
            <w:r w:rsidRPr="0099116D">
              <w:rPr>
                <w:rFonts w:cs="Arial"/>
              </w:rPr>
              <w:t>Kingston</w:t>
            </w:r>
          </w:p>
          <w:p w14:paraId="37A35037" w14:textId="77777777" w:rsidR="00D433CB" w:rsidRPr="0099116D" w:rsidRDefault="00D433CB" w:rsidP="00D433CB">
            <w:pPr>
              <w:autoSpaceDE w:val="0"/>
              <w:autoSpaceDN w:val="0"/>
              <w:adjustRightInd w:val="0"/>
              <w:rPr>
                <w:rFonts w:cs="Arial"/>
              </w:rPr>
            </w:pPr>
            <w:r w:rsidRPr="0099116D">
              <w:rPr>
                <w:rFonts w:cs="Arial"/>
              </w:rPr>
              <w:t>Merton</w:t>
            </w:r>
          </w:p>
          <w:p w14:paraId="37A35038" w14:textId="77777777" w:rsidR="00D433CB" w:rsidRPr="0099116D" w:rsidRDefault="00D433CB" w:rsidP="00D433CB">
            <w:pPr>
              <w:autoSpaceDE w:val="0"/>
              <w:autoSpaceDN w:val="0"/>
              <w:adjustRightInd w:val="0"/>
              <w:rPr>
                <w:rFonts w:cs="Arial"/>
              </w:rPr>
            </w:pPr>
            <w:r w:rsidRPr="0099116D">
              <w:rPr>
                <w:rFonts w:cs="Arial"/>
              </w:rPr>
              <w:t>Richmond</w:t>
            </w:r>
          </w:p>
          <w:p w14:paraId="37A35039" w14:textId="77777777" w:rsidR="00D433CB" w:rsidRPr="0099116D" w:rsidRDefault="00D433CB" w:rsidP="00D433CB">
            <w:pPr>
              <w:autoSpaceDE w:val="0"/>
              <w:autoSpaceDN w:val="0"/>
              <w:adjustRightInd w:val="0"/>
              <w:rPr>
                <w:rFonts w:cs="Arial"/>
              </w:rPr>
            </w:pPr>
            <w:r w:rsidRPr="0099116D">
              <w:rPr>
                <w:rFonts w:cs="Arial"/>
              </w:rPr>
              <w:t>Sutton</w:t>
            </w:r>
          </w:p>
          <w:p w14:paraId="37A3503A" w14:textId="77777777" w:rsidR="00313712" w:rsidRPr="0099116D" w:rsidRDefault="00313712" w:rsidP="00313712">
            <w:pPr>
              <w:autoSpaceDE w:val="0"/>
              <w:autoSpaceDN w:val="0"/>
              <w:adjustRightInd w:val="0"/>
              <w:rPr>
                <w:rFonts w:cs="Arial"/>
              </w:rPr>
            </w:pPr>
          </w:p>
          <w:p w14:paraId="37A3503B" w14:textId="77777777" w:rsidR="00313712" w:rsidRPr="0099116D" w:rsidRDefault="00313712" w:rsidP="00313712">
            <w:pPr>
              <w:autoSpaceDE w:val="0"/>
              <w:autoSpaceDN w:val="0"/>
              <w:adjustRightInd w:val="0"/>
              <w:rPr>
                <w:rFonts w:cs="Arial"/>
                <w:b/>
                <w:u w:val="single"/>
              </w:rPr>
            </w:pPr>
            <w:r w:rsidRPr="0099116D">
              <w:rPr>
                <w:rFonts w:cs="Arial"/>
                <w:b/>
                <w:u w:val="single"/>
              </w:rPr>
              <w:t xml:space="preserve">North &amp; East </w:t>
            </w:r>
            <w:r w:rsidR="00D433CB" w:rsidRPr="0099116D">
              <w:rPr>
                <w:rFonts w:cs="Arial"/>
                <w:b/>
                <w:u w:val="single"/>
              </w:rPr>
              <w:t xml:space="preserve"> and West </w:t>
            </w:r>
            <w:r w:rsidRPr="0099116D">
              <w:rPr>
                <w:rFonts w:cs="Arial"/>
                <w:b/>
                <w:u w:val="single"/>
              </w:rPr>
              <w:t>London</w:t>
            </w:r>
          </w:p>
          <w:p w14:paraId="37A3503C" w14:textId="77777777" w:rsidR="00313712" w:rsidRPr="0099116D" w:rsidRDefault="00313712" w:rsidP="00313712">
            <w:pPr>
              <w:autoSpaceDE w:val="0"/>
              <w:autoSpaceDN w:val="0"/>
              <w:adjustRightInd w:val="0"/>
              <w:rPr>
                <w:rFonts w:cs="Arial"/>
              </w:rPr>
            </w:pPr>
          </w:p>
          <w:p w14:paraId="37A3503D" w14:textId="77777777" w:rsidR="00313712" w:rsidRPr="0099116D" w:rsidRDefault="00313712" w:rsidP="00313712">
            <w:pPr>
              <w:autoSpaceDE w:val="0"/>
              <w:autoSpaceDN w:val="0"/>
              <w:adjustRightInd w:val="0"/>
              <w:rPr>
                <w:rFonts w:cs="Arial"/>
              </w:rPr>
            </w:pPr>
            <w:r w:rsidRPr="0099116D">
              <w:rPr>
                <w:rFonts w:cs="Arial"/>
              </w:rPr>
              <w:t>Barking and Dagenham</w:t>
            </w:r>
          </w:p>
          <w:p w14:paraId="37A3503E" w14:textId="77777777" w:rsidR="00313712" w:rsidRPr="0099116D" w:rsidRDefault="00313712" w:rsidP="00313712">
            <w:pPr>
              <w:autoSpaceDE w:val="0"/>
              <w:autoSpaceDN w:val="0"/>
              <w:adjustRightInd w:val="0"/>
              <w:rPr>
                <w:rFonts w:cs="Arial"/>
              </w:rPr>
            </w:pPr>
            <w:r w:rsidRPr="0099116D">
              <w:rPr>
                <w:rFonts w:cs="Arial"/>
              </w:rPr>
              <w:t>Enfield,</w:t>
            </w:r>
          </w:p>
          <w:p w14:paraId="37A3503F" w14:textId="77777777" w:rsidR="00313712" w:rsidRPr="0099116D" w:rsidRDefault="00313712" w:rsidP="00313712">
            <w:pPr>
              <w:autoSpaceDE w:val="0"/>
              <w:autoSpaceDN w:val="0"/>
              <w:adjustRightInd w:val="0"/>
              <w:rPr>
                <w:rFonts w:cs="Arial"/>
              </w:rPr>
            </w:pPr>
            <w:r w:rsidRPr="0099116D">
              <w:rPr>
                <w:rFonts w:cs="Arial"/>
              </w:rPr>
              <w:t>Greenwich,</w:t>
            </w:r>
          </w:p>
          <w:p w14:paraId="37A35040" w14:textId="77777777" w:rsidR="00313712" w:rsidRPr="0099116D" w:rsidRDefault="00313712" w:rsidP="00313712">
            <w:pPr>
              <w:autoSpaceDE w:val="0"/>
              <w:autoSpaceDN w:val="0"/>
              <w:adjustRightInd w:val="0"/>
              <w:rPr>
                <w:rFonts w:cs="Arial"/>
              </w:rPr>
            </w:pPr>
            <w:r w:rsidRPr="0099116D">
              <w:rPr>
                <w:rFonts w:cs="Arial"/>
              </w:rPr>
              <w:t>Hackney</w:t>
            </w:r>
          </w:p>
          <w:p w14:paraId="37A35041" w14:textId="77777777" w:rsidR="00313712" w:rsidRPr="0099116D" w:rsidRDefault="00313712" w:rsidP="00313712">
            <w:pPr>
              <w:autoSpaceDE w:val="0"/>
              <w:autoSpaceDN w:val="0"/>
              <w:adjustRightInd w:val="0"/>
              <w:rPr>
                <w:rFonts w:cs="Arial"/>
              </w:rPr>
            </w:pPr>
            <w:r w:rsidRPr="0099116D">
              <w:rPr>
                <w:rFonts w:cs="Arial"/>
              </w:rPr>
              <w:t>Haringey,</w:t>
            </w:r>
          </w:p>
          <w:p w14:paraId="37A35042" w14:textId="77777777" w:rsidR="00313712" w:rsidRPr="0099116D" w:rsidRDefault="00313712" w:rsidP="00313712">
            <w:pPr>
              <w:autoSpaceDE w:val="0"/>
              <w:autoSpaceDN w:val="0"/>
              <w:adjustRightInd w:val="0"/>
              <w:rPr>
                <w:rFonts w:cs="Arial"/>
              </w:rPr>
            </w:pPr>
            <w:r w:rsidRPr="0099116D">
              <w:rPr>
                <w:rFonts w:cs="Arial"/>
              </w:rPr>
              <w:t>Havering,</w:t>
            </w:r>
          </w:p>
          <w:p w14:paraId="37A35043" w14:textId="77777777" w:rsidR="00313712" w:rsidRPr="0099116D" w:rsidRDefault="00313712" w:rsidP="00313712">
            <w:pPr>
              <w:autoSpaceDE w:val="0"/>
              <w:autoSpaceDN w:val="0"/>
              <w:adjustRightInd w:val="0"/>
              <w:rPr>
                <w:rFonts w:cs="Arial"/>
              </w:rPr>
            </w:pPr>
            <w:r w:rsidRPr="0099116D">
              <w:rPr>
                <w:rFonts w:cs="Arial"/>
              </w:rPr>
              <w:t xml:space="preserve">Newham </w:t>
            </w:r>
          </w:p>
          <w:p w14:paraId="37A35044" w14:textId="77777777" w:rsidR="00313712" w:rsidRPr="0099116D" w:rsidRDefault="00313712" w:rsidP="00313712">
            <w:pPr>
              <w:autoSpaceDE w:val="0"/>
              <w:autoSpaceDN w:val="0"/>
              <w:adjustRightInd w:val="0"/>
              <w:rPr>
                <w:rFonts w:cs="Arial"/>
              </w:rPr>
            </w:pPr>
            <w:r w:rsidRPr="0099116D">
              <w:rPr>
                <w:rFonts w:cs="Arial"/>
              </w:rPr>
              <w:t>Redbridge,</w:t>
            </w:r>
          </w:p>
          <w:p w14:paraId="37A35045" w14:textId="77777777" w:rsidR="00313712" w:rsidRPr="0099116D" w:rsidRDefault="00313712" w:rsidP="00313712">
            <w:pPr>
              <w:autoSpaceDE w:val="0"/>
              <w:autoSpaceDN w:val="0"/>
              <w:adjustRightInd w:val="0"/>
              <w:rPr>
                <w:rFonts w:cs="Arial"/>
              </w:rPr>
            </w:pPr>
            <w:r w:rsidRPr="0099116D">
              <w:rPr>
                <w:rFonts w:cs="Arial"/>
              </w:rPr>
              <w:t xml:space="preserve">Tower Hamlets, </w:t>
            </w:r>
          </w:p>
          <w:p w14:paraId="37A35046" w14:textId="77777777" w:rsidR="00313712" w:rsidRPr="0099116D" w:rsidRDefault="00313712" w:rsidP="00313712">
            <w:pPr>
              <w:autoSpaceDE w:val="0"/>
              <w:autoSpaceDN w:val="0"/>
              <w:adjustRightInd w:val="0"/>
              <w:rPr>
                <w:rFonts w:cs="Arial"/>
              </w:rPr>
            </w:pPr>
            <w:r w:rsidRPr="0099116D">
              <w:rPr>
                <w:rFonts w:cs="Arial"/>
              </w:rPr>
              <w:t>Waltham Forest</w:t>
            </w:r>
          </w:p>
          <w:p w14:paraId="37A35047" w14:textId="77777777" w:rsidR="00D433CB" w:rsidRPr="0099116D" w:rsidRDefault="00D433CB" w:rsidP="00313712">
            <w:pPr>
              <w:autoSpaceDE w:val="0"/>
              <w:autoSpaceDN w:val="0"/>
              <w:adjustRightInd w:val="0"/>
              <w:rPr>
                <w:rFonts w:cs="Arial"/>
              </w:rPr>
            </w:pPr>
          </w:p>
          <w:p w14:paraId="37A35048" w14:textId="77777777" w:rsidR="00D433CB" w:rsidRPr="0099116D" w:rsidRDefault="00D433CB" w:rsidP="00D433CB">
            <w:pPr>
              <w:autoSpaceDE w:val="0"/>
              <w:autoSpaceDN w:val="0"/>
              <w:adjustRightInd w:val="0"/>
              <w:rPr>
                <w:rFonts w:cs="Arial"/>
              </w:rPr>
            </w:pPr>
            <w:r w:rsidRPr="0099116D">
              <w:rPr>
                <w:rFonts w:cs="Arial"/>
              </w:rPr>
              <w:t>Barnet</w:t>
            </w:r>
          </w:p>
          <w:p w14:paraId="37A35049" w14:textId="77777777" w:rsidR="00D433CB" w:rsidRPr="0099116D" w:rsidRDefault="00D433CB" w:rsidP="00D433CB">
            <w:pPr>
              <w:autoSpaceDE w:val="0"/>
              <w:autoSpaceDN w:val="0"/>
              <w:adjustRightInd w:val="0"/>
              <w:rPr>
                <w:rFonts w:cs="Arial"/>
              </w:rPr>
            </w:pPr>
            <w:r w:rsidRPr="0099116D">
              <w:rPr>
                <w:rFonts w:cs="Arial"/>
              </w:rPr>
              <w:t>Brent</w:t>
            </w:r>
          </w:p>
          <w:p w14:paraId="37A3504A" w14:textId="77777777" w:rsidR="00D433CB" w:rsidRPr="0099116D" w:rsidRDefault="00D433CB" w:rsidP="00D433CB">
            <w:pPr>
              <w:autoSpaceDE w:val="0"/>
              <w:autoSpaceDN w:val="0"/>
              <w:adjustRightInd w:val="0"/>
              <w:rPr>
                <w:rFonts w:cs="Arial"/>
              </w:rPr>
            </w:pPr>
            <w:r w:rsidRPr="0099116D">
              <w:rPr>
                <w:rFonts w:cs="Arial"/>
              </w:rPr>
              <w:t>Ealing</w:t>
            </w:r>
          </w:p>
          <w:p w14:paraId="37A3504B" w14:textId="77777777" w:rsidR="00D433CB" w:rsidRPr="0099116D" w:rsidRDefault="00D433CB" w:rsidP="00D433CB">
            <w:pPr>
              <w:autoSpaceDE w:val="0"/>
              <w:autoSpaceDN w:val="0"/>
              <w:adjustRightInd w:val="0"/>
              <w:rPr>
                <w:rFonts w:cs="Arial"/>
              </w:rPr>
            </w:pPr>
            <w:r w:rsidRPr="0099116D">
              <w:rPr>
                <w:rFonts w:cs="Arial"/>
              </w:rPr>
              <w:t>Hammersmith &amp; Fulham</w:t>
            </w:r>
          </w:p>
          <w:p w14:paraId="37A3504C" w14:textId="77777777" w:rsidR="00D433CB" w:rsidRPr="0099116D" w:rsidRDefault="00D433CB" w:rsidP="00D433CB">
            <w:pPr>
              <w:autoSpaceDE w:val="0"/>
              <w:autoSpaceDN w:val="0"/>
              <w:adjustRightInd w:val="0"/>
              <w:rPr>
                <w:rFonts w:cs="Arial"/>
              </w:rPr>
            </w:pPr>
            <w:r w:rsidRPr="0099116D">
              <w:rPr>
                <w:rFonts w:cs="Arial"/>
              </w:rPr>
              <w:t>Harrow</w:t>
            </w:r>
          </w:p>
          <w:p w14:paraId="37A3504D" w14:textId="77777777" w:rsidR="00D433CB" w:rsidRPr="0099116D" w:rsidRDefault="00D433CB" w:rsidP="00D433CB">
            <w:pPr>
              <w:autoSpaceDE w:val="0"/>
              <w:autoSpaceDN w:val="0"/>
              <w:adjustRightInd w:val="0"/>
              <w:rPr>
                <w:rFonts w:cs="Arial"/>
              </w:rPr>
            </w:pPr>
            <w:r w:rsidRPr="0099116D">
              <w:rPr>
                <w:rFonts w:cs="Arial"/>
              </w:rPr>
              <w:t>Hillingdon</w:t>
            </w:r>
          </w:p>
          <w:p w14:paraId="37A3504E" w14:textId="77777777" w:rsidR="00D433CB" w:rsidRPr="0099116D" w:rsidRDefault="00D433CB" w:rsidP="00D433CB">
            <w:pPr>
              <w:autoSpaceDE w:val="0"/>
              <w:autoSpaceDN w:val="0"/>
              <w:adjustRightInd w:val="0"/>
              <w:rPr>
                <w:rFonts w:cs="Arial"/>
              </w:rPr>
            </w:pPr>
            <w:r w:rsidRPr="0099116D">
              <w:rPr>
                <w:rFonts w:cs="Arial"/>
              </w:rPr>
              <w:t>Hounslow</w:t>
            </w:r>
          </w:p>
          <w:p w14:paraId="37A3504F" w14:textId="77777777" w:rsidR="004825CA" w:rsidRDefault="004825CA" w:rsidP="00A005EF">
            <w:pPr>
              <w:autoSpaceDE w:val="0"/>
              <w:autoSpaceDN w:val="0"/>
              <w:adjustRightInd w:val="0"/>
              <w:rPr>
                <w:rFonts w:cs="Arial"/>
              </w:rPr>
            </w:pPr>
          </w:p>
          <w:p w14:paraId="37A35050" w14:textId="77777777" w:rsidR="00DB50BD" w:rsidRDefault="00DB50BD" w:rsidP="00A005EF">
            <w:pPr>
              <w:autoSpaceDE w:val="0"/>
              <w:autoSpaceDN w:val="0"/>
              <w:adjustRightInd w:val="0"/>
              <w:rPr>
                <w:rFonts w:cs="Arial"/>
              </w:rPr>
            </w:pPr>
          </w:p>
          <w:p w14:paraId="37A35051" w14:textId="77777777" w:rsidR="00DB50BD" w:rsidRPr="0099116D" w:rsidRDefault="00DB50BD" w:rsidP="00A005EF">
            <w:pPr>
              <w:autoSpaceDE w:val="0"/>
              <w:autoSpaceDN w:val="0"/>
              <w:adjustRightInd w:val="0"/>
              <w:rPr>
                <w:rFonts w:cs="Arial"/>
              </w:rPr>
            </w:pPr>
          </w:p>
          <w:p w14:paraId="37A35052" w14:textId="77777777" w:rsidR="007C2B80" w:rsidRPr="0099116D" w:rsidRDefault="007C2B80" w:rsidP="00105A7C">
            <w:pPr>
              <w:autoSpaceDE w:val="0"/>
              <w:autoSpaceDN w:val="0"/>
              <w:adjustRightInd w:val="0"/>
            </w:pPr>
          </w:p>
        </w:tc>
      </w:tr>
      <w:tr w:rsidR="0099116D" w:rsidRPr="0099116D" w14:paraId="37A35055" w14:textId="77777777" w:rsidTr="528D0592">
        <w:trPr>
          <w:trHeight w:val="510"/>
        </w:trPr>
        <w:tc>
          <w:tcPr>
            <w:tcW w:w="9088" w:type="dxa"/>
            <w:shd w:val="clear" w:color="auto" w:fill="D9D9D9" w:themeFill="background1" w:themeFillShade="D9"/>
          </w:tcPr>
          <w:p w14:paraId="37A35054" w14:textId="77777777" w:rsidR="00967429" w:rsidRPr="0099116D" w:rsidRDefault="00A005EF" w:rsidP="00DA3E5E">
            <w:pPr>
              <w:spacing w:before="120" w:after="120"/>
              <w:rPr>
                <w:b/>
                <w:bCs/>
              </w:rPr>
            </w:pPr>
            <w:r w:rsidRPr="0099116D">
              <w:rPr>
                <w:b/>
              </w:rPr>
              <w:lastRenderedPageBreak/>
              <w:t>FUNDING AND DELIVERABLES</w:t>
            </w:r>
          </w:p>
        </w:tc>
      </w:tr>
      <w:tr w:rsidR="00967429" w:rsidRPr="0099116D" w14:paraId="37A35289" w14:textId="77777777" w:rsidTr="528D0592">
        <w:trPr>
          <w:trHeight w:val="1408"/>
        </w:trPr>
        <w:tc>
          <w:tcPr>
            <w:tcW w:w="9088" w:type="dxa"/>
          </w:tcPr>
          <w:p w14:paraId="37A35056" w14:textId="77777777" w:rsidR="007E7731" w:rsidRPr="0099116D" w:rsidRDefault="007E7731" w:rsidP="00A005EF">
            <w:pPr>
              <w:rPr>
                <w:rFonts w:cs="Arial"/>
              </w:rPr>
            </w:pPr>
          </w:p>
          <w:p w14:paraId="37A35057" w14:textId="77777777" w:rsidR="007E7731" w:rsidRPr="0099116D" w:rsidRDefault="007E7731" w:rsidP="00A005EF">
            <w:pPr>
              <w:rPr>
                <w:rFonts w:cs="Arial"/>
                <w:b/>
              </w:rPr>
            </w:pPr>
            <w:r w:rsidRPr="0099116D">
              <w:rPr>
                <w:rFonts w:cs="Arial"/>
                <w:b/>
              </w:rPr>
              <w:t>LEP Specific</w:t>
            </w:r>
          </w:p>
          <w:p w14:paraId="37A35058" w14:textId="77777777" w:rsidR="007E7731" w:rsidRPr="0099116D" w:rsidRDefault="007E7731" w:rsidP="00A005EF">
            <w:pPr>
              <w:rPr>
                <w:rFonts w:cs="Arial"/>
              </w:rPr>
            </w:pPr>
          </w:p>
          <w:p w14:paraId="37A35059" w14:textId="787B98F6" w:rsidR="00A005EF" w:rsidRPr="0099116D" w:rsidRDefault="528D0592" w:rsidP="00A005EF">
            <w:pPr>
              <w:rPr>
                <w:rFonts w:cs="Arial"/>
              </w:rPr>
            </w:pPr>
            <w:r w:rsidRPr="528D0592">
              <w:rPr>
                <w:rFonts w:eastAsia="Arial" w:cs="Arial"/>
              </w:rPr>
              <w:t xml:space="preserve">Currently £15,238,300 will be available for the period from </w:t>
            </w:r>
            <w:r w:rsidR="001866DC">
              <w:rPr>
                <w:rFonts w:eastAsia="Arial" w:cs="Arial"/>
              </w:rPr>
              <w:t>September</w:t>
            </w:r>
            <w:r w:rsidRPr="528D0592">
              <w:rPr>
                <w:rFonts w:eastAsia="Arial" w:cs="Arial"/>
              </w:rPr>
              <w:t xml:space="preserve"> 2016 to March 2018.  This may be increased if additional funding becomes available.</w:t>
            </w:r>
          </w:p>
          <w:p w14:paraId="37A3505A" w14:textId="77777777" w:rsidR="00A005EF" w:rsidRDefault="00A005EF" w:rsidP="00A005EF">
            <w:pPr>
              <w:rPr>
                <w:b/>
              </w:rPr>
            </w:pPr>
          </w:p>
          <w:tbl>
            <w:tblPr>
              <w:tblW w:w="2547" w:type="dxa"/>
              <w:tblLayout w:type="fixed"/>
              <w:tblLook w:val="04A0" w:firstRow="1" w:lastRow="0" w:firstColumn="1" w:lastColumn="0" w:noHBand="0" w:noVBand="1"/>
            </w:tblPr>
            <w:tblGrid>
              <w:gridCol w:w="1060"/>
              <w:gridCol w:w="1487"/>
            </w:tblGrid>
            <w:tr w:rsidR="00102F82" w:rsidRPr="00DB50BD" w14:paraId="37A3505D" w14:textId="77777777" w:rsidTr="00DB50BD">
              <w:trPr>
                <w:trHeight w:val="288"/>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05B"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1</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37A3505C"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£2,920,420</w:t>
                  </w:r>
                </w:p>
              </w:tc>
            </w:tr>
            <w:tr w:rsidR="00102F82" w:rsidRPr="00DB50BD" w14:paraId="37A35060"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5E"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2</w:t>
                  </w:r>
                </w:p>
              </w:tc>
              <w:tc>
                <w:tcPr>
                  <w:tcW w:w="1487" w:type="dxa"/>
                  <w:tcBorders>
                    <w:top w:val="nil"/>
                    <w:left w:val="nil"/>
                    <w:bottom w:val="single" w:sz="4" w:space="0" w:color="auto"/>
                    <w:right w:val="single" w:sz="4" w:space="0" w:color="auto"/>
                  </w:tcBorders>
                  <w:shd w:val="clear" w:color="auto" w:fill="auto"/>
                  <w:noWrap/>
                  <w:vAlign w:val="bottom"/>
                  <w:hideMark/>
                </w:tcPr>
                <w:p w14:paraId="37A3505F"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£2,690,870</w:t>
                  </w:r>
                </w:p>
              </w:tc>
            </w:tr>
            <w:tr w:rsidR="00102F82" w:rsidRPr="00DB50BD" w14:paraId="37A35063"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61"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3</w:t>
                  </w:r>
                </w:p>
              </w:tc>
              <w:tc>
                <w:tcPr>
                  <w:tcW w:w="1487" w:type="dxa"/>
                  <w:tcBorders>
                    <w:top w:val="nil"/>
                    <w:left w:val="nil"/>
                    <w:bottom w:val="single" w:sz="4" w:space="0" w:color="auto"/>
                    <w:right w:val="single" w:sz="4" w:space="0" w:color="auto"/>
                  </w:tcBorders>
                  <w:shd w:val="clear" w:color="auto" w:fill="auto"/>
                  <w:noWrap/>
                  <w:vAlign w:val="bottom"/>
                  <w:hideMark/>
                </w:tcPr>
                <w:p w14:paraId="37A35062"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£2,115,440</w:t>
                  </w:r>
                </w:p>
              </w:tc>
            </w:tr>
            <w:tr w:rsidR="00102F82" w:rsidRPr="00DB50BD" w14:paraId="37A35066"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64"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4</w:t>
                  </w:r>
                </w:p>
              </w:tc>
              <w:tc>
                <w:tcPr>
                  <w:tcW w:w="1487" w:type="dxa"/>
                  <w:tcBorders>
                    <w:top w:val="nil"/>
                    <w:left w:val="nil"/>
                    <w:bottom w:val="single" w:sz="4" w:space="0" w:color="auto"/>
                    <w:right w:val="single" w:sz="4" w:space="0" w:color="auto"/>
                  </w:tcBorders>
                  <w:shd w:val="clear" w:color="auto" w:fill="auto"/>
                  <w:noWrap/>
                  <w:vAlign w:val="bottom"/>
                  <w:hideMark/>
                </w:tcPr>
                <w:p w14:paraId="37A35065"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£1,878,710</w:t>
                  </w:r>
                </w:p>
              </w:tc>
            </w:tr>
            <w:tr w:rsidR="00102F82" w:rsidRPr="00DB50BD" w14:paraId="37A35069"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67"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5</w:t>
                  </w:r>
                </w:p>
              </w:tc>
              <w:tc>
                <w:tcPr>
                  <w:tcW w:w="1487" w:type="dxa"/>
                  <w:tcBorders>
                    <w:top w:val="nil"/>
                    <w:left w:val="nil"/>
                    <w:bottom w:val="single" w:sz="4" w:space="0" w:color="auto"/>
                    <w:right w:val="single" w:sz="4" w:space="0" w:color="auto"/>
                  </w:tcBorders>
                  <w:shd w:val="clear" w:color="auto" w:fill="auto"/>
                  <w:noWrap/>
                  <w:vAlign w:val="bottom"/>
                  <w:hideMark/>
                </w:tcPr>
                <w:p w14:paraId="37A35068"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£837,450</w:t>
                  </w:r>
                </w:p>
              </w:tc>
            </w:tr>
            <w:tr w:rsidR="00102F82" w:rsidRPr="00DB50BD" w14:paraId="37A3506C"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6A"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6</w:t>
                  </w:r>
                </w:p>
              </w:tc>
              <w:tc>
                <w:tcPr>
                  <w:tcW w:w="1487" w:type="dxa"/>
                  <w:tcBorders>
                    <w:top w:val="nil"/>
                    <w:left w:val="nil"/>
                    <w:bottom w:val="single" w:sz="4" w:space="0" w:color="auto"/>
                    <w:right w:val="single" w:sz="4" w:space="0" w:color="auto"/>
                  </w:tcBorders>
                  <w:shd w:val="clear" w:color="auto" w:fill="auto"/>
                  <w:noWrap/>
                  <w:vAlign w:val="bottom"/>
                  <w:hideMark/>
                </w:tcPr>
                <w:p w14:paraId="37A3506B"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£964,730</w:t>
                  </w:r>
                </w:p>
              </w:tc>
            </w:tr>
            <w:tr w:rsidR="00102F82" w:rsidRPr="00DB50BD" w14:paraId="37A3506F"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6D"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7</w:t>
                  </w:r>
                </w:p>
              </w:tc>
              <w:tc>
                <w:tcPr>
                  <w:tcW w:w="1487" w:type="dxa"/>
                  <w:tcBorders>
                    <w:top w:val="nil"/>
                    <w:left w:val="nil"/>
                    <w:bottom w:val="single" w:sz="4" w:space="0" w:color="auto"/>
                    <w:right w:val="single" w:sz="4" w:space="0" w:color="auto"/>
                  </w:tcBorders>
                  <w:shd w:val="clear" w:color="auto" w:fill="auto"/>
                  <w:noWrap/>
                  <w:vAlign w:val="bottom"/>
                  <w:hideMark/>
                </w:tcPr>
                <w:p w14:paraId="37A3506E"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£987,660</w:t>
                  </w:r>
                </w:p>
              </w:tc>
            </w:tr>
            <w:tr w:rsidR="00102F82" w:rsidRPr="00DB50BD" w14:paraId="37A35072"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70"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8</w:t>
                  </w:r>
                </w:p>
              </w:tc>
              <w:tc>
                <w:tcPr>
                  <w:tcW w:w="1487" w:type="dxa"/>
                  <w:tcBorders>
                    <w:top w:val="nil"/>
                    <w:left w:val="nil"/>
                    <w:bottom w:val="single" w:sz="4" w:space="0" w:color="auto"/>
                    <w:right w:val="single" w:sz="4" w:space="0" w:color="auto"/>
                  </w:tcBorders>
                  <w:shd w:val="clear" w:color="auto" w:fill="auto"/>
                  <w:noWrap/>
                  <w:vAlign w:val="bottom"/>
                  <w:hideMark/>
                </w:tcPr>
                <w:p w14:paraId="37A35071"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£1,316,000</w:t>
                  </w:r>
                </w:p>
              </w:tc>
            </w:tr>
            <w:tr w:rsidR="00102F82" w:rsidRPr="00DB50BD" w14:paraId="37A35075"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73"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9</w:t>
                  </w:r>
                </w:p>
              </w:tc>
              <w:tc>
                <w:tcPr>
                  <w:tcW w:w="1487" w:type="dxa"/>
                  <w:tcBorders>
                    <w:top w:val="nil"/>
                    <w:left w:val="nil"/>
                    <w:bottom w:val="single" w:sz="4" w:space="0" w:color="auto"/>
                    <w:right w:val="single" w:sz="4" w:space="0" w:color="auto"/>
                  </w:tcBorders>
                  <w:shd w:val="clear" w:color="auto" w:fill="auto"/>
                  <w:noWrap/>
                  <w:vAlign w:val="bottom"/>
                  <w:hideMark/>
                </w:tcPr>
                <w:p w14:paraId="37A35074"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£766,130</w:t>
                  </w:r>
                </w:p>
              </w:tc>
            </w:tr>
            <w:tr w:rsidR="00102F82" w:rsidRPr="00DB50BD" w14:paraId="37A35078" w14:textId="77777777" w:rsidTr="00DB50BD">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7A35076" w14:textId="77777777" w:rsidR="00102F82" w:rsidRPr="00DB50BD" w:rsidRDefault="00102F82" w:rsidP="00102F82">
                  <w:pPr>
                    <w:rPr>
                      <w:rFonts w:cs="Arial"/>
                      <w:color w:val="000000"/>
                      <w:sz w:val="20"/>
                      <w:szCs w:val="20"/>
                      <w:lang w:eastAsia="en-GB"/>
                    </w:rPr>
                  </w:pPr>
                  <w:r w:rsidRPr="00DB50BD">
                    <w:rPr>
                      <w:rFonts w:cs="Arial"/>
                      <w:color w:val="000000"/>
                      <w:sz w:val="20"/>
                      <w:szCs w:val="20"/>
                      <w:lang w:eastAsia="en-GB"/>
                    </w:rPr>
                    <w:t>Lot 10</w:t>
                  </w:r>
                </w:p>
              </w:tc>
              <w:tc>
                <w:tcPr>
                  <w:tcW w:w="1487" w:type="dxa"/>
                  <w:tcBorders>
                    <w:top w:val="nil"/>
                    <w:left w:val="nil"/>
                    <w:bottom w:val="single" w:sz="4" w:space="0" w:color="auto"/>
                    <w:right w:val="single" w:sz="4" w:space="0" w:color="auto"/>
                  </w:tcBorders>
                  <w:shd w:val="clear" w:color="auto" w:fill="auto"/>
                  <w:noWrap/>
                  <w:vAlign w:val="bottom"/>
                  <w:hideMark/>
                </w:tcPr>
                <w:p w14:paraId="37A35077"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£760,890</w:t>
                  </w:r>
                </w:p>
              </w:tc>
            </w:tr>
            <w:tr w:rsidR="00102F82" w:rsidRPr="00DB50BD" w14:paraId="37A3507B" w14:textId="77777777" w:rsidTr="00DB50BD">
              <w:trPr>
                <w:trHeight w:val="288"/>
              </w:trPr>
              <w:tc>
                <w:tcPr>
                  <w:tcW w:w="1060" w:type="dxa"/>
                  <w:tcBorders>
                    <w:top w:val="nil"/>
                    <w:left w:val="nil"/>
                    <w:bottom w:val="nil"/>
                    <w:right w:val="nil"/>
                  </w:tcBorders>
                  <w:shd w:val="clear" w:color="auto" w:fill="auto"/>
                  <w:noWrap/>
                  <w:vAlign w:val="bottom"/>
                  <w:hideMark/>
                </w:tcPr>
                <w:p w14:paraId="37A35079" w14:textId="77777777" w:rsidR="00102F82" w:rsidRPr="00DB50BD" w:rsidRDefault="00102F82" w:rsidP="00102F82">
                  <w:pPr>
                    <w:jc w:val="right"/>
                    <w:rPr>
                      <w:rFonts w:cs="Arial"/>
                      <w:color w:val="000000"/>
                      <w:sz w:val="20"/>
                      <w:szCs w:val="20"/>
                      <w:lang w:eastAsia="en-GB"/>
                    </w:rPr>
                  </w:pPr>
                </w:p>
              </w:tc>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37A3507A" w14:textId="77777777" w:rsidR="00102F82" w:rsidRPr="00DB50BD" w:rsidRDefault="00102F82" w:rsidP="00102F82">
                  <w:pPr>
                    <w:jc w:val="right"/>
                    <w:rPr>
                      <w:rFonts w:cs="Arial"/>
                      <w:color w:val="000000"/>
                      <w:sz w:val="20"/>
                      <w:szCs w:val="20"/>
                      <w:lang w:eastAsia="en-GB"/>
                    </w:rPr>
                  </w:pPr>
                  <w:r w:rsidRPr="00DB50BD">
                    <w:rPr>
                      <w:rFonts w:cs="Arial"/>
                      <w:color w:val="000000"/>
                      <w:sz w:val="20"/>
                      <w:szCs w:val="20"/>
                      <w:lang w:eastAsia="en-GB"/>
                    </w:rPr>
                    <w:t>£15,238,300</w:t>
                  </w:r>
                </w:p>
              </w:tc>
            </w:tr>
          </w:tbl>
          <w:p w14:paraId="37A3507C" w14:textId="77777777" w:rsidR="00102F82" w:rsidRDefault="00102F82" w:rsidP="00A005EF">
            <w:pPr>
              <w:rPr>
                <w:b/>
              </w:rPr>
            </w:pPr>
          </w:p>
          <w:p w14:paraId="37A3507D" w14:textId="77777777" w:rsidR="00394F36" w:rsidRPr="0099116D" w:rsidRDefault="00394F36" w:rsidP="00394F36">
            <w:pPr>
              <w:rPr>
                <w:rFonts w:cs="Arial"/>
              </w:rPr>
            </w:pPr>
            <w:r w:rsidRPr="0099116D">
              <w:rPr>
                <w:rFonts w:cs="Arial"/>
              </w:rPr>
              <w:t xml:space="preserve">The table below shows the initial planned outcomes, but performance management may change the volumes and mix during the life of the contract.  From the funding available on the regulated and non-regulated lines, the </w:t>
            </w:r>
            <w:r w:rsidR="00054537">
              <w:rPr>
                <w:rFonts w:cs="Arial"/>
              </w:rPr>
              <w:t>candidate</w:t>
            </w:r>
            <w:r w:rsidRPr="0099116D">
              <w:rPr>
                <w:rFonts w:cs="Arial"/>
              </w:rPr>
              <w:t xml:space="preserve"> must plan to deliver the appropriate education &amp; training for each participant to enable them to progress. </w:t>
            </w:r>
          </w:p>
          <w:p w14:paraId="37A3507E" w14:textId="77777777" w:rsidR="00394F36" w:rsidRPr="0099116D" w:rsidRDefault="00394F36" w:rsidP="00A005EF">
            <w:pPr>
              <w:rPr>
                <w:b/>
              </w:rPr>
            </w:pPr>
          </w:p>
          <w:p w14:paraId="37A3507F" w14:textId="77777777" w:rsidR="008B323D" w:rsidRPr="0099116D" w:rsidRDefault="00054537" w:rsidP="008B323D">
            <w:r>
              <w:t>Candidate</w:t>
            </w:r>
            <w:r w:rsidR="008B323D" w:rsidRPr="0099116D">
              <w:t xml:space="preserve">s will need to allow sufficient time to achieve 6 month sustained outcomes for the majority of participants. Only those participants securing an ‘progression into employment or apprenticeship outcome 6 months before the final reporting date (i.e. by the end of September 2017) will have sufficient time for a ‘sustained’ outcome to be recorded before the end of the project period (March 2018). </w:t>
            </w:r>
            <w:r>
              <w:t>Candidate</w:t>
            </w:r>
            <w:r w:rsidR="008B323D" w:rsidRPr="0099116D">
              <w:t xml:space="preserve">s must demonstrate in their outputs and result profiles that they can achieve a sufficient number of ‘progression’ outcomes by September 2017 in order to achieve the required volume of sustained outcomes by the end of March 2018. </w:t>
            </w:r>
          </w:p>
          <w:p w14:paraId="37A35080" w14:textId="77777777" w:rsidR="008B323D" w:rsidRPr="002A5F6F" w:rsidRDefault="008B323D" w:rsidP="00A005EF"/>
          <w:p w14:paraId="37A35081" w14:textId="77777777" w:rsidR="00EA29F4" w:rsidRPr="002A5F6F" w:rsidRDefault="00EA29F4" w:rsidP="00EA29F4">
            <w:pPr>
              <w:pStyle w:val="PlainText"/>
              <w:rPr>
                <w:rFonts w:ascii="Arial" w:eastAsia="Times New Roman" w:hAnsi="Arial" w:cs="Times New Roman"/>
                <w:sz w:val="24"/>
                <w:szCs w:val="24"/>
              </w:rPr>
            </w:pPr>
            <w:r w:rsidRPr="002A5F6F">
              <w:rPr>
                <w:rFonts w:ascii="Arial" w:eastAsia="Times New Roman" w:hAnsi="Arial" w:cs="Times New Roman"/>
                <w:sz w:val="24"/>
                <w:szCs w:val="24"/>
              </w:rPr>
              <w:t>In the event that a geographical area cannot be covered through this procurement round, the Agency may negotiate to extend the delivery area to ensure all FEAs are serviced.</w:t>
            </w:r>
          </w:p>
          <w:p w14:paraId="37A35082" w14:textId="77777777" w:rsidR="00DE15D7" w:rsidRPr="002A5F6F" w:rsidRDefault="00DE15D7" w:rsidP="00A005EF"/>
          <w:p w14:paraId="37A35083" w14:textId="77777777" w:rsidR="00A005EF" w:rsidRPr="002A5F6F" w:rsidRDefault="00A005EF" w:rsidP="00A005EF">
            <w:pPr>
              <w:autoSpaceDE w:val="0"/>
              <w:autoSpaceDN w:val="0"/>
              <w:adjustRightInd w:val="0"/>
            </w:pPr>
            <w:r w:rsidRPr="002A5F6F">
              <w:t>The minimum service deliverables</w:t>
            </w:r>
            <w:r w:rsidR="00FD3B0A" w:rsidRPr="002A5F6F">
              <w:t>,</w:t>
            </w:r>
            <w:r w:rsidRPr="002A5F6F">
              <w:t xml:space="preserve"> </w:t>
            </w:r>
            <w:r w:rsidR="007E7731" w:rsidRPr="002A5F6F">
              <w:t xml:space="preserve">values and volumes </w:t>
            </w:r>
            <w:r w:rsidRPr="002A5F6F">
              <w:t>for which evidence must be provided are:</w:t>
            </w:r>
          </w:p>
          <w:p w14:paraId="37A35084" w14:textId="77777777" w:rsidR="00C107CE" w:rsidRPr="0099116D" w:rsidRDefault="00C107CE" w:rsidP="00A005EF">
            <w:pPr>
              <w:autoSpaceDE w:val="0"/>
              <w:autoSpaceDN w:val="0"/>
              <w:adjustRightInd w:val="0"/>
              <w:rPr>
                <w:rFonts w:cs="Arial"/>
              </w:rPr>
            </w:pPr>
          </w:p>
          <w:p w14:paraId="37A35085" w14:textId="77777777" w:rsidR="003D58B2" w:rsidRDefault="003D58B2" w:rsidP="00A005EF">
            <w:pPr>
              <w:rPr>
                <w:rFonts w:cs="Arial"/>
              </w:rPr>
            </w:pPr>
          </w:p>
          <w:p w14:paraId="37A35086" w14:textId="77777777" w:rsidR="0099116D" w:rsidRDefault="0099116D" w:rsidP="00A005EF">
            <w:pPr>
              <w:rPr>
                <w:rFonts w:cs="Arial"/>
              </w:rPr>
            </w:pPr>
          </w:p>
          <w:p w14:paraId="37A35087" w14:textId="77777777" w:rsidR="00DB50BD" w:rsidRDefault="00DB50BD" w:rsidP="00A005EF">
            <w:pPr>
              <w:rPr>
                <w:rFonts w:cs="Arial"/>
              </w:rPr>
            </w:pPr>
          </w:p>
          <w:p w14:paraId="37A35088" w14:textId="77777777" w:rsidR="00DB50BD" w:rsidRPr="0099116D" w:rsidRDefault="00DB50BD" w:rsidP="00A005EF">
            <w:pPr>
              <w:rPr>
                <w:rFonts w:cs="Arial"/>
              </w:rPr>
            </w:pPr>
          </w:p>
          <w:p w14:paraId="37A35089" w14:textId="77777777" w:rsidR="003908B7" w:rsidRPr="0099116D" w:rsidRDefault="003908B7" w:rsidP="003908B7">
            <w:pPr>
              <w:rPr>
                <w:rFonts w:cs="Arial"/>
              </w:rPr>
            </w:pPr>
          </w:p>
          <w:p w14:paraId="37A3508A" w14:textId="77777777" w:rsidR="003908B7" w:rsidRPr="0099116D" w:rsidRDefault="003908B7" w:rsidP="003908B7">
            <w:pPr>
              <w:rPr>
                <w:rFonts w:cs="Arial"/>
              </w:rPr>
            </w:pPr>
            <w:r w:rsidRPr="0099116D">
              <w:rPr>
                <w:rFonts w:cs="Arial"/>
              </w:rPr>
              <w:lastRenderedPageBreak/>
              <w:t>Lot 1 – Retail, Tourism and Hospitality - North and East &amp; West</w:t>
            </w:r>
          </w:p>
          <w:p w14:paraId="37A3508B" w14:textId="77777777" w:rsidR="003908B7" w:rsidRPr="0099116D" w:rsidRDefault="003908B7" w:rsidP="003908B7">
            <w:pPr>
              <w:rPr>
                <w:rFonts w:cs="Arial"/>
                <w:i/>
              </w:rPr>
            </w:pPr>
            <w:r w:rsidRPr="0099116D">
              <w:rPr>
                <w:rFonts w:cs="Arial"/>
                <w:i/>
              </w:rPr>
              <w:t>Of the total we would expect 1022 participants to be from the North &amp; East FEA and 682 from the West FEA</w:t>
            </w:r>
          </w:p>
          <w:p w14:paraId="37A3508C" w14:textId="77777777" w:rsidR="003908B7" w:rsidRDefault="003908B7" w:rsidP="003908B7">
            <w:pPr>
              <w:rPr>
                <w:rFonts w:cs="Arial"/>
                <w:i/>
              </w:rPr>
            </w:pPr>
          </w:p>
          <w:tbl>
            <w:tblPr>
              <w:tblW w:w="8813" w:type="dxa"/>
              <w:tblLayout w:type="fixed"/>
              <w:tblLook w:val="04A0" w:firstRow="1" w:lastRow="0" w:firstColumn="1" w:lastColumn="0" w:noHBand="0" w:noVBand="1"/>
            </w:tblPr>
            <w:tblGrid>
              <w:gridCol w:w="5040"/>
              <w:gridCol w:w="1100"/>
              <w:gridCol w:w="1397"/>
              <w:gridCol w:w="1276"/>
            </w:tblGrid>
            <w:tr w:rsidR="00161641" w:rsidRPr="00DB50BD" w14:paraId="37A35091" w14:textId="77777777" w:rsidTr="00DB50BD">
              <w:trPr>
                <w:trHeight w:val="840"/>
              </w:trPr>
              <w:tc>
                <w:tcPr>
                  <w:tcW w:w="50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8D" w14:textId="77777777" w:rsidR="00161641" w:rsidRPr="00DB50BD" w:rsidRDefault="00161641" w:rsidP="00161641">
                  <w:pPr>
                    <w:rPr>
                      <w:rFonts w:cs="Arial"/>
                      <w:b/>
                      <w:bCs/>
                      <w:color w:val="000000"/>
                      <w:sz w:val="20"/>
                      <w:szCs w:val="20"/>
                      <w:lang w:eastAsia="en-GB"/>
                    </w:rPr>
                  </w:pPr>
                  <w:r w:rsidRPr="00DB50BD">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8E" w14:textId="77777777" w:rsidR="00161641" w:rsidRPr="00DB50BD" w:rsidRDefault="00161641" w:rsidP="00161641">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3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8F" w14:textId="77777777" w:rsidR="00161641" w:rsidRPr="00DB50BD" w:rsidRDefault="00161641" w:rsidP="00161641">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90" w14:textId="77777777" w:rsidR="00161641" w:rsidRPr="00DB50BD" w:rsidRDefault="00161641" w:rsidP="00161641">
                  <w:pPr>
                    <w:jc w:val="center"/>
                    <w:rPr>
                      <w:rFonts w:cs="Arial"/>
                      <w:b/>
                      <w:bCs/>
                      <w:color w:val="000000"/>
                      <w:sz w:val="20"/>
                      <w:szCs w:val="20"/>
                      <w:lang w:eastAsia="en-GB"/>
                    </w:rPr>
                  </w:pPr>
                  <w:r w:rsidRPr="00DB50BD">
                    <w:rPr>
                      <w:rFonts w:cs="Arial"/>
                      <w:b/>
                      <w:bCs/>
                      <w:color w:val="000000"/>
                      <w:sz w:val="20"/>
                      <w:szCs w:val="20"/>
                      <w:lang w:eastAsia="en-GB"/>
                    </w:rPr>
                    <w:t>£</w:t>
                  </w:r>
                </w:p>
              </w:tc>
            </w:tr>
            <w:tr w:rsidR="00161641" w:rsidRPr="00DB50BD" w14:paraId="37A35096"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92"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93"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1704</w:t>
                  </w:r>
                </w:p>
              </w:tc>
              <w:tc>
                <w:tcPr>
                  <w:tcW w:w="139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94"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95"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£477,120</w:t>
                  </w:r>
                </w:p>
              </w:tc>
            </w:tr>
            <w:tr w:rsidR="00161641" w:rsidRPr="00DB50BD" w14:paraId="37A3509B"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97"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7A35098" w14:textId="77777777" w:rsidR="00161641" w:rsidRPr="00DB50BD" w:rsidRDefault="00161641" w:rsidP="00161641">
                  <w:pPr>
                    <w:jc w:val="center"/>
                    <w:rPr>
                      <w:rFonts w:cs="Arial"/>
                      <w:sz w:val="20"/>
                      <w:szCs w:val="20"/>
                      <w:lang w:eastAsia="en-GB"/>
                    </w:rPr>
                  </w:pP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099" w14:textId="77777777" w:rsidR="00161641" w:rsidRPr="00DB50BD" w:rsidRDefault="00161641" w:rsidP="00161641">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9A"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£445,225</w:t>
                  </w:r>
                </w:p>
              </w:tc>
            </w:tr>
            <w:tr w:rsidR="00161641" w:rsidRPr="00DB50BD" w14:paraId="37A350A0"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9C"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09D" w14:textId="77777777" w:rsidR="00161641" w:rsidRPr="00DB50BD" w:rsidRDefault="00161641" w:rsidP="00161641">
                  <w:pPr>
                    <w:jc w:val="center"/>
                    <w:rPr>
                      <w:rFonts w:cs="Arial"/>
                      <w:sz w:val="20"/>
                      <w:szCs w:val="20"/>
                      <w:lang w:eastAsia="en-GB"/>
                    </w:rPr>
                  </w:pP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09E" w14:textId="77777777" w:rsidR="00161641" w:rsidRPr="00DB50BD" w:rsidRDefault="00161641" w:rsidP="00161641">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9F"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£445,225</w:t>
                  </w:r>
                </w:p>
              </w:tc>
            </w:tr>
            <w:tr w:rsidR="00161641" w:rsidRPr="00DB50BD" w14:paraId="37A350A5"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A1"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PG01 Progression Paid Employment (EMP)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A2"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511</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A3"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A4"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£638,750</w:t>
                  </w:r>
                </w:p>
              </w:tc>
            </w:tr>
            <w:tr w:rsidR="00161641" w:rsidRPr="00DB50BD" w14:paraId="37A350AA"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A6"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0A7" w14:textId="77777777" w:rsidR="00161641" w:rsidRPr="00DB50BD" w:rsidRDefault="00161641" w:rsidP="00161641">
                  <w:pPr>
                    <w:jc w:val="center"/>
                    <w:rPr>
                      <w:rFonts w:cs="Arial"/>
                      <w:sz w:val="20"/>
                      <w:szCs w:val="20"/>
                      <w:lang w:eastAsia="en-GB"/>
                    </w:rPr>
                  </w:pPr>
                  <w:r w:rsidRPr="00DB50BD">
                    <w:rPr>
                      <w:rFonts w:cs="Arial"/>
                      <w:sz w:val="20"/>
                      <w:szCs w:val="20"/>
                      <w:lang w:eastAsia="en-GB"/>
                    </w:rPr>
                    <w:t>170</w:t>
                  </w: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A8"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A9"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£212,500</w:t>
                  </w:r>
                </w:p>
              </w:tc>
            </w:tr>
            <w:tr w:rsidR="00161641" w:rsidRPr="00DB50BD" w14:paraId="37A350AF"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AB"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AC" w14:textId="77777777" w:rsidR="00161641" w:rsidRPr="00DB50BD" w:rsidRDefault="00161641" w:rsidP="00161641">
                  <w:pPr>
                    <w:jc w:val="center"/>
                    <w:rPr>
                      <w:rFonts w:cs="Arial"/>
                      <w:sz w:val="20"/>
                      <w:szCs w:val="20"/>
                      <w:lang w:eastAsia="en-GB"/>
                    </w:rPr>
                  </w:pPr>
                  <w:r w:rsidRPr="00DB50BD">
                    <w:rPr>
                      <w:rFonts w:cs="Arial"/>
                      <w:sz w:val="20"/>
                      <w:szCs w:val="20"/>
                      <w:lang w:eastAsia="en-GB"/>
                    </w:rPr>
                    <w:t>436</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AD"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AE"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£654,000</w:t>
                  </w:r>
                </w:p>
              </w:tc>
            </w:tr>
            <w:tr w:rsidR="00161641" w:rsidRPr="00DB50BD" w14:paraId="37A350B4"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B0"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0B1" w14:textId="77777777" w:rsidR="00161641" w:rsidRPr="00DB50BD" w:rsidRDefault="00161641" w:rsidP="00161641">
                  <w:pPr>
                    <w:jc w:val="center"/>
                    <w:rPr>
                      <w:rFonts w:cs="Arial"/>
                      <w:sz w:val="20"/>
                      <w:szCs w:val="20"/>
                      <w:lang w:eastAsia="en-GB"/>
                    </w:rPr>
                  </w:pPr>
                  <w:r w:rsidRPr="00DB50BD">
                    <w:rPr>
                      <w:rFonts w:cs="Arial"/>
                      <w:sz w:val="20"/>
                      <w:szCs w:val="20"/>
                      <w:lang w:eastAsia="en-GB"/>
                    </w:rPr>
                    <w:t>170</w:t>
                  </w: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B2"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B3"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£47,600</w:t>
                  </w:r>
                </w:p>
              </w:tc>
            </w:tr>
            <w:tr w:rsidR="00161641" w:rsidRPr="00DB50BD" w14:paraId="37A350B9" w14:textId="77777777" w:rsidTr="00DB50BD">
              <w:trPr>
                <w:trHeight w:val="450"/>
              </w:trPr>
              <w:tc>
                <w:tcPr>
                  <w:tcW w:w="504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B5" w14:textId="77777777" w:rsidR="00161641" w:rsidRPr="00DB50BD" w:rsidRDefault="00161641" w:rsidP="00161641">
                  <w:pPr>
                    <w:rPr>
                      <w:rFonts w:cs="Arial"/>
                      <w:color w:val="000000"/>
                      <w:sz w:val="20"/>
                      <w:szCs w:val="20"/>
                      <w:lang w:eastAsia="en-GB"/>
                    </w:rPr>
                  </w:pPr>
                  <w:r w:rsidRPr="00DB50BD">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B6" w14:textId="77777777" w:rsidR="00161641" w:rsidRPr="00DB50BD" w:rsidRDefault="00161641" w:rsidP="00161641">
                  <w:pPr>
                    <w:jc w:val="center"/>
                    <w:rPr>
                      <w:rFonts w:cs="Arial"/>
                      <w:sz w:val="20"/>
                      <w:szCs w:val="20"/>
                      <w:lang w:eastAsia="en-GB"/>
                    </w:rPr>
                  </w:pPr>
                  <w:r w:rsidRPr="00DB50BD">
                    <w:rPr>
                      <w:rFonts w:cs="Arial"/>
                      <w:sz w:val="20"/>
                      <w:szCs w:val="20"/>
                      <w:lang w:eastAsia="en-GB"/>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B7"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B8" w14:textId="77777777" w:rsidR="00161641" w:rsidRPr="00DB50BD" w:rsidRDefault="00161641" w:rsidP="00161641">
                  <w:pPr>
                    <w:jc w:val="center"/>
                    <w:rPr>
                      <w:rFonts w:cs="Arial"/>
                      <w:color w:val="000000"/>
                      <w:sz w:val="20"/>
                      <w:szCs w:val="20"/>
                      <w:lang w:eastAsia="en-GB"/>
                    </w:rPr>
                  </w:pPr>
                  <w:r w:rsidRPr="00DB50BD">
                    <w:rPr>
                      <w:rFonts w:cs="Arial"/>
                      <w:color w:val="000000"/>
                      <w:sz w:val="20"/>
                      <w:szCs w:val="20"/>
                      <w:lang w:eastAsia="en-GB"/>
                    </w:rPr>
                    <w:t>£2,920,420</w:t>
                  </w:r>
                </w:p>
              </w:tc>
            </w:tr>
          </w:tbl>
          <w:p w14:paraId="37A350BA" w14:textId="77777777" w:rsidR="00161641" w:rsidRDefault="00161641" w:rsidP="003908B7">
            <w:pPr>
              <w:rPr>
                <w:rFonts w:cs="Arial"/>
                <w:i/>
              </w:rPr>
            </w:pPr>
          </w:p>
          <w:p w14:paraId="37A350BB" w14:textId="77777777" w:rsidR="00161641" w:rsidRDefault="00161641" w:rsidP="003908B7">
            <w:pPr>
              <w:rPr>
                <w:rFonts w:cs="Arial"/>
                <w:i/>
              </w:rPr>
            </w:pPr>
          </w:p>
          <w:p w14:paraId="37A350BC" w14:textId="77777777" w:rsidR="003908B7" w:rsidRPr="0099116D" w:rsidRDefault="003908B7" w:rsidP="003908B7">
            <w:pPr>
              <w:rPr>
                <w:rFonts w:cs="Arial"/>
              </w:rPr>
            </w:pPr>
            <w:r w:rsidRPr="0099116D">
              <w:rPr>
                <w:rFonts w:cs="Arial"/>
              </w:rPr>
              <w:t>Lot 2 – Retail, Tourism and Hospitality - Central &amp; South</w:t>
            </w:r>
          </w:p>
          <w:p w14:paraId="37A350BD" w14:textId="77777777" w:rsidR="003908B7" w:rsidRPr="0099116D" w:rsidRDefault="003908B7" w:rsidP="003908B7">
            <w:pPr>
              <w:rPr>
                <w:rFonts w:cs="Arial"/>
                <w:i/>
              </w:rPr>
            </w:pPr>
            <w:r w:rsidRPr="0099116D">
              <w:rPr>
                <w:rFonts w:cs="Arial"/>
                <w:i/>
              </w:rPr>
              <w:t>Of the total we would expect 998 participants to be from the Central FEA and 665 from the South FEA</w:t>
            </w:r>
          </w:p>
          <w:p w14:paraId="37A350BE" w14:textId="77777777" w:rsidR="003908B7" w:rsidRPr="0099116D" w:rsidRDefault="003908B7" w:rsidP="003908B7">
            <w:pPr>
              <w:rPr>
                <w:rFonts w:cs="Arial"/>
              </w:rPr>
            </w:pPr>
          </w:p>
          <w:tbl>
            <w:tblPr>
              <w:tblW w:w="8813" w:type="dxa"/>
              <w:tblLayout w:type="fixed"/>
              <w:tblLook w:val="04A0" w:firstRow="1" w:lastRow="0" w:firstColumn="1" w:lastColumn="0" w:noHBand="0" w:noVBand="1"/>
            </w:tblPr>
            <w:tblGrid>
              <w:gridCol w:w="4844"/>
              <w:gridCol w:w="1134"/>
              <w:gridCol w:w="1559"/>
              <w:gridCol w:w="1276"/>
            </w:tblGrid>
            <w:tr w:rsidR="005E08D9" w:rsidRPr="00DB50BD" w14:paraId="37A350C3" w14:textId="77777777" w:rsidTr="00DB50BD">
              <w:trPr>
                <w:trHeight w:val="840"/>
              </w:trPr>
              <w:tc>
                <w:tcPr>
                  <w:tcW w:w="484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BF" w14:textId="77777777" w:rsidR="005E08D9" w:rsidRPr="00DB50BD" w:rsidRDefault="005E08D9" w:rsidP="005E08D9">
                  <w:pPr>
                    <w:rPr>
                      <w:rFonts w:cs="Arial"/>
                      <w:b/>
                      <w:bCs/>
                      <w:color w:val="000000"/>
                      <w:sz w:val="20"/>
                      <w:szCs w:val="20"/>
                      <w:lang w:eastAsia="en-GB"/>
                    </w:rPr>
                  </w:pPr>
                  <w:r w:rsidRPr="00DB50BD">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C0"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C1"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C2"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w:t>
                  </w:r>
                </w:p>
              </w:tc>
            </w:tr>
            <w:tr w:rsidR="005E08D9" w:rsidRPr="00DB50BD" w14:paraId="37A350C8"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C4"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C5"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1663</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C6"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C7"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£465,640</w:t>
                  </w:r>
                </w:p>
              </w:tc>
            </w:tr>
            <w:tr w:rsidR="005E08D9" w:rsidRPr="00DB50BD" w14:paraId="37A350CD"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C9"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350CA" w14:textId="77777777" w:rsidR="005E08D9" w:rsidRPr="00DB50BD" w:rsidRDefault="005E08D9" w:rsidP="005E08D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0CB" w14:textId="77777777" w:rsidR="005E08D9" w:rsidRPr="00DB50BD" w:rsidRDefault="005E08D9" w:rsidP="005E08D9">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CC"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£434,500</w:t>
                  </w:r>
                </w:p>
              </w:tc>
            </w:tr>
            <w:tr w:rsidR="005E08D9" w:rsidRPr="00DB50BD" w14:paraId="37A350D2"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CE"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0CF" w14:textId="77777777" w:rsidR="005E08D9" w:rsidRPr="00DB50BD" w:rsidRDefault="005E08D9" w:rsidP="005E08D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0D0" w14:textId="77777777" w:rsidR="005E08D9" w:rsidRPr="00DB50BD" w:rsidRDefault="005E08D9" w:rsidP="005E08D9">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D1"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£434,500</w:t>
                  </w:r>
                </w:p>
              </w:tc>
            </w:tr>
            <w:tr w:rsidR="005E08D9" w:rsidRPr="00DB50BD" w14:paraId="37A350D7"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D3"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D4"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D5"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D6"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£623,750</w:t>
                  </w:r>
                </w:p>
              </w:tc>
            </w:tr>
            <w:tr w:rsidR="005E08D9" w:rsidRPr="00DB50BD" w14:paraId="37A350DC"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D8"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0D9" w14:textId="77777777" w:rsidR="005E08D9" w:rsidRPr="00DB50BD" w:rsidRDefault="005E08D9" w:rsidP="005E08D9">
                  <w:pPr>
                    <w:jc w:val="center"/>
                    <w:rPr>
                      <w:rFonts w:cs="Arial"/>
                      <w:sz w:val="20"/>
                      <w:szCs w:val="20"/>
                      <w:lang w:eastAsia="en-GB"/>
                    </w:rPr>
                  </w:pPr>
                  <w:r w:rsidRPr="00DB50BD">
                    <w:rPr>
                      <w:rFonts w:cs="Arial"/>
                      <w:sz w:val="20"/>
                      <w:szCs w:val="20"/>
                      <w:lang w:eastAsia="en-GB"/>
                    </w:rPr>
                    <w:t>166</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DA"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DB"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£207,500</w:t>
                  </w:r>
                </w:p>
              </w:tc>
            </w:tr>
            <w:tr w:rsidR="005E08D9" w:rsidRPr="00DB50BD" w14:paraId="37A350E1"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DD"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DE" w14:textId="77777777" w:rsidR="005E08D9" w:rsidRPr="00DB50BD" w:rsidRDefault="005E08D9" w:rsidP="005E08D9">
                  <w:pPr>
                    <w:jc w:val="center"/>
                    <w:rPr>
                      <w:rFonts w:cs="Arial"/>
                      <w:sz w:val="20"/>
                      <w:szCs w:val="20"/>
                      <w:lang w:eastAsia="en-GB"/>
                    </w:rPr>
                  </w:pPr>
                  <w:r w:rsidRPr="00DB50BD">
                    <w:rPr>
                      <w:rFonts w:cs="Arial"/>
                      <w:sz w:val="20"/>
                      <w:szCs w:val="20"/>
                      <w:lang w:eastAsia="en-GB"/>
                    </w:rPr>
                    <w:t>319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DF"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E0"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£478,500</w:t>
                  </w:r>
                </w:p>
              </w:tc>
            </w:tr>
            <w:tr w:rsidR="005E08D9" w:rsidRPr="00DB50BD" w14:paraId="37A350E6"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E2"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0E3" w14:textId="77777777" w:rsidR="005E08D9" w:rsidRPr="00DB50BD" w:rsidRDefault="005E08D9" w:rsidP="005E08D9">
                  <w:pPr>
                    <w:jc w:val="center"/>
                    <w:rPr>
                      <w:rFonts w:cs="Arial"/>
                      <w:sz w:val="20"/>
                      <w:szCs w:val="20"/>
                      <w:lang w:eastAsia="en-GB"/>
                    </w:rPr>
                  </w:pPr>
                  <w:r w:rsidRPr="00DB50BD">
                    <w:rPr>
                      <w:rFonts w:cs="Arial"/>
                      <w:sz w:val="20"/>
                      <w:szCs w:val="20"/>
                      <w:lang w:eastAsia="en-GB"/>
                    </w:rPr>
                    <w:t>166</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E4"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0E5"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£46,480</w:t>
                  </w:r>
                </w:p>
              </w:tc>
            </w:tr>
            <w:tr w:rsidR="005E08D9" w:rsidRPr="00DB50BD" w14:paraId="37A350EB" w14:textId="77777777" w:rsidTr="00DB50BD">
              <w:trPr>
                <w:trHeight w:val="45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E7"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0E8" w14:textId="77777777" w:rsidR="005E08D9" w:rsidRPr="00DB50BD" w:rsidRDefault="005E08D9" w:rsidP="005E08D9">
                  <w:pPr>
                    <w:jc w:val="center"/>
                    <w:rPr>
                      <w:rFonts w:cs="Arial"/>
                      <w:sz w:val="20"/>
                      <w:szCs w:val="20"/>
                      <w:lang w:eastAsia="en-GB"/>
                    </w:rPr>
                  </w:pPr>
                  <w:r w:rsidRPr="00DB50BD">
                    <w:rPr>
                      <w:rFonts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E9"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0EA"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£2,690,870</w:t>
                  </w:r>
                </w:p>
              </w:tc>
            </w:tr>
          </w:tbl>
          <w:p w14:paraId="37A350EC" w14:textId="77777777" w:rsidR="003908B7" w:rsidRPr="0099116D" w:rsidRDefault="003908B7" w:rsidP="003908B7">
            <w:pPr>
              <w:rPr>
                <w:rFonts w:cs="Arial"/>
              </w:rPr>
            </w:pPr>
          </w:p>
          <w:p w14:paraId="37A350ED" w14:textId="77777777" w:rsidR="003908B7" w:rsidRDefault="003908B7" w:rsidP="003908B7">
            <w:pPr>
              <w:rPr>
                <w:rFonts w:cs="Arial"/>
              </w:rPr>
            </w:pPr>
          </w:p>
          <w:p w14:paraId="37A350EE" w14:textId="77777777" w:rsidR="00DB50BD" w:rsidRDefault="00DB50BD" w:rsidP="003908B7">
            <w:pPr>
              <w:rPr>
                <w:rFonts w:cs="Arial"/>
              </w:rPr>
            </w:pPr>
          </w:p>
          <w:p w14:paraId="37A350EF" w14:textId="77777777" w:rsidR="00DB50BD" w:rsidRPr="0099116D" w:rsidRDefault="00DB50BD" w:rsidP="003908B7">
            <w:pPr>
              <w:rPr>
                <w:rFonts w:cs="Arial"/>
              </w:rPr>
            </w:pPr>
          </w:p>
          <w:p w14:paraId="37A350F0" w14:textId="77777777" w:rsidR="003908B7" w:rsidRPr="0099116D" w:rsidRDefault="003908B7" w:rsidP="003908B7">
            <w:pPr>
              <w:rPr>
                <w:rFonts w:cs="Arial"/>
              </w:rPr>
            </w:pPr>
          </w:p>
          <w:p w14:paraId="37A350F1" w14:textId="77777777" w:rsidR="003908B7" w:rsidRPr="0099116D" w:rsidRDefault="003908B7" w:rsidP="003908B7">
            <w:pPr>
              <w:rPr>
                <w:rFonts w:cs="Arial"/>
              </w:rPr>
            </w:pPr>
            <w:r w:rsidRPr="0099116D">
              <w:rPr>
                <w:rFonts w:cs="Arial"/>
              </w:rPr>
              <w:lastRenderedPageBreak/>
              <w:t>Lot 3 – Health and Social Care - North and East &amp; West</w:t>
            </w:r>
          </w:p>
          <w:p w14:paraId="37A350F2" w14:textId="77777777" w:rsidR="003908B7" w:rsidRPr="0099116D" w:rsidRDefault="003908B7" w:rsidP="003908B7">
            <w:pPr>
              <w:rPr>
                <w:rFonts w:cs="Arial"/>
                <w:i/>
              </w:rPr>
            </w:pPr>
            <w:r w:rsidRPr="0099116D">
              <w:rPr>
                <w:rFonts w:cs="Arial"/>
                <w:i/>
              </w:rPr>
              <w:t>Of the total we would expect 784 participants to be from the North &amp; East FEA and 523 from the West FEA</w:t>
            </w:r>
          </w:p>
          <w:p w14:paraId="37A350F3" w14:textId="77777777" w:rsidR="003908B7" w:rsidRPr="0099116D" w:rsidRDefault="003908B7" w:rsidP="003908B7">
            <w:pPr>
              <w:rPr>
                <w:rFonts w:cs="Arial"/>
              </w:rPr>
            </w:pPr>
          </w:p>
          <w:tbl>
            <w:tblPr>
              <w:tblW w:w="8671" w:type="dxa"/>
              <w:tblLayout w:type="fixed"/>
              <w:tblLook w:val="04A0" w:firstRow="1" w:lastRow="0" w:firstColumn="1" w:lastColumn="0" w:noHBand="0" w:noVBand="1"/>
            </w:tblPr>
            <w:tblGrid>
              <w:gridCol w:w="4560"/>
              <w:gridCol w:w="1276"/>
              <w:gridCol w:w="1564"/>
              <w:gridCol w:w="1271"/>
            </w:tblGrid>
            <w:tr w:rsidR="005E08D9" w:rsidRPr="00DB50BD" w14:paraId="37A350F8" w14:textId="77777777" w:rsidTr="00DB50BD">
              <w:trPr>
                <w:trHeight w:val="84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F4" w14:textId="77777777" w:rsidR="005E08D9" w:rsidRPr="00DB50BD" w:rsidRDefault="005E08D9" w:rsidP="005E08D9">
                  <w:pPr>
                    <w:rPr>
                      <w:rFonts w:cs="Arial"/>
                      <w:b/>
                      <w:bCs/>
                      <w:color w:val="000000"/>
                      <w:sz w:val="20"/>
                      <w:szCs w:val="20"/>
                      <w:lang w:eastAsia="en-GB"/>
                    </w:rPr>
                  </w:pPr>
                  <w:r w:rsidRPr="00DB50BD">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F5"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56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F6"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7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0F7"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w:t>
                  </w:r>
                </w:p>
              </w:tc>
            </w:tr>
            <w:tr w:rsidR="005E08D9" w:rsidRPr="00DB50BD" w14:paraId="37A350FD"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F9"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0FA"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1307</w:t>
                  </w:r>
                </w:p>
              </w:tc>
              <w:tc>
                <w:tcPr>
                  <w:tcW w:w="156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FB"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27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0FC"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£365,960</w:t>
                  </w:r>
                </w:p>
              </w:tc>
            </w:tr>
            <w:tr w:rsidR="005E08D9" w:rsidRPr="00DB50BD" w14:paraId="37A35102"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0FE"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350FF" w14:textId="77777777" w:rsidR="005E08D9" w:rsidRPr="00DB50BD" w:rsidRDefault="005E08D9" w:rsidP="005E08D9">
                  <w:pPr>
                    <w:jc w:val="center"/>
                    <w:rPr>
                      <w:rFonts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100" w14:textId="77777777" w:rsidR="005E08D9" w:rsidRPr="00DB50BD" w:rsidRDefault="005E08D9" w:rsidP="005E08D9">
                  <w:pPr>
                    <w:jc w:val="center"/>
                    <w:rPr>
                      <w:rFonts w:cs="Arial"/>
                      <w:color w:val="000000"/>
                      <w:sz w:val="20"/>
                      <w:szCs w:val="20"/>
                      <w:lang w:eastAsia="en-GB"/>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01"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£341,275</w:t>
                  </w:r>
                </w:p>
              </w:tc>
            </w:tr>
            <w:tr w:rsidR="005E08D9" w:rsidRPr="00DB50BD" w14:paraId="37A35107"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03"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104" w14:textId="77777777" w:rsidR="005E08D9" w:rsidRPr="00DB50BD" w:rsidRDefault="005E08D9" w:rsidP="005E08D9">
                  <w:pPr>
                    <w:jc w:val="center"/>
                    <w:rPr>
                      <w:rFonts w:cs="Arial"/>
                      <w:sz w:val="20"/>
                      <w:szCs w:val="20"/>
                      <w:lang w:eastAsia="en-GB"/>
                    </w:rPr>
                  </w:pPr>
                </w:p>
              </w:tc>
              <w:tc>
                <w:tcPr>
                  <w:tcW w:w="156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105" w14:textId="77777777" w:rsidR="005E08D9" w:rsidRPr="00DB50BD" w:rsidRDefault="005E08D9" w:rsidP="005E08D9">
                  <w:pPr>
                    <w:jc w:val="center"/>
                    <w:rPr>
                      <w:rFonts w:cs="Arial"/>
                      <w:color w:val="000000"/>
                      <w:sz w:val="20"/>
                      <w:szCs w:val="20"/>
                      <w:lang w:eastAsia="en-GB"/>
                    </w:rPr>
                  </w:pPr>
                </w:p>
              </w:tc>
              <w:tc>
                <w:tcPr>
                  <w:tcW w:w="127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06"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£341,275</w:t>
                  </w:r>
                </w:p>
              </w:tc>
            </w:tr>
            <w:tr w:rsidR="005E08D9" w:rsidRPr="00DB50BD" w14:paraId="37A3510C"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08"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09"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392</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0A"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0B"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£490,000</w:t>
                  </w:r>
                </w:p>
              </w:tc>
            </w:tr>
            <w:tr w:rsidR="005E08D9" w:rsidRPr="00DB50BD" w14:paraId="37A35111"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0D"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0E" w14:textId="77777777" w:rsidR="005E08D9" w:rsidRPr="00DB50BD" w:rsidRDefault="005E08D9" w:rsidP="005E08D9">
                  <w:pPr>
                    <w:jc w:val="center"/>
                    <w:rPr>
                      <w:rFonts w:cs="Arial"/>
                      <w:sz w:val="20"/>
                      <w:szCs w:val="20"/>
                      <w:lang w:eastAsia="en-GB"/>
                    </w:rPr>
                  </w:pPr>
                  <w:r w:rsidRPr="00DB50BD">
                    <w:rPr>
                      <w:rFonts w:cs="Arial"/>
                      <w:sz w:val="20"/>
                      <w:szCs w:val="20"/>
                      <w:lang w:eastAsia="en-GB"/>
                    </w:rPr>
                    <w:t>131</w:t>
                  </w:r>
                </w:p>
              </w:tc>
              <w:tc>
                <w:tcPr>
                  <w:tcW w:w="15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0F"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27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10"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£163,750</w:t>
                  </w:r>
                </w:p>
              </w:tc>
            </w:tr>
            <w:tr w:rsidR="005E08D9" w:rsidRPr="00DB50BD" w14:paraId="37A35116"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12"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13" w14:textId="77777777" w:rsidR="005E08D9" w:rsidRPr="00DB50BD" w:rsidRDefault="005E08D9" w:rsidP="005E08D9">
                  <w:pPr>
                    <w:jc w:val="center"/>
                    <w:rPr>
                      <w:rFonts w:cs="Arial"/>
                      <w:sz w:val="20"/>
                      <w:szCs w:val="20"/>
                      <w:lang w:eastAsia="en-GB"/>
                    </w:rPr>
                  </w:pPr>
                  <w:r w:rsidRPr="00DB50BD">
                    <w:rPr>
                      <w:rFonts w:cs="Arial"/>
                      <w:sz w:val="20"/>
                      <w:szCs w:val="20"/>
                      <w:lang w:eastAsia="en-GB"/>
                    </w:rPr>
                    <w:t>251</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4"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£1,500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5"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£376,500</w:t>
                  </w:r>
                </w:p>
              </w:tc>
            </w:tr>
            <w:tr w:rsidR="005E08D9" w:rsidRPr="00DB50BD" w14:paraId="37A3511B"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17"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18" w14:textId="77777777" w:rsidR="005E08D9" w:rsidRPr="00DB50BD" w:rsidRDefault="005E08D9" w:rsidP="005E08D9">
                  <w:pPr>
                    <w:jc w:val="center"/>
                    <w:rPr>
                      <w:rFonts w:cs="Arial"/>
                      <w:sz w:val="20"/>
                      <w:szCs w:val="20"/>
                      <w:lang w:eastAsia="en-GB"/>
                    </w:rPr>
                  </w:pPr>
                  <w:r w:rsidRPr="00DB50BD">
                    <w:rPr>
                      <w:rFonts w:cs="Arial"/>
                      <w:sz w:val="20"/>
                      <w:szCs w:val="20"/>
                      <w:lang w:eastAsia="en-GB"/>
                    </w:rPr>
                    <w:t>131</w:t>
                  </w:r>
                </w:p>
              </w:tc>
              <w:tc>
                <w:tcPr>
                  <w:tcW w:w="156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19"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27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1A"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£36,680</w:t>
                  </w:r>
                </w:p>
              </w:tc>
            </w:tr>
            <w:tr w:rsidR="005E08D9" w:rsidRPr="00DB50BD" w14:paraId="37A35120"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1C"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1D" w14:textId="77777777" w:rsidR="005E08D9" w:rsidRPr="00DB50BD" w:rsidRDefault="005E08D9" w:rsidP="005E08D9">
                  <w:pPr>
                    <w:jc w:val="center"/>
                    <w:rPr>
                      <w:rFonts w:cs="Arial"/>
                      <w:sz w:val="20"/>
                      <w:szCs w:val="20"/>
                      <w:lang w:eastAsia="en-GB"/>
                    </w:rPr>
                  </w:pPr>
                  <w:r w:rsidRPr="00DB50BD">
                    <w:rPr>
                      <w:rFonts w:cs="Arial"/>
                      <w:sz w:val="20"/>
                      <w:szCs w:val="20"/>
                      <w:lang w:eastAsia="en-GB"/>
                    </w:rPr>
                    <w:t>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E"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1F"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£2,115,440</w:t>
                  </w:r>
                </w:p>
              </w:tc>
            </w:tr>
          </w:tbl>
          <w:p w14:paraId="37A35121" w14:textId="77777777" w:rsidR="003908B7" w:rsidRPr="0099116D" w:rsidRDefault="003908B7" w:rsidP="003908B7">
            <w:pPr>
              <w:rPr>
                <w:rFonts w:cs="Arial"/>
              </w:rPr>
            </w:pPr>
          </w:p>
          <w:p w14:paraId="37A35122" w14:textId="77777777" w:rsidR="003908B7" w:rsidRPr="0099116D" w:rsidRDefault="003908B7" w:rsidP="003908B7">
            <w:pPr>
              <w:rPr>
                <w:rFonts w:cs="Arial"/>
              </w:rPr>
            </w:pPr>
          </w:p>
          <w:p w14:paraId="37A35123" w14:textId="77777777" w:rsidR="003908B7" w:rsidRPr="0099116D" w:rsidRDefault="003908B7" w:rsidP="003908B7">
            <w:pPr>
              <w:rPr>
                <w:rFonts w:cs="Arial"/>
              </w:rPr>
            </w:pPr>
            <w:r w:rsidRPr="0099116D">
              <w:rPr>
                <w:rFonts w:cs="Arial"/>
              </w:rPr>
              <w:t>Lot 4 - Health and Social Care - Central and South</w:t>
            </w:r>
          </w:p>
          <w:p w14:paraId="37A35124" w14:textId="77777777" w:rsidR="003908B7" w:rsidRPr="0099116D" w:rsidRDefault="003908B7" w:rsidP="003908B7">
            <w:pPr>
              <w:rPr>
                <w:rFonts w:cs="Arial"/>
                <w:i/>
              </w:rPr>
            </w:pPr>
            <w:r w:rsidRPr="0099116D">
              <w:rPr>
                <w:rFonts w:cs="Arial"/>
                <w:i/>
              </w:rPr>
              <w:t>Of the total we would expect 6</w:t>
            </w:r>
            <w:r w:rsidR="00B95BC9">
              <w:rPr>
                <w:rFonts w:cs="Arial"/>
                <w:i/>
              </w:rPr>
              <w:t>88</w:t>
            </w:r>
            <w:r w:rsidRPr="0099116D">
              <w:rPr>
                <w:rFonts w:cs="Arial"/>
                <w:i/>
              </w:rPr>
              <w:t xml:space="preserve"> participants to be from the Central FEA and 4</w:t>
            </w:r>
            <w:r w:rsidR="00B95BC9">
              <w:rPr>
                <w:rFonts w:cs="Arial"/>
                <w:i/>
              </w:rPr>
              <w:t>73</w:t>
            </w:r>
            <w:r w:rsidRPr="0099116D">
              <w:rPr>
                <w:rFonts w:cs="Arial"/>
                <w:i/>
              </w:rPr>
              <w:t xml:space="preserve"> from the South FEA</w:t>
            </w:r>
          </w:p>
          <w:p w14:paraId="37A35125" w14:textId="77777777" w:rsidR="003908B7" w:rsidRDefault="003908B7" w:rsidP="003908B7">
            <w:pPr>
              <w:rPr>
                <w:rFonts w:cs="Arial"/>
              </w:rPr>
            </w:pPr>
          </w:p>
          <w:tbl>
            <w:tblPr>
              <w:tblW w:w="8671" w:type="dxa"/>
              <w:tblLayout w:type="fixed"/>
              <w:tblLook w:val="04A0" w:firstRow="1" w:lastRow="0" w:firstColumn="1" w:lastColumn="0" w:noHBand="0" w:noVBand="1"/>
            </w:tblPr>
            <w:tblGrid>
              <w:gridCol w:w="4560"/>
              <w:gridCol w:w="1276"/>
              <w:gridCol w:w="1484"/>
              <w:gridCol w:w="1351"/>
            </w:tblGrid>
            <w:tr w:rsidR="005E08D9" w:rsidRPr="00DB50BD" w14:paraId="37A3512A" w14:textId="77777777" w:rsidTr="00DB50BD">
              <w:trPr>
                <w:trHeight w:val="84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26" w14:textId="77777777" w:rsidR="005E08D9" w:rsidRPr="00DB50BD" w:rsidRDefault="005E08D9" w:rsidP="005E08D9">
                  <w:pPr>
                    <w:rPr>
                      <w:rFonts w:cs="Arial"/>
                      <w:b/>
                      <w:bCs/>
                      <w:color w:val="000000"/>
                      <w:sz w:val="20"/>
                      <w:szCs w:val="20"/>
                      <w:lang w:eastAsia="en-GB"/>
                    </w:rPr>
                  </w:pPr>
                  <w:r w:rsidRPr="00DB50BD">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27"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28"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3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29" w14:textId="77777777" w:rsidR="005E08D9" w:rsidRPr="00DB50BD" w:rsidRDefault="005E08D9" w:rsidP="005E08D9">
                  <w:pPr>
                    <w:jc w:val="center"/>
                    <w:rPr>
                      <w:rFonts w:cs="Arial"/>
                      <w:b/>
                      <w:bCs/>
                      <w:color w:val="000000"/>
                      <w:sz w:val="20"/>
                      <w:szCs w:val="20"/>
                      <w:lang w:eastAsia="en-GB"/>
                    </w:rPr>
                  </w:pPr>
                  <w:r w:rsidRPr="00DB50BD">
                    <w:rPr>
                      <w:rFonts w:cs="Arial"/>
                      <w:b/>
                      <w:bCs/>
                      <w:color w:val="000000"/>
                      <w:sz w:val="20"/>
                      <w:szCs w:val="20"/>
                      <w:lang w:eastAsia="en-GB"/>
                    </w:rPr>
                    <w:t>£</w:t>
                  </w:r>
                </w:p>
              </w:tc>
            </w:tr>
            <w:tr w:rsidR="005E08D9" w:rsidRPr="00DB50BD" w14:paraId="37A3512F"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2B"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2C"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1161</w:t>
                  </w:r>
                </w:p>
              </w:tc>
              <w:tc>
                <w:tcPr>
                  <w:tcW w:w="148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2D"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35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2E"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£325,080</w:t>
                  </w:r>
                </w:p>
              </w:tc>
            </w:tr>
            <w:tr w:rsidR="005E08D9" w:rsidRPr="00DB50BD" w14:paraId="37A35134"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30"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35131" w14:textId="77777777" w:rsidR="005E08D9" w:rsidRPr="00DB50BD" w:rsidRDefault="005E08D9" w:rsidP="005E08D9">
                  <w:pPr>
                    <w:jc w:val="center"/>
                    <w:rPr>
                      <w:rFonts w:cs="Arial"/>
                      <w:sz w:val="20"/>
                      <w:szCs w:val="20"/>
                      <w:lang w:eastAsia="en-GB"/>
                    </w:rPr>
                  </w:pP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132" w14:textId="77777777" w:rsidR="005E08D9" w:rsidRPr="00DB50BD" w:rsidRDefault="005E08D9" w:rsidP="005E08D9">
                  <w:pPr>
                    <w:jc w:val="center"/>
                    <w:rPr>
                      <w:rFonts w:cs="Arial"/>
                      <w:color w:val="000000"/>
                      <w:sz w:val="20"/>
                      <w:szCs w:val="20"/>
                      <w:lang w:eastAsia="en-GB"/>
                    </w:rPr>
                  </w:pP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33"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£303,325</w:t>
                  </w:r>
                </w:p>
              </w:tc>
            </w:tr>
            <w:tr w:rsidR="005E08D9" w:rsidRPr="00DB50BD" w14:paraId="37A35139"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35"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136" w14:textId="77777777" w:rsidR="005E08D9" w:rsidRPr="00DB50BD" w:rsidRDefault="005E08D9" w:rsidP="005E08D9">
                  <w:pPr>
                    <w:jc w:val="center"/>
                    <w:rPr>
                      <w:rFonts w:cs="Arial"/>
                      <w:sz w:val="20"/>
                      <w:szCs w:val="20"/>
                      <w:lang w:eastAsia="en-GB"/>
                    </w:rPr>
                  </w:pPr>
                </w:p>
              </w:tc>
              <w:tc>
                <w:tcPr>
                  <w:tcW w:w="148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137" w14:textId="77777777" w:rsidR="005E08D9" w:rsidRPr="00DB50BD" w:rsidRDefault="005E08D9" w:rsidP="005E08D9">
                  <w:pPr>
                    <w:jc w:val="center"/>
                    <w:rPr>
                      <w:rFonts w:cs="Arial"/>
                      <w:color w:val="000000"/>
                      <w:sz w:val="20"/>
                      <w:szCs w:val="20"/>
                      <w:lang w:eastAsia="en-GB"/>
                    </w:rPr>
                  </w:pPr>
                </w:p>
              </w:tc>
              <w:tc>
                <w:tcPr>
                  <w:tcW w:w="135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38"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£303,325</w:t>
                  </w:r>
                </w:p>
              </w:tc>
            </w:tr>
            <w:tr w:rsidR="005E08D9" w:rsidRPr="00DB50BD" w14:paraId="37A3513E"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3A"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3B"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348</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3C"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3D"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£435,000</w:t>
                  </w:r>
                </w:p>
              </w:tc>
            </w:tr>
            <w:tr w:rsidR="005E08D9" w:rsidRPr="00DB50BD" w14:paraId="37A35143"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3F"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40" w14:textId="77777777" w:rsidR="005E08D9" w:rsidRPr="00DB50BD" w:rsidRDefault="005E08D9" w:rsidP="005E08D9">
                  <w:pPr>
                    <w:jc w:val="center"/>
                    <w:rPr>
                      <w:rFonts w:cs="Arial"/>
                      <w:sz w:val="20"/>
                      <w:szCs w:val="20"/>
                      <w:lang w:eastAsia="en-GB"/>
                    </w:rPr>
                  </w:pPr>
                  <w:r w:rsidRPr="00DB50BD">
                    <w:rPr>
                      <w:rFonts w:cs="Arial"/>
                      <w:sz w:val="20"/>
                      <w:szCs w:val="20"/>
                      <w:lang w:eastAsia="en-GB"/>
                    </w:rPr>
                    <w:t>116</w:t>
                  </w:r>
                </w:p>
              </w:tc>
              <w:tc>
                <w:tcPr>
                  <w:tcW w:w="14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41"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£1,250</w:t>
                  </w:r>
                </w:p>
              </w:tc>
              <w:tc>
                <w:tcPr>
                  <w:tcW w:w="135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42"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£145,000</w:t>
                  </w:r>
                </w:p>
              </w:tc>
            </w:tr>
            <w:tr w:rsidR="005E08D9" w:rsidRPr="00DB50BD" w14:paraId="37A35148"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44"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45" w14:textId="77777777" w:rsidR="005E08D9" w:rsidRPr="00DB50BD" w:rsidRDefault="005E08D9" w:rsidP="005E08D9">
                  <w:pPr>
                    <w:jc w:val="center"/>
                    <w:rPr>
                      <w:rFonts w:cs="Arial"/>
                      <w:sz w:val="20"/>
                      <w:szCs w:val="20"/>
                      <w:lang w:eastAsia="en-GB"/>
                    </w:rPr>
                  </w:pPr>
                  <w:r w:rsidRPr="00DB50BD">
                    <w:rPr>
                      <w:rFonts w:cs="Arial"/>
                      <w:sz w:val="20"/>
                      <w:szCs w:val="20"/>
                      <w:lang w:eastAsia="en-GB"/>
                    </w:rPr>
                    <w:t>223</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46"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£1,500</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47"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£334,500</w:t>
                  </w:r>
                </w:p>
              </w:tc>
            </w:tr>
            <w:tr w:rsidR="005E08D9" w:rsidRPr="00DB50BD" w14:paraId="37A3514D"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49"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4A" w14:textId="77777777" w:rsidR="005E08D9" w:rsidRPr="00DB50BD" w:rsidRDefault="005E08D9" w:rsidP="005E08D9">
                  <w:pPr>
                    <w:jc w:val="center"/>
                    <w:rPr>
                      <w:rFonts w:cs="Arial"/>
                      <w:sz w:val="20"/>
                      <w:szCs w:val="20"/>
                      <w:lang w:eastAsia="en-GB"/>
                    </w:rPr>
                  </w:pPr>
                  <w:r w:rsidRPr="00DB50BD">
                    <w:rPr>
                      <w:rFonts w:cs="Arial"/>
                      <w:sz w:val="20"/>
                      <w:szCs w:val="20"/>
                      <w:lang w:eastAsia="en-GB"/>
                    </w:rPr>
                    <w:t>116</w:t>
                  </w:r>
                </w:p>
              </w:tc>
              <w:tc>
                <w:tcPr>
                  <w:tcW w:w="148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4B"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£280</w:t>
                  </w:r>
                </w:p>
              </w:tc>
              <w:tc>
                <w:tcPr>
                  <w:tcW w:w="135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4C"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£32,480</w:t>
                  </w:r>
                </w:p>
              </w:tc>
            </w:tr>
            <w:tr w:rsidR="005E08D9" w:rsidRPr="00DB50BD" w14:paraId="37A35152" w14:textId="77777777" w:rsidTr="00DB50BD">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4E" w14:textId="77777777" w:rsidR="005E08D9" w:rsidRPr="00DB50BD" w:rsidRDefault="005E08D9" w:rsidP="005E08D9">
                  <w:pPr>
                    <w:rPr>
                      <w:rFonts w:cs="Arial"/>
                      <w:color w:val="000000"/>
                      <w:sz w:val="20"/>
                      <w:szCs w:val="20"/>
                      <w:lang w:eastAsia="en-GB"/>
                    </w:rPr>
                  </w:pPr>
                  <w:r w:rsidRPr="00DB50BD">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4F" w14:textId="77777777" w:rsidR="005E08D9" w:rsidRPr="00DB50BD" w:rsidRDefault="005E08D9" w:rsidP="005E08D9">
                  <w:pPr>
                    <w:jc w:val="center"/>
                    <w:rPr>
                      <w:rFonts w:cs="Arial"/>
                      <w:sz w:val="20"/>
                      <w:szCs w:val="20"/>
                      <w:lang w:eastAsia="en-GB"/>
                    </w:rPr>
                  </w:pPr>
                  <w:r w:rsidRPr="00DB50BD">
                    <w:rPr>
                      <w:rFonts w:cs="Arial"/>
                      <w:sz w:val="20"/>
                      <w:szCs w:val="20"/>
                      <w:lang w:eastAsia="en-GB"/>
                    </w:rPr>
                    <w:t> </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50" w14:textId="77777777" w:rsidR="005E08D9" w:rsidRPr="00DB50BD" w:rsidRDefault="005E08D9" w:rsidP="005E08D9">
                  <w:pPr>
                    <w:jc w:val="center"/>
                    <w:rPr>
                      <w:rFonts w:cs="Arial"/>
                      <w:color w:val="000000"/>
                      <w:sz w:val="20"/>
                      <w:szCs w:val="20"/>
                      <w:lang w:eastAsia="en-GB"/>
                    </w:rPr>
                  </w:pP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51" w14:textId="77777777" w:rsidR="005E08D9" w:rsidRPr="00DB50BD" w:rsidRDefault="005E08D9" w:rsidP="005E08D9">
                  <w:pPr>
                    <w:jc w:val="center"/>
                    <w:rPr>
                      <w:rFonts w:cs="Arial"/>
                      <w:color w:val="000000"/>
                      <w:sz w:val="20"/>
                      <w:szCs w:val="20"/>
                      <w:lang w:eastAsia="en-GB"/>
                    </w:rPr>
                  </w:pPr>
                  <w:r w:rsidRPr="00DB50BD">
                    <w:rPr>
                      <w:rFonts w:cs="Arial"/>
                      <w:color w:val="000000"/>
                      <w:sz w:val="20"/>
                      <w:szCs w:val="20"/>
                      <w:lang w:eastAsia="en-GB"/>
                    </w:rPr>
                    <w:t>£1,878,710</w:t>
                  </w:r>
                </w:p>
              </w:tc>
            </w:tr>
          </w:tbl>
          <w:p w14:paraId="37A35153" w14:textId="77777777" w:rsidR="003908B7" w:rsidRPr="0099116D" w:rsidRDefault="003908B7" w:rsidP="003908B7">
            <w:pPr>
              <w:rPr>
                <w:rFonts w:cs="Arial"/>
              </w:rPr>
            </w:pPr>
          </w:p>
          <w:p w14:paraId="37A35154" w14:textId="77777777" w:rsidR="003908B7" w:rsidRPr="0099116D" w:rsidRDefault="003908B7" w:rsidP="003908B7">
            <w:pPr>
              <w:rPr>
                <w:rFonts w:cs="Arial"/>
              </w:rPr>
            </w:pPr>
          </w:p>
          <w:p w14:paraId="37A35155" w14:textId="77777777" w:rsidR="003908B7" w:rsidRDefault="003908B7" w:rsidP="003908B7">
            <w:pPr>
              <w:rPr>
                <w:rFonts w:cs="Arial"/>
              </w:rPr>
            </w:pPr>
          </w:p>
          <w:p w14:paraId="37A35156" w14:textId="77777777" w:rsidR="00DB50BD" w:rsidRDefault="00DB50BD" w:rsidP="003908B7">
            <w:pPr>
              <w:rPr>
                <w:rFonts w:cs="Arial"/>
              </w:rPr>
            </w:pPr>
          </w:p>
          <w:p w14:paraId="37A35157" w14:textId="77777777" w:rsidR="00DB50BD" w:rsidRDefault="00DB50BD" w:rsidP="003908B7">
            <w:pPr>
              <w:rPr>
                <w:rFonts w:cs="Arial"/>
              </w:rPr>
            </w:pPr>
          </w:p>
          <w:p w14:paraId="37A35158" w14:textId="77777777" w:rsidR="00DB50BD" w:rsidRPr="0099116D" w:rsidRDefault="00DB50BD" w:rsidP="003908B7">
            <w:pPr>
              <w:rPr>
                <w:rFonts w:cs="Arial"/>
              </w:rPr>
            </w:pPr>
          </w:p>
          <w:p w14:paraId="37A35159" w14:textId="77777777" w:rsidR="003908B7" w:rsidRPr="0099116D" w:rsidRDefault="003908B7" w:rsidP="003908B7">
            <w:pPr>
              <w:rPr>
                <w:rFonts w:cs="Arial"/>
              </w:rPr>
            </w:pPr>
            <w:r w:rsidRPr="0099116D">
              <w:rPr>
                <w:rFonts w:cs="Arial"/>
              </w:rPr>
              <w:t>Lot 5 - Creative and Cultural - North and East &amp; West</w:t>
            </w:r>
          </w:p>
          <w:p w14:paraId="37A3515A" w14:textId="77777777" w:rsidR="003908B7" w:rsidRPr="0099116D" w:rsidRDefault="003908B7" w:rsidP="003908B7">
            <w:pPr>
              <w:rPr>
                <w:rFonts w:cs="Arial"/>
                <w:i/>
              </w:rPr>
            </w:pPr>
            <w:r w:rsidRPr="0099116D">
              <w:rPr>
                <w:rFonts w:cs="Arial"/>
                <w:i/>
              </w:rPr>
              <w:t>Of the total we would expect 311 participants to be from the North &amp; East FEA and 207 from the West FEA</w:t>
            </w:r>
          </w:p>
          <w:p w14:paraId="37A3515B" w14:textId="77777777" w:rsidR="003908B7" w:rsidRPr="0099116D" w:rsidRDefault="003908B7" w:rsidP="003908B7">
            <w:pPr>
              <w:rPr>
                <w:rFonts w:cs="Arial"/>
              </w:rPr>
            </w:pPr>
          </w:p>
          <w:tbl>
            <w:tblPr>
              <w:tblW w:w="8671" w:type="dxa"/>
              <w:tblLayout w:type="fixed"/>
              <w:tblLook w:val="04A0" w:firstRow="1" w:lastRow="0" w:firstColumn="1" w:lastColumn="0" w:noHBand="0" w:noVBand="1"/>
            </w:tblPr>
            <w:tblGrid>
              <w:gridCol w:w="4702"/>
              <w:gridCol w:w="1276"/>
              <w:gridCol w:w="1462"/>
              <w:gridCol w:w="1231"/>
            </w:tblGrid>
            <w:tr w:rsidR="00180FAF" w:rsidRPr="00DB50BD" w14:paraId="37A35160" w14:textId="77777777" w:rsidTr="00DB50BD">
              <w:trPr>
                <w:trHeight w:val="840"/>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5C" w14:textId="77777777" w:rsidR="00180FAF" w:rsidRPr="00DB50BD" w:rsidRDefault="00180FAF" w:rsidP="00180FAF">
                  <w:pPr>
                    <w:rPr>
                      <w:rFonts w:cs="Arial"/>
                      <w:b/>
                      <w:bCs/>
                      <w:color w:val="000000"/>
                      <w:sz w:val="20"/>
                      <w:szCs w:val="20"/>
                      <w:lang w:eastAsia="en-GB"/>
                    </w:rPr>
                  </w:pPr>
                  <w:r w:rsidRPr="00DB50BD">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5D" w14:textId="77777777" w:rsidR="00180FAF" w:rsidRPr="00DB50BD" w:rsidRDefault="00180FAF" w:rsidP="00180FAF">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46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5E" w14:textId="77777777" w:rsidR="00180FAF" w:rsidRPr="00DB50BD" w:rsidRDefault="00180FAF" w:rsidP="00180FAF">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3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5F" w14:textId="77777777" w:rsidR="00180FAF" w:rsidRPr="00DB50BD" w:rsidRDefault="00180FAF" w:rsidP="00180FAF">
                  <w:pPr>
                    <w:jc w:val="center"/>
                    <w:rPr>
                      <w:rFonts w:cs="Arial"/>
                      <w:b/>
                      <w:bCs/>
                      <w:color w:val="000000"/>
                      <w:sz w:val="20"/>
                      <w:szCs w:val="20"/>
                      <w:lang w:eastAsia="en-GB"/>
                    </w:rPr>
                  </w:pPr>
                  <w:r w:rsidRPr="00DB50BD">
                    <w:rPr>
                      <w:rFonts w:cs="Arial"/>
                      <w:b/>
                      <w:bCs/>
                      <w:color w:val="000000"/>
                      <w:sz w:val="20"/>
                      <w:szCs w:val="20"/>
                      <w:lang w:eastAsia="en-GB"/>
                    </w:rPr>
                    <w:t>£</w:t>
                  </w:r>
                </w:p>
              </w:tc>
            </w:tr>
            <w:tr w:rsidR="00180FAF" w:rsidRPr="00DB50BD" w14:paraId="37A35165"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61"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62"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518</w:t>
                  </w:r>
                </w:p>
              </w:tc>
              <w:tc>
                <w:tcPr>
                  <w:tcW w:w="146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63"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£280</w:t>
                  </w:r>
                </w:p>
              </w:tc>
              <w:tc>
                <w:tcPr>
                  <w:tcW w:w="123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64"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£145,040</w:t>
                  </w:r>
                </w:p>
              </w:tc>
            </w:tr>
            <w:tr w:rsidR="00180FAF" w:rsidRPr="00DB50BD" w14:paraId="37A3516A"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66"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35167" w14:textId="77777777" w:rsidR="00180FAF" w:rsidRPr="00DB50BD" w:rsidRDefault="00180FAF" w:rsidP="00180FAF">
                  <w:pPr>
                    <w:jc w:val="center"/>
                    <w:rPr>
                      <w:rFonts w:cs="Arial"/>
                      <w:sz w:val="20"/>
                      <w:szCs w:val="20"/>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168" w14:textId="77777777" w:rsidR="00180FAF" w:rsidRPr="00DB50BD" w:rsidRDefault="00180FAF" w:rsidP="00180FAF">
                  <w:pPr>
                    <w:jc w:val="center"/>
                    <w:rPr>
                      <w:rFonts w:cs="Arial"/>
                      <w:color w:val="000000"/>
                      <w:sz w:val="20"/>
                      <w:szCs w:val="20"/>
                      <w:lang w:eastAsia="en-GB"/>
                    </w:rPr>
                  </w:pP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69"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£135,300</w:t>
                  </w:r>
                </w:p>
              </w:tc>
            </w:tr>
            <w:tr w:rsidR="00180FAF" w:rsidRPr="00DB50BD" w14:paraId="37A3516F"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6B"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16C" w14:textId="77777777" w:rsidR="00180FAF" w:rsidRPr="00DB50BD" w:rsidRDefault="00180FAF" w:rsidP="00180FAF">
                  <w:pPr>
                    <w:jc w:val="center"/>
                    <w:rPr>
                      <w:rFonts w:cs="Arial"/>
                      <w:sz w:val="20"/>
                      <w:szCs w:val="20"/>
                      <w:lang w:eastAsia="en-GB"/>
                    </w:rPr>
                  </w:pP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16D" w14:textId="77777777" w:rsidR="00180FAF" w:rsidRPr="00DB50BD" w:rsidRDefault="00180FAF" w:rsidP="00180FAF">
                  <w:pPr>
                    <w:jc w:val="center"/>
                    <w:rPr>
                      <w:rFonts w:cs="Arial"/>
                      <w:color w:val="000000"/>
                      <w:sz w:val="20"/>
                      <w:szCs w:val="20"/>
                      <w:lang w:eastAsia="en-GB"/>
                    </w:rPr>
                  </w:pPr>
                </w:p>
              </w:tc>
              <w:tc>
                <w:tcPr>
                  <w:tcW w:w="12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6E"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£135,300</w:t>
                  </w:r>
                </w:p>
              </w:tc>
            </w:tr>
            <w:tr w:rsidR="00180FAF" w:rsidRPr="00DB50BD" w14:paraId="37A35174"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70"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71"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155</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72"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£1,250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73"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£193,750</w:t>
                  </w:r>
                </w:p>
              </w:tc>
            </w:tr>
            <w:tr w:rsidR="00180FAF" w:rsidRPr="00DB50BD" w14:paraId="37A35179"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75"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76" w14:textId="77777777" w:rsidR="00180FAF" w:rsidRPr="00DB50BD" w:rsidRDefault="00180FAF" w:rsidP="00180FAF">
                  <w:pPr>
                    <w:jc w:val="center"/>
                    <w:rPr>
                      <w:rFonts w:cs="Arial"/>
                      <w:sz w:val="20"/>
                      <w:szCs w:val="20"/>
                      <w:lang w:eastAsia="en-GB"/>
                    </w:rPr>
                  </w:pPr>
                  <w:r w:rsidRPr="00DB50BD">
                    <w:rPr>
                      <w:rFonts w:cs="Arial"/>
                      <w:sz w:val="20"/>
                      <w:szCs w:val="20"/>
                      <w:lang w:eastAsia="en-GB"/>
                    </w:rPr>
                    <w:t>52</w:t>
                  </w: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77"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£1,250</w:t>
                  </w:r>
                </w:p>
              </w:tc>
              <w:tc>
                <w:tcPr>
                  <w:tcW w:w="12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78"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£65,000</w:t>
                  </w:r>
                </w:p>
              </w:tc>
            </w:tr>
            <w:tr w:rsidR="00180FAF" w:rsidRPr="00DB50BD" w14:paraId="37A3517E"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7A"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7B" w14:textId="77777777" w:rsidR="00180FAF" w:rsidRPr="00DB50BD" w:rsidRDefault="00180FAF" w:rsidP="00180FAF">
                  <w:pPr>
                    <w:jc w:val="center"/>
                    <w:rPr>
                      <w:rFonts w:cs="Arial"/>
                      <w:sz w:val="20"/>
                      <w:szCs w:val="20"/>
                      <w:lang w:eastAsia="en-GB"/>
                    </w:rPr>
                  </w:pPr>
                  <w:r w:rsidRPr="00DB50BD">
                    <w:rPr>
                      <w:rFonts w:cs="Arial"/>
                      <w:sz w:val="20"/>
                      <w:szCs w:val="20"/>
                      <w:lang w:eastAsia="en-GB"/>
                    </w:rPr>
                    <w:t>99</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7C"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£1,500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7D"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£148,500</w:t>
                  </w:r>
                </w:p>
              </w:tc>
            </w:tr>
            <w:tr w:rsidR="00180FAF" w:rsidRPr="00DB50BD" w14:paraId="37A35183"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7F"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80" w14:textId="77777777" w:rsidR="00180FAF" w:rsidRPr="00DB50BD" w:rsidRDefault="00180FAF" w:rsidP="00180FAF">
                  <w:pPr>
                    <w:jc w:val="center"/>
                    <w:rPr>
                      <w:rFonts w:cs="Arial"/>
                      <w:sz w:val="20"/>
                      <w:szCs w:val="20"/>
                      <w:lang w:eastAsia="en-GB"/>
                    </w:rPr>
                  </w:pPr>
                  <w:r w:rsidRPr="00DB50BD">
                    <w:rPr>
                      <w:rFonts w:cs="Arial"/>
                      <w:sz w:val="20"/>
                      <w:szCs w:val="20"/>
                      <w:lang w:eastAsia="en-GB"/>
                    </w:rPr>
                    <w:t>52</w:t>
                  </w: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81"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£280</w:t>
                  </w:r>
                </w:p>
              </w:tc>
              <w:tc>
                <w:tcPr>
                  <w:tcW w:w="12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82"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£14,560</w:t>
                  </w:r>
                </w:p>
              </w:tc>
            </w:tr>
            <w:tr w:rsidR="00180FAF" w:rsidRPr="00DB50BD" w14:paraId="37A35188"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84" w14:textId="77777777" w:rsidR="00180FAF" w:rsidRPr="00DB50BD" w:rsidRDefault="00180FAF" w:rsidP="00180FAF">
                  <w:pPr>
                    <w:rPr>
                      <w:rFonts w:cs="Arial"/>
                      <w:color w:val="000000"/>
                      <w:sz w:val="20"/>
                      <w:szCs w:val="20"/>
                      <w:lang w:eastAsia="en-GB"/>
                    </w:rPr>
                  </w:pPr>
                  <w:r w:rsidRPr="00DB50BD">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85" w14:textId="77777777" w:rsidR="00180FAF" w:rsidRPr="00DB50BD" w:rsidRDefault="00180FAF" w:rsidP="00180FAF">
                  <w:pPr>
                    <w:jc w:val="center"/>
                    <w:rPr>
                      <w:rFonts w:cs="Arial"/>
                      <w:sz w:val="20"/>
                      <w:szCs w:val="20"/>
                      <w:lang w:eastAsia="en-GB"/>
                    </w:rPr>
                  </w:pPr>
                  <w:r w:rsidRPr="00DB50BD">
                    <w:rPr>
                      <w:rFonts w:cs="Arial"/>
                      <w:sz w:val="20"/>
                      <w:szCs w:val="20"/>
                      <w:lang w:eastAsia="en-GB"/>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86"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 </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87" w14:textId="77777777" w:rsidR="00180FAF" w:rsidRPr="00DB50BD" w:rsidRDefault="00180FAF" w:rsidP="00180FAF">
                  <w:pPr>
                    <w:jc w:val="center"/>
                    <w:rPr>
                      <w:rFonts w:cs="Arial"/>
                      <w:color w:val="000000"/>
                      <w:sz w:val="20"/>
                      <w:szCs w:val="20"/>
                      <w:lang w:eastAsia="en-GB"/>
                    </w:rPr>
                  </w:pPr>
                  <w:r w:rsidRPr="00DB50BD">
                    <w:rPr>
                      <w:rFonts w:cs="Arial"/>
                      <w:color w:val="000000"/>
                      <w:sz w:val="20"/>
                      <w:szCs w:val="20"/>
                      <w:lang w:eastAsia="en-GB"/>
                    </w:rPr>
                    <w:t>£837,450</w:t>
                  </w:r>
                </w:p>
              </w:tc>
            </w:tr>
          </w:tbl>
          <w:p w14:paraId="37A35189" w14:textId="77777777" w:rsidR="003908B7" w:rsidRDefault="003908B7" w:rsidP="003908B7">
            <w:pPr>
              <w:rPr>
                <w:rFonts w:cs="Arial"/>
              </w:rPr>
            </w:pPr>
          </w:p>
          <w:p w14:paraId="37A3518A" w14:textId="77777777" w:rsidR="003908B7" w:rsidRPr="0099116D" w:rsidRDefault="003908B7" w:rsidP="003908B7">
            <w:pPr>
              <w:rPr>
                <w:rFonts w:cs="Arial"/>
              </w:rPr>
            </w:pPr>
            <w:r w:rsidRPr="0099116D">
              <w:rPr>
                <w:rFonts w:cs="Arial"/>
              </w:rPr>
              <w:t>Lot 6 - Creative and Cultural - Central &amp; South</w:t>
            </w:r>
          </w:p>
          <w:p w14:paraId="37A3518B" w14:textId="77777777" w:rsidR="003908B7" w:rsidRPr="0099116D" w:rsidRDefault="003908B7" w:rsidP="003908B7">
            <w:pPr>
              <w:rPr>
                <w:rFonts w:cs="Arial"/>
                <w:i/>
              </w:rPr>
            </w:pPr>
            <w:r w:rsidRPr="0099116D">
              <w:rPr>
                <w:rFonts w:cs="Arial"/>
                <w:i/>
              </w:rPr>
              <w:t>Of the total we would expect 358 participants to be from the Central FEA and 238 from the South FEA</w:t>
            </w:r>
          </w:p>
          <w:p w14:paraId="37A3518C" w14:textId="77777777" w:rsidR="003908B7" w:rsidRPr="00DB50BD" w:rsidRDefault="003908B7" w:rsidP="003908B7">
            <w:pPr>
              <w:rPr>
                <w:rFonts w:cs="Arial"/>
              </w:rPr>
            </w:pPr>
          </w:p>
          <w:tbl>
            <w:tblPr>
              <w:tblW w:w="8440" w:type="dxa"/>
              <w:tblLayout w:type="fixed"/>
              <w:tblLook w:val="04A0" w:firstRow="1" w:lastRow="0" w:firstColumn="1" w:lastColumn="0" w:noHBand="0" w:noVBand="1"/>
            </w:tblPr>
            <w:tblGrid>
              <w:gridCol w:w="5080"/>
              <w:gridCol w:w="1100"/>
              <w:gridCol w:w="1160"/>
              <w:gridCol w:w="1100"/>
            </w:tblGrid>
            <w:tr w:rsidR="00694566" w:rsidRPr="00DB50BD" w14:paraId="37A35191" w14:textId="77777777" w:rsidTr="00694566">
              <w:trPr>
                <w:trHeight w:val="840"/>
              </w:trPr>
              <w:tc>
                <w:tcPr>
                  <w:tcW w:w="50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8D" w14:textId="77777777" w:rsidR="00694566" w:rsidRPr="00DB50BD" w:rsidRDefault="00694566" w:rsidP="00694566">
                  <w:pPr>
                    <w:rPr>
                      <w:rFonts w:cs="Arial"/>
                      <w:b/>
                      <w:bCs/>
                      <w:color w:val="000000"/>
                      <w:sz w:val="20"/>
                      <w:szCs w:val="20"/>
                      <w:lang w:eastAsia="en-GB"/>
                    </w:rPr>
                  </w:pPr>
                  <w:r w:rsidRPr="00DB50BD">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8E" w14:textId="77777777" w:rsidR="00694566" w:rsidRPr="00DB50BD" w:rsidRDefault="00694566" w:rsidP="00694566">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1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8F" w14:textId="77777777" w:rsidR="00694566" w:rsidRPr="00DB50BD" w:rsidRDefault="00694566" w:rsidP="00694566">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90" w14:textId="77777777" w:rsidR="00694566" w:rsidRPr="00DB50BD" w:rsidRDefault="00694566" w:rsidP="00694566">
                  <w:pPr>
                    <w:jc w:val="center"/>
                    <w:rPr>
                      <w:rFonts w:cs="Arial"/>
                      <w:b/>
                      <w:bCs/>
                      <w:color w:val="000000"/>
                      <w:sz w:val="20"/>
                      <w:szCs w:val="20"/>
                      <w:lang w:eastAsia="en-GB"/>
                    </w:rPr>
                  </w:pPr>
                  <w:r w:rsidRPr="00DB50BD">
                    <w:rPr>
                      <w:rFonts w:cs="Arial"/>
                      <w:b/>
                      <w:bCs/>
                      <w:color w:val="000000"/>
                      <w:sz w:val="20"/>
                      <w:szCs w:val="20"/>
                      <w:lang w:eastAsia="en-GB"/>
                    </w:rPr>
                    <w:t>£</w:t>
                  </w:r>
                </w:p>
              </w:tc>
            </w:tr>
            <w:tr w:rsidR="00694566" w:rsidRPr="00DB50BD" w14:paraId="37A35196"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92"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93"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596</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94"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£280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95"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£166,880</w:t>
                  </w:r>
                </w:p>
              </w:tc>
            </w:tr>
            <w:tr w:rsidR="00694566" w:rsidRPr="00DB50BD" w14:paraId="37A3519B" w14:textId="77777777" w:rsidTr="00DB50BD">
              <w:trPr>
                <w:trHeight w:val="450"/>
              </w:trPr>
              <w:tc>
                <w:tcPr>
                  <w:tcW w:w="50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97"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7A35198" w14:textId="77777777" w:rsidR="00694566" w:rsidRPr="00DB50BD" w:rsidRDefault="00694566" w:rsidP="00694566">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199" w14:textId="77777777" w:rsidR="00694566" w:rsidRPr="00DB50BD" w:rsidRDefault="00694566" w:rsidP="00694566">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9A"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£155,650</w:t>
                  </w:r>
                </w:p>
              </w:tc>
            </w:tr>
            <w:tr w:rsidR="00694566" w:rsidRPr="00DB50BD" w14:paraId="37A351A0" w14:textId="77777777" w:rsidTr="00DB50BD">
              <w:trPr>
                <w:trHeight w:val="450"/>
              </w:trPr>
              <w:tc>
                <w:tcPr>
                  <w:tcW w:w="50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9C"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19D" w14:textId="77777777" w:rsidR="00694566" w:rsidRPr="00DB50BD" w:rsidRDefault="00694566" w:rsidP="00694566">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19E" w14:textId="77777777" w:rsidR="00694566" w:rsidRPr="00DB50BD" w:rsidRDefault="00694566" w:rsidP="00694566">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9F"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£155,650</w:t>
                  </w:r>
                </w:p>
              </w:tc>
            </w:tr>
            <w:tr w:rsidR="00694566" w:rsidRPr="00DB50BD" w14:paraId="37A351A5"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A1"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PG01 Progression Paid Employment (EMP)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A2"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179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A3"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£1,250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A4"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£223,750</w:t>
                  </w:r>
                </w:p>
              </w:tc>
            </w:tr>
            <w:tr w:rsidR="00694566" w:rsidRPr="00DB50BD" w14:paraId="37A351AA"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A6"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A7" w14:textId="77777777" w:rsidR="00694566" w:rsidRPr="00DB50BD" w:rsidRDefault="00694566" w:rsidP="00694566">
                  <w:pPr>
                    <w:jc w:val="center"/>
                    <w:rPr>
                      <w:rFonts w:cs="Arial"/>
                      <w:sz w:val="20"/>
                      <w:szCs w:val="20"/>
                      <w:lang w:eastAsia="en-GB"/>
                    </w:rPr>
                  </w:pPr>
                  <w:r w:rsidRPr="00DB50BD">
                    <w:rPr>
                      <w:rFonts w:cs="Arial"/>
                      <w:sz w:val="20"/>
                      <w:szCs w:val="20"/>
                      <w:lang w:eastAsia="en-GB"/>
                    </w:rPr>
                    <w:t>60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A8"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£1,250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A9"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£75,000</w:t>
                  </w:r>
                </w:p>
              </w:tc>
            </w:tr>
            <w:tr w:rsidR="00694566" w:rsidRPr="00DB50BD" w14:paraId="37A351AF"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AB"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AC" w14:textId="77777777" w:rsidR="00694566" w:rsidRPr="00DB50BD" w:rsidRDefault="00694566" w:rsidP="00694566">
                  <w:pPr>
                    <w:jc w:val="center"/>
                    <w:rPr>
                      <w:rFonts w:cs="Arial"/>
                      <w:sz w:val="20"/>
                      <w:szCs w:val="20"/>
                      <w:lang w:eastAsia="en-GB"/>
                    </w:rPr>
                  </w:pPr>
                  <w:r w:rsidRPr="00DB50BD">
                    <w:rPr>
                      <w:rFonts w:cs="Arial"/>
                      <w:sz w:val="20"/>
                      <w:szCs w:val="20"/>
                      <w:lang w:eastAsia="en-GB"/>
                    </w:rPr>
                    <w:t>114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AD"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£1,500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AE"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£171,000</w:t>
                  </w:r>
                </w:p>
              </w:tc>
            </w:tr>
            <w:tr w:rsidR="00694566" w:rsidRPr="00DB50BD" w14:paraId="37A351B4"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B0"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B1" w14:textId="77777777" w:rsidR="00694566" w:rsidRPr="00DB50BD" w:rsidRDefault="00694566" w:rsidP="00694566">
                  <w:pPr>
                    <w:jc w:val="center"/>
                    <w:rPr>
                      <w:rFonts w:cs="Arial"/>
                      <w:sz w:val="20"/>
                      <w:szCs w:val="20"/>
                      <w:lang w:eastAsia="en-GB"/>
                    </w:rPr>
                  </w:pPr>
                  <w:r w:rsidRPr="00DB50BD">
                    <w:rPr>
                      <w:rFonts w:cs="Arial"/>
                      <w:sz w:val="20"/>
                      <w:szCs w:val="20"/>
                      <w:lang w:eastAsia="en-GB"/>
                    </w:rPr>
                    <w:t>60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B2"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£280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B3"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£16,800</w:t>
                  </w:r>
                </w:p>
              </w:tc>
            </w:tr>
            <w:tr w:rsidR="00694566" w:rsidRPr="00DB50BD" w14:paraId="37A351B9" w14:textId="77777777" w:rsidTr="00694566">
              <w:trPr>
                <w:trHeight w:val="450"/>
              </w:trPr>
              <w:tc>
                <w:tcPr>
                  <w:tcW w:w="508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B5" w14:textId="77777777" w:rsidR="00694566" w:rsidRPr="00DB50BD" w:rsidRDefault="00694566" w:rsidP="00694566">
                  <w:pPr>
                    <w:rPr>
                      <w:rFonts w:cs="Arial"/>
                      <w:color w:val="000000"/>
                      <w:sz w:val="20"/>
                      <w:szCs w:val="20"/>
                      <w:lang w:eastAsia="en-GB"/>
                    </w:rPr>
                  </w:pPr>
                  <w:r w:rsidRPr="00DB50BD">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B6" w14:textId="77777777" w:rsidR="00694566" w:rsidRPr="00DB50BD" w:rsidRDefault="00694566" w:rsidP="00694566">
                  <w:pPr>
                    <w:jc w:val="center"/>
                    <w:rPr>
                      <w:rFonts w:cs="Arial"/>
                      <w:sz w:val="20"/>
                      <w:szCs w:val="20"/>
                      <w:lang w:eastAsia="en-GB"/>
                    </w:rPr>
                  </w:pPr>
                  <w:r w:rsidRPr="00DB50BD">
                    <w:rPr>
                      <w:rFonts w:cs="Arial"/>
                      <w:sz w:val="20"/>
                      <w:szCs w:val="20"/>
                      <w:lang w:eastAsia="en-GB"/>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B7" w14:textId="77777777" w:rsidR="00694566" w:rsidRPr="00DB50BD" w:rsidRDefault="00694566" w:rsidP="00694566">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B8" w14:textId="77777777" w:rsidR="00694566" w:rsidRPr="00DB50BD" w:rsidRDefault="00694566" w:rsidP="00694566">
                  <w:pPr>
                    <w:jc w:val="center"/>
                    <w:rPr>
                      <w:rFonts w:cs="Arial"/>
                      <w:color w:val="000000"/>
                      <w:sz w:val="20"/>
                      <w:szCs w:val="20"/>
                      <w:lang w:eastAsia="en-GB"/>
                    </w:rPr>
                  </w:pPr>
                  <w:r w:rsidRPr="00DB50BD">
                    <w:rPr>
                      <w:rFonts w:cs="Arial"/>
                      <w:color w:val="000000"/>
                      <w:sz w:val="20"/>
                      <w:szCs w:val="20"/>
                      <w:lang w:eastAsia="en-GB"/>
                    </w:rPr>
                    <w:t>£964,730</w:t>
                  </w:r>
                </w:p>
              </w:tc>
            </w:tr>
          </w:tbl>
          <w:p w14:paraId="37A351BA" w14:textId="77777777" w:rsidR="00694566" w:rsidRDefault="00694566" w:rsidP="003908B7">
            <w:pPr>
              <w:rPr>
                <w:rFonts w:cs="Arial"/>
                <w:i/>
              </w:rPr>
            </w:pPr>
          </w:p>
          <w:p w14:paraId="37A351BB" w14:textId="77777777" w:rsidR="00694566" w:rsidRPr="0099116D" w:rsidRDefault="00694566" w:rsidP="003908B7">
            <w:pPr>
              <w:rPr>
                <w:rFonts w:cs="Arial"/>
                <w:i/>
              </w:rPr>
            </w:pPr>
          </w:p>
          <w:p w14:paraId="37A351BC" w14:textId="77777777" w:rsidR="003908B7" w:rsidRPr="0099116D" w:rsidRDefault="003908B7" w:rsidP="003908B7">
            <w:pPr>
              <w:rPr>
                <w:rFonts w:cs="Arial"/>
                <w:i/>
              </w:rPr>
            </w:pPr>
          </w:p>
          <w:p w14:paraId="37A351BD" w14:textId="77777777" w:rsidR="003908B7" w:rsidRPr="0099116D" w:rsidRDefault="003908B7" w:rsidP="003908B7">
            <w:pPr>
              <w:rPr>
                <w:rFonts w:cs="Arial"/>
                <w:i/>
              </w:rPr>
            </w:pPr>
          </w:p>
          <w:p w14:paraId="37A351BE" w14:textId="77777777" w:rsidR="003908B7" w:rsidRPr="0099116D" w:rsidRDefault="003908B7" w:rsidP="003908B7">
            <w:pPr>
              <w:rPr>
                <w:rFonts w:cs="Arial"/>
              </w:rPr>
            </w:pPr>
            <w:r w:rsidRPr="0099116D">
              <w:rPr>
                <w:rFonts w:cs="Arial"/>
              </w:rPr>
              <w:t>Lot 7  - ICT and digital - North and East &amp; West</w:t>
            </w:r>
          </w:p>
          <w:p w14:paraId="37A351BF" w14:textId="77777777" w:rsidR="003908B7" w:rsidRPr="0099116D" w:rsidRDefault="003908B7" w:rsidP="003908B7">
            <w:pPr>
              <w:rPr>
                <w:rFonts w:cs="Arial"/>
                <w:i/>
              </w:rPr>
            </w:pPr>
            <w:r w:rsidRPr="0099116D">
              <w:rPr>
                <w:rFonts w:cs="Arial"/>
                <w:i/>
              </w:rPr>
              <w:t>Of the total we would expect 367 participants to be from the North &amp; East FEA and 244 from the West FEA</w:t>
            </w:r>
          </w:p>
          <w:p w14:paraId="37A351C0" w14:textId="77777777" w:rsidR="003908B7" w:rsidRPr="0099116D" w:rsidRDefault="003908B7" w:rsidP="003908B7">
            <w:pPr>
              <w:rPr>
                <w:rFonts w:cs="Arial"/>
              </w:rPr>
            </w:pPr>
          </w:p>
          <w:tbl>
            <w:tblPr>
              <w:tblW w:w="8671" w:type="dxa"/>
              <w:tblLayout w:type="fixed"/>
              <w:tblLook w:val="04A0" w:firstRow="1" w:lastRow="0" w:firstColumn="1" w:lastColumn="0" w:noHBand="0" w:noVBand="1"/>
            </w:tblPr>
            <w:tblGrid>
              <w:gridCol w:w="4702"/>
              <w:gridCol w:w="1134"/>
              <w:gridCol w:w="1559"/>
              <w:gridCol w:w="1276"/>
            </w:tblGrid>
            <w:tr w:rsidR="00375059" w:rsidRPr="00DB50BD" w14:paraId="37A351C5" w14:textId="77777777" w:rsidTr="00DB50BD">
              <w:trPr>
                <w:trHeight w:val="840"/>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C1" w14:textId="77777777" w:rsidR="00375059" w:rsidRPr="00DB50BD" w:rsidRDefault="00375059" w:rsidP="00375059">
                  <w:pPr>
                    <w:rPr>
                      <w:rFonts w:cs="Arial"/>
                      <w:b/>
                      <w:bCs/>
                      <w:color w:val="000000"/>
                      <w:sz w:val="20"/>
                      <w:szCs w:val="20"/>
                      <w:lang w:eastAsia="en-GB"/>
                    </w:rPr>
                  </w:pPr>
                  <w:r w:rsidRPr="00DB50BD">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C2" w14:textId="77777777" w:rsidR="00375059" w:rsidRPr="00DB50BD" w:rsidRDefault="00375059" w:rsidP="00375059">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C3" w14:textId="77777777" w:rsidR="00375059" w:rsidRPr="00DB50BD" w:rsidRDefault="00375059" w:rsidP="00375059">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C4" w14:textId="77777777" w:rsidR="00375059" w:rsidRPr="00DB50BD" w:rsidRDefault="00375059" w:rsidP="00375059">
                  <w:pPr>
                    <w:jc w:val="center"/>
                    <w:rPr>
                      <w:rFonts w:cs="Arial"/>
                      <w:b/>
                      <w:bCs/>
                      <w:color w:val="000000"/>
                      <w:sz w:val="20"/>
                      <w:szCs w:val="20"/>
                      <w:lang w:eastAsia="en-GB"/>
                    </w:rPr>
                  </w:pPr>
                  <w:r w:rsidRPr="00DB50BD">
                    <w:rPr>
                      <w:rFonts w:cs="Arial"/>
                      <w:b/>
                      <w:bCs/>
                      <w:color w:val="000000"/>
                      <w:sz w:val="20"/>
                      <w:szCs w:val="20"/>
                      <w:lang w:eastAsia="en-GB"/>
                    </w:rPr>
                    <w:t>£</w:t>
                  </w:r>
                </w:p>
              </w:tc>
            </w:tr>
            <w:tr w:rsidR="00375059" w:rsidRPr="00DB50BD" w14:paraId="37A351CA"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C6"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C7"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611</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C8"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C9"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£171,080</w:t>
                  </w:r>
                </w:p>
              </w:tc>
            </w:tr>
            <w:tr w:rsidR="00375059" w:rsidRPr="00DB50BD" w14:paraId="37A351CF"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CB"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351CC" w14:textId="77777777" w:rsidR="00375059" w:rsidRPr="00DB50BD" w:rsidRDefault="00375059" w:rsidP="0037505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1CD" w14:textId="77777777" w:rsidR="00375059" w:rsidRPr="00DB50BD" w:rsidRDefault="00375059" w:rsidP="00375059">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CE"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£159,500</w:t>
                  </w:r>
                </w:p>
              </w:tc>
            </w:tr>
            <w:tr w:rsidR="00375059" w:rsidRPr="00DB50BD" w14:paraId="37A351D4"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D0"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1D1" w14:textId="77777777" w:rsidR="00375059" w:rsidRPr="00DB50BD" w:rsidRDefault="00375059" w:rsidP="0037505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1D2" w14:textId="77777777" w:rsidR="00375059" w:rsidRPr="00DB50BD" w:rsidRDefault="00375059" w:rsidP="00375059">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D3"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£159,500</w:t>
                  </w:r>
                </w:p>
              </w:tc>
            </w:tr>
            <w:tr w:rsidR="00375059" w:rsidRPr="00DB50BD" w14:paraId="37A351D9"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D5"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D6"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D7"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D8"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£228,750</w:t>
                  </w:r>
                </w:p>
              </w:tc>
            </w:tr>
            <w:tr w:rsidR="00375059" w:rsidRPr="00DB50BD" w14:paraId="37A351DE"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DA"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DB" w14:textId="77777777" w:rsidR="00375059" w:rsidRPr="00DB50BD" w:rsidRDefault="00375059" w:rsidP="00375059">
                  <w:pPr>
                    <w:jc w:val="center"/>
                    <w:rPr>
                      <w:rFonts w:cs="Arial"/>
                      <w:sz w:val="20"/>
                      <w:szCs w:val="20"/>
                      <w:lang w:eastAsia="en-GB"/>
                    </w:rPr>
                  </w:pPr>
                  <w:r w:rsidRPr="00DB50BD">
                    <w:rPr>
                      <w:rFonts w:cs="Arial"/>
                      <w:sz w:val="20"/>
                      <w:szCs w:val="20"/>
                      <w:lang w:eastAsia="en-GB"/>
                    </w:rPr>
                    <w:t>61</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DC"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£1,250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DD"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£76,250</w:t>
                  </w:r>
                </w:p>
              </w:tc>
            </w:tr>
            <w:tr w:rsidR="00375059" w:rsidRPr="00DB50BD" w14:paraId="37A351E3" w14:textId="77777777" w:rsidTr="00DB50BD">
              <w:trPr>
                <w:trHeight w:val="450"/>
              </w:trPr>
              <w:tc>
                <w:tcPr>
                  <w:tcW w:w="470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7A351DF"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E0" w14:textId="77777777" w:rsidR="00375059" w:rsidRPr="00DB50BD" w:rsidRDefault="00375059" w:rsidP="00375059">
                  <w:pPr>
                    <w:jc w:val="center"/>
                    <w:rPr>
                      <w:rFonts w:cs="Arial"/>
                      <w:sz w:val="20"/>
                      <w:szCs w:val="20"/>
                      <w:lang w:eastAsia="en-GB"/>
                    </w:rPr>
                  </w:pPr>
                  <w:r w:rsidRPr="00DB50BD">
                    <w:rPr>
                      <w:rFonts w:cs="Arial"/>
                      <w:sz w:val="20"/>
                      <w:szCs w:val="20"/>
                      <w:lang w:eastAsia="en-GB"/>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E1"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E2"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£175,500</w:t>
                  </w:r>
                </w:p>
              </w:tc>
            </w:tr>
            <w:tr w:rsidR="00375059" w:rsidRPr="00DB50BD" w14:paraId="37A351E8"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E4"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1E5" w14:textId="77777777" w:rsidR="00375059" w:rsidRPr="00DB50BD" w:rsidRDefault="00375059" w:rsidP="00375059">
                  <w:pPr>
                    <w:jc w:val="center"/>
                    <w:rPr>
                      <w:rFonts w:cs="Arial"/>
                      <w:sz w:val="20"/>
                      <w:szCs w:val="20"/>
                      <w:lang w:eastAsia="en-GB"/>
                    </w:rPr>
                  </w:pPr>
                  <w:r w:rsidRPr="00DB50BD">
                    <w:rPr>
                      <w:rFonts w:cs="Arial"/>
                      <w:sz w:val="20"/>
                      <w:szCs w:val="20"/>
                      <w:lang w:eastAsia="en-GB"/>
                    </w:rPr>
                    <w:t>61</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E6"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£280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1E7"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£17,080</w:t>
                  </w:r>
                </w:p>
              </w:tc>
            </w:tr>
            <w:tr w:rsidR="00375059" w:rsidRPr="00DB50BD" w14:paraId="37A351ED"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E9" w14:textId="77777777" w:rsidR="00375059" w:rsidRPr="00DB50BD" w:rsidRDefault="00375059" w:rsidP="00375059">
                  <w:pPr>
                    <w:rPr>
                      <w:rFonts w:cs="Arial"/>
                      <w:color w:val="000000"/>
                      <w:sz w:val="20"/>
                      <w:szCs w:val="20"/>
                      <w:lang w:eastAsia="en-GB"/>
                    </w:rPr>
                  </w:pPr>
                  <w:r w:rsidRPr="00DB50BD">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EA" w14:textId="77777777" w:rsidR="00375059" w:rsidRPr="00DB50BD" w:rsidRDefault="00375059" w:rsidP="00375059">
                  <w:pPr>
                    <w:jc w:val="center"/>
                    <w:rPr>
                      <w:rFonts w:cs="Arial"/>
                      <w:sz w:val="20"/>
                      <w:szCs w:val="20"/>
                      <w:lang w:eastAsia="en-GB"/>
                    </w:rPr>
                  </w:pPr>
                  <w:r w:rsidRPr="00DB50BD">
                    <w:rPr>
                      <w:rFonts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EB"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EC" w14:textId="77777777" w:rsidR="00375059" w:rsidRPr="00DB50BD" w:rsidRDefault="00375059" w:rsidP="00375059">
                  <w:pPr>
                    <w:jc w:val="center"/>
                    <w:rPr>
                      <w:rFonts w:cs="Arial"/>
                      <w:color w:val="000000"/>
                      <w:sz w:val="20"/>
                      <w:szCs w:val="20"/>
                      <w:lang w:eastAsia="en-GB"/>
                    </w:rPr>
                  </w:pPr>
                  <w:r w:rsidRPr="00DB50BD">
                    <w:rPr>
                      <w:rFonts w:cs="Arial"/>
                      <w:color w:val="000000"/>
                      <w:sz w:val="20"/>
                      <w:szCs w:val="20"/>
                      <w:lang w:eastAsia="en-GB"/>
                    </w:rPr>
                    <w:t>£987,660</w:t>
                  </w:r>
                </w:p>
              </w:tc>
            </w:tr>
          </w:tbl>
          <w:p w14:paraId="37A351EE" w14:textId="77777777" w:rsidR="003908B7" w:rsidRPr="0099116D" w:rsidRDefault="003908B7" w:rsidP="003908B7">
            <w:pPr>
              <w:rPr>
                <w:rFonts w:cs="Arial"/>
              </w:rPr>
            </w:pPr>
          </w:p>
          <w:p w14:paraId="37A351EF" w14:textId="77777777" w:rsidR="003908B7" w:rsidRDefault="003908B7" w:rsidP="003908B7">
            <w:pPr>
              <w:rPr>
                <w:rFonts w:cs="Arial"/>
              </w:rPr>
            </w:pPr>
          </w:p>
          <w:p w14:paraId="37A351F0" w14:textId="77777777" w:rsidR="003908B7" w:rsidRPr="0099116D" w:rsidRDefault="003908B7" w:rsidP="003908B7">
            <w:pPr>
              <w:rPr>
                <w:rFonts w:cs="Arial"/>
              </w:rPr>
            </w:pPr>
            <w:r w:rsidRPr="0099116D">
              <w:rPr>
                <w:rFonts w:cs="Arial"/>
              </w:rPr>
              <w:t>Lot 8 - ICT and digital - Central &amp; South</w:t>
            </w:r>
          </w:p>
          <w:p w14:paraId="37A351F1" w14:textId="77777777" w:rsidR="003908B7" w:rsidRPr="0099116D" w:rsidRDefault="003908B7" w:rsidP="003908B7">
            <w:pPr>
              <w:rPr>
                <w:rFonts w:cs="Arial"/>
                <w:i/>
              </w:rPr>
            </w:pPr>
            <w:r w:rsidRPr="0099116D">
              <w:rPr>
                <w:rFonts w:cs="Arial"/>
                <w:i/>
              </w:rPr>
              <w:t>Of the total we would expect 488 participants to be from the Central FEA and 326 from the South FEA</w:t>
            </w:r>
          </w:p>
          <w:p w14:paraId="37A351F2" w14:textId="77777777" w:rsidR="003908B7" w:rsidRPr="0099116D" w:rsidRDefault="003908B7" w:rsidP="003908B7">
            <w:pPr>
              <w:rPr>
                <w:rFonts w:cs="Arial"/>
              </w:rPr>
            </w:pPr>
          </w:p>
          <w:tbl>
            <w:tblPr>
              <w:tblW w:w="8813" w:type="dxa"/>
              <w:tblLayout w:type="fixed"/>
              <w:tblLook w:val="04A0" w:firstRow="1" w:lastRow="0" w:firstColumn="1" w:lastColumn="0" w:noHBand="0" w:noVBand="1"/>
            </w:tblPr>
            <w:tblGrid>
              <w:gridCol w:w="4702"/>
              <w:gridCol w:w="1276"/>
              <w:gridCol w:w="1462"/>
              <w:gridCol w:w="1373"/>
            </w:tblGrid>
            <w:tr w:rsidR="00D05210" w:rsidRPr="00DB50BD" w14:paraId="37A351F7" w14:textId="77777777" w:rsidTr="00DB50BD">
              <w:trPr>
                <w:trHeight w:val="840"/>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F3" w14:textId="77777777" w:rsidR="00D05210" w:rsidRPr="00DB50BD" w:rsidRDefault="00D05210" w:rsidP="00D05210">
                  <w:pPr>
                    <w:rPr>
                      <w:rFonts w:cs="Arial"/>
                      <w:b/>
                      <w:bCs/>
                      <w:color w:val="000000"/>
                      <w:sz w:val="20"/>
                      <w:szCs w:val="20"/>
                      <w:lang w:eastAsia="en-GB"/>
                    </w:rPr>
                  </w:pPr>
                  <w:r w:rsidRPr="00DB50BD">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F4" w14:textId="77777777" w:rsidR="00D05210" w:rsidRPr="00DB50BD" w:rsidRDefault="00D05210" w:rsidP="00D05210">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46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F5" w14:textId="77777777" w:rsidR="00D05210" w:rsidRPr="00DB50BD" w:rsidRDefault="00D05210" w:rsidP="00D05210">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3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1F6" w14:textId="77777777" w:rsidR="00D05210" w:rsidRPr="00DB50BD" w:rsidRDefault="00D05210" w:rsidP="00D05210">
                  <w:pPr>
                    <w:jc w:val="center"/>
                    <w:rPr>
                      <w:rFonts w:cs="Arial"/>
                      <w:b/>
                      <w:bCs/>
                      <w:color w:val="000000"/>
                      <w:sz w:val="20"/>
                      <w:szCs w:val="20"/>
                      <w:lang w:eastAsia="en-GB"/>
                    </w:rPr>
                  </w:pPr>
                  <w:r w:rsidRPr="00DB50BD">
                    <w:rPr>
                      <w:rFonts w:cs="Arial"/>
                      <w:b/>
                      <w:bCs/>
                      <w:color w:val="000000"/>
                      <w:sz w:val="20"/>
                      <w:szCs w:val="20"/>
                      <w:lang w:eastAsia="en-GB"/>
                    </w:rPr>
                    <w:t>£</w:t>
                  </w:r>
                </w:p>
              </w:tc>
            </w:tr>
            <w:tr w:rsidR="00D05210" w:rsidRPr="00DB50BD" w14:paraId="37A351FC"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F8"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1F9"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814</w:t>
                  </w:r>
                </w:p>
              </w:tc>
              <w:tc>
                <w:tcPr>
                  <w:tcW w:w="146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FA"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£280</w:t>
                  </w:r>
                </w:p>
              </w:tc>
              <w:tc>
                <w:tcPr>
                  <w:tcW w:w="137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1FB"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£227,920</w:t>
                  </w:r>
                </w:p>
              </w:tc>
            </w:tr>
            <w:tr w:rsidR="00D05210" w:rsidRPr="00DB50BD" w14:paraId="37A35201"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1FD"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1FE" w14:textId="77777777" w:rsidR="00D05210" w:rsidRPr="00DB50BD" w:rsidRDefault="00D05210" w:rsidP="00D05210">
                  <w:pPr>
                    <w:jc w:val="center"/>
                    <w:rPr>
                      <w:rFonts w:cs="Arial"/>
                      <w:sz w:val="20"/>
                      <w:szCs w:val="20"/>
                      <w:lang w:eastAsia="en-GB"/>
                    </w:rPr>
                  </w:pP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1FF" w14:textId="77777777" w:rsidR="00D05210" w:rsidRPr="00DB50BD" w:rsidRDefault="00D05210" w:rsidP="00D05210">
                  <w:pPr>
                    <w:jc w:val="center"/>
                    <w:rPr>
                      <w:rFonts w:cs="Arial"/>
                      <w:color w:val="000000"/>
                      <w:sz w:val="20"/>
                      <w:szCs w:val="20"/>
                      <w:lang w:eastAsia="en-GB"/>
                    </w:rPr>
                  </w:pP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00"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£212,575</w:t>
                  </w:r>
                </w:p>
              </w:tc>
            </w:tr>
            <w:tr w:rsidR="00D05210" w:rsidRPr="00DB50BD" w14:paraId="37A35206"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02"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03" w14:textId="77777777" w:rsidR="00D05210" w:rsidRPr="00DB50BD" w:rsidRDefault="00D05210" w:rsidP="00D05210">
                  <w:pPr>
                    <w:jc w:val="center"/>
                    <w:rPr>
                      <w:rFonts w:cs="Arial"/>
                      <w:sz w:val="20"/>
                      <w:szCs w:val="20"/>
                      <w:lang w:eastAsia="en-GB"/>
                    </w:rPr>
                  </w:pP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04" w14:textId="77777777" w:rsidR="00D05210" w:rsidRPr="00DB50BD" w:rsidRDefault="00D05210" w:rsidP="00D05210">
                  <w:pPr>
                    <w:jc w:val="center"/>
                    <w:rPr>
                      <w:rFonts w:cs="Arial"/>
                      <w:color w:val="000000"/>
                      <w:sz w:val="20"/>
                      <w:szCs w:val="20"/>
                      <w:lang w:eastAsia="en-GB"/>
                    </w:rPr>
                  </w:pPr>
                </w:p>
              </w:tc>
              <w:tc>
                <w:tcPr>
                  <w:tcW w:w="13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05"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£212,575</w:t>
                  </w:r>
                </w:p>
              </w:tc>
            </w:tr>
            <w:tr w:rsidR="00D05210" w:rsidRPr="00DB50BD" w14:paraId="37A3520B"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07"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08"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244</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09"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£1,250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0A"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£305,000</w:t>
                  </w:r>
                </w:p>
              </w:tc>
            </w:tr>
            <w:tr w:rsidR="00D05210" w:rsidRPr="00DB50BD" w14:paraId="37A35210"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0C"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0D" w14:textId="77777777" w:rsidR="00D05210" w:rsidRPr="00DB50BD" w:rsidRDefault="00D05210" w:rsidP="00D05210">
                  <w:pPr>
                    <w:jc w:val="center"/>
                    <w:rPr>
                      <w:rFonts w:cs="Arial"/>
                      <w:sz w:val="20"/>
                      <w:szCs w:val="20"/>
                      <w:lang w:eastAsia="en-GB"/>
                    </w:rPr>
                  </w:pPr>
                  <w:r w:rsidRPr="00DB50BD">
                    <w:rPr>
                      <w:rFonts w:cs="Arial"/>
                      <w:sz w:val="20"/>
                      <w:szCs w:val="20"/>
                      <w:lang w:eastAsia="en-GB"/>
                    </w:rPr>
                    <w:t>81</w:t>
                  </w: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0E"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£1,250</w:t>
                  </w:r>
                </w:p>
              </w:tc>
              <w:tc>
                <w:tcPr>
                  <w:tcW w:w="13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0F"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£101,250</w:t>
                  </w:r>
                </w:p>
              </w:tc>
            </w:tr>
            <w:tr w:rsidR="00D05210" w:rsidRPr="00DB50BD" w14:paraId="37A35215"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11"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12" w14:textId="77777777" w:rsidR="00D05210" w:rsidRPr="00DB50BD" w:rsidRDefault="00D05210" w:rsidP="00D05210">
                  <w:pPr>
                    <w:jc w:val="center"/>
                    <w:rPr>
                      <w:rFonts w:cs="Arial"/>
                      <w:sz w:val="20"/>
                      <w:szCs w:val="20"/>
                      <w:lang w:eastAsia="en-GB"/>
                    </w:rPr>
                  </w:pPr>
                  <w:r w:rsidRPr="00DB50BD">
                    <w:rPr>
                      <w:rFonts w:cs="Arial"/>
                      <w:sz w:val="20"/>
                      <w:szCs w:val="20"/>
                      <w:lang w:eastAsia="en-GB"/>
                    </w:rPr>
                    <w:t>156</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13"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£1,500</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14"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£234,000</w:t>
                  </w:r>
                </w:p>
              </w:tc>
            </w:tr>
            <w:tr w:rsidR="00D05210" w:rsidRPr="00DB50BD" w14:paraId="37A3521A"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16"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17" w14:textId="77777777" w:rsidR="00D05210" w:rsidRPr="00DB50BD" w:rsidRDefault="00D05210" w:rsidP="00D05210">
                  <w:pPr>
                    <w:jc w:val="center"/>
                    <w:rPr>
                      <w:rFonts w:cs="Arial"/>
                      <w:sz w:val="20"/>
                      <w:szCs w:val="20"/>
                      <w:lang w:eastAsia="en-GB"/>
                    </w:rPr>
                  </w:pPr>
                  <w:r w:rsidRPr="00DB50BD">
                    <w:rPr>
                      <w:rFonts w:cs="Arial"/>
                      <w:sz w:val="20"/>
                      <w:szCs w:val="20"/>
                      <w:lang w:eastAsia="en-GB"/>
                    </w:rPr>
                    <w:t>81</w:t>
                  </w:r>
                </w:p>
              </w:tc>
              <w:tc>
                <w:tcPr>
                  <w:tcW w:w="146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18"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£280</w:t>
                  </w:r>
                </w:p>
              </w:tc>
              <w:tc>
                <w:tcPr>
                  <w:tcW w:w="137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19"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£22,680</w:t>
                  </w:r>
                </w:p>
              </w:tc>
            </w:tr>
            <w:tr w:rsidR="00D05210" w:rsidRPr="00DB50BD" w14:paraId="37A3521F" w14:textId="77777777" w:rsidTr="00DB50BD">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1B" w14:textId="77777777" w:rsidR="00D05210" w:rsidRPr="00DB50BD" w:rsidRDefault="00D05210" w:rsidP="00D05210">
                  <w:pPr>
                    <w:rPr>
                      <w:rFonts w:cs="Arial"/>
                      <w:color w:val="000000"/>
                      <w:sz w:val="20"/>
                      <w:szCs w:val="20"/>
                      <w:lang w:eastAsia="en-GB"/>
                    </w:rPr>
                  </w:pPr>
                  <w:r w:rsidRPr="00DB50BD">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1C" w14:textId="77777777" w:rsidR="00D05210" w:rsidRPr="00DB50BD" w:rsidRDefault="00D05210" w:rsidP="00D05210">
                  <w:pPr>
                    <w:jc w:val="center"/>
                    <w:rPr>
                      <w:rFonts w:cs="Arial"/>
                      <w:sz w:val="20"/>
                      <w:szCs w:val="20"/>
                      <w:lang w:eastAsia="en-GB"/>
                    </w:rPr>
                  </w:pPr>
                  <w:r w:rsidRPr="00DB50BD">
                    <w:rPr>
                      <w:rFonts w:cs="Arial"/>
                      <w:sz w:val="20"/>
                      <w:szCs w:val="20"/>
                      <w:lang w:eastAsia="en-GB"/>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1D"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 </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1E" w14:textId="77777777" w:rsidR="00D05210" w:rsidRPr="00DB50BD" w:rsidRDefault="00D05210" w:rsidP="00D05210">
                  <w:pPr>
                    <w:jc w:val="center"/>
                    <w:rPr>
                      <w:rFonts w:cs="Arial"/>
                      <w:color w:val="000000"/>
                      <w:sz w:val="20"/>
                      <w:szCs w:val="20"/>
                      <w:lang w:eastAsia="en-GB"/>
                    </w:rPr>
                  </w:pPr>
                  <w:r w:rsidRPr="00DB50BD">
                    <w:rPr>
                      <w:rFonts w:cs="Arial"/>
                      <w:color w:val="000000"/>
                      <w:sz w:val="20"/>
                      <w:szCs w:val="20"/>
                      <w:lang w:eastAsia="en-GB"/>
                    </w:rPr>
                    <w:t>£1,316,000</w:t>
                  </w:r>
                </w:p>
              </w:tc>
            </w:tr>
          </w:tbl>
          <w:p w14:paraId="37A35220" w14:textId="77777777" w:rsidR="003908B7" w:rsidRPr="0099116D" w:rsidRDefault="003908B7" w:rsidP="003908B7">
            <w:pPr>
              <w:rPr>
                <w:rFonts w:cs="Arial"/>
              </w:rPr>
            </w:pPr>
          </w:p>
          <w:p w14:paraId="37A35221" w14:textId="77777777" w:rsidR="003908B7" w:rsidRPr="0099116D" w:rsidRDefault="003908B7" w:rsidP="003908B7">
            <w:pPr>
              <w:rPr>
                <w:rFonts w:cs="Arial"/>
              </w:rPr>
            </w:pPr>
          </w:p>
          <w:p w14:paraId="37A35222" w14:textId="77777777" w:rsidR="003908B7" w:rsidRPr="0099116D" w:rsidRDefault="003908B7" w:rsidP="003908B7">
            <w:pPr>
              <w:rPr>
                <w:rFonts w:cs="Arial"/>
              </w:rPr>
            </w:pPr>
          </w:p>
          <w:p w14:paraId="37A35223" w14:textId="77777777" w:rsidR="003908B7" w:rsidRPr="0099116D" w:rsidRDefault="003908B7" w:rsidP="003908B7">
            <w:pPr>
              <w:rPr>
                <w:rFonts w:cs="Arial"/>
              </w:rPr>
            </w:pPr>
            <w:r w:rsidRPr="0099116D">
              <w:rPr>
                <w:rFonts w:cs="Arial"/>
              </w:rPr>
              <w:lastRenderedPageBreak/>
              <w:t>Lot 9 - Other priority sector - North and East &amp; West</w:t>
            </w:r>
          </w:p>
          <w:p w14:paraId="37A35224" w14:textId="77777777" w:rsidR="003908B7" w:rsidRPr="0099116D" w:rsidRDefault="003908B7" w:rsidP="003908B7">
            <w:pPr>
              <w:rPr>
                <w:rFonts w:cs="Arial"/>
                <w:i/>
              </w:rPr>
            </w:pPr>
            <w:r w:rsidRPr="0099116D">
              <w:rPr>
                <w:rFonts w:cs="Arial"/>
                <w:i/>
              </w:rPr>
              <w:t>Of the total we would expect 284 participants to be from the North &amp; East FEA and 190 from the West FEA</w:t>
            </w:r>
          </w:p>
          <w:p w14:paraId="37A35225" w14:textId="77777777" w:rsidR="003908B7" w:rsidRPr="0099116D" w:rsidRDefault="003908B7" w:rsidP="003908B7">
            <w:pPr>
              <w:rPr>
                <w:rFonts w:cs="Arial"/>
              </w:rPr>
            </w:pPr>
          </w:p>
          <w:tbl>
            <w:tblPr>
              <w:tblW w:w="8671" w:type="dxa"/>
              <w:tblLayout w:type="fixed"/>
              <w:tblLook w:val="04A0" w:firstRow="1" w:lastRow="0" w:firstColumn="1" w:lastColumn="0" w:noHBand="0" w:noVBand="1"/>
            </w:tblPr>
            <w:tblGrid>
              <w:gridCol w:w="4418"/>
              <w:gridCol w:w="1418"/>
              <w:gridCol w:w="1504"/>
              <w:gridCol w:w="1331"/>
            </w:tblGrid>
            <w:tr w:rsidR="00354205" w:rsidRPr="00DB50BD" w14:paraId="37A3522A" w14:textId="77777777" w:rsidTr="00DB50BD">
              <w:trPr>
                <w:trHeight w:val="840"/>
              </w:trPr>
              <w:tc>
                <w:tcPr>
                  <w:tcW w:w="4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26" w14:textId="77777777" w:rsidR="00354205" w:rsidRPr="00DB50BD" w:rsidRDefault="00354205" w:rsidP="00354205">
                  <w:pPr>
                    <w:rPr>
                      <w:rFonts w:cs="Arial"/>
                      <w:b/>
                      <w:bCs/>
                      <w:color w:val="000000"/>
                      <w:sz w:val="20"/>
                      <w:szCs w:val="20"/>
                      <w:lang w:eastAsia="en-GB"/>
                    </w:rPr>
                  </w:pPr>
                  <w:r w:rsidRPr="00DB50BD">
                    <w:rPr>
                      <w:rFonts w:cs="Arial"/>
                      <w:b/>
                      <w:bCs/>
                      <w:color w:val="000000"/>
                      <w:sz w:val="20"/>
                      <w:szCs w:val="20"/>
                      <w:lang w:eastAsia="en-GB"/>
                    </w:rPr>
                    <w:t>Description</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27" w14:textId="77777777" w:rsidR="00354205" w:rsidRPr="00DB50BD" w:rsidRDefault="00354205" w:rsidP="00354205">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50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28" w14:textId="77777777" w:rsidR="00354205" w:rsidRPr="00DB50BD" w:rsidRDefault="00354205" w:rsidP="00354205">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33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29" w14:textId="77777777" w:rsidR="00354205" w:rsidRPr="00DB50BD" w:rsidRDefault="00354205" w:rsidP="00354205">
                  <w:pPr>
                    <w:jc w:val="center"/>
                    <w:rPr>
                      <w:rFonts w:cs="Arial"/>
                      <w:b/>
                      <w:bCs/>
                      <w:color w:val="000000"/>
                      <w:sz w:val="20"/>
                      <w:szCs w:val="20"/>
                      <w:lang w:eastAsia="en-GB"/>
                    </w:rPr>
                  </w:pPr>
                  <w:r w:rsidRPr="00DB50BD">
                    <w:rPr>
                      <w:rFonts w:cs="Arial"/>
                      <w:b/>
                      <w:bCs/>
                      <w:color w:val="000000"/>
                      <w:sz w:val="20"/>
                      <w:szCs w:val="20"/>
                      <w:lang w:eastAsia="en-GB"/>
                    </w:rPr>
                    <w:t>£</w:t>
                  </w:r>
                </w:p>
              </w:tc>
            </w:tr>
            <w:tr w:rsidR="00354205" w:rsidRPr="00DB50BD" w14:paraId="37A3522F"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2B"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2C"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474</w:t>
                  </w:r>
                </w:p>
              </w:tc>
              <w:tc>
                <w:tcPr>
                  <w:tcW w:w="150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22D"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£280</w:t>
                  </w:r>
                </w:p>
              </w:tc>
              <w:tc>
                <w:tcPr>
                  <w:tcW w:w="133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22E"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£132,720</w:t>
                  </w:r>
                </w:p>
              </w:tc>
            </w:tr>
            <w:tr w:rsidR="00354205" w:rsidRPr="00DB50BD" w14:paraId="37A35234"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30"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RQ01 Regulated Learning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35231" w14:textId="77777777" w:rsidR="00354205" w:rsidRPr="00DB50BD" w:rsidRDefault="00354205" w:rsidP="00354205">
                  <w:pPr>
                    <w:jc w:val="center"/>
                    <w:rPr>
                      <w:rFonts w:cs="Arial"/>
                      <w:sz w:val="20"/>
                      <w:szCs w:val="20"/>
                      <w:lang w:eastAsia="en-GB"/>
                    </w:rPr>
                  </w:pP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232" w14:textId="77777777" w:rsidR="00354205" w:rsidRPr="00DB50BD" w:rsidRDefault="00354205" w:rsidP="00354205">
                  <w:pPr>
                    <w:jc w:val="center"/>
                    <w:rPr>
                      <w:rFonts w:cs="Arial"/>
                      <w:color w:val="000000"/>
                      <w:sz w:val="20"/>
                      <w:szCs w:val="20"/>
                      <w:lang w:eastAsia="en-GB"/>
                    </w:rPr>
                  </w:pP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33"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£123,750</w:t>
                  </w:r>
                </w:p>
              </w:tc>
            </w:tr>
            <w:tr w:rsidR="00354205" w:rsidRPr="00DB50BD" w14:paraId="37A35239"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35"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NR01 Non Regulated Activity</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236" w14:textId="77777777" w:rsidR="00354205" w:rsidRPr="00DB50BD" w:rsidRDefault="00354205" w:rsidP="00354205">
                  <w:pPr>
                    <w:jc w:val="center"/>
                    <w:rPr>
                      <w:rFonts w:cs="Arial"/>
                      <w:sz w:val="20"/>
                      <w:szCs w:val="20"/>
                      <w:lang w:eastAsia="en-GB"/>
                    </w:rPr>
                  </w:pPr>
                </w:p>
              </w:tc>
              <w:tc>
                <w:tcPr>
                  <w:tcW w:w="150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237" w14:textId="77777777" w:rsidR="00354205" w:rsidRPr="00DB50BD" w:rsidRDefault="00354205" w:rsidP="00354205">
                  <w:pPr>
                    <w:jc w:val="center"/>
                    <w:rPr>
                      <w:rFonts w:cs="Arial"/>
                      <w:color w:val="000000"/>
                      <w:sz w:val="20"/>
                      <w:szCs w:val="20"/>
                      <w:lang w:eastAsia="en-GB"/>
                    </w:rPr>
                  </w:pPr>
                </w:p>
              </w:tc>
              <w:tc>
                <w:tcPr>
                  <w:tcW w:w="13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38"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£123,750</w:t>
                  </w:r>
                </w:p>
              </w:tc>
            </w:tr>
            <w:tr w:rsidR="00354205" w:rsidRPr="00DB50BD" w14:paraId="37A3523E"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3A"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PG01 Progression Paid Employment (EMP)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3B"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142</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3C"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£1,250</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3D"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£177,500</w:t>
                  </w:r>
                </w:p>
              </w:tc>
            </w:tr>
            <w:tr w:rsidR="00354205" w:rsidRPr="00DB50BD" w14:paraId="37A35243"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3F"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PG04 Progression Apprenticeship (EDU)</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40" w14:textId="77777777" w:rsidR="00354205" w:rsidRPr="00DB50BD" w:rsidRDefault="00354205" w:rsidP="00354205">
                  <w:pPr>
                    <w:jc w:val="center"/>
                    <w:rPr>
                      <w:rFonts w:cs="Arial"/>
                      <w:sz w:val="20"/>
                      <w:szCs w:val="20"/>
                      <w:lang w:eastAsia="en-GB"/>
                    </w:rPr>
                  </w:pPr>
                  <w:r w:rsidRPr="00DB50BD">
                    <w:rPr>
                      <w:rFonts w:cs="Arial"/>
                      <w:sz w:val="20"/>
                      <w:szCs w:val="20"/>
                      <w:lang w:eastAsia="en-GB"/>
                    </w:rPr>
                    <w:t>47</w:t>
                  </w:r>
                </w:p>
              </w:tc>
              <w:tc>
                <w:tcPr>
                  <w:tcW w:w="15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41"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£1,250</w:t>
                  </w:r>
                </w:p>
              </w:tc>
              <w:tc>
                <w:tcPr>
                  <w:tcW w:w="13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42"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£58,750</w:t>
                  </w:r>
                </w:p>
              </w:tc>
            </w:tr>
            <w:tr w:rsidR="00354205" w:rsidRPr="00DB50BD" w14:paraId="37A35248"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44"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45" w14:textId="77777777" w:rsidR="00354205" w:rsidRPr="00DB50BD" w:rsidRDefault="00354205" w:rsidP="00354205">
                  <w:pPr>
                    <w:jc w:val="center"/>
                    <w:rPr>
                      <w:rFonts w:cs="Arial"/>
                      <w:sz w:val="20"/>
                      <w:szCs w:val="20"/>
                      <w:lang w:eastAsia="en-GB"/>
                    </w:rPr>
                  </w:pPr>
                  <w:r w:rsidRPr="00DB50BD">
                    <w:rPr>
                      <w:rFonts w:cs="Arial"/>
                      <w:sz w:val="20"/>
                      <w:szCs w:val="20"/>
                      <w:lang w:eastAsia="en-GB"/>
                    </w:rPr>
                    <w:t>91</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46"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£1,500</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47"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£136,500</w:t>
                  </w:r>
                </w:p>
              </w:tc>
            </w:tr>
            <w:tr w:rsidR="00354205" w:rsidRPr="00DB50BD" w14:paraId="37A3524D"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49"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4A" w14:textId="77777777" w:rsidR="00354205" w:rsidRPr="00DB50BD" w:rsidRDefault="00354205" w:rsidP="00354205">
                  <w:pPr>
                    <w:jc w:val="center"/>
                    <w:rPr>
                      <w:rFonts w:cs="Arial"/>
                      <w:sz w:val="20"/>
                      <w:szCs w:val="20"/>
                      <w:lang w:eastAsia="en-GB"/>
                    </w:rPr>
                  </w:pPr>
                  <w:r w:rsidRPr="00DB50BD">
                    <w:rPr>
                      <w:rFonts w:cs="Arial"/>
                      <w:sz w:val="20"/>
                      <w:szCs w:val="20"/>
                      <w:lang w:eastAsia="en-GB"/>
                    </w:rPr>
                    <w:t>47</w:t>
                  </w:r>
                </w:p>
              </w:tc>
              <w:tc>
                <w:tcPr>
                  <w:tcW w:w="150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4B"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£280</w:t>
                  </w:r>
                </w:p>
              </w:tc>
              <w:tc>
                <w:tcPr>
                  <w:tcW w:w="133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4C"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£13,160</w:t>
                  </w:r>
                </w:p>
              </w:tc>
            </w:tr>
            <w:tr w:rsidR="00354205" w:rsidRPr="00DB50BD" w14:paraId="37A35252" w14:textId="77777777" w:rsidTr="00DB50BD">
              <w:trPr>
                <w:trHeight w:val="450"/>
              </w:trPr>
              <w:tc>
                <w:tcPr>
                  <w:tcW w:w="4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4E" w14:textId="77777777" w:rsidR="00354205" w:rsidRPr="00DB50BD" w:rsidRDefault="00354205" w:rsidP="00354205">
                  <w:pPr>
                    <w:rPr>
                      <w:rFonts w:cs="Arial"/>
                      <w:color w:val="000000"/>
                      <w:sz w:val="20"/>
                      <w:szCs w:val="20"/>
                      <w:lang w:eastAsia="en-GB"/>
                    </w:rPr>
                  </w:pPr>
                  <w:r w:rsidRPr="00DB50BD">
                    <w:rPr>
                      <w:rFonts w:cs="Arial"/>
                      <w:color w:val="000000"/>
                      <w:sz w:val="20"/>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4F" w14:textId="77777777" w:rsidR="00354205" w:rsidRPr="00DB50BD" w:rsidRDefault="00354205" w:rsidP="00354205">
                  <w:pPr>
                    <w:jc w:val="center"/>
                    <w:rPr>
                      <w:rFonts w:cs="Arial"/>
                      <w:sz w:val="20"/>
                      <w:szCs w:val="20"/>
                      <w:lang w:eastAsia="en-GB"/>
                    </w:rPr>
                  </w:pPr>
                  <w:r w:rsidRPr="00DB50BD">
                    <w:rPr>
                      <w:rFonts w:cs="Arial"/>
                      <w:sz w:val="20"/>
                      <w:szCs w:val="20"/>
                      <w:lang w:eastAsia="en-GB"/>
                    </w:rPr>
                    <w:t> </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50"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 </w:t>
                  </w:r>
                </w:p>
              </w:tc>
              <w:tc>
                <w:tcPr>
                  <w:tcW w:w="1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51" w14:textId="77777777" w:rsidR="00354205" w:rsidRPr="00DB50BD" w:rsidRDefault="00354205" w:rsidP="00354205">
                  <w:pPr>
                    <w:jc w:val="center"/>
                    <w:rPr>
                      <w:rFonts w:cs="Arial"/>
                      <w:color w:val="000000"/>
                      <w:sz w:val="20"/>
                      <w:szCs w:val="20"/>
                      <w:lang w:eastAsia="en-GB"/>
                    </w:rPr>
                  </w:pPr>
                  <w:r w:rsidRPr="00DB50BD">
                    <w:rPr>
                      <w:rFonts w:cs="Arial"/>
                      <w:color w:val="000000"/>
                      <w:sz w:val="20"/>
                      <w:szCs w:val="20"/>
                      <w:lang w:eastAsia="en-GB"/>
                    </w:rPr>
                    <w:t>£766,130</w:t>
                  </w:r>
                </w:p>
              </w:tc>
            </w:tr>
          </w:tbl>
          <w:p w14:paraId="37A35253" w14:textId="77777777" w:rsidR="003908B7" w:rsidRDefault="003908B7" w:rsidP="003908B7">
            <w:pPr>
              <w:rPr>
                <w:rFonts w:cs="Arial"/>
              </w:rPr>
            </w:pPr>
          </w:p>
          <w:p w14:paraId="37A35254" w14:textId="77777777" w:rsidR="003908B7" w:rsidRPr="0099116D" w:rsidRDefault="003908B7" w:rsidP="003908B7">
            <w:pPr>
              <w:rPr>
                <w:rFonts w:cs="Arial"/>
              </w:rPr>
            </w:pPr>
            <w:r w:rsidRPr="0099116D">
              <w:rPr>
                <w:rFonts w:cs="Arial"/>
              </w:rPr>
              <w:t xml:space="preserve">Lot 10 - Other priority sector - Central &amp; South </w:t>
            </w:r>
          </w:p>
          <w:p w14:paraId="37A35255" w14:textId="77777777" w:rsidR="003908B7" w:rsidRPr="0099116D" w:rsidRDefault="003908B7" w:rsidP="003908B7">
            <w:pPr>
              <w:rPr>
                <w:rFonts w:cs="Arial"/>
                <w:i/>
              </w:rPr>
            </w:pPr>
            <w:r w:rsidRPr="0099116D">
              <w:rPr>
                <w:rFonts w:cs="Arial"/>
                <w:i/>
              </w:rPr>
              <w:t>Of the total we would expect 283 participants to be from the Central FEA and 188 from the South FEA</w:t>
            </w:r>
          </w:p>
          <w:p w14:paraId="37A35256" w14:textId="77777777" w:rsidR="00EA599B" w:rsidRDefault="00EA599B" w:rsidP="00A005EF">
            <w:pPr>
              <w:rPr>
                <w:rFonts w:cs="Arial"/>
              </w:rPr>
            </w:pPr>
          </w:p>
          <w:p w14:paraId="37A35257" w14:textId="77777777" w:rsidR="00354205" w:rsidRDefault="00354205" w:rsidP="00A005EF">
            <w:pPr>
              <w:rPr>
                <w:rFonts w:cs="Arial"/>
              </w:rPr>
            </w:pPr>
          </w:p>
          <w:tbl>
            <w:tblPr>
              <w:tblW w:w="8671" w:type="dxa"/>
              <w:tblLayout w:type="fixed"/>
              <w:tblLook w:val="04A0" w:firstRow="1" w:lastRow="0" w:firstColumn="1" w:lastColumn="0" w:noHBand="0" w:noVBand="1"/>
            </w:tblPr>
            <w:tblGrid>
              <w:gridCol w:w="4560"/>
              <w:gridCol w:w="1276"/>
              <w:gridCol w:w="1544"/>
              <w:gridCol w:w="1291"/>
            </w:tblGrid>
            <w:tr w:rsidR="0018491A" w:rsidRPr="00DB50BD" w14:paraId="37A3525C" w14:textId="77777777" w:rsidTr="004F1AAE">
              <w:trPr>
                <w:trHeight w:val="84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58" w14:textId="77777777" w:rsidR="0018491A" w:rsidRPr="00DB50BD" w:rsidRDefault="0018491A" w:rsidP="0018491A">
                  <w:pPr>
                    <w:rPr>
                      <w:rFonts w:cs="Arial"/>
                      <w:b/>
                      <w:bCs/>
                      <w:color w:val="000000"/>
                      <w:sz w:val="20"/>
                      <w:szCs w:val="20"/>
                      <w:lang w:eastAsia="en-GB"/>
                    </w:rPr>
                  </w:pPr>
                  <w:r w:rsidRPr="00DB50BD">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59" w14:textId="77777777" w:rsidR="0018491A" w:rsidRPr="00DB50BD" w:rsidRDefault="0018491A" w:rsidP="0018491A">
                  <w:pPr>
                    <w:jc w:val="center"/>
                    <w:rPr>
                      <w:rFonts w:cs="Arial"/>
                      <w:b/>
                      <w:bCs/>
                      <w:color w:val="000000"/>
                      <w:sz w:val="20"/>
                      <w:szCs w:val="20"/>
                      <w:lang w:eastAsia="en-GB"/>
                    </w:rPr>
                  </w:pPr>
                  <w:r w:rsidRPr="00DB50BD">
                    <w:rPr>
                      <w:rFonts w:cs="Arial"/>
                      <w:b/>
                      <w:bCs/>
                      <w:color w:val="000000"/>
                      <w:sz w:val="20"/>
                      <w:szCs w:val="20"/>
                      <w:lang w:eastAsia="en-GB"/>
                    </w:rPr>
                    <w:t>Volumes</w:t>
                  </w:r>
                </w:p>
              </w:tc>
              <w:tc>
                <w:tcPr>
                  <w:tcW w:w="154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5A" w14:textId="77777777" w:rsidR="0018491A" w:rsidRPr="00DB50BD" w:rsidRDefault="0018491A" w:rsidP="0018491A">
                  <w:pPr>
                    <w:jc w:val="center"/>
                    <w:rPr>
                      <w:rFonts w:cs="Arial"/>
                      <w:b/>
                      <w:bCs/>
                      <w:color w:val="000000"/>
                      <w:sz w:val="20"/>
                      <w:szCs w:val="20"/>
                      <w:lang w:eastAsia="en-GB"/>
                    </w:rPr>
                  </w:pPr>
                  <w:r w:rsidRPr="00DB50BD">
                    <w:rPr>
                      <w:rFonts w:cs="Arial"/>
                      <w:b/>
                      <w:bCs/>
                      <w:color w:val="000000"/>
                      <w:sz w:val="20"/>
                      <w:szCs w:val="20"/>
                      <w:lang w:eastAsia="en-GB"/>
                    </w:rPr>
                    <w:t>Unit Cost Total Value Average per Intervention</w:t>
                  </w:r>
                </w:p>
              </w:tc>
              <w:tc>
                <w:tcPr>
                  <w:tcW w:w="12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7A3525B" w14:textId="77777777" w:rsidR="0018491A" w:rsidRPr="00DB50BD" w:rsidRDefault="0018491A" w:rsidP="0018491A">
                  <w:pPr>
                    <w:jc w:val="center"/>
                    <w:rPr>
                      <w:rFonts w:cs="Arial"/>
                      <w:b/>
                      <w:bCs/>
                      <w:color w:val="000000"/>
                      <w:sz w:val="20"/>
                      <w:szCs w:val="20"/>
                      <w:lang w:eastAsia="en-GB"/>
                    </w:rPr>
                  </w:pPr>
                  <w:r w:rsidRPr="00DB50BD">
                    <w:rPr>
                      <w:rFonts w:cs="Arial"/>
                      <w:b/>
                      <w:bCs/>
                      <w:color w:val="000000"/>
                      <w:sz w:val="20"/>
                      <w:szCs w:val="20"/>
                      <w:lang w:eastAsia="en-GB"/>
                    </w:rPr>
                    <w:t>£</w:t>
                  </w:r>
                </w:p>
              </w:tc>
            </w:tr>
            <w:tr w:rsidR="0018491A" w:rsidRPr="00DB50BD" w14:paraId="37A35261"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5D"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5E"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471</w:t>
                  </w:r>
                </w:p>
              </w:tc>
              <w:tc>
                <w:tcPr>
                  <w:tcW w:w="154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25F"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£280</w:t>
                  </w:r>
                </w:p>
              </w:tc>
              <w:tc>
                <w:tcPr>
                  <w:tcW w:w="129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7A35260"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£131,880</w:t>
                  </w:r>
                </w:p>
              </w:tc>
            </w:tr>
            <w:tr w:rsidR="0018491A" w:rsidRPr="00DB50BD" w14:paraId="37A35266"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62"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35263" w14:textId="77777777" w:rsidR="0018491A" w:rsidRPr="00DB50BD" w:rsidRDefault="0018491A" w:rsidP="0018491A">
                  <w:pPr>
                    <w:jc w:val="center"/>
                    <w:rPr>
                      <w:rFonts w:cs="Arial"/>
                      <w:sz w:val="20"/>
                      <w:szCs w:val="20"/>
                      <w:lang w:eastAsia="en-GB"/>
                    </w:rPr>
                  </w:pP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35264" w14:textId="77777777" w:rsidR="0018491A" w:rsidRPr="00DB50BD" w:rsidRDefault="0018491A" w:rsidP="0018491A">
                  <w:pPr>
                    <w:jc w:val="center"/>
                    <w:rPr>
                      <w:rFonts w:cs="Arial"/>
                      <w:color w:val="000000"/>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65"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£122,925</w:t>
                  </w:r>
                </w:p>
              </w:tc>
            </w:tr>
            <w:tr w:rsidR="0018491A" w:rsidRPr="00DB50BD" w14:paraId="37A3526B"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67"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37A35268" w14:textId="77777777" w:rsidR="0018491A" w:rsidRPr="00DB50BD" w:rsidRDefault="0018491A" w:rsidP="0018491A">
                  <w:pPr>
                    <w:jc w:val="center"/>
                    <w:rPr>
                      <w:rFonts w:cs="Arial"/>
                      <w:sz w:val="20"/>
                      <w:szCs w:val="20"/>
                      <w:lang w:eastAsia="en-GB"/>
                    </w:rPr>
                  </w:pPr>
                </w:p>
              </w:tc>
              <w:tc>
                <w:tcPr>
                  <w:tcW w:w="154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7A35269" w14:textId="77777777" w:rsidR="0018491A" w:rsidRPr="00DB50BD" w:rsidRDefault="0018491A" w:rsidP="0018491A">
                  <w:pPr>
                    <w:jc w:val="center"/>
                    <w:rPr>
                      <w:rFonts w:cs="Arial"/>
                      <w:color w:val="000000"/>
                      <w:sz w:val="20"/>
                      <w:szCs w:val="20"/>
                      <w:lang w:eastAsia="en-GB"/>
                    </w:rPr>
                  </w:pP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6A"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£122,925</w:t>
                  </w:r>
                </w:p>
              </w:tc>
            </w:tr>
            <w:tr w:rsidR="0018491A" w:rsidRPr="00DB50BD" w14:paraId="37A35270"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6C"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6D"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141</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6E"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£1,250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6F"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£176,250</w:t>
                  </w:r>
                </w:p>
              </w:tc>
            </w:tr>
            <w:tr w:rsidR="0018491A" w:rsidRPr="00DB50BD" w14:paraId="37A35275"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71"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72" w14:textId="77777777" w:rsidR="0018491A" w:rsidRPr="00DB50BD" w:rsidRDefault="0018491A" w:rsidP="0018491A">
                  <w:pPr>
                    <w:jc w:val="center"/>
                    <w:rPr>
                      <w:rFonts w:cs="Arial"/>
                      <w:sz w:val="20"/>
                      <w:szCs w:val="20"/>
                      <w:lang w:eastAsia="en-GB"/>
                    </w:rPr>
                  </w:pPr>
                  <w:r w:rsidRPr="00DB50BD">
                    <w:rPr>
                      <w:rFonts w:cs="Arial"/>
                      <w:sz w:val="20"/>
                      <w:szCs w:val="20"/>
                      <w:lang w:eastAsia="en-GB"/>
                    </w:rPr>
                    <w:t>47</w:t>
                  </w:r>
                </w:p>
              </w:tc>
              <w:tc>
                <w:tcPr>
                  <w:tcW w:w="154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73"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£1,250</w:t>
                  </w: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74"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£58,750</w:t>
                  </w:r>
                </w:p>
              </w:tc>
            </w:tr>
            <w:tr w:rsidR="0018491A" w:rsidRPr="00DB50BD" w14:paraId="37A3527A"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76"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 xml:space="preserve">SD01 Sustained progression for six months in employment or apprenticeship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77" w14:textId="77777777" w:rsidR="0018491A" w:rsidRPr="00DB50BD" w:rsidRDefault="0018491A" w:rsidP="0018491A">
                  <w:pPr>
                    <w:jc w:val="center"/>
                    <w:rPr>
                      <w:rFonts w:cs="Arial"/>
                      <w:sz w:val="20"/>
                      <w:szCs w:val="20"/>
                      <w:lang w:eastAsia="en-GB"/>
                    </w:rPr>
                  </w:pPr>
                  <w:r w:rsidRPr="00DB50BD">
                    <w:rPr>
                      <w:rFonts w:cs="Arial"/>
                      <w:sz w:val="20"/>
                      <w:szCs w:val="20"/>
                      <w:lang w:eastAsia="en-GB"/>
                    </w:rPr>
                    <w:t>90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78"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£1,500</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79"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£135,000</w:t>
                  </w:r>
                </w:p>
              </w:tc>
            </w:tr>
            <w:tr w:rsidR="0018491A" w:rsidRPr="00DB50BD" w14:paraId="37A3527F"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A3527B"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A3527C" w14:textId="77777777" w:rsidR="0018491A" w:rsidRPr="00DB50BD" w:rsidRDefault="0018491A" w:rsidP="0018491A">
                  <w:pPr>
                    <w:jc w:val="center"/>
                    <w:rPr>
                      <w:rFonts w:cs="Arial"/>
                      <w:sz w:val="20"/>
                      <w:szCs w:val="20"/>
                      <w:lang w:eastAsia="en-GB"/>
                    </w:rPr>
                  </w:pPr>
                  <w:r w:rsidRPr="00DB50BD">
                    <w:rPr>
                      <w:rFonts w:cs="Arial"/>
                      <w:sz w:val="20"/>
                      <w:szCs w:val="20"/>
                      <w:lang w:eastAsia="en-GB"/>
                    </w:rPr>
                    <w:t>47</w:t>
                  </w:r>
                </w:p>
              </w:tc>
              <w:tc>
                <w:tcPr>
                  <w:tcW w:w="154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7D"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£280</w:t>
                  </w:r>
                </w:p>
              </w:tc>
              <w:tc>
                <w:tcPr>
                  <w:tcW w:w="12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A3527E"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£13,160</w:t>
                  </w:r>
                </w:p>
              </w:tc>
            </w:tr>
            <w:tr w:rsidR="0018491A" w:rsidRPr="00DB50BD" w14:paraId="37A35284" w14:textId="77777777" w:rsidTr="004F1AAE">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A35280" w14:textId="77777777" w:rsidR="0018491A" w:rsidRPr="00DB50BD" w:rsidRDefault="0018491A" w:rsidP="0018491A">
                  <w:pPr>
                    <w:rPr>
                      <w:rFonts w:cs="Arial"/>
                      <w:color w:val="000000"/>
                      <w:sz w:val="20"/>
                      <w:szCs w:val="20"/>
                      <w:lang w:eastAsia="en-GB"/>
                    </w:rPr>
                  </w:pPr>
                  <w:r w:rsidRPr="00DB50BD">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5281" w14:textId="77777777" w:rsidR="0018491A" w:rsidRPr="00DB50BD" w:rsidRDefault="0018491A" w:rsidP="0018491A">
                  <w:pPr>
                    <w:jc w:val="center"/>
                    <w:rPr>
                      <w:rFonts w:cs="Arial"/>
                      <w:sz w:val="20"/>
                      <w:szCs w:val="20"/>
                      <w:lang w:eastAsia="en-GB"/>
                    </w:rPr>
                  </w:pPr>
                  <w:r w:rsidRPr="00DB50BD">
                    <w:rPr>
                      <w:rFonts w:cs="Arial"/>
                      <w:sz w:val="20"/>
                      <w:szCs w:val="20"/>
                      <w:lang w:eastAsia="en-GB"/>
                    </w:rPr>
                    <w:t> </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82"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 </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5283" w14:textId="77777777" w:rsidR="0018491A" w:rsidRPr="00DB50BD" w:rsidRDefault="0018491A" w:rsidP="0018491A">
                  <w:pPr>
                    <w:jc w:val="center"/>
                    <w:rPr>
                      <w:rFonts w:cs="Arial"/>
                      <w:color w:val="000000"/>
                      <w:sz w:val="20"/>
                      <w:szCs w:val="20"/>
                      <w:lang w:eastAsia="en-GB"/>
                    </w:rPr>
                  </w:pPr>
                  <w:r w:rsidRPr="00DB50BD">
                    <w:rPr>
                      <w:rFonts w:cs="Arial"/>
                      <w:color w:val="000000"/>
                      <w:sz w:val="20"/>
                      <w:szCs w:val="20"/>
                      <w:lang w:eastAsia="en-GB"/>
                    </w:rPr>
                    <w:t>£760,890</w:t>
                  </w:r>
                </w:p>
              </w:tc>
            </w:tr>
          </w:tbl>
          <w:p w14:paraId="37A35285" w14:textId="77777777" w:rsidR="0018491A" w:rsidRDefault="0018491A" w:rsidP="00A005EF">
            <w:pPr>
              <w:rPr>
                <w:rFonts w:cs="Arial"/>
              </w:rPr>
            </w:pPr>
          </w:p>
          <w:p w14:paraId="37A35286" w14:textId="77777777" w:rsidR="00354205" w:rsidRDefault="00354205" w:rsidP="00A005EF">
            <w:pPr>
              <w:rPr>
                <w:rFonts w:cs="Arial"/>
              </w:rPr>
            </w:pPr>
          </w:p>
          <w:p w14:paraId="37A35287" w14:textId="77777777" w:rsidR="00354205" w:rsidRPr="0099116D" w:rsidRDefault="00354205" w:rsidP="00A005EF">
            <w:pPr>
              <w:rPr>
                <w:rFonts w:cs="Arial"/>
              </w:rPr>
            </w:pPr>
          </w:p>
          <w:p w14:paraId="37A35288" w14:textId="77777777" w:rsidR="00344FA1" w:rsidRPr="0099116D" w:rsidRDefault="00344FA1" w:rsidP="00C107CE">
            <w:pPr>
              <w:pStyle w:val="ListParagraph"/>
              <w:autoSpaceDE w:val="0"/>
              <w:autoSpaceDN w:val="0"/>
              <w:adjustRightInd w:val="0"/>
              <w:ind w:left="360"/>
              <w:rPr>
                <w:rFonts w:cs="Arial"/>
                <w:b/>
              </w:rPr>
            </w:pPr>
          </w:p>
        </w:tc>
      </w:tr>
    </w:tbl>
    <w:p w14:paraId="37A3528A" w14:textId="77777777" w:rsidR="00A005EF" w:rsidRPr="0099116D" w:rsidRDefault="00A005EF"/>
    <w:sectPr w:rsidR="00A005EF" w:rsidRPr="0099116D"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3A8B7" w14:textId="77777777" w:rsidR="00BB0C45" w:rsidRDefault="00BB0C45">
      <w:r>
        <w:separator/>
      </w:r>
    </w:p>
  </w:endnote>
  <w:endnote w:type="continuationSeparator" w:id="0">
    <w:p w14:paraId="266B41C2" w14:textId="77777777" w:rsidR="00BB0C45" w:rsidRDefault="00BB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7A35296" w14:textId="77777777" w:rsidR="00DB50BD" w:rsidRDefault="00DB50BD">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DB50BD" w14:paraId="37A35299" w14:textId="77777777" w:rsidTr="009808AC">
          <w:tc>
            <w:tcPr>
              <w:tcW w:w="4908" w:type="dxa"/>
            </w:tcPr>
            <w:p w14:paraId="37A35297" w14:textId="77777777" w:rsidR="00DB50BD" w:rsidRDefault="00DB50BD" w:rsidP="005341E1">
              <w:pPr>
                <w:pStyle w:val="Footer"/>
              </w:pPr>
            </w:p>
          </w:tc>
          <w:tc>
            <w:tcPr>
              <w:tcW w:w="3869" w:type="dxa"/>
            </w:tcPr>
            <w:p w14:paraId="37A35298" w14:textId="77777777" w:rsidR="00DB50BD" w:rsidRDefault="00DB50BD"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114E3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4E3A">
                <w:rPr>
                  <w:b/>
                  <w:bCs/>
                  <w:noProof/>
                </w:rPr>
                <w:t>25</w:t>
              </w:r>
              <w:r>
                <w:rPr>
                  <w:b/>
                  <w:bCs/>
                </w:rPr>
                <w:fldChar w:fldCharType="end"/>
              </w:r>
            </w:p>
          </w:tc>
        </w:tr>
      </w:tbl>
      <w:p w14:paraId="37A3529A" w14:textId="77777777" w:rsidR="00DB50BD" w:rsidRDefault="00BB0C45">
        <w:pPr>
          <w:pStyle w:val="Footer"/>
          <w:jc w:val="right"/>
        </w:pPr>
      </w:p>
    </w:sdtContent>
  </w:sdt>
  <w:p w14:paraId="37A3529B" w14:textId="77777777" w:rsidR="00DB50BD" w:rsidRDefault="00DB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5609F" w14:textId="77777777" w:rsidR="00BB0C45" w:rsidRDefault="00BB0C45">
      <w:r>
        <w:separator/>
      </w:r>
    </w:p>
  </w:footnote>
  <w:footnote w:type="continuationSeparator" w:id="0">
    <w:p w14:paraId="53DB6303" w14:textId="77777777" w:rsidR="00BB0C45" w:rsidRDefault="00BB0C45">
      <w:r>
        <w:continuationSeparator/>
      </w:r>
    </w:p>
  </w:footnote>
  <w:footnote w:id="1">
    <w:p w14:paraId="37A3529D"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Department for Business, Innovation and Skills, 2013, A strategy for future retail, Industry and Government delivering in Partnership, October.</w:t>
      </w:r>
    </w:p>
  </w:footnote>
  <w:footnote w:id="2">
    <w:p w14:paraId="37A3529E"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Clare Vokes et al, 2014, Op. Cit.</w:t>
      </w:r>
    </w:p>
  </w:footnote>
  <w:footnote w:id="3">
    <w:p w14:paraId="37A3529F"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People 1</w:t>
      </w:r>
      <w:r w:rsidRPr="001E0E5E">
        <w:rPr>
          <w:rFonts w:cs="Arial"/>
          <w:vertAlign w:val="superscript"/>
        </w:rPr>
        <w:t>st</w:t>
      </w:r>
      <w:r w:rsidRPr="001E0E5E">
        <w:rPr>
          <w:rFonts w:cs="Arial"/>
        </w:rPr>
        <w:t xml:space="preserve">, 2013, Op. Cit. </w:t>
      </w:r>
    </w:p>
  </w:footnote>
  <w:footnote w:id="4">
    <w:p w14:paraId="37A352A0"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 </w:t>
      </w:r>
    </w:p>
  </w:footnote>
  <w:footnote w:id="5">
    <w:p w14:paraId="37A352A1"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Clare Vokes et al, 2014, Understanding Skills and Performance challenges in the Wholesale and Retail Sector, Executive Summary 87, October, UKCES</w:t>
      </w:r>
    </w:p>
  </w:footnote>
  <w:footnote w:id="6">
    <w:p w14:paraId="37A352A2"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Rob Wilson et al., 2014, Op. Cit. </w:t>
      </w:r>
    </w:p>
  </w:footnote>
  <w:footnote w:id="7">
    <w:p w14:paraId="37A352A3"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w:t>
      </w:r>
    </w:p>
  </w:footnote>
  <w:footnote w:id="8">
    <w:p w14:paraId="37A352A4"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UKCES, 2013, Op. Cit.</w:t>
      </w:r>
    </w:p>
  </w:footnote>
  <w:footnote w:id="9">
    <w:p w14:paraId="37A352A5"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People 1</w:t>
      </w:r>
      <w:r w:rsidRPr="001E0E5E">
        <w:rPr>
          <w:rFonts w:cs="Arial"/>
          <w:vertAlign w:val="superscript"/>
        </w:rPr>
        <w:t>st</w:t>
      </w:r>
      <w:r w:rsidRPr="001E0E5E">
        <w:rPr>
          <w:rFonts w:cs="Arial"/>
        </w:rPr>
        <w:t xml:space="preserve">, 2013, Op. Cit.    </w:t>
      </w:r>
    </w:p>
  </w:footnote>
  <w:footnote w:id="10">
    <w:p w14:paraId="37A352A6"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Table A.2.8 from UKCES, 2014, UK Commission’s Employer Skills Survey 2013: UK Results, Evidence Report 81</w:t>
      </w:r>
    </w:p>
  </w:footnote>
  <w:footnote w:id="11">
    <w:p w14:paraId="37A352A7"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Table A.3.1 from UKCES, 2014, Op. Cit.</w:t>
      </w:r>
    </w:p>
  </w:footnote>
  <w:footnote w:id="12">
    <w:p w14:paraId="37A352A8"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Table A.3.7</w:t>
      </w:r>
      <w:r w:rsidRPr="001E0E5E">
        <w:rPr>
          <w:rFonts w:cs="Arial"/>
          <w:sz w:val="24"/>
          <w:szCs w:val="24"/>
          <w:lang w:eastAsia="en-US"/>
        </w:rPr>
        <w:t xml:space="preserve"> </w:t>
      </w:r>
      <w:r w:rsidRPr="001E0E5E">
        <w:rPr>
          <w:rFonts w:cs="Arial"/>
        </w:rPr>
        <w:t>UKCES, 2014, Op. Cit.</w:t>
      </w:r>
    </w:p>
  </w:footnote>
  <w:footnote w:id="13">
    <w:p w14:paraId="37A352A9"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UKCES, 2012, Op. Cit. </w:t>
      </w:r>
    </w:p>
  </w:footnote>
  <w:footnote w:id="14">
    <w:p w14:paraId="37A352AA"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Skills for Care, 2014, NMDS-SC Briefing, Diversity of the Adult Social Care Workforce, Issue 23, September</w:t>
      </w:r>
    </w:p>
  </w:footnote>
  <w:footnote w:id="15">
    <w:p w14:paraId="37A352AB"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w:t>
      </w:r>
    </w:p>
  </w:footnote>
  <w:footnote w:id="16">
    <w:p w14:paraId="37A352AC"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w:t>
      </w:r>
    </w:p>
  </w:footnote>
  <w:footnote w:id="17">
    <w:p w14:paraId="37A352AD"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Skills for Care and Sitra, 2014, Op. Cit.  </w:t>
      </w:r>
    </w:p>
  </w:footnote>
  <w:footnote w:id="18">
    <w:p w14:paraId="37A352AE"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UKCES, 2013, Op. Cit. </w:t>
      </w:r>
    </w:p>
  </w:footnote>
  <w:footnote w:id="19">
    <w:p w14:paraId="37A352AF"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 </w:t>
      </w:r>
    </w:p>
  </w:footnote>
  <w:footnote w:id="20">
    <w:p w14:paraId="37A352B0" w14:textId="77777777" w:rsidR="00DB50BD" w:rsidRPr="001E0E5E" w:rsidRDefault="00DB50BD" w:rsidP="00A8252D">
      <w:pPr>
        <w:pStyle w:val="FootnoteText"/>
        <w:jc w:val="both"/>
        <w:rPr>
          <w:rFonts w:cs="Arial"/>
        </w:rPr>
      </w:pPr>
      <w:r w:rsidRPr="001E0E5E">
        <w:rPr>
          <w:rStyle w:val="FootnoteReference"/>
          <w:rFonts w:cs="Arial"/>
        </w:rPr>
        <w:footnoteRef/>
      </w:r>
      <w:r w:rsidRPr="001E0E5E">
        <w:rPr>
          <w:rFonts w:cs="Arial"/>
        </w:rPr>
        <w:t xml:space="preserve"> Creative Skillset, 2014, Creative Industries in London Report, September report</w:t>
      </w:r>
    </w:p>
  </w:footnote>
  <w:footnote w:id="21">
    <w:p w14:paraId="37A352B1" w14:textId="77777777" w:rsidR="00DB50BD" w:rsidRPr="001E0E5E" w:rsidRDefault="00DB50BD" w:rsidP="00A8252D">
      <w:pPr>
        <w:pStyle w:val="FootnoteText"/>
        <w:jc w:val="both"/>
        <w:rPr>
          <w:rFonts w:cs="Arial"/>
        </w:rPr>
      </w:pPr>
      <w:r w:rsidRPr="001E0E5E">
        <w:rPr>
          <w:rStyle w:val="FootnoteReference"/>
          <w:rFonts w:cs="Arial"/>
        </w:rPr>
        <w:footnoteRef/>
      </w:r>
      <w:r w:rsidRPr="001E0E5E">
        <w:rPr>
          <w:rFonts w:cs="Arial"/>
        </w:rPr>
        <w:t xml:space="preserve"> Department for Culture Media &amp; Sport, 2014, Op. Cit.  </w:t>
      </w:r>
    </w:p>
  </w:footnote>
  <w:footnote w:id="22">
    <w:p w14:paraId="37A352B2" w14:textId="77777777" w:rsidR="00DB50BD" w:rsidRPr="001E0E5E" w:rsidRDefault="00DB50BD" w:rsidP="00A8252D">
      <w:pPr>
        <w:pStyle w:val="FootnoteText"/>
        <w:jc w:val="both"/>
        <w:rPr>
          <w:rFonts w:cs="Arial"/>
        </w:rPr>
      </w:pPr>
      <w:r w:rsidRPr="001E0E5E">
        <w:rPr>
          <w:rStyle w:val="FootnoteReference"/>
          <w:rFonts w:cs="Arial"/>
        </w:rPr>
        <w:footnoteRef/>
      </w:r>
      <w:r w:rsidRPr="001E0E5E">
        <w:rPr>
          <w:rFonts w:cs="Arial"/>
        </w:rPr>
        <w:t xml:space="preserve"> Creative &amp; Cultural Skills, 2014, Report Skills Challenges for the creative industries in London </w:t>
      </w:r>
    </w:p>
  </w:footnote>
  <w:footnote w:id="23">
    <w:p w14:paraId="37A352B3" w14:textId="77777777" w:rsidR="00DB50BD" w:rsidRPr="001E0E5E" w:rsidRDefault="00DB50BD" w:rsidP="00A8252D">
      <w:pPr>
        <w:pStyle w:val="FootnoteText"/>
        <w:jc w:val="both"/>
        <w:rPr>
          <w:rFonts w:cs="Arial"/>
        </w:rPr>
      </w:pPr>
      <w:r w:rsidRPr="001E0E5E">
        <w:rPr>
          <w:rStyle w:val="FootnoteReference"/>
          <w:rFonts w:cs="Arial"/>
        </w:rPr>
        <w:footnoteRef/>
      </w:r>
      <w:r w:rsidRPr="001E0E5E">
        <w:rPr>
          <w:rFonts w:cs="Arial"/>
        </w:rPr>
        <w:t xml:space="preserve"> Ibid.</w:t>
      </w:r>
    </w:p>
  </w:footnote>
  <w:footnote w:id="24">
    <w:p w14:paraId="37A352B4"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Creative &amp; Cultural Skills, 2011, Sector Skills Assessment for the Creative Industries of the UK, Skillset the Sector Skills Council for Creative Media, January.</w:t>
      </w:r>
    </w:p>
  </w:footnote>
  <w:footnote w:id="25">
    <w:p w14:paraId="37A352B5"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Creative &amp; Cultural Skills, 2013, Pathways to Design: Young People’s Entry to the Design Sector, November</w:t>
      </w:r>
    </w:p>
  </w:footnote>
  <w:footnote w:id="26">
    <w:p w14:paraId="37A352B6"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Creative &amp; Cultural Skills, 2011, Op. Cit.</w:t>
      </w:r>
    </w:p>
  </w:footnote>
  <w:footnote w:id="27">
    <w:p w14:paraId="37A352B7"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Ibid</w:t>
      </w:r>
    </w:p>
  </w:footnote>
  <w:footnote w:id="28">
    <w:p w14:paraId="37A352B8"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January 2013, Big Data Analytics: An assessment of demand for labour and skills, 2012-2017</w:t>
      </w:r>
    </w:p>
  </w:footnote>
  <w:footnote w:id="29">
    <w:p w14:paraId="37A352B9"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2012, Technology Insights 2012, United Kingdom</w:t>
      </w:r>
    </w:p>
  </w:footnote>
  <w:footnote w:id="30">
    <w:p w14:paraId="37A352BA"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2012, Technology Insights 2012, United Kingdom </w:t>
      </w:r>
    </w:p>
  </w:footnote>
  <w:footnote w:id="31">
    <w:p w14:paraId="37A352BB"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January 2013, Big Data Analytics: An assessment of demand for labour and skills, 2012-2017</w:t>
      </w:r>
    </w:p>
  </w:footnote>
  <w:footnote w:id="32">
    <w:p w14:paraId="37A352BC"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2013, Women in IT Scorecard</w:t>
      </w:r>
    </w:p>
  </w:footnote>
  <w:footnote w:id="33">
    <w:p w14:paraId="37A352BD" w14:textId="77777777" w:rsidR="00DB50BD" w:rsidRPr="001E0E5E" w:rsidRDefault="00DB50BD" w:rsidP="00A8252D">
      <w:pPr>
        <w:pStyle w:val="FootnoteText"/>
        <w:rPr>
          <w:rFonts w:cs="Arial"/>
        </w:rPr>
      </w:pPr>
      <w:r w:rsidRPr="001E0E5E">
        <w:rPr>
          <w:rStyle w:val="FootnoteReference"/>
          <w:rFonts w:cs="Arial"/>
        </w:rPr>
        <w:footnoteRef/>
      </w:r>
      <w:r w:rsidRPr="001E0E5E">
        <w:rPr>
          <w:rFonts w:cs="Arial"/>
        </w:rPr>
        <w:t xml:space="preserve"> E-Skills UK, 2013, Women in IT Scorecard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7A35295" w14:textId="77777777" w:rsidR="00DB50BD" w:rsidRDefault="00BB0C45">
        <w:pPr>
          <w:pStyle w:val="Header"/>
        </w:pPr>
        <w:r>
          <w:rPr>
            <w:noProof/>
            <w:lang w:val="en-US"/>
          </w:rPr>
          <w:pict w14:anchorId="37A35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B24DD1"/>
    <w:multiLevelType w:val="hybridMultilevel"/>
    <w:tmpl w:val="FDD6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D715A"/>
    <w:multiLevelType w:val="hybridMultilevel"/>
    <w:tmpl w:val="C49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877D0"/>
    <w:multiLevelType w:val="hybridMultilevel"/>
    <w:tmpl w:val="8BB0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554B7"/>
    <w:multiLevelType w:val="hybridMultilevel"/>
    <w:tmpl w:val="6DAE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D5A65"/>
    <w:multiLevelType w:val="hybridMultilevel"/>
    <w:tmpl w:val="5BDA31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22D5A7A"/>
    <w:multiLevelType w:val="hybridMultilevel"/>
    <w:tmpl w:val="91B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92ED4"/>
    <w:multiLevelType w:val="hybridMultilevel"/>
    <w:tmpl w:val="884E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639C5"/>
    <w:multiLevelType w:val="hybridMultilevel"/>
    <w:tmpl w:val="E15C1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32790"/>
    <w:multiLevelType w:val="hybridMultilevel"/>
    <w:tmpl w:val="768E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5" w15:restartNumberingAfterBreak="0">
    <w:nsid w:val="57B8025F"/>
    <w:multiLevelType w:val="hybridMultilevel"/>
    <w:tmpl w:val="6DAE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E0174"/>
    <w:multiLevelType w:val="hybridMultilevel"/>
    <w:tmpl w:val="CA0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8" w15:restartNumberingAfterBreak="0">
    <w:nsid w:val="69C86EA5"/>
    <w:multiLevelType w:val="hybridMultilevel"/>
    <w:tmpl w:val="3332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65807"/>
    <w:multiLevelType w:val="hybridMultilevel"/>
    <w:tmpl w:val="762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0"/>
  </w:num>
  <w:num w:numId="3">
    <w:abstractNumId w:val="17"/>
  </w:num>
  <w:num w:numId="4">
    <w:abstractNumId w:val="17"/>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8"/>
  </w:num>
  <w:num w:numId="11">
    <w:abstractNumId w:val="9"/>
  </w:num>
  <w:num w:numId="12">
    <w:abstractNumId w:val="19"/>
  </w:num>
  <w:num w:numId="13">
    <w:abstractNumId w:val="7"/>
  </w:num>
  <w:num w:numId="14">
    <w:abstractNumId w:val="16"/>
  </w:num>
  <w:num w:numId="15">
    <w:abstractNumId w:val="22"/>
  </w:num>
  <w:num w:numId="16">
    <w:abstractNumId w:val="6"/>
  </w:num>
  <w:num w:numId="17">
    <w:abstractNumId w:val="15"/>
  </w:num>
  <w:num w:numId="18">
    <w:abstractNumId w:val="12"/>
  </w:num>
  <w:num w:numId="19">
    <w:abstractNumId w:val="8"/>
  </w:num>
  <w:num w:numId="20">
    <w:abstractNumId w:val="13"/>
  </w:num>
  <w:num w:numId="21">
    <w:abstractNumId w:val="21"/>
  </w:num>
  <w:num w:numId="22">
    <w:abstractNumId w:val="18"/>
  </w:num>
  <w:num w:numId="23">
    <w:abstractNumId w:val="1"/>
  </w:num>
  <w:num w:numId="24">
    <w:abstractNumId w:val="10"/>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14A96"/>
    <w:rsid w:val="00024044"/>
    <w:rsid w:val="000241A5"/>
    <w:rsid w:val="00025309"/>
    <w:rsid w:val="00025EF8"/>
    <w:rsid w:val="000262AC"/>
    <w:rsid w:val="00027A87"/>
    <w:rsid w:val="000304B2"/>
    <w:rsid w:val="00030CDC"/>
    <w:rsid w:val="00031747"/>
    <w:rsid w:val="00031D3A"/>
    <w:rsid w:val="00033BE9"/>
    <w:rsid w:val="00034C95"/>
    <w:rsid w:val="000419AD"/>
    <w:rsid w:val="000426C3"/>
    <w:rsid w:val="00043303"/>
    <w:rsid w:val="00044B29"/>
    <w:rsid w:val="00045543"/>
    <w:rsid w:val="000457C3"/>
    <w:rsid w:val="0004585A"/>
    <w:rsid w:val="00045DF4"/>
    <w:rsid w:val="00054537"/>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DA4"/>
    <w:rsid w:val="000C4E1D"/>
    <w:rsid w:val="000C7A51"/>
    <w:rsid w:val="000D0395"/>
    <w:rsid w:val="000D3936"/>
    <w:rsid w:val="000D4283"/>
    <w:rsid w:val="000D51DE"/>
    <w:rsid w:val="000E4725"/>
    <w:rsid w:val="000E66D3"/>
    <w:rsid w:val="000F0F49"/>
    <w:rsid w:val="000F1295"/>
    <w:rsid w:val="000F1BF3"/>
    <w:rsid w:val="00101C79"/>
    <w:rsid w:val="00102F82"/>
    <w:rsid w:val="00105A7C"/>
    <w:rsid w:val="00110113"/>
    <w:rsid w:val="00111F99"/>
    <w:rsid w:val="00114E3A"/>
    <w:rsid w:val="0012138E"/>
    <w:rsid w:val="00123C60"/>
    <w:rsid w:val="00126C3D"/>
    <w:rsid w:val="00131443"/>
    <w:rsid w:val="0013204A"/>
    <w:rsid w:val="00133A11"/>
    <w:rsid w:val="00136327"/>
    <w:rsid w:val="00137737"/>
    <w:rsid w:val="00140BC8"/>
    <w:rsid w:val="00143A7D"/>
    <w:rsid w:val="0014799D"/>
    <w:rsid w:val="0015011A"/>
    <w:rsid w:val="001535BC"/>
    <w:rsid w:val="001545B4"/>
    <w:rsid w:val="00161641"/>
    <w:rsid w:val="00171CCB"/>
    <w:rsid w:val="00173F06"/>
    <w:rsid w:val="0017418C"/>
    <w:rsid w:val="00174E73"/>
    <w:rsid w:val="00180FAF"/>
    <w:rsid w:val="001819AA"/>
    <w:rsid w:val="0018491A"/>
    <w:rsid w:val="001866DC"/>
    <w:rsid w:val="001913DF"/>
    <w:rsid w:val="00191EFE"/>
    <w:rsid w:val="0019279D"/>
    <w:rsid w:val="001931FA"/>
    <w:rsid w:val="00193437"/>
    <w:rsid w:val="00194CEF"/>
    <w:rsid w:val="00195C99"/>
    <w:rsid w:val="001967C7"/>
    <w:rsid w:val="001A0525"/>
    <w:rsid w:val="001A1174"/>
    <w:rsid w:val="001A34A6"/>
    <w:rsid w:val="001A4B05"/>
    <w:rsid w:val="001A4B42"/>
    <w:rsid w:val="001A5133"/>
    <w:rsid w:val="001B0B95"/>
    <w:rsid w:val="001B180A"/>
    <w:rsid w:val="001B5FFF"/>
    <w:rsid w:val="001C0F4B"/>
    <w:rsid w:val="001C5ABA"/>
    <w:rsid w:val="001C6BE0"/>
    <w:rsid w:val="001D0D50"/>
    <w:rsid w:val="001D1AC8"/>
    <w:rsid w:val="001E04A4"/>
    <w:rsid w:val="001E1416"/>
    <w:rsid w:val="001E1EA5"/>
    <w:rsid w:val="001E23AA"/>
    <w:rsid w:val="001E3703"/>
    <w:rsid w:val="001E406E"/>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14A44"/>
    <w:rsid w:val="00225C7E"/>
    <w:rsid w:val="00226225"/>
    <w:rsid w:val="00230104"/>
    <w:rsid w:val="002325E4"/>
    <w:rsid w:val="00234B05"/>
    <w:rsid w:val="002369B8"/>
    <w:rsid w:val="00236EB2"/>
    <w:rsid w:val="00244732"/>
    <w:rsid w:val="00246ACC"/>
    <w:rsid w:val="00250B1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463B"/>
    <w:rsid w:val="002A5006"/>
    <w:rsid w:val="002A5E6B"/>
    <w:rsid w:val="002A5F6F"/>
    <w:rsid w:val="002B2730"/>
    <w:rsid w:val="002B2B9C"/>
    <w:rsid w:val="002B7967"/>
    <w:rsid w:val="002C2B65"/>
    <w:rsid w:val="002C3DD0"/>
    <w:rsid w:val="002C62CF"/>
    <w:rsid w:val="002C72A2"/>
    <w:rsid w:val="002D5A8E"/>
    <w:rsid w:val="002D7D91"/>
    <w:rsid w:val="002E25F4"/>
    <w:rsid w:val="002E3B40"/>
    <w:rsid w:val="002E53B9"/>
    <w:rsid w:val="002F2910"/>
    <w:rsid w:val="002F4192"/>
    <w:rsid w:val="002F52AA"/>
    <w:rsid w:val="002F67EA"/>
    <w:rsid w:val="002F70E9"/>
    <w:rsid w:val="002F71DB"/>
    <w:rsid w:val="00300754"/>
    <w:rsid w:val="00301CA8"/>
    <w:rsid w:val="003035E8"/>
    <w:rsid w:val="00303609"/>
    <w:rsid w:val="00303EFB"/>
    <w:rsid w:val="003045E2"/>
    <w:rsid w:val="00307FC5"/>
    <w:rsid w:val="0031325C"/>
    <w:rsid w:val="00313712"/>
    <w:rsid w:val="003146D9"/>
    <w:rsid w:val="00314DF6"/>
    <w:rsid w:val="00320393"/>
    <w:rsid w:val="003242A9"/>
    <w:rsid w:val="00325BC2"/>
    <w:rsid w:val="00325EB2"/>
    <w:rsid w:val="003266C2"/>
    <w:rsid w:val="00332E13"/>
    <w:rsid w:val="003341FC"/>
    <w:rsid w:val="003372BE"/>
    <w:rsid w:val="0034251F"/>
    <w:rsid w:val="003436BF"/>
    <w:rsid w:val="003437A8"/>
    <w:rsid w:val="003441FF"/>
    <w:rsid w:val="00344FA1"/>
    <w:rsid w:val="003531F2"/>
    <w:rsid w:val="00354205"/>
    <w:rsid w:val="0035514D"/>
    <w:rsid w:val="00363111"/>
    <w:rsid w:val="0036417A"/>
    <w:rsid w:val="00365815"/>
    <w:rsid w:val="00370ADD"/>
    <w:rsid w:val="003711BA"/>
    <w:rsid w:val="00372BC6"/>
    <w:rsid w:val="00375059"/>
    <w:rsid w:val="00376B4D"/>
    <w:rsid w:val="003815F3"/>
    <w:rsid w:val="003817E6"/>
    <w:rsid w:val="00384AE2"/>
    <w:rsid w:val="00387081"/>
    <w:rsid w:val="003908B7"/>
    <w:rsid w:val="00391879"/>
    <w:rsid w:val="00394F36"/>
    <w:rsid w:val="003A017D"/>
    <w:rsid w:val="003A3761"/>
    <w:rsid w:val="003A457D"/>
    <w:rsid w:val="003A4747"/>
    <w:rsid w:val="003A4850"/>
    <w:rsid w:val="003A703E"/>
    <w:rsid w:val="003A723F"/>
    <w:rsid w:val="003B0CB7"/>
    <w:rsid w:val="003B6ACC"/>
    <w:rsid w:val="003B6D47"/>
    <w:rsid w:val="003C070A"/>
    <w:rsid w:val="003C1BBB"/>
    <w:rsid w:val="003C218D"/>
    <w:rsid w:val="003C3FC1"/>
    <w:rsid w:val="003C7376"/>
    <w:rsid w:val="003D0098"/>
    <w:rsid w:val="003D58B2"/>
    <w:rsid w:val="003D5D97"/>
    <w:rsid w:val="003E3DEA"/>
    <w:rsid w:val="003E657D"/>
    <w:rsid w:val="003F4675"/>
    <w:rsid w:val="003F57F0"/>
    <w:rsid w:val="003F6750"/>
    <w:rsid w:val="00404490"/>
    <w:rsid w:val="004050CC"/>
    <w:rsid w:val="00407ED0"/>
    <w:rsid w:val="00412EFF"/>
    <w:rsid w:val="0041542B"/>
    <w:rsid w:val="00415AB1"/>
    <w:rsid w:val="004165EB"/>
    <w:rsid w:val="00416BE3"/>
    <w:rsid w:val="004241A1"/>
    <w:rsid w:val="00430548"/>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A6287"/>
    <w:rsid w:val="004B6441"/>
    <w:rsid w:val="004B698A"/>
    <w:rsid w:val="004B701F"/>
    <w:rsid w:val="004B7AFB"/>
    <w:rsid w:val="004B7B72"/>
    <w:rsid w:val="004C229C"/>
    <w:rsid w:val="004C5399"/>
    <w:rsid w:val="004C6E5B"/>
    <w:rsid w:val="004C726D"/>
    <w:rsid w:val="004C7C23"/>
    <w:rsid w:val="004D1EA6"/>
    <w:rsid w:val="004D30F5"/>
    <w:rsid w:val="004D45FA"/>
    <w:rsid w:val="004D7820"/>
    <w:rsid w:val="004E170D"/>
    <w:rsid w:val="004E5C17"/>
    <w:rsid w:val="004F089F"/>
    <w:rsid w:val="004F1AAE"/>
    <w:rsid w:val="005005F6"/>
    <w:rsid w:val="0050287E"/>
    <w:rsid w:val="00503222"/>
    <w:rsid w:val="00503817"/>
    <w:rsid w:val="0050687A"/>
    <w:rsid w:val="0051414C"/>
    <w:rsid w:val="00515602"/>
    <w:rsid w:val="00516601"/>
    <w:rsid w:val="00517252"/>
    <w:rsid w:val="0052301F"/>
    <w:rsid w:val="0052417A"/>
    <w:rsid w:val="00524B4A"/>
    <w:rsid w:val="00525050"/>
    <w:rsid w:val="00526F80"/>
    <w:rsid w:val="00527247"/>
    <w:rsid w:val="00532143"/>
    <w:rsid w:val="005325A3"/>
    <w:rsid w:val="00533590"/>
    <w:rsid w:val="005341E1"/>
    <w:rsid w:val="00546D27"/>
    <w:rsid w:val="00552885"/>
    <w:rsid w:val="005530E1"/>
    <w:rsid w:val="005532B7"/>
    <w:rsid w:val="0055442A"/>
    <w:rsid w:val="005574E2"/>
    <w:rsid w:val="00566647"/>
    <w:rsid w:val="00567FE1"/>
    <w:rsid w:val="00570163"/>
    <w:rsid w:val="0057560E"/>
    <w:rsid w:val="00575A04"/>
    <w:rsid w:val="00580A30"/>
    <w:rsid w:val="00581451"/>
    <w:rsid w:val="0058174F"/>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B7003"/>
    <w:rsid w:val="005C04A2"/>
    <w:rsid w:val="005C350D"/>
    <w:rsid w:val="005C44C5"/>
    <w:rsid w:val="005C5996"/>
    <w:rsid w:val="005C74C2"/>
    <w:rsid w:val="005D2D1A"/>
    <w:rsid w:val="005D2FF1"/>
    <w:rsid w:val="005D3214"/>
    <w:rsid w:val="005D3E38"/>
    <w:rsid w:val="005D77FE"/>
    <w:rsid w:val="005E08D9"/>
    <w:rsid w:val="005E0E16"/>
    <w:rsid w:val="005E1FA1"/>
    <w:rsid w:val="005E317E"/>
    <w:rsid w:val="005E37D8"/>
    <w:rsid w:val="005E3A1D"/>
    <w:rsid w:val="005F081E"/>
    <w:rsid w:val="005F1102"/>
    <w:rsid w:val="00601627"/>
    <w:rsid w:val="00601F38"/>
    <w:rsid w:val="00607A17"/>
    <w:rsid w:val="00607A73"/>
    <w:rsid w:val="006106F1"/>
    <w:rsid w:val="00622E87"/>
    <w:rsid w:val="006254BD"/>
    <w:rsid w:val="006321E9"/>
    <w:rsid w:val="006357FA"/>
    <w:rsid w:val="00647E1F"/>
    <w:rsid w:val="00651A1C"/>
    <w:rsid w:val="00653A12"/>
    <w:rsid w:val="00655E68"/>
    <w:rsid w:val="00663C28"/>
    <w:rsid w:val="00664132"/>
    <w:rsid w:val="006701D5"/>
    <w:rsid w:val="00670BF4"/>
    <w:rsid w:val="0067125E"/>
    <w:rsid w:val="00673325"/>
    <w:rsid w:val="00675BB3"/>
    <w:rsid w:val="006769F9"/>
    <w:rsid w:val="00680408"/>
    <w:rsid w:val="00683123"/>
    <w:rsid w:val="00683FE3"/>
    <w:rsid w:val="0068445E"/>
    <w:rsid w:val="00685FB5"/>
    <w:rsid w:val="00687C76"/>
    <w:rsid w:val="00692CED"/>
    <w:rsid w:val="00693A74"/>
    <w:rsid w:val="00694566"/>
    <w:rsid w:val="006957BC"/>
    <w:rsid w:val="00697265"/>
    <w:rsid w:val="00697B8B"/>
    <w:rsid w:val="00697E7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3B33"/>
    <w:rsid w:val="006F4DC5"/>
    <w:rsid w:val="006F520C"/>
    <w:rsid w:val="007002C7"/>
    <w:rsid w:val="0070487E"/>
    <w:rsid w:val="0070702A"/>
    <w:rsid w:val="007121E9"/>
    <w:rsid w:val="007167C9"/>
    <w:rsid w:val="0072012D"/>
    <w:rsid w:val="00721D14"/>
    <w:rsid w:val="007221B7"/>
    <w:rsid w:val="00722BB6"/>
    <w:rsid w:val="00733C44"/>
    <w:rsid w:val="00734B1E"/>
    <w:rsid w:val="007362B9"/>
    <w:rsid w:val="00736E23"/>
    <w:rsid w:val="00740BBC"/>
    <w:rsid w:val="00741E70"/>
    <w:rsid w:val="00742085"/>
    <w:rsid w:val="007544F0"/>
    <w:rsid w:val="00755E41"/>
    <w:rsid w:val="00757723"/>
    <w:rsid w:val="00757D21"/>
    <w:rsid w:val="0076010B"/>
    <w:rsid w:val="00762B88"/>
    <w:rsid w:val="007654E6"/>
    <w:rsid w:val="00765616"/>
    <w:rsid w:val="00772BBA"/>
    <w:rsid w:val="0077321B"/>
    <w:rsid w:val="00773DA2"/>
    <w:rsid w:val="007779B8"/>
    <w:rsid w:val="00780C7F"/>
    <w:rsid w:val="00785103"/>
    <w:rsid w:val="00787807"/>
    <w:rsid w:val="00794997"/>
    <w:rsid w:val="00795DEF"/>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2C13"/>
    <w:rsid w:val="007E2F31"/>
    <w:rsid w:val="007E5629"/>
    <w:rsid w:val="007E7731"/>
    <w:rsid w:val="007F2564"/>
    <w:rsid w:val="007F51F2"/>
    <w:rsid w:val="007F575A"/>
    <w:rsid w:val="007F61A6"/>
    <w:rsid w:val="008040A8"/>
    <w:rsid w:val="00806C56"/>
    <w:rsid w:val="00810BFF"/>
    <w:rsid w:val="00812EC6"/>
    <w:rsid w:val="008139C0"/>
    <w:rsid w:val="0081783D"/>
    <w:rsid w:val="00821DD1"/>
    <w:rsid w:val="008441FE"/>
    <w:rsid w:val="008469E4"/>
    <w:rsid w:val="00850DC7"/>
    <w:rsid w:val="00855A54"/>
    <w:rsid w:val="0086257F"/>
    <w:rsid w:val="00865DD0"/>
    <w:rsid w:val="00866F8D"/>
    <w:rsid w:val="00870894"/>
    <w:rsid w:val="00871CDC"/>
    <w:rsid w:val="008751AB"/>
    <w:rsid w:val="008755C5"/>
    <w:rsid w:val="00880031"/>
    <w:rsid w:val="00884042"/>
    <w:rsid w:val="00885437"/>
    <w:rsid w:val="00887561"/>
    <w:rsid w:val="00887CC4"/>
    <w:rsid w:val="008914FB"/>
    <w:rsid w:val="00891C05"/>
    <w:rsid w:val="00892D58"/>
    <w:rsid w:val="00893B59"/>
    <w:rsid w:val="008A35F2"/>
    <w:rsid w:val="008A7BFE"/>
    <w:rsid w:val="008B0638"/>
    <w:rsid w:val="008B301A"/>
    <w:rsid w:val="008B323D"/>
    <w:rsid w:val="008B3265"/>
    <w:rsid w:val="008C04B3"/>
    <w:rsid w:val="008C04D4"/>
    <w:rsid w:val="008C148F"/>
    <w:rsid w:val="008C14BD"/>
    <w:rsid w:val="008C6517"/>
    <w:rsid w:val="008C74BF"/>
    <w:rsid w:val="008D41F4"/>
    <w:rsid w:val="008D685F"/>
    <w:rsid w:val="008E0CA3"/>
    <w:rsid w:val="008E1A0A"/>
    <w:rsid w:val="008E2EBC"/>
    <w:rsid w:val="008E6320"/>
    <w:rsid w:val="008F2009"/>
    <w:rsid w:val="008F34BD"/>
    <w:rsid w:val="00900D0A"/>
    <w:rsid w:val="0090511E"/>
    <w:rsid w:val="00906EA0"/>
    <w:rsid w:val="00906ED1"/>
    <w:rsid w:val="009100F8"/>
    <w:rsid w:val="00911515"/>
    <w:rsid w:val="009116BD"/>
    <w:rsid w:val="00911A56"/>
    <w:rsid w:val="00912377"/>
    <w:rsid w:val="00914BB9"/>
    <w:rsid w:val="00914DF9"/>
    <w:rsid w:val="00915E7A"/>
    <w:rsid w:val="00920D7A"/>
    <w:rsid w:val="00933C19"/>
    <w:rsid w:val="00936137"/>
    <w:rsid w:val="0094091E"/>
    <w:rsid w:val="00945CE0"/>
    <w:rsid w:val="00945E4C"/>
    <w:rsid w:val="00946A67"/>
    <w:rsid w:val="009549AE"/>
    <w:rsid w:val="00954AD1"/>
    <w:rsid w:val="009552C2"/>
    <w:rsid w:val="009612F7"/>
    <w:rsid w:val="00965A85"/>
    <w:rsid w:val="00966299"/>
    <w:rsid w:val="00967429"/>
    <w:rsid w:val="00975D7E"/>
    <w:rsid w:val="009808AC"/>
    <w:rsid w:val="009840A5"/>
    <w:rsid w:val="009907A3"/>
    <w:rsid w:val="0099116D"/>
    <w:rsid w:val="009924E0"/>
    <w:rsid w:val="009934DA"/>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0D71"/>
    <w:rsid w:val="00A31AB9"/>
    <w:rsid w:val="00A333E6"/>
    <w:rsid w:val="00A402FE"/>
    <w:rsid w:val="00A4045A"/>
    <w:rsid w:val="00A406BC"/>
    <w:rsid w:val="00A420B1"/>
    <w:rsid w:val="00A477D1"/>
    <w:rsid w:val="00A524B5"/>
    <w:rsid w:val="00A56530"/>
    <w:rsid w:val="00A60220"/>
    <w:rsid w:val="00A605B5"/>
    <w:rsid w:val="00A60AF4"/>
    <w:rsid w:val="00A62B87"/>
    <w:rsid w:val="00A63E89"/>
    <w:rsid w:val="00A6430E"/>
    <w:rsid w:val="00A668E8"/>
    <w:rsid w:val="00A76A58"/>
    <w:rsid w:val="00A80067"/>
    <w:rsid w:val="00A813F8"/>
    <w:rsid w:val="00A818CD"/>
    <w:rsid w:val="00A8252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0F1E"/>
    <w:rsid w:val="00AF1B51"/>
    <w:rsid w:val="00AF3545"/>
    <w:rsid w:val="00AF6AC9"/>
    <w:rsid w:val="00B02931"/>
    <w:rsid w:val="00B048EE"/>
    <w:rsid w:val="00B05C27"/>
    <w:rsid w:val="00B06A9F"/>
    <w:rsid w:val="00B07433"/>
    <w:rsid w:val="00B13229"/>
    <w:rsid w:val="00B15E45"/>
    <w:rsid w:val="00B20E5C"/>
    <w:rsid w:val="00B21ED4"/>
    <w:rsid w:val="00B23AC7"/>
    <w:rsid w:val="00B24D65"/>
    <w:rsid w:val="00B3130F"/>
    <w:rsid w:val="00B3399A"/>
    <w:rsid w:val="00B348CF"/>
    <w:rsid w:val="00B37256"/>
    <w:rsid w:val="00B505CF"/>
    <w:rsid w:val="00B520AF"/>
    <w:rsid w:val="00B52D80"/>
    <w:rsid w:val="00B5379B"/>
    <w:rsid w:val="00B5677B"/>
    <w:rsid w:val="00B56C5A"/>
    <w:rsid w:val="00B64855"/>
    <w:rsid w:val="00B650A9"/>
    <w:rsid w:val="00B6696F"/>
    <w:rsid w:val="00B66CC6"/>
    <w:rsid w:val="00B70FB2"/>
    <w:rsid w:val="00B87752"/>
    <w:rsid w:val="00B93DDE"/>
    <w:rsid w:val="00B95BC9"/>
    <w:rsid w:val="00B96105"/>
    <w:rsid w:val="00B97FB7"/>
    <w:rsid w:val="00BA120C"/>
    <w:rsid w:val="00BA1865"/>
    <w:rsid w:val="00BA2334"/>
    <w:rsid w:val="00BA450E"/>
    <w:rsid w:val="00BB06DA"/>
    <w:rsid w:val="00BB0C45"/>
    <w:rsid w:val="00BB50B0"/>
    <w:rsid w:val="00BC07D7"/>
    <w:rsid w:val="00BC357A"/>
    <w:rsid w:val="00BC3D6D"/>
    <w:rsid w:val="00BC4384"/>
    <w:rsid w:val="00BC7F87"/>
    <w:rsid w:val="00BD16C9"/>
    <w:rsid w:val="00BD3685"/>
    <w:rsid w:val="00BD40A0"/>
    <w:rsid w:val="00BD660A"/>
    <w:rsid w:val="00BD7FA4"/>
    <w:rsid w:val="00BE4001"/>
    <w:rsid w:val="00BE49F7"/>
    <w:rsid w:val="00BF0EC3"/>
    <w:rsid w:val="00BF177C"/>
    <w:rsid w:val="00C00A3A"/>
    <w:rsid w:val="00C0243B"/>
    <w:rsid w:val="00C10273"/>
    <w:rsid w:val="00C1049A"/>
    <w:rsid w:val="00C107CE"/>
    <w:rsid w:val="00C13DE3"/>
    <w:rsid w:val="00C14DC6"/>
    <w:rsid w:val="00C20DCE"/>
    <w:rsid w:val="00C22AF6"/>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373E"/>
    <w:rsid w:val="00C84DE2"/>
    <w:rsid w:val="00C8660E"/>
    <w:rsid w:val="00C86B99"/>
    <w:rsid w:val="00C87D58"/>
    <w:rsid w:val="00C87D6D"/>
    <w:rsid w:val="00C92574"/>
    <w:rsid w:val="00C9718A"/>
    <w:rsid w:val="00CA04E9"/>
    <w:rsid w:val="00CA0C84"/>
    <w:rsid w:val="00CA13F9"/>
    <w:rsid w:val="00CA6149"/>
    <w:rsid w:val="00CA6D69"/>
    <w:rsid w:val="00CB241F"/>
    <w:rsid w:val="00CB61CE"/>
    <w:rsid w:val="00CB6BB7"/>
    <w:rsid w:val="00CC1802"/>
    <w:rsid w:val="00CC2261"/>
    <w:rsid w:val="00CE08DA"/>
    <w:rsid w:val="00CE146F"/>
    <w:rsid w:val="00CE1B6E"/>
    <w:rsid w:val="00CE298D"/>
    <w:rsid w:val="00CE5D4A"/>
    <w:rsid w:val="00CE6114"/>
    <w:rsid w:val="00CF069B"/>
    <w:rsid w:val="00CF0BD1"/>
    <w:rsid w:val="00CF6EEA"/>
    <w:rsid w:val="00D008CB"/>
    <w:rsid w:val="00D01B68"/>
    <w:rsid w:val="00D05210"/>
    <w:rsid w:val="00D20198"/>
    <w:rsid w:val="00D40CC3"/>
    <w:rsid w:val="00D433CB"/>
    <w:rsid w:val="00D4509F"/>
    <w:rsid w:val="00D47BED"/>
    <w:rsid w:val="00D501D9"/>
    <w:rsid w:val="00D52ABC"/>
    <w:rsid w:val="00D535E6"/>
    <w:rsid w:val="00D6167E"/>
    <w:rsid w:val="00D67580"/>
    <w:rsid w:val="00D70054"/>
    <w:rsid w:val="00D73447"/>
    <w:rsid w:val="00D75418"/>
    <w:rsid w:val="00D76FA8"/>
    <w:rsid w:val="00D90744"/>
    <w:rsid w:val="00D92386"/>
    <w:rsid w:val="00D92E9F"/>
    <w:rsid w:val="00D934F2"/>
    <w:rsid w:val="00D94DA7"/>
    <w:rsid w:val="00DA37E3"/>
    <w:rsid w:val="00DA39DA"/>
    <w:rsid w:val="00DA3E5E"/>
    <w:rsid w:val="00DA7651"/>
    <w:rsid w:val="00DA77E5"/>
    <w:rsid w:val="00DB2FA1"/>
    <w:rsid w:val="00DB50BD"/>
    <w:rsid w:val="00DB5C0F"/>
    <w:rsid w:val="00DB73ED"/>
    <w:rsid w:val="00DC5127"/>
    <w:rsid w:val="00DC7B87"/>
    <w:rsid w:val="00DD3144"/>
    <w:rsid w:val="00DD44CA"/>
    <w:rsid w:val="00DD47E2"/>
    <w:rsid w:val="00DD6338"/>
    <w:rsid w:val="00DE0CAB"/>
    <w:rsid w:val="00DE15D7"/>
    <w:rsid w:val="00DE18A3"/>
    <w:rsid w:val="00DE1B57"/>
    <w:rsid w:val="00DE28F3"/>
    <w:rsid w:val="00DE4672"/>
    <w:rsid w:val="00DF4569"/>
    <w:rsid w:val="00DF61FC"/>
    <w:rsid w:val="00E01A32"/>
    <w:rsid w:val="00E0685C"/>
    <w:rsid w:val="00E076C0"/>
    <w:rsid w:val="00E11599"/>
    <w:rsid w:val="00E21F98"/>
    <w:rsid w:val="00E2204E"/>
    <w:rsid w:val="00E24CC5"/>
    <w:rsid w:val="00E275C2"/>
    <w:rsid w:val="00E37B6C"/>
    <w:rsid w:val="00E413C6"/>
    <w:rsid w:val="00E41BB7"/>
    <w:rsid w:val="00E43279"/>
    <w:rsid w:val="00E43DDB"/>
    <w:rsid w:val="00E44261"/>
    <w:rsid w:val="00E45544"/>
    <w:rsid w:val="00E55D00"/>
    <w:rsid w:val="00E56D8F"/>
    <w:rsid w:val="00E57D32"/>
    <w:rsid w:val="00E627AE"/>
    <w:rsid w:val="00E74099"/>
    <w:rsid w:val="00E751A1"/>
    <w:rsid w:val="00E77422"/>
    <w:rsid w:val="00E82E42"/>
    <w:rsid w:val="00E838E3"/>
    <w:rsid w:val="00E84720"/>
    <w:rsid w:val="00E93E97"/>
    <w:rsid w:val="00EA180F"/>
    <w:rsid w:val="00EA29F4"/>
    <w:rsid w:val="00EA599B"/>
    <w:rsid w:val="00EA61ED"/>
    <w:rsid w:val="00EB0715"/>
    <w:rsid w:val="00EB1337"/>
    <w:rsid w:val="00EB6E31"/>
    <w:rsid w:val="00EC0AD0"/>
    <w:rsid w:val="00EC1414"/>
    <w:rsid w:val="00EC2618"/>
    <w:rsid w:val="00EC2AFC"/>
    <w:rsid w:val="00EC2C8F"/>
    <w:rsid w:val="00EC2CBB"/>
    <w:rsid w:val="00EC5F1C"/>
    <w:rsid w:val="00ED0DDC"/>
    <w:rsid w:val="00ED0DEE"/>
    <w:rsid w:val="00ED156A"/>
    <w:rsid w:val="00ED5F5C"/>
    <w:rsid w:val="00ED67E0"/>
    <w:rsid w:val="00EE3F01"/>
    <w:rsid w:val="00EE6303"/>
    <w:rsid w:val="00EF2392"/>
    <w:rsid w:val="00EF2A41"/>
    <w:rsid w:val="00F01F88"/>
    <w:rsid w:val="00F06729"/>
    <w:rsid w:val="00F06766"/>
    <w:rsid w:val="00F06A90"/>
    <w:rsid w:val="00F06D2E"/>
    <w:rsid w:val="00F10244"/>
    <w:rsid w:val="00F117FE"/>
    <w:rsid w:val="00F118A0"/>
    <w:rsid w:val="00F11CC0"/>
    <w:rsid w:val="00F17CE2"/>
    <w:rsid w:val="00F20CFE"/>
    <w:rsid w:val="00F20E79"/>
    <w:rsid w:val="00F2255D"/>
    <w:rsid w:val="00F22D1A"/>
    <w:rsid w:val="00F24C41"/>
    <w:rsid w:val="00F35014"/>
    <w:rsid w:val="00F351EC"/>
    <w:rsid w:val="00F35C21"/>
    <w:rsid w:val="00F3689D"/>
    <w:rsid w:val="00F37CFF"/>
    <w:rsid w:val="00F41B74"/>
    <w:rsid w:val="00F43132"/>
    <w:rsid w:val="00F45857"/>
    <w:rsid w:val="00F523D2"/>
    <w:rsid w:val="00F5623E"/>
    <w:rsid w:val="00F5711C"/>
    <w:rsid w:val="00F66474"/>
    <w:rsid w:val="00F722BB"/>
    <w:rsid w:val="00F72938"/>
    <w:rsid w:val="00F72A03"/>
    <w:rsid w:val="00F76597"/>
    <w:rsid w:val="00F87D3E"/>
    <w:rsid w:val="00F9192C"/>
    <w:rsid w:val="00F925C5"/>
    <w:rsid w:val="00FA3260"/>
    <w:rsid w:val="00FA346F"/>
    <w:rsid w:val="00FA5F66"/>
    <w:rsid w:val="00FC0576"/>
    <w:rsid w:val="00FC3A08"/>
    <w:rsid w:val="00FD0099"/>
    <w:rsid w:val="00FD05D4"/>
    <w:rsid w:val="00FD3B0A"/>
    <w:rsid w:val="00FD4ABD"/>
    <w:rsid w:val="00FD6B67"/>
    <w:rsid w:val="00FF0667"/>
    <w:rsid w:val="00FF0769"/>
    <w:rsid w:val="00FF08DF"/>
    <w:rsid w:val="00FF33F2"/>
    <w:rsid w:val="00FF6CCA"/>
    <w:rsid w:val="528D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A34E8B"/>
  <w15:docId w15:val="{1DD6E463-D86C-43AA-922D-53E7B820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rsid w:val="00967429"/>
    <w:rPr>
      <w:sz w:val="20"/>
      <w:szCs w:val="20"/>
      <w:lang w:eastAsia="en-GB"/>
    </w:rPr>
  </w:style>
  <w:style w:type="character" w:customStyle="1" w:styleId="FootnoteTextChar">
    <w:name w:val="Footnote Text Char"/>
    <w:basedOn w:val="DefaultParagraphFont"/>
    <w:link w:val="FootnoteText"/>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9"/>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9"/>
      </w:numPr>
      <w:spacing w:after="260" w:line="260" w:lineRule="atLeast"/>
      <w:jc w:val="both"/>
      <w:outlineLvl w:val="0"/>
    </w:pPr>
    <w:rPr>
      <w:b/>
      <w:caps/>
      <w:sz w:val="22"/>
    </w:rPr>
  </w:style>
  <w:style w:type="paragraph" w:customStyle="1" w:styleId="Level2">
    <w:name w:val="Level 2"/>
    <w:basedOn w:val="Normal"/>
    <w:rsid w:val="00AE2E02"/>
    <w:pPr>
      <w:numPr>
        <w:ilvl w:val="2"/>
        <w:numId w:val="9"/>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9"/>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9"/>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9"/>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697B8B"/>
    <w:pPr>
      <w:widowControl w:val="0"/>
      <w:autoSpaceDE w:val="0"/>
      <w:autoSpaceDN w:val="0"/>
      <w:adjustRightInd w:val="0"/>
    </w:pPr>
    <w:rPr>
      <w:rFonts w:ascii="Times New Roman" w:eastAsiaTheme="minorEastAsia" w:hAnsi="Times New Roman"/>
      <w:lang w:eastAsia="en-GB"/>
    </w:rPr>
  </w:style>
  <w:style w:type="character" w:styleId="FootnoteReference">
    <w:name w:val="footnote reference"/>
    <w:semiHidden/>
    <w:rsid w:val="00173F06"/>
    <w:rPr>
      <w:vertAlign w:val="superscript"/>
    </w:rPr>
  </w:style>
  <w:style w:type="paragraph" w:styleId="PlainText">
    <w:name w:val="Plain Text"/>
    <w:basedOn w:val="Normal"/>
    <w:link w:val="PlainTextChar"/>
    <w:uiPriority w:val="99"/>
    <w:semiHidden/>
    <w:unhideWhenUsed/>
    <w:rsid w:val="00EA29F4"/>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A29F4"/>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1895">
      <w:bodyDiv w:val="1"/>
      <w:marLeft w:val="0"/>
      <w:marRight w:val="0"/>
      <w:marTop w:val="0"/>
      <w:marBottom w:val="0"/>
      <w:divBdr>
        <w:top w:val="none" w:sz="0" w:space="0" w:color="auto"/>
        <w:left w:val="none" w:sz="0" w:space="0" w:color="auto"/>
        <w:bottom w:val="none" w:sz="0" w:space="0" w:color="auto"/>
        <w:right w:val="none" w:sz="0" w:space="0" w:color="auto"/>
      </w:divBdr>
    </w:div>
    <w:div w:id="164975938">
      <w:bodyDiv w:val="1"/>
      <w:marLeft w:val="0"/>
      <w:marRight w:val="0"/>
      <w:marTop w:val="0"/>
      <w:marBottom w:val="0"/>
      <w:divBdr>
        <w:top w:val="none" w:sz="0" w:space="0" w:color="auto"/>
        <w:left w:val="none" w:sz="0" w:space="0" w:color="auto"/>
        <w:bottom w:val="none" w:sz="0" w:space="0" w:color="auto"/>
        <w:right w:val="none" w:sz="0" w:space="0" w:color="auto"/>
      </w:divBdr>
    </w:div>
    <w:div w:id="168913532">
      <w:bodyDiv w:val="1"/>
      <w:marLeft w:val="0"/>
      <w:marRight w:val="0"/>
      <w:marTop w:val="0"/>
      <w:marBottom w:val="0"/>
      <w:divBdr>
        <w:top w:val="none" w:sz="0" w:space="0" w:color="auto"/>
        <w:left w:val="none" w:sz="0" w:space="0" w:color="auto"/>
        <w:bottom w:val="none" w:sz="0" w:space="0" w:color="auto"/>
        <w:right w:val="none" w:sz="0" w:space="0" w:color="auto"/>
      </w:divBdr>
    </w:div>
    <w:div w:id="224949131">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38235816">
      <w:bodyDiv w:val="1"/>
      <w:marLeft w:val="0"/>
      <w:marRight w:val="0"/>
      <w:marTop w:val="0"/>
      <w:marBottom w:val="0"/>
      <w:divBdr>
        <w:top w:val="none" w:sz="0" w:space="0" w:color="auto"/>
        <w:left w:val="none" w:sz="0" w:space="0" w:color="auto"/>
        <w:bottom w:val="none" w:sz="0" w:space="0" w:color="auto"/>
        <w:right w:val="none" w:sz="0" w:space="0" w:color="auto"/>
      </w:divBdr>
    </w:div>
    <w:div w:id="364718494">
      <w:bodyDiv w:val="1"/>
      <w:marLeft w:val="0"/>
      <w:marRight w:val="0"/>
      <w:marTop w:val="0"/>
      <w:marBottom w:val="0"/>
      <w:divBdr>
        <w:top w:val="none" w:sz="0" w:space="0" w:color="auto"/>
        <w:left w:val="none" w:sz="0" w:space="0" w:color="auto"/>
        <w:bottom w:val="none" w:sz="0" w:space="0" w:color="auto"/>
        <w:right w:val="none" w:sz="0" w:space="0" w:color="auto"/>
      </w:divBdr>
    </w:div>
    <w:div w:id="490482769">
      <w:bodyDiv w:val="1"/>
      <w:marLeft w:val="0"/>
      <w:marRight w:val="0"/>
      <w:marTop w:val="0"/>
      <w:marBottom w:val="0"/>
      <w:divBdr>
        <w:top w:val="none" w:sz="0" w:space="0" w:color="auto"/>
        <w:left w:val="none" w:sz="0" w:space="0" w:color="auto"/>
        <w:bottom w:val="none" w:sz="0" w:space="0" w:color="auto"/>
        <w:right w:val="none" w:sz="0" w:space="0" w:color="auto"/>
      </w:divBdr>
    </w:div>
    <w:div w:id="62962676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66526765">
      <w:bodyDiv w:val="1"/>
      <w:marLeft w:val="0"/>
      <w:marRight w:val="0"/>
      <w:marTop w:val="0"/>
      <w:marBottom w:val="0"/>
      <w:divBdr>
        <w:top w:val="none" w:sz="0" w:space="0" w:color="auto"/>
        <w:left w:val="none" w:sz="0" w:space="0" w:color="auto"/>
        <w:bottom w:val="none" w:sz="0" w:space="0" w:color="auto"/>
        <w:right w:val="none" w:sz="0" w:space="0" w:color="auto"/>
      </w:divBdr>
    </w:div>
    <w:div w:id="928929776">
      <w:bodyDiv w:val="1"/>
      <w:marLeft w:val="0"/>
      <w:marRight w:val="0"/>
      <w:marTop w:val="0"/>
      <w:marBottom w:val="0"/>
      <w:divBdr>
        <w:top w:val="none" w:sz="0" w:space="0" w:color="auto"/>
        <w:left w:val="none" w:sz="0" w:space="0" w:color="auto"/>
        <w:bottom w:val="none" w:sz="0" w:space="0" w:color="auto"/>
        <w:right w:val="none" w:sz="0" w:space="0" w:color="auto"/>
      </w:divBdr>
    </w:div>
    <w:div w:id="979311994">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014187108">
      <w:bodyDiv w:val="1"/>
      <w:marLeft w:val="0"/>
      <w:marRight w:val="0"/>
      <w:marTop w:val="0"/>
      <w:marBottom w:val="0"/>
      <w:divBdr>
        <w:top w:val="none" w:sz="0" w:space="0" w:color="auto"/>
        <w:left w:val="none" w:sz="0" w:space="0" w:color="auto"/>
        <w:bottom w:val="none" w:sz="0" w:space="0" w:color="auto"/>
        <w:right w:val="none" w:sz="0" w:space="0" w:color="auto"/>
      </w:divBdr>
    </w:div>
    <w:div w:id="1127621585">
      <w:bodyDiv w:val="1"/>
      <w:marLeft w:val="0"/>
      <w:marRight w:val="0"/>
      <w:marTop w:val="0"/>
      <w:marBottom w:val="0"/>
      <w:divBdr>
        <w:top w:val="none" w:sz="0" w:space="0" w:color="auto"/>
        <w:left w:val="none" w:sz="0" w:space="0" w:color="auto"/>
        <w:bottom w:val="none" w:sz="0" w:space="0" w:color="auto"/>
        <w:right w:val="none" w:sz="0" w:space="0" w:color="auto"/>
      </w:divBdr>
    </w:div>
    <w:div w:id="1180850623">
      <w:bodyDiv w:val="1"/>
      <w:marLeft w:val="0"/>
      <w:marRight w:val="0"/>
      <w:marTop w:val="0"/>
      <w:marBottom w:val="0"/>
      <w:divBdr>
        <w:top w:val="none" w:sz="0" w:space="0" w:color="auto"/>
        <w:left w:val="none" w:sz="0" w:space="0" w:color="auto"/>
        <w:bottom w:val="none" w:sz="0" w:space="0" w:color="auto"/>
        <w:right w:val="none" w:sz="0" w:space="0" w:color="auto"/>
      </w:divBdr>
    </w:div>
    <w:div w:id="1387222989">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536501084">
      <w:bodyDiv w:val="1"/>
      <w:marLeft w:val="0"/>
      <w:marRight w:val="0"/>
      <w:marTop w:val="0"/>
      <w:marBottom w:val="0"/>
      <w:divBdr>
        <w:top w:val="none" w:sz="0" w:space="0" w:color="auto"/>
        <w:left w:val="none" w:sz="0" w:space="0" w:color="auto"/>
        <w:bottom w:val="none" w:sz="0" w:space="0" w:color="auto"/>
        <w:right w:val="none" w:sz="0" w:space="0" w:color="auto"/>
      </w:divBdr>
    </w:div>
    <w:div w:id="1578897443">
      <w:bodyDiv w:val="1"/>
      <w:marLeft w:val="0"/>
      <w:marRight w:val="0"/>
      <w:marTop w:val="0"/>
      <w:marBottom w:val="0"/>
      <w:divBdr>
        <w:top w:val="none" w:sz="0" w:space="0" w:color="auto"/>
        <w:left w:val="none" w:sz="0" w:space="0" w:color="auto"/>
        <w:bottom w:val="none" w:sz="0" w:space="0" w:color="auto"/>
        <w:right w:val="none" w:sz="0" w:space="0" w:color="auto"/>
      </w:divBdr>
    </w:div>
    <w:div w:id="1737706184">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 w:id="1887519688">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 w:id="2041977381">
      <w:bodyDiv w:val="1"/>
      <w:marLeft w:val="0"/>
      <w:marRight w:val="0"/>
      <w:marTop w:val="0"/>
      <w:marBottom w:val="0"/>
      <w:divBdr>
        <w:top w:val="none" w:sz="0" w:space="0" w:color="auto"/>
        <w:left w:val="none" w:sz="0" w:space="0" w:color="auto"/>
        <w:bottom w:val="none" w:sz="0" w:space="0" w:color="auto"/>
        <w:right w:val="none" w:sz="0" w:space="0" w:color="auto"/>
      </w:divBdr>
    </w:div>
    <w:div w:id="2093890675">
      <w:bodyDiv w:val="1"/>
      <w:marLeft w:val="0"/>
      <w:marRight w:val="0"/>
      <w:marTop w:val="0"/>
      <w:marBottom w:val="0"/>
      <w:divBdr>
        <w:top w:val="none" w:sz="0" w:space="0" w:color="auto"/>
        <w:left w:val="none" w:sz="0" w:space="0" w:color="auto"/>
        <w:bottom w:val="none" w:sz="0" w:space="0" w:color="auto"/>
        <w:right w:val="none" w:sz="0" w:space="0" w:color="auto"/>
      </w:divBdr>
    </w:div>
    <w:div w:id="21060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data.london.gov.uk/london-employability-performance-ra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247CEC5D-8C8D-482A-B173-AA57913D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96254-FC80-4AAC-8A91-8481C19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7518</Words>
  <Characters>42859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50277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2016-05-18T12:24:00Z</cp:lastPrinted>
  <dcterms:created xsi:type="dcterms:W3CDTF">2016-06-10T09:26:00Z</dcterms:created>
  <dcterms:modified xsi:type="dcterms:W3CDTF">2016-06-10T09:26:00Z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