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77A96" w14:textId="77777777" w:rsidR="00573CFA" w:rsidRPr="00A754B5" w:rsidRDefault="00573CFA" w:rsidP="00AF6CE6">
      <w:pPr>
        <w:jc w:val="both"/>
        <w:rPr>
          <w:b/>
          <w:sz w:val="32"/>
          <w:szCs w:val="32"/>
        </w:rPr>
      </w:pPr>
      <w:bookmarkStart w:id="0" w:name="_GoBack"/>
      <w:bookmarkEnd w:id="0"/>
    </w:p>
    <w:p w14:paraId="34F6965F" w14:textId="77777777" w:rsidR="006B6632" w:rsidRDefault="006B6632" w:rsidP="00AF6CE6">
      <w:pPr>
        <w:pStyle w:val="Heading2"/>
        <w:jc w:val="both"/>
        <w:rPr>
          <w:b/>
          <w:color w:val="808080"/>
          <w:sz w:val="56"/>
        </w:rPr>
      </w:pPr>
    </w:p>
    <w:p w14:paraId="72F39818" w14:textId="77777777" w:rsidR="006B6632" w:rsidRPr="006B6632" w:rsidRDefault="006B6632" w:rsidP="00AF6CE6">
      <w:pPr>
        <w:jc w:val="both"/>
      </w:pPr>
    </w:p>
    <w:p w14:paraId="061ECBE8" w14:textId="77777777" w:rsidR="006B6632" w:rsidRDefault="006B6632" w:rsidP="00AF6CE6">
      <w:pPr>
        <w:jc w:val="both"/>
      </w:pPr>
    </w:p>
    <w:p w14:paraId="66812812" w14:textId="77777777" w:rsidR="006B6632" w:rsidRDefault="002F46D0" w:rsidP="00AF6CE6">
      <w:pPr>
        <w:jc w:val="both"/>
      </w:pPr>
      <w:r>
        <w:rPr>
          <w:noProof/>
        </w:rPr>
        <w:drawing>
          <wp:anchor distT="0" distB="0" distL="114300" distR="114300" simplePos="0" relativeHeight="251657728" behindDoc="1" locked="0" layoutInCell="1" allowOverlap="1" wp14:anchorId="7984FCB0" wp14:editId="7DDEE76A">
            <wp:simplePos x="0" y="0"/>
            <wp:positionH relativeFrom="page">
              <wp:posOffset>431800</wp:posOffset>
            </wp:positionH>
            <wp:positionV relativeFrom="page">
              <wp:posOffset>431800</wp:posOffset>
            </wp:positionV>
            <wp:extent cx="1800225" cy="1101725"/>
            <wp:effectExtent l="0" t="0" r="0" b="0"/>
            <wp:wrapNone/>
            <wp:docPr id="18" name="Picture 18" descr="HM Revenue and Custo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HM Revenue and Customs logo"/>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10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B1B80" w14:textId="77777777" w:rsidR="006B6632" w:rsidRDefault="006B6632" w:rsidP="00AF6CE6">
      <w:pPr>
        <w:jc w:val="both"/>
      </w:pPr>
    </w:p>
    <w:p w14:paraId="6D8AB29F" w14:textId="77777777" w:rsidR="006B6632" w:rsidRDefault="006B6632" w:rsidP="00AF6CE6">
      <w:pPr>
        <w:jc w:val="both"/>
      </w:pPr>
    </w:p>
    <w:p w14:paraId="7CF375A5" w14:textId="77777777" w:rsidR="006B6632" w:rsidRDefault="006B6632" w:rsidP="00AF6CE6">
      <w:pPr>
        <w:jc w:val="both"/>
      </w:pPr>
    </w:p>
    <w:p w14:paraId="22F52CC2" w14:textId="77777777" w:rsidR="006B6632" w:rsidRPr="006B6632" w:rsidRDefault="006B6632" w:rsidP="00AF6CE6">
      <w:pPr>
        <w:jc w:val="both"/>
      </w:pPr>
    </w:p>
    <w:p w14:paraId="32C2E505" w14:textId="77777777" w:rsidR="006B6632" w:rsidRPr="0030500B" w:rsidRDefault="000B4151" w:rsidP="00AF6CE6">
      <w:pPr>
        <w:pStyle w:val="Heading2"/>
        <w:jc w:val="both"/>
        <w:rPr>
          <w:b/>
          <w:bCs/>
          <w:color w:val="F3CB84"/>
          <w:spacing w:val="12"/>
          <w:position w:val="-10"/>
          <w:sz w:val="40"/>
          <w:szCs w:val="40"/>
        </w:rPr>
      </w:pPr>
      <w:r w:rsidRPr="0030500B">
        <w:rPr>
          <w:b/>
          <w:bCs/>
          <w:color w:val="F3CB84"/>
          <w:spacing w:val="12"/>
          <w:position w:val="-10"/>
          <w:sz w:val="40"/>
          <w:szCs w:val="40"/>
        </w:rPr>
        <w:t xml:space="preserve">Understanding </w:t>
      </w:r>
      <w:r w:rsidR="0030500B" w:rsidRPr="0030500B">
        <w:rPr>
          <w:b/>
          <w:bCs/>
          <w:color w:val="F3CB84"/>
          <w:spacing w:val="12"/>
          <w:position w:val="-10"/>
          <w:sz w:val="40"/>
          <w:szCs w:val="40"/>
        </w:rPr>
        <w:t>the Customer</w:t>
      </w:r>
    </w:p>
    <w:p w14:paraId="79D8C2C9" w14:textId="77777777" w:rsidR="00573CFA" w:rsidRPr="000B4151" w:rsidRDefault="00702421" w:rsidP="00AF6CE6">
      <w:pPr>
        <w:pStyle w:val="Heading2"/>
        <w:jc w:val="both"/>
        <w:rPr>
          <w:b/>
          <w:bCs/>
          <w:color w:val="7A0043"/>
          <w:sz w:val="84"/>
        </w:rPr>
      </w:pPr>
      <w:r>
        <w:rPr>
          <w:b/>
          <w:bCs/>
          <w:color w:val="7A0043"/>
          <w:sz w:val="84"/>
        </w:rPr>
        <w:t>Research</w:t>
      </w:r>
      <w:r w:rsidR="0002219C" w:rsidRPr="000B4151">
        <w:rPr>
          <w:b/>
          <w:bCs/>
          <w:color w:val="7A0043"/>
          <w:sz w:val="84"/>
        </w:rPr>
        <w:t xml:space="preserve"> brief</w:t>
      </w:r>
    </w:p>
    <w:p w14:paraId="0BB58E49" w14:textId="77777777" w:rsidR="00573CFA" w:rsidRDefault="00573CFA" w:rsidP="00AF6CE6">
      <w:pPr>
        <w:pStyle w:val="Header"/>
        <w:jc w:val="both"/>
      </w:pPr>
      <w:r>
        <w:tab/>
      </w:r>
      <w:r>
        <w:tab/>
      </w:r>
      <w:r>
        <w:tab/>
      </w:r>
    </w:p>
    <w:p w14:paraId="4F204456" w14:textId="77777777" w:rsidR="00573CFA" w:rsidRDefault="00573CFA" w:rsidP="00AF6CE6">
      <w:pPr>
        <w:jc w:val="both"/>
      </w:pPr>
    </w:p>
    <w:p w14:paraId="23EA6B77" w14:textId="77777777" w:rsidR="005901BA" w:rsidRPr="00631821" w:rsidRDefault="005901BA" w:rsidP="00AF6CE6">
      <w:pPr>
        <w:pStyle w:val="Header"/>
        <w:ind w:left="0"/>
        <w:jc w:val="both"/>
        <w:rPr>
          <w:sz w:val="48"/>
          <w:szCs w:val="48"/>
        </w:rPr>
      </w:pPr>
    </w:p>
    <w:p w14:paraId="7A891BC3" w14:textId="77777777" w:rsidR="00061407" w:rsidRDefault="007C1D15" w:rsidP="00631821">
      <w:pPr>
        <w:rPr>
          <w:rFonts w:cs="Arial"/>
          <w:b/>
          <w:i/>
          <w:sz w:val="48"/>
          <w:szCs w:val="48"/>
        </w:rPr>
      </w:pPr>
      <w:r>
        <w:rPr>
          <w:rFonts w:cs="Arial"/>
          <w:b/>
          <w:i/>
          <w:sz w:val="48"/>
          <w:szCs w:val="48"/>
        </w:rPr>
        <w:t>Usability Testing</w:t>
      </w:r>
      <w:r w:rsidR="00631821" w:rsidRPr="00631821">
        <w:rPr>
          <w:rFonts w:cs="Arial"/>
          <w:b/>
          <w:i/>
          <w:sz w:val="48"/>
          <w:szCs w:val="48"/>
        </w:rPr>
        <w:t xml:space="preserve"> </w:t>
      </w:r>
    </w:p>
    <w:p w14:paraId="73296DFF" w14:textId="78FB1287" w:rsidR="00631821" w:rsidRPr="00631821" w:rsidRDefault="007C1D15" w:rsidP="00631821">
      <w:pPr>
        <w:rPr>
          <w:rFonts w:cs="Arial"/>
          <w:b/>
          <w:i/>
          <w:sz w:val="48"/>
          <w:szCs w:val="48"/>
        </w:rPr>
      </w:pPr>
      <w:r>
        <w:rPr>
          <w:rFonts w:cs="Arial"/>
          <w:b/>
          <w:i/>
          <w:sz w:val="48"/>
          <w:szCs w:val="48"/>
        </w:rPr>
        <w:t>(</w:t>
      </w:r>
      <w:r w:rsidR="00631821" w:rsidRPr="00631821">
        <w:rPr>
          <w:rFonts w:cs="Arial"/>
          <w:b/>
          <w:i/>
          <w:sz w:val="48"/>
          <w:szCs w:val="48"/>
        </w:rPr>
        <w:t xml:space="preserve">customer requirements to support </w:t>
      </w:r>
      <w:r w:rsidR="00061407">
        <w:rPr>
          <w:rFonts w:cs="Arial"/>
          <w:b/>
          <w:i/>
          <w:sz w:val="48"/>
          <w:szCs w:val="48"/>
        </w:rPr>
        <w:t>In-year Finalisation of Tax Credits</w:t>
      </w:r>
      <w:r>
        <w:rPr>
          <w:rFonts w:cs="Arial"/>
          <w:b/>
          <w:i/>
          <w:sz w:val="48"/>
          <w:szCs w:val="48"/>
        </w:rPr>
        <w:t>)</w:t>
      </w:r>
    </w:p>
    <w:p w14:paraId="176DD191" w14:textId="77777777" w:rsidR="005901BA" w:rsidRPr="00A754B5" w:rsidRDefault="005901BA" w:rsidP="00AF6CE6">
      <w:pPr>
        <w:jc w:val="both"/>
        <w:rPr>
          <w:b/>
          <w:sz w:val="32"/>
          <w:szCs w:val="32"/>
        </w:rPr>
      </w:pPr>
    </w:p>
    <w:p w14:paraId="7A40BAE8" w14:textId="77777777" w:rsidR="00C64593" w:rsidRDefault="00C64593" w:rsidP="00AF6CE6">
      <w:pPr>
        <w:jc w:val="both"/>
        <w:rPr>
          <w:b/>
          <w:sz w:val="32"/>
          <w:szCs w:val="32"/>
        </w:rPr>
      </w:pPr>
    </w:p>
    <w:p w14:paraId="204F4B65" w14:textId="77777777" w:rsidR="00C64593" w:rsidRDefault="00C64593" w:rsidP="00AF6CE6">
      <w:pPr>
        <w:jc w:val="both"/>
        <w:rPr>
          <w:b/>
          <w:sz w:val="32"/>
          <w:szCs w:val="32"/>
        </w:rPr>
      </w:pPr>
    </w:p>
    <w:p w14:paraId="1D0C37F0" w14:textId="77777777" w:rsidR="00C64593" w:rsidRDefault="00C64593" w:rsidP="00AF6CE6">
      <w:pPr>
        <w:jc w:val="both"/>
        <w:rPr>
          <w:b/>
          <w:sz w:val="32"/>
          <w:szCs w:val="32"/>
        </w:rPr>
      </w:pPr>
    </w:p>
    <w:p w14:paraId="54808B75" w14:textId="77777777" w:rsidR="005901BA" w:rsidRPr="0002219C" w:rsidRDefault="005901BA" w:rsidP="00AF6CE6">
      <w:pPr>
        <w:jc w:val="both"/>
        <w:rPr>
          <w:b/>
          <w:sz w:val="32"/>
          <w:szCs w:val="32"/>
        </w:rPr>
      </w:pPr>
    </w:p>
    <w:p w14:paraId="6272DF9F" w14:textId="2D97C527" w:rsidR="005901BA" w:rsidRPr="0002219C" w:rsidRDefault="00061407" w:rsidP="00AF6CE6">
      <w:pPr>
        <w:jc w:val="both"/>
        <w:rPr>
          <w:b/>
          <w:sz w:val="32"/>
          <w:szCs w:val="32"/>
        </w:rPr>
      </w:pPr>
      <w:r>
        <w:rPr>
          <w:b/>
          <w:sz w:val="32"/>
          <w:szCs w:val="32"/>
        </w:rPr>
        <w:t>February</w:t>
      </w:r>
      <w:r w:rsidR="00142251">
        <w:rPr>
          <w:b/>
          <w:sz w:val="32"/>
          <w:szCs w:val="32"/>
        </w:rPr>
        <w:t xml:space="preserve"> 2015</w:t>
      </w:r>
    </w:p>
    <w:p w14:paraId="6BF9B89E" w14:textId="77777777" w:rsidR="005901BA" w:rsidRDefault="005901BA" w:rsidP="00AF6CE6">
      <w:pPr>
        <w:jc w:val="both"/>
        <w:rPr>
          <w:b/>
          <w:sz w:val="32"/>
          <w:szCs w:val="32"/>
        </w:rPr>
      </w:pPr>
    </w:p>
    <w:p w14:paraId="662C67C7" w14:textId="77777777" w:rsidR="005901BA" w:rsidRDefault="005901BA" w:rsidP="00AF6CE6">
      <w:pPr>
        <w:jc w:val="both"/>
        <w:rPr>
          <w:b/>
          <w:sz w:val="32"/>
          <w:szCs w:val="32"/>
        </w:rPr>
      </w:pPr>
    </w:p>
    <w:p w14:paraId="50962A2A" w14:textId="77777777" w:rsidR="005901BA" w:rsidRDefault="005901BA" w:rsidP="00AF6CE6">
      <w:pPr>
        <w:jc w:val="both"/>
        <w:rPr>
          <w:b/>
          <w:sz w:val="32"/>
          <w:szCs w:val="32"/>
        </w:rPr>
      </w:pPr>
    </w:p>
    <w:p w14:paraId="2BDC642D" w14:textId="77777777" w:rsidR="005901BA" w:rsidRDefault="005901BA" w:rsidP="00AF6CE6">
      <w:pPr>
        <w:jc w:val="both"/>
        <w:rPr>
          <w:b/>
          <w:sz w:val="32"/>
          <w:szCs w:val="32"/>
        </w:rPr>
      </w:pPr>
    </w:p>
    <w:p w14:paraId="40FBE0CC" w14:textId="77777777" w:rsidR="005901BA" w:rsidRDefault="005901BA" w:rsidP="00AF6CE6">
      <w:pPr>
        <w:ind w:left="0"/>
        <w:jc w:val="both"/>
        <w:sectPr w:rsidR="005901BA" w:rsidSect="005C77F2">
          <w:headerReference w:type="default" r:id="rId8"/>
          <w:footerReference w:type="default" r:id="rId9"/>
          <w:footerReference w:type="first" r:id="rId10"/>
          <w:pgSz w:w="12240" w:h="15840"/>
          <w:pgMar w:top="907" w:right="1134" w:bottom="1276" w:left="1134" w:header="567" w:footer="655" w:gutter="0"/>
          <w:cols w:space="720"/>
          <w:titlePg/>
        </w:sectPr>
      </w:pPr>
    </w:p>
    <w:p w14:paraId="19EBD2C5" w14:textId="77777777" w:rsidR="005901BA" w:rsidRDefault="005901BA" w:rsidP="00AF6CE6">
      <w:pPr>
        <w:ind w:left="0"/>
        <w:jc w:val="both"/>
      </w:pPr>
    </w:p>
    <w:p w14:paraId="07018F2F" w14:textId="77777777" w:rsidR="00356184" w:rsidRPr="00356184" w:rsidRDefault="00356184" w:rsidP="00356184">
      <w:pPr>
        <w:pStyle w:val="questions"/>
        <w:jc w:val="both"/>
        <w:rPr>
          <w:bCs/>
          <w:iCs/>
        </w:rPr>
      </w:pPr>
      <w:r w:rsidRPr="00356184">
        <w:rPr>
          <w:bCs/>
          <w:iCs/>
        </w:rPr>
        <w:t>Background, previous research, additional reading</w:t>
      </w:r>
    </w:p>
    <w:p w14:paraId="61DEB9B7" w14:textId="77777777" w:rsidR="00573CFA" w:rsidRDefault="00573CFA" w:rsidP="00AF6CE6">
      <w:pPr>
        <w:jc w:val="both"/>
      </w:pPr>
    </w:p>
    <w:p w14:paraId="0ABCB02F" w14:textId="6AC9A098" w:rsidR="00061407" w:rsidRDefault="00061407" w:rsidP="00061407">
      <w:pPr>
        <w:rPr>
          <w:rFonts w:cs="Arial"/>
          <w:color w:val="000000"/>
        </w:rPr>
      </w:pPr>
      <w:r>
        <w:rPr>
          <w:rFonts w:cs="Arial"/>
          <w:color w:val="000000"/>
        </w:rPr>
        <w:t>After the end of each tax year, a</w:t>
      </w:r>
      <w:r w:rsidRPr="0065299D">
        <w:rPr>
          <w:rFonts w:cs="Arial"/>
          <w:color w:val="000000"/>
        </w:rPr>
        <w:t xml:space="preserve">round 4 million customers </w:t>
      </w:r>
      <w:r>
        <w:rPr>
          <w:rFonts w:cs="Arial"/>
          <w:color w:val="000000"/>
        </w:rPr>
        <w:t xml:space="preserve">have to finalise their Tax Credits award and most of these also renew their claim for the current year. </w:t>
      </w:r>
      <w:r w:rsidRPr="0065299D">
        <w:rPr>
          <w:rFonts w:cs="Arial"/>
          <w:color w:val="000000"/>
        </w:rPr>
        <w:t xml:space="preserve"> </w:t>
      </w:r>
      <w:r>
        <w:rPr>
          <w:rFonts w:cs="Arial"/>
          <w:color w:val="000000"/>
        </w:rPr>
        <w:t>From April 2013, DWP started to accept a very limited number of claims to Universal Credit</w:t>
      </w:r>
      <w:r w:rsidR="00F9042B">
        <w:rPr>
          <w:rFonts w:cs="Arial"/>
          <w:color w:val="000000"/>
        </w:rPr>
        <w:t xml:space="preserve"> (UC) and these customers are not</w:t>
      </w:r>
      <w:r>
        <w:rPr>
          <w:rFonts w:cs="Arial"/>
          <w:color w:val="000000"/>
        </w:rPr>
        <w:t xml:space="preserve"> entitled to Tax Credits for the same period. The numbers moving to Universal Credit have steadily increased but remain very low. This will change over the next few years as DWP open up the UC gateway to more geographical areas and for a broader range of personal circumstances. </w:t>
      </w:r>
    </w:p>
    <w:p w14:paraId="03BFBAEB" w14:textId="77777777" w:rsidR="00061407" w:rsidRDefault="00061407" w:rsidP="00061407">
      <w:pPr>
        <w:rPr>
          <w:rFonts w:cs="Arial"/>
          <w:color w:val="000000"/>
        </w:rPr>
      </w:pPr>
    </w:p>
    <w:p w14:paraId="6D72738E" w14:textId="4FD61786" w:rsidR="00061407" w:rsidRDefault="00061407" w:rsidP="00061407">
      <w:pPr>
        <w:rPr>
          <w:rFonts w:cs="Arial"/>
          <w:color w:val="000000"/>
        </w:rPr>
      </w:pPr>
      <w:r>
        <w:rPr>
          <w:rFonts w:cs="Arial"/>
          <w:color w:val="000000"/>
        </w:rPr>
        <w:t>Until October 201</w:t>
      </w:r>
      <w:r w:rsidR="005646CA">
        <w:rPr>
          <w:rFonts w:cs="Arial"/>
          <w:color w:val="000000"/>
        </w:rPr>
        <w:t>4</w:t>
      </w:r>
      <w:r>
        <w:rPr>
          <w:rFonts w:cs="Arial"/>
          <w:color w:val="000000"/>
        </w:rPr>
        <w:t xml:space="preserve">, customers moving to UC were still required to wait until after the end of the tax year to finalise their part year award. The notes products TC603RD and TC603R were sent to these customers as part of their renewal pack in the same way as for customers not moving to UC. From October 2014, HMRC introduced a process whereby (most) customers moving to UC would be required to in-year finalise their Tax Credits award, rather than waiting until after the end of the year. This allowed customers to have, as far as possible, a 'clean break' from Tax Credits. </w:t>
      </w:r>
    </w:p>
    <w:p w14:paraId="5AC7F28A" w14:textId="77777777" w:rsidR="00061407" w:rsidRDefault="00061407" w:rsidP="00061407">
      <w:pPr>
        <w:rPr>
          <w:rFonts w:cs="Arial"/>
          <w:color w:val="000000"/>
        </w:rPr>
      </w:pPr>
    </w:p>
    <w:p w14:paraId="43B07DF6" w14:textId="3F74D165" w:rsidR="00061407" w:rsidRPr="0065299D" w:rsidRDefault="00061407" w:rsidP="00061407">
      <w:pPr>
        <w:rPr>
          <w:rFonts w:cs="Arial"/>
          <w:color w:val="000000"/>
        </w:rPr>
      </w:pPr>
      <w:r>
        <w:rPr>
          <w:rFonts w:cs="Arial"/>
          <w:color w:val="000000"/>
        </w:rPr>
        <w:t>To support them with this process, t</w:t>
      </w:r>
      <w:r w:rsidRPr="0065299D">
        <w:rPr>
          <w:rFonts w:cs="Arial"/>
          <w:color w:val="000000"/>
        </w:rPr>
        <w:t xml:space="preserve">he </w:t>
      </w:r>
      <w:r>
        <w:rPr>
          <w:rFonts w:cs="Arial"/>
          <w:color w:val="000000"/>
        </w:rPr>
        <w:t>‘</w:t>
      </w:r>
      <w:r w:rsidRPr="0065299D">
        <w:rPr>
          <w:rFonts w:cs="Arial"/>
          <w:color w:val="000000"/>
        </w:rPr>
        <w:t>reply required</w:t>
      </w:r>
      <w:r>
        <w:rPr>
          <w:rFonts w:cs="Arial"/>
          <w:color w:val="000000"/>
        </w:rPr>
        <w:t>’ in-year finalisation</w:t>
      </w:r>
      <w:r w:rsidRPr="0065299D">
        <w:rPr>
          <w:rFonts w:cs="Arial"/>
          <w:color w:val="000000"/>
        </w:rPr>
        <w:t xml:space="preserve"> pack include</w:t>
      </w:r>
      <w:r>
        <w:rPr>
          <w:rFonts w:cs="Arial"/>
          <w:color w:val="000000"/>
        </w:rPr>
        <w:t>s</w:t>
      </w:r>
      <w:r w:rsidRPr="0065299D">
        <w:rPr>
          <w:rFonts w:cs="Arial"/>
          <w:color w:val="000000"/>
        </w:rPr>
        <w:t xml:space="preserve"> a notes product - the TC603</w:t>
      </w:r>
      <w:r>
        <w:rPr>
          <w:rFonts w:cs="Arial"/>
          <w:color w:val="000000"/>
        </w:rPr>
        <w:t>U</w:t>
      </w:r>
      <w:r w:rsidRPr="0065299D">
        <w:rPr>
          <w:rFonts w:cs="Arial"/>
          <w:color w:val="000000"/>
        </w:rPr>
        <w:t xml:space="preserve">RD - to help customers check the information played back to them for </w:t>
      </w:r>
      <w:r>
        <w:rPr>
          <w:rFonts w:cs="Arial"/>
          <w:color w:val="000000"/>
        </w:rPr>
        <w:t>the part</w:t>
      </w:r>
      <w:r w:rsidR="00F0328B">
        <w:rPr>
          <w:rFonts w:cs="Arial"/>
          <w:color w:val="000000"/>
        </w:rPr>
        <w:t>-</w:t>
      </w:r>
      <w:r>
        <w:rPr>
          <w:rFonts w:cs="Arial"/>
          <w:color w:val="000000"/>
        </w:rPr>
        <w:t>year</w:t>
      </w:r>
      <w:r w:rsidRPr="0065299D">
        <w:rPr>
          <w:rFonts w:cs="Arial"/>
          <w:color w:val="000000"/>
        </w:rPr>
        <w:t xml:space="preserve">, </w:t>
      </w:r>
      <w:r>
        <w:rPr>
          <w:rFonts w:cs="Arial"/>
          <w:color w:val="000000"/>
        </w:rPr>
        <w:t>tell us about</w:t>
      </w:r>
      <w:r w:rsidRPr="0065299D">
        <w:rPr>
          <w:rFonts w:cs="Arial"/>
          <w:color w:val="000000"/>
        </w:rPr>
        <w:t xml:space="preserve"> any changes that need to be taken into account and to report </w:t>
      </w:r>
      <w:r>
        <w:rPr>
          <w:rFonts w:cs="Arial"/>
          <w:color w:val="000000"/>
        </w:rPr>
        <w:t>their income for the part</w:t>
      </w:r>
      <w:r w:rsidR="00F0328B">
        <w:rPr>
          <w:rFonts w:cs="Arial"/>
          <w:color w:val="000000"/>
        </w:rPr>
        <w:t>-</w:t>
      </w:r>
      <w:r>
        <w:rPr>
          <w:rFonts w:cs="Arial"/>
          <w:color w:val="000000"/>
        </w:rPr>
        <w:t>year.</w:t>
      </w:r>
      <w:r w:rsidRPr="0065299D">
        <w:rPr>
          <w:rFonts w:cs="Arial"/>
          <w:color w:val="000000"/>
        </w:rPr>
        <w:t xml:space="preserve"> The </w:t>
      </w:r>
      <w:r>
        <w:rPr>
          <w:rFonts w:cs="Arial"/>
          <w:color w:val="000000"/>
        </w:rPr>
        <w:t>‘</w:t>
      </w:r>
      <w:r w:rsidRPr="0065299D">
        <w:rPr>
          <w:rFonts w:cs="Arial"/>
          <w:color w:val="000000"/>
        </w:rPr>
        <w:t>no reply required</w:t>
      </w:r>
      <w:r>
        <w:rPr>
          <w:rFonts w:cs="Arial"/>
          <w:color w:val="000000"/>
        </w:rPr>
        <w:t>’</w:t>
      </w:r>
      <w:r w:rsidRPr="0065299D">
        <w:rPr>
          <w:rFonts w:cs="Arial"/>
          <w:color w:val="000000"/>
        </w:rPr>
        <w:t xml:space="preserve"> pack include</w:t>
      </w:r>
      <w:r w:rsidR="005646CA">
        <w:rPr>
          <w:rFonts w:cs="Arial"/>
          <w:color w:val="000000"/>
        </w:rPr>
        <w:t>s</w:t>
      </w:r>
      <w:r w:rsidRPr="0065299D">
        <w:rPr>
          <w:rFonts w:cs="Arial"/>
          <w:color w:val="000000"/>
        </w:rPr>
        <w:t xml:space="preserve"> a notes product - the TC603</w:t>
      </w:r>
      <w:r>
        <w:rPr>
          <w:rFonts w:cs="Arial"/>
          <w:color w:val="000000"/>
        </w:rPr>
        <w:t>U</w:t>
      </w:r>
      <w:r w:rsidRPr="0065299D">
        <w:rPr>
          <w:rFonts w:cs="Arial"/>
          <w:color w:val="000000"/>
        </w:rPr>
        <w:t>R - to help customers check the information</w:t>
      </w:r>
      <w:r w:rsidR="00F0328B">
        <w:rPr>
          <w:rFonts w:cs="Arial"/>
          <w:color w:val="000000"/>
        </w:rPr>
        <w:t>,</w:t>
      </w:r>
      <w:r w:rsidRPr="0065299D">
        <w:rPr>
          <w:rFonts w:cs="Arial"/>
          <w:color w:val="000000"/>
        </w:rPr>
        <w:t xml:space="preserve"> but if there are no changes, they are not required to make a declaration and we would also wish to avoid unnecessary, low-value contact.</w:t>
      </w:r>
    </w:p>
    <w:p w14:paraId="64DD1A6F" w14:textId="77777777" w:rsidR="00061407" w:rsidRPr="0065299D" w:rsidRDefault="00061407" w:rsidP="00061407">
      <w:pPr>
        <w:rPr>
          <w:rFonts w:cs="Arial"/>
          <w:color w:val="000000"/>
        </w:rPr>
      </w:pPr>
    </w:p>
    <w:p w14:paraId="114C0CE3" w14:textId="0B8FFDDF" w:rsidR="00061407" w:rsidRPr="0065299D" w:rsidRDefault="00061407" w:rsidP="00061407">
      <w:pPr>
        <w:rPr>
          <w:rFonts w:cs="Arial"/>
          <w:color w:val="000000"/>
        </w:rPr>
      </w:pPr>
      <w:r w:rsidRPr="0065299D">
        <w:rPr>
          <w:rFonts w:cs="Arial"/>
          <w:color w:val="000000"/>
        </w:rPr>
        <w:t>The circumstances and income details to be reported can be complex and so the 'notes' products need to be sufficiently detailed to cover such circumstances, but must also minimise the potential for customers to become diverted or confused by content that is not relev</w:t>
      </w:r>
      <w:r>
        <w:rPr>
          <w:rFonts w:cs="Arial"/>
          <w:color w:val="000000"/>
        </w:rPr>
        <w:t>a</w:t>
      </w:r>
      <w:r w:rsidRPr="0065299D">
        <w:rPr>
          <w:rFonts w:cs="Arial"/>
          <w:color w:val="000000"/>
        </w:rPr>
        <w:t>nt to them personally.</w:t>
      </w:r>
    </w:p>
    <w:p w14:paraId="2D971DE8" w14:textId="77777777" w:rsidR="00061407" w:rsidRPr="0065299D" w:rsidRDefault="00061407" w:rsidP="00061407">
      <w:pPr>
        <w:rPr>
          <w:rFonts w:cs="Arial"/>
          <w:color w:val="000000"/>
        </w:rPr>
      </w:pPr>
    </w:p>
    <w:p w14:paraId="2CD2601B" w14:textId="77777777" w:rsidR="00F0328B" w:rsidRDefault="00061407" w:rsidP="00061407">
      <w:pPr>
        <w:rPr>
          <w:rFonts w:cs="Arial"/>
          <w:color w:val="000000"/>
        </w:rPr>
      </w:pPr>
      <w:r w:rsidRPr="0065299D">
        <w:rPr>
          <w:rFonts w:cs="Arial"/>
          <w:color w:val="000000"/>
        </w:rPr>
        <w:t xml:space="preserve">If the content is unclear or confusing, the customer is likely to make contact with us via more costly and time consuming channels. </w:t>
      </w:r>
    </w:p>
    <w:p w14:paraId="19632506" w14:textId="1DBDACEC" w:rsidR="00061407" w:rsidRPr="0065299D" w:rsidRDefault="00061407" w:rsidP="00061407">
      <w:pPr>
        <w:rPr>
          <w:rFonts w:cs="Arial"/>
          <w:color w:val="000000"/>
        </w:rPr>
      </w:pPr>
      <w:r w:rsidRPr="0065299D">
        <w:rPr>
          <w:rFonts w:cs="Arial"/>
          <w:color w:val="000000"/>
        </w:rPr>
        <w:t xml:space="preserve"> </w:t>
      </w:r>
    </w:p>
    <w:p w14:paraId="398134C6" w14:textId="38825B29" w:rsidR="00F0328B" w:rsidRDefault="00F0328B" w:rsidP="00F0328B">
      <w:pPr>
        <w:rPr>
          <w:rFonts w:cs="Arial"/>
          <w:color w:val="000000"/>
        </w:rPr>
      </w:pPr>
      <w:r w:rsidRPr="0065299D">
        <w:rPr>
          <w:rFonts w:cs="Arial"/>
          <w:color w:val="000000"/>
        </w:rPr>
        <w:t xml:space="preserve">Ipsos Mori were engaged within an existing call-off contract to carry out usability testing with customers on </w:t>
      </w:r>
      <w:r>
        <w:rPr>
          <w:rFonts w:cs="Arial"/>
          <w:color w:val="000000"/>
        </w:rPr>
        <w:t xml:space="preserve">two successive </w:t>
      </w:r>
      <w:r w:rsidRPr="0065299D">
        <w:rPr>
          <w:rFonts w:cs="Arial"/>
          <w:color w:val="000000"/>
        </w:rPr>
        <w:t>versions of the</w:t>
      </w:r>
      <w:r>
        <w:rPr>
          <w:rFonts w:cs="Arial"/>
          <w:color w:val="000000"/>
        </w:rPr>
        <w:t xml:space="preserve"> </w:t>
      </w:r>
      <w:r w:rsidRPr="0065299D">
        <w:rPr>
          <w:rFonts w:cs="Arial"/>
          <w:color w:val="000000"/>
        </w:rPr>
        <w:t xml:space="preserve">2015 </w:t>
      </w:r>
      <w:r>
        <w:rPr>
          <w:rFonts w:cs="Arial"/>
          <w:color w:val="000000"/>
        </w:rPr>
        <w:t xml:space="preserve">Renewal </w:t>
      </w:r>
      <w:r w:rsidRPr="0065299D">
        <w:rPr>
          <w:rFonts w:cs="Arial"/>
          <w:color w:val="000000"/>
        </w:rPr>
        <w:t>notes</w:t>
      </w:r>
      <w:r>
        <w:rPr>
          <w:rFonts w:cs="Arial"/>
          <w:color w:val="000000"/>
        </w:rPr>
        <w:t xml:space="preserve">. We would now like to engage </w:t>
      </w:r>
      <w:r w:rsidR="006816A9">
        <w:rPr>
          <w:rFonts w:cs="Arial"/>
          <w:color w:val="000000"/>
        </w:rPr>
        <w:t>you</w:t>
      </w:r>
      <w:r w:rsidRPr="0065299D">
        <w:rPr>
          <w:rFonts w:cs="Arial"/>
          <w:color w:val="000000"/>
        </w:rPr>
        <w:t xml:space="preserve"> to carry out qualitative research with Tax Credit claimants to assess the effectiveness of the</w:t>
      </w:r>
      <w:r>
        <w:rPr>
          <w:rFonts w:cs="Arial"/>
          <w:color w:val="000000"/>
        </w:rPr>
        <w:t xml:space="preserve"> T</w:t>
      </w:r>
      <w:r w:rsidRPr="0065299D">
        <w:rPr>
          <w:rFonts w:cs="Arial"/>
          <w:color w:val="000000"/>
        </w:rPr>
        <w:t>C603</w:t>
      </w:r>
      <w:r>
        <w:rPr>
          <w:rFonts w:cs="Arial"/>
          <w:color w:val="000000"/>
        </w:rPr>
        <w:t>U</w:t>
      </w:r>
      <w:r w:rsidRPr="0065299D">
        <w:rPr>
          <w:rFonts w:cs="Arial"/>
          <w:color w:val="000000"/>
        </w:rPr>
        <w:t>RD</w:t>
      </w:r>
      <w:r>
        <w:rPr>
          <w:rFonts w:cs="Arial"/>
          <w:color w:val="000000"/>
        </w:rPr>
        <w:t xml:space="preserve"> and TC603U</w:t>
      </w:r>
      <w:r w:rsidRPr="0065299D">
        <w:rPr>
          <w:rFonts w:cs="Arial"/>
          <w:color w:val="000000"/>
        </w:rPr>
        <w:t>R notes</w:t>
      </w:r>
      <w:r>
        <w:rPr>
          <w:rFonts w:cs="Arial"/>
          <w:color w:val="000000"/>
        </w:rPr>
        <w:t>.</w:t>
      </w:r>
      <w:r w:rsidRPr="0065299D">
        <w:rPr>
          <w:rFonts w:cs="Arial"/>
          <w:color w:val="000000"/>
        </w:rPr>
        <w:t xml:space="preserve"> </w:t>
      </w:r>
      <w:r>
        <w:rPr>
          <w:rFonts w:cs="Arial"/>
          <w:color w:val="000000"/>
        </w:rPr>
        <w:t>Th</w:t>
      </w:r>
      <w:r w:rsidR="006816A9">
        <w:rPr>
          <w:rFonts w:cs="Arial"/>
          <w:color w:val="000000"/>
        </w:rPr>
        <w:t xml:space="preserve">is </w:t>
      </w:r>
      <w:r>
        <w:rPr>
          <w:rFonts w:cs="Arial"/>
          <w:color w:val="000000"/>
        </w:rPr>
        <w:t>research for the In-Year finalisation notes is likely to follow a simi</w:t>
      </w:r>
      <w:r w:rsidR="005646CA">
        <w:rPr>
          <w:rFonts w:cs="Arial"/>
          <w:color w:val="000000"/>
        </w:rPr>
        <w:t>lar structure and requirements as the previous tests.</w:t>
      </w:r>
    </w:p>
    <w:p w14:paraId="0B90258F" w14:textId="77777777" w:rsidR="00061407" w:rsidRPr="0065299D" w:rsidRDefault="00061407" w:rsidP="00061407">
      <w:pPr>
        <w:rPr>
          <w:rFonts w:cs="Arial"/>
          <w:color w:val="000000"/>
        </w:rPr>
      </w:pPr>
    </w:p>
    <w:p w14:paraId="60CD29AC" w14:textId="77BB079F" w:rsidR="00061407" w:rsidRPr="0065299D" w:rsidRDefault="00061407" w:rsidP="00061407">
      <w:pPr>
        <w:rPr>
          <w:rFonts w:cs="Arial"/>
          <w:color w:val="000000"/>
        </w:rPr>
      </w:pPr>
      <w:r>
        <w:rPr>
          <w:rFonts w:cs="Arial"/>
          <w:color w:val="000000"/>
        </w:rPr>
        <w:t>There are, however, additional complexities in what we are asking customers to do</w:t>
      </w:r>
      <w:r w:rsidR="005646CA">
        <w:rPr>
          <w:rFonts w:cs="Arial"/>
          <w:color w:val="000000"/>
        </w:rPr>
        <w:t>. Explai</w:t>
      </w:r>
      <w:r>
        <w:rPr>
          <w:rFonts w:cs="Arial"/>
          <w:color w:val="000000"/>
        </w:rPr>
        <w:t xml:space="preserve">ning these in the notes in a way that is easy for the customer to understand presents additional challenges. In essence, customers are required to check and declare their </w:t>
      </w:r>
      <w:r>
        <w:rPr>
          <w:rFonts w:cs="Arial"/>
          <w:color w:val="000000"/>
        </w:rPr>
        <w:lastRenderedPageBreak/>
        <w:t>income for the part</w:t>
      </w:r>
      <w:r w:rsidR="00F0328B">
        <w:rPr>
          <w:rFonts w:cs="Arial"/>
          <w:color w:val="000000"/>
        </w:rPr>
        <w:t>-</w:t>
      </w:r>
      <w:r>
        <w:rPr>
          <w:rFonts w:cs="Arial"/>
          <w:color w:val="000000"/>
        </w:rPr>
        <w:t xml:space="preserve">year period, at a time when the evidence normally used to help them do this after the year end, is not available.   </w:t>
      </w:r>
      <w:r w:rsidRPr="0065299D">
        <w:rPr>
          <w:rFonts w:cs="Arial"/>
          <w:color w:val="000000"/>
        </w:rPr>
        <w:t xml:space="preserve"> </w:t>
      </w:r>
    </w:p>
    <w:p w14:paraId="39C49F53" w14:textId="77777777" w:rsidR="00061407" w:rsidRPr="0065299D" w:rsidRDefault="00061407" w:rsidP="00061407">
      <w:pPr>
        <w:rPr>
          <w:rFonts w:cs="Arial"/>
          <w:color w:val="000000"/>
        </w:rPr>
      </w:pPr>
    </w:p>
    <w:p w14:paraId="09108B02" w14:textId="77777777" w:rsidR="00A962AD" w:rsidRDefault="00061407" w:rsidP="00061407">
      <w:pPr>
        <w:rPr>
          <w:rFonts w:cs="Arial"/>
          <w:color w:val="000000"/>
        </w:rPr>
      </w:pPr>
      <w:r w:rsidRPr="0065299D">
        <w:rPr>
          <w:rFonts w:cs="Arial"/>
          <w:color w:val="000000"/>
        </w:rPr>
        <w:t xml:space="preserve">Where the research identifies the notes to be ineffective or insufficient to provide customers with clear guidance on how to </w:t>
      </w:r>
      <w:r>
        <w:rPr>
          <w:rFonts w:cs="Arial"/>
          <w:color w:val="000000"/>
        </w:rPr>
        <w:t>finalise their award in-year</w:t>
      </w:r>
      <w:r w:rsidRPr="0065299D">
        <w:rPr>
          <w:rFonts w:cs="Arial"/>
          <w:color w:val="000000"/>
        </w:rPr>
        <w:t xml:space="preserve">, we require </w:t>
      </w:r>
      <w:r>
        <w:rPr>
          <w:rFonts w:cs="Arial"/>
          <w:color w:val="000000"/>
        </w:rPr>
        <w:t>you</w:t>
      </w:r>
      <w:r w:rsidRPr="0065299D">
        <w:rPr>
          <w:rFonts w:cs="Arial"/>
          <w:color w:val="000000"/>
        </w:rPr>
        <w:t xml:space="preserve"> to make recommendations for resolving the problems identified. </w:t>
      </w:r>
    </w:p>
    <w:p w14:paraId="65E2A5A4" w14:textId="77777777" w:rsidR="00A962AD" w:rsidRDefault="00A962AD" w:rsidP="00061407">
      <w:pPr>
        <w:rPr>
          <w:rFonts w:cs="Arial"/>
          <w:color w:val="000000"/>
        </w:rPr>
      </w:pPr>
    </w:p>
    <w:p w14:paraId="3F066495" w14:textId="2177D04D" w:rsidR="00061407" w:rsidRPr="0065299D" w:rsidRDefault="00A962AD" w:rsidP="00061407">
      <w:pPr>
        <w:rPr>
          <w:rFonts w:cs="Arial"/>
          <w:color w:val="000000"/>
        </w:rPr>
      </w:pPr>
      <w:r>
        <w:rPr>
          <w:rFonts w:cs="Arial"/>
          <w:color w:val="000000"/>
        </w:rPr>
        <w:t>There will be no facility for customers to use an online channel</w:t>
      </w:r>
      <w:r w:rsidR="005E2B70">
        <w:rPr>
          <w:rFonts w:cs="Arial"/>
          <w:color w:val="000000"/>
        </w:rPr>
        <w:t xml:space="preserve"> to finalise their award in-year.</w:t>
      </w:r>
    </w:p>
    <w:p w14:paraId="734D7980" w14:textId="77777777" w:rsidR="00061407" w:rsidRPr="0065299D" w:rsidRDefault="00061407" w:rsidP="00061407">
      <w:pPr>
        <w:rPr>
          <w:rFonts w:cs="Arial"/>
          <w:color w:val="000000"/>
        </w:rPr>
      </w:pPr>
    </w:p>
    <w:p w14:paraId="1B860496" w14:textId="0C7ECFB3" w:rsidR="00061407" w:rsidRPr="0065299D" w:rsidRDefault="00061407" w:rsidP="00061407">
      <w:pPr>
        <w:rPr>
          <w:rFonts w:cs="Arial"/>
          <w:color w:val="000000"/>
        </w:rPr>
      </w:pPr>
      <w:r w:rsidRPr="0065299D">
        <w:rPr>
          <w:rFonts w:cs="Arial"/>
          <w:color w:val="000000"/>
        </w:rPr>
        <w:t>The TC603</w:t>
      </w:r>
      <w:r>
        <w:rPr>
          <w:rFonts w:cs="Arial"/>
          <w:color w:val="000000"/>
        </w:rPr>
        <w:t xml:space="preserve">URD/UR </w:t>
      </w:r>
      <w:r w:rsidRPr="0065299D">
        <w:rPr>
          <w:rFonts w:cs="Arial"/>
          <w:color w:val="000000"/>
        </w:rPr>
        <w:t xml:space="preserve">notes are being </w:t>
      </w:r>
      <w:r>
        <w:rPr>
          <w:rFonts w:cs="Arial"/>
          <w:color w:val="000000"/>
        </w:rPr>
        <w:t>re</w:t>
      </w:r>
      <w:r w:rsidRPr="0065299D">
        <w:rPr>
          <w:rFonts w:cs="Arial"/>
          <w:color w:val="000000"/>
        </w:rPr>
        <w:t xml:space="preserve">designed to support customers through the </w:t>
      </w:r>
      <w:r>
        <w:rPr>
          <w:rFonts w:cs="Arial"/>
          <w:color w:val="000000"/>
        </w:rPr>
        <w:t>in-year finalisation process from August 2015</w:t>
      </w:r>
      <w:r w:rsidR="005646CA">
        <w:rPr>
          <w:rFonts w:cs="Arial"/>
          <w:color w:val="000000"/>
        </w:rPr>
        <w:t>. The current versions omit guidance on some of the areas we</w:t>
      </w:r>
      <w:r w:rsidR="005E2B70">
        <w:rPr>
          <w:rFonts w:cs="Arial"/>
          <w:color w:val="000000"/>
        </w:rPr>
        <w:t xml:space="preserve"> now</w:t>
      </w:r>
      <w:r w:rsidR="005646CA">
        <w:rPr>
          <w:rFonts w:cs="Arial"/>
          <w:color w:val="000000"/>
        </w:rPr>
        <w:t xml:space="preserve"> need to include, directing customers to call our helpline for further information. </w:t>
      </w:r>
      <w:r w:rsidRPr="0065299D">
        <w:rPr>
          <w:rFonts w:cs="Arial"/>
          <w:color w:val="000000"/>
        </w:rPr>
        <w:t xml:space="preserve"> </w:t>
      </w:r>
      <w:r w:rsidR="009B13A5">
        <w:rPr>
          <w:rFonts w:cs="Arial"/>
          <w:color w:val="000000"/>
        </w:rPr>
        <w:t xml:space="preserve">We aim for customers to be able to complete the process </w:t>
      </w:r>
      <w:r w:rsidR="005646CA" w:rsidRPr="0065299D">
        <w:rPr>
          <w:rFonts w:cs="Arial"/>
          <w:color w:val="000000"/>
        </w:rPr>
        <w:t>with the minimum of confusion, inaccuracy and low value contact a</w:t>
      </w:r>
      <w:r w:rsidR="005646CA">
        <w:rPr>
          <w:rFonts w:cs="Arial"/>
          <w:color w:val="000000"/>
        </w:rPr>
        <w:t xml:space="preserve">nd we expect this </w:t>
      </w:r>
      <w:r w:rsidR="005646CA" w:rsidRPr="0065299D">
        <w:rPr>
          <w:rFonts w:cs="Arial"/>
          <w:color w:val="000000"/>
        </w:rPr>
        <w:t xml:space="preserve">qualitative research </w:t>
      </w:r>
      <w:r w:rsidR="005646CA">
        <w:rPr>
          <w:rFonts w:cs="Arial"/>
          <w:color w:val="000000"/>
        </w:rPr>
        <w:t xml:space="preserve">to help us ensure that the products </w:t>
      </w:r>
      <w:r w:rsidR="005646CA" w:rsidRPr="0065299D">
        <w:rPr>
          <w:rFonts w:cs="Arial"/>
          <w:color w:val="000000"/>
        </w:rPr>
        <w:t>achieve that aim.</w:t>
      </w:r>
      <w:r w:rsidRPr="0065299D">
        <w:rPr>
          <w:rFonts w:cs="Arial"/>
          <w:color w:val="000000"/>
        </w:rPr>
        <w:t xml:space="preserve">  </w:t>
      </w:r>
    </w:p>
    <w:p w14:paraId="6B2BE197" w14:textId="77777777" w:rsidR="00ED1F5E" w:rsidRDefault="00ED1F5E" w:rsidP="005D20D8">
      <w:pPr>
        <w:rPr>
          <w:rFonts w:cs="Arial"/>
          <w:color w:val="2F5496"/>
          <w:szCs w:val="24"/>
        </w:rPr>
      </w:pPr>
    </w:p>
    <w:p w14:paraId="4D5B0161" w14:textId="77777777" w:rsidR="009B13A5" w:rsidRDefault="006816A9" w:rsidP="005D20D8">
      <w:pPr>
        <w:rPr>
          <w:rFonts w:cs="Arial"/>
          <w:szCs w:val="24"/>
        </w:rPr>
      </w:pPr>
      <w:r w:rsidRPr="006816A9">
        <w:rPr>
          <w:rFonts w:cs="Arial"/>
          <w:szCs w:val="24"/>
        </w:rPr>
        <w:t xml:space="preserve">There is currently very little specific guidance on GOV.uk to help customers with in-year finalisation, </w:t>
      </w:r>
      <w:r w:rsidR="009B13A5">
        <w:rPr>
          <w:rFonts w:cs="Arial"/>
          <w:szCs w:val="24"/>
        </w:rPr>
        <w:t xml:space="preserve">and we plan to address that as part of our project to improve guidance for customers. The notes will refer to web content for further information, which may not be currently available and is not included in this research. </w:t>
      </w:r>
    </w:p>
    <w:p w14:paraId="311C02F9" w14:textId="77777777" w:rsidR="009B13A5" w:rsidRDefault="009B13A5" w:rsidP="005D20D8">
      <w:pPr>
        <w:rPr>
          <w:rFonts w:cs="Arial"/>
          <w:szCs w:val="24"/>
        </w:rPr>
      </w:pPr>
    </w:p>
    <w:p w14:paraId="4C194B8C" w14:textId="257E71E4" w:rsidR="006816A9" w:rsidRPr="006816A9" w:rsidRDefault="009B13A5" w:rsidP="005D20D8">
      <w:pPr>
        <w:rPr>
          <w:rFonts w:cs="Arial"/>
          <w:szCs w:val="24"/>
        </w:rPr>
      </w:pPr>
      <w:r>
        <w:rPr>
          <w:rFonts w:cs="Arial"/>
          <w:szCs w:val="24"/>
        </w:rPr>
        <w:t>You</w:t>
      </w:r>
      <w:r w:rsidR="006816A9" w:rsidRPr="006816A9">
        <w:rPr>
          <w:rFonts w:cs="Arial"/>
          <w:szCs w:val="24"/>
        </w:rPr>
        <w:t xml:space="preserve"> may</w:t>
      </w:r>
      <w:r>
        <w:rPr>
          <w:rFonts w:cs="Arial"/>
          <w:szCs w:val="24"/>
        </w:rPr>
        <w:t xml:space="preserve">, however, </w:t>
      </w:r>
      <w:r w:rsidR="006816A9" w:rsidRPr="006816A9">
        <w:rPr>
          <w:rFonts w:cs="Arial"/>
          <w:szCs w:val="24"/>
        </w:rPr>
        <w:t xml:space="preserve">wish to use the following sources to fully understand the background to what we will be asking customers to do: </w:t>
      </w:r>
    </w:p>
    <w:p w14:paraId="4890D9CF" w14:textId="77777777" w:rsidR="006816A9" w:rsidRPr="006816A9" w:rsidRDefault="006816A9" w:rsidP="005D20D8">
      <w:pPr>
        <w:rPr>
          <w:rFonts w:cs="Arial"/>
          <w:szCs w:val="24"/>
        </w:rPr>
      </w:pPr>
    </w:p>
    <w:p w14:paraId="25ABCE58" w14:textId="4965F658" w:rsidR="00ED1F5E" w:rsidRDefault="00986C95" w:rsidP="005D20D8">
      <w:pPr>
        <w:rPr>
          <w:rFonts w:cs="Arial"/>
          <w:color w:val="2F5496"/>
          <w:szCs w:val="24"/>
        </w:rPr>
      </w:pPr>
      <w:hyperlink r:id="rId11" w:history="1">
        <w:r w:rsidR="006816A9" w:rsidRPr="006816A9">
          <w:rPr>
            <w:rStyle w:val="Hyperlink"/>
            <w:rFonts w:cs="Arial"/>
            <w:szCs w:val="24"/>
          </w:rPr>
          <w:t>Universal Credit and tax credits - Publications - GOV.UK</w:t>
        </w:r>
      </w:hyperlink>
    </w:p>
    <w:p w14:paraId="67A85CDE" w14:textId="77777777" w:rsidR="006816A9" w:rsidRDefault="006816A9" w:rsidP="005D20D8">
      <w:pPr>
        <w:rPr>
          <w:rFonts w:cs="Arial"/>
          <w:color w:val="2F5496"/>
          <w:szCs w:val="24"/>
        </w:rPr>
      </w:pPr>
    </w:p>
    <w:p w14:paraId="1025BC6D" w14:textId="71E20237" w:rsidR="00F9042B" w:rsidRDefault="00986C95" w:rsidP="00FB62C5">
      <w:pPr>
        <w:jc w:val="both"/>
        <w:rPr>
          <w:rFonts w:cs="Arial"/>
          <w:szCs w:val="24"/>
        </w:rPr>
      </w:pPr>
      <w:hyperlink r:id="rId12" w:history="1">
        <w:r w:rsidR="00F9042B" w:rsidRPr="00F9042B">
          <w:rPr>
            <w:rStyle w:val="Hyperlink"/>
            <w:rFonts w:cs="Arial"/>
            <w:szCs w:val="24"/>
          </w:rPr>
          <w:t>Stopping tax credits « Transition to universal credit « Tax Credits « Revenue Benefits</w:t>
        </w:r>
      </w:hyperlink>
    </w:p>
    <w:p w14:paraId="12BA6CD4" w14:textId="77777777" w:rsidR="00F9042B" w:rsidRDefault="00F9042B" w:rsidP="00FB62C5">
      <w:pPr>
        <w:jc w:val="both"/>
        <w:rPr>
          <w:rFonts w:cs="Arial"/>
          <w:szCs w:val="24"/>
        </w:rPr>
      </w:pPr>
    </w:p>
    <w:p w14:paraId="0AC82F6F" w14:textId="77777777" w:rsidR="00356184" w:rsidRDefault="00356184" w:rsidP="00AF6CE6">
      <w:pPr>
        <w:pStyle w:val="questions"/>
        <w:jc w:val="both"/>
        <w:rPr>
          <w:bCs/>
          <w:iCs/>
        </w:rPr>
      </w:pPr>
      <w:r w:rsidRPr="00356184">
        <w:rPr>
          <w:bCs/>
          <w:iCs/>
        </w:rPr>
        <w:t>Overarching business objective/need</w:t>
      </w:r>
    </w:p>
    <w:p w14:paraId="3CD065F4" w14:textId="39FD966D" w:rsidR="00ED1F5E" w:rsidRDefault="005F1320" w:rsidP="00ED1F5E">
      <w:pPr>
        <w:rPr>
          <w:rFonts w:cs="Arial"/>
          <w:b/>
          <w:szCs w:val="24"/>
        </w:rPr>
      </w:pPr>
      <w:r>
        <w:rPr>
          <w:rFonts w:cs="Arial"/>
          <w:b/>
          <w:szCs w:val="24"/>
        </w:rPr>
        <w:t xml:space="preserve">In-year Finalisation Pack </w:t>
      </w:r>
      <w:r w:rsidR="00ED1F5E" w:rsidRPr="00866DF4">
        <w:rPr>
          <w:rFonts w:cs="Arial"/>
          <w:b/>
          <w:szCs w:val="24"/>
        </w:rPr>
        <w:t>- TC603</w:t>
      </w:r>
      <w:r>
        <w:rPr>
          <w:rFonts w:cs="Arial"/>
          <w:b/>
          <w:szCs w:val="24"/>
        </w:rPr>
        <w:t>U</w:t>
      </w:r>
      <w:r w:rsidR="00ED1F5E" w:rsidRPr="00866DF4">
        <w:rPr>
          <w:rFonts w:cs="Arial"/>
          <w:b/>
          <w:szCs w:val="24"/>
        </w:rPr>
        <w:t>RD</w:t>
      </w:r>
      <w:r w:rsidR="00695CC3">
        <w:rPr>
          <w:rFonts w:cs="Arial"/>
          <w:b/>
          <w:szCs w:val="24"/>
        </w:rPr>
        <w:t xml:space="preserve"> </w:t>
      </w:r>
      <w:r w:rsidR="00C95CF1">
        <w:rPr>
          <w:rFonts w:cs="Arial"/>
          <w:b/>
          <w:szCs w:val="24"/>
        </w:rPr>
        <w:t>and TC603</w:t>
      </w:r>
      <w:r>
        <w:rPr>
          <w:rFonts w:cs="Arial"/>
          <w:b/>
          <w:szCs w:val="24"/>
        </w:rPr>
        <w:t>U</w:t>
      </w:r>
      <w:r w:rsidR="00C95CF1">
        <w:rPr>
          <w:rFonts w:cs="Arial"/>
          <w:b/>
          <w:szCs w:val="24"/>
        </w:rPr>
        <w:t>R</w:t>
      </w:r>
      <w:r w:rsidR="00695CC3">
        <w:rPr>
          <w:rFonts w:cs="Arial"/>
          <w:b/>
          <w:szCs w:val="24"/>
        </w:rPr>
        <w:t xml:space="preserve"> n</w:t>
      </w:r>
      <w:r w:rsidR="00ED1F5E" w:rsidRPr="00866DF4">
        <w:rPr>
          <w:rFonts w:cs="Arial"/>
          <w:b/>
          <w:szCs w:val="24"/>
        </w:rPr>
        <w:t>otes</w:t>
      </w:r>
    </w:p>
    <w:p w14:paraId="21E41710" w14:textId="77777777" w:rsidR="008D6F85" w:rsidRPr="00866DF4" w:rsidRDefault="008D6F85" w:rsidP="00ED1F5E">
      <w:pPr>
        <w:rPr>
          <w:rFonts w:cs="Arial"/>
          <w:b/>
          <w:szCs w:val="24"/>
        </w:rPr>
      </w:pPr>
    </w:p>
    <w:p w14:paraId="465576FC" w14:textId="40F51E45" w:rsidR="00ED1F5E" w:rsidRDefault="00ED1F5E" w:rsidP="005F1320">
      <w:pPr>
        <w:pStyle w:val="ListParagraph"/>
        <w:numPr>
          <w:ilvl w:val="3"/>
          <w:numId w:val="19"/>
        </w:numPr>
        <w:spacing w:after="160" w:line="259" w:lineRule="auto"/>
        <w:rPr>
          <w:rFonts w:cs="Arial"/>
          <w:szCs w:val="24"/>
        </w:rPr>
      </w:pPr>
      <w:r w:rsidRPr="005F1320">
        <w:rPr>
          <w:rFonts w:cs="Arial"/>
          <w:szCs w:val="24"/>
        </w:rPr>
        <w:t xml:space="preserve">To understand if </w:t>
      </w:r>
      <w:r w:rsidR="005F1320" w:rsidRPr="005F1320">
        <w:rPr>
          <w:rFonts w:cs="Arial"/>
          <w:szCs w:val="24"/>
        </w:rPr>
        <w:t xml:space="preserve">these </w:t>
      </w:r>
      <w:r w:rsidRPr="005F1320">
        <w:rPr>
          <w:rFonts w:cs="Arial"/>
          <w:szCs w:val="24"/>
        </w:rPr>
        <w:t xml:space="preserve">notes </w:t>
      </w:r>
      <w:r w:rsidR="005F1320" w:rsidRPr="005F1320">
        <w:rPr>
          <w:rFonts w:cs="Arial"/>
          <w:szCs w:val="24"/>
        </w:rPr>
        <w:t>products meet</w:t>
      </w:r>
      <w:r w:rsidRPr="005F1320">
        <w:rPr>
          <w:rFonts w:cs="Arial"/>
          <w:szCs w:val="24"/>
        </w:rPr>
        <w:t xml:space="preserve"> the needs of the customer. If not, what needs to change?</w:t>
      </w:r>
    </w:p>
    <w:p w14:paraId="57C287E6" w14:textId="77777777" w:rsidR="00ED1F5E" w:rsidRPr="00866DF4" w:rsidRDefault="00ED1F5E" w:rsidP="00ED1F5E">
      <w:pPr>
        <w:numPr>
          <w:ilvl w:val="0"/>
          <w:numId w:val="19"/>
        </w:numPr>
        <w:spacing w:after="160" w:line="259" w:lineRule="auto"/>
        <w:rPr>
          <w:rFonts w:cs="Arial"/>
          <w:szCs w:val="24"/>
        </w:rPr>
      </w:pPr>
      <w:r w:rsidRPr="00866DF4">
        <w:rPr>
          <w:rFonts w:cs="Arial"/>
          <w:szCs w:val="24"/>
        </w:rPr>
        <w:t>Are customers encouraged to use the notes when they are unsure, rather than ring us straight away</w:t>
      </w:r>
      <w:r w:rsidR="002A5D1E">
        <w:rPr>
          <w:rFonts w:cs="Arial"/>
          <w:szCs w:val="24"/>
        </w:rPr>
        <w:t>?</w:t>
      </w:r>
    </w:p>
    <w:p w14:paraId="5CE4610A" w14:textId="3A7E2159" w:rsidR="00ED1F5E" w:rsidRPr="00866DF4" w:rsidRDefault="00ED1F5E" w:rsidP="00ED1F5E">
      <w:pPr>
        <w:numPr>
          <w:ilvl w:val="0"/>
          <w:numId w:val="19"/>
        </w:numPr>
        <w:spacing w:after="160" w:line="259" w:lineRule="auto"/>
        <w:rPr>
          <w:rFonts w:cs="Arial"/>
          <w:szCs w:val="24"/>
        </w:rPr>
      </w:pPr>
      <w:r w:rsidRPr="00866DF4">
        <w:rPr>
          <w:rFonts w:cs="Arial"/>
          <w:szCs w:val="24"/>
        </w:rPr>
        <w:t>Are customers encouraged t</w:t>
      </w:r>
      <w:r w:rsidR="005F1320">
        <w:rPr>
          <w:rFonts w:cs="Arial"/>
          <w:szCs w:val="24"/>
        </w:rPr>
        <w:t>o go online to finalise their award</w:t>
      </w:r>
      <w:r w:rsidR="002A5D1E">
        <w:rPr>
          <w:rFonts w:cs="Arial"/>
          <w:szCs w:val="24"/>
        </w:rPr>
        <w:t>?</w:t>
      </w:r>
    </w:p>
    <w:p w14:paraId="5C24BEB3" w14:textId="373DAB8C" w:rsidR="005F1320" w:rsidRPr="005F1320" w:rsidRDefault="002A5D1E" w:rsidP="005F1320">
      <w:pPr>
        <w:numPr>
          <w:ilvl w:val="0"/>
          <w:numId w:val="19"/>
        </w:numPr>
        <w:spacing w:after="160" w:line="259" w:lineRule="auto"/>
        <w:rPr>
          <w:rFonts w:cs="Arial"/>
          <w:szCs w:val="24"/>
        </w:rPr>
      </w:pPr>
      <w:r>
        <w:rPr>
          <w:rFonts w:cs="Arial"/>
          <w:szCs w:val="24"/>
        </w:rPr>
        <w:t>Are the notes clear and understandable?</w:t>
      </w:r>
    </w:p>
    <w:p w14:paraId="3E8C5E25" w14:textId="41E37D01" w:rsidR="00ED1F5E" w:rsidRPr="00866DF4" w:rsidRDefault="00ED1F5E" w:rsidP="00ED1F5E">
      <w:pPr>
        <w:rPr>
          <w:rFonts w:cs="Arial"/>
          <w:szCs w:val="24"/>
        </w:rPr>
      </w:pPr>
      <w:r w:rsidRPr="00866DF4">
        <w:rPr>
          <w:rFonts w:cs="Arial"/>
          <w:szCs w:val="24"/>
        </w:rPr>
        <w:t xml:space="preserve">Where the research identifies the notes to be ineffective or insufficient in providing customers with clear guidance on how to complete the </w:t>
      </w:r>
      <w:r w:rsidR="005F1320">
        <w:rPr>
          <w:rFonts w:cs="Arial"/>
          <w:szCs w:val="24"/>
        </w:rPr>
        <w:t>finalisation of their award</w:t>
      </w:r>
      <w:r w:rsidRPr="00866DF4">
        <w:rPr>
          <w:rFonts w:cs="Arial"/>
          <w:szCs w:val="24"/>
        </w:rPr>
        <w:t xml:space="preserve">, we require recommendations for resolving the problems identified. </w:t>
      </w:r>
      <w:r w:rsidR="005E2B70">
        <w:rPr>
          <w:rFonts w:cs="Arial"/>
          <w:szCs w:val="24"/>
        </w:rPr>
        <w:t>W</w:t>
      </w:r>
      <w:r w:rsidRPr="00866DF4">
        <w:rPr>
          <w:rFonts w:cs="Arial"/>
          <w:szCs w:val="24"/>
        </w:rPr>
        <w:t>e require the agency to probe for which areas/sections/topics present difficulties for customers and to present suggestions/proposals as to how the content can be clarified</w:t>
      </w:r>
      <w:r w:rsidR="00B92272">
        <w:rPr>
          <w:rFonts w:cs="Arial"/>
          <w:szCs w:val="24"/>
        </w:rPr>
        <w:t>.</w:t>
      </w:r>
    </w:p>
    <w:p w14:paraId="2A04892F" w14:textId="77777777" w:rsidR="00356184" w:rsidRPr="00356184" w:rsidRDefault="00356184" w:rsidP="00AF6CE6">
      <w:pPr>
        <w:pStyle w:val="questions"/>
        <w:jc w:val="both"/>
        <w:rPr>
          <w:i w:val="0"/>
          <w:color w:val="auto"/>
        </w:rPr>
      </w:pPr>
    </w:p>
    <w:p w14:paraId="0B0F9E74" w14:textId="77777777" w:rsidR="00055A46" w:rsidRDefault="00EF5F92" w:rsidP="00923C57">
      <w:pPr>
        <w:pStyle w:val="questions"/>
        <w:jc w:val="both"/>
      </w:pPr>
      <w:r>
        <w:t>Research Objectives</w:t>
      </w:r>
    </w:p>
    <w:p w14:paraId="713E7B77" w14:textId="39763960" w:rsidR="00923C57" w:rsidRDefault="00FB62C5" w:rsidP="00ED1F5E">
      <w:pPr>
        <w:ind w:left="0"/>
        <w:jc w:val="both"/>
      </w:pPr>
      <w:r w:rsidRPr="007C1C62">
        <w:t xml:space="preserve">To test </w:t>
      </w:r>
      <w:r w:rsidR="005F1320">
        <w:t xml:space="preserve">the new guidance notes </w:t>
      </w:r>
      <w:r w:rsidRPr="007C1C62">
        <w:t xml:space="preserve">with </w:t>
      </w:r>
      <w:r w:rsidR="006A40CB" w:rsidRPr="007C1C62">
        <w:t xml:space="preserve">a range of </w:t>
      </w:r>
      <w:r w:rsidR="005F1320">
        <w:t>tax c</w:t>
      </w:r>
      <w:r w:rsidRPr="007C1C62">
        <w:t>redit</w:t>
      </w:r>
      <w:r w:rsidR="005F1320">
        <w:t>s</w:t>
      </w:r>
      <w:r w:rsidRPr="007C1C62">
        <w:t xml:space="preserve"> customers</w:t>
      </w:r>
      <w:r w:rsidR="005F1320">
        <w:t>,</w:t>
      </w:r>
      <w:r w:rsidR="006A40CB" w:rsidRPr="007C1C62">
        <w:t xml:space="preserve"> to determine wh</w:t>
      </w:r>
      <w:r w:rsidR="005F1320">
        <w:t xml:space="preserve">ether they </w:t>
      </w:r>
      <w:r w:rsidR="006A40CB" w:rsidRPr="007C1C62">
        <w:t>might prove effective in driving the desired behaviour.</w:t>
      </w:r>
    </w:p>
    <w:p w14:paraId="3AAB60D8" w14:textId="77777777" w:rsidR="00391617" w:rsidRDefault="00391617" w:rsidP="00ED1F5E">
      <w:pPr>
        <w:ind w:left="0"/>
        <w:jc w:val="both"/>
      </w:pPr>
    </w:p>
    <w:p w14:paraId="557C6E25" w14:textId="77777777" w:rsidR="00923C57" w:rsidRDefault="00923C57" w:rsidP="00FB62C5">
      <w:pPr>
        <w:ind w:left="0"/>
        <w:rPr>
          <w:rFonts w:cs="Arial"/>
          <w:b/>
          <w:szCs w:val="24"/>
        </w:rPr>
      </w:pPr>
      <w:r w:rsidRPr="00866DF4">
        <w:rPr>
          <w:rFonts w:cs="Arial"/>
          <w:b/>
          <w:szCs w:val="24"/>
        </w:rPr>
        <w:t>Some more detail on the sorts of questions you think you would like to ask</w:t>
      </w:r>
    </w:p>
    <w:p w14:paraId="219A7548" w14:textId="77777777" w:rsidR="00AB15C7" w:rsidRDefault="00AB15C7" w:rsidP="006A40CB">
      <w:pPr>
        <w:ind w:left="0"/>
        <w:rPr>
          <w:rFonts w:cs="Arial"/>
          <w:color w:val="FF0000"/>
          <w:szCs w:val="24"/>
        </w:rPr>
      </w:pPr>
    </w:p>
    <w:p w14:paraId="3D921DF4" w14:textId="088A4C77" w:rsidR="00ED1F5E" w:rsidRPr="000546CD" w:rsidRDefault="000546CD" w:rsidP="000546CD">
      <w:pPr>
        <w:rPr>
          <w:rFonts w:cs="Arial"/>
          <w:szCs w:val="24"/>
        </w:rPr>
      </w:pPr>
      <w:r>
        <w:rPr>
          <w:rFonts w:cs="Arial"/>
          <w:szCs w:val="24"/>
        </w:rPr>
        <w:t xml:space="preserve">We </w:t>
      </w:r>
      <w:r w:rsidR="006A40CB" w:rsidRPr="000546CD">
        <w:rPr>
          <w:rFonts w:cs="Arial"/>
          <w:szCs w:val="24"/>
        </w:rPr>
        <w:t xml:space="preserve">need answers to the following questions: </w:t>
      </w:r>
    </w:p>
    <w:p w14:paraId="2993E878" w14:textId="77777777" w:rsidR="006A40CB" w:rsidRPr="007C1C62" w:rsidRDefault="006A40CB" w:rsidP="00923C57">
      <w:pPr>
        <w:rPr>
          <w:rFonts w:cs="Arial"/>
          <w:b/>
          <w:szCs w:val="24"/>
        </w:rPr>
      </w:pPr>
    </w:p>
    <w:p w14:paraId="5CAF440B" w14:textId="182BCC28" w:rsidR="005F1320" w:rsidRPr="007C1C62" w:rsidRDefault="005F1320" w:rsidP="005F1320">
      <w:pPr>
        <w:numPr>
          <w:ilvl w:val="0"/>
          <w:numId w:val="20"/>
        </w:numPr>
        <w:rPr>
          <w:rFonts w:cs="Arial"/>
          <w:szCs w:val="24"/>
        </w:rPr>
      </w:pPr>
      <w:r>
        <w:rPr>
          <w:rFonts w:cs="Arial"/>
          <w:szCs w:val="24"/>
        </w:rPr>
        <w:t>Does the customer understand what they are being asked to do</w:t>
      </w:r>
      <w:r w:rsidR="00391617">
        <w:rPr>
          <w:rFonts w:cs="Arial"/>
          <w:szCs w:val="24"/>
        </w:rPr>
        <w:t>?</w:t>
      </w:r>
      <w:r>
        <w:rPr>
          <w:rFonts w:cs="Arial"/>
          <w:szCs w:val="24"/>
        </w:rPr>
        <w:t xml:space="preserve"> Can the </w:t>
      </w:r>
      <w:r w:rsidRPr="007C1C62">
        <w:rPr>
          <w:rFonts w:cs="Arial"/>
          <w:szCs w:val="24"/>
        </w:rPr>
        <w:t>customer understand which sections are approp</w:t>
      </w:r>
      <w:r w:rsidR="00391617">
        <w:rPr>
          <w:rFonts w:cs="Arial"/>
          <w:szCs w:val="24"/>
        </w:rPr>
        <w:t>riate to them and which are not?</w:t>
      </w:r>
      <w:r w:rsidRPr="007C1C62">
        <w:rPr>
          <w:rFonts w:cs="Arial"/>
          <w:szCs w:val="24"/>
        </w:rPr>
        <w:t xml:space="preserve"> </w:t>
      </w:r>
    </w:p>
    <w:p w14:paraId="7316B985" w14:textId="3A967C29" w:rsidR="00923C57" w:rsidRPr="007C1C62" w:rsidRDefault="00923C57" w:rsidP="00ED1F5E">
      <w:pPr>
        <w:numPr>
          <w:ilvl w:val="0"/>
          <w:numId w:val="20"/>
        </w:numPr>
        <w:rPr>
          <w:rFonts w:cs="Arial"/>
          <w:szCs w:val="24"/>
        </w:rPr>
      </w:pPr>
      <w:r w:rsidRPr="007C1C62">
        <w:rPr>
          <w:rFonts w:cs="Arial"/>
          <w:szCs w:val="24"/>
        </w:rPr>
        <w:t>For each that are appropriate, do they understand what information is being replayed, what is required and where they can find the information</w:t>
      </w:r>
      <w:r w:rsidR="000546CD">
        <w:rPr>
          <w:rFonts w:cs="Arial"/>
          <w:szCs w:val="24"/>
        </w:rPr>
        <w:t xml:space="preserve"> they need</w:t>
      </w:r>
      <w:r w:rsidR="00391617">
        <w:rPr>
          <w:rFonts w:cs="Arial"/>
          <w:szCs w:val="24"/>
        </w:rPr>
        <w:t>?</w:t>
      </w:r>
      <w:r w:rsidRPr="007C1C62">
        <w:rPr>
          <w:rFonts w:cs="Arial"/>
          <w:szCs w:val="24"/>
        </w:rPr>
        <w:t xml:space="preserve"> </w:t>
      </w:r>
    </w:p>
    <w:p w14:paraId="49D80732" w14:textId="77777777" w:rsidR="00AB15C7" w:rsidRPr="007C1C62" w:rsidRDefault="00923C57" w:rsidP="00ED1F5E">
      <w:pPr>
        <w:numPr>
          <w:ilvl w:val="0"/>
          <w:numId w:val="20"/>
        </w:numPr>
        <w:rPr>
          <w:rFonts w:cs="Arial"/>
          <w:szCs w:val="24"/>
        </w:rPr>
      </w:pPr>
      <w:r w:rsidRPr="007C1C62">
        <w:rPr>
          <w:rFonts w:cs="Arial"/>
          <w:szCs w:val="24"/>
        </w:rPr>
        <w:t>Some background information on their experience of renewals in previous years, pre-existing knowledge/understanding and whether their circumstances have changed will probably be needed in order to determine the extent to which they are drawing on the notes for their knowledge and understanding.</w:t>
      </w:r>
    </w:p>
    <w:p w14:paraId="28072680" w14:textId="77777777" w:rsidR="00923C57" w:rsidRPr="007C1C62" w:rsidRDefault="00923C57" w:rsidP="00923C57">
      <w:pPr>
        <w:rPr>
          <w:rFonts w:cs="Arial"/>
          <w:b/>
          <w:szCs w:val="24"/>
        </w:rPr>
      </w:pPr>
    </w:p>
    <w:p w14:paraId="355CD272" w14:textId="77777777" w:rsidR="006A40CB" w:rsidRPr="007C1C62" w:rsidRDefault="006A40CB" w:rsidP="006A40CB">
      <w:pPr>
        <w:rPr>
          <w:u w:val="single"/>
        </w:rPr>
      </w:pPr>
      <w:r w:rsidRPr="007C1C62">
        <w:rPr>
          <w:u w:val="single"/>
        </w:rPr>
        <w:t>Language and Tone</w:t>
      </w:r>
    </w:p>
    <w:p w14:paraId="45022001" w14:textId="77777777" w:rsidR="006A40CB" w:rsidRPr="007C1C62" w:rsidRDefault="006A40CB" w:rsidP="006A40CB">
      <w:pPr>
        <w:numPr>
          <w:ilvl w:val="0"/>
          <w:numId w:val="21"/>
        </w:numPr>
        <w:rPr>
          <w:b/>
        </w:rPr>
      </w:pPr>
      <w:r w:rsidRPr="007C1C62">
        <w:t>Are our proposed messages clear?  If not, which parts are harder for the audience to understand?</w:t>
      </w:r>
    </w:p>
    <w:p w14:paraId="7D928FDD" w14:textId="77777777" w:rsidR="006A40CB" w:rsidRPr="007C1C62" w:rsidRDefault="006A40CB" w:rsidP="006A40CB">
      <w:pPr>
        <w:numPr>
          <w:ilvl w:val="0"/>
          <w:numId w:val="21"/>
        </w:numPr>
        <w:rPr>
          <w:b/>
        </w:rPr>
      </w:pPr>
      <w:r w:rsidRPr="007C1C62">
        <w:t xml:space="preserve">How important is language and tone?  </w:t>
      </w:r>
    </w:p>
    <w:p w14:paraId="7AA618C1" w14:textId="77777777" w:rsidR="006A40CB" w:rsidRPr="00EA5991" w:rsidRDefault="006A40CB" w:rsidP="006A40CB">
      <w:pPr>
        <w:rPr>
          <w:color w:val="FF0000"/>
          <w:u w:val="single"/>
        </w:rPr>
      </w:pPr>
    </w:p>
    <w:p w14:paraId="51108D89" w14:textId="77777777" w:rsidR="006A40CB" w:rsidRPr="007C1C62" w:rsidRDefault="006A40CB" w:rsidP="006A40CB">
      <w:pPr>
        <w:rPr>
          <w:u w:val="single"/>
        </w:rPr>
      </w:pPr>
    </w:p>
    <w:p w14:paraId="0312B07E" w14:textId="5D6564F7" w:rsidR="006A40CB" w:rsidRPr="007C1C62" w:rsidRDefault="006A40CB" w:rsidP="006A40CB">
      <w:pPr>
        <w:rPr>
          <w:b/>
          <w:u w:val="single"/>
        </w:rPr>
      </w:pPr>
      <w:r w:rsidRPr="007C1C62">
        <w:rPr>
          <w:u w:val="single"/>
        </w:rPr>
        <w:t>Logistics re Length &amp; Content</w:t>
      </w:r>
    </w:p>
    <w:p w14:paraId="7F097E94" w14:textId="254ED0C5" w:rsidR="006A40CB" w:rsidRPr="007C1C62" w:rsidRDefault="006A40CB" w:rsidP="006A40CB">
      <w:pPr>
        <w:numPr>
          <w:ilvl w:val="0"/>
          <w:numId w:val="22"/>
        </w:numPr>
      </w:pPr>
      <w:r w:rsidRPr="007C1C62">
        <w:t xml:space="preserve">How long should </w:t>
      </w:r>
      <w:r w:rsidR="00A64E3F" w:rsidRPr="007C1C62">
        <w:t>the notes</w:t>
      </w:r>
      <w:r w:rsidRPr="007C1C62">
        <w:t xml:space="preserve"> be?</w:t>
      </w:r>
    </w:p>
    <w:p w14:paraId="2A49E570" w14:textId="4F77B9DF" w:rsidR="006A40CB" w:rsidRPr="007C1C62" w:rsidRDefault="006A40CB" w:rsidP="006A40CB">
      <w:pPr>
        <w:numPr>
          <w:ilvl w:val="0"/>
          <w:numId w:val="22"/>
        </w:numPr>
        <w:rPr>
          <w:b/>
        </w:rPr>
      </w:pPr>
      <w:r w:rsidRPr="007C1C62">
        <w:t>What should relevant part</w:t>
      </w:r>
      <w:r w:rsidR="00A64E3F" w:rsidRPr="007C1C62">
        <w:t xml:space="preserve">s of the notes </w:t>
      </w:r>
      <w:r w:rsidR="007C1C62" w:rsidRPr="007C1C62">
        <w:t>say</w:t>
      </w:r>
      <w:r w:rsidRPr="007C1C62">
        <w:t xml:space="preserve"> to make them ‘standout’?</w:t>
      </w:r>
    </w:p>
    <w:p w14:paraId="6FF3B2DB" w14:textId="77777777" w:rsidR="006A40CB" w:rsidRPr="007C1C62" w:rsidRDefault="006A40CB" w:rsidP="006A40CB">
      <w:pPr>
        <w:numPr>
          <w:ilvl w:val="0"/>
          <w:numId w:val="22"/>
        </w:numPr>
        <w:rPr>
          <w:b/>
        </w:rPr>
      </w:pPr>
      <w:r w:rsidRPr="007C1C62">
        <w:t>How can we make them most visibly enticing?</w:t>
      </w:r>
    </w:p>
    <w:p w14:paraId="73216C19" w14:textId="77777777" w:rsidR="006A40CB" w:rsidRPr="007C1C62" w:rsidRDefault="006A40CB" w:rsidP="006A40CB">
      <w:pPr>
        <w:numPr>
          <w:ilvl w:val="0"/>
          <w:numId w:val="22"/>
        </w:numPr>
      </w:pPr>
      <w:r w:rsidRPr="007C1C62">
        <w:t>How useful is the use of bold and underlined text in drawing the customer’s attention to the action they need to take?</w:t>
      </w:r>
    </w:p>
    <w:p w14:paraId="643CF4B0" w14:textId="45D66242" w:rsidR="006A40CB" w:rsidRPr="007C1C62" w:rsidRDefault="006A40CB" w:rsidP="006A40CB">
      <w:pPr>
        <w:numPr>
          <w:ilvl w:val="0"/>
          <w:numId w:val="22"/>
        </w:numPr>
      </w:pPr>
      <w:r w:rsidRPr="007C1C62">
        <w:t xml:space="preserve">Do the </w:t>
      </w:r>
      <w:r w:rsidR="00AB15C7" w:rsidRPr="007C1C62">
        <w:t xml:space="preserve">notes </w:t>
      </w:r>
      <w:r w:rsidRPr="007C1C62">
        <w:t>contain clear sign-posting for help and support?</w:t>
      </w:r>
    </w:p>
    <w:p w14:paraId="1183FCA6" w14:textId="77777777" w:rsidR="006A40CB" w:rsidRDefault="006A40CB" w:rsidP="00923C57">
      <w:pPr>
        <w:rPr>
          <w:rFonts w:cs="Arial"/>
          <w:b/>
          <w:szCs w:val="24"/>
        </w:rPr>
      </w:pPr>
    </w:p>
    <w:p w14:paraId="0F8037B0" w14:textId="77777777" w:rsidR="00923C57" w:rsidRDefault="00ED1F5E" w:rsidP="00923C57">
      <w:pPr>
        <w:rPr>
          <w:rFonts w:cs="Arial"/>
          <w:b/>
          <w:szCs w:val="24"/>
        </w:rPr>
      </w:pPr>
      <w:r w:rsidRPr="00866DF4">
        <w:rPr>
          <w:rFonts w:cs="Arial"/>
          <w:b/>
          <w:szCs w:val="24"/>
        </w:rPr>
        <w:t>Stimulus</w:t>
      </w:r>
      <w:r w:rsidR="00923C57" w:rsidRPr="00866DF4">
        <w:rPr>
          <w:rFonts w:cs="Arial"/>
          <w:b/>
          <w:szCs w:val="24"/>
        </w:rPr>
        <w:t>/Background documents</w:t>
      </w:r>
    </w:p>
    <w:p w14:paraId="44E50413" w14:textId="77777777" w:rsidR="00ED1F5E" w:rsidRPr="00866DF4" w:rsidRDefault="00ED1F5E" w:rsidP="00923C57">
      <w:pPr>
        <w:rPr>
          <w:rFonts w:cs="Arial"/>
          <w:b/>
          <w:szCs w:val="24"/>
        </w:rPr>
      </w:pPr>
    </w:p>
    <w:p w14:paraId="20DA1C07" w14:textId="54AC1094" w:rsidR="00923C57" w:rsidRPr="00866DF4" w:rsidRDefault="00923C57" w:rsidP="00923C57">
      <w:pPr>
        <w:rPr>
          <w:rFonts w:cs="Arial"/>
          <w:szCs w:val="24"/>
        </w:rPr>
      </w:pPr>
      <w:r w:rsidRPr="00866DF4">
        <w:rPr>
          <w:rFonts w:cs="Arial"/>
          <w:szCs w:val="24"/>
        </w:rPr>
        <w:t>These are the items that w</w:t>
      </w:r>
      <w:r w:rsidR="00695CC3">
        <w:rPr>
          <w:rFonts w:cs="Arial"/>
          <w:szCs w:val="24"/>
        </w:rPr>
        <w:t>ill</w:t>
      </w:r>
      <w:r w:rsidRPr="00866DF4">
        <w:rPr>
          <w:rFonts w:cs="Arial"/>
          <w:szCs w:val="24"/>
        </w:rPr>
        <w:t xml:space="preserve"> be included in the renewals pack. </w:t>
      </w:r>
    </w:p>
    <w:p w14:paraId="6A720B30" w14:textId="77777777" w:rsidR="00ED1F5E" w:rsidRDefault="00ED1F5E" w:rsidP="00923C57">
      <w:pPr>
        <w:rPr>
          <w:rFonts w:cs="Arial"/>
          <w:szCs w:val="24"/>
        </w:rPr>
      </w:pPr>
    </w:p>
    <w:p w14:paraId="73E94816" w14:textId="577F600A" w:rsidR="000546CD" w:rsidRDefault="000546CD" w:rsidP="00923C57">
      <w:pPr>
        <w:rPr>
          <w:rFonts w:cs="Arial"/>
          <w:szCs w:val="24"/>
        </w:rPr>
      </w:pPr>
      <w:r>
        <w:rPr>
          <w:rFonts w:cs="Arial"/>
          <w:szCs w:val="24"/>
        </w:rPr>
        <w:t xml:space="preserve">For customers required to reply: </w:t>
      </w:r>
    </w:p>
    <w:p w14:paraId="342417B1" w14:textId="5D350579" w:rsidR="00923C57" w:rsidRPr="000546CD" w:rsidRDefault="00923C57" w:rsidP="000546CD">
      <w:pPr>
        <w:pStyle w:val="ListParagraph"/>
        <w:numPr>
          <w:ilvl w:val="0"/>
          <w:numId w:val="24"/>
        </w:numPr>
        <w:rPr>
          <w:rFonts w:cs="Arial"/>
          <w:szCs w:val="24"/>
        </w:rPr>
      </w:pPr>
      <w:r w:rsidRPr="000546CD">
        <w:rPr>
          <w:rFonts w:cs="Arial"/>
          <w:szCs w:val="24"/>
        </w:rPr>
        <w:t>TC603</w:t>
      </w:r>
      <w:r w:rsidR="00391617">
        <w:rPr>
          <w:rFonts w:cs="Arial"/>
          <w:szCs w:val="24"/>
        </w:rPr>
        <w:t>U</w:t>
      </w:r>
      <w:r w:rsidRPr="000546CD">
        <w:rPr>
          <w:rFonts w:cs="Arial"/>
          <w:szCs w:val="24"/>
        </w:rPr>
        <w:t xml:space="preserve">RD </w:t>
      </w:r>
      <w:r w:rsidR="00695CC3">
        <w:rPr>
          <w:rFonts w:cs="Arial"/>
          <w:szCs w:val="24"/>
        </w:rPr>
        <w:t>n</w:t>
      </w:r>
      <w:r w:rsidRPr="000546CD">
        <w:rPr>
          <w:rFonts w:cs="Arial"/>
          <w:szCs w:val="24"/>
        </w:rPr>
        <w:t xml:space="preserve">otes - for customer testing </w:t>
      </w:r>
      <w:r w:rsidR="00695CC3">
        <w:rPr>
          <w:rFonts w:cs="Arial"/>
          <w:szCs w:val="24"/>
        </w:rPr>
        <w:t>with individuals and focus group</w:t>
      </w:r>
    </w:p>
    <w:p w14:paraId="67ADA050" w14:textId="561FD231" w:rsidR="00923C57" w:rsidRPr="000546CD" w:rsidRDefault="00923C57" w:rsidP="000546CD">
      <w:pPr>
        <w:pStyle w:val="ListParagraph"/>
        <w:numPr>
          <w:ilvl w:val="0"/>
          <w:numId w:val="24"/>
        </w:numPr>
        <w:rPr>
          <w:rFonts w:cs="Arial"/>
          <w:szCs w:val="24"/>
        </w:rPr>
      </w:pPr>
      <w:r w:rsidRPr="000546CD">
        <w:rPr>
          <w:rFonts w:cs="Arial"/>
          <w:szCs w:val="24"/>
        </w:rPr>
        <w:t>TC603</w:t>
      </w:r>
      <w:r w:rsidR="00391617">
        <w:rPr>
          <w:rFonts w:cs="Arial"/>
          <w:szCs w:val="24"/>
        </w:rPr>
        <w:t>U</w:t>
      </w:r>
      <w:r w:rsidRPr="000546CD">
        <w:rPr>
          <w:rFonts w:cs="Arial"/>
          <w:szCs w:val="24"/>
        </w:rPr>
        <w:t>RR</w:t>
      </w:r>
      <w:r w:rsidR="00695CC3">
        <w:rPr>
          <w:rFonts w:cs="Arial"/>
          <w:szCs w:val="24"/>
        </w:rPr>
        <w:t xml:space="preserve"> – r</w:t>
      </w:r>
      <w:r w:rsidRPr="000546CD">
        <w:rPr>
          <w:rFonts w:cs="Arial"/>
          <w:szCs w:val="24"/>
        </w:rPr>
        <w:t>enewals letter with instructions on the renewals process</w:t>
      </w:r>
      <w:r w:rsidR="000546CD">
        <w:rPr>
          <w:rFonts w:cs="Arial"/>
          <w:szCs w:val="24"/>
        </w:rPr>
        <w:t xml:space="preserve">. This includes </w:t>
      </w:r>
      <w:r w:rsidR="00695CC3">
        <w:rPr>
          <w:rFonts w:cs="Arial"/>
          <w:szCs w:val="24"/>
        </w:rPr>
        <w:t xml:space="preserve">customer </w:t>
      </w:r>
      <w:r w:rsidR="000546CD">
        <w:rPr>
          <w:rFonts w:cs="Arial"/>
          <w:szCs w:val="24"/>
        </w:rPr>
        <w:t>information known to HMRC which is played back to the customer to check</w:t>
      </w:r>
    </w:p>
    <w:p w14:paraId="0AEC140D" w14:textId="1DCF7679" w:rsidR="00923C57" w:rsidRDefault="00923C57" w:rsidP="000546CD">
      <w:pPr>
        <w:pStyle w:val="ListParagraph"/>
        <w:numPr>
          <w:ilvl w:val="0"/>
          <w:numId w:val="24"/>
        </w:numPr>
        <w:rPr>
          <w:rFonts w:cs="Arial"/>
          <w:szCs w:val="24"/>
        </w:rPr>
      </w:pPr>
      <w:r w:rsidRPr="000546CD">
        <w:rPr>
          <w:rFonts w:cs="Arial"/>
          <w:szCs w:val="24"/>
        </w:rPr>
        <w:t>TC603</w:t>
      </w:r>
      <w:r w:rsidR="00391617">
        <w:rPr>
          <w:rFonts w:cs="Arial"/>
          <w:szCs w:val="24"/>
        </w:rPr>
        <w:t>U</w:t>
      </w:r>
      <w:r w:rsidRPr="000546CD">
        <w:rPr>
          <w:rFonts w:cs="Arial"/>
          <w:szCs w:val="24"/>
        </w:rPr>
        <w:t xml:space="preserve">D </w:t>
      </w:r>
      <w:r w:rsidR="00695CC3">
        <w:rPr>
          <w:rFonts w:cs="Arial"/>
          <w:szCs w:val="24"/>
        </w:rPr>
        <w:t>– d</w:t>
      </w:r>
      <w:r w:rsidRPr="000546CD">
        <w:rPr>
          <w:rFonts w:cs="Arial"/>
          <w:szCs w:val="24"/>
        </w:rPr>
        <w:t>eclaration form</w:t>
      </w:r>
      <w:r w:rsidR="00695CC3">
        <w:rPr>
          <w:rFonts w:cs="Arial"/>
          <w:szCs w:val="24"/>
        </w:rPr>
        <w:t xml:space="preserve">. The customer is required to provide details of their income for the award period </w:t>
      </w:r>
    </w:p>
    <w:p w14:paraId="4C92B7CA" w14:textId="630A213E" w:rsidR="00695CC3" w:rsidRDefault="00695CC3" w:rsidP="00695CC3">
      <w:pPr>
        <w:rPr>
          <w:rFonts w:cs="Arial"/>
          <w:szCs w:val="24"/>
        </w:rPr>
      </w:pPr>
      <w:r>
        <w:rPr>
          <w:rFonts w:cs="Arial"/>
          <w:szCs w:val="24"/>
        </w:rPr>
        <w:t>For customers not required to reply:</w:t>
      </w:r>
    </w:p>
    <w:p w14:paraId="5A6E2AAA" w14:textId="3B00BD2D" w:rsidR="00695CC3" w:rsidRDefault="00695CC3" w:rsidP="00695CC3">
      <w:pPr>
        <w:pStyle w:val="ListParagraph"/>
        <w:numPr>
          <w:ilvl w:val="0"/>
          <w:numId w:val="24"/>
        </w:numPr>
        <w:rPr>
          <w:rFonts w:cs="Arial"/>
          <w:szCs w:val="24"/>
        </w:rPr>
      </w:pPr>
      <w:r>
        <w:rPr>
          <w:rFonts w:cs="Arial"/>
          <w:szCs w:val="24"/>
        </w:rPr>
        <w:t>TC603</w:t>
      </w:r>
      <w:r w:rsidR="00391617">
        <w:rPr>
          <w:rFonts w:cs="Arial"/>
          <w:szCs w:val="24"/>
        </w:rPr>
        <w:t>U</w:t>
      </w:r>
      <w:r>
        <w:rPr>
          <w:rFonts w:cs="Arial"/>
          <w:szCs w:val="24"/>
        </w:rPr>
        <w:t>R notes – for customer testing in the focus group</w:t>
      </w:r>
    </w:p>
    <w:p w14:paraId="587AAE31" w14:textId="26662A30" w:rsidR="00695CC3" w:rsidRPr="000546CD" w:rsidRDefault="00695CC3" w:rsidP="00695CC3">
      <w:pPr>
        <w:pStyle w:val="ListParagraph"/>
        <w:numPr>
          <w:ilvl w:val="0"/>
          <w:numId w:val="24"/>
        </w:numPr>
        <w:rPr>
          <w:rFonts w:cs="Arial"/>
          <w:szCs w:val="24"/>
        </w:rPr>
      </w:pPr>
      <w:r>
        <w:rPr>
          <w:rFonts w:cs="Arial"/>
          <w:szCs w:val="24"/>
        </w:rPr>
        <w:t>TC603</w:t>
      </w:r>
      <w:r w:rsidR="00391617">
        <w:rPr>
          <w:rFonts w:cs="Arial"/>
          <w:szCs w:val="24"/>
        </w:rPr>
        <w:t>U</w:t>
      </w:r>
      <w:r>
        <w:rPr>
          <w:rFonts w:cs="Arial"/>
          <w:szCs w:val="24"/>
        </w:rPr>
        <w:t>R</w:t>
      </w:r>
      <w:r w:rsidRPr="00695CC3">
        <w:rPr>
          <w:rFonts w:cs="Arial"/>
          <w:szCs w:val="24"/>
        </w:rPr>
        <w:t xml:space="preserve"> </w:t>
      </w:r>
      <w:r>
        <w:rPr>
          <w:rFonts w:cs="Arial"/>
          <w:szCs w:val="24"/>
        </w:rPr>
        <w:t>- r</w:t>
      </w:r>
      <w:r w:rsidRPr="000546CD">
        <w:rPr>
          <w:rFonts w:cs="Arial"/>
          <w:szCs w:val="24"/>
        </w:rPr>
        <w:t>enewals letter with step by step instructions on the renewals process</w:t>
      </w:r>
      <w:r>
        <w:rPr>
          <w:rFonts w:cs="Arial"/>
          <w:szCs w:val="24"/>
        </w:rPr>
        <w:t>. This includes customer information known to HMRC which is played back to the customer to check</w:t>
      </w:r>
    </w:p>
    <w:p w14:paraId="71F31882" w14:textId="39B9C7AA" w:rsidR="00695CC3" w:rsidRDefault="00695CC3" w:rsidP="00391617">
      <w:pPr>
        <w:ind w:left="0"/>
        <w:rPr>
          <w:rFonts w:cs="Arial"/>
          <w:szCs w:val="24"/>
        </w:rPr>
      </w:pPr>
    </w:p>
    <w:p w14:paraId="3D0864FD" w14:textId="77777777" w:rsidR="00055A46" w:rsidRDefault="00EF5F92" w:rsidP="007C1D15">
      <w:pPr>
        <w:pStyle w:val="questions"/>
        <w:jc w:val="both"/>
      </w:pPr>
      <w:r>
        <w:rPr>
          <w:bCs/>
          <w:iCs/>
        </w:rPr>
        <w:t>Proposed M</w:t>
      </w:r>
      <w:r w:rsidRPr="00EF5F92">
        <w:rPr>
          <w:bCs/>
          <w:iCs/>
        </w:rPr>
        <w:t>ethodology</w:t>
      </w:r>
    </w:p>
    <w:p w14:paraId="159CE08A" w14:textId="77777777" w:rsidR="00493B05" w:rsidRDefault="00493B05" w:rsidP="00493B05">
      <w:pPr>
        <w:ind w:left="0"/>
        <w:rPr>
          <w:rFonts w:cs="Arial"/>
          <w:szCs w:val="24"/>
        </w:rPr>
      </w:pPr>
      <w:r w:rsidRPr="007C1C62">
        <w:rPr>
          <w:rFonts w:cs="Arial"/>
          <w:szCs w:val="24"/>
        </w:rPr>
        <w:t>We</w:t>
      </w:r>
      <w:r>
        <w:rPr>
          <w:rFonts w:cs="Arial"/>
          <w:szCs w:val="24"/>
        </w:rPr>
        <w:t xml:space="preserve"> envisage the testing to follow the previous format to:</w:t>
      </w:r>
    </w:p>
    <w:p w14:paraId="3E5EC92D" w14:textId="77777777" w:rsidR="00493B05" w:rsidRDefault="00493B05" w:rsidP="00493B05">
      <w:pPr>
        <w:ind w:left="0"/>
        <w:rPr>
          <w:rFonts w:cs="Arial"/>
          <w:szCs w:val="24"/>
        </w:rPr>
      </w:pPr>
    </w:p>
    <w:p w14:paraId="5558A248" w14:textId="13F08EF6" w:rsidR="00493B05" w:rsidRDefault="00493B05" w:rsidP="00493B05">
      <w:pPr>
        <w:pStyle w:val="ListParagraph"/>
        <w:numPr>
          <w:ilvl w:val="0"/>
          <w:numId w:val="23"/>
        </w:numPr>
        <w:rPr>
          <w:rFonts w:cs="Arial"/>
          <w:szCs w:val="24"/>
        </w:rPr>
      </w:pPr>
      <w:r>
        <w:rPr>
          <w:rFonts w:cs="Arial"/>
          <w:szCs w:val="24"/>
        </w:rPr>
        <w:t>Conduct depth interviews with individuals which will focus on the detailed content of the TC603RD notes, as it relates to each customer</w:t>
      </w:r>
      <w:r w:rsidR="00A962AD">
        <w:rPr>
          <w:rFonts w:cs="Arial"/>
          <w:szCs w:val="24"/>
        </w:rPr>
        <w:t>. This will need to be based on extracts of guidance as the completed notes product will not be available in time.</w:t>
      </w:r>
      <w:r>
        <w:rPr>
          <w:rFonts w:cs="Arial"/>
          <w:szCs w:val="24"/>
        </w:rPr>
        <w:t xml:space="preserve"> </w:t>
      </w:r>
    </w:p>
    <w:p w14:paraId="44568351" w14:textId="77777777" w:rsidR="00493B05" w:rsidRDefault="00493B05" w:rsidP="00493B05">
      <w:pPr>
        <w:pStyle w:val="ListParagraph"/>
        <w:ind w:left="792"/>
        <w:rPr>
          <w:rFonts w:cs="Arial"/>
          <w:szCs w:val="24"/>
        </w:rPr>
      </w:pPr>
    </w:p>
    <w:p w14:paraId="6A8B1B53" w14:textId="2F431B46" w:rsidR="00493B05" w:rsidRDefault="00493B05" w:rsidP="00013B40">
      <w:pPr>
        <w:pStyle w:val="ListParagraph"/>
        <w:numPr>
          <w:ilvl w:val="0"/>
          <w:numId w:val="23"/>
        </w:numPr>
        <w:rPr>
          <w:rFonts w:cs="Arial"/>
          <w:szCs w:val="24"/>
        </w:rPr>
      </w:pPr>
      <w:r w:rsidRPr="00A962AD">
        <w:rPr>
          <w:rFonts w:cs="Arial"/>
          <w:szCs w:val="24"/>
        </w:rPr>
        <w:t xml:space="preserve">Conduct a focus group to test the effectiveness of the visual/prompt/nudge </w:t>
      </w:r>
      <w:r w:rsidR="00A962AD" w:rsidRPr="00A962AD">
        <w:rPr>
          <w:rFonts w:cs="Arial"/>
          <w:szCs w:val="24"/>
        </w:rPr>
        <w:t xml:space="preserve">effects the </w:t>
      </w:r>
      <w:r w:rsidRPr="00A962AD">
        <w:rPr>
          <w:rFonts w:cs="Arial"/>
          <w:szCs w:val="24"/>
        </w:rPr>
        <w:t xml:space="preserve">of </w:t>
      </w:r>
      <w:r w:rsidR="00A962AD" w:rsidRPr="00A962AD">
        <w:rPr>
          <w:rFonts w:cs="Arial"/>
          <w:szCs w:val="24"/>
        </w:rPr>
        <w:t xml:space="preserve">the </w:t>
      </w:r>
      <w:r w:rsidRPr="00A962AD">
        <w:rPr>
          <w:rFonts w:cs="Arial"/>
          <w:szCs w:val="24"/>
        </w:rPr>
        <w:t>TC603RD and TC603R notes in helping customers to take the desired actions</w:t>
      </w:r>
      <w:r w:rsidR="00A962AD" w:rsidRPr="00A962AD">
        <w:rPr>
          <w:rFonts w:cs="Arial"/>
          <w:szCs w:val="24"/>
        </w:rPr>
        <w:t>.</w:t>
      </w:r>
      <w:r w:rsidRPr="00A962AD">
        <w:rPr>
          <w:rFonts w:cs="Arial"/>
          <w:szCs w:val="24"/>
        </w:rPr>
        <w:t xml:space="preserve"> </w:t>
      </w:r>
    </w:p>
    <w:p w14:paraId="33912875" w14:textId="77777777" w:rsidR="00A962AD" w:rsidRPr="00A962AD" w:rsidRDefault="00A962AD" w:rsidP="00A962AD">
      <w:pPr>
        <w:pStyle w:val="ListParagraph"/>
        <w:rPr>
          <w:rFonts w:cs="Arial"/>
          <w:szCs w:val="24"/>
        </w:rPr>
      </w:pPr>
    </w:p>
    <w:p w14:paraId="3C7A1C01" w14:textId="77777777" w:rsidR="00A962AD" w:rsidRPr="00A962AD" w:rsidRDefault="00A962AD" w:rsidP="00A962AD">
      <w:pPr>
        <w:rPr>
          <w:rFonts w:cs="Arial"/>
          <w:szCs w:val="24"/>
        </w:rPr>
      </w:pPr>
    </w:p>
    <w:p w14:paraId="5604D0E3" w14:textId="77777777" w:rsidR="00FD18FE" w:rsidRPr="00866DF4" w:rsidRDefault="00FD18FE" w:rsidP="00D644C6">
      <w:pPr>
        <w:ind w:left="0"/>
        <w:rPr>
          <w:rFonts w:cs="Arial"/>
          <w:b/>
          <w:szCs w:val="24"/>
        </w:rPr>
      </w:pPr>
      <w:r w:rsidRPr="00866DF4">
        <w:rPr>
          <w:rFonts w:cs="Arial"/>
          <w:b/>
          <w:szCs w:val="24"/>
        </w:rPr>
        <w:t>Sampling</w:t>
      </w:r>
    </w:p>
    <w:p w14:paraId="11CE7A72" w14:textId="69F9E692" w:rsidR="00FB62C5" w:rsidRPr="007C1C62" w:rsidRDefault="00FD18FE" w:rsidP="00FB62C5">
      <w:pPr>
        <w:ind w:left="0"/>
        <w:jc w:val="both"/>
      </w:pPr>
      <w:r w:rsidRPr="007C1C62">
        <w:rPr>
          <w:rFonts w:cs="Arial"/>
          <w:szCs w:val="24"/>
        </w:rPr>
        <w:t>A cross section of Tax Credit customers</w:t>
      </w:r>
      <w:r w:rsidR="00FB62C5" w:rsidRPr="007C1C62">
        <w:rPr>
          <w:rFonts w:cs="Arial"/>
          <w:szCs w:val="24"/>
        </w:rPr>
        <w:t xml:space="preserve"> </w:t>
      </w:r>
      <w:r w:rsidR="00FB62C5" w:rsidRPr="007C1C62">
        <w:t>(self-employed, employee</w:t>
      </w:r>
      <w:r w:rsidR="005E2B70">
        <w:t xml:space="preserve">s (with/without employment benefits) </w:t>
      </w:r>
      <w:r w:rsidR="00FB62C5" w:rsidRPr="007C1C62">
        <w:t xml:space="preserve">childcare, </w:t>
      </w:r>
      <w:r w:rsidR="00B80E43" w:rsidRPr="007C1C62">
        <w:t xml:space="preserve">so that as far as possible, all </w:t>
      </w:r>
      <w:r w:rsidR="005E2B70">
        <w:t xml:space="preserve">the sections which are specific to in-year finalisation </w:t>
      </w:r>
      <w:r w:rsidR="00B80E43" w:rsidRPr="007C1C62">
        <w:t xml:space="preserve">are tested with customers to whom they are relevant. </w:t>
      </w:r>
    </w:p>
    <w:p w14:paraId="393C230F" w14:textId="77777777" w:rsidR="00FB62C5" w:rsidRDefault="00FB62C5" w:rsidP="00D644C6">
      <w:pPr>
        <w:ind w:left="0"/>
        <w:rPr>
          <w:rFonts w:cs="Arial"/>
          <w:color w:val="000000"/>
          <w:szCs w:val="24"/>
        </w:rPr>
      </w:pPr>
    </w:p>
    <w:p w14:paraId="5319C067" w14:textId="23647386" w:rsidR="00FD18FE" w:rsidRPr="00EA26AF" w:rsidRDefault="00FD18FE" w:rsidP="00D644C6">
      <w:pPr>
        <w:ind w:left="0"/>
        <w:rPr>
          <w:rFonts w:cs="Arial"/>
          <w:b/>
          <w:color w:val="000000"/>
          <w:szCs w:val="24"/>
        </w:rPr>
      </w:pPr>
      <w:r w:rsidRPr="00EA26AF">
        <w:rPr>
          <w:rFonts w:cs="Arial"/>
          <w:color w:val="000000"/>
          <w:szCs w:val="24"/>
        </w:rPr>
        <w:t xml:space="preserve">Given the time constraints we will not be providing a sampling dataset but we’d like to try and cover a cross-section of customers, generally aligning with the </w:t>
      </w:r>
      <w:r w:rsidR="005E2B70">
        <w:rPr>
          <w:rFonts w:cs="Arial"/>
          <w:color w:val="000000"/>
          <w:szCs w:val="24"/>
        </w:rPr>
        <w:t xml:space="preserve">sections of the </w:t>
      </w:r>
      <w:r w:rsidRPr="00EA26AF">
        <w:rPr>
          <w:rFonts w:cs="Arial"/>
          <w:color w:val="000000"/>
          <w:szCs w:val="24"/>
        </w:rPr>
        <w:t>TC603</w:t>
      </w:r>
      <w:r w:rsidR="005E2B70">
        <w:rPr>
          <w:rFonts w:cs="Arial"/>
          <w:color w:val="000000"/>
          <w:szCs w:val="24"/>
        </w:rPr>
        <w:t>U</w:t>
      </w:r>
      <w:r w:rsidRPr="00EA26AF">
        <w:rPr>
          <w:rFonts w:cs="Arial"/>
          <w:color w:val="000000"/>
          <w:szCs w:val="24"/>
        </w:rPr>
        <w:t>RD</w:t>
      </w:r>
      <w:r w:rsidR="00A64E3F">
        <w:rPr>
          <w:rFonts w:cs="Arial"/>
          <w:color w:val="000000"/>
          <w:szCs w:val="24"/>
        </w:rPr>
        <w:t xml:space="preserve"> </w:t>
      </w:r>
      <w:r w:rsidR="005E2B70">
        <w:rPr>
          <w:rFonts w:cs="Arial"/>
          <w:color w:val="000000"/>
          <w:szCs w:val="24"/>
        </w:rPr>
        <w:t>being tested.</w:t>
      </w:r>
    </w:p>
    <w:p w14:paraId="1DF713F9" w14:textId="77777777" w:rsidR="00EF5F92" w:rsidRDefault="00EF5F92" w:rsidP="00AF6CE6">
      <w:pPr>
        <w:ind w:left="0"/>
        <w:jc w:val="both"/>
      </w:pPr>
    </w:p>
    <w:p w14:paraId="2AC60828" w14:textId="77777777" w:rsidR="00055A46" w:rsidRDefault="00055A46" w:rsidP="00AF6CE6">
      <w:pPr>
        <w:pStyle w:val="questions"/>
        <w:jc w:val="both"/>
      </w:pPr>
      <w:r>
        <w:t>Other issues that may have an impact on this project</w:t>
      </w:r>
    </w:p>
    <w:p w14:paraId="0A33B210" w14:textId="2C509306" w:rsidR="00FB62C5" w:rsidRPr="007C1C62" w:rsidRDefault="00FB62C5" w:rsidP="00FB62C5">
      <w:pPr>
        <w:ind w:left="0"/>
      </w:pPr>
      <w:r w:rsidRPr="007C1C62">
        <w:t xml:space="preserve">The main constraint is the tight timescale required to deliver this research in order that </w:t>
      </w:r>
      <w:r w:rsidR="00493B05">
        <w:t>the findings can inform essential changes to the products</w:t>
      </w:r>
      <w:r w:rsidR="005E2B70">
        <w:t xml:space="preserve"> and for fieldwork to be completed outside the purdah period.</w:t>
      </w:r>
      <w:r w:rsidR="00493B05">
        <w:t xml:space="preserve"> </w:t>
      </w:r>
    </w:p>
    <w:p w14:paraId="7C42C6E2" w14:textId="77777777" w:rsidR="00EF5F92" w:rsidRPr="007C1C62" w:rsidRDefault="00EF5F92" w:rsidP="00ED1F5E">
      <w:pPr>
        <w:ind w:left="0"/>
        <w:jc w:val="both"/>
      </w:pPr>
    </w:p>
    <w:p w14:paraId="4E68ECC5" w14:textId="77777777" w:rsidR="00055A46" w:rsidRDefault="00055A46" w:rsidP="00AF6CE6">
      <w:pPr>
        <w:pStyle w:val="questions"/>
        <w:jc w:val="both"/>
      </w:pPr>
      <w:r>
        <w:t>What we need from you</w:t>
      </w:r>
      <w:r w:rsidR="00F744D5">
        <w:t xml:space="preserve"> – the deliverables</w:t>
      </w:r>
    </w:p>
    <w:p w14:paraId="2A5027D8" w14:textId="77777777" w:rsidR="007B7E41" w:rsidRDefault="007B7E41" w:rsidP="00AF6CE6">
      <w:pPr>
        <w:ind w:left="0"/>
        <w:jc w:val="both"/>
      </w:pPr>
    </w:p>
    <w:p w14:paraId="601560FC" w14:textId="77777777" w:rsidR="00C64593" w:rsidRPr="00C64593" w:rsidRDefault="00C64593" w:rsidP="00EF5F92">
      <w:pPr>
        <w:ind w:left="360"/>
        <w:jc w:val="both"/>
        <w:rPr>
          <w:b/>
          <w:u w:val="single"/>
        </w:rPr>
      </w:pPr>
      <w:r w:rsidRPr="00C64593">
        <w:rPr>
          <w:b/>
          <w:u w:val="single"/>
        </w:rPr>
        <w:t>Project Deliverables</w:t>
      </w:r>
    </w:p>
    <w:p w14:paraId="2F368362" w14:textId="77777777" w:rsidR="00C64593" w:rsidRDefault="00C64593" w:rsidP="00AF6CE6">
      <w:pPr>
        <w:ind w:left="0"/>
        <w:jc w:val="both"/>
      </w:pPr>
    </w:p>
    <w:p w14:paraId="595B064A" w14:textId="77777777" w:rsidR="00AB15C7" w:rsidRDefault="00AB15C7" w:rsidP="00C64593">
      <w:pPr>
        <w:numPr>
          <w:ilvl w:val="0"/>
          <w:numId w:val="16"/>
        </w:numPr>
        <w:jc w:val="both"/>
      </w:pPr>
      <w:r>
        <w:t>Screening criteria/questions</w:t>
      </w:r>
    </w:p>
    <w:p w14:paraId="140D2DDC" w14:textId="77777777" w:rsidR="00C64593" w:rsidRDefault="005D20D8" w:rsidP="00C64593">
      <w:pPr>
        <w:numPr>
          <w:ilvl w:val="0"/>
          <w:numId w:val="16"/>
        </w:numPr>
        <w:jc w:val="both"/>
      </w:pPr>
      <w:r>
        <w:t>Discussion guide design</w:t>
      </w:r>
    </w:p>
    <w:p w14:paraId="5066CF0A" w14:textId="77777777" w:rsidR="00C64593" w:rsidRDefault="005D20D8" w:rsidP="00C64593">
      <w:pPr>
        <w:numPr>
          <w:ilvl w:val="0"/>
          <w:numId w:val="16"/>
        </w:numPr>
        <w:jc w:val="both"/>
      </w:pPr>
      <w:r>
        <w:t>Weekly progress reports</w:t>
      </w:r>
    </w:p>
    <w:p w14:paraId="1321A62D" w14:textId="77777777" w:rsidR="005D20D8" w:rsidRDefault="005D20D8" w:rsidP="00C64593">
      <w:pPr>
        <w:numPr>
          <w:ilvl w:val="0"/>
          <w:numId w:val="16"/>
        </w:numPr>
        <w:jc w:val="both"/>
      </w:pPr>
      <w:r>
        <w:t>PowerPoint slides of Topline Findings</w:t>
      </w:r>
    </w:p>
    <w:p w14:paraId="0B800D61" w14:textId="66EE09DD" w:rsidR="00FD18FE" w:rsidRDefault="00FD18FE" w:rsidP="00F62BB5">
      <w:pPr>
        <w:numPr>
          <w:ilvl w:val="0"/>
          <w:numId w:val="16"/>
        </w:numPr>
        <w:ind w:left="360"/>
        <w:jc w:val="both"/>
      </w:pPr>
      <w:r>
        <w:t xml:space="preserve">Face to Face </w:t>
      </w:r>
      <w:r w:rsidR="00ED1F5E">
        <w:t>debrief</w:t>
      </w:r>
      <w:r>
        <w:t xml:space="preserve"> meeting </w:t>
      </w:r>
    </w:p>
    <w:p w14:paraId="54FD40B8" w14:textId="77777777" w:rsidR="005E2B70" w:rsidRDefault="005E2B70" w:rsidP="005E2B70">
      <w:pPr>
        <w:ind w:left="360"/>
        <w:jc w:val="both"/>
      </w:pPr>
    </w:p>
    <w:p w14:paraId="4A8DF783" w14:textId="12A8C018" w:rsidR="007B7E41" w:rsidRDefault="007B7E41" w:rsidP="00EF5F92">
      <w:pPr>
        <w:ind w:left="360"/>
        <w:jc w:val="both"/>
      </w:pPr>
      <w:r>
        <w:t>In addition, as part of our publication process, we require a publishable version of the research findings that will be published on the HMRC website. A standard template and guidance will be provided.</w:t>
      </w:r>
    </w:p>
    <w:p w14:paraId="435D3C0C" w14:textId="77777777" w:rsidR="007B7E41" w:rsidRDefault="007B7E41" w:rsidP="00EF5F92">
      <w:pPr>
        <w:ind w:left="360"/>
        <w:jc w:val="both"/>
      </w:pPr>
    </w:p>
    <w:p w14:paraId="6633192D" w14:textId="77777777" w:rsidR="000D6201" w:rsidRDefault="00702421" w:rsidP="00AF6CE6">
      <w:pPr>
        <w:pStyle w:val="questions"/>
        <w:jc w:val="both"/>
      </w:pPr>
      <w:r>
        <w:t>Our project timeline</w:t>
      </w:r>
      <w:r w:rsidR="000B4151">
        <w:t xml:space="preserve"> </w:t>
      </w:r>
    </w:p>
    <w:p w14:paraId="5159BAF9" w14:textId="3B837D57" w:rsidR="00EE4FC5" w:rsidRDefault="00EE4FC5" w:rsidP="00AF6CE6">
      <w:pPr>
        <w:spacing w:before="100" w:beforeAutospacing="1" w:after="100" w:afterAutospacing="1"/>
        <w:ind w:left="0"/>
        <w:jc w:val="both"/>
        <w:rPr>
          <w:rFonts w:cs="Arial"/>
          <w:szCs w:val="24"/>
        </w:rPr>
      </w:pPr>
      <w:r w:rsidRPr="00E5177D">
        <w:rPr>
          <w:rFonts w:cs="Arial"/>
          <w:szCs w:val="24"/>
        </w:rPr>
        <w:t xml:space="preserve">The timings given below </w:t>
      </w:r>
      <w:r w:rsidR="00E5177D" w:rsidRPr="00E5177D">
        <w:rPr>
          <w:rFonts w:cs="Arial"/>
          <w:szCs w:val="24"/>
        </w:rPr>
        <w:t>are indicative</w:t>
      </w:r>
      <w:r w:rsidR="005E2B70">
        <w:rPr>
          <w:rFonts w:cs="Arial"/>
          <w:szCs w:val="24"/>
        </w:rPr>
        <w:t xml:space="preserve"> and </w:t>
      </w:r>
      <w:r w:rsidR="00EA7514">
        <w:rPr>
          <w:rFonts w:cs="Arial"/>
          <w:szCs w:val="24"/>
        </w:rPr>
        <w:t>I understand that the proposal document will include more detailed timings for consideration.</w:t>
      </w:r>
    </w:p>
    <w:p w14:paraId="0A1CFF41" w14:textId="7C0EFCDE" w:rsidR="005E2B70" w:rsidRDefault="005E2B70" w:rsidP="00767049">
      <w:pPr>
        <w:spacing w:before="100" w:beforeAutospacing="1" w:after="100" w:afterAutospacing="1"/>
        <w:ind w:left="0"/>
        <w:jc w:val="both"/>
      </w:pPr>
    </w:p>
    <w:p w14:paraId="342A2F17" w14:textId="77777777" w:rsidR="00584326" w:rsidRPr="007B7E41" w:rsidRDefault="00584326" w:rsidP="00AF6CE6">
      <w:pPr>
        <w:tabs>
          <w:tab w:val="num" w:pos="720"/>
        </w:tabs>
        <w:spacing w:before="100" w:beforeAutospacing="1" w:after="100" w:afterAutospacing="1"/>
        <w:ind w:left="0"/>
        <w:jc w:val="both"/>
        <w:rPr>
          <w:rFonts w:ascii="Times New Roman" w:hAnsi="Times New Roman"/>
          <w:b/>
          <w:i/>
          <w:color w:val="993366"/>
          <w:sz w:val="32"/>
          <w:szCs w:val="32"/>
        </w:rPr>
      </w:pPr>
      <w:r w:rsidRPr="007B7E41">
        <w:rPr>
          <w:rFonts w:ascii="Times New Roman" w:hAnsi="Times New Roman"/>
          <w:b/>
          <w:i/>
          <w:color w:val="993366"/>
          <w:sz w:val="32"/>
          <w:szCs w:val="32"/>
        </w:rPr>
        <w:t>Budget</w:t>
      </w:r>
    </w:p>
    <w:p w14:paraId="515D511B" w14:textId="77777777" w:rsidR="00584326" w:rsidRDefault="00584326" w:rsidP="00EF5F92">
      <w:pPr>
        <w:pStyle w:val="h2"/>
        <w:numPr>
          <w:ilvl w:val="0"/>
          <w:numId w:val="0"/>
        </w:numPr>
        <w:spacing w:before="100" w:beforeAutospacing="1" w:after="100" w:afterAutospacing="1"/>
        <w:jc w:val="both"/>
        <w:rPr>
          <w:rFonts w:ascii="Arial" w:hAnsi="Arial" w:cs="Arial"/>
          <w:sz w:val="24"/>
          <w:szCs w:val="24"/>
          <w:lang w:val="en-GB"/>
        </w:rPr>
      </w:pPr>
      <w:r w:rsidRPr="00584326">
        <w:rPr>
          <w:rFonts w:ascii="Arial" w:hAnsi="Arial" w:cs="Arial"/>
          <w:sz w:val="24"/>
          <w:szCs w:val="24"/>
          <w:lang w:val="en-GB"/>
        </w:rPr>
        <w:t>We are not able to disclose</w:t>
      </w:r>
      <w:r w:rsidR="00AF6CE6">
        <w:rPr>
          <w:rFonts w:ascii="Arial" w:hAnsi="Arial" w:cs="Arial"/>
          <w:sz w:val="24"/>
          <w:szCs w:val="24"/>
          <w:lang w:val="en-GB"/>
        </w:rPr>
        <w:t xml:space="preserve"> exact</w:t>
      </w:r>
      <w:r w:rsidRPr="00584326">
        <w:rPr>
          <w:rFonts w:ascii="Arial" w:hAnsi="Arial" w:cs="Arial"/>
          <w:sz w:val="24"/>
          <w:szCs w:val="24"/>
          <w:lang w:val="en-GB"/>
        </w:rPr>
        <w:t xml:space="preserve"> budget information.  Please provide a cost for the project design set out </w:t>
      </w:r>
      <w:r w:rsidR="00AF6CE6">
        <w:rPr>
          <w:rFonts w:ascii="Arial" w:hAnsi="Arial" w:cs="Arial"/>
          <w:sz w:val="24"/>
          <w:szCs w:val="24"/>
          <w:lang w:val="en-GB"/>
        </w:rPr>
        <w:t>above</w:t>
      </w:r>
      <w:r w:rsidRPr="00584326">
        <w:rPr>
          <w:rFonts w:ascii="Arial" w:hAnsi="Arial" w:cs="Arial"/>
          <w:sz w:val="24"/>
          <w:szCs w:val="24"/>
          <w:lang w:val="en-GB"/>
        </w:rPr>
        <w:t xml:space="preserve"> and set out alternatives if you feel these would better</w:t>
      </w:r>
      <w:r w:rsidR="00AF6CE6">
        <w:rPr>
          <w:rFonts w:ascii="Arial" w:hAnsi="Arial" w:cs="Arial"/>
          <w:sz w:val="24"/>
          <w:szCs w:val="24"/>
          <w:lang w:val="en-GB"/>
        </w:rPr>
        <w:t xml:space="preserve"> meet the research objectives. </w:t>
      </w:r>
    </w:p>
    <w:p w14:paraId="03FD6B27" w14:textId="77777777" w:rsidR="00AF6CE6" w:rsidRDefault="00AF6CE6" w:rsidP="00AF6CE6">
      <w:pPr>
        <w:pStyle w:val="h2"/>
        <w:numPr>
          <w:ilvl w:val="0"/>
          <w:numId w:val="0"/>
        </w:numPr>
        <w:spacing w:before="100" w:beforeAutospacing="1" w:after="100" w:afterAutospacing="1"/>
        <w:jc w:val="both"/>
        <w:rPr>
          <w:rFonts w:ascii="Arial" w:hAnsi="Arial" w:cs="Arial"/>
          <w:sz w:val="24"/>
          <w:szCs w:val="24"/>
          <w:lang w:val="en-GB"/>
        </w:rPr>
      </w:pPr>
      <w:r>
        <w:rPr>
          <w:rFonts w:ascii="Arial" w:hAnsi="Arial" w:cs="Arial"/>
          <w:sz w:val="24"/>
          <w:szCs w:val="24"/>
          <w:lang w:val="en-GB"/>
        </w:rPr>
        <w:t>We have provided the following table to give you a rough idea of the budget on this particular project. We are not able to provide any further detail and the exact budget could fall at any point inside the range selected.</w:t>
      </w:r>
    </w:p>
    <w:p w14:paraId="335CAE9F" w14:textId="77777777" w:rsidR="00584326" w:rsidRDefault="00584326" w:rsidP="00AF6CE6">
      <w:pPr>
        <w:spacing w:before="100" w:beforeAutospacing="1" w:after="100" w:afterAutospacing="1"/>
        <w:ind w:left="0"/>
        <w:jc w:val="both"/>
        <w:rPr>
          <w:szCs w:val="24"/>
        </w:rPr>
      </w:pPr>
      <w:r w:rsidRPr="00584326">
        <w:rPr>
          <w:szCs w:val="24"/>
        </w:rPr>
        <w:t>Costs must include travel and other expenses, broken down separately. Costs should include all fees and expenses but exclude VAT.</w:t>
      </w:r>
    </w:p>
    <w:p w14:paraId="6D937A0B" w14:textId="77777777" w:rsidR="0098686B" w:rsidRDefault="0098686B" w:rsidP="00AF6CE6">
      <w:pPr>
        <w:ind w:left="0"/>
        <w:jc w:val="both"/>
      </w:pPr>
    </w:p>
    <w:p w14:paraId="4DBDE371" w14:textId="77777777" w:rsidR="005C77F2" w:rsidRDefault="005C77F2" w:rsidP="00AF6CE6">
      <w:pPr>
        <w:jc w:val="both"/>
        <w:sectPr w:rsidR="005C77F2" w:rsidSect="0030500B">
          <w:headerReference w:type="first" r:id="rId13"/>
          <w:footerReference w:type="first" r:id="rId14"/>
          <w:pgSz w:w="12240" w:h="15840"/>
          <w:pgMar w:top="907" w:right="1134" w:bottom="1276" w:left="1134" w:header="720" w:footer="976" w:gutter="0"/>
          <w:cols w:space="720"/>
          <w:titlePg/>
        </w:sectPr>
      </w:pPr>
    </w:p>
    <w:p w14:paraId="08CB522D" w14:textId="77777777" w:rsidR="00343DDE" w:rsidRDefault="00343DDE" w:rsidP="00AF6CE6">
      <w:pPr>
        <w:pStyle w:val="Terms"/>
        <w:jc w:val="both"/>
      </w:pPr>
      <w:r>
        <w:t>General Terms and conditions</w:t>
      </w:r>
    </w:p>
    <w:p w14:paraId="7B1C3FF1" w14:textId="77777777" w:rsidR="00785F6C" w:rsidRPr="007B7E41" w:rsidRDefault="00343DDE" w:rsidP="00AF6CE6">
      <w:pPr>
        <w:pStyle w:val="conditions"/>
        <w:rPr>
          <w:sz w:val="18"/>
          <w:szCs w:val="18"/>
        </w:rPr>
      </w:pPr>
      <w:r w:rsidRPr="007B7E41">
        <w:rPr>
          <w:sz w:val="18"/>
          <w:szCs w:val="18"/>
        </w:rPr>
        <w:t xml:space="preserve">On receipt of a satisfactory proposal, the successful research agency will be awarded a fixed price contract for the project. The Standard Conditions of Contract governing research commissions are laid down by </w:t>
      </w:r>
      <w:r w:rsidR="00CA0586">
        <w:rPr>
          <w:sz w:val="18"/>
          <w:szCs w:val="18"/>
        </w:rPr>
        <w:t>the MR130001 framework agreement</w:t>
      </w:r>
      <w:r w:rsidRPr="007B7E41">
        <w:rPr>
          <w:sz w:val="18"/>
          <w:szCs w:val="18"/>
        </w:rPr>
        <w:t xml:space="preserve"> and are not negotiable.  HMRC observes the general practice of paying only for work satisfactorily completed. All work should comply with the Code of Conduct of the Market Research Society. The Standard Conditions of Contract are available on request.</w:t>
      </w:r>
      <w:r w:rsidR="006D2A5D" w:rsidRPr="007B7E41">
        <w:rPr>
          <w:sz w:val="18"/>
          <w:szCs w:val="18"/>
        </w:rPr>
        <w:t xml:space="preserve">  </w:t>
      </w:r>
    </w:p>
    <w:p w14:paraId="05CDF837" w14:textId="77777777" w:rsidR="00785F6C" w:rsidRPr="007B7E41" w:rsidRDefault="00785F6C" w:rsidP="00AF6CE6">
      <w:pPr>
        <w:pStyle w:val="conditions"/>
        <w:rPr>
          <w:sz w:val="18"/>
          <w:szCs w:val="18"/>
        </w:rPr>
      </w:pPr>
      <w:r w:rsidRPr="007B7E41">
        <w:rPr>
          <w:sz w:val="18"/>
          <w:szCs w:val="18"/>
        </w:rPr>
        <w:t xml:space="preserve">Payment terms have been negotiated to split as follows on most </w:t>
      </w:r>
      <w:r w:rsidR="007B7E41" w:rsidRPr="007B7E41">
        <w:rPr>
          <w:sz w:val="18"/>
          <w:szCs w:val="18"/>
        </w:rPr>
        <w:t>projects</w:t>
      </w:r>
      <w:r w:rsidRPr="007B7E41">
        <w:rPr>
          <w:sz w:val="18"/>
          <w:szCs w:val="18"/>
        </w:rPr>
        <w:t xml:space="preserve"> (however there will always be exceptions – which we will do our best to cater for)</w:t>
      </w:r>
    </w:p>
    <w:p w14:paraId="49B80C9A" w14:textId="77777777" w:rsidR="00785F6C" w:rsidRPr="007B7E41" w:rsidRDefault="00785F6C" w:rsidP="00AF6CE6">
      <w:pPr>
        <w:pStyle w:val="conditionindent"/>
        <w:rPr>
          <w:sz w:val="18"/>
          <w:szCs w:val="18"/>
        </w:rPr>
      </w:pPr>
      <w:r w:rsidRPr="007B7E41">
        <w:rPr>
          <w:sz w:val="18"/>
          <w:szCs w:val="18"/>
        </w:rPr>
        <w:t>30% on commission</w:t>
      </w:r>
    </w:p>
    <w:p w14:paraId="34C859BF" w14:textId="77777777" w:rsidR="00785F6C" w:rsidRPr="007B7E41" w:rsidRDefault="00785F6C" w:rsidP="00AF6CE6">
      <w:pPr>
        <w:pStyle w:val="conditionindent"/>
        <w:rPr>
          <w:sz w:val="18"/>
          <w:szCs w:val="18"/>
        </w:rPr>
      </w:pPr>
      <w:r w:rsidRPr="007B7E41">
        <w:rPr>
          <w:sz w:val="18"/>
          <w:szCs w:val="18"/>
        </w:rPr>
        <w:t>30% on Fieldwork commencement</w:t>
      </w:r>
    </w:p>
    <w:p w14:paraId="0527BA26" w14:textId="77777777" w:rsidR="00785F6C" w:rsidRPr="007B7E41" w:rsidRDefault="00785F6C" w:rsidP="00AF6CE6">
      <w:pPr>
        <w:pStyle w:val="conditionindent"/>
        <w:rPr>
          <w:sz w:val="18"/>
          <w:szCs w:val="18"/>
        </w:rPr>
      </w:pPr>
      <w:r w:rsidRPr="007B7E41">
        <w:rPr>
          <w:sz w:val="18"/>
          <w:szCs w:val="18"/>
        </w:rPr>
        <w:t>40% on completion</w:t>
      </w:r>
    </w:p>
    <w:p w14:paraId="601CFB66" w14:textId="77777777" w:rsidR="00785F6C" w:rsidRPr="007B7E41" w:rsidRDefault="00785F6C" w:rsidP="00AF6CE6">
      <w:pPr>
        <w:pStyle w:val="conditions"/>
        <w:rPr>
          <w:sz w:val="18"/>
          <w:szCs w:val="18"/>
        </w:rPr>
      </w:pPr>
      <w:r w:rsidRPr="007B7E41">
        <w:rPr>
          <w:sz w:val="18"/>
          <w:szCs w:val="18"/>
        </w:rPr>
        <w:t xml:space="preserve">When costing proposals it would be helpful to ensure we can see these key stages clearly.  </w:t>
      </w:r>
    </w:p>
    <w:p w14:paraId="52E56FB7" w14:textId="77777777" w:rsidR="00343DDE" w:rsidRDefault="00343DDE" w:rsidP="00AF6CE6">
      <w:pPr>
        <w:pStyle w:val="conditions"/>
        <w:rPr>
          <w:sz w:val="18"/>
          <w:szCs w:val="18"/>
        </w:rPr>
      </w:pPr>
      <w:r w:rsidRPr="007B7E41">
        <w:rPr>
          <w:sz w:val="18"/>
          <w:szCs w:val="18"/>
        </w:rPr>
        <w:t>Some key elements of our standard terms are below:</w:t>
      </w:r>
    </w:p>
    <w:p w14:paraId="46FB9C64" w14:textId="77777777" w:rsidR="007B7E41" w:rsidRDefault="007B7E41" w:rsidP="00AF6CE6">
      <w:pPr>
        <w:pStyle w:val="questions"/>
        <w:jc w:val="both"/>
        <w:rPr>
          <w:sz w:val="28"/>
          <w:szCs w:val="28"/>
        </w:rPr>
      </w:pPr>
    </w:p>
    <w:p w14:paraId="3DAB8B29" w14:textId="77777777" w:rsidR="00060059" w:rsidRPr="00060059" w:rsidRDefault="00060059" w:rsidP="00AF6CE6">
      <w:pPr>
        <w:pStyle w:val="questions"/>
        <w:jc w:val="both"/>
        <w:rPr>
          <w:sz w:val="28"/>
          <w:szCs w:val="28"/>
        </w:rPr>
      </w:pPr>
      <w:r w:rsidRPr="00060059">
        <w:rPr>
          <w:sz w:val="28"/>
          <w:szCs w:val="28"/>
        </w:rPr>
        <w:t xml:space="preserve">Contractual obligations </w:t>
      </w:r>
    </w:p>
    <w:p w14:paraId="79066DC5" w14:textId="77777777" w:rsidR="00060059" w:rsidRDefault="00060059" w:rsidP="00AF6CE6">
      <w:pPr>
        <w:pStyle w:val="conditions"/>
        <w:rPr>
          <w:sz w:val="18"/>
          <w:szCs w:val="18"/>
        </w:rPr>
      </w:pPr>
      <w:r w:rsidRPr="007B7E41">
        <w:rPr>
          <w:sz w:val="18"/>
          <w:szCs w:val="18"/>
        </w:rPr>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14:paraId="06AE2285" w14:textId="77777777" w:rsidR="00343DDE" w:rsidRDefault="00343DDE" w:rsidP="00AF6CE6">
      <w:pPr>
        <w:pStyle w:val="Terms"/>
        <w:jc w:val="both"/>
      </w:pPr>
      <w:r>
        <w:t>Data handling</w:t>
      </w:r>
    </w:p>
    <w:p w14:paraId="616EF6D8" w14:textId="77777777" w:rsidR="00343DDE" w:rsidRPr="007B7E41" w:rsidRDefault="00343DDE" w:rsidP="00AF6CE6">
      <w:pPr>
        <w:pStyle w:val="conditions"/>
        <w:rPr>
          <w:sz w:val="18"/>
          <w:szCs w:val="18"/>
        </w:rPr>
      </w:pPr>
      <w:r w:rsidRPr="007B7E41">
        <w:rPr>
          <w:sz w:val="18"/>
          <w:szCs w:val="18"/>
        </w:rPr>
        <w:t>In most cases, any data we supply will be encrypted</w:t>
      </w:r>
      <w:r w:rsidR="007E2DAE" w:rsidRPr="007B7E41">
        <w:rPr>
          <w:sz w:val="18"/>
          <w:szCs w:val="18"/>
        </w:rPr>
        <w:t xml:space="preserve">, probably using the highest encryption used by Winzip </w:t>
      </w:r>
      <w:r w:rsidR="009F136E" w:rsidRPr="007B7E41">
        <w:rPr>
          <w:sz w:val="18"/>
          <w:szCs w:val="18"/>
        </w:rPr>
        <w:t>v9</w:t>
      </w:r>
      <w:r w:rsidR="007E2DAE" w:rsidRPr="007B7E41">
        <w:rPr>
          <w:sz w:val="18"/>
          <w:szCs w:val="18"/>
        </w:rPr>
        <w:t xml:space="preserve"> or above</w:t>
      </w:r>
      <w:r w:rsidRPr="007B7E41">
        <w:rPr>
          <w:sz w:val="18"/>
          <w:szCs w:val="18"/>
        </w:rPr>
        <w:t xml:space="preserve">. It is your responsibility to ensure appropriate steps are taken to ensure you are able to receive and </w:t>
      </w:r>
      <w:r w:rsidR="007E2DAE" w:rsidRPr="007B7E41">
        <w:rPr>
          <w:sz w:val="18"/>
          <w:szCs w:val="18"/>
        </w:rPr>
        <w:t>de</w:t>
      </w:r>
      <w:r w:rsidRPr="007B7E41">
        <w:rPr>
          <w:sz w:val="18"/>
          <w:szCs w:val="18"/>
        </w:rPr>
        <w:t>crypt</w:t>
      </w:r>
      <w:r w:rsidR="007E2DAE" w:rsidRPr="007B7E41">
        <w:rPr>
          <w:sz w:val="18"/>
          <w:szCs w:val="18"/>
        </w:rPr>
        <w:t xml:space="preserve"> our</w:t>
      </w:r>
      <w:r w:rsidRPr="007B7E41">
        <w:rPr>
          <w:sz w:val="18"/>
          <w:szCs w:val="18"/>
        </w:rPr>
        <w:t xml:space="preserve"> data.</w:t>
      </w:r>
    </w:p>
    <w:p w14:paraId="7900B4F3" w14:textId="77777777" w:rsidR="007E2DAE" w:rsidRPr="007B7E41" w:rsidRDefault="00343DDE" w:rsidP="00AF6CE6">
      <w:pPr>
        <w:pStyle w:val="conditions"/>
        <w:rPr>
          <w:sz w:val="18"/>
          <w:szCs w:val="18"/>
        </w:rPr>
      </w:pPr>
      <w:r w:rsidRPr="007B7E41">
        <w:rPr>
          <w:sz w:val="18"/>
          <w:szCs w:val="18"/>
        </w:rPr>
        <w:t>We also require confirmation at appropriate times of the deletion of customer records from both removable and fixed media within your organisation.</w:t>
      </w:r>
    </w:p>
    <w:p w14:paraId="2B2AD17A" w14:textId="77777777" w:rsidR="007E2DAE" w:rsidRPr="007B7E41" w:rsidRDefault="007E2DAE" w:rsidP="00AF6CE6">
      <w:pPr>
        <w:pStyle w:val="conditions"/>
        <w:rPr>
          <w:sz w:val="18"/>
          <w:szCs w:val="18"/>
        </w:rPr>
      </w:pPr>
      <w:r w:rsidRPr="007B7E41">
        <w:rPr>
          <w:sz w:val="18"/>
          <w:szCs w:val="18"/>
        </w:rPr>
        <w:t>Please note that HMRC does not permit the use of USB sticks and so all electronic versions should be provided on CD.</w:t>
      </w:r>
    </w:p>
    <w:p w14:paraId="24B31142" w14:textId="77777777" w:rsidR="00343DDE" w:rsidRPr="007B7E41" w:rsidRDefault="007E2DAE" w:rsidP="00AF6CE6">
      <w:pPr>
        <w:pStyle w:val="conditions"/>
        <w:rPr>
          <w:sz w:val="18"/>
          <w:szCs w:val="18"/>
        </w:rPr>
      </w:pPr>
      <w:r w:rsidRPr="007B7E41">
        <w:rPr>
          <w:sz w:val="18"/>
          <w:szCs w:val="18"/>
        </w:rPr>
        <w:t>Once appointed, you should agree with your HMRC contact what security rating any data or documentation you produce should have and how it subsequently should be handled.</w:t>
      </w:r>
    </w:p>
    <w:p w14:paraId="04A9E5F3" w14:textId="77777777" w:rsidR="00A754B5" w:rsidRPr="007B7E41" w:rsidRDefault="00A754B5" w:rsidP="00AF6CE6">
      <w:pPr>
        <w:pStyle w:val="conditions"/>
        <w:rPr>
          <w:sz w:val="18"/>
          <w:szCs w:val="18"/>
        </w:rPr>
      </w:pPr>
      <w:r w:rsidRPr="007B7E41">
        <w:rPr>
          <w:sz w:val="18"/>
          <w:szCs w:val="18"/>
        </w:rPr>
        <w:t xml:space="preserve">As part of our standard data handling requirements, as part of your proposal we will require details of your plan to receive, store and use any data that we may supply to you. In most cases the data we supply to you will contain </w:t>
      </w:r>
      <w:r w:rsidR="007B7E41" w:rsidRPr="007B7E41">
        <w:rPr>
          <w:sz w:val="18"/>
          <w:szCs w:val="18"/>
        </w:rPr>
        <w:t>customers’</w:t>
      </w:r>
      <w:r w:rsidRPr="007B7E41">
        <w:rPr>
          <w:sz w:val="18"/>
          <w:szCs w:val="18"/>
        </w:rPr>
        <w:t xml:space="preserve"> personal details and we need to be sure that you will treat this data appropriately.</w:t>
      </w:r>
    </w:p>
    <w:p w14:paraId="04E74E02" w14:textId="77777777" w:rsidR="00A754B5" w:rsidRPr="007B7E41" w:rsidRDefault="00A754B5" w:rsidP="00AF6CE6">
      <w:pPr>
        <w:pStyle w:val="conditions"/>
        <w:rPr>
          <w:sz w:val="18"/>
          <w:szCs w:val="18"/>
        </w:rPr>
      </w:pPr>
      <w:r w:rsidRPr="007B7E41">
        <w:rPr>
          <w:sz w:val="18"/>
          <w:szCs w:val="18"/>
        </w:rPr>
        <w:t>This should include precise details of the data handling and security procedures you have in place. In particular, please detail how, once we have delivered the data to you, how you will transfer and store it and who in your organisation will be able to access it. You should also detail your processes for archival of and/or destroying the data that has been finished with. As an example this should include, what systems you have that are accessible from the internet, how access to the information is managed, and details of how your data servers are backed-up and maintained.</w:t>
      </w:r>
    </w:p>
    <w:p w14:paraId="38A85514" w14:textId="77777777" w:rsidR="00A754B5" w:rsidRDefault="00A754B5" w:rsidP="00AF6CE6">
      <w:pPr>
        <w:pStyle w:val="conditions"/>
        <w:rPr>
          <w:sz w:val="18"/>
          <w:szCs w:val="18"/>
        </w:rPr>
      </w:pPr>
      <w:r w:rsidRPr="007B7E41">
        <w:rPr>
          <w:sz w:val="18"/>
          <w:szCs w:val="18"/>
        </w:rPr>
        <w:t>If you have supplied current information, this does not need to be provided again.</w:t>
      </w:r>
    </w:p>
    <w:p w14:paraId="2CD4BC81" w14:textId="77777777" w:rsidR="00343DDE" w:rsidRDefault="00343DDE" w:rsidP="00AF6CE6">
      <w:pPr>
        <w:pStyle w:val="Terms"/>
        <w:jc w:val="both"/>
      </w:pPr>
      <w:r>
        <w:t>Documentation</w:t>
      </w:r>
    </w:p>
    <w:p w14:paraId="78506B57" w14:textId="77777777" w:rsidR="00485F84" w:rsidRPr="007B7E41" w:rsidRDefault="00C84980" w:rsidP="00AF6CE6">
      <w:pPr>
        <w:pStyle w:val="conditions"/>
        <w:rPr>
          <w:sz w:val="18"/>
          <w:szCs w:val="18"/>
        </w:rPr>
      </w:pPr>
      <w:r w:rsidRPr="007B7E41">
        <w:rPr>
          <w:sz w:val="18"/>
          <w:szCs w:val="18"/>
        </w:rPr>
        <w:t>HMRC will require the publishable report delivered in both pdf and word formats. The pdf document should include the file size as part of the filename.</w:t>
      </w:r>
    </w:p>
    <w:p w14:paraId="4032D793" w14:textId="77777777" w:rsidR="00485F84" w:rsidRDefault="00C84980" w:rsidP="00AF6CE6">
      <w:pPr>
        <w:pStyle w:val="conditions"/>
        <w:rPr>
          <w:sz w:val="18"/>
          <w:szCs w:val="18"/>
        </w:rPr>
      </w:pPr>
      <w:r w:rsidRPr="007B7E41">
        <w:rPr>
          <w:sz w:val="18"/>
          <w:szCs w:val="18"/>
        </w:rPr>
        <w:t xml:space="preserve">In addition, </w:t>
      </w:r>
      <w:r w:rsidR="00343DDE" w:rsidRPr="007B7E41">
        <w:rPr>
          <w:sz w:val="18"/>
          <w:szCs w:val="18"/>
        </w:rPr>
        <w:t xml:space="preserve">HMRC will require draft copies of all key documents, such as recruitment questionnaires, presentation charts, top line and final report. These are to be submitted in sufficient time for comments to be incorporated into the final </w:t>
      </w:r>
      <w:r w:rsidR="006D2A5D" w:rsidRPr="007B7E41">
        <w:rPr>
          <w:sz w:val="18"/>
          <w:szCs w:val="18"/>
        </w:rPr>
        <w:t>version</w:t>
      </w:r>
      <w:r w:rsidR="00343DDE" w:rsidRPr="007B7E41">
        <w:rPr>
          <w:sz w:val="18"/>
          <w:szCs w:val="18"/>
        </w:rPr>
        <w:t xml:space="preserve"> and for our approval to be given for production of the final version to take place.</w:t>
      </w:r>
    </w:p>
    <w:p w14:paraId="7DCF42BA" w14:textId="77777777" w:rsidR="00B5400E" w:rsidRPr="008C657D" w:rsidRDefault="00B5400E" w:rsidP="00B5400E">
      <w:pPr>
        <w:rPr>
          <w:b/>
          <w:i/>
          <w:color w:val="000000"/>
        </w:rPr>
      </w:pPr>
      <w:r w:rsidRPr="00A11E4D">
        <w:rPr>
          <w:rFonts w:cs="Arial"/>
          <w:b/>
          <w:i/>
          <w:color w:val="000000"/>
          <w:sz w:val="20"/>
        </w:rPr>
        <w:t>NB ‘Personal’,</w:t>
      </w:r>
      <w:r w:rsidRPr="00A11E4D">
        <w:rPr>
          <w:rFonts w:cs="Arial"/>
          <w:b/>
          <w:i/>
          <w:color w:val="000080"/>
          <w:sz w:val="20"/>
        </w:rPr>
        <w:t xml:space="preserve"> </w:t>
      </w:r>
      <w:r w:rsidRPr="00A11E4D">
        <w:rPr>
          <w:rFonts w:cs="Arial"/>
          <w:b/>
          <w:i/>
          <w:color w:val="000000"/>
          <w:sz w:val="20"/>
        </w:rPr>
        <w:t>‘Confidential’ and ‘Commercial’ sensitive information has been redacted according to the provisions in the FOI Act (sections 40, 41 &amp; 42).</w:t>
      </w:r>
    </w:p>
    <w:p w14:paraId="2401801B" w14:textId="77777777" w:rsidR="00B5400E" w:rsidRPr="007B7E41" w:rsidRDefault="00B5400E" w:rsidP="00AF6CE6">
      <w:pPr>
        <w:pStyle w:val="conditions"/>
        <w:rPr>
          <w:sz w:val="18"/>
          <w:szCs w:val="18"/>
        </w:rPr>
      </w:pPr>
    </w:p>
    <w:sectPr w:rsidR="00B5400E" w:rsidRPr="007B7E41" w:rsidSect="0030500B">
      <w:headerReference w:type="first" r:id="rId15"/>
      <w:pgSz w:w="12240" w:h="15840"/>
      <w:pgMar w:top="907" w:right="1134" w:bottom="1276" w:left="1134" w:header="720" w:footer="9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76EF" w14:textId="77777777" w:rsidR="00EB536A" w:rsidRDefault="00EB536A">
      <w:r>
        <w:separator/>
      </w:r>
    </w:p>
  </w:endnote>
  <w:endnote w:type="continuationSeparator" w:id="0">
    <w:p w14:paraId="00E4FBEA" w14:textId="77777777" w:rsidR="00EB536A" w:rsidRDefault="00EB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8668" w14:textId="002EC041" w:rsidR="005901BA" w:rsidRDefault="005901BA" w:rsidP="00F47564">
    <w:pPr>
      <w:pStyle w:val="Footer"/>
      <w:tabs>
        <w:tab w:val="clear" w:pos="4320"/>
        <w:tab w:val="clear" w:pos="8640"/>
        <w:tab w:val="center" w:pos="4678"/>
        <w:tab w:val="right" w:pos="9781"/>
      </w:tabs>
      <w:jc w:val="both"/>
      <w:rPr>
        <w:rStyle w:val="PageNumber"/>
        <w:sz w:val="18"/>
      </w:rPr>
    </w:pPr>
    <w:r>
      <w:rPr>
        <w:rStyle w:val="PageNumber"/>
        <w:sz w:val="18"/>
      </w:rPr>
      <w:tab/>
    </w:r>
    <w:r>
      <w:rPr>
        <w:rStyle w:val="PageNumber"/>
        <w:i/>
        <w:sz w:val="18"/>
      </w:rPr>
      <w:tab/>
    </w:r>
    <w:r>
      <w:rPr>
        <w:rStyle w:val="PageNumber"/>
        <w:sz w:val="18"/>
      </w:rPr>
      <w:fldChar w:fldCharType="begin"/>
    </w:r>
    <w:r>
      <w:rPr>
        <w:rStyle w:val="PageNumber"/>
        <w:sz w:val="18"/>
      </w:rPr>
      <w:instrText xml:space="preserve"> DATE \@ "dd/MM/yy" </w:instrText>
    </w:r>
    <w:r>
      <w:rPr>
        <w:rStyle w:val="PageNumber"/>
        <w:sz w:val="18"/>
      </w:rPr>
      <w:fldChar w:fldCharType="separate"/>
    </w:r>
    <w:r w:rsidR="00986C95">
      <w:rPr>
        <w:rStyle w:val="PageNumber"/>
        <w:noProof/>
        <w:sz w:val="18"/>
      </w:rPr>
      <w:t>26/03/15</w:t>
    </w:r>
    <w:r>
      <w:rPr>
        <w:rStyle w:val="PageNumber"/>
        <w:sz w:val="18"/>
      </w:rPr>
      <w:fldChar w:fldCharType="end"/>
    </w:r>
  </w:p>
  <w:p w14:paraId="3C8D1621" w14:textId="77777777" w:rsidR="005901BA" w:rsidRDefault="005901BA" w:rsidP="009C6DC3">
    <w:pPr>
      <w:pStyle w:val="Footer"/>
      <w:tabs>
        <w:tab w:val="clear" w:pos="4320"/>
        <w:tab w:val="clear" w:pos="8640"/>
        <w:tab w:val="center" w:pos="4678"/>
        <w:tab w:val="right" w:pos="9781"/>
      </w:tabs>
      <w:rPr>
        <w:rStyle w:val="PageNumbe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986C95">
      <w:rPr>
        <w:rStyle w:val="PageNumber"/>
        <w:noProof/>
        <w:sz w:val="18"/>
      </w:rPr>
      <w:t>6</w:t>
    </w:r>
    <w:r>
      <w:rPr>
        <w:rStyle w:val="PageNumber"/>
        <w:sz w:val="18"/>
      </w:rPr>
      <w:fldChar w:fldCharType="end"/>
    </w:r>
  </w:p>
  <w:p w14:paraId="0B96BB5F" w14:textId="77777777" w:rsidR="005901BA" w:rsidRDefault="005901BA" w:rsidP="009331EA">
    <w:pPr>
      <w:pStyle w:val="Footer"/>
      <w:tabs>
        <w:tab w:val="clear" w:pos="4320"/>
        <w:tab w:val="clear" w:pos="8640"/>
        <w:tab w:val="center" w:pos="4678"/>
        <w:tab w:val="right" w:pos="9781"/>
      </w:tabs>
      <w:jc w:val="center"/>
      <w:rPr>
        <w:rStyle w:val="PageNumbe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B36E" w14:textId="77777777" w:rsidR="005901BA" w:rsidRPr="002A199A" w:rsidRDefault="005901BA" w:rsidP="00CD1056">
    <w:pPr>
      <w:pStyle w:val="Footer"/>
      <w:tabs>
        <w:tab w:val="clear" w:pos="8640"/>
        <w:tab w:val="right" w:pos="9781"/>
      </w:tabs>
      <w:ind w:left="0"/>
      <w:rPr>
        <w:i/>
        <w:sz w:val="22"/>
        <w:szCs w:val="22"/>
      </w:rPr>
    </w:pPr>
    <w:r>
      <w:rPr>
        <w:i/>
        <w:sz w:val="22"/>
        <w:szCs w:val="22"/>
      </w:rPr>
      <w:tab/>
    </w:r>
    <w:r>
      <w:rPr>
        <w:rStyle w:val="PageNumber"/>
      </w:rPr>
      <w:fldChar w:fldCharType="begin"/>
    </w:r>
    <w:r>
      <w:rPr>
        <w:rStyle w:val="PageNumber"/>
      </w:rPr>
      <w:instrText xml:space="preserve"> PAGE </w:instrText>
    </w:r>
    <w:r>
      <w:rPr>
        <w:rStyle w:val="PageNumber"/>
      </w:rPr>
      <w:fldChar w:fldCharType="separate"/>
    </w:r>
    <w:r w:rsidR="00986C9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6C95">
      <w:rPr>
        <w:rStyle w:val="PageNumber"/>
        <w:noProof/>
      </w:rPr>
      <w:t>7</w:t>
    </w:r>
    <w:r>
      <w:rPr>
        <w:rStyle w:val="PageNumber"/>
      </w:rPr>
      <w:fldChar w:fldCharType="end"/>
    </w:r>
    <w:r w:rsidRPr="0030500B">
      <w:rPr>
        <w:i/>
        <w:sz w:val="22"/>
        <w:szCs w:val="22"/>
      </w:rPr>
      <w:tab/>
    </w:r>
    <w:r w:rsidR="002A199A">
      <w:rPr>
        <w:i/>
        <w:sz w:val="22"/>
        <w:szCs w:val="22"/>
      </w:rPr>
      <w:t>Customer Insight &amp; Knowledge</w:t>
    </w:r>
    <w:r>
      <w:rPr>
        <w:i/>
        <w:sz w:val="22"/>
        <w:szCs w:val="22"/>
      </w:rPr>
      <w:t xml:space="preserve"> Team</w:t>
    </w:r>
  </w:p>
  <w:p w14:paraId="2B00559C" w14:textId="77777777" w:rsidR="005901BA" w:rsidRDefault="005901BA" w:rsidP="005A0297">
    <w:pPr>
      <w:pStyle w:val="Footer"/>
      <w:tabs>
        <w:tab w:val="clear" w:pos="8640"/>
        <w:tab w:val="right" w:pos="9781"/>
      </w:tabs>
      <w:rPr>
        <w:rStyle w:val="PageNumber"/>
        <w:sz w:val="18"/>
      </w:rPr>
    </w:pPr>
    <w:r>
      <w:rPr>
        <w:i/>
        <w:sz w:val="18"/>
      </w:rPr>
      <w:tab/>
    </w:r>
    <w:r>
      <w:rPr>
        <w:i/>
        <w:sz w:val="18"/>
      </w:rPr>
      <w:tab/>
    </w:r>
  </w:p>
  <w:p w14:paraId="46E1028F" w14:textId="77777777" w:rsidR="005901BA" w:rsidRDefault="005901BA" w:rsidP="005A0297">
    <w:pPr>
      <w:pStyle w:val="Footer"/>
      <w:tabs>
        <w:tab w:val="clear" w:pos="8640"/>
        <w:tab w:val="right" w:pos="9781"/>
      </w:tabs>
      <w:rPr>
        <w:rStyle w:val="PageNumber"/>
        <w:sz w:val="18"/>
      </w:rPr>
    </w:pPr>
  </w:p>
  <w:p w14:paraId="412C0D54" w14:textId="77777777" w:rsidR="005901BA" w:rsidRDefault="005901BA" w:rsidP="00CD1056">
    <w:pPr>
      <w:pStyle w:val="Footer"/>
      <w:tabs>
        <w:tab w:val="clear" w:pos="8640"/>
        <w:tab w:val="right" w:pos="9781"/>
      </w:tabs>
      <w:ind w:left="0"/>
      <w:jc w:val="center"/>
      <w:rPr>
        <w:rStyle w:val="PageNumber"/>
        <w:color w:val="999999"/>
        <w:sz w:val="18"/>
      </w:rPr>
    </w:pPr>
  </w:p>
  <w:p w14:paraId="52082023" w14:textId="77777777" w:rsidR="005901BA" w:rsidRDefault="005901BA" w:rsidP="00CD1056">
    <w:pPr>
      <w:pStyle w:val="Footer"/>
      <w:tabs>
        <w:tab w:val="clear" w:pos="8640"/>
        <w:tab w:val="right" w:pos="9781"/>
      </w:tabs>
      <w:ind w:left="0"/>
      <w:jc w:val="center"/>
      <w:rPr>
        <w:rStyle w:val="PageNumber"/>
        <w:color w:val="999999"/>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2E188" w14:textId="77777777" w:rsidR="00E72E14" w:rsidRPr="00CD1056" w:rsidRDefault="00E72E14" w:rsidP="00CD1056">
    <w:pPr>
      <w:pStyle w:val="Footer"/>
      <w:tabs>
        <w:tab w:val="clear" w:pos="8640"/>
        <w:tab w:val="right" w:pos="9781"/>
      </w:tabs>
      <w:rPr>
        <w:rStyle w:val="PageNumber"/>
        <w:color w:val="999999"/>
        <w:sz w:val="18"/>
        <w:szCs w:val="18"/>
      </w:rPr>
    </w:pPr>
    <w:r w:rsidRPr="00CD1056">
      <w:rPr>
        <w:i/>
        <w:sz w:val="18"/>
        <w:szCs w:val="18"/>
      </w:rPr>
      <w:tab/>
    </w:r>
    <w:r w:rsidRPr="00CD1056">
      <w:rPr>
        <w:rStyle w:val="PageNumber"/>
        <w:sz w:val="18"/>
        <w:szCs w:val="18"/>
      </w:rPr>
      <w:fldChar w:fldCharType="begin"/>
    </w:r>
    <w:r w:rsidRPr="00CD1056">
      <w:rPr>
        <w:rStyle w:val="PageNumber"/>
        <w:sz w:val="18"/>
        <w:szCs w:val="18"/>
      </w:rPr>
      <w:instrText xml:space="preserve"> PAGE </w:instrText>
    </w:r>
    <w:r w:rsidRPr="00CD1056">
      <w:rPr>
        <w:rStyle w:val="PageNumber"/>
        <w:sz w:val="18"/>
        <w:szCs w:val="18"/>
      </w:rPr>
      <w:fldChar w:fldCharType="separate"/>
    </w:r>
    <w:r w:rsidR="00986C95">
      <w:rPr>
        <w:rStyle w:val="PageNumber"/>
        <w:noProof/>
        <w:sz w:val="18"/>
        <w:szCs w:val="18"/>
      </w:rPr>
      <w:t>2</w:t>
    </w:r>
    <w:r w:rsidRPr="00CD1056">
      <w:rPr>
        <w:rStyle w:val="PageNumber"/>
        <w:sz w:val="18"/>
        <w:szCs w:val="18"/>
      </w:rPr>
      <w:fldChar w:fldCharType="end"/>
    </w:r>
    <w:r w:rsidRPr="00CD1056">
      <w:rPr>
        <w:rStyle w:val="PageNumber"/>
        <w:sz w:val="18"/>
        <w:szCs w:val="18"/>
      </w:rPr>
      <w:t xml:space="preserve"> of </w:t>
    </w:r>
    <w:r w:rsidRPr="00CD1056">
      <w:rPr>
        <w:rStyle w:val="PageNumber"/>
        <w:sz w:val="18"/>
        <w:szCs w:val="18"/>
      </w:rPr>
      <w:fldChar w:fldCharType="begin"/>
    </w:r>
    <w:r w:rsidRPr="00CD1056">
      <w:rPr>
        <w:rStyle w:val="PageNumber"/>
        <w:sz w:val="18"/>
        <w:szCs w:val="18"/>
      </w:rPr>
      <w:instrText xml:space="preserve"> NUMPAGES </w:instrText>
    </w:r>
    <w:r w:rsidRPr="00CD1056">
      <w:rPr>
        <w:rStyle w:val="PageNumber"/>
        <w:sz w:val="18"/>
        <w:szCs w:val="18"/>
      </w:rPr>
      <w:fldChar w:fldCharType="separate"/>
    </w:r>
    <w:r w:rsidR="00986C95">
      <w:rPr>
        <w:rStyle w:val="PageNumber"/>
        <w:noProof/>
        <w:sz w:val="18"/>
        <w:szCs w:val="18"/>
      </w:rPr>
      <w:t>7</w:t>
    </w:r>
    <w:r w:rsidRPr="00CD1056">
      <w:rPr>
        <w:rStyle w:val="PageNumber"/>
        <w:sz w:val="18"/>
        <w:szCs w:val="18"/>
      </w:rPr>
      <w:fldChar w:fldCharType="end"/>
    </w:r>
    <w:r w:rsidRPr="00CD1056">
      <w:rPr>
        <w:i/>
        <w:sz w:val="18"/>
        <w:szCs w:val="18"/>
      </w:rPr>
      <w:tab/>
    </w:r>
    <w:r w:rsidR="002A199A">
      <w:rPr>
        <w:i/>
        <w:sz w:val="18"/>
        <w:szCs w:val="18"/>
      </w:rPr>
      <w:t>CIK</w:t>
    </w:r>
  </w:p>
  <w:p w14:paraId="1FB2FCE5" w14:textId="77777777" w:rsidR="001F20A3" w:rsidRDefault="001F20A3" w:rsidP="00E72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FDB30" w14:textId="77777777" w:rsidR="00EB536A" w:rsidRDefault="00EB536A">
      <w:r>
        <w:separator/>
      </w:r>
    </w:p>
  </w:footnote>
  <w:footnote w:type="continuationSeparator" w:id="0">
    <w:p w14:paraId="111A261E" w14:textId="77777777" w:rsidR="00EB536A" w:rsidRDefault="00EB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6EA0" w14:textId="77777777" w:rsidR="00E23715" w:rsidRDefault="00E23715" w:rsidP="00E23715">
    <w:pPr>
      <w:pStyle w:val="Header"/>
      <w:tabs>
        <w:tab w:val="clear" w:pos="4320"/>
        <w:tab w:val="clear" w:pos="8640"/>
        <w:tab w:val="center" w:pos="4678"/>
        <w:tab w:val="right" w:pos="9781"/>
      </w:tabs>
      <w:ind w:left="0"/>
      <w:rPr>
        <w:sz w:val="20"/>
      </w:rPr>
    </w:pPr>
    <w:r>
      <w:rPr>
        <w:sz w:val="20"/>
      </w:rPr>
      <w:t>HM Revenue and Customs</w:t>
    </w:r>
    <w:r>
      <w:rPr>
        <w:sz w:val="20"/>
      </w:rPr>
      <w:tab/>
    </w:r>
    <w:r>
      <w:rPr>
        <w:sz w:val="20"/>
      </w:rPr>
      <w:tab/>
    </w:r>
    <w:r w:rsidR="002A199A">
      <w:rPr>
        <w:sz w:val="20"/>
      </w:rPr>
      <w:t xml:space="preserve">Customer Insight &amp; Knowledge </w:t>
    </w:r>
    <w:r>
      <w:rPr>
        <w:sz w:val="20"/>
      </w:rPr>
      <w:t>Team</w:t>
    </w:r>
  </w:p>
  <w:p w14:paraId="2B70DBCC" w14:textId="77777777" w:rsidR="00E23715" w:rsidRPr="00E23715" w:rsidRDefault="00E23715" w:rsidP="00E23715">
    <w:pPr>
      <w:pStyle w:val="Header"/>
      <w:tabs>
        <w:tab w:val="clear" w:pos="4320"/>
        <w:tab w:val="clear" w:pos="8640"/>
        <w:tab w:val="center" w:pos="4678"/>
        <w:tab w:val="right" w:pos="9781"/>
      </w:tabs>
      <w:ind w:left="0"/>
      <w:rPr>
        <w:sz w:val="20"/>
      </w:rPr>
    </w:pPr>
    <w:r>
      <w:rPr>
        <w:sz w:val="20"/>
      </w:rPr>
      <w:tab/>
    </w:r>
    <w:r>
      <w:rPr>
        <w:sz w:val="20"/>
      </w:rPr>
      <w:tab/>
    </w:r>
    <w:r>
      <w:rPr>
        <w:sz w:val="16"/>
      </w:rPr>
      <w:t>in Central Customer &amp; Strategy</w:t>
    </w:r>
    <w:r>
      <w:rPr>
        <w:sz w:val="16"/>
      </w:rPr>
      <w:tab/>
    </w:r>
  </w:p>
  <w:p w14:paraId="23ACFBA0" w14:textId="77777777" w:rsidR="00E23715" w:rsidRPr="006051E5" w:rsidRDefault="00E23715" w:rsidP="00E23715">
    <w:pPr>
      <w:pStyle w:val="Header"/>
      <w:pBdr>
        <w:bottom w:val="single" w:sz="6" w:space="1" w:color="auto"/>
      </w:pBdr>
      <w:tabs>
        <w:tab w:val="clear" w:pos="4320"/>
        <w:tab w:val="clear" w:pos="8640"/>
        <w:tab w:val="center" w:pos="4678"/>
        <w:tab w:val="right" w:pos="9781"/>
      </w:tabs>
      <w:rPr>
        <w:sz w:val="4"/>
        <w:szCs w:val="4"/>
      </w:rPr>
    </w:pPr>
    <w:r w:rsidRPr="006051E5">
      <w:rPr>
        <w:sz w:val="4"/>
        <w:szCs w:val="4"/>
      </w:rPr>
      <w:tab/>
    </w:r>
    <w:r w:rsidRPr="006051E5">
      <w:rPr>
        <w:sz w:val="4"/>
        <w:szCs w:val="4"/>
      </w:rPr>
      <w:tab/>
    </w:r>
  </w:p>
  <w:p w14:paraId="3E3DECC9" w14:textId="77777777" w:rsidR="00E23715" w:rsidRPr="005C77F2" w:rsidRDefault="00E23715" w:rsidP="00E23715">
    <w:pPr>
      <w:pStyle w:val="Header"/>
      <w:tabs>
        <w:tab w:val="clear" w:pos="4320"/>
        <w:tab w:val="clear" w:pos="8640"/>
        <w:tab w:val="center" w:pos="4678"/>
        <w:tab w:val="right" w:pos="9781"/>
      </w:tabs>
      <w:ind w:left="0"/>
      <w:jc w:val="center"/>
      <w:rPr>
        <w:rFonts w:ascii="Comic Sans MS" w:hAnsi="Comic Sans MS"/>
      </w:rPr>
    </w:pPr>
    <w:r>
      <w:rPr>
        <w:b/>
        <w:color w:val="808080"/>
      </w:rPr>
      <w:t>Research Brief</w:t>
    </w:r>
  </w:p>
  <w:p w14:paraId="68B1B5AE" w14:textId="77777777" w:rsidR="006051E5" w:rsidRDefault="005901BA" w:rsidP="00020A11">
    <w:pPr>
      <w:pStyle w:val="Header"/>
      <w:tabs>
        <w:tab w:val="clear" w:pos="4320"/>
        <w:tab w:val="clear" w:pos="8640"/>
        <w:tab w:val="center" w:pos="4678"/>
        <w:tab w:val="right" w:pos="9781"/>
      </w:tabs>
      <w:ind w:left="0"/>
      <w:rPr>
        <w:sz w:val="20"/>
      </w:rPr>
    </w:pPr>
    <w:r w:rsidRPr="0030500B">
      <w:rPr>
        <w:sz w:val="20"/>
      </w:rPr>
      <w:tab/>
    </w:r>
    <w:r w:rsidRPr="0030500B">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553C5" w14:textId="77777777" w:rsidR="00E23715" w:rsidRDefault="00E23715" w:rsidP="005C77F2">
    <w:pPr>
      <w:pStyle w:val="Header"/>
      <w:tabs>
        <w:tab w:val="clear" w:pos="4320"/>
        <w:tab w:val="clear" w:pos="8640"/>
        <w:tab w:val="center" w:pos="4678"/>
        <w:tab w:val="right" w:pos="9781"/>
      </w:tabs>
      <w:ind w:left="0"/>
      <w:rPr>
        <w:sz w:val="20"/>
      </w:rPr>
    </w:pPr>
    <w:r>
      <w:rPr>
        <w:sz w:val="20"/>
      </w:rPr>
      <w:t>HM Revenue and Customs</w:t>
    </w:r>
    <w:r>
      <w:rPr>
        <w:sz w:val="20"/>
      </w:rPr>
      <w:tab/>
    </w:r>
    <w:r>
      <w:rPr>
        <w:sz w:val="20"/>
      </w:rPr>
      <w:tab/>
    </w:r>
    <w:r w:rsidR="002A199A">
      <w:rPr>
        <w:sz w:val="20"/>
      </w:rPr>
      <w:t>Customer Insight &amp; Knowledge</w:t>
    </w:r>
    <w:r>
      <w:rPr>
        <w:sz w:val="20"/>
      </w:rPr>
      <w:t xml:space="preserve"> Team</w:t>
    </w:r>
  </w:p>
  <w:p w14:paraId="14FB9971" w14:textId="77777777" w:rsidR="005C77F2" w:rsidRPr="00E23715" w:rsidRDefault="00E23715" w:rsidP="00E23715">
    <w:pPr>
      <w:pStyle w:val="Header"/>
      <w:tabs>
        <w:tab w:val="clear" w:pos="4320"/>
        <w:tab w:val="clear" w:pos="8640"/>
        <w:tab w:val="center" w:pos="4678"/>
        <w:tab w:val="right" w:pos="9781"/>
      </w:tabs>
      <w:ind w:left="0"/>
      <w:rPr>
        <w:sz w:val="20"/>
      </w:rPr>
    </w:pPr>
    <w:r>
      <w:rPr>
        <w:sz w:val="20"/>
      </w:rPr>
      <w:tab/>
    </w:r>
    <w:r>
      <w:rPr>
        <w:sz w:val="20"/>
      </w:rPr>
      <w:tab/>
    </w:r>
    <w:r>
      <w:rPr>
        <w:sz w:val="16"/>
      </w:rPr>
      <w:t>in Central Customer &amp; Strategy</w:t>
    </w:r>
    <w:r>
      <w:rPr>
        <w:sz w:val="16"/>
      </w:rPr>
      <w:tab/>
    </w:r>
  </w:p>
  <w:p w14:paraId="133A34AF" w14:textId="77777777" w:rsidR="005C77F2" w:rsidRPr="006051E5" w:rsidRDefault="005C77F2" w:rsidP="005C77F2">
    <w:pPr>
      <w:pStyle w:val="Header"/>
      <w:pBdr>
        <w:bottom w:val="single" w:sz="6" w:space="1" w:color="auto"/>
      </w:pBdr>
      <w:tabs>
        <w:tab w:val="clear" w:pos="4320"/>
        <w:tab w:val="clear" w:pos="8640"/>
        <w:tab w:val="center" w:pos="4678"/>
        <w:tab w:val="right" w:pos="9781"/>
      </w:tabs>
      <w:rPr>
        <w:sz w:val="4"/>
        <w:szCs w:val="4"/>
      </w:rPr>
    </w:pPr>
    <w:r w:rsidRPr="006051E5">
      <w:rPr>
        <w:sz w:val="4"/>
        <w:szCs w:val="4"/>
      </w:rPr>
      <w:tab/>
    </w:r>
    <w:r w:rsidRPr="006051E5">
      <w:rPr>
        <w:sz w:val="4"/>
        <w:szCs w:val="4"/>
      </w:rPr>
      <w:tab/>
    </w:r>
  </w:p>
  <w:p w14:paraId="3B03CCA1" w14:textId="77777777" w:rsidR="005C77F2" w:rsidRPr="005C77F2" w:rsidRDefault="005C77F2" w:rsidP="005C77F2">
    <w:pPr>
      <w:pStyle w:val="Header"/>
      <w:tabs>
        <w:tab w:val="clear" w:pos="4320"/>
        <w:tab w:val="clear" w:pos="8640"/>
        <w:tab w:val="center" w:pos="4678"/>
        <w:tab w:val="right" w:pos="9781"/>
      </w:tabs>
      <w:ind w:left="0"/>
      <w:jc w:val="center"/>
      <w:rPr>
        <w:rFonts w:ascii="Comic Sans MS" w:hAnsi="Comic Sans MS"/>
      </w:rPr>
    </w:pPr>
    <w:r>
      <w:rPr>
        <w:b/>
        <w:color w:val="808080"/>
      </w:rPr>
      <w:t>Research Brief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9E90" w14:textId="77777777" w:rsidR="00E23715" w:rsidRDefault="00E23715" w:rsidP="00E23715">
    <w:pPr>
      <w:pStyle w:val="Header"/>
      <w:tabs>
        <w:tab w:val="clear" w:pos="4320"/>
        <w:tab w:val="clear" w:pos="8640"/>
        <w:tab w:val="center" w:pos="4678"/>
        <w:tab w:val="right" w:pos="9781"/>
      </w:tabs>
      <w:ind w:left="0"/>
      <w:rPr>
        <w:sz w:val="20"/>
      </w:rPr>
    </w:pPr>
    <w:r>
      <w:rPr>
        <w:sz w:val="20"/>
      </w:rPr>
      <w:t>HM Revenue and Customs</w:t>
    </w:r>
    <w:r>
      <w:rPr>
        <w:sz w:val="20"/>
      </w:rPr>
      <w:tab/>
    </w:r>
    <w:r>
      <w:rPr>
        <w:sz w:val="20"/>
      </w:rPr>
      <w:tab/>
      <w:t>Behavioural Evidence &amp; Insight Team</w:t>
    </w:r>
  </w:p>
  <w:p w14:paraId="2305B967" w14:textId="77777777" w:rsidR="00E23715" w:rsidRPr="00E23715" w:rsidRDefault="00E23715" w:rsidP="00E23715">
    <w:pPr>
      <w:pStyle w:val="Header"/>
      <w:tabs>
        <w:tab w:val="clear" w:pos="4320"/>
        <w:tab w:val="clear" w:pos="8640"/>
        <w:tab w:val="center" w:pos="4678"/>
        <w:tab w:val="right" w:pos="9781"/>
      </w:tabs>
      <w:ind w:left="0"/>
      <w:rPr>
        <w:sz w:val="20"/>
      </w:rPr>
    </w:pPr>
    <w:r>
      <w:rPr>
        <w:sz w:val="20"/>
      </w:rPr>
      <w:tab/>
    </w:r>
    <w:r>
      <w:rPr>
        <w:sz w:val="20"/>
      </w:rPr>
      <w:tab/>
    </w:r>
    <w:r>
      <w:rPr>
        <w:sz w:val="16"/>
      </w:rPr>
      <w:t>in Central Customer &amp; Strategy</w:t>
    </w:r>
    <w:r>
      <w:rPr>
        <w:sz w:val="16"/>
      </w:rPr>
      <w:tab/>
    </w:r>
  </w:p>
  <w:p w14:paraId="2DA67C03" w14:textId="77777777" w:rsidR="005C77F2" w:rsidRPr="005C77F2" w:rsidRDefault="005C77F2" w:rsidP="005C77F2">
    <w:pPr>
      <w:pStyle w:val="Header"/>
      <w:tabs>
        <w:tab w:val="clear" w:pos="4320"/>
        <w:tab w:val="clear" w:pos="8640"/>
        <w:tab w:val="center" w:pos="4678"/>
        <w:tab w:val="right" w:pos="9781"/>
      </w:tabs>
      <w:ind w:left="0"/>
      <w:jc w:val="center"/>
      <w:rPr>
        <w:rFonts w:ascii="Comic Sans MS" w:hAnsi="Comic Sans MS"/>
      </w:rPr>
    </w:pPr>
    <w:r>
      <w:rPr>
        <w:b/>
        <w:color w:val="808080"/>
      </w:rPr>
      <w:t>Terms &amp;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8445DE"/>
    <w:lvl w:ilvl="0">
      <w:numFmt w:val="bullet"/>
      <w:lvlText w:val="*"/>
      <w:lvlJc w:val="left"/>
    </w:lvl>
  </w:abstractNum>
  <w:abstractNum w:abstractNumId="1">
    <w:nsid w:val="0AF17999"/>
    <w:multiLevelType w:val="singleLevel"/>
    <w:tmpl w:val="5FD26750"/>
    <w:lvl w:ilvl="0">
      <w:start w:val="1"/>
      <w:numFmt w:val="decimal"/>
      <w:lvlText w:val="%1."/>
      <w:legacy w:legacy="1" w:legacySpace="0" w:legacyIndent="360"/>
      <w:lvlJc w:val="left"/>
      <w:pPr>
        <w:ind w:left="0" w:hanging="360"/>
      </w:pPr>
    </w:lvl>
  </w:abstractNum>
  <w:abstractNum w:abstractNumId="2">
    <w:nsid w:val="0E8540E8"/>
    <w:multiLevelType w:val="multilevel"/>
    <w:tmpl w:val="A04C2A7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0F69524A"/>
    <w:multiLevelType w:val="hybridMultilevel"/>
    <w:tmpl w:val="EC120934"/>
    <w:lvl w:ilvl="0" w:tplc="08090005">
      <w:start w:val="1"/>
      <w:numFmt w:val="bullet"/>
      <w:lvlText w:val=""/>
      <w:lvlJc w:val="left"/>
      <w:pPr>
        <w:tabs>
          <w:tab w:val="num" w:pos="1004"/>
        </w:tabs>
        <w:ind w:left="1004"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nsid w:val="1636513E"/>
    <w:multiLevelType w:val="hybridMultilevel"/>
    <w:tmpl w:val="F73A072A"/>
    <w:lvl w:ilvl="0" w:tplc="08090005">
      <w:start w:val="1"/>
      <w:numFmt w:val="bullet"/>
      <w:lvlText w:val=""/>
      <w:lvlJc w:val="left"/>
      <w:pPr>
        <w:tabs>
          <w:tab w:val="num" w:pos="1004"/>
        </w:tabs>
        <w:ind w:left="1004"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16AA1C4C"/>
    <w:multiLevelType w:val="hybridMultilevel"/>
    <w:tmpl w:val="7EE468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19D66F36"/>
    <w:multiLevelType w:val="hybridMultilevel"/>
    <w:tmpl w:val="860AD3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1C2C6D1A"/>
    <w:multiLevelType w:val="hybridMultilevel"/>
    <w:tmpl w:val="A04C2A7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nsid w:val="1DDF1F2E"/>
    <w:multiLevelType w:val="hybridMultilevel"/>
    <w:tmpl w:val="9D94D59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03D03E9"/>
    <w:multiLevelType w:val="multilevel"/>
    <w:tmpl w:val="43043FC2"/>
    <w:lvl w:ilvl="0">
      <w:start w:val="1"/>
      <w:numFmt w:val="decimal"/>
      <w:pStyle w:val="h1"/>
      <w:lvlText w:val="%1.0"/>
      <w:lvlJc w:val="left"/>
      <w:pPr>
        <w:tabs>
          <w:tab w:val="num" w:pos="720"/>
        </w:tabs>
        <w:ind w:left="720" w:hanging="720"/>
      </w:pPr>
    </w:lvl>
    <w:lvl w:ilvl="1">
      <w:start w:val="1"/>
      <w:numFmt w:val="decimal"/>
      <w:pStyle w:val="h2"/>
      <w:lvlText w:val="%1.%2."/>
      <w:lvlJc w:val="left"/>
      <w:pPr>
        <w:tabs>
          <w:tab w:val="num" w:pos="720"/>
        </w:tabs>
        <w:ind w:left="720" w:hanging="72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nsid w:val="31610E90"/>
    <w:multiLevelType w:val="hybridMultilevel"/>
    <w:tmpl w:val="634E3DE6"/>
    <w:lvl w:ilvl="0" w:tplc="40C2C92A">
      <w:start w:val="1"/>
      <w:numFmt w:val="bullet"/>
      <w:lvlText w:val="∙"/>
      <w:lvlJc w:val="left"/>
      <w:pPr>
        <w:tabs>
          <w:tab w:val="num" w:pos="720"/>
        </w:tabs>
        <w:ind w:left="720" w:hanging="360"/>
      </w:pPr>
      <w:rPr>
        <w:rFonts w:ascii="Arial Unicode MS" w:hAnsi="Arial Unicode MS" w:hint="default"/>
      </w:rPr>
    </w:lvl>
    <w:lvl w:ilvl="1" w:tplc="C6BA4F5A" w:tentative="1">
      <w:start w:val="1"/>
      <w:numFmt w:val="bullet"/>
      <w:lvlText w:val="∙"/>
      <w:lvlJc w:val="left"/>
      <w:pPr>
        <w:tabs>
          <w:tab w:val="num" w:pos="1440"/>
        </w:tabs>
        <w:ind w:left="1440" w:hanging="360"/>
      </w:pPr>
      <w:rPr>
        <w:rFonts w:ascii="Arial Unicode MS" w:hAnsi="Arial Unicode MS" w:hint="default"/>
      </w:rPr>
    </w:lvl>
    <w:lvl w:ilvl="2" w:tplc="C0B200DA">
      <w:start w:val="169"/>
      <w:numFmt w:val="bullet"/>
      <w:lvlText w:val="∙"/>
      <w:lvlJc w:val="left"/>
      <w:pPr>
        <w:tabs>
          <w:tab w:val="num" w:pos="2160"/>
        </w:tabs>
        <w:ind w:left="2160" w:hanging="360"/>
      </w:pPr>
      <w:rPr>
        <w:rFonts w:ascii="Arial Unicode MS" w:hAnsi="Arial Unicode MS" w:hint="default"/>
      </w:rPr>
    </w:lvl>
    <w:lvl w:ilvl="3" w:tplc="E46CACDC" w:tentative="1">
      <w:start w:val="1"/>
      <w:numFmt w:val="bullet"/>
      <w:lvlText w:val="∙"/>
      <w:lvlJc w:val="left"/>
      <w:pPr>
        <w:tabs>
          <w:tab w:val="num" w:pos="2880"/>
        </w:tabs>
        <w:ind w:left="2880" w:hanging="360"/>
      </w:pPr>
      <w:rPr>
        <w:rFonts w:ascii="Arial Unicode MS" w:hAnsi="Arial Unicode MS" w:hint="default"/>
      </w:rPr>
    </w:lvl>
    <w:lvl w:ilvl="4" w:tplc="EC728D74" w:tentative="1">
      <w:start w:val="1"/>
      <w:numFmt w:val="bullet"/>
      <w:lvlText w:val="∙"/>
      <w:lvlJc w:val="left"/>
      <w:pPr>
        <w:tabs>
          <w:tab w:val="num" w:pos="3600"/>
        </w:tabs>
        <w:ind w:left="3600" w:hanging="360"/>
      </w:pPr>
      <w:rPr>
        <w:rFonts w:ascii="Arial Unicode MS" w:hAnsi="Arial Unicode MS" w:hint="default"/>
      </w:rPr>
    </w:lvl>
    <w:lvl w:ilvl="5" w:tplc="192C2898" w:tentative="1">
      <w:start w:val="1"/>
      <w:numFmt w:val="bullet"/>
      <w:lvlText w:val="∙"/>
      <w:lvlJc w:val="left"/>
      <w:pPr>
        <w:tabs>
          <w:tab w:val="num" w:pos="4320"/>
        </w:tabs>
        <w:ind w:left="4320" w:hanging="360"/>
      </w:pPr>
      <w:rPr>
        <w:rFonts w:ascii="Arial Unicode MS" w:hAnsi="Arial Unicode MS" w:hint="default"/>
      </w:rPr>
    </w:lvl>
    <w:lvl w:ilvl="6" w:tplc="9D205920" w:tentative="1">
      <w:start w:val="1"/>
      <w:numFmt w:val="bullet"/>
      <w:lvlText w:val="∙"/>
      <w:lvlJc w:val="left"/>
      <w:pPr>
        <w:tabs>
          <w:tab w:val="num" w:pos="5040"/>
        </w:tabs>
        <w:ind w:left="5040" w:hanging="360"/>
      </w:pPr>
      <w:rPr>
        <w:rFonts w:ascii="Arial Unicode MS" w:hAnsi="Arial Unicode MS" w:hint="default"/>
      </w:rPr>
    </w:lvl>
    <w:lvl w:ilvl="7" w:tplc="A2C8753A" w:tentative="1">
      <w:start w:val="1"/>
      <w:numFmt w:val="bullet"/>
      <w:lvlText w:val="∙"/>
      <w:lvlJc w:val="left"/>
      <w:pPr>
        <w:tabs>
          <w:tab w:val="num" w:pos="5760"/>
        </w:tabs>
        <w:ind w:left="5760" w:hanging="360"/>
      </w:pPr>
      <w:rPr>
        <w:rFonts w:ascii="Arial Unicode MS" w:hAnsi="Arial Unicode MS" w:hint="default"/>
      </w:rPr>
    </w:lvl>
    <w:lvl w:ilvl="8" w:tplc="96D6368C" w:tentative="1">
      <w:start w:val="1"/>
      <w:numFmt w:val="bullet"/>
      <w:lvlText w:val="∙"/>
      <w:lvlJc w:val="left"/>
      <w:pPr>
        <w:tabs>
          <w:tab w:val="num" w:pos="6480"/>
        </w:tabs>
        <w:ind w:left="6480" w:hanging="360"/>
      </w:pPr>
      <w:rPr>
        <w:rFonts w:ascii="Arial Unicode MS" w:hAnsi="Arial Unicode MS" w:hint="default"/>
      </w:rPr>
    </w:lvl>
  </w:abstractNum>
  <w:abstractNum w:abstractNumId="11">
    <w:nsid w:val="39610161"/>
    <w:multiLevelType w:val="hybridMultilevel"/>
    <w:tmpl w:val="28BC198C"/>
    <w:lvl w:ilvl="0" w:tplc="5D90E83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nsid w:val="3DE36937"/>
    <w:multiLevelType w:val="hybridMultilevel"/>
    <w:tmpl w:val="1F6C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F67202"/>
    <w:multiLevelType w:val="hybridMultilevel"/>
    <w:tmpl w:val="81C2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6516C2"/>
    <w:multiLevelType w:val="singleLevel"/>
    <w:tmpl w:val="7C70756C"/>
    <w:lvl w:ilvl="0">
      <w:start w:val="1"/>
      <w:numFmt w:val="decimal"/>
      <w:lvlText w:val="%1."/>
      <w:legacy w:legacy="1" w:legacySpace="0" w:legacyIndent="360"/>
      <w:lvlJc w:val="left"/>
      <w:pPr>
        <w:ind w:left="360" w:hanging="360"/>
      </w:pPr>
    </w:lvl>
  </w:abstractNum>
  <w:abstractNum w:abstractNumId="15">
    <w:nsid w:val="4C937074"/>
    <w:multiLevelType w:val="hybridMultilevel"/>
    <w:tmpl w:val="E25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2B007B"/>
    <w:multiLevelType w:val="hybridMultilevel"/>
    <w:tmpl w:val="45121936"/>
    <w:lvl w:ilvl="0" w:tplc="0DCE18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CEE6652"/>
    <w:multiLevelType w:val="hybridMultilevel"/>
    <w:tmpl w:val="2D2C7D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5DF9601F"/>
    <w:multiLevelType w:val="hybridMultilevel"/>
    <w:tmpl w:val="BC82473A"/>
    <w:lvl w:ilvl="0" w:tplc="FB6CE9D0">
      <w:start w:val="1"/>
      <w:numFmt w:val="decimal"/>
      <w:lvlText w:val="%1)"/>
      <w:lvlJc w:val="left"/>
      <w:pPr>
        <w:tabs>
          <w:tab w:val="num" w:pos="1065"/>
        </w:tabs>
        <w:ind w:left="1065" w:hanging="360"/>
      </w:pPr>
      <w:rPr>
        <w:rFonts w:hint="default"/>
        <w:b w:val="0"/>
        <w:i w:val="0"/>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9">
    <w:nsid w:val="63A208A9"/>
    <w:multiLevelType w:val="hybridMultilevel"/>
    <w:tmpl w:val="A4889414"/>
    <w:lvl w:ilvl="0" w:tplc="B62AF282">
      <w:start w:val="1"/>
      <w:numFmt w:val="bullet"/>
      <w:lvlText w:val=""/>
      <w:lvlJc w:val="left"/>
      <w:pPr>
        <w:tabs>
          <w:tab w:val="num" w:pos="1425"/>
        </w:tabs>
        <w:ind w:left="1425" w:hanging="360"/>
      </w:pPr>
      <w:rPr>
        <w:rFonts w:ascii="Symbol" w:hAnsi="Symbol" w:hint="default"/>
        <w:b w:val="0"/>
        <w:i w:val="0"/>
        <w:color w:val="auto"/>
        <w:sz w:val="22"/>
        <w:szCs w:val="22"/>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nsid w:val="68931789"/>
    <w:multiLevelType w:val="hybridMultilevel"/>
    <w:tmpl w:val="4C70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F7168D"/>
    <w:multiLevelType w:val="hybridMultilevel"/>
    <w:tmpl w:val="66E24618"/>
    <w:lvl w:ilvl="0" w:tplc="9062A6A4">
      <w:numFmt w:val="bullet"/>
      <w:lvlText w:val="-"/>
      <w:lvlJc w:val="left"/>
      <w:pPr>
        <w:tabs>
          <w:tab w:val="num" w:pos="644"/>
        </w:tabs>
        <w:ind w:left="644" w:hanging="360"/>
      </w:pPr>
      <w:rPr>
        <w:rFonts w:ascii="Arial" w:eastAsia="Times New Roman" w:hAnsi="Arial" w:cs="Aria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nsid w:val="74B05209"/>
    <w:multiLevelType w:val="hybridMultilevel"/>
    <w:tmpl w:val="F51853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nsid w:val="762D6EC9"/>
    <w:multiLevelType w:val="hybridMultilevel"/>
    <w:tmpl w:val="A33248A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nsid w:val="7E9037F8"/>
    <w:multiLevelType w:val="multilevel"/>
    <w:tmpl w:val="D6787448"/>
    <w:lvl w:ilvl="0">
      <w:start w:val="7"/>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num w:numId="1">
    <w:abstractNumId w:val="1"/>
  </w:num>
  <w:num w:numId="2">
    <w:abstractNumId w:val="14"/>
  </w:num>
  <w:num w:numId="3">
    <w:abstractNumId w:val="23"/>
  </w:num>
  <w:num w:numId="4">
    <w:abstractNumId w:val="21"/>
  </w:num>
  <w:num w:numId="5">
    <w:abstractNumId w:val="9"/>
  </w:num>
  <w:num w:numId="6">
    <w:abstractNumId w:val="8"/>
  </w:num>
  <w:num w:numId="7">
    <w:abstractNumId w:val="20"/>
  </w:num>
  <w:num w:numId="8">
    <w:abstractNumId w:val="24"/>
  </w:num>
  <w:num w:numId="9">
    <w:abstractNumId w:val="7"/>
  </w:num>
  <w:num w:numId="10">
    <w:abstractNumId w:val="2"/>
  </w:num>
  <w:num w:numId="11">
    <w:abstractNumId w:val="11"/>
  </w:num>
  <w:num w:numId="12">
    <w:abstractNumId w:val="19"/>
  </w:num>
  <w:num w:numId="13">
    <w:abstractNumId w:val="10"/>
  </w:num>
  <w:num w:numId="14">
    <w:abstractNumId w:val="0"/>
    <w:lvlOverride w:ilvl="0">
      <w:lvl w:ilvl="0">
        <w:numFmt w:val="bullet"/>
        <w:lvlText w:val="•"/>
        <w:legacy w:legacy="1" w:legacySpace="0" w:legacyIndent="0"/>
        <w:lvlJc w:val="left"/>
        <w:rPr>
          <w:rFonts w:ascii="Arial" w:hAnsi="Arial" w:cs="Arial" w:hint="default"/>
          <w:sz w:val="22"/>
          <w:szCs w:val="22"/>
        </w:rPr>
      </w:lvl>
    </w:lvlOverride>
  </w:num>
  <w:num w:numId="15">
    <w:abstractNumId w:val="18"/>
  </w:num>
  <w:num w:numId="16">
    <w:abstractNumId w:val="16"/>
  </w:num>
  <w:num w:numId="17">
    <w:abstractNumId w:val="13"/>
  </w:num>
  <w:num w:numId="18">
    <w:abstractNumId w:val="12"/>
  </w:num>
  <w:num w:numId="19">
    <w:abstractNumId w:val="17"/>
  </w:num>
  <w:num w:numId="20">
    <w:abstractNumId w:val="6"/>
  </w:num>
  <w:num w:numId="21">
    <w:abstractNumId w:val="3"/>
  </w:num>
  <w:num w:numId="22">
    <w:abstractNumId w:val="4"/>
  </w:num>
  <w:num w:numId="23">
    <w:abstractNumId w:val="22"/>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D"/>
    <w:rsid w:val="0000767C"/>
    <w:rsid w:val="00013229"/>
    <w:rsid w:val="00020A11"/>
    <w:rsid w:val="0002219C"/>
    <w:rsid w:val="00022B4C"/>
    <w:rsid w:val="000546CD"/>
    <w:rsid w:val="00055A46"/>
    <w:rsid w:val="00060059"/>
    <w:rsid w:val="00061407"/>
    <w:rsid w:val="00076C99"/>
    <w:rsid w:val="000A10FC"/>
    <w:rsid w:val="000A14EA"/>
    <w:rsid w:val="000B124D"/>
    <w:rsid w:val="000B4151"/>
    <w:rsid w:val="000B58B8"/>
    <w:rsid w:val="000D45B5"/>
    <w:rsid w:val="000D6201"/>
    <w:rsid w:val="000F0120"/>
    <w:rsid w:val="00102154"/>
    <w:rsid w:val="001049D9"/>
    <w:rsid w:val="00117517"/>
    <w:rsid w:val="00123A28"/>
    <w:rsid w:val="00142251"/>
    <w:rsid w:val="001423C9"/>
    <w:rsid w:val="00145384"/>
    <w:rsid w:val="00150B9C"/>
    <w:rsid w:val="00170B8F"/>
    <w:rsid w:val="00171746"/>
    <w:rsid w:val="00185C44"/>
    <w:rsid w:val="00197C28"/>
    <w:rsid w:val="001A4B90"/>
    <w:rsid w:val="001C38C9"/>
    <w:rsid w:val="001C5EE6"/>
    <w:rsid w:val="001C7B1E"/>
    <w:rsid w:val="001E036C"/>
    <w:rsid w:val="001F20A3"/>
    <w:rsid w:val="00226257"/>
    <w:rsid w:val="002440AB"/>
    <w:rsid w:val="00254BD9"/>
    <w:rsid w:val="00256706"/>
    <w:rsid w:val="00265886"/>
    <w:rsid w:val="00280A75"/>
    <w:rsid w:val="00283F16"/>
    <w:rsid w:val="002A199A"/>
    <w:rsid w:val="002A5D1E"/>
    <w:rsid w:val="002B61CD"/>
    <w:rsid w:val="002F46D0"/>
    <w:rsid w:val="002F63A0"/>
    <w:rsid w:val="0030500B"/>
    <w:rsid w:val="003100F4"/>
    <w:rsid w:val="00343DDE"/>
    <w:rsid w:val="00356184"/>
    <w:rsid w:val="00370501"/>
    <w:rsid w:val="00391617"/>
    <w:rsid w:val="003A4EDB"/>
    <w:rsid w:val="003B4018"/>
    <w:rsid w:val="003B47BF"/>
    <w:rsid w:val="00410E22"/>
    <w:rsid w:val="0044264F"/>
    <w:rsid w:val="00445C17"/>
    <w:rsid w:val="004600FE"/>
    <w:rsid w:val="0048444A"/>
    <w:rsid w:val="00485F84"/>
    <w:rsid w:val="00493B05"/>
    <w:rsid w:val="004D083F"/>
    <w:rsid w:val="0051568D"/>
    <w:rsid w:val="00545F32"/>
    <w:rsid w:val="005472B8"/>
    <w:rsid w:val="0055718A"/>
    <w:rsid w:val="005643B9"/>
    <w:rsid w:val="005646CA"/>
    <w:rsid w:val="00573CFA"/>
    <w:rsid w:val="00584326"/>
    <w:rsid w:val="005901BA"/>
    <w:rsid w:val="005A0297"/>
    <w:rsid w:val="005A1EE8"/>
    <w:rsid w:val="005A6013"/>
    <w:rsid w:val="005C77F2"/>
    <w:rsid w:val="005D20D8"/>
    <w:rsid w:val="005D5EF6"/>
    <w:rsid w:val="005E2B70"/>
    <w:rsid w:val="005E689F"/>
    <w:rsid w:val="005F1320"/>
    <w:rsid w:val="005F555C"/>
    <w:rsid w:val="006051E5"/>
    <w:rsid w:val="00607468"/>
    <w:rsid w:val="00631821"/>
    <w:rsid w:val="00653B05"/>
    <w:rsid w:val="00661744"/>
    <w:rsid w:val="006816A9"/>
    <w:rsid w:val="0069164B"/>
    <w:rsid w:val="00692025"/>
    <w:rsid w:val="0069382D"/>
    <w:rsid w:val="00695CC3"/>
    <w:rsid w:val="006A40CB"/>
    <w:rsid w:val="006A6648"/>
    <w:rsid w:val="006B4DA4"/>
    <w:rsid w:val="006B6632"/>
    <w:rsid w:val="006D2A5D"/>
    <w:rsid w:val="007000BA"/>
    <w:rsid w:val="00702421"/>
    <w:rsid w:val="00703A66"/>
    <w:rsid w:val="00735AEF"/>
    <w:rsid w:val="00767049"/>
    <w:rsid w:val="007735F7"/>
    <w:rsid w:val="00785F6C"/>
    <w:rsid w:val="007B7E41"/>
    <w:rsid w:val="007C1A44"/>
    <w:rsid w:val="007C1C62"/>
    <w:rsid w:val="007C1D15"/>
    <w:rsid w:val="007C475D"/>
    <w:rsid w:val="007C4D93"/>
    <w:rsid w:val="007C4F4C"/>
    <w:rsid w:val="007E2DAE"/>
    <w:rsid w:val="00804465"/>
    <w:rsid w:val="00825DD1"/>
    <w:rsid w:val="00845C18"/>
    <w:rsid w:val="00853DFB"/>
    <w:rsid w:val="00857763"/>
    <w:rsid w:val="00883D57"/>
    <w:rsid w:val="00886CD9"/>
    <w:rsid w:val="008B6AE6"/>
    <w:rsid w:val="008D4FC8"/>
    <w:rsid w:val="008D6F85"/>
    <w:rsid w:val="008F3122"/>
    <w:rsid w:val="008F32A4"/>
    <w:rsid w:val="00904AE4"/>
    <w:rsid w:val="00910400"/>
    <w:rsid w:val="00923C57"/>
    <w:rsid w:val="009331EA"/>
    <w:rsid w:val="009363E2"/>
    <w:rsid w:val="009437B1"/>
    <w:rsid w:val="0094744D"/>
    <w:rsid w:val="0098686B"/>
    <w:rsid w:val="00986C95"/>
    <w:rsid w:val="00993700"/>
    <w:rsid w:val="00996058"/>
    <w:rsid w:val="009B0CFD"/>
    <w:rsid w:val="009B13A5"/>
    <w:rsid w:val="009B145A"/>
    <w:rsid w:val="009C404C"/>
    <w:rsid w:val="009C6DC3"/>
    <w:rsid w:val="009E4830"/>
    <w:rsid w:val="009E6E4C"/>
    <w:rsid w:val="009F136E"/>
    <w:rsid w:val="009F7AE9"/>
    <w:rsid w:val="00A01001"/>
    <w:rsid w:val="00A01C9D"/>
    <w:rsid w:val="00A10C0E"/>
    <w:rsid w:val="00A13217"/>
    <w:rsid w:val="00A23485"/>
    <w:rsid w:val="00A64E3F"/>
    <w:rsid w:val="00A66FBA"/>
    <w:rsid w:val="00A754B5"/>
    <w:rsid w:val="00A775B5"/>
    <w:rsid w:val="00A902FA"/>
    <w:rsid w:val="00A962AD"/>
    <w:rsid w:val="00AA10EB"/>
    <w:rsid w:val="00AA516C"/>
    <w:rsid w:val="00AB06F5"/>
    <w:rsid w:val="00AB15C7"/>
    <w:rsid w:val="00AC3A07"/>
    <w:rsid w:val="00AC538F"/>
    <w:rsid w:val="00AE4890"/>
    <w:rsid w:val="00AF0EA9"/>
    <w:rsid w:val="00AF6CE6"/>
    <w:rsid w:val="00B14108"/>
    <w:rsid w:val="00B31EAA"/>
    <w:rsid w:val="00B5400E"/>
    <w:rsid w:val="00B80E43"/>
    <w:rsid w:val="00B92272"/>
    <w:rsid w:val="00BD321A"/>
    <w:rsid w:val="00BF1220"/>
    <w:rsid w:val="00BF64C7"/>
    <w:rsid w:val="00C023AB"/>
    <w:rsid w:val="00C047E0"/>
    <w:rsid w:val="00C4537B"/>
    <w:rsid w:val="00C508D1"/>
    <w:rsid w:val="00C64593"/>
    <w:rsid w:val="00C80AF7"/>
    <w:rsid w:val="00C84211"/>
    <w:rsid w:val="00C84980"/>
    <w:rsid w:val="00C93DB4"/>
    <w:rsid w:val="00C95CF1"/>
    <w:rsid w:val="00CA0586"/>
    <w:rsid w:val="00CA12F9"/>
    <w:rsid w:val="00CD1056"/>
    <w:rsid w:val="00CD1BA6"/>
    <w:rsid w:val="00D01F7A"/>
    <w:rsid w:val="00D02ED4"/>
    <w:rsid w:val="00D644C6"/>
    <w:rsid w:val="00D8667F"/>
    <w:rsid w:val="00D940F5"/>
    <w:rsid w:val="00DA44D1"/>
    <w:rsid w:val="00DB4D47"/>
    <w:rsid w:val="00DD2807"/>
    <w:rsid w:val="00DD7AFC"/>
    <w:rsid w:val="00E23715"/>
    <w:rsid w:val="00E33FF8"/>
    <w:rsid w:val="00E4095D"/>
    <w:rsid w:val="00E5177D"/>
    <w:rsid w:val="00E53E05"/>
    <w:rsid w:val="00E578CD"/>
    <w:rsid w:val="00E72E14"/>
    <w:rsid w:val="00E756C5"/>
    <w:rsid w:val="00E8400A"/>
    <w:rsid w:val="00E902BD"/>
    <w:rsid w:val="00E94B8C"/>
    <w:rsid w:val="00EA26AF"/>
    <w:rsid w:val="00EA5991"/>
    <w:rsid w:val="00EA73EF"/>
    <w:rsid w:val="00EA7514"/>
    <w:rsid w:val="00EB536A"/>
    <w:rsid w:val="00ED1F5E"/>
    <w:rsid w:val="00ED41FD"/>
    <w:rsid w:val="00ED70D4"/>
    <w:rsid w:val="00EE4FC5"/>
    <w:rsid w:val="00EF5F92"/>
    <w:rsid w:val="00F0328B"/>
    <w:rsid w:val="00F12DCB"/>
    <w:rsid w:val="00F244DF"/>
    <w:rsid w:val="00F3578F"/>
    <w:rsid w:val="00F47564"/>
    <w:rsid w:val="00F73A62"/>
    <w:rsid w:val="00F744D5"/>
    <w:rsid w:val="00F9042B"/>
    <w:rsid w:val="00FB62C5"/>
    <w:rsid w:val="00FC1593"/>
    <w:rsid w:val="00FD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28B455"/>
  <w15:chartTrackingRefBased/>
  <w15:docId w15:val="{1B17A882-7BC2-4968-8D89-EDD2836B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84"/>
    <w:pPr>
      <w:ind w:left="284"/>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72"/>
    </w:rPr>
  </w:style>
  <w:style w:type="paragraph" w:styleId="Heading4">
    <w:name w:val="heading 4"/>
    <w:basedOn w:val="Normal"/>
    <w:next w:val="Normal"/>
    <w:qFormat/>
    <w:pPr>
      <w:keepNext/>
      <w:outlineLvl w:val="3"/>
    </w:pPr>
    <w:rPr>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questions">
    <w:name w:val="questions"/>
    <w:next w:val="Normal"/>
    <w:rsid w:val="00DB4D47"/>
    <w:pPr>
      <w:spacing w:after="120"/>
      <w:contextualSpacing/>
    </w:pPr>
    <w:rPr>
      <w:b/>
      <w:i/>
      <w:color w:val="7A0043"/>
      <w:sz w:val="32"/>
      <w:szCs w:val="32"/>
    </w:rPr>
  </w:style>
  <w:style w:type="table" w:styleId="TableGrid">
    <w:name w:val="Table Grid"/>
    <w:basedOn w:val="TableNormal"/>
    <w:rsid w:val="002B61CD"/>
    <w:pPr>
      <w:ind w:left="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s">
    <w:name w:val="Terms"/>
    <w:basedOn w:val="Normal"/>
    <w:autoRedefine/>
    <w:rsid w:val="00A754B5"/>
    <w:pPr>
      <w:spacing w:before="120" w:after="120"/>
      <w:ind w:left="0"/>
      <w:contextualSpacing/>
    </w:pPr>
    <w:rPr>
      <w:rFonts w:ascii="Times New Roman" w:hAnsi="Times New Roman"/>
      <w:b/>
      <w:i/>
      <w:color w:val="7A0043"/>
      <w:sz w:val="28"/>
      <w:szCs w:val="32"/>
    </w:rPr>
  </w:style>
  <w:style w:type="paragraph" w:customStyle="1" w:styleId="conditions">
    <w:name w:val="conditions"/>
    <w:basedOn w:val="Normal"/>
    <w:rsid w:val="00A754B5"/>
    <w:pPr>
      <w:spacing w:after="120"/>
      <w:jc w:val="both"/>
    </w:pPr>
    <w:rPr>
      <w:sz w:val="20"/>
    </w:rPr>
  </w:style>
  <w:style w:type="paragraph" w:customStyle="1" w:styleId="conditionindent">
    <w:name w:val="condition indent"/>
    <w:basedOn w:val="conditions"/>
    <w:rsid w:val="00A754B5"/>
    <w:pPr>
      <w:ind w:left="1440"/>
      <w:contextualSpacing/>
    </w:pPr>
  </w:style>
  <w:style w:type="paragraph" w:customStyle="1" w:styleId="CharCharCharCharCharCharCharCharCharChar">
    <w:name w:val="Char Char Char Char Char Char Char Char Char Char"/>
    <w:basedOn w:val="Normal"/>
    <w:rsid w:val="00A775B5"/>
    <w:pPr>
      <w:spacing w:after="160" w:line="240" w:lineRule="exact"/>
      <w:ind w:left="0"/>
    </w:pPr>
    <w:rPr>
      <w:rFonts w:ascii="Tahoma" w:hAnsi="Tahoma" w:cs="Tahoma"/>
      <w:sz w:val="20"/>
      <w:lang w:val="en-US" w:eastAsia="en-US"/>
    </w:rPr>
  </w:style>
  <w:style w:type="paragraph" w:customStyle="1" w:styleId="h1">
    <w:name w:val="h1"/>
    <w:basedOn w:val="Normal"/>
    <w:next w:val="h2"/>
    <w:rsid w:val="00584326"/>
    <w:pPr>
      <w:numPr>
        <w:numId w:val="5"/>
      </w:numPr>
      <w:spacing w:after="120"/>
    </w:pPr>
    <w:rPr>
      <w:rFonts w:ascii="Frutiger 45 Light" w:hAnsi="Frutiger 45 Light"/>
      <w:b/>
      <w:caps/>
      <w:sz w:val="22"/>
      <w:lang w:val="en-US" w:eastAsia="en-US"/>
    </w:rPr>
  </w:style>
  <w:style w:type="paragraph" w:customStyle="1" w:styleId="h2">
    <w:name w:val="h2"/>
    <w:basedOn w:val="h1"/>
    <w:rsid w:val="00584326"/>
    <w:pPr>
      <w:numPr>
        <w:ilvl w:val="1"/>
      </w:numPr>
    </w:pPr>
    <w:rPr>
      <w:b w:val="0"/>
      <w:caps w:val="0"/>
    </w:rPr>
  </w:style>
  <w:style w:type="character" w:styleId="CommentReference">
    <w:name w:val="annotation reference"/>
    <w:semiHidden/>
    <w:rsid w:val="00607468"/>
    <w:rPr>
      <w:sz w:val="16"/>
      <w:szCs w:val="16"/>
    </w:rPr>
  </w:style>
  <w:style w:type="paragraph" w:styleId="CommentText">
    <w:name w:val="annotation text"/>
    <w:basedOn w:val="Normal"/>
    <w:semiHidden/>
    <w:rsid w:val="00607468"/>
    <w:pPr>
      <w:ind w:left="0"/>
    </w:pPr>
    <w:rPr>
      <w:rFonts w:cs="Arial"/>
      <w:sz w:val="20"/>
      <w:lang w:eastAsia="en-US"/>
    </w:rPr>
  </w:style>
  <w:style w:type="paragraph" w:styleId="BalloonText">
    <w:name w:val="Balloon Text"/>
    <w:basedOn w:val="Normal"/>
    <w:semiHidden/>
    <w:rsid w:val="00607468"/>
    <w:rPr>
      <w:rFonts w:ascii="Tahoma" w:hAnsi="Tahoma" w:cs="Tahoma"/>
      <w:sz w:val="16"/>
      <w:szCs w:val="16"/>
    </w:rPr>
  </w:style>
  <w:style w:type="paragraph" w:styleId="CommentSubject">
    <w:name w:val="annotation subject"/>
    <w:basedOn w:val="CommentText"/>
    <w:next w:val="CommentText"/>
    <w:semiHidden/>
    <w:rsid w:val="00607468"/>
    <w:pPr>
      <w:ind w:left="284"/>
    </w:pPr>
    <w:rPr>
      <w:rFonts w:cs="Times New Roman"/>
      <w:b/>
      <w:bCs/>
      <w:lang w:eastAsia="en-GB"/>
    </w:rPr>
  </w:style>
  <w:style w:type="paragraph" w:styleId="ListParagraph">
    <w:name w:val="List Paragraph"/>
    <w:basedOn w:val="Normal"/>
    <w:uiPriority w:val="34"/>
    <w:qFormat/>
    <w:rsid w:val="00C95CF1"/>
    <w:pPr>
      <w:ind w:left="720"/>
      <w:contextualSpacing/>
    </w:pPr>
  </w:style>
  <w:style w:type="paragraph" w:styleId="Revision">
    <w:name w:val="Revision"/>
    <w:hidden/>
    <w:uiPriority w:val="99"/>
    <w:semiHidden/>
    <w:rsid w:val="00B5400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2106">
      <w:bodyDiv w:val="1"/>
      <w:marLeft w:val="0"/>
      <w:marRight w:val="0"/>
      <w:marTop w:val="0"/>
      <w:marBottom w:val="0"/>
      <w:divBdr>
        <w:top w:val="none" w:sz="0" w:space="0" w:color="auto"/>
        <w:left w:val="none" w:sz="0" w:space="0" w:color="auto"/>
        <w:bottom w:val="none" w:sz="0" w:space="0" w:color="auto"/>
        <w:right w:val="none" w:sz="0" w:space="0" w:color="auto"/>
      </w:divBdr>
    </w:div>
    <w:div w:id="13179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venuebenefits.org.uk/tax-credits/transition-to-universal-credit/stopping-tax-credi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universal-credit-and-tax-credit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2229</Words>
  <Characters>11694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BRAND / CATEGORY GROUP:</vt:lpstr>
    </vt:vector>
  </TitlesOfParts>
  <Company>Unilever</Company>
  <LinksUpToDate>false</LinksUpToDate>
  <CharactersWithSpaces>13896</CharactersWithSpaces>
  <SharedDoc>false</SharedDoc>
  <HLinks>
    <vt:vector size="6" baseType="variant">
      <vt:variant>
        <vt:i4>2621474</vt:i4>
      </vt:variant>
      <vt:variant>
        <vt:i4>0</vt:i4>
      </vt:variant>
      <vt:variant>
        <vt:i4>0</vt:i4>
      </vt:variant>
      <vt:variant>
        <vt:i4>5</vt:i4>
      </vt:variant>
      <vt:variant>
        <vt:lpwstr>https://www.gov.uk/renewing-your-tax-credits-claim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 CATEGORY GROUP:</dc:title>
  <dc:subject/>
  <dc:creator>Uma Kushalappa</dc:creator>
  <cp:keywords/>
  <dc:description/>
  <cp:lastModifiedBy>3978176</cp:lastModifiedBy>
  <cp:revision>2</cp:revision>
  <cp:lastPrinted>2014-09-29T16:47:00Z</cp:lastPrinted>
  <dcterms:created xsi:type="dcterms:W3CDTF">2015-03-26T08:26:00Z</dcterms:created>
  <dcterms:modified xsi:type="dcterms:W3CDTF">2015-03-26T08:26:00Z</dcterms:modified>
</cp:coreProperties>
</file>