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1C6" w:rsidRPr="005921C6" w:rsidRDefault="005921C6" w:rsidP="005921C6">
      <w:pPr>
        <w:pStyle w:val="NoSpacing"/>
        <w:spacing w:line="360" w:lineRule="auto"/>
        <w:jc w:val="both"/>
        <w:rPr>
          <w:rFonts w:ascii="Arial" w:hAnsi="Arial" w:cs="Arial"/>
        </w:rPr>
      </w:pPr>
      <w:r w:rsidRPr="005921C6">
        <w:rPr>
          <w:rFonts w:ascii="Arial" w:hAnsi="Arial" w:cs="Arial"/>
          <w:noProof/>
          <w:lang w:val="en-GB" w:eastAsia="en-GB"/>
        </w:rPr>
        <w:drawing>
          <wp:anchor distT="0" distB="0" distL="114300" distR="114300" simplePos="0" relativeHeight="251659264" behindDoc="0" locked="0" layoutInCell="1" allowOverlap="1">
            <wp:simplePos x="0" y="0"/>
            <wp:positionH relativeFrom="column">
              <wp:posOffset>-45085</wp:posOffset>
            </wp:positionH>
            <wp:positionV relativeFrom="paragraph">
              <wp:posOffset>-276860</wp:posOffset>
            </wp:positionV>
            <wp:extent cx="1235075" cy="1031240"/>
            <wp:effectExtent l="1905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35075" cy="1031240"/>
                    </a:xfrm>
                    <a:prstGeom prst="rect">
                      <a:avLst/>
                    </a:prstGeom>
                    <a:noFill/>
                    <a:ln w="9525">
                      <a:noFill/>
                      <a:miter lim="800000"/>
                      <a:headEnd/>
                      <a:tailEnd/>
                    </a:ln>
                  </pic:spPr>
                </pic:pic>
              </a:graphicData>
            </a:graphic>
          </wp:anchor>
        </w:drawing>
      </w:r>
      <w:r w:rsidRPr="005921C6">
        <w:rPr>
          <w:rFonts w:ascii="Arial" w:hAnsi="Arial" w:cs="Arial"/>
        </w:rPr>
        <w:t xml:space="preserve">UK Cross Government Prosperity Fund </w:t>
      </w:r>
    </w:p>
    <w:p w:rsidR="005921C6" w:rsidRPr="005921C6" w:rsidRDefault="005921C6" w:rsidP="005921C6">
      <w:pPr>
        <w:pStyle w:val="NoSpacing"/>
        <w:spacing w:line="360" w:lineRule="auto"/>
        <w:jc w:val="both"/>
        <w:rPr>
          <w:rFonts w:ascii="Arial" w:hAnsi="Arial" w:cs="Arial"/>
          <w:b/>
        </w:rPr>
      </w:pPr>
      <w:r w:rsidRPr="005921C6">
        <w:rPr>
          <w:rFonts w:ascii="Arial" w:hAnsi="Arial" w:cs="Arial"/>
          <w:b/>
        </w:rPr>
        <w:t xml:space="preserve">South East Asia Low Carbon Energy Programme </w:t>
      </w:r>
    </w:p>
    <w:p w:rsidR="005921C6" w:rsidRPr="005921C6" w:rsidRDefault="005921C6" w:rsidP="005921C6">
      <w:pPr>
        <w:pStyle w:val="NoSpacing"/>
        <w:spacing w:line="360" w:lineRule="auto"/>
        <w:jc w:val="both"/>
        <w:rPr>
          <w:rFonts w:ascii="Arial" w:hAnsi="Arial" w:cs="Arial"/>
          <w:sz w:val="32"/>
          <w:u w:val="single"/>
        </w:rPr>
      </w:pPr>
      <w:r w:rsidRPr="005921C6">
        <w:rPr>
          <w:rFonts w:ascii="Arial" w:hAnsi="Arial" w:cs="Arial"/>
          <w:sz w:val="32"/>
          <w:u w:val="single"/>
        </w:rPr>
        <w:t>OVERVIEW</w:t>
      </w:r>
    </w:p>
    <w:p w:rsidR="005921C6" w:rsidRDefault="005921C6" w:rsidP="005921C6">
      <w:pPr>
        <w:pStyle w:val="NoSpacing"/>
        <w:jc w:val="both"/>
        <w:rPr>
          <w:rFonts w:asciiTheme="majorHAnsi" w:hAnsiTheme="majorHAnsi" w:cs="Arial"/>
        </w:rPr>
      </w:pPr>
    </w:p>
    <w:p w:rsidR="005921C6" w:rsidRDefault="005921C6" w:rsidP="005921C6">
      <w:pPr>
        <w:pStyle w:val="NoSpacing"/>
        <w:jc w:val="both"/>
        <w:rPr>
          <w:rFonts w:asciiTheme="majorHAnsi" w:hAnsiTheme="majorHAnsi" w:cs="Arial"/>
        </w:rPr>
      </w:pPr>
    </w:p>
    <w:p w:rsidR="005921C6" w:rsidRPr="005921C6" w:rsidRDefault="005921C6" w:rsidP="005921C6">
      <w:pPr>
        <w:pStyle w:val="NoSpacing"/>
        <w:jc w:val="both"/>
        <w:rPr>
          <w:rFonts w:ascii="Arial" w:hAnsi="Arial" w:cs="Arial"/>
        </w:rPr>
      </w:pPr>
      <w:r w:rsidRPr="005921C6">
        <w:rPr>
          <w:rFonts w:ascii="Arial" w:hAnsi="Arial" w:cs="Arial"/>
        </w:rPr>
        <w:t xml:space="preserve">The SEA Low Carbon Energy Programme aims to improve the conditions and potential for the development of carbon energy in targeted countries in SE Asia focusing on areas of green finance and energy efficiency. This supports sector-specific Prosperity Fund, delivering high-impact, multi-year programmes across high opportunity ODA-eligible countries, regions and sectors in accordance with the Official Development Assistance rules, the International Development Act (2002) and the Gender Equality Act (2014). </w:t>
      </w:r>
      <w:bookmarkStart w:id="0" w:name="_GoBack"/>
      <w:bookmarkEnd w:id="0"/>
    </w:p>
    <w:p w:rsidR="005921C6" w:rsidRPr="005921C6" w:rsidRDefault="005921C6" w:rsidP="005921C6">
      <w:pPr>
        <w:pStyle w:val="NoSpacing"/>
        <w:jc w:val="both"/>
        <w:rPr>
          <w:rFonts w:ascii="Arial" w:hAnsi="Arial" w:cs="Arial"/>
        </w:rPr>
      </w:pPr>
    </w:p>
    <w:p w:rsidR="005921C6" w:rsidRDefault="005921C6" w:rsidP="005921C6">
      <w:pPr>
        <w:pStyle w:val="NoSpacing"/>
        <w:jc w:val="both"/>
        <w:rPr>
          <w:rFonts w:ascii="Arial" w:hAnsi="Arial" w:cs="Arial"/>
        </w:rPr>
      </w:pPr>
      <w:r w:rsidRPr="005921C6">
        <w:rPr>
          <w:rFonts w:ascii="Arial" w:hAnsi="Arial" w:cs="Arial"/>
        </w:rPr>
        <w:t>The indicative areas on the key Programme interventions are:</w:t>
      </w:r>
    </w:p>
    <w:p w:rsidR="005921C6" w:rsidRPr="005921C6" w:rsidRDefault="005921C6" w:rsidP="005921C6">
      <w:pPr>
        <w:pStyle w:val="NoSpacing"/>
        <w:jc w:val="both"/>
        <w:rPr>
          <w:rFonts w:ascii="Arial" w:hAnsi="Arial" w:cs="Arial"/>
        </w:rPr>
      </w:pPr>
    </w:p>
    <w:tbl>
      <w:tblPr>
        <w:tblStyle w:val="TableGrid"/>
        <w:tblW w:w="0" w:type="auto"/>
        <w:tblLook w:val="04A0" w:firstRow="1" w:lastRow="0" w:firstColumn="1" w:lastColumn="0" w:noHBand="0" w:noVBand="1"/>
      </w:tblPr>
      <w:tblGrid>
        <w:gridCol w:w="4621"/>
        <w:gridCol w:w="4621"/>
      </w:tblGrid>
      <w:tr w:rsidR="005921C6" w:rsidRPr="005921C6" w:rsidTr="00B35148">
        <w:trPr>
          <w:trHeight w:val="382"/>
        </w:trPr>
        <w:tc>
          <w:tcPr>
            <w:tcW w:w="4621" w:type="dxa"/>
            <w:vAlign w:val="center"/>
          </w:tcPr>
          <w:p w:rsidR="005921C6" w:rsidRPr="005921C6" w:rsidRDefault="005921C6" w:rsidP="005921C6">
            <w:pPr>
              <w:pStyle w:val="NoSpacing"/>
              <w:jc w:val="center"/>
              <w:rPr>
                <w:rFonts w:ascii="Arial" w:hAnsi="Arial" w:cs="Arial"/>
                <w:b/>
              </w:rPr>
            </w:pPr>
            <w:r w:rsidRPr="005921C6">
              <w:rPr>
                <w:rFonts w:ascii="Arial" w:hAnsi="Arial" w:cs="Arial"/>
                <w:b/>
              </w:rPr>
              <w:t>Green Finance</w:t>
            </w:r>
          </w:p>
        </w:tc>
        <w:tc>
          <w:tcPr>
            <w:tcW w:w="4621" w:type="dxa"/>
            <w:vAlign w:val="center"/>
          </w:tcPr>
          <w:p w:rsidR="005921C6" w:rsidRPr="005921C6" w:rsidRDefault="005921C6" w:rsidP="005921C6">
            <w:pPr>
              <w:pStyle w:val="NoSpacing"/>
              <w:jc w:val="center"/>
              <w:rPr>
                <w:rFonts w:ascii="Arial" w:hAnsi="Arial" w:cs="Arial"/>
                <w:b/>
              </w:rPr>
            </w:pPr>
            <w:r w:rsidRPr="005921C6">
              <w:rPr>
                <w:rFonts w:ascii="Arial" w:hAnsi="Arial" w:cs="Arial"/>
                <w:b/>
              </w:rPr>
              <w:t>Energy Efficiency</w:t>
            </w:r>
          </w:p>
        </w:tc>
      </w:tr>
      <w:tr w:rsidR="005921C6" w:rsidRPr="005921C6" w:rsidTr="00F17017">
        <w:tc>
          <w:tcPr>
            <w:tcW w:w="4621" w:type="dxa"/>
          </w:tcPr>
          <w:p w:rsidR="005921C6" w:rsidRPr="005921C6" w:rsidRDefault="005921C6" w:rsidP="005921C6">
            <w:pPr>
              <w:pStyle w:val="NoSpacing"/>
              <w:numPr>
                <w:ilvl w:val="0"/>
                <w:numId w:val="2"/>
              </w:numPr>
              <w:ind w:left="426"/>
              <w:jc w:val="both"/>
              <w:rPr>
                <w:rFonts w:ascii="Arial" w:hAnsi="Arial" w:cs="Arial"/>
                <w:i/>
              </w:rPr>
            </w:pPr>
            <w:r w:rsidRPr="005921C6">
              <w:rPr>
                <w:rFonts w:ascii="Arial" w:hAnsi="Arial" w:cs="Arial"/>
                <w:i/>
              </w:rPr>
              <w:t>Analysis and harmonisation of GF standards</w:t>
            </w:r>
          </w:p>
          <w:p w:rsidR="005921C6" w:rsidRPr="005921C6" w:rsidRDefault="005921C6" w:rsidP="005921C6">
            <w:pPr>
              <w:pStyle w:val="NoSpacing"/>
              <w:numPr>
                <w:ilvl w:val="0"/>
                <w:numId w:val="2"/>
              </w:numPr>
              <w:ind w:left="426"/>
              <w:jc w:val="both"/>
              <w:rPr>
                <w:rFonts w:ascii="Arial" w:hAnsi="Arial" w:cs="Arial"/>
                <w:i/>
              </w:rPr>
            </w:pPr>
            <w:r w:rsidRPr="005921C6">
              <w:rPr>
                <w:rFonts w:ascii="Arial" w:hAnsi="Arial" w:cs="Arial"/>
                <w:i/>
              </w:rPr>
              <w:t>Engagement and training of local financial institutions and trainers</w:t>
            </w:r>
          </w:p>
          <w:p w:rsidR="005921C6" w:rsidRPr="005921C6" w:rsidRDefault="005921C6" w:rsidP="005921C6">
            <w:pPr>
              <w:pStyle w:val="NoSpacing"/>
              <w:numPr>
                <w:ilvl w:val="0"/>
                <w:numId w:val="2"/>
              </w:numPr>
              <w:ind w:left="426"/>
              <w:jc w:val="both"/>
              <w:rPr>
                <w:rFonts w:ascii="Arial" w:hAnsi="Arial" w:cs="Arial"/>
                <w:i/>
              </w:rPr>
            </w:pPr>
            <w:r w:rsidRPr="005921C6">
              <w:rPr>
                <w:rFonts w:ascii="Arial" w:hAnsi="Arial" w:cs="Arial"/>
                <w:i/>
              </w:rPr>
              <w:t>Developing a pipeline of bankable projects</w:t>
            </w:r>
          </w:p>
          <w:p w:rsidR="005921C6" w:rsidRPr="005921C6" w:rsidRDefault="005921C6" w:rsidP="005921C6">
            <w:pPr>
              <w:pStyle w:val="NoSpacing"/>
              <w:numPr>
                <w:ilvl w:val="0"/>
                <w:numId w:val="2"/>
              </w:numPr>
              <w:ind w:left="426"/>
              <w:jc w:val="both"/>
              <w:rPr>
                <w:rFonts w:ascii="Arial" w:hAnsi="Arial" w:cs="Arial"/>
                <w:i/>
              </w:rPr>
            </w:pPr>
            <w:r w:rsidRPr="005921C6">
              <w:rPr>
                <w:rFonts w:ascii="Arial" w:hAnsi="Arial" w:cs="Arial"/>
                <w:i/>
              </w:rPr>
              <w:t>Policy and regulatory support to improve the regional environment for GF</w:t>
            </w:r>
          </w:p>
        </w:tc>
        <w:tc>
          <w:tcPr>
            <w:tcW w:w="4621" w:type="dxa"/>
          </w:tcPr>
          <w:p w:rsidR="005921C6" w:rsidRPr="005921C6" w:rsidRDefault="005921C6" w:rsidP="005921C6">
            <w:pPr>
              <w:pStyle w:val="NoSpacing"/>
              <w:numPr>
                <w:ilvl w:val="0"/>
                <w:numId w:val="2"/>
              </w:numPr>
              <w:ind w:left="426"/>
              <w:jc w:val="both"/>
              <w:rPr>
                <w:rFonts w:ascii="Arial" w:hAnsi="Arial" w:cs="Arial"/>
                <w:i/>
              </w:rPr>
            </w:pPr>
            <w:r w:rsidRPr="005921C6">
              <w:rPr>
                <w:rFonts w:ascii="Arial" w:hAnsi="Arial" w:cs="Arial"/>
                <w:i/>
              </w:rPr>
              <w:t>Establishing/embedding harmonised Minimum or Higher Energy Performance Standards (MEPs/HEPs)</w:t>
            </w:r>
          </w:p>
          <w:p w:rsidR="005921C6" w:rsidRPr="005921C6" w:rsidRDefault="005921C6" w:rsidP="005921C6">
            <w:pPr>
              <w:pStyle w:val="NoSpacing"/>
              <w:numPr>
                <w:ilvl w:val="0"/>
                <w:numId w:val="2"/>
              </w:numPr>
              <w:ind w:left="426"/>
              <w:jc w:val="both"/>
              <w:rPr>
                <w:rFonts w:ascii="Arial" w:hAnsi="Arial" w:cs="Arial"/>
                <w:i/>
              </w:rPr>
            </w:pPr>
            <w:r w:rsidRPr="005921C6">
              <w:rPr>
                <w:rFonts w:ascii="Arial" w:hAnsi="Arial" w:cs="Arial"/>
                <w:i/>
              </w:rPr>
              <w:t>Policy and regulatory support to improve regional environment for EE practices</w:t>
            </w:r>
          </w:p>
          <w:p w:rsidR="005921C6" w:rsidRPr="005921C6" w:rsidRDefault="005921C6" w:rsidP="005921C6">
            <w:pPr>
              <w:pStyle w:val="NoSpacing"/>
              <w:numPr>
                <w:ilvl w:val="0"/>
                <w:numId w:val="2"/>
              </w:numPr>
              <w:ind w:left="426"/>
              <w:jc w:val="both"/>
              <w:rPr>
                <w:rFonts w:ascii="Arial" w:hAnsi="Arial" w:cs="Arial"/>
                <w:i/>
              </w:rPr>
            </w:pPr>
            <w:r w:rsidRPr="005921C6">
              <w:rPr>
                <w:rFonts w:ascii="Arial" w:hAnsi="Arial" w:cs="Arial"/>
                <w:i/>
              </w:rPr>
              <w:t>Business support for EE standards in an industry sector</w:t>
            </w:r>
          </w:p>
          <w:p w:rsidR="005921C6" w:rsidRPr="005921C6" w:rsidRDefault="005921C6" w:rsidP="005921C6">
            <w:pPr>
              <w:pStyle w:val="NoSpacing"/>
              <w:numPr>
                <w:ilvl w:val="0"/>
                <w:numId w:val="2"/>
              </w:numPr>
              <w:ind w:left="426"/>
              <w:jc w:val="both"/>
              <w:rPr>
                <w:rFonts w:ascii="Arial" w:hAnsi="Arial" w:cs="Arial"/>
                <w:i/>
              </w:rPr>
            </w:pPr>
            <w:r w:rsidRPr="005921C6">
              <w:rPr>
                <w:rFonts w:ascii="Arial" w:hAnsi="Arial" w:cs="Arial"/>
                <w:i/>
              </w:rPr>
              <w:t>Capacity building for suppliers, regulators, ESCOs, officials and established EE expert working group sharing best practice</w:t>
            </w:r>
          </w:p>
          <w:p w:rsidR="005921C6" w:rsidRPr="005921C6" w:rsidRDefault="005921C6" w:rsidP="005921C6">
            <w:pPr>
              <w:pStyle w:val="NoSpacing"/>
              <w:numPr>
                <w:ilvl w:val="0"/>
                <w:numId w:val="2"/>
              </w:numPr>
              <w:ind w:left="426"/>
              <w:jc w:val="both"/>
              <w:rPr>
                <w:rFonts w:ascii="Arial" w:hAnsi="Arial" w:cs="Arial"/>
              </w:rPr>
            </w:pPr>
            <w:r w:rsidRPr="005921C6">
              <w:rPr>
                <w:rFonts w:ascii="Arial" w:hAnsi="Arial" w:cs="Arial"/>
                <w:i/>
              </w:rPr>
              <w:t>Developing a pipeline of bankable large-scale EE projects</w:t>
            </w:r>
          </w:p>
        </w:tc>
      </w:tr>
    </w:tbl>
    <w:p w:rsidR="005921C6" w:rsidRPr="005921C6" w:rsidRDefault="005921C6" w:rsidP="005921C6">
      <w:pPr>
        <w:pStyle w:val="NoSpacing"/>
        <w:jc w:val="both"/>
        <w:rPr>
          <w:rFonts w:ascii="Arial" w:hAnsi="Arial" w:cs="Arial"/>
        </w:rPr>
      </w:pPr>
    </w:p>
    <w:p w:rsidR="005921C6" w:rsidRPr="005921C6" w:rsidRDefault="005921C6" w:rsidP="005921C6">
      <w:pPr>
        <w:pStyle w:val="NoSpacing"/>
        <w:jc w:val="both"/>
        <w:rPr>
          <w:rFonts w:ascii="Arial" w:hAnsi="Arial" w:cs="Arial"/>
        </w:rPr>
      </w:pPr>
      <w:r w:rsidRPr="005921C6">
        <w:rPr>
          <w:rFonts w:ascii="Arial" w:hAnsi="Arial" w:cs="Arial"/>
        </w:rPr>
        <w:t xml:space="preserve">The Programme will run to the end of March 2021 with a possibility of extension and will be procured through the Prosperity Fund Framework. </w:t>
      </w:r>
    </w:p>
    <w:p w:rsidR="005921C6" w:rsidRPr="005921C6" w:rsidRDefault="005921C6" w:rsidP="005921C6">
      <w:pPr>
        <w:pStyle w:val="NoSpacing"/>
        <w:jc w:val="both"/>
        <w:rPr>
          <w:rFonts w:ascii="Arial" w:hAnsi="Arial" w:cs="Arial"/>
        </w:rPr>
      </w:pPr>
    </w:p>
    <w:p w:rsidR="005921C6" w:rsidRPr="005921C6" w:rsidRDefault="005921C6" w:rsidP="005921C6">
      <w:pPr>
        <w:pStyle w:val="NoSpacing"/>
        <w:jc w:val="both"/>
        <w:rPr>
          <w:rFonts w:ascii="Arial" w:hAnsi="Arial" w:cs="Arial"/>
        </w:rPr>
      </w:pPr>
      <w:r w:rsidRPr="005921C6">
        <w:rPr>
          <w:rFonts w:ascii="Arial" w:hAnsi="Arial" w:cs="Arial"/>
        </w:rPr>
        <w:t xml:space="preserve">The target countries of the Programme are middle-income countries in SEA namely, Burma, Malaysia, Thailand, the Philippines, and Vietnam. Indonesia will only be involved in the GF intervention as it will have its own EE Programme. </w:t>
      </w:r>
    </w:p>
    <w:p w:rsidR="005921C6" w:rsidRPr="005921C6" w:rsidRDefault="005921C6" w:rsidP="005921C6">
      <w:pPr>
        <w:pStyle w:val="NoSpacing"/>
        <w:jc w:val="both"/>
        <w:rPr>
          <w:rFonts w:ascii="Arial" w:hAnsi="Arial" w:cs="Arial"/>
        </w:rPr>
      </w:pPr>
    </w:p>
    <w:p w:rsidR="005921C6" w:rsidRDefault="005921C6" w:rsidP="005921C6">
      <w:pPr>
        <w:pStyle w:val="NoSpacing"/>
        <w:jc w:val="both"/>
        <w:rPr>
          <w:rFonts w:ascii="Arial" w:hAnsi="Arial" w:cs="Arial"/>
        </w:rPr>
      </w:pPr>
    </w:p>
    <w:p w:rsidR="005921C6" w:rsidRDefault="005921C6" w:rsidP="005921C6">
      <w:pPr>
        <w:pStyle w:val="NoSpacing"/>
        <w:jc w:val="both"/>
        <w:rPr>
          <w:rFonts w:ascii="Arial" w:hAnsi="Arial" w:cs="Arial"/>
        </w:rPr>
      </w:pPr>
    </w:p>
    <w:p w:rsidR="005921C6" w:rsidRDefault="005921C6" w:rsidP="005921C6">
      <w:pPr>
        <w:pStyle w:val="NoSpacing"/>
        <w:jc w:val="both"/>
        <w:rPr>
          <w:rFonts w:ascii="Arial" w:hAnsi="Arial" w:cs="Arial"/>
        </w:rPr>
      </w:pPr>
    </w:p>
    <w:p w:rsidR="005921C6" w:rsidRPr="005921C6" w:rsidRDefault="005921C6" w:rsidP="005921C6">
      <w:pPr>
        <w:pStyle w:val="NoSpacing"/>
        <w:jc w:val="both"/>
        <w:rPr>
          <w:rFonts w:ascii="Arial" w:hAnsi="Arial" w:cs="Arial"/>
        </w:rPr>
      </w:pPr>
    </w:p>
    <w:p w:rsidR="005921C6" w:rsidRPr="005921C6" w:rsidRDefault="005921C6" w:rsidP="005921C6">
      <w:pPr>
        <w:pStyle w:val="NoSpacing"/>
        <w:jc w:val="both"/>
        <w:rPr>
          <w:rFonts w:ascii="Arial" w:hAnsi="Arial" w:cs="Arial"/>
        </w:rPr>
      </w:pPr>
    </w:p>
    <w:p w:rsidR="005921C6" w:rsidRPr="00B35148" w:rsidRDefault="005921C6" w:rsidP="005921C6">
      <w:pPr>
        <w:pStyle w:val="NoSpacing"/>
        <w:jc w:val="both"/>
        <w:rPr>
          <w:rFonts w:ascii="Arial" w:hAnsi="Arial" w:cs="Arial"/>
          <w:color w:val="A6A6A6" w:themeColor="background1" w:themeShade="A6"/>
        </w:rPr>
      </w:pPr>
      <w:r w:rsidRPr="00B35148">
        <w:rPr>
          <w:rFonts w:ascii="Arial" w:hAnsi="Arial" w:cs="Arial"/>
          <w:color w:val="A6A6A6" w:themeColor="background1" w:themeShade="A6"/>
        </w:rPr>
        <w:t>South East Asia Prosperity Fund Programme Team</w:t>
      </w:r>
    </w:p>
    <w:p w:rsidR="005921C6" w:rsidRPr="00B35148" w:rsidRDefault="005921C6" w:rsidP="005921C6">
      <w:pPr>
        <w:pStyle w:val="NoSpacing"/>
        <w:jc w:val="both"/>
        <w:rPr>
          <w:rFonts w:ascii="Arial" w:hAnsi="Arial" w:cs="Arial"/>
          <w:b/>
          <w:color w:val="A6A6A6" w:themeColor="background1" w:themeShade="A6"/>
        </w:rPr>
      </w:pPr>
      <w:r w:rsidRPr="00B35148">
        <w:rPr>
          <w:rFonts w:ascii="Arial" w:hAnsi="Arial" w:cs="Arial"/>
          <w:b/>
          <w:color w:val="A6A6A6" w:themeColor="background1" w:themeShade="A6"/>
        </w:rPr>
        <w:t xml:space="preserve">British High Commission Singapore </w:t>
      </w:r>
    </w:p>
    <w:p w:rsidR="00F141CB" w:rsidRPr="00B35148" w:rsidRDefault="005921C6" w:rsidP="005921C6">
      <w:pPr>
        <w:pStyle w:val="NoSpacing"/>
        <w:jc w:val="both"/>
        <w:rPr>
          <w:color w:val="A6A6A6" w:themeColor="background1" w:themeShade="A6"/>
        </w:rPr>
      </w:pPr>
      <w:r w:rsidRPr="00B35148">
        <w:rPr>
          <w:rFonts w:ascii="Arial" w:hAnsi="Arial" w:cs="Arial"/>
          <w:color w:val="A6A6A6" w:themeColor="background1" w:themeShade="A6"/>
        </w:rPr>
        <w:t>100 Tanglin Road, Singapore 247919</w:t>
      </w:r>
    </w:p>
    <w:sectPr w:rsidR="00F141CB" w:rsidRPr="00B35148" w:rsidSect="00F141C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CD5" w:rsidRDefault="00515CD5" w:rsidP="005921C6">
      <w:r>
        <w:separator/>
      </w:r>
    </w:p>
  </w:endnote>
  <w:endnote w:type="continuationSeparator" w:id="0">
    <w:p w:rsidR="00515CD5" w:rsidRDefault="00515CD5" w:rsidP="00592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1C6" w:rsidRDefault="005921C6">
    <w:pPr>
      <w:pStyle w:val="Footer"/>
    </w:pPr>
  </w:p>
  <w:p w:rsidR="005921C6" w:rsidRPr="00B35148" w:rsidRDefault="005921C6" w:rsidP="00B35148">
    <w:pPr>
      <w:pStyle w:val="Footer"/>
      <w:spacing w:before="120"/>
      <w:jc w:val="right"/>
      <w:rPr>
        <w:rFonts w:ascii="Arial" w:hAnsi="Arial" w:cs="Arial"/>
        <w:sz w:val="12"/>
      </w:rPr>
    </w:pPr>
    <w:r w:rsidRPr="00B35148">
      <w:rPr>
        <w:rFonts w:ascii="Arial" w:hAnsi="Arial" w:cs="Arial"/>
        <w:sz w:val="12"/>
      </w:rPr>
      <w:fldChar w:fldCharType="begin"/>
    </w:r>
    <w:r w:rsidRPr="00B35148">
      <w:rPr>
        <w:rFonts w:ascii="Arial" w:hAnsi="Arial" w:cs="Arial"/>
        <w:sz w:val="12"/>
      </w:rPr>
      <w:instrText xml:space="preserve"> FILENAME \p \* MERGEFORMAT </w:instrText>
    </w:r>
    <w:r w:rsidRPr="00B35148">
      <w:rPr>
        <w:rFonts w:ascii="Arial" w:hAnsi="Arial" w:cs="Arial"/>
        <w:sz w:val="12"/>
      </w:rPr>
      <w:fldChar w:fldCharType="separate"/>
    </w:r>
    <w:r>
      <w:rPr>
        <w:rFonts w:ascii="Arial" w:hAnsi="Arial" w:cs="Arial"/>
        <w:noProof/>
        <w:sz w:val="12"/>
      </w:rPr>
      <w:t>Document2</w:t>
    </w:r>
    <w:r w:rsidRPr="00B35148">
      <w:rPr>
        <w:rFonts w:ascii="Arial" w:hAnsi="Arial" w:cs="Arial"/>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1C6" w:rsidRPr="00B35148" w:rsidRDefault="005921C6" w:rsidP="00B35148">
    <w:pPr>
      <w:pStyle w:val="Footer"/>
      <w:spacing w:before="120"/>
      <w:rPr>
        <w:rFonts w:ascii="Arial" w:hAnsi="Arial" w:cs="Arial"/>
        <w:sz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1C6" w:rsidRDefault="005921C6">
    <w:pPr>
      <w:pStyle w:val="Footer"/>
    </w:pPr>
  </w:p>
  <w:p w:rsidR="005921C6" w:rsidRPr="00B35148" w:rsidRDefault="005921C6" w:rsidP="00B35148">
    <w:pPr>
      <w:pStyle w:val="Footer"/>
      <w:spacing w:before="120"/>
      <w:jc w:val="right"/>
      <w:rPr>
        <w:rFonts w:ascii="Arial" w:hAnsi="Arial" w:cs="Arial"/>
        <w:sz w:val="12"/>
      </w:rPr>
    </w:pPr>
    <w:r w:rsidRPr="00B35148">
      <w:rPr>
        <w:rFonts w:ascii="Arial" w:hAnsi="Arial" w:cs="Arial"/>
        <w:sz w:val="12"/>
      </w:rPr>
      <w:fldChar w:fldCharType="begin"/>
    </w:r>
    <w:r w:rsidRPr="00B35148">
      <w:rPr>
        <w:rFonts w:ascii="Arial" w:hAnsi="Arial" w:cs="Arial"/>
        <w:sz w:val="12"/>
      </w:rPr>
      <w:instrText xml:space="preserve"> FILENAME \p \* MERGEFORMAT </w:instrText>
    </w:r>
    <w:r w:rsidRPr="00B35148">
      <w:rPr>
        <w:rFonts w:ascii="Arial" w:hAnsi="Arial" w:cs="Arial"/>
        <w:sz w:val="12"/>
      </w:rPr>
      <w:fldChar w:fldCharType="separate"/>
    </w:r>
    <w:r>
      <w:rPr>
        <w:rFonts w:ascii="Arial" w:hAnsi="Arial" w:cs="Arial"/>
        <w:noProof/>
        <w:sz w:val="12"/>
      </w:rPr>
      <w:t>Document2</w:t>
    </w:r>
    <w:r w:rsidRPr="00B35148">
      <w:rPr>
        <w:rFonts w:ascii="Arial" w:hAnsi="Arial" w:cs="Arial"/>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CD5" w:rsidRDefault="00515CD5" w:rsidP="005921C6">
      <w:r>
        <w:separator/>
      </w:r>
    </w:p>
  </w:footnote>
  <w:footnote w:type="continuationSeparator" w:id="0">
    <w:p w:rsidR="00515CD5" w:rsidRDefault="00515CD5" w:rsidP="00592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E44" w:rsidRDefault="00067E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E44" w:rsidRDefault="00067E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E44" w:rsidRDefault="00067E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B61C2"/>
    <w:multiLevelType w:val="hybridMultilevel"/>
    <w:tmpl w:val="2F428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D66B60"/>
    <w:multiLevelType w:val="hybridMultilevel"/>
    <w:tmpl w:val="402A1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2"/>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5921C6"/>
    <w:rsid w:val="00067E44"/>
    <w:rsid w:val="00302A40"/>
    <w:rsid w:val="003850AC"/>
    <w:rsid w:val="0048155F"/>
    <w:rsid w:val="004B57BE"/>
    <w:rsid w:val="00515CD5"/>
    <w:rsid w:val="00585072"/>
    <w:rsid w:val="005921C6"/>
    <w:rsid w:val="00632013"/>
    <w:rsid w:val="0063727F"/>
    <w:rsid w:val="006725AD"/>
    <w:rsid w:val="006A5876"/>
    <w:rsid w:val="006B63DF"/>
    <w:rsid w:val="00707DBC"/>
    <w:rsid w:val="00834AB2"/>
    <w:rsid w:val="008E2993"/>
    <w:rsid w:val="00A40F0A"/>
    <w:rsid w:val="00AB53F8"/>
    <w:rsid w:val="00B35148"/>
    <w:rsid w:val="00C42B38"/>
    <w:rsid w:val="00CB3815"/>
    <w:rsid w:val="00D50A87"/>
    <w:rsid w:val="00E05E39"/>
    <w:rsid w:val="00E11248"/>
    <w:rsid w:val="00F14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5:docId w15:val="{C0ED11B6-D998-4198-B96E-A9B85AB9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1C6"/>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1C6"/>
    <w:pPr>
      <w:tabs>
        <w:tab w:val="center" w:pos="4513"/>
        <w:tab w:val="right" w:pos="9026"/>
      </w:tabs>
    </w:pPr>
  </w:style>
  <w:style w:type="character" w:customStyle="1" w:styleId="HeaderChar">
    <w:name w:val="Header Char"/>
    <w:basedOn w:val="DefaultParagraphFont"/>
    <w:link w:val="Header"/>
    <w:uiPriority w:val="99"/>
    <w:rsid w:val="005921C6"/>
  </w:style>
  <w:style w:type="paragraph" w:styleId="Footer">
    <w:name w:val="footer"/>
    <w:basedOn w:val="Normal"/>
    <w:link w:val="FooterChar"/>
    <w:uiPriority w:val="99"/>
    <w:semiHidden/>
    <w:unhideWhenUsed/>
    <w:rsid w:val="005921C6"/>
    <w:pPr>
      <w:tabs>
        <w:tab w:val="center" w:pos="4513"/>
        <w:tab w:val="right" w:pos="9026"/>
      </w:tabs>
    </w:pPr>
  </w:style>
  <w:style w:type="character" w:customStyle="1" w:styleId="FooterChar">
    <w:name w:val="Footer Char"/>
    <w:basedOn w:val="DefaultParagraphFont"/>
    <w:link w:val="Footer"/>
    <w:uiPriority w:val="99"/>
    <w:semiHidden/>
    <w:rsid w:val="005921C6"/>
  </w:style>
  <w:style w:type="paragraph" w:styleId="NoSpacing">
    <w:name w:val="No Spacing"/>
    <w:uiPriority w:val="1"/>
    <w:qFormat/>
    <w:rsid w:val="005921C6"/>
    <w:pPr>
      <w:spacing w:after="0" w:line="240" w:lineRule="auto"/>
    </w:pPr>
    <w:rPr>
      <w:rFonts w:eastAsiaTheme="minorEastAsia"/>
      <w:sz w:val="24"/>
      <w:szCs w:val="24"/>
      <w:lang w:val="en-US"/>
    </w:rPr>
  </w:style>
  <w:style w:type="table" w:styleId="TableGrid">
    <w:name w:val="Table Grid"/>
    <w:basedOn w:val="TableNormal"/>
    <w:uiPriority w:val="59"/>
    <w:rsid w:val="005921C6"/>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921C6"/>
    <w:rPr>
      <w:sz w:val="16"/>
      <w:szCs w:val="16"/>
    </w:rPr>
  </w:style>
  <w:style w:type="paragraph" w:styleId="CommentText">
    <w:name w:val="annotation text"/>
    <w:basedOn w:val="Normal"/>
    <w:link w:val="CommentTextChar"/>
    <w:uiPriority w:val="99"/>
    <w:semiHidden/>
    <w:unhideWhenUsed/>
    <w:rsid w:val="005921C6"/>
    <w:rPr>
      <w:sz w:val="20"/>
      <w:szCs w:val="20"/>
    </w:rPr>
  </w:style>
  <w:style w:type="character" w:customStyle="1" w:styleId="CommentTextChar">
    <w:name w:val="Comment Text Char"/>
    <w:basedOn w:val="DefaultParagraphFont"/>
    <w:link w:val="CommentText"/>
    <w:uiPriority w:val="99"/>
    <w:semiHidden/>
    <w:rsid w:val="005921C6"/>
    <w:rPr>
      <w:rFonts w:eastAsiaTheme="minorEastAsia"/>
      <w:sz w:val="20"/>
      <w:szCs w:val="20"/>
      <w:lang w:val="en-US"/>
    </w:rPr>
  </w:style>
  <w:style w:type="paragraph" w:styleId="BalloonText">
    <w:name w:val="Balloon Text"/>
    <w:basedOn w:val="Normal"/>
    <w:link w:val="BalloonTextChar"/>
    <w:uiPriority w:val="99"/>
    <w:semiHidden/>
    <w:unhideWhenUsed/>
    <w:rsid w:val="005921C6"/>
    <w:rPr>
      <w:rFonts w:ascii="Tahoma" w:hAnsi="Tahoma" w:cs="Tahoma"/>
      <w:sz w:val="16"/>
      <w:szCs w:val="16"/>
    </w:rPr>
  </w:style>
  <w:style w:type="character" w:customStyle="1" w:styleId="BalloonTextChar">
    <w:name w:val="Balloon Text Char"/>
    <w:basedOn w:val="DefaultParagraphFont"/>
    <w:link w:val="BalloonText"/>
    <w:uiPriority w:val="99"/>
    <w:semiHidden/>
    <w:rsid w:val="005921C6"/>
    <w:rPr>
      <w:rFonts w:ascii="Tahoma" w:eastAsiaTheme="minorEastAsia" w:hAnsi="Tahoma" w:cs="Tahoma"/>
      <w:sz w:val="16"/>
      <w:szCs w:val="16"/>
      <w:lang w:val="en-US"/>
    </w:rPr>
  </w:style>
  <w:style w:type="paragraph" w:styleId="Revision">
    <w:name w:val="Revision"/>
    <w:hidden/>
    <w:uiPriority w:val="99"/>
    <w:semiHidden/>
    <w:rsid w:val="00B35148"/>
    <w:pPr>
      <w:spacing w:after="0" w:line="240" w:lineRule="auto"/>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ACE0FAB-4B78-4DEB-9F23-F6C63B3A9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SEA LCE Programme Overview</vt:lpstr>
    </vt:vector>
  </TitlesOfParts>
  <Company>FCO</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 LCE Programme Overview</dc:title>
  <dc:subject/>
  <dc:creator>alengracia</dc:creator>
  <cp:keywords/>
  <cp:lastModifiedBy>Yasser Mahmood (Sensitive)</cp:lastModifiedBy>
  <cp:revision>4</cp:revision>
  <dcterms:created xsi:type="dcterms:W3CDTF">2018-02-23T15:28:00Z</dcterms:created>
  <dcterms:modified xsi:type="dcterms:W3CDTF">2018-02-26T09:19:00Z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OFFICIAL</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False</vt:lpwstr>
  </property>
  <property fmtid="{D5CDD505-2E9C-101B-9397-08002B2CF9AE}" pid="12" name="MaintainPath">
    <vt:lpwstr>True</vt:lpwstr>
  </property>
  <property fmtid="{D5CDD505-2E9C-101B-9397-08002B2CF9AE}" pid="13" name="Created">
    <vt:filetime>2018-02-22T16:00:00Z</vt:filetime>
  </property>
</Properties>
</file>