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63E" w:rsidRDefault="000D463E" w:rsidP="000D463E">
      <w:pPr>
        <w:pStyle w:val="Numbered"/>
        <w:widowControl/>
        <w:spacing w:after="0"/>
        <w:jc w:val="right"/>
        <w:rPr>
          <w:b/>
        </w:rPr>
      </w:pPr>
    </w:p>
    <w:p w:rsidR="000D463E" w:rsidRDefault="000D463E" w:rsidP="000D463E">
      <w:pPr>
        <w:pStyle w:val="Numbered"/>
        <w:widowControl/>
        <w:spacing w:after="0"/>
        <w:jc w:val="right"/>
        <w:rPr>
          <w:b/>
        </w:rPr>
      </w:pPr>
      <w:r>
        <w:rPr>
          <w:b/>
        </w:rPr>
        <w:t>DOCUMENT 3</w:t>
      </w:r>
    </w:p>
    <w:p w:rsidR="000D463E" w:rsidRDefault="000D463E" w:rsidP="000D463E">
      <w:pPr>
        <w:pStyle w:val="Numbered"/>
        <w:widowControl/>
        <w:rPr>
          <w:b/>
        </w:rPr>
      </w:pPr>
    </w:p>
    <w:p w:rsidR="000D463E" w:rsidRDefault="000D463E" w:rsidP="000D463E">
      <w:pPr>
        <w:pStyle w:val="Numbered"/>
        <w:widowControl/>
      </w:pPr>
      <w:r>
        <w:rPr>
          <w:b/>
        </w:rPr>
        <w:t>DECLARATIONS AND INFORMATION TO BE PROVIDED BY THE APPLICANT</w:t>
      </w:r>
    </w:p>
    <w:p w:rsidR="000D463E" w:rsidRPr="00E66D86" w:rsidRDefault="000D463E" w:rsidP="000D463E">
      <w:pPr>
        <w:widowControl/>
        <w:suppressAutoHyphens/>
        <w:overflowPunct/>
        <w:autoSpaceDE/>
        <w:adjustRightInd/>
        <w:jc w:val="both"/>
        <w:rPr>
          <w:rFonts w:eastAsia="Arial" w:cs="Arial"/>
          <w:b/>
          <w:color w:val="000000"/>
          <w:szCs w:val="20"/>
        </w:rPr>
      </w:pPr>
      <w:r w:rsidRPr="00E66D86">
        <w:rPr>
          <w:rFonts w:eastAsia="Arial" w:cs="Arial"/>
          <w:b/>
          <w:color w:val="000000"/>
          <w:szCs w:val="20"/>
        </w:rPr>
        <w:t>1</w:t>
      </w:r>
      <w:r w:rsidRPr="00E66D86">
        <w:rPr>
          <w:rFonts w:eastAsia="Arial" w:cs="Arial"/>
          <w:b/>
          <w:color w:val="000000"/>
          <w:szCs w:val="20"/>
        </w:rPr>
        <w:tab/>
        <w:t>Grounds for mandatory exclusion</w:t>
      </w:r>
    </w:p>
    <w:p w:rsidR="000D463E" w:rsidRDefault="000D463E" w:rsidP="000D463E">
      <w:pPr>
        <w:widowControl/>
        <w:suppressAutoHyphens/>
        <w:overflowPunct/>
        <w:autoSpaceDE/>
        <w:adjustRightInd/>
        <w:jc w:val="both"/>
        <w:rPr>
          <w:rFonts w:eastAsia="Arial" w:cs="Arial"/>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You will be excluded from the </w:t>
      </w:r>
      <w:r>
        <w:rPr>
          <w:rFonts w:eastAsia="Arial" w:cs="Arial"/>
          <w:color w:val="000000"/>
          <w:szCs w:val="20"/>
        </w:rPr>
        <w:t>application</w:t>
      </w:r>
      <w:r w:rsidRPr="002B6384">
        <w:rPr>
          <w:rFonts w:eastAsia="Arial" w:cs="Arial"/>
          <w:color w:val="000000"/>
          <w:szCs w:val="20"/>
        </w:rPr>
        <w:t xml:space="preserve"> process if there is evidence of convictions relating to specific criminal offences including, but not limited to, bribery, corruption, conspiracy, terrorism, fraud and money laundering, or if you have been the subject of a binding legal decision which found a breach of legal obligations to pay tax or social security obligations (except where this is disproportionate e.g. only minor amounts involved). </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If you have answered “yes” to question </w:t>
      </w:r>
      <w:r>
        <w:rPr>
          <w:rFonts w:eastAsia="Arial" w:cs="Arial"/>
          <w:color w:val="000000"/>
          <w:szCs w:val="20"/>
        </w:rPr>
        <w:t>1</w:t>
      </w:r>
      <w:r w:rsidRPr="002B6384">
        <w:rPr>
          <w:rFonts w:eastAsia="Arial" w:cs="Arial"/>
          <w:color w:val="000000"/>
          <w:szCs w:val="20"/>
        </w:rPr>
        <w:t xml:space="preserve">.2 on the non-payment of taxes or social security contributions, and have not paid or entered into a binding arrangement to pay the full amount, you may still avoid exclusion if only minor tax or social security contributions are unpaid or if you have not yet had time to fulfil your obligations since learning of the exact amount due.  If your organisation is in that position, please provide details using a separate Appendix. You may contact the </w:t>
      </w:r>
      <w:r>
        <w:rPr>
          <w:rFonts w:eastAsia="Arial" w:cs="Arial"/>
          <w:color w:val="000000"/>
          <w:szCs w:val="20"/>
        </w:rPr>
        <w:t>Department</w:t>
      </w:r>
      <w:r w:rsidRPr="002B6384">
        <w:rPr>
          <w:rFonts w:eastAsia="Arial" w:cs="Arial"/>
          <w:color w:val="000000"/>
          <w:szCs w:val="20"/>
        </w:rPr>
        <w:t xml:space="preserve"> for advice before completing this form. </w:t>
      </w:r>
    </w:p>
    <w:p w:rsidR="000D463E" w:rsidRPr="002B6384" w:rsidRDefault="000D463E" w:rsidP="000D463E">
      <w:pPr>
        <w:widowControl/>
        <w:suppressAutoHyphens/>
        <w:overflowPunct/>
        <w:autoSpaceDE/>
        <w:adjustRightInd/>
        <w:spacing w:line="276" w:lineRule="auto"/>
        <w:rPr>
          <w:rFonts w:ascii="Calibri" w:eastAsia="Calibri" w:hAnsi="Calibri" w:cs="Calibri"/>
          <w:color w:val="000000"/>
          <w:szCs w:val="20"/>
        </w:rPr>
      </w:pPr>
    </w:p>
    <w:tbl>
      <w:tblPr>
        <w:tblW w:w="9276" w:type="dxa"/>
        <w:tblInd w:w="-262" w:type="dxa"/>
        <w:tblLayout w:type="fixed"/>
        <w:tblCellMar>
          <w:left w:w="10" w:type="dxa"/>
          <w:right w:w="10" w:type="dxa"/>
        </w:tblCellMar>
        <w:tblLook w:val="0000" w:firstRow="0" w:lastRow="0" w:firstColumn="0" w:lastColumn="0" w:noHBand="0" w:noVBand="0"/>
      </w:tblPr>
      <w:tblGrid>
        <w:gridCol w:w="6216"/>
        <w:gridCol w:w="1439"/>
        <w:gridCol w:w="1621"/>
      </w:tblGrid>
      <w:tr w:rsidR="000D463E" w:rsidRPr="002B6384" w:rsidTr="00330A58">
        <w:trPr>
          <w:trHeight w:val="400"/>
        </w:trPr>
        <w:tc>
          <w:tcPr>
            <w:tcW w:w="62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ind w:right="306"/>
              <w:jc w:val="both"/>
              <w:rPr>
                <w:rFonts w:ascii="Calibri" w:eastAsia="Calibri" w:hAnsi="Calibri" w:cs="Calibri"/>
                <w:color w:val="000000"/>
                <w:szCs w:val="20"/>
              </w:rPr>
            </w:pPr>
            <w:r>
              <w:rPr>
                <w:rFonts w:eastAsia="Arial" w:cs="Arial"/>
                <w:b/>
                <w:color w:val="000000"/>
                <w:szCs w:val="20"/>
              </w:rPr>
              <w:t>1</w:t>
            </w:r>
            <w:r w:rsidRPr="002B6384">
              <w:rPr>
                <w:rFonts w:eastAsia="Arial" w:cs="Arial"/>
                <w:b/>
                <w:color w:val="000000"/>
                <w:szCs w:val="20"/>
              </w:rPr>
              <w:t>.1 Within the past five years, has your organisation (or any member of your proposed consortium, if applicable), Directors or partner or any other person who has powers of representation, decision or control been convicted of any of the following offences?</w:t>
            </w:r>
          </w:p>
        </w:tc>
        <w:tc>
          <w:tcPr>
            <w:tcW w:w="3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jc w:val="both"/>
              <w:rPr>
                <w:rFonts w:ascii="Calibri" w:eastAsia="Calibri" w:hAnsi="Calibri" w:cs="Calibri"/>
                <w:color w:val="000000"/>
                <w:szCs w:val="20"/>
              </w:rPr>
            </w:pPr>
            <w:r w:rsidRPr="002B6384">
              <w:rPr>
                <w:rFonts w:eastAsia="Arial" w:cs="Arial"/>
                <w:b/>
                <w:color w:val="000000"/>
                <w:szCs w:val="20"/>
              </w:rPr>
              <w:t>Please indicate your answer by marking ‘X’ in the relevant box.</w:t>
            </w:r>
          </w:p>
        </w:tc>
      </w:tr>
      <w:tr w:rsidR="000D463E" w:rsidRPr="002B6384" w:rsidTr="00330A58">
        <w:trPr>
          <w:trHeight w:val="400"/>
        </w:trPr>
        <w:tc>
          <w:tcPr>
            <w:tcW w:w="62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ind w:right="306"/>
              <w:jc w:val="both"/>
              <w:rPr>
                <w:rFonts w:ascii="Calibri" w:eastAsia="Calibri" w:hAnsi="Calibri" w:cs="Calibri"/>
                <w:color w:val="000000"/>
                <w:szCs w:val="2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jc w:val="center"/>
              <w:rPr>
                <w:rFonts w:ascii="Calibri" w:eastAsia="Calibri" w:hAnsi="Calibri" w:cs="Calibri"/>
                <w:color w:val="000000"/>
                <w:szCs w:val="20"/>
              </w:rPr>
            </w:pPr>
            <w:r w:rsidRPr="002B6384">
              <w:rPr>
                <w:rFonts w:eastAsia="Arial" w:cs="Arial"/>
                <w:b/>
                <w:color w:val="000000"/>
                <w:szCs w:val="20"/>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jc w:val="center"/>
              <w:rPr>
                <w:rFonts w:ascii="Calibri" w:eastAsia="Calibri" w:hAnsi="Calibri" w:cs="Calibri"/>
                <w:color w:val="000000"/>
                <w:szCs w:val="20"/>
              </w:rPr>
            </w:pPr>
            <w:r w:rsidRPr="002B6384">
              <w:rPr>
                <w:rFonts w:eastAsia="Arial" w:cs="Arial"/>
                <w:b/>
                <w:color w:val="000000"/>
                <w:szCs w:val="20"/>
              </w:rPr>
              <w:t>No</w:t>
            </w: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tabs>
                <w:tab w:val="left" w:pos="-473"/>
              </w:tabs>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conspiracy within the meaning of section 1 or 1A of the Criminal Law Act 1977 or article 9 or 9A of the Criminal Attempts and Conspiracy (Northern Ireland) Order 1983 where that conspiracy relates to participation in a criminal organisation as defined in Article 2 of Council Framework Decision 2008/841/JHA on the fight against organised crime;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1080"/>
              <w:jc w:val="both"/>
              <w:rPr>
                <w:rFonts w:ascii="Calibri" w:eastAsia="Calibri" w:hAnsi="Calibri" w:cs="Calibri"/>
                <w:color w:val="000000"/>
                <w:szCs w:val="20"/>
              </w:rPr>
            </w:pPr>
          </w:p>
          <w:p w:rsidR="000D463E" w:rsidRPr="002B6384" w:rsidRDefault="000D463E" w:rsidP="00330A58">
            <w:pPr>
              <w:widowControl/>
              <w:suppressAutoHyphens/>
              <w:overflowPunct/>
              <w:autoSpaceDE/>
              <w:adjustRightInd/>
              <w:spacing w:after="120"/>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tabs>
                <w:tab w:val="left" w:pos="-473"/>
              </w:tabs>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corruption within the meaning of section 1(2) of the Public Bodies Corrupt Practices Act 1889 or section 1 of the Prevention of Corruption Act 1906;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rPr>
          <w:trHeight w:val="2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tabs>
                <w:tab w:val="left" w:pos="-1182"/>
              </w:tabs>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the common law offence of bribery;</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bribery within the meaning of sections 1, 2 or 6 of the Bribery Act 2010; or section 113 of the Representation of the People Act 1983;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any of the following offences, where the offence relates to fraud affecting the European Communities’ financial interests as defined by Article 1 of the Convention on the protection of the financial interests of the European Communities: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sidRPr="002B6384">
              <w:rPr>
                <w:rFonts w:eastAsia="Arial" w:cs="Arial"/>
                <w:color w:val="000000"/>
                <w:szCs w:val="20"/>
              </w:rPr>
              <w:t>(i) the offence of cheating the Revenue;</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sidRPr="002B6384">
              <w:rPr>
                <w:rFonts w:eastAsia="Arial" w:cs="Arial"/>
                <w:color w:val="000000"/>
                <w:szCs w:val="20"/>
              </w:rPr>
              <w:t>(ii) the offence of conspiracy to defraud;</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rPr>
          <w:trHeight w:val="100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sidRPr="002B6384">
              <w:rPr>
                <w:rFonts w:eastAsia="Arial" w:cs="Arial"/>
                <w:color w:val="000000"/>
                <w:szCs w:val="20"/>
              </w:rPr>
              <w:lastRenderedPageBreak/>
              <w:t>(iii)</w:t>
            </w:r>
            <w:r>
              <w:rPr>
                <w:rFonts w:eastAsia="Arial" w:cs="Arial"/>
                <w:color w:val="000000"/>
                <w:szCs w:val="20"/>
              </w:rPr>
              <w:t xml:space="preserve"> </w:t>
            </w:r>
            <w:r w:rsidRPr="002B6384">
              <w:rPr>
                <w:rFonts w:eastAsia="Arial" w:cs="Arial"/>
                <w:color w:val="000000"/>
                <w:szCs w:val="20"/>
              </w:rPr>
              <w:t>fraud or theft within the meaning of the Theft Act 1968, the Theft Act (Northern Ireland) 1969, the Theft Act 1978 or the Theft (Northern Ireland) Order 1978;</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center"/>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sidRPr="002B6384">
              <w:rPr>
                <w:rFonts w:eastAsia="Arial" w:cs="Arial"/>
                <w:color w:val="000000"/>
                <w:szCs w:val="20"/>
              </w:rPr>
              <w:t>iv) fraudulent trading within the meaning of section 458 of the Companies Act 1985, article 451 of the Companies (Northern Ireland) Order 1986 or section 993 of the Companies Act 2006;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sidRPr="002B6384">
              <w:rPr>
                <w:rFonts w:eastAsia="Arial" w:cs="Arial"/>
                <w:color w:val="000000"/>
                <w:szCs w:val="20"/>
              </w:rPr>
              <w:t>(v) fraudulent evasion within the meaning of section 170 of the Customs and Excise Management Act 1979 or section 72 of the Value Added Tax Act 1994;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sidRPr="002B6384">
              <w:rPr>
                <w:rFonts w:eastAsia="Arial" w:cs="Arial"/>
                <w:color w:val="000000"/>
                <w:szCs w:val="20"/>
              </w:rPr>
              <w:t>(vi) an offence in connection with taxation in the European Union within the meaning of section 71 of the Criminal Justice Act 1993;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Pr>
                <w:rFonts w:eastAsia="Arial" w:cs="Arial"/>
                <w:color w:val="000000"/>
                <w:szCs w:val="20"/>
              </w:rPr>
              <w:t xml:space="preserve">(vii)  </w:t>
            </w:r>
            <w:r w:rsidRPr="002B6384">
              <w:rPr>
                <w:rFonts w:eastAsia="Arial" w:cs="Arial"/>
                <w:color w:val="000000"/>
                <w:szCs w:val="20"/>
              </w:rPr>
              <w:t>destroying, defacing or concealing of documents or procuring the execution of a valuable security within the meaning of section 20 of the Theft Act 1968 or section 19 of the Theft Act (Northern Ireland) 1969;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1080"/>
              <w:jc w:val="both"/>
              <w:rPr>
                <w:rFonts w:ascii="Calibri" w:eastAsia="Calibri" w:hAnsi="Calibri" w:cs="Calibri"/>
                <w:color w:val="000000"/>
                <w:szCs w:val="20"/>
              </w:rPr>
            </w:pPr>
          </w:p>
        </w:tc>
      </w:tr>
      <w:tr w:rsidR="000D463E" w:rsidRPr="002B6384" w:rsidTr="00330A58">
        <w:trPr>
          <w:trHeight w:val="3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sidRPr="002B6384">
              <w:rPr>
                <w:rFonts w:eastAsia="Arial" w:cs="Arial"/>
                <w:color w:val="000000"/>
                <w:szCs w:val="20"/>
              </w:rPr>
              <w:t>(viii) fraud within the meaning of section 2, 3 or 4 of the Fraud Act 2006;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rPr>
          <w:trHeight w:val="42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sidRPr="002B6384">
              <w:rPr>
                <w:rFonts w:eastAsia="Arial" w:cs="Arial"/>
                <w:color w:val="000000"/>
                <w:szCs w:val="20"/>
              </w:rPr>
              <w:t>(ix)</w:t>
            </w:r>
            <w:r w:rsidRPr="002B6384">
              <w:rPr>
                <w:rFonts w:eastAsia="Arial" w:cs="Arial"/>
                <w:color w:val="000000"/>
                <w:szCs w:val="20"/>
              </w:rPr>
              <w:tab/>
              <w:t>the possession of articles for use in frauds within the meaning of section 6 of the Fraud Act 2006, or the making, adapting, supplying or offering to supply articles for use in frauds within the meaning of section 7 of that Act;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line="276" w:lineRule="auto"/>
              <w:ind w:left="1080"/>
              <w:jc w:val="both"/>
              <w:rPr>
                <w:rFonts w:ascii="Calibri" w:eastAsia="Calibri" w:hAnsi="Calibri" w:cs="Calibri"/>
                <w:color w:val="000000"/>
                <w:szCs w:val="20"/>
              </w:rPr>
            </w:pPr>
          </w:p>
        </w:tc>
      </w:tr>
      <w:tr w:rsidR="000D463E" w:rsidRPr="002B6384" w:rsidTr="00330A58">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suppressAutoHyphens/>
              <w:overflowPunct/>
              <w:autoSpaceDE/>
              <w:autoSpaceDN/>
              <w:adjustRightInd/>
              <w:spacing w:before="120" w:after="120" w:line="276" w:lineRule="auto"/>
              <w:ind w:right="232" w:hanging="358"/>
              <w:textAlignment w:val="auto"/>
              <w:rPr>
                <w:rFonts w:eastAsia="Arial" w:cs="Arial"/>
                <w:color w:val="000000"/>
                <w:szCs w:val="20"/>
              </w:rPr>
            </w:pPr>
            <w:r w:rsidRPr="002B6384">
              <w:rPr>
                <w:rFonts w:eastAsia="Arial" w:cs="Arial"/>
                <w:color w:val="000000"/>
                <w:szCs w:val="20"/>
              </w:rPr>
              <w:t>any offence listed</w:t>
            </w:r>
            <w:r>
              <w:rPr>
                <w:rFonts w:eastAsia="Arial" w:cs="Arial"/>
                <w:color w:val="000000"/>
                <w:szCs w:val="20"/>
              </w:rPr>
              <w:t>:</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rPr>
          <w:trHeight w:val="5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C81C97" w:rsidRDefault="000D463E" w:rsidP="000D463E">
            <w:pPr>
              <w:pStyle w:val="ListParagraph"/>
              <w:widowControl/>
              <w:numPr>
                <w:ilvl w:val="0"/>
                <w:numId w:val="7"/>
              </w:numPr>
              <w:suppressAutoHyphens/>
              <w:overflowPunct/>
              <w:autoSpaceDE/>
              <w:adjustRightInd/>
              <w:spacing w:before="120" w:after="120"/>
              <w:rPr>
                <w:rFonts w:ascii="Calibri" w:eastAsia="Calibri" w:hAnsi="Calibri" w:cs="Calibri"/>
                <w:color w:val="000000"/>
              </w:rPr>
            </w:pPr>
            <w:r w:rsidRPr="00C81C97">
              <w:rPr>
                <w:rFonts w:eastAsia="Arial" w:cs="Arial"/>
                <w:color w:val="000000"/>
              </w:rPr>
              <w:t>in section 41 of the Counter Terrorism Act 2008;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rPr>
          <w:trHeight w:val="68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ind w:left="720"/>
              <w:rPr>
                <w:rFonts w:ascii="Calibri" w:eastAsia="Calibri" w:hAnsi="Calibri" w:cs="Calibri"/>
                <w:color w:val="000000"/>
                <w:szCs w:val="20"/>
              </w:rPr>
            </w:pPr>
            <w:r w:rsidRPr="002B6384">
              <w:rPr>
                <w:rFonts w:eastAsia="Arial" w:cs="Arial"/>
                <w:color w:val="000000"/>
                <w:szCs w:val="20"/>
              </w:rPr>
              <w:t>(ii)</w:t>
            </w:r>
            <w:r w:rsidRPr="002B6384">
              <w:rPr>
                <w:rFonts w:eastAsia="Arial" w:cs="Arial"/>
                <w:color w:val="000000"/>
                <w:szCs w:val="20"/>
              </w:rPr>
              <w:tab/>
              <w:t xml:space="preserve">in Schedule 2 to that Act where the court has </w:t>
            </w:r>
            <w:r>
              <w:rPr>
                <w:rFonts w:eastAsia="Arial" w:cs="Arial"/>
                <w:color w:val="000000"/>
                <w:szCs w:val="20"/>
              </w:rPr>
              <w:t xml:space="preserve"> </w:t>
            </w:r>
            <w:r w:rsidRPr="002B6384">
              <w:rPr>
                <w:rFonts w:eastAsia="Arial" w:cs="Arial"/>
                <w:color w:val="000000"/>
                <w:szCs w:val="20"/>
              </w:rPr>
              <w:t>deter</w:t>
            </w: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simplePos x="0" y="0"/>
                      <wp:positionH relativeFrom="margin">
                        <wp:posOffset>-996315</wp:posOffset>
                      </wp:positionH>
                      <wp:positionV relativeFrom="margin">
                        <wp:posOffset>2652395</wp:posOffset>
                      </wp:positionV>
                      <wp:extent cx="7894955" cy="607060"/>
                      <wp:effectExtent l="0" t="2651760" r="0" b="25895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4955" cy="6070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D463E" w:rsidRDefault="000D463E" w:rsidP="000D463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WITHOUT PREJUDICE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8.45pt;margin-top:208.85pt;width:621.65pt;height:47.8pt;rotation:-45;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" o:allowincell="f" filled="f" stroked="f">
                      <v:stroke joinstyle="round"/>
                      <o:lock v:ext="edit" shapetype="t"/>
                      <v:textbox style="mso-fit-shape-to-text:t">
                        <w:txbxContent>
                          <w:p w:rsidR="000D463E" w:rsidRDefault="000D463E" w:rsidP="000D463E">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 WITHOUT PREJUDICE</w:t>
                            </w:r>
                          </w:p>
                        </w:txbxContent>
                      </v:textbox>
                      <w10:wrap anchorx="margin" anchory="margin"/>
                    </v:shape>
                  </w:pict>
                </mc:Fallback>
              </mc:AlternateContent>
            </w:r>
            <w:r w:rsidRPr="002B6384">
              <w:rPr>
                <w:rFonts w:eastAsia="Arial" w:cs="Arial"/>
                <w:color w:val="000000"/>
                <w:szCs w:val="20"/>
              </w:rPr>
              <w:t>mined that there is a terrorist connection;</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rPr>
          <w:trHeight w:val="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tabs>
                <w:tab w:val="left" w:pos="-473"/>
              </w:tabs>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any offence under sections 44 to 46 of the Serious Crime Act 2007 which relates to an offence covered by subparagraph (f);</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rPr>
          <w:trHeight w:val="74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tabs>
                <w:tab w:val="left" w:pos="-473"/>
              </w:tabs>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money laundering within the meaning of sections 340(11) and 415 of the Proceeds of Crime Act 2002;</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tabs>
                <w:tab w:val="left" w:pos="-473"/>
              </w:tabs>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an offence in connection with the proceeds of criminal conduct within the meaning of section 93A, 93B or 93C of the Criminal Justice Act 1988 or article 45, 46 or 47 of the Proceeds of Crime (Northern Ireland) Order 1996;</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an offence under section 4 of the Asylum and Immigration (Treatment of Claimants etc.) Act 2004;</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lastRenderedPageBreak/>
              <w:t>an offence under section 59A of the Sexual Offences Act 2003;</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suppressAutoHyphens/>
              <w:overflowPunct/>
              <w:autoSpaceDE/>
              <w:autoSpaceDN/>
              <w:adjustRightInd/>
              <w:spacing w:before="120" w:after="120" w:line="276" w:lineRule="auto"/>
              <w:ind w:hanging="358"/>
              <w:textAlignment w:val="auto"/>
              <w:rPr>
                <w:rFonts w:eastAsia="Arial" w:cs="Arial"/>
                <w:color w:val="000000"/>
                <w:szCs w:val="20"/>
              </w:rPr>
            </w:pPr>
            <w:r w:rsidRPr="002B6384">
              <w:rPr>
                <w:rFonts w:eastAsia="Arial" w:cs="Arial"/>
                <w:color w:val="000000"/>
                <w:szCs w:val="20"/>
              </w:rPr>
              <w:t>an offence under section 71 of the Coroners and Justice Act 2009</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1"/>
              </w:numPr>
              <w:suppressAutoHyphens/>
              <w:overflowPunct/>
              <w:autoSpaceDE/>
              <w:autoSpaceDN/>
              <w:adjustRightInd/>
              <w:spacing w:before="120" w:after="120" w:line="276" w:lineRule="auto"/>
              <w:ind w:hanging="358"/>
              <w:textAlignment w:val="auto"/>
              <w:rPr>
                <w:rFonts w:eastAsia="Arial" w:cs="Arial"/>
                <w:color w:val="000000"/>
                <w:szCs w:val="20"/>
              </w:rPr>
            </w:pPr>
            <w:r>
              <w:rPr>
                <w:rFonts w:eastAsia="Arial" w:cs="Arial"/>
                <w:color w:val="000000"/>
                <w:szCs w:val="20"/>
              </w:rPr>
              <w:t xml:space="preserve"> </w:t>
            </w:r>
            <w:r w:rsidRPr="002B6384">
              <w:rPr>
                <w:rFonts w:eastAsia="Arial" w:cs="Arial"/>
                <w:color w:val="000000"/>
                <w:szCs w:val="20"/>
              </w:rPr>
              <w:t>an offence in connection with the proceeds of drug trafficking within the meaning of section 49, 50 or 51 of the Drug Trafficking Act 1994; or</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r w:rsidR="000D463E" w:rsidRPr="002B6384" w:rsidTr="00330A58">
        <w:trPr>
          <w:trHeight w:val="4860"/>
        </w:trPr>
        <w:tc>
          <w:tcPr>
            <w:tcW w:w="621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200" w:line="276" w:lineRule="auto"/>
              <w:rPr>
                <w:rFonts w:ascii="Calibri" w:eastAsia="Calibri" w:hAnsi="Calibri" w:cs="Calibri"/>
                <w:color w:val="000000"/>
                <w:szCs w:val="20"/>
              </w:rPr>
            </w:pPr>
          </w:p>
          <w:p w:rsidR="000D463E" w:rsidRPr="002B6384" w:rsidRDefault="000D463E" w:rsidP="00330A58">
            <w:pPr>
              <w:widowControl/>
              <w:suppressAutoHyphens/>
              <w:overflowPunct/>
              <w:autoSpaceDE/>
              <w:adjustRightInd/>
              <w:spacing w:after="200" w:line="276" w:lineRule="auto"/>
              <w:rPr>
                <w:rFonts w:ascii="Calibri" w:eastAsia="Calibri" w:hAnsi="Calibri" w:cs="Calibri"/>
                <w:color w:val="000000"/>
                <w:szCs w:val="20"/>
              </w:rPr>
            </w:pPr>
            <w:r w:rsidRPr="002B6384">
              <w:rPr>
                <w:rFonts w:eastAsia="Arial" w:cs="Arial"/>
                <w:b/>
                <w:color w:val="000000"/>
                <w:szCs w:val="20"/>
                <w:u w:val="single"/>
              </w:rPr>
              <w:t>Non-payment of taxes</w:t>
            </w:r>
          </w:p>
          <w:p w:rsidR="000D463E" w:rsidRPr="002B6384" w:rsidRDefault="000D463E" w:rsidP="00330A58">
            <w:pPr>
              <w:widowControl/>
              <w:suppressAutoHyphens/>
              <w:overflowPunct/>
              <w:autoSpaceDE/>
              <w:adjustRightInd/>
              <w:spacing w:after="200" w:line="276" w:lineRule="auto"/>
              <w:rPr>
                <w:rFonts w:ascii="Calibri" w:eastAsia="Calibri" w:hAnsi="Calibri" w:cs="Calibri"/>
                <w:color w:val="000000"/>
                <w:szCs w:val="20"/>
              </w:rPr>
            </w:pPr>
            <w:r>
              <w:rPr>
                <w:rFonts w:eastAsia="Arial" w:cs="Arial"/>
                <w:b/>
                <w:color w:val="000000"/>
                <w:szCs w:val="20"/>
              </w:rPr>
              <w:t>1</w:t>
            </w:r>
            <w:r w:rsidRPr="002B6384">
              <w:rPr>
                <w:rFonts w:eastAsia="Arial" w:cs="Arial"/>
                <w:b/>
                <w:color w:val="000000"/>
                <w:szCs w:val="20"/>
              </w:rPr>
              <w:t>.2 Has it been established by a judicial or administrative decision having final and binding effect in accordance with the legal provisions of any part of the United Kingdom or the legal provisions of the country in which your organisation is established (if outside the UK), that your organisation is in breach of obligations related to the payment of tax or social security contributions?</w:t>
            </w:r>
          </w:p>
          <w:p w:rsidR="000D463E" w:rsidRPr="002B6384" w:rsidRDefault="000D463E" w:rsidP="00330A58">
            <w:pPr>
              <w:widowControl/>
              <w:suppressAutoHyphens/>
              <w:overflowPunct/>
              <w:autoSpaceDE/>
              <w:adjustRightInd/>
              <w:spacing w:after="200" w:line="276" w:lineRule="auto"/>
              <w:rPr>
                <w:rFonts w:ascii="Calibri" w:eastAsia="Calibri" w:hAnsi="Calibri" w:cs="Calibri"/>
                <w:color w:val="000000"/>
                <w:szCs w:val="20"/>
              </w:rPr>
            </w:pPr>
            <w:r w:rsidRPr="002B6384">
              <w:rPr>
                <w:rFonts w:eastAsia="Arial" w:cs="Arial"/>
                <w:color w:val="000000"/>
                <w:szCs w:val="20"/>
              </w:rPr>
              <w:t>If you have answered Yes to this question, please use a separate Appendix to provide further details. Please also use this Appendix to confirm whether you have paid, or have entered into a binding arrangement with a view to paying, including, where applicable, any accrued interest and/or fines?</w:t>
            </w: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120"/>
              <w:ind w:left="360"/>
              <w:jc w:val="both"/>
              <w:rPr>
                <w:rFonts w:ascii="Calibri" w:eastAsia="Calibri" w:hAnsi="Calibri" w:cs="Calibri"/>
                <w:color w:val="000000"/>
                <w:szCs w:val="20"/>
              </w:rPr>
            </w:pPr>
          </w:p>
        </w:tc>
      </w:tr>
    </w:tbl>
    <w:p w:rsidR="000D463E" w:rsidRDefault="000D463E" w:rsidP="000D463E">
      <w:pPr>
        <w:keepNext/>
        <w:widowControl/>
        <w:suppressAutoHyphens/>
        <w:overflowPunct/>
        <w:autoSpaceDE/>
        <w:adjustRightInd/>
        <w:spacing w:before="200" w:line="276" w:lineRule="auto"/>
        <w:outlineLvl w:val="1"/>
        <w:rPr>
          <w:rFonts w:eastAsia="Arial" w:cs="Arial"/>
          <w:b/>
          <w:color w:val="000000"/>
          <w:szCs w:val="20"/>
        </w:rPr>
      </w:pPr>
    </w:p>
    <w:p w:rsidR="000D463E" w:rsidRPr="00E66D86" w:rsidRDefault="000D463E" w:rsidP="000D463E">
      <w:pPr>
        <w:keepNext/>
        <w:widowControl/>
        <w:suppressAutoHyphens/>
        <w:overflowPunct/>
        <w:autoSpaceDE/>
        <w:adjustRightInd/>
        <w:spacing w:before="200" w:line="276" w:lineRule="auto"/>
        <w:outlineLvl w:val="1"/>
        <w:rPr>
          <w:rFonts w:eastAsia="Arial" w:cs="Arial"/>
          <w:b/>
          <w:color w:val="000000"/>
          <w:szCs w:val="20"/>
        </w:rPr>
      </w:pPr>
      <w:r>
        <w:rPr>
          <w:rFonts w:eastAsia="Arial" w:cs="Arial"/>
          <w:b/>
          <w:color w:val="000000"/>
          <w:szCs w:val="20"/>
        </w:rPr>
        <w:br w:type="page"/>
      </w:r>
      <w:r>
        <w:rPr>
          <w:rFonts w:eastAsia="Arial" w:cs="Arial"/>
          <w:b/>
          <w:color w:val="000000"/>
          <w:szCs w:val="20"/>
        </w:rPr>
        <w:lastRenderedPageBreak/>
        <w:t>2</w:t>
      </w:r>
      <w:r>
        <w:rPr>
          <w:rFonts w:eastAsia="Arial" w:cs="Arial"/>
          <w:b/>
          <w:color w:val="000000"/>
          <w:szCs w:val="20"/>
        </w:rPr>
        <w:tab/>
        <w:t>Grounds for discretionary exclusion part 1</w:t>
      </w:r>
    </w:p>
    <w:p w:rsidR="000D463E" w:rsidRPr="002B6384" w:rsidRDefault="000D463E" w:rsidP="000D463E">
      <w:pPr>
        <w:keepNext/>
        <w:widowControl/>
        <w:suppressAutoHyphens/>
        <w:overflowPunct/>
        <w:autoSpaceDE/>
        <w:adjustRightInd/>
        <w:spacing w:before="200" w:line="276" w:lineRule="auto"/>
        <w:outlineLvl w:val="1"/>
        <w:rPr>
          <w:rFonts w:eastAsia="Arial" w:cs="Arial"/>
          <w:b/>
          <w:color w:val="000000"/>
          <w:shd w:val="clear" w:color="auto" w:fill="DBE5F1"/>
        </w:rPr>
      </w:pPr>
      <w:r w:rsidRPr="002B6384">
        <w:rPr>
          <w:rFonts w:eastAsia="Arial" w:cs="Arial"/>
          <w:color w:val="000000"/>
          <w:szCs w:val="20"/>
        </w:rPr>
        <w:t xml:space="preserve">The </w:t>
      </w:r>
      <w:r>
        <w:rPr>
          <w:rFonts w:eastAsia="Arial" w:cs="Arial"/>
          <w:color w:val="000000"/>
          <w:szCs w:val="20"/>
        </w:rPr>
        <w:t>Department</w:t>
      </w:r>
      <w:r w:rsidRPr="002B6384">
        <w:rPr>
          <w:rFonts w:eastAsia="Arial" w:cs="Arial"/>
          <w:color w:val="000000"/>
          <w:szCs w:val="20"/>
        </w:rPr>
        <w:t xml:space="preserve"> may exclude any Supplier who answers ‘Yes’ in any of the following situations set out in paragraphs (a) to (</w:t>
      </w:r>
      <w:r>
        <w:rPr>
          <w:rFonts w:eastAsia="Arial" w:cs="Arial"/>
          <w:color w:val="000000"/>
          <w:szCs w:val="20"/>
        </w:rPr>
        <w:t>j</w:t>
      </w:r>
      <w:r w:rsidRPr="002B6384">
        <w:rPr>
          <w:rFonts w:eastAsia="Arial" w:cs="Arial"/>
          <w:color w:val="000000"/>
          <w:szCs w:val="20"/>
        </w:rPr>
        <w:t xml:space="preserve">); </w:t>
      </w:r>
    </w:p>
    <w:p w:rsidR="000D463E" w:rsidRPr="002B6384" w:rsidRDefault="000D463E" w:rsidP="000D463E">
      <w:pPr>
        <w:widowControl/>
        <w:suppressAutoHyphens/>
        <w:overflowPunct/>
        <w:autoSpaceDE/>
        <w:adjustRightInd/>
        <w:spacing w:line="276" w:lineRule="auto"/>
        <w:jc w:val="both"/>
        <w:rPr>
          <w:rFonts w:ascii="Calibri" w:eastAsia="Calibri" w:hAnsi="Calibri" w:cs="Calibri"/>
          <w:color w:val="000000"/>
          <w:szCs w:val="20"/>
        </w:rPr>
      </w:pPr>
    </w:p>
    <w:tbl>
      <w:tblPr>
        <w:tblW w:w="9537" w:type="dxa"/>
        <w:tblInd w:w="115" w:type="dxa"/>
        <w:tblLayout w:type="fixed"/>
        <w:tblCellMar>
          <w:left w:w="10" w:type="dxa"/>
          <w:right w:w="10" w:type="dxa"/>
        </w:tblCellMar>
        <w:tblLook w:val="0000" w:firstRow="0" w:lastRow="0" w:firstColumn="0" w:lastColumn="0" w:noHBand="0" w:noVBand="0"/>
      </w:tblPr>
      <w:tblGrid>
        <w:gridCol w:w="6295"/>
        <w:gridCol w:w="1621"/>
        <w:gridCol w:w="1621"/>
      </w:tblGrid>
      <w:tr w:rsidR="000D463E" w:rsidRPr="002B6384" w:rsidTr="00330A58">
        <w:tc>
          <w:tcPr>
            <w:tcW w:w="629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80" w:line="276" w:lineRule="auto"/>
              <w:jc w:val="both"/>
              <w:rPr>
                <w:rFonts w:ascii="Calibri" w:eastAsia="Calibri" w:hAnsi="Calibri" w:cs="Calibri"/>
                <w:color w:val="000000"/>
                <w:szCs w:val="20"/>
              </w:rPr>
            </w:pPr>
            <w:r>
              <w:rPr>
                <w:rFonts w:eastAsia="Arial" w:cs="Arial"/>
                <w:b/>
                <w:color w:val="000000"/>
                <w:szCs w:val="20"/>
              </w:rPr>
              <w:t>2</w:t>
            </w:r>
            <w:r w:rsidRPr="002B6384">
              <w:rPr>
                <w:rFonts w:eastAsia="Arial" w:cs="Arial"/>
                <w:b/>
                <w:color w:val="000000"/>
                <w:szCs w:val="20"/>
              </w:rPr>
              <w:t>.1 Within the past three years, please indicate if any of the following situations have applied, or currently apply, to your organisation.</w:t>
            </w:r>
          </w:p>
        </w:tc>
        <w:tc>
          <w:tcPr>
            <w:tcW w:w="32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jc w:val="center"/>
              <w:rPr>
                <w:rFonts w:ascii="Calibri" w:eastAsia="Calibri" w:hAnsi="Calibri" w:cs="Calibri"/>
                <w:color w:val="000000"/>
                <w:szCs w:val="20"/>
              </w:rPr>
            </w:pPr>
            <w:r w:rsidRPr="002B6384">
              <w:rPr>
                <w:rFonts w:eastAsia="Arial" w:cs="Arial"/>
                <w:b/>
                <w:color w:val="000000"/>
                <w:szCs w:val="20"/>
              </w:rPr>
              <w:t>Please indicate your answer by marking ‘X’ in the relevant box.</w:t>
            </w:r>
          </w:p>
        </w:tc>
      </w:tr>
      <w:tr w:rsidR="000D463E" w:rsidRPr="002B6384" w:rsidTr="00330A58">
        <w:tc>
          <w:tcPr>
            <w:tcW w:w="629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80" w:line="276" w:lineRule="auto"/>
              <w:jc w:val="both"/>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jc w:val="center"/>
              <w:rPr>
                <w:rFonts w:ascii="Calibri" w:eastAsia="Calibri" w:hAnsi="Calibri" w:cs="Calibri"/>
                <w:color w:val="000000"/>
                <w:szCs w:val="20"/>
              </w:rPr>
            </w:pPr>
            <w:r w:rsidRPr="002B6384">
              <w:rPr>
                <w:rFonts w:eastAsia="Arial" w:cs="Arial"/>
                <w:b/>
                <w:color w:val="000000"/>
                <w:szCs w:val="20"/>
              </w:rPr>
              <w:t>Yes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jc w:val="center"/>
              <w:rPr>
                <w:rFonts w:ascii="Calibri" w:eastAsia="Calibri" w:hAnsi="Calibri" w:cs="Calibri"/>
                <w:color w:val="000000"/>
                <w:szCs w:val="20"/>
              </w:rPr>
            </w:pPr>
            <w:r w:rsidRPr="002B6384">
              <w:rPr>
                <w:rFonts w:eastAsia="Arial" w:cs="Arial"/>
                <w:b/>
                <w:color w:val="000000"/>
                <w:szCs w:val="20"/>
              </w:rPr>
              <w:t>No</w:t>
            </w: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90454" w:rsidRDefault="000D463E" w:rsidP="000D463E">
            <w:pPr>
              <w:pStyle w:val="ListParagraph"/>
              <w:widowControl/>
              <w:numPr>
                <w:ilvl w:val="0"/>
                <w:numId w:val="6"/>
              </w:numPr>
              <w:suppressAutoHyphens/>
              <w:overflowPunct/>
              <w:autoSpaceDE/>
              <w:autoSpaceDN/>
              <w:adjustRightInd/>
              <w:spacing w:before="80" w:after="200" w:line="276" w:lineRule="auto"/>
              <w:jc w:val="both"/>
              <w:textAlignment w:val="auto"/>
              <w:rPr>
                <w:rFonts w:eastAsia="Arial" w:cs="Arial"/>
                <w:color w:val="000000"/>
              </w:rPr>
            </w:pPr>
            <w:r w:rsidRPr="00290454">
              <w:rPr>
                <w:rFonts w:eastAsia="Arial" w:cs="Arial"/>
                <w:color w:val="000000"/>
              </w:rPr>
              <w:t xml:space="preserve">your organisation has violated any of the following applicable obligations: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ILO Convention 87 on Freedom of Association and the Protection of the Right to Organise;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ILO Convention 98 on the Right to Organise and Collective Bargaining;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ILO Convention 29 on Forced Labour;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ILO Convention 105 on the Abolition of Forced Labour;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ILO Convention 138 on Minimum Age;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ILO Convention 111 on Discrimination (Employment and Occupation);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ILO Convention 100 on Equal Remuneration;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ILO Convention 182 on Worst Forms of Child Labour;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Vienna Convention for the protection of the Ozone Layer and its Montreal Protocol on substances that deplete the Ozone Layer;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Basel Convention on the Control of Transboundary Movements of Hazardous Wastes and their Disposal (Basel Convention); </w:t>
            </w:r>
          </w:p>
          <w:p w:rsidR="000D463E" w:rsidRPr="00BB2657" w:rsidRDefault="000D463E" w:rsidP="00330A58">
            <w:pPr>
              <w:pStyle w:val="CM43"/>
              <w:spacing w:before="60" w:after="60"/>
              <w:rPr>
                <w:rFonts w:ascii="Arial" w:hAnsi="Arial" w:cs="Arial"/>
                <w:color w:val="000000"/>
                <w:sz w:val="22"/>
                <w:szCs w:val="22"/>
              </w:rPr>
            </w:pPr>
            <w:r w:rsidRPr="00BB2657">
              <w:rPr>
                <w:rFonts w:ascii="Arial" w:hAnsi="Arial" w:cs="Arial"/>
                <w:color w:val="000000"/>
                <w:sz w:val="22"/>
                <w:szCs w:val="22"/>
              </w:rPr>
              <w:t xml:space="preserve">— Stockholm Convention on Persistent Organic Pollutants (Stockholm POPs Convention); </w:t>
            </w:r>
          </w:p>
          <w:p w:rsidR="000D463E" w:rsidRPr="002B6384" w:rsidRDefault="000D463E" w:rsidP="00330A58">
            <w:pPr>
              <w:widowControl/>
              <w:suppressAutoHyphens/>
              <w:overflowPunct/>
              <w:autoSpaceDE/>
              <w:autoSpaceDN/>
              <w:adjustRightInd/>
              <w:spacing w:before="80" w:after="200" w:line="276" w:lineRule="auto"/>
              <w:jc w:val="both"/>
              <w:textAlignment w:val="auto"/>
              <w:rPr>
                <w:rFonts w:eastAsia="Arial" w:cs="Arial"/>
                <w:color w:val="000000"/>
                <w:szCs w:val="20"/>
              </w:rPr>
            </w:pPr>
            <w:r w:rsidRPr="00BB2657">
              <w:rPr>
                <w:rFonts w:cs="Arial"/>
                <w:color w:val="000000"/>
              </w:rPr>
              <w:t>— Convention on the Prior Informed Consent Procedure for Certain Hazardous Chemicals and Pesticides in International Trade (UNEP/FAO) (The PIC Convention) Rotterdam, 10 September 1998, and its 3 regional Protocols.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r w:rsidRPr="002B6384">
              <w:rPr>
                <w:rFonts w:eastAsia="Arial" w:cs="Arial"/>
                <w:b/>
                <w:color w:val="000000"/>
                <w:szCs w:val="20"/>
              </w:rPr>
              <w:t xml:space="preserve">  </w:t>
            </w: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90454" w:rsidRDefault="000D463E" w:rsidP="000D463E">
            <w:pPr>
              <w:pStyle w:val="ListParagraph"/>
              <w:widowControl/>
              <w:numPr>
                <w:ilvl w:val="0"/>
                <w:numId w:val="6"/>
              </w:numPr>
              <w:suppressAutoHyphens/>
              <w:overflowPunct/>
              <w:autoSpaceDE/>
              <w:autoSpaceDN/>
              <w:adjustRightInd/>
              <w:spacing w:before="80" w:after="200" w:line="276" w:lineRule="auto"/>
              <w:jc w:val="both"/>
              <w:textAlignment w:val="auto"/>
              <w:rPr>
                <w:rFonts w:eastAsia="Arial" w:cs="Arial"/>
                <w:color w:val="000000"/>
              </w:rPr>
            </w:pPr>
            <w:r w:rsidRPr="00290454">
              <w:rPr>
                <w:rFonts w:eastAsia="Arial" w:cs="Arial"/>
                <w:color w:val="000000"/>
              </w:rPr>
              <w:t>your organisation is bankrupt or is the subject of insolvency or winding-up proceedings, where your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rPr>
          <w:trHeight w:val="660"/>
        </w:trPr>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90454" w:rsidRDefault="000D463E" w:rsidP="000D463E">
            <w:pPr>
              <w:pStyle w:val="ListParagraph"/>
              <w:widowControl/>
              <w:numPr>
                <w:ilvl w:val="0"/>
                <w:numId w:val="6"/>
              </w:numPr>
              <w:suppressAutoHyphens/>
              <w:overflowPunct/>
              <w:autoSpaceDE/>
              <w:autoSpaceDN/>
              <w:adjustRightInd/>
              <w:spacing w:before="80" w:after="200" w:line="276" w:lineRule="auto"/>
              <w:jc w:val="both"/>
              <w:textAlignment w:val="auto"/>
              <w:rPr>
                <w:rFonts w:eastAsia="Arial" w:cs="Arial"/>
                <w:color w:val="000000"/>
              </w:rPr>
            </w:pPr>
            <w:r w:rsidRPr="00290454">
              <w:rPr>
                <w:rFonts w:eastAsia="Arial" w:cs="Arial"/>
                <w:color w:val="000000"/>
              </w:rPr>
              <w:t>your organisation is guilty of grave professional misconduct,  which renders its integrity questionable;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6"/>
              </w:numPr>
              <w:suppressAutoHyphens/>
              <w:overflowPunct/>
              <w:autoSpaceDE/>
              <w:autoSpaceDN/>
              <w:adjustRightInd/>
              <w:spacing w:after="200" w:line="276" w:lineRule="auto"/>
              <w:textAlignment w:val="auto"/>
              <w:rPr>
                <w:rFonts w:eastAsia="Arial" w:cs="Arial"/>
                <w:color w:val="000000"/>
                <w:szCs w:val="20"/>
              </w:rPr>
            </w:pPr>
            <w:r w:rsidRPr="002B6384">
              <w:rPr>
                <w:rFonts w:eastAsia="Arial" w:cs="Arial"/>
                <w:color w:val="000000"/>
                <w:szCs w:val="20"/>
              </w:rPr>
              <w:t>your organisation has entered into agreements with other economic operators aimed at distorting competition;</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6"/>
              </w:numPr>
              <w:suppressAutoHyphens/>
              <w:overflowPunct/>
              <w:autoSpaceDE/>
              <w:autoSpaceDN/>
              <w:adjustRightInd/>
              <w:spacing w:after="200" w:line="276" w:lineRule="auto"/>
              <w:textAlignment w:val="auto"/>
              <w:rPr>
                <w:rFonts w:eastAsia="Arial" w:cs="Arial"/>
                <w:color w:val="000000"/>
                <w:szCs w:val="20"/>
              </w:rPr>
            </w:pPr>
            <w:r w:rsidRPr="002B6384">
              <w:rPr>
                <w:rFonts w:eastAsia="Arial" w:cs="Arial"/>
                <w:color w:val="000000"/>
                <w:szCs w:val="20"/>
              </w:rPr>
              <w:t xml:space="preserve">your organisation has a conflict of interest </w:t>
            </w:r>
            <w:r>
              <w:rPr>
                <w:rFonts w:eastAsia="Arial" w:cs="Arial"/>
                <w:color w:val="000000"/>
                <w:szCs w:val="20"/>
              </w:rPr>
              <w:t xml:space="preserve">where relevant staff members have, directly or indirectly, a financial, economic or other personal interest which might be </w:t>
            </w:r>
            <w:r>
              <w:rPr>
                <w:rFonts w:eastAsia="Arial" w:cs="Arial"/>
                <w:color w:val="000000"/>
                <w:szCs w:val="20"/>
              </w:rPr>
              <w:lastRenderedPageBreak/>
              <w:t>perceived to compromise their impartiality and independence in the context of the application procedure</w:t>
            </w:r>
            <w:r w:rsidRPr="002B6384">
              <w:rPr>
                <w:rFonts w:eastAsia="Arial" w:cs="Arial"/>
                <w:color w:val="000000"/>
                <w:szCs w:val="20"/>
              </w:rPr>
              <w:t xml:space="preserve"> that cannot be effectively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6"/>
              </w:numPr>
              <w:suppressAutoHyphens/>
              <w:overflowPunct/>
              <w:autoSpaceDE/>
              <w:autoSpaceDN/>
              <w:adjustRightInd/>
              <w:spacing w:after="200" w:line="276" w:lineRule="auto"/>
              <w:textAlignment w:val="auto"/>
              <w:rPr>
                <w:rFonts w:eastAsia="Arial" w:cs="Arial"/>
                <w:color w:val="000000"/>
                <w:szCs w:val="20"/>
              </w:rPr>
            </w:pPr>
            <w:r w:rsidRPr="002B6384">
              <w:rPr>
                <w:rFonts w:eastAsia="Arial" w:cs="Arial"/>
                <w:color w:val="000000"/>
                <w:szCs w:val="20"/>
              </w:rPr>
              <w:t>the prior involvement of your organisation in the preparation of the procurement procedure has resulted in a distortion of competition</w:t>
            </w:r>
            <w:r>
              <w:rPr>
                <w:rFonts w:eastAsia="Arial" w:cs="Arial"/>
                <w:color w:val="000000"/>
                <w:szCs w:val="20"/>
              </w:rPr>
              <w:t xml:space="preserve"> </w:t>
            </w:r>
            <w:r w:rsidRPr="002B6384">
              <w:rPr>
                <w:rFonts w:eastAsia="Arial" w:cs="Arial"/>
                <w:color w:val="000000"/>
                <w:szCs w:val="20"/>
              </w:rPr>
              <w:t>that cannot be remedied by other, less intrusive, measures;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6"/>
              </w:numPr>
              <w:suppressAutoHyphens/>
              <w:overflowPunct/>
              <w:autoSpaceDE/>
              <w:autoSpaceDN/>
              <w:adjustRightInd/>
              <w:spacing w:after="200" w:line="276" w:lineRule="auto"/>
              <w:textAlignment w:val="auto"/>
              <w:rPr>
                <w:rFonts w:eastAsia="Arial" w:cs="Arial"/>
                <w:color w:val="000000"/>
                <w:szCs w:val="20"/>
              </w:rPr>
            </w:pPr>
            <w:r w:rsidRPr="002B6384">
              <w:rPr>
                <w:rFonts w:eastAsia="Arial" w:cs="Arial"/>
                <w:color w:val="000000"/>
                <w:szCs w:val="20"/>
              </w:rPr>
              <w:t>your organisation has 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0D463E">
            <w:pPr>
              <w:widowControl/>
              <w:numPr>
                <w:ilvl w:val="0"/>
                <w:numId w:val="6"/>
              </w:numPr>
              <w:suppressAutoHyphens/>
              <w:overflowPunct/>
              <w:autoSpaceDE/>
              <w:autoSpaceDN/>
              <w:adjustRightInd/>
              <w:spacing w:after="200" w:line="276" w:lineRule="auto"/>
              <w:textAlignment w:val="auto"/>
              <w:rPr>
                <w:rFonts w:ascii="Calibri" w:eastAsia="Calibri" w:hAnsi="Calibri" w:cs="Calibri"/>
                <w:color w:val="000000"/>
                <w:szCs w:val="20"/>
              </w:rPr>
            </w:pPr>
            <w:r w:rsidRPr="002B6384">
              <w:rPr>
                <w:rFonts w:eastAsia="Arial" w:cs="Arial"/>
                <w:color w:val="000000"/>
                <w:szCs w:val="20"/>
              </w:rPr>
              <w:t>your organisation</w:t>
            </w:r>
            <w:r>
              <w:rPr>
                <w:rFonts w:eastAsia="Arial" w:cs="Arial"/>
                <w:color w:val="000000"/>
                <w:szCs w:val="20"/>
              </w:rPr>
              <w:t xml:space="preserve"> </w:t>
            </w:r>
            <w:r w:rsidRPr="002B6384">
              <w:rPr>
                <w:rFonts w:eastAsia="Arial" w:cs="Arial"/>
                <w:color w:val="000000"/>
                <w:szCs w:val="20"/>
              </w:rPr>
              <w:t>has been guilty of serious misrepresentation in supplying the information required for the verification of the absence of grounds for exclusion or the fulfilment of the selection criteria;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line="276" w:lineRule="auto"/>
              <w:rPr>
                <w:rFonts w:ascii="Calibri" w:eastAsia="Calibri" w:hAnsi="Calibri" w:cs="Calibri"/>
                <w:color w:val="000000"/>
                <w:szCs w:val="20"/>
              </w:rPr>
            </w:pPr>
            <w:r w:rsidRPr="002B6384">
              <w:rPr>
                <w:rFonts w:eastAsia="Arial" w:cs="Arial"/>
                <w:color w:val="000000"/>
                <w:szCs w:val="20"/>
              </w:rPr>
              <w:t>(i) your organisation has undertaken to</w:t>
            </w:r>
            <w:r>
              <w:rPr>
                <w:rFonts w:eastAsia="Arial" w:cs="Arial"/>
                <w:color w:val="000000"/>
                <w:szCs w:val="20"/>
              </w:rPr>
              <w:t>:</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200" w:line="276" w:lineRule="auto"/>
              <w:ind w:left="720"/>
              <w:rPr>
                <w:rFonts w:ascii="Calibri" w:eastAsia="Calibri" w:hAnsi="Calibri" w:cs="Calibri"/>
                <w:color w:val="000000"/>
                <w:szCs w:val="20"/>
              </w:rPr>
            </w:pPr>
            <w:r w:rsidRPr="002B6384">
              <w:rPr>
                <w:rFonts w:eastAsia="Arial" w:cs="Arial"/>
                <w:color w:val="000000"/>
                <w:szCs w:val="20"/>
              </w:rPr>
              <w:t>(aa)</w:t>
            </w:r>
            <w:r w:rsidRPr="002B6384">
              <w:rPr>
                <w:rFonts w:eastAsia="Arial" w:cs="Arial"/>
                <w:color w:val="000000"/>
                <w:szCs w:val="20"/>
              </w:rPr>
              <w:tab/>
              <w:t>unduly influence the decision-making process of the contracting authority,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200" w:line="276" w:lineRule="auto"/>
              <w:ind w:left="720"/>
              <w:rPr>
                <w:rFonts w:ascii="Calibri" w:eastAsia="Calibri" w:hAnsi="Calibri" w:cs="Calibri"/>
                <w:color w:val="000000"/>
                <w:szCs w:val="20"/>
              </w:rPr>
            </w:pPr>
            <w:r w:rsidRPr="002B6384">
              <w:rPr>
                <w:rFonts w:eastAsia="Arial" w:cs="Arial"/>
                <w:color w:val="000000"/>
                <w:szCs w:val="20"/>
              </w:rPr>
              <w:t>(bb)</w:t>
            </w:r>
            <w:r w:rsidRPr="002B6384">
              <w:rPr>
                <w:rFonts w:eastAsia="Arial" w:cs="Arial"/>
                <w:color w:val="000000"/>
                <w:szCs w:val="20"/>
              </w:rPr>
              <w:tab/>
              <w:t>obtain confidential information that may confer upon your organisation undue advantages in the procurement procedure; or</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r w:rsidR="000D463E" w:rsidRPr="002B6384" w:rsidTr="00330A58">
        <w:tc>
          <w:tcPr>
            <w:tcW w:w="629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90454" w:rsidRDefault="000D463E" w:rsidP="00330A58">
            <w:pPr>
              <w:widowControl/>
              <w:suppressAutoHyphens/>
              <w:overflowPunct/>
              <w:autoSpaceDE/>
              <w:adjustRightInd/>
              <w:spacing w:after="200" w:line="276" w:lineRule="auto"/>
              <w:rPr>
                <w:rFonts w:ascii="Calibri" w:eastAsia="Calibri" w:hAnsi="Calibri" w:cs="Calibri"/>
                <w:color w:val="000000"/>
              </w:rPr>
            </w:pPr>
            <w:r>
              <w:rPr>
                <w:rFonts w:eastAsia="Arial" w:cs="Arial"/>
                <w:color w:val="000000"/>
              </w:rPr>
              <w:t>(j)</w:t>
            </w:r>
            <w:r w:rsidRPr="00290454">
              <w:rPr>
                <w:rFonts w:eastAsia="Arial" w:cs="Arial"/>
                <w:color w:val="000000"/>
              </w:rPr>
              <w:t xml:space="preserve"> your organisation has negligently provided misleading information that may have a material influence on decisions concerning exclusion, selection or award.</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r>
              <w:rPr>
                <w:rFonts w:ascii="Calibri" w:eastAsia="Calibri" w:hAnsi="Calibri" w:cs="Calibri"/>
                <w:color w:val="000000"/>
                <w:szCs w:val="20"/>
              </w:rPr>
              <w:t xml:space="preserve">   </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rPr>
                <w:rFonts w:ascii="Calibri" w:eastAsia="Calibri" w:hAnsi="Calibri" w:cs="Calibri"/>
                <w:color w:val="000000"/>
                <w:szCs w:val="20"/>
              </w:rPr>
            </w:pPr>
          </w:p>
        </w:tc>
      </w:tr>
    </w:tbl>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ind w:right="-333"/>
        <w:jc w:val="both"/>
        <w:rPr>
          <w:rFonts w:eastAsia="Arial" w:cs="Arial"/>
          <w:b/>
          <w:color w:val="000000"/>
          <w:szCs w:val="20"/>
        </w:rPr>
      </w:pPr>
    </w:p>
    <w:p w:rsidR="000D463E" w:rsidRDefault="000D463E" w:rsidP="000D463E">
      <w:pPr>
        <w:widowControl/>
        <w:suppressAutoHyphens/>
        <w:overflowPunct/>
        <w:autoSpaceDE/>
        <w:adjustRightInd/>
        <w:ind w:right="-333"/>
        <w:jc w:val="both"/>
        <w:rPr>
          <w:rFonts w:eastAsia="Arial" w:cs="Arial"/>
          <w:b/>
          <w:color w:val="000000"/>
          <w:szCs w:val="20"/>
        </w:rPr>
      </w:pPr>
    </w:p>
    <w:p w:rsidR="000D463E" w:rsidRPr="002B6384" w:rsidRDefault="000D463E" w:rsidP="000D463E">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Conflicts of interest</w:t>
      </w:r>
    </w:p>
    <w:p w:rsidR="000D463E" w:rsidRPr="002B6384" w:rsidRDefault="000D463E" w:rsidP="000D463E">
      <w:pPr>
        <w:widowControl/>
        <w:suppressAutoHyphens/>
        <w:overflowPunct/>
        <w:autoSpaceDE/>
        <w:adjustRightInd/>
        <w:ind w:right="-333"/>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In accordance with question </w:t>
      </w:r>
      <w:r>
        <w:rPr>
          <w:rFonts w:eastAsia="Arial" w:cs="Arial"/>
          <w:color w:val="000000"/>
          <w:szCs w:val="20"/>
        </w:rPr>
        <w:t>2</w:t>
      </w:r>
      <w:r w:rsidRPr="002B6384">
        <w:rPr>
          <w:rFonts w:eastAsia="Arial" w:cs="Arial"/>
          <w:color w:val="000000"/>
          <w:szCs w:val="20"/>
        </w:rPr>
        <w:t xml:space="preserve">.1 (e), the </w:t>
      </w:r>
      <w:r>
        <w:rPr>
          <w:rFonts w:eastAsia="Arial" w:cs="Arial"/>
          <w:color w:val="000000"/>
          <w:szCs w:val="20"/>
        </w:rPr>
        <w:t>Department</w:t>
      </w:r>
      <w:r w:rsidRPr="002B6384">
        <w:rPr>
          <w:rFonts w:eastAsia="Arial" w:cs="Arial"/>
          <w:color w:val="000000"/>
          <w:szCs w:val="20"/>
        </w:rPr>
        <w:t xml:space="preserve"> may exclude the Supplier if there is a conflict of interest which cannot be effectively remedied. 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eastAsia="Arial" w:cs="Arial"/>
          <w:color w:val="000000"/>
          <w:szCs w:val="20"/>
        </w:rPr>
      </w:pPr>
      <w:r w:rsidRPr="002B6384">
        <w:rPr>
          <w:rFonts w:eastAsia="Arial" w:cs="Arial"/>
          <w:color w:val="000000"/>
          <w:szCs w:val="20"/>
        </w:rPr>
        <w:t xml:space="preserve">Where there is any indication that a conflict of interest exists or may arise then it is the responsibility of the Supplier to inform the </w:t>
      </w:r>
      <w:r>
        <w:rPr>
          <w:rFonts w:eastAsia="Arial" w:cs="Arial"/>
          <w:color w:val="000000"/>
          <w:szCs w:val="20"/>
        </w:rPr>
        <w:t>Department</w:t>
      </w:r>
      <w:r w:rsidRPr="002B6384">
        <w:rPr>
          <w:rFonts w:eastAsia="Arial" w:cs="Arial"/>
          <w:color w:val="000000"/>
          <w:szCs w:val="20"/>
        </w:rPr>
        <w:t xml:space="preserve">, detailing the conflict in a separate Appendix. Provided that it has been carried out in a transparent manner, routine pre-market engagement carried out by the </w:t>
      </w:r>
      <w:r>
        <w:rPr>
          <w:rFonts w:eastAsia="Arial" w:cs="Arial"/>
          <w:color w:val="000000"/>
          <w:szCs w:val="20"/>
        </w:rPr>
        <w:t>Department</w:t>
      </w:r>
      <w:r w:rsidRPr="002B6384">
        <w:rPr>
          <w:rFonts w:eastAsia="Arial" w:cs="Arial"/>
          <w:color w:val="000000"/>
          <w:szCs w:val="20"/>
        </w:rPr>
        <w:t xml:space="preserve"> should not represent a conflict of interest for the Supplier.</w:t>
      </w:r>
    </w:p>
    <w:p w:rsidR="000D463E" w:rsidRDefault="000D463E" w:rsidP="000D463E">
      <w:pPr>
        <w:widowControl/>
        <w:suppressAutoHyphens/>
        <w:overflowPunct/>
        <w:autoSpaceDE/>
        <w:adjustRightInd/>
        <w:jc w:val="both"/>
        <w:rPr>
          <w:rFonts w:eastAsia="Arial" w:cs="Arial"/>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 xml:space="preserve">Taking Account of </w:t>
      </w:r>
      <w:r>
        <w:rPr>
          <w:rFonts w:eastAsia="Arial" w:cs="Arial"/>
          <w:b/>
          <w:color w:val="000000"/>
          <w:szCs w:val="20"/>
        </w:rPr>
        <w:t>Applicants</w:t>
      </w:r>
      <w:r w:rsidRPr="002B6384">
        <w:rPr>
          <w:rFonts w:eastAsia="Arial" w:cs="Arial"/>
          <w:b/>
          <w:color w:val="000000"/>
          <w:szCs w:val="20"/>
        </w:rPr>
        <w:t xml:space="preserve"> Past Performance</w:t>
      </w:r>
    </w:p>
    <w:p w:rsidR="000D463E" w:rsidRPr="002B6384" w:rsidRDefault="000D463E" w:rsidP="000D463E">
      <w:pPr>
        <w:widowControl/>
        <w:suppressAutoHyphens/>
        <w:overflowPunct/>
        <w:autoSpaceDE/>
        <w:adjustRightInd/>
        <w:ind w:right="-333"/>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In accordance with question (g), the </w:t>
      </w:r>
      <w:r>
        <w:rPr>
          <w:rFonts w:eastAsia="Arial" w:cs="Arial"/>
          <w:color w:val="000000"/>
          <w:szCs w:val="20"/>
        </w:rPr>
        <w:t>Department</w:t>
      </w:r>
      <w:r w:rsidRPr="002B6384">
        <w:rPr>
          <w:rFonts w:eastAsia="Arial" w:cs="Arial"/>
          <w:color w:val="000000"/>
          <w:szCs w:val="20"/>
        </w:rPr>
        <w:t xml:space="preserve"> may assess the past performance of a Supplier (through a Certificate of Performance provided by a Customer or other means of evidence). The </w:t>
      </w:r>
      <w:r>
        <w:rPr>
          <w:rFonts w:eastAsia="Arial" w:cs="Arial"/>
          <w:color w:val="000000"/>
          <w:szCs w:val="20"/>
        </w:rPr>
        <w:t>Department</w:t>
      </w:r>
      <w:r w:rsidRPr="002B6384">
        <w:rPr>
          <w:rFonts w:eastAsia="Arial" w:cs="Arial"/>
          <w:color w:val="000000"/>
          <w:szCs w:val="20"/>
        </w:rPr>
        <w:t xml:space="preserve"> may also assess whether specified minimum standards for reliability for such contracts are met. </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In addition, the </w:t>
      </w:r>
      <w:r>
        <w:rPr>
          <w:rFonts w:eastAsia="Arial" w:cs="Arial"/>
          <w:color w:val="000000"/>
          <w:szCs w:val="20"/>
        </w:rPr>
        <w:t>Department</w:t>
      </w:r>
      <w:r w:rsidRPr="002B6384">
        <w:rPr>
          <w:rFonts w:eastAsia="Arial" w:cs="Arial"/>
          <w:color w:val="000000"/>
          <w:szCs w:val="20"/>
        </w:rPr>
        <w:t xml:space="preserve"> may re-assess reliability based on past performance at key stages in the </w:t>
      </w:r>
      <w:r>
        <w:rPr>
          <w:rFonts w:eastAsia="Arial" w:cs="Arial"/>
          <w:color w:val="000000"/>
          <w:szCs w:val="20"/>
        </w:rPr>
        <w:t>application</w:t>
      </w:r>
      <w:r w:rsidRPr="002B6384">
        <w:rPr>
          <w:rFonts w:eastAsia="Arial" w:cs="Arial"/>
          <w:color w:val="000000"/>
          <w:szCs w:val="20"/>
        </w:rPr>
        <w:t xml:space="preserve"> process (i.e. </w:t>
      </w:r>
      <w:r>
        <w:rPr>
          <w:rFonts w:eastAsia="Arial" w:cs="Arial"/>
          <w:color w:val="000000"/>
          <w:szCs w:val="20"/>
        </w:rPr>
        <w:t>accreditation assessment, annual review etc</w:t>
      </w:r>
      <w:r w:rsidRPr="002B6384">
        <w:rPr>
          <w:rFonts w:eastAsia="Arial" w:cs="Arial"/>
          <w:color w:val="000000"/>
          <w:szCs w:val="20"/>
        </w:rPr>
        <w:t>.). Suppliers may also be asked to update the evidence they provide in this section to reflect more recent performance on new or existing contracts (or to confirm that nothing has changed).</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ind w:right="-333"/>
        <w:jc w:val="both"/>
        <w:rPr>
          <w:rFonts w:ascii="Calibri" w:eastAsia="Calibri" w:hAnsi="Calibri" w:cs="Calibri"/>
          <w:color w:val="000000"/>
          <w:szCs w:val="20"/>
        </w:rPr>
      </w:pPr>
      <w:r w:rsidRPr="002B6384">
        <w:rPr>
          <w:rFonts w:eastAsia="Arial" w:cs="Arial"/>
          <w:b/>
          <w:color w:val="000000"/>
          <w:szCs w:val="20"/>
        </w:rPr>
        <w:t xml:space="preserve">‘Self-cleaning’ </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eastAsia="Arial" w:cs="Arial"/>
          <w:color w:val="000000"/>
          <w:szCs w:val="20"/>
        </w:rPr>
      </w:pPr>
      <w:r w:rsidRPr="002B6384">
        <w:rPr>
          <w:rFonts w:eastAsia="Arial" w:cs="Arial"/>
          <w:color w:val="000000"/>
          <w:szCs w:val="20"/>
        </w:rPr>
        <w:t>Any Supplier t</w:t>
      </w:r>
      <w:r>
        <w:rPr>
          <w:rFonts w:eastAsia="Arial" w:cs="Arial"/>
          <w:color w:val="000000"/>
          <w:szCs w:val="20"/>
        </w:rPr>
        <w:t>hat answers ‘Yes’ to questions 1.1, 1.2 and 2</w:t>
      </w:r>
      <w:r w:rsidRPr="002B6384">
        <w:rPr>
          <w:rFonts w:eastAsia="Arial" w:cs="Arial"/>
          <w:color w:val="000000"/>
          <w:szCs w:val="20"/>
        </w:rPr>
        <w:t xml:space="preserve">.1 should provide sufficient evidence, in a separate Appendix, that provides a summary of the circumstances and any remedial action that has taken place subsequently and effectively “self-cleans” the situation referred to in that question. The supplier has to demonstrate it has taken such remedial action, to the satisfaction of the </w:t>
      </w:r>
      <w:r>
        <w:rPr>
          <w:rFonts w:eastAsia="Arial" w:cs="Arial"/>
          <w:color w:val="000000"/>
          <w:szCs w:val="20"/>
        </w:rPr>
        <w:t>Department</w:t>
      </w:r>
      <w:r w:rsidRPr="002B6384">
        <w:rPr>
          <w:rFonts w:eastAsia="Arial" w:cs="Arial"/>
          <w:color w:val="000000"/>
          <w:szCs w:val="20"/>
        </w:rPr>
        <w:t xml:space="preserve"> in each case.  </w:t>
      </w:r>
    </w:p>
    <w:p w:rsidR="000D463E" w:rsidRPr="002B6384" w:rsidRDefault="000D463E" w:rsidP="000D463E">
      <w:pPr>
        <w:widowControl/>
        <w:suppressAutoHyphens/>
        <w:overflowPunct/>
        <w:autoSpaceDE/>
        <w:adjustRightInd/>
        <w:jc w:val="both"/>
        <w:rPr>
          <w:rFonts w:eastAsia="Arial" w:cs="Arial"/>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If such evidence is considered by the </w:t>
      </w:r>
      <w:r>
        <w:rPr>
          <w:rFonts w:eastAsia="Arial" w:cs="Arial"/>
          <w:color w:val="000000"/>
          <w:szCs w:val="20"/>
        </w:rPr>
        <w:t>Department</w:t>
      </w:r>
      <w:r w:rsidRPr="002B6384">
        <w:rPr>
          <w:rFonts w:eastAsia="Arial" w:cs="Arial"/>
          <w:color w:val="000000"/>
          <w:szCs w:val="20"/>
        </w:rPr>
        <w:t xml:space="preserve"> (whose decision will be final) as sufficient, the economic operator concerned shall be allowed to continue in the </w:t>
      </w:r>
      <w:r>
        <w:rPr>
          <w:rFonts w:eastAsia="Arial" w:cs="Arial"/>
          <w:color w:val="000000"/>
          <w:szCs w:val="20"/>
        </w:rPr>
        <w:t>application</w:t>
      </w:r>
      <w:r w:rsidRPr="002B6384">
        <w:rPr>
          <w:rFonts w:eastAsia="Arial" w:cs="Arial"/>
          <w:color w:val="000000"/>
          <w:szCs w:val="20"/>
        </w:rPr>
        <w:t xml:space="preserve"> process.</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In order for the evidence referred to above to be sufficient, the Supplier shall, as a minimum, prove that it has;</w:t>
      </w:r>
    </w:p>
    <w:p w:rsidR="000D463E" w:rsidRPr="002B6384" w:rsidRDefault="000D463E" w:rsidP="000D463E">
      <w:pPr>
        <w:widowControl/>
        <w:numPr>
          <w:ilvl w:val="0"/>
          <w:numId w:val="2"/>
        </w:numPr>
        <w:suppressAutoHyphens/>
        <w:overflowPunct/>
        <w:autoSpaceDE/>
        <w:autoSpaceDN/>
        <w:adjustRightInd/>
        <w:spacing w:after="200" w:line="276" w:lineRule="auto"/>
        <w:ind w:hanging="358"/>
        <w:jc w:val="both"/>
        <w:textAlignment w:val="auto"/>
        <w:rPr>
          <w:rFonts w:ascii="Calibri" w:eastAsia="Calibri" w:hAnsi="Calibri" w:cs="Calibri"/>
          <w:color w:val="000000"/>
          <w:szCs w:val="20"/>
        </w:rPr>
      </w:pPr>
      <w:r w:rsidRPr="002B6384">
        <w:rPr>
          <w:rFonts w:eastAsia="Arial" w:cs="Arial"/>
          <w:color w:val="000000"/>
          <w:szCs w:val="20"/>
        </w:rPr>
        <w:t>paid or undertaken to pay compensation in respect of any damage caused by the criminal offence or misconduct;</w:t>
      </w:r>
    </w:p>
    <w:p w:rsidR="000D463E" w:rsidRPr="002B6384" w:rsidRDefault="000D463E" w:rsidP="000D463E">
      <w:pPr>
        <w:widowControl/>
        <w:numPr>
          <w:ilvl w:val="0"/>
          <w:numId w:val="2"/>
        </w:numPr>
        <w:suppressAutoHyphens/>
        <w:overflowPunct/>
        <w:autoSpaceDE/>
        <w:autoSpaceDN/>
        <w:adjustRightInd/>
        <w:spacing w:after="200" w:line="276" w:lineRule="auto"/>
        <w:ind w:hanging="358"/>
        <w:jc w:val="both"/>
        <w:textAlignment w:val="auto"/>
        <w:rPr>
          <w:rFonts w:ascii="Calibri" w:eastAsia="Calibri" w:hAnsi="Calibri" w:cs="Calibri"/>
          <w:color w:val="000000"/>
          <w:szCs w:val="20"/>
        </w:rPr>
      </w:pPr>
      <w:r w:rsidRPr="002B6384">
        <w:rPr>
          <w:rFonts w:eastAsia="Arial" w:cs="Arial"/>
          <w:color w:val="000000"/>
          <w:szCs w:val="20"/>
        </w:rPr>
        <w:t>clarified the facts and circumstances in a comprehensive manner by actively collaborating with the investigating authorities; and</w:t>
      </w:r>
    </w:p>
    <w:p w:rsidR="000D463E" w:rsidRPr="002B6384" w:rsidRDefault="000D463E" w:rsidP="000D463E">
      <w:pPr>
        <w:widowControl/>
        <w:numPr>
          <w:ilvl w:val="0"/>
          <w:numId w:val="2"/>
        </w:numPr>
        <w:suppressAutoHyphens/>
        <w:overflowPunct/>
        <w:autoSpaceDE/>
        <w:autoSpaceDN/>
        <w:adjustRightInd/>
        <w:spacing w:after="200" w:line="276" w:lineRule="auto"/>
        <w:ind w:hanging="358"/>
        <w:jc w:val="both"/>
        <w:textAlignment w:val="auto"/>
        <w:rPr>
          <w:rFonts w:ascii="Calibri" w:eastAsia="Calibri" w:hAnsi="Calibri" w:cs="Calibri"/>
          <w:color w:val="000000"/>
          <w:szCs w:val="20"/>
        </w:rPr>
      </w:pPr>
      <w:r w:rsidRPr="002B6384">
        <w:rPr>
          <w:rFonts w:eastAsia="Arial" w:cs="Arial"/>
          <w:color w:val="000000"/>
          <w:szCs w:val="20"/>
        </w:rPr>
        <w:t>taken concrete technical, organisational and personnel measures that are appropriate to prevent further criminal offences or misconduct.</w:t>
      </w:r>
    </w:p>
    <w:p w:rsidR="000D463E" w:rsidRPr="002B6384" w:rsidRDefault="000D463E" w:rsidP="000D463E">
      <w:pPr>
        <w:widowControl/>
        <w:suppressAutoHyphens/>
        <w:overflowPunct/>
        <w:autoSpaceDE/>
        <w:adjustRightInd/>
        <w:ind w:left="720"/>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The measures taken by the Supplier shall be evaluated taking into account the gravity and particular circumstances of the criminal offence or misconduct. Where the measures are considered by the </w:t>
      </w:r>
      <w:r>
        <w:rPr>
          <w:rFonts w:eastAsia="Arial" w:cs="Arial"/>
          <w:color w:val="000000"/>
          <w:szCs w:val="20"/>
        </w:rPr>
        <w:t>Department</w:t>
      </w:r>
      <w:r w:rsidRPr="002B6384">
        <w:rPr>
          <w:rFonts w:eastAsia="Arial" w:cs="Arial"/>
          <w:color w:val="000000"/>
          <w:szCs w:val="20"/>
        </w:rPr>
        <w:t xml:space="preserve"> to be insufficient, the Supplier shall be given a statement of the reasons for that decision.</w:t>
      </w: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bookmarkStart w:id="0" w:name="_GoBack"/>
      <w:bookmarkEnd w:id="0"/>
    </w:p>
    <w:p w:rsidR="000D463E" w:rsidRPr="00E66D86" w:rsidRDefault="000D463E" w:rsidP="000D463E">
      <w:pPr>
        <w:keepNext/>
        <w:widowControl/>
        <w:suppressAutoHyphens/>
        <w:overflowPunct/>
        <w:autoSpaceDE/>
        <w:adjustRightInd/>
        <w:spacing w:before="200" w:line="276" w:lineRule="auto"/>
        <w:outlineLvl w:val="1"/>
        <w:rPr>
          <w:rFonts w:eastAsia="Arial" w:cs="Arial"/>
          <w:b/>
          <w:color w:val="000000"/>
          <w:szCs w:val="20"/>
        </w:rPr>
      </w:pPr>
      <w:r>
        <w:rPr>
          <w:rFonts w:eastAsia="Arial" w:cs="Arial"/>
          <w:b/>
          <w:color w:val="000000"/>
          <w:szCs w:val="20"/>
        </w:rPr>
        <w:lastRenderedPageBreak/>
        <w:t>3</w:t>
      </w:r>
      <w:r>
        <w:rPr>
          <w:rFonts w:eastAsia="Arial" w:cs="Arial"/>
          <w:b/>
          <w:color w:val="000000"/>
          <w:szCs w:val="20"/>
        </w:rPr>
        <w:tab/>
        <w:t>Grounds for discretionary exclusion part 2</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The </w:t>
      </w:r>
      <w:r>
        <w:rPr>
          <w:rFonts w:eastAsia="Arial" w:cs="Arial"/>
          <w:color w:val="000000"/>
          <w:szCs w:val="20"/>
        </w:rPr>
        <w:t>Department</w:t>
      </w:r>
      <w:r w:rsidRPr="002B6384">
        <w:rPr>
          <w:rFonts w:eastAsia="Arial" w:cs="Arial"/>
          <w:color w:val="000000"/>
          <w:szCs w:val="20"/>
        </w:rPr>
        <w:t xml:space="preserve"> reserves the right to use its discretion to exclude a supplier where it can demonstrate the supplier’s non-payment of taxes/social security contributions where no binding legal decision has been taken.</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Please note </w:t>
      </w:r>
      <w:r>
        <w:rPr>
          <w:rFonts w:eastAsia="Arial" w:cs="Arial"/>
          <w:color w:val="000000"/>
          <w:szCs w:val="20"/>
        </w:rPr>
        <w:t>that this section</w:t>
      </w:r>
      <w:r w:rsidRPr="002B6384">
        <w:rPr>
          <w:rFonts w:eastAsia="Arial" w:cs="Arial"/>
          <w:color w:val="000000"/>
          <w:szCs w:val="20"/>
        </w:rPr>
        <w:t xml:space="preserve"> relating to tax compliance only applies where the </w:t>
      </w:r>
      <w:r>
        <w:rPr>
          <w:rFonts w:eastAsia="Arial" w:cs="Arial"/>
          <w:color w:val="000000"/>
          <w:szCs w:val="20"/>
        </w:rPr>
        <w:t>Department</w:t>
      </w:r>
      <w:r w:rsidRPr="002B6384">
        <w:rPr>
          <w:rFonts w:eastAsia="Arial" w:cs="Arial"/>
          <w:color w:val="000000"/>
          <w:szCs w:val="20"/>
        </w:rPr>
        <w:t xml:space="preserve"> has indicated that the contract is over £5million in value</w:t>
      </w:r>
      <w:r>
        <w:rPr>
          <w:rFonts w:eastAsia="Arial" w:cs="Arial"/>
          <w:color w:val="000000"/>
          <w:szCs w:val="20"/>
        </w:rPr>
        <w:t>.</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 xml:space="preserve">“Occasion of Tax Non-Compliance” means: </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numPr>
          <w:ilvl w:val="0"/>
          <w:numId w:val="3"/>
        </w:numPr>
        <w:suppressAutoHyphens/>
        <w:overflowPunct/>
        <w:autoSpaceDE/>
        <w:autoSpaceDN/>
        <w:adjustRightInd/>
        <w:spacing w:after="200" w:line="276" w:lineRule="auto"/>
        <w:ind w:left="358" w:hanging="358"/>
        <w:jc w:val="both"/>
        <w:textAlignment w:val="auto"/>
        <w:rPr>
          <w:rFonts w:eastAsia="Arial" w:cs="Arial"/>
          <w:color w:val="000000"/>
          <w:szCs w:val="20"/>
        </w:rPr>
      </w:pPr>
      <w:r w:rsidRPr="002B6384">
        <w:rPr>
          <w:rFonts w:eastAsia="Arial" w:cs="Arial"/>
          <w:color w:val="000000"/>
          <w:szCs w:val="20"/>
        </w:rPr>
        <w:t xml:space="preserve">any tax return of the Supplier submitted to a Relevant Tax Authority on or after 1 October 2012 is found to be incorrect as a result of: </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numPr>
          <w:ilvl w:val="3"/>
          <w:numId w:val="6"/>
        </w:numPr>
        <w:suppressAutoHyphens/>
        <w:overflowPunct/>
        <w:autoSpaceDE/>
        <w:autoSpaceDN/>
        <w:adjustRightInd/>
        <w:spacing w:after="200" w:line="276" w:lineRule="auto"/>
        <w:ind w:left="1438" w:hanging="358"/>
        <w:jc w:val="both"/>
        <w:textAlignment w:val="auto"/>
        <w:rPr>
          <w:rFonts w:eastAsia="Arial" w:cs="Arial"/>
          <w:color w:val="000000"/>
          <w:szCs w:val="20"/>
        </w:rPr>
      </w:pPr>
      <w:r w:rsidRPr="002B6384">
        <w:rPr>
          <w:rFonts w:eastAsia="Arial" w:cs="Arial"/>
          <w:color w:val="000000"/>
          <w:szCs w:val="20"/>
        </w:rP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0D463E" w:rsidRPr="002B6384" w:rsidRDefault="000D463E" w:rsidP="000D463E">
      <w:pPr>
        <w:widowControl/>
        <w:numPr>
          <w:ilvl w:val="3"/>
          <w:numId w:val="6"/>
        </w:numPr>
        <w:suppressAutoHyphens/>
        <w:overflowPunct/>
        <w:autoSpaceDE/>
        <w:autoSpaceDN/>
        <w:adjustRightInd/>
        <w:spacing w:after="200" w:line="276" w:lineRule="auto"/>
        <w:ind w:left="1438" w:hanging="358"/>
        <w:jc w:val="both"/>
        <w:textAlignment w:val="auto"/>
        <w:rPr>
          <w:rFonts w:eastAsia="Arial" w:cs="Arial"/>
          <w:color w:val="000000"/>
          <w:szCs w:val="20"/>
        </w:rPr>
      </w:pPr>
      <w:r w:rsidRPr="002B6384">
        <w:rPr>
          <w:rFonts w:eastAsia="Arial" w:cs="Arial"/>
          <w:color w:val="000000"/>
          <w:szCs w:val="20"/>
        </w:rPr>
        <w:t xml:space="preserve">the failure of an avoidance scheme which the Supplier was involved in, and which was, or should have been, notified to a Relevant Tax Authority under the DOTAS or any equivalent or similar regime; and/or </w:t>
      </w: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p w:rsidR="000D463E" w:rsidRPr="002B6384" w:rsidRDefault="000D463E" w:rsidP="000D463E">
      <w:pPr>
        <w:widowControl/>
        <w:numPr>
          <w:ilvl w:val="0"/>
          <w:numId w:val="3"/>
        </w:numPr>
        <w:suppressAutoHyphens/>
        <w:overflowPunct/>
        <w:autoSpaceDE/>
        <w:autoSpaceDN/>
        <w:adjustRightInd/>
        <w:spacing w:after="200" w:line="276" w:lineRule="auto"/>
        <w:ind w:left="358" w:hanging="358"/>
        <w:jc w:val="both"/>
        <w:textAlignment w:val="auto"/>
        <w:rPr>
          <w:rFonts w:eastAsia="Arial" w:cs="Arial"/>
          <w:color w:val="000000"/>
          <w:szCs w:val="20"/>
        </w:rPr>
      </w:pPr>
      <w:r w:rsidRPr="002B6384">
        <w:rPr>
          <w:rFonts w:eastAsia="Arial" w:cs="Arial"/>
          <w:color w:val="000000"/>
          <w:szCs w:val="20"/>
        </w:rPr>
        <w:t>the Supplier’s tax affairs give rise on or after 1 April 2013 to a criminal conviction in any jurisdiction for tax related offences which is not spent at the Effective Date or to a penalty for civil fraud or evasion</w:t>
      </w:r>
    </w:p>
    <w:p w:rsidR="000D463E" w:rsidRPr="002B6384" w:rsidRDefault="000D463E" w:rsidP="000D463E">
      <w:pPr>
        <w:widowControl/>
        <w:suppressAutoHyphens/>
        <w:overflowPunct/>
        <w:autoSpaceDE/>
        <w:adjustRightInd/>
        <w:ind w:left="720"/>
        <w:jc w:val="both"/>
        <w:rPr>
          <w:rFonts w:eastAsia="Arial" w:cs="Arial"/>
          <w:color w:val="000000"/>
          <w:szCs w:val="20"/>
        </w:rPr>
      </w:pPr>
    </w:p>
    <w:p w:rsidR="000D463E" w:rsidRPr="002B6384" w:rsidRDefault="000D463E" w:rsidP="000D463E">
      <w:pPr>
        <w:widowControl/>
        <w:suppressAutoHyphens/>
        <w:overflowPunct/>
        <w:autoSpaceDE/>
        <w:adjustRightInd/>
        <w:jc w:val="both"/>
        <w:rPr>
          <w:rFonts w:ascii="Calibri" w:eastAsia="Calibri" w:hAnsi="Calibri" w:cs="Calibri"/>
          <w:color w:val="000000"/>
          <w:szCs w:val="20"/>
        </w:rPr>
      </w:pPr>
    </w:p>
    <w:tbl>
      <w:tblPr>
        <w:tblW w:w="9180" w:type="dxa"/>
        <w:tblInd w:w="-228" w:type="dxa"/>
        <w:tblLayout w:type="fixed"/>
        <w:tblCellMar>
          <w:left w:w="10" w:type="dxa"/>
          <w:right w:w="10" w:type="dxa"/>
        </w:tblCellMar>
        <w:tblLook w:val="0000" w:firstRow="0" w:lastRow="0" w:firstColumn="0" w:lastColumn="0" w:noHBand="0" w:noVBand="0"/>
      </w:tblPr>
      <w:tblGrid>
        <w:gridCol w:w="959"/>
        <w:gridCol w:w="6662"/>
        <w:gridCol w:w="1559"/>
      </w:tblGrid>
      <w:tr w:rsidR="000D463E" w:rsidRPr="002B6384" w:rsidTr="00330A58">
        <w:trPr>
          <w:trHeight w:val="8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From 1 April 2013 onwards, have any of your company’s tax returns submitted on or after 1 October 2012; (Please indicate your answer by marking ‘X’ in the relevant box).</w:t>
            </w:r>
          </w:p>
        </w:tc>
      </w:tr>
      <w:tr w:rsidR="000D463E" w:rsidRPr="002B6384" w:rsidTr="00330A5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rPr>
                <w:rFonts w:ascii="Calibri" w:eastAsia="Calibri" w:hAnsi="Calibri" w:cs="Calibri"/>
                <w:color w:val="000000"/>
                <w:szCs w:val="20"/>
              </w:rPr>
            </w:pPr>
            <w:r>
              <w:rPr>
                <w:rFonts w:eastAsia="Arial" w:cs="Arial"/>
                <w:color w:val="000000"/>
                <w:szCs w:val="20"/>
              </w:rPr>
              <w:t>3</w:t>
            </w:r>
            <w:r w:rsidRPr="002B6384">
              <w:rPr>
                <w:rFonts w:eastAsia="Arial" w:cs="Arial"/>
                <w:color w:val="000000"/>
                <w:szCs w:val="20"/>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jc w:val="both"/>
              <w:rPr>
                <w:rFonts w:ascii="Calibri" w:eastAsia="Calibri" w:hAnsi="Calibri" w:cs="Calibri"/>
                <w:color w:val="000000"/>
                <w:szCs w:val="20"/>
              </w:rPr>
            </w:pPr>
            <w:r w:rsidRPr="002B6384">
              <w:rPr>
                <w:rFonts w:eastAsia="Arial" w:cs="Arial"/>
                <w:color w:val="000000"/>
                <w:szCs w:val="20"/>
              </w:rPr>
              <w:t>Given rise to a criminal conviction for tax related offences which is unspent, or to a civil penalty for fraud or evasion;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tabs>
                <w:tab w:val="center" w:pos="4513"/>
                <w:tab w:val="right" w:pos="9026"/>
              </w:tabs>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Yes</w:t>
            </w:r>
          </w:p>
          <w:p w:rsidR="000D463E" w:rsidRPr="002B6384" w:rsidRDefault="000D463E" w:rsidP="00330A58">
            <w:pPr>
              <w:widowControl/>
              <w:tabs>
                <w:tab w:val="center" w:pos="4513"/>
                <w:tab w:val="right" w:pos="9026"/>
              </w:tabs>
              <w:suppressAutoHyphens/>
              <w:overflowPunct/>
              <w:autoSpaceDE/>
              <w:adjustRightInd/>
              <w:rPr>
                <w:rFonts w:ascii="Calibri" w:eastAsia="Calibri" w:hAnsi="Calibri" w:cs="Calibri"/>
                <w:color w:val="000000"/>
                <w:szCs w:val="20"/>
              </w:rPr>
            </w:pPr>
          </w:p>
          <w:p w:rsidR="000D463E" w:rsidRPr="002B6384" w:rsidRDefault="000D463E" w:rsidP="00330A58">
            <w:pPr>
              <w:widowControl/>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No    </w:t>
            </w:r>
          </w:p>
        </w:tc>
      </w:tr>
      <w:tr w:rsidR="000D463E" w:rsidRPr="002B6384" w:rsidTr="00330A58">
        <w:trPr>
          <w:trHeight w:val="1120"/>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before="120" w:after="120"/>
              <w:rPr>
                <w:rFonts w:ascii="Calibri" w:eastAsia="Calibri" w:hAnsi="Calibri" w:cs="Calibri"/>
                <w:color w:val="000000"/>
                <w:szCs w:val="20"/>
              </w:rPr>
            </w:pPr>
            <w:r>
              <w:rPr>
                <w:rFonts w:eastAsia="Arial" w:cs="Arial"/>
                <w:color w:val="000000"/>
                <w:szCs w:val="20"/>
              </w:rPr>
              <w:t>3</w:t>
            </w:r>
            <w:r w:rsidRPr="002B6384">
              <w:rPr>
                <w:rFonts w:eastAsia="Arial" w:cs="Arial"/>
                <w:color w:val="000000"/>
                <w:szCs w:val="20"/>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suppressAutoHyphens/>
              <w:overflowPunct/>
              <w:autoSpaceDE/>
              <w:adjustRightInd/>
              <w:spacing w:after="200" w:line="276" w:lineRule="auto"/>
              <w:jc w:val="both"/>
              <w:rPr>
                <w:rFonts w:ascii="Calibri" w:eastAsia="Calibri" w:hAnsi="Calibri" w:cs="Calibri"/>
                <w:color w:val="000000"/>
                <w:szCs w:val="20"/>
              </w:rPr>
            </w:pPr>
            <w:r w:rsidRPr="002B6384">
              <w:rPr>
                <w:rFonts w:eastAsia="Arial" w:cs="Arial"/>
                <w:color w:val="000000"/>
                <w:szCs w:val="20"/>
              </w:rPr>
              <w:t>Been found to be incorrect as a result of:</w:t>
            </w:r>
          </w:p>
          <w:p w:rsidR="000D463E" w:rsidRPr="002B6384" w:rsidRDefault="000D463E" w:rsidP="000D463E">
            <w:pPr>
              <w:widowControl/>
              <w:numPr>
                <w:ilvl w:val="2"/>
                <w:numId w:val="4"/>
              </w:numPr>
              <w:suppressAutoHyphens/>
              <w:overflowPunct/>
              <w:autoSpaceDE/>
              <w:autoSpaceDN/>
              <w:adjustRightInd/>
              <w:spacing w:after="120" w:line="276" w:lineRule="auto"/>
              <w:ind w:left="742" w:hanging="281"/>
              <w:jc w:val="both"/>
              <w:textAlignment w:val="auto"/>
              <w:rPr>
                <w:rFonts w:ascii="Calibri" w:eastAsia="Calibri" w:hAnsi="Calibri" w:cs="Calibri"/>
                <w:color w:val="000000"/>
                <w:szCs w:val="20"/>
              </w:rPr>
            </w:pPr>
            <w:r w:rsidRPr="002B6384">
              <w:rPr>
                <w:rFonts w:eastAsia="Arial" w:cs="Arial"/>
                <w:color w:val="000000"/>
                <w:szCs w:val="20"/>
              </w:rPr>
              <w:t>HMRC successfully challenging it under the General Anti-Abuse Rule (GAAR) or the “Halifax” abuse principle; or</w:t>
            </w:r>
          </w:p>
          <w:p w:rsidR="000D463E" w:rsidRPr="002B6384" w:rsidRDefault="000D463E" w:rsidP="000D463E">
            <w:pPr>
              <w:widowControl/>
              <w:numPr>
                <w:ilvl w:val="2"/>
                <w:numId w:val="4"/>
              </w:numPr>
              <w:suppressAutoHyphens/>
              <w:overflowPunct/>
              <w:autoSpaceDE/>
              <w:autoSpaceDN/>
              <w:adjustRightInd/>
              <w:spacing w:after="120" w:line="276" w:lineRule="auto"/>
              <w:ind w:left="742" w:hanging="281"/>
              <w:jc w:val="both"/>
              <w:textAlignment w:val="auto"/>
              <w:rPr>
                <w:rFonts w:ascii="Calibri" w:eastAsia="Calibri" w:hAnsi="Calibri" w:cs="Calibri"/>
                <w:color w:val="000000"/>
                <w:szCs w:val="20"/>
              </w:rPr>
            </w:pPr>
            <w:r w:rsidRPr="002B6384">
              <w:rPr>
                <w:rFonts w:eastAsia="Arial" w:cs="Arial"/>
                <w:color w:val="000000"/>
                <w:szCs w:val="20"/>
              </w:rPr>
              <w:t>a tax authority in a jurisdiction in which the legal entity is established successfully challenging it under any tax rules or legislation that have an effect equivalent or similar to the GAAR or the “Halifax” abuse principle; or</w:t>
            </w:r>
          </w:p>
          <w:p w:rsidR="000D463E" w:rsidRPr="002B6384" w:rsidRDefault="000D463E" w:rsidP="000D463E">
            <w:pPr>
              <w:widowControl/>
              <w:numPr>
                <w:ilvl w:val="2"/>
                <w:numId w:val="4"/>
              </w:numPr>
              <w:suppressAutoHyphens/>
              <w:overflowPunct/>
              <w:autoSpaceDE/>
              <w:autoSpaceDN/>
              <w:adjustRightInd/>
              <w:spacing w:after="120" w:line="276" w:lineRule="auto"/>
              <w:ind w:left="742" w:hanging="281"/>
              <w:jc w:val="both"/>
              <w:textAlignment w:val="auto"/>
              <w:rPr>
                <w:rFonts w:ascii="Calibri" w:eastAsia="Calibri" w:hAnsi="Calibri" w:cs="Calibri"/>
                <w:color w:val="000000"/>
                <w:szCs w:val="20"/>
              </w:rPr>
            </w:pPr>
            <w:r w:rsidRPr="002B6384">
              <w:rPr>
                <w:rFonts w:eastAsia="Arial" w:cs="Arial"/>
                <w:color w:val="000000"/>
                <w:szCs w:val="20"/>
              </w:rPr>
              <w:t xml:space="preserve">the failure of an avoidance scheme which the Supplier was involved in and which was, or should have been, notified under the Disclosure of Tax Avoidance Scheme (DOTAS) or any equivalent or similar regime in a jurisdiction in which the Supplier is established.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Pr="002B6384" w:rsidRDefault="000D463E" w:rsidP="00330A58">
            <w:pPr>
              <w:widowControl/>
              <w:tabs>
                <w:tab w:val="center" w:pos="4513"/>
                <w:tab w:val="right" w:pos="9026"/>
              </w:tabs>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Yes</w:t>
            </w:r>
          </w:p>
          <w:p w:rsidR="000D463E" w:rsidRPr="002B6384" w:rsidRDefault="000D463E" w:rsidP="00330A58">
            <w:pPr>
              <w:widowControl/>
              <w:tabs>
                <w:tab w:val="center" w:pos="4513"/>
                <w:tab w:val="right" w:pos="9026"/>
              </w:tabs>
              <w:suppressAutoHyphens/>
              <w:overflowPunct/>
              <w:autoSpaceDE/>
              <w:adjustRightInd/>
              <w:rPr>
                <w:rFonts w:ascii="Calibri" w:eastAsia="Calibri" w:hAnsi="Calibri" w:cs="Calibri"/>
                <w:color w:val="000000"/>
                <w:szCs w:val="20"/>
              </w:rPr>
            </w:pPr>
          </w:p>
          <w:p w:rsidR="000D463E" w:rsidRPr="002B6384" w:rsidRDefault="000D463E" w:rsidP="00330A58">
            <w:pPr>
              <w:widowControl/>
              <w:suppressAutoHyphens/>
              <w:overflowPunct/>
              <w:autoSpaceDE/>
              <w:adjustRightInd/>
              <w:rPr>
                <w:rFonts w:ascii="Calibri" w:eastAsia="Calibri" w:hAnsi="Calibri" w:cs="Calibri"/>
                <w:color w:val="000000"/>
                <w:szCs w:val="20"/>
              </w:rPr>
            </w:pPr>
            <w:r w:rsidRPr="002B6384">
              <w:rPr>
                <w:rFonts w:ascii="MS Gothic" w:eastAsia="MS Gothic" w:hAnsi="MS Gothic" w:cs="MS Gothic"/>
                <w:color w:val="000000"/>
                <w:szCs w:val="20"/>
              </w:rPr>
              <w:t>▢</w:t>
            </w:r>
            <w:r w:rsidRPr="002B6384">
              <w:rPr>
                <w:rFonts w:eastAsia="Arial" w:cs="Arial"/>
                <w:color w:val="000000"/>
                <w:szCs w:val="20"/>
              </w:rPr>
              <w:t xml:space="preserve">   No    </w:t>
            </w:r>
          </w:p>
        </w:tc>
      </w:tr>
      <w:tr w:rsidR="000D463E" w:rsidRPr="002B6384" w:rsidTr="00330A58">
        <w:trPr>
          <w:trHeight w:val="1120"/>
        </w:trPr>
        <w:tc>
          <w:tcPr>
            <w:tcW w:w="918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0D463E" w:rsidRDefault="000D463E" w:rsidP="00330A58">
            <w:pPr>
              <w:widowControl/>
              <w:suppressAutoHyphens/>
              <w:overflowPunct/>
              <w:autoSpaceDE/>
              <w:adjustRightInd/>
              <w:spacing w:after="120" w:line="276" w:lineRule="auto"/>
              <w:jc w:val="both"/>
              <w:rPr>
                <w:rFonts w:eastAsia="Arial" w:cs="Arial"/>
                <w:color w:val="000000"/>
                <w:szCs w:val="20"/>
              </w:rPr>
            </w:pPr>
          </w:p>
          <w:p w:rsidR="000D463E" w:rsidRPr="002B6384" w:rsidRDefault="000D463E" w:rsidP="00330A58">
            <w:pPr>
              <w:widowControl/>
              <w:suppressAutoHyphens/>
              <w:overflowPunct/>
              <w:autoSpaceDE/>
              <w:adjustRightInd/>
              <w:spacing w:after="120" w:line="276" w:lineRule="auto"/>
              <w:jc w:val="both"/>
              <w:rPr>
                <w:rFonts w:ascii="Calibri" w:eastAsia="Calibri" w:hAnsi="Calibri" w:cs="Calibri"/>
                <w:color w:val="000000"/>
                <w:szCs w:val="20"/>
              </w:rPr>
            </w:pPr>
            <w:r>
              <w:rPr>
                <w:rFonts w:eastAsia="Arial" w:cs="Arial"/>
                <w:color w:val="000000"/>
                <w:szCs w:val="20"/>
              </w:rPr>
              <w:t>If answering “Yes” to either 3.1 or 3</w:t>
            </w:r>
            <w:r w:rsidRPr="002B6384">
              <w:rPr>
                <w:rFonts w:eastAsia="Arial" w:cs="Arial"/>
                <w:color w:val="000000"/>
                <w:szCs w:val="20"/>
              </w:rPr>
              <w:t xml:space="preserve">.2 above, the Supplier may provide details of any mitigating factors that it considers relevant and that it wishes the </w:t>
            </w:r>
            <w:r>
              <w:rPr>
                <w:rFonts w:eastAsia="Arial" w:cs="Arial"/>
                <w:color w:val="000000"/>
                <w:szCs w:val="20"/>
              </w:rPr>
              <w:t>Department</w:t>
            </w:r>
            <w:r w:rsidRPr="002B6384">
              <w:rPr>
                <w:rFonts w:eastAsia="Arial" w:cs="Arial"/>
                <w:color w:val="000000"/>
                <w:szCs w:val="20"/>
              </w:rPr>
              <w:t xml:space="preserve"> to take into consideration.  This could include, for example: </w:t>
            </w:r>
          </w:p>
          <w:p w:rsidR="000D463E" w:rsidRPr="002B6384" w:rsidRDefault="000D463E" w:rsidP="000D463E">
            <w:pPr>
              <w:widowControl/>
              <w:numPr>
                <w:ilvl w:val="1"/>
                <w:numId w:val="4"/>
              </w:numPr>
              <w:suppressAutoHyphens/>
              <w:overflowPunct/>
              <w:autoSpaceDE/>
              <w:autoSpaceDN/>
              <w:adjustRightInd/>
              <w:spacing w:after="120" w:line="276" w:lineRule="auto"/>
              <w:ind w:left="1134" w:hanging="423"/>
              <w:jc w:val="both"/>
              <w:textAlignment w:val="auto"/>
              <w:rPr>
                <w:rFonts w:ascii="Calibri" w:eastAsia="Calibri" w:hAnsi="Calibri" w:cs="Calibri"/>
                <w:color w:val="000000"/>
                <w:szCs w:val="20"/>
              </w:rPr>
            </w:pPr>
            <w:r w:rsidRPr="002B6384">
              <w:rPr>
                <w:rFonts w:eastAsia="Arial" w:cs="Arial"/>
                <w:color w:val="000000"/>
                <w:szCs w:val="20"/>
              </w:rPr>
              <w:t>Corrective action undertaken by the Supplier to date;</w:t>
            </w:r>
          </w:p>
          <w:p w:rsidR="000D463E" w:rsidRPr="002B6384" w:rsidRDefault="000D463E" w:rsidP="000D463E">
            <w:pPr>
              <w:widowControl/>
              <w:numPr>
                <w:ilvl w:val="1"/>
                <w:numId w:val="4"/>
              </w:numPr>
              <w:suppressAutoHyphens/>
              <w:overflowPunct/>
              <w:autoSpaceDE/>
              <w:autoSpaceDN/>
              <w:adjustRightInd/>
              <w:spacing w:after="120" w:line="276" w:lineRule="auto"/>
              <w:ind w:left="1134" w:hanging="423"/>
              <w:jc w:val="both"/>
              <w:textAlignment w:val="auto"/>
              <w:rPr>
                <w:rFonts w:ascii="Calibri" w:eastAsia="Calibri" w:hAnsi="Calibri" w:cs="Calibri"/>
                <w:color w:val="000000"/>
                <w:szCs w:val="20"/>
              </w:rPr>
            </w:pPr>
            <w:r w:rsidRPr="002B6384">
              <w:rPr>
                <w:rFonts w:eastAsia="Arial" w:cs="Arial"/>
                <w:color w:val="000000"/>
                <w:szCs w:val="20"/>
              </w:rPr>
              <w:t xml:space="preserve">Planned corrective action to be taken; </w:t>
            </w:r>
          </w:p>
          <w:p w:rsidR="000D463E" w:rsidRPr="002B6384" w:rsidRDefault="000D463E" w:rsidP="000D463E">
            <w:pPr>
              <w:widowControl/>
              <w:numPr>
                <w:ilvl w:val="1"/>
                <w:numId w:val="4"/>
              </w:numPr>
              <w:suppressAutoHyphens/>
              <w:overflowPunct/>
              <w:autoSpaceDE/>
              <w:autoSpaceDN/>
              <w:adjustRightInd/>
              <w:spacing w:after="120" w:line="276" w:lineRule="auto"/>
              <w:ind w:left="1134" w:hanging="423"/>
              <w:jc w:val="both"/>
              <w:textAlignment w:val="auto"/>
              <w:rPr>
                <w:rFonts w:ascii="Calibri" w:eastAsia="Calibri" w:hAnsi="Calibri" w:cs="Calibri"/>
                <w:color w:val="000000"/>
                <w:szCs w:val="20"/>
              </w:rPr>
            </w:pPr>
            <w:r w:rsidRPr="002B6384">
              <w:rPr>
                <w:rFonts w:eastAsia="Arial" w:cs="Arial"/>
                <w:color w:val="000000"/>
                <w:szCs w:val="20"/>
              </w:rPr>
              <w:t>Changes in personnel or ownership since the Occasion of Non-Compliance (OONC); or</w:t>
            </w:r>
          </w:p>
          <w:p w:rsidR="000D463E" w:rsidRPr="002B6384" w:rsidRDefault="000D463E" w:rsidP="000D463E">
            <w:pPr>
              <w:widowControl/>
              <w:numPr>
                <w:ilvl w:val="1"/>
                <w:numId w:val="4"/>
              </w:numPr>
              <w:suppressAutoHyphens/>
              <w:overflowPunct/>
              <w:autoSpaceDE/>
              <w:autoSpaceDN/>
              <w:adjustRightInd/>
              <w:spacing w:after="120" w:line="276" w:lineRule="auto"/>
              <w:ind w:left="1134" w:hanging="423"/>
              <w:jc w:val="both"/>
              <w:textAlignment w:val="auto"/>
              <w:rPr>
                <w:rFonts w:ascii="Calibri" w:eastAsia="Calibri" w:hAnsi="Calibri" w:cs="Calibri"/>
                <w:color w:val="000000"/>
                <w:szCs w:val="20"/>
              </w:rPr>
            </w:pPr>
            <w:r w:rsidRPr="002B6384">
              <w:rPr>
                <w:rFonts w:eastAsia="Arial" w:cs="Arial"/>
                <w:color w:val="000000"/>
                <w:szCs w:val="20"/>
              </w:rPr>
              <w:t>Changes in financial, accounting, audit or management procedures since the OONC.</w:t>
            </w:r>
          </w:p>
          <w:p w:rsidR="000D463E" w:rsidRPr="002B6384" w:rsidRDefault="000D463E" w:rsidP="00330A58">
            <w:pPr>
              <w:widowControl/>
              <w:tabs>
                <w:tab w:val="left" w:pos="1134"/>
                <w:tab w:val="left" w:pos="1701"/>
              </w:tabs>
              <w:suppressAutoHyphens/>
              <w:overflowPunct/>
              <w:autoSpaceDE/>
              <w:adjustRightInd/>
              <w:jc w:val="both"/>
              <w:rPr>
                <w:rFonts w:ascii="Calibri" w:eastAsia="Calibri" w:hAnsi="Calibri" w:cs="Calibri"/>
                <w:color w:val="000000"/>
                <w:szCs w:val="20"/>
              </w:rPr>
            </w:pPr>
          </w:p>
          <w:p w:rsidR="000D463E" w:rsidRPr="002B6384" w:rsidRDefault="000D463E" w:rsidP="00330A58">
            <w:pPr>
              <w:widowControl/>
              <w:suppressAutoHyphens/>
              <w:overflowPunct/>
              <w:autoSpaceDE/>
              <w:adjustRightInd/>
              <w:spacing w:after="200" w:line="276" w:lineRule="auto"/>
              <w:jc w:val="both"/>
              <w:rPr>
                <w:rFonts w:ascii="Calibri" w:eastAsia="Calibri" w:hAnsi="Calibri" w:cs="Calibri"/>
                <w:color w:val="000000"/>
                <w:szCs w:val="20"/>
              </w:rPr>
            </w:pPr>
            <w:r w:rsidRPr="002B6384">
              <w:rPr>
                <w:rFonts w:eastAsia="Arial" w:cs="Arial"/>
                <w:color w:val="000000"/>
                <w:szCs w:val="20"/>
              </w:rPr>
              <w:t xml:space="preserve">In order that the </w:t>
            </w:r>
            <w:r>
              <w:rPr>
                <w:rFonts w:eastAsia="Arial" w:cs="Arial"/>
                <w:color w:val="000000"/>
                <w:szCs w:val="20"/>
              </w:rPr>
              <w:t>Department</w:t>
            </w:r>
            <w:r w:rsidRPr="002B6384">
              <w:rPr>
                <w:rFonts w:eastAsia="Arial" w:cs="Arial"/>
                <w:color w:val="000000"/>
                <w:szCs w:val="20"/>
              </w:rPr>
              <w:t xml:space="preserve"> can consider any factors raised by the Supplier, the following information should be provided:</w:t>
            </w:r>
          </w:p>
          <w:p w:rsidR="000D463E" w:rsidRPr="002B6384" w:rsidRDefault="000D463E" w:rsidP="000D463E">
            <w:pPr>
              <w:widowControl/>
              <w:numPr>
                <w:ilvl w:val="0"/>
                <w:numId w:val="5"/>
              </w:numPr>
              <w:suppressAutoHyphens/>
              <w:overflowPunct/>
              <w:autoSpaceDE/>
              <w:autoSpaceDN/>
              <w:adjustRightInd/>
              <w:spacing w:after="120" w:line="276" w:lineRule="auto"/>
              <w:ind w:hanging="358"/>
              <w:jc w:val="both"/>
              <w:textAlignment w:val="auto"/>
              <w:rPr>
                <w:rFonts w:ascii="Calibri" w:eastAsia="Calibri" w:hAnsi="Calibri" w:cs="Calibri"/>
                <w:color w:val="000000"/>
                <w:szCs w:val="20"/>
              </w:rPr>
            </w:pPr>
            <w:r w:rsidRPr="002B6384">
              <w:rPr>
                <w:rFonts w:eastAsia="Arial" w:cs="Arial"/>
                <w:color w:val="000000"/>
                <w:szCs w:val="20"/>
              </w:rPr>
              <w:t xml:space="preserve">A brief description of the occasion, the tax to which it applied, and the type of “non-compliance” e.g. whether HMRC or the foreign tax authority has challenged pursuant to the GAAR, the “Halifax” abuse principle etc. </w:t>
            </w:r>
          </w:p>
          <w:p w:rsidR="000D463E" w:rsidRPr="002B6384" w:rsidRDefault="000D463E" w:rsidP="000D463E">
            <w:pPr>
              <w:widowControl/>
              <w:numPr>
                <w:ilvl w:val="0"/>
                <w:numId w:val="5"/>
              </w:numPr>
              <w:suppressAutoHyphens/>
              <w:overflowPunct/>
              <w:autoSpaceDE/>
              <w:autoSpaceDN/>
              <w:adjustRightInd/>
              <w:spacing w:after="120" w:line="276" w:lineRule="auto"/>
              <w:ind w:hanging="358"/>
              <w:jc w:val="both"/>
              <w:textAlignment w:val="auto"/>
              <w:rPr>
                <w:rFonts w:ascii="Calibri" w:eastAsia="Calibri" w:hAnsi="Calibri" w:cs="Calibri"/>
                <w:color w:val="000000"/>
                <w:szCs w:val="20"/>
              </w:rPr>
            </w:pPr>
            <w:r w:rsidRPr="002B6384">
              <w:rPr>
                <w:rFonts w:eastAsia="Arial" w:cs="Arial"/>
                <w:color w:val="000000"/>
                <w:szCs w:val="20"/>
              </w:rPr>
              <w:t>Where the OONC relates to a DOTAS, the number of the relevant scheme.</w:t>
            </w:r>
          </w:p>
          <w:p w:rsidR="000D463E" w:rsidRPr="002B6384" w:rsidRDefault="000D463E" w:rsidP="000D463E">
            <w:pPr>
              <w:widowControl/>
              <w:numPr>
                <w:ilvl w:val="0"/>
                <w:numId w:val="5"/>
              </w:numPr>
              <w:suppressAutoHyphens/>
              <w:overflowPunct/>
              <w:autoSpaceDE/>
              <w:autoSpaceDN/>
              <w:adjustRightInd/>
              <w:spacing w:after="120" w:line="276" w:lineRule="auto"/>
              <w:ind w:hanging="358"/>
              <w:jc w:val="both"/>
              <w:textAlignment w:val="auto"/>
              <w:rPr>
                <w:rFonts w:ascii="Calibri" w:eastAsia="Calibri" w:hAnsi="Calibri" w:cs="Calibri"/>
                <w:color w:val="000000"/>
                <w:szCs w:val="20"/>
              </w:rPr>
            </w:pPr>
            <w:r w:rsidRPr="002B6384">
              <w:rPr>
                <w:rFonts w:eastAsia="Arial" w:cs="Arial"/>
                <w:color w:val="000000"/>
                <w:szCs w:val="20"/>
              </w:rPr>
              <w:t xml:space="preserve">The date of the original “non-compliance” and the date of any judgement against the Supplier, or date when the return was amended. </w:t>
            </w:r>
          </w:p>
          <w:p w:rsidR="000D463E" w:rsidRPr="002B6384" w:rsidRDefault="000D463E" w:rsidP="000D463E">
            <w:pPr>
              <w:widowControl/>
              <w:numPr>
                <w:ilvl w:val="0"/>
                <w:numId w:val="5"/>
              </w:numPr>
              <w:suppressAutoHyphens/>
              <w:overflowPunct/>
              <w:autoSpaceDE/>
              <w:autoSpaceDN/>
              <w:adjustRightInd/>
              <w:spacing w:after="120" w:line="276" w:lineRule="auto"/>
              <w:ind w:hanging="358"/>
              <w:jc w:val="both"/>
              <w:textAlignment w:val="auto"/>
              <w:rPr>
                <w:rFonts w:ascii="Calibri" w:eastAsia="Calibri" w:hAnsi="Calibri" w:cs="Calibri"/>
                <w:color w:val="000000"/>
                <w:szCs w:val="20"/>
              </w:rPr>
            </w:pPr>
            <w:r w:rsidRPr="002B6384">
              <w:rPr>
                <w:rFonts w:eastAsia="Arial" w:cs="Arial"/>
                <w:color w:val="000000"/>
                <w:szCs w:val="20"/>
              </w:rPr>
              <w:t>The level of any penalty or criminal conviction applied.</w:t>
            </w:r>
          </w:p>
          <w:p w:rsidR="000D463E" w:rsidRPr="002B6384" w:rsidRDefault="000D463E" w:rsidP="00330A58">
            <w:pPr>
              <w:widowControl/>
              <w:suppressAutoHyphens/>
              <w:overflowPunct/>
              <w:autoSpaceDE/>
              <w:adjustRightInd/>
              <w:rPr>
                <w:rFonts w:ascii="Calibri" w:eastAsia="Calibri" w:hAnsi="Calibri" w:cs="Calibri"/>
                <w:color w:val="000000"/>
                <w:szCs w:val="20"/>
              </w:rPr>
            </w:pPr>
            <w:r w:rsidRPr="002B6384">
              <w:rPr>
                <w:rFonts w:eastAsia="Arial" w:cs="Arial"/>
                <w:color w:val="000000"/>
                <w:szCs w:val="20"/>
              </w:rPr>
              <w:t xml:space="preserve"> </w:t>
            </w:r>
          </w:p>
        </w:tc>
      </w:tr>
    </w:tbl>
    <w:p w:rsidR="000D463E" w:rsidRDefault="000D463E" w:rsidP="000D463E">
      <w:pPr>
        <w:pStyle w:val="Numbered"/>
        <w:widowControl/>
        <w:rPr>
          <w:i/>
        </w:rPr>
      </w:pPr>
    </w:p>
    <w:p w:rsidR="000D463E" w:rsidRPr="00855148" w:rsidRDefault="000D463E" w:rsidP="000D463E">
      <w:pPr>
        <w:pStyle w:val="Numbered"/>
        <w:widowControl/>
        <w:rPr>
          <w:b/>
        </w:rPr>
      </w:pPr>
      <w:r>
        <w:br w:type="page"/>
      </w:r>
      <w:r w:rsidRPr="00855148">
        <w:rPr>
          <w:b/>
        </w:rPr>
        <w:lastRenderedPageBreak/>
        <w:t xml:space="preserve">Defining Different Types of Organisations </w:t>
      </w:r>
    </w:p>
    <w:p w:rsidR="000D463E" w:rsidRPr="00855148" w:rsidRDefault="000D463E" w:rsidP="000D463E">
      <w:pPr>
        <w:rPr>
          <w:rFonts w:cs="Times New Roman"/>
          <w:lang w:eastAsia="en-US"/>
        </w:rPr>
      </w:pPr>
      <w:r w:rsidRPr="00855148">
        <w:rPr>
          <w:rFonts w:cs="Times New Roman"/>
          <w:lang w:eastAsia="en-US"/>
        </w:rPr>
        <w:t>The Department for Education is keen t</w:t>
      </w:r>
      <w:r>
        <w:rPr>
          <w:rFonts w:cs="Times New Roman"/>
          <w:lang w:eastAsia="en-US"/>
        </w:rPr>
        <w:t>o collect information about Small and Medium Enterprises (SME</w:t>
      </w:r>
      <w:r w:rsidRPr="00855148">
        <w:rPr>
          <w:rFonts w:cs="Times New Roman"/>
          <w:lang w:eastAsia="en-US"/>
        </w:rPr>
        <w:t>s</w:t>
      </w:r>
      <w:r>
        <w:rPr>
          <w:rFonts w:cs="Times New Roman"/>
          <w:lang w:eastAsia="en-US"/>
        </w:rPr>
        <w:t>)</w:t>
      </w:r>
      <w:r w:rsidRPr="00855148">
        <w:rPr>
          <w:rFonts w:cs="Times New Roman"/>
          <w:lang w:eastAsia="en-US"/>
        </w:rPr>
        <w:t xml:space="preserve">. We are particularly interested in discovering how many SMEs apply for our contracts through the tendering process. Completion of the table below </w:t>
      </w:r>
      <w:r w:rsidRPr="00855148">
        <w:t>is for departmental information purposes only and will have no effect on the evaluation process outcomes. Government is committed to changing how it does business to make sure that small companies, charities and voluntary sector organisations are included and encouraged to compete for our contracts.</w:t>
      </w:r>
    </w:p>
    <w:p w:rsidR="000D463E" w:rsidRPr="00855148" w:rsidRDefault="000D463E" w:rsidP="000D463E">
      <w:pPr>
        <w:rPr>
          <w:rFonts w:cs="Times New Roman"/>
          <w:lang w:eastAsia="en-US"/>
        </w:rPr>
      </w:pPr>
    </w:p>
    <w:p w:rsidR="000D463E" w:rsidRDefault="000D463E" w:rsidP="000D463E">
      <w:pPr>
        <w:rPr>
          <w:rFonts w:cs="Times New Roman"/>
          <w:lang w:eastAsia="en-US"/>
        </w:rPr>
      </w:pPr>
      <w:r w:rsidRPr="00855148">
        <w:rPr>
          <w:rFonts w:cs="Times New Roman"/>
          <w:lang w:eastAsia="en-US"/>
        </w:rPr>
        <w:t xml:space="preserve">A voluntary sector organisation may also be a SME if it has the same attributes. </w:t>
      </w:r>
    </w:p>
    <w:p w:rsidR="000D463E" w:rsidRPr="00855148" w:rsidRDefault="000D463E" w:rsidP="000D463E">
      <w:pPr>
        <w:rPr>
          <w:rFonts w:cs="Times New Roman"/>
          <w:lang w:eastAsia="en-US"/>
        </w:rPr>
      </w:pPr>
    </w:p>
    <w:p w:rsidR="000D463E" w:rsidRPr="008B0D33" w:rsidRDefault="000D463E" w:rsidP="000D463E">
      <w:pPr>
        <w:rPr>
          <w:rFonts w:cs="Arial"/>
          <w:sz w:val="20"/>
          <w:szCs w:val="20"/>
        </w:rPr>
      </w:pPr>
      <w:r w:rsidRPr="008B0D33">
        <w:rPr>
          <w:rFonts w:cs="Arial"/>
          <w:sz w:val="20"/>
          <w:szCs w:val="20"/>
        </w:rPr>
        <w:t>Def</w:t>
      </w:r>
      <w:r>
        <w:rPr>
          <w:rFonts w:cs="Arial"/>
          <w:sz w:val="20"/>
          <w:szCs w:val="20"/>
        </w:rPr>
        <w:t>inition</w:t>
      </w:r>
      <w:r w:rsidRPr="008B0D33">
        <w:rPr>
          <w:rFonts w:cs="Arial"/>
          <w:sz w:val="20"/>
          <w:szCs w:val="20"/>
        </w:rPr>
        <w:t>; A SME must be autonomous, an EU Company not owned or controlled by a non EU parent, and employ less than 250 staff and have sales below €50million</w:t>
      </w:r>
    </w:p>
    <w:p w:rsidR="000D463E" w:rsidRPr="008B0D33" w:rsidRDefault="000D463E" w:rsidP="000D463E">
      <w:pPr>
        <w:rPr>
          <w:rFonts w:cs="Arial"/>
          <w:sz w:val="20"/>
          <w:szCs w:val="20"/>
        </w:rPr>
      </w:pPr>
      <w:r w:rsidRPr="008B0D33">
        <w:rPr>
          <w:rFonts w:cs="Arial"/>
          <w:i/>
          <w:iCs/>
          <w:sz w:val="20"/>
          <w:szCs w:val="20"/>
        </w:rPr>
        <w:t>Source -</w:t>
      </w:r>
      <w:r w:rsidRPr="008B0D33">
        <w:rPr>
          <w:rFonts w:cs="Arial"/>
          <w:iCs/>
          <w:sz w:val="20"/>
          <w:szCs w:val="20"/>
        </w:rPr>
        <w:t>h</w:t>
      </w:r>
      <w:r w:rsidRPr="008B0D33">
        <w:rPr>
          <w:rFonts w:cs="Arial"/>
          <w:sz w:val="20"/>
          <w:szCs w:val="20"/>
        </w:rPr>
        <w:t>ttp://ec.europa.eu/enterprise/policies/sme/files/sme_definition/sme_report_2009_en.pdf</w:t>
      </w:r>
    </w:p>
    <w:p w:rsidR="000D463E" w:rsidRPr="00855148" w:rsidRDefault="000D463E" w:rsidP="000D463E">
      <w:pPr>
        <w:rPr>
          <w:rFonts w:cs="Times New Roman"/>
          <w:lang w:eastAsia="en-US"/>
        </w:rPr>
      </w:pPr>
    </w:p>
    <w:p w:rsidR="000D463E" w:rsidRDefault="000D463E" w:rsidP="000D463E">
      <w:pPr>
        <w:rPr>
          <w:rFonts w:cs="Times New Roman"/>
          <w:lang w:eastAsia="en-US"/>
        </w:rPr>
      </w:pPr>
      <w:r>
        <w:rPr>
          <w:rFonts w:cs="Times New Roman"/>
          <w:lang w:eastAsia="en-US"/>
        </w:rPr>
        <w:t>P</w:t>
      </w:r>
      <w:r w:rsidRPr="00855148">
        <w:rPr>
          <w:rFonts w:cs="Times New Roman"/>
          <w:lang w:eastAsia="en-US"/>
        </w:rPr>
        <w:t xml:space="preserve">lease complete the table below.  </w:t>
      </w:r>
    </w:p>
    <w:p w:rsidR="000D463E" w:rsidRPr="00855148" w:rsidRDefault="000D463E" w:rsidP="000D463E">
      <w:pPr>
        <w:rPr>
          <w:rFonts w:cs="Times New Roman"/>
          <w:lang w:eastAsia="en-US"/>
        </w:rPr>
      </w:pPr>
    </w:p>
    <w:tbl>
      <w:tblPr>
        <w:tblW w:w="0" w:type="auto"/>
        <w:tblLayout w:type="fixed"/>
        <w:tblCellMar>
          <w:left w:w="0" w:type="dxa"/>
          <w:right w:w="0" w:type="dxa"/>
        </w:tblCellMar>
        <w:tblLook w:val="04A0" w:firstRow="1" w:lastRow="0" w:firstColumn="1" w:lastColumn="0" w:noHBand="0" w:noVBand="1"/>
      </w:tblPr>
      <w:tblGrid>
        <w:gridCol w:w="817"/>
        <w:gridCol w:w="4854"/>
        <w:gridCol w:w="3571"/>
      </w:tblGrid>
      <w:tr w:rsidR="000D463E" w:rsidRPr="001C69F7" w:rsidTr="00330A58">
        <w:tc>
          <w:tcPr>
            <w:tcW w:w="9242" w:type="dxa"/>
            <w:gridSpan w:val="3"/>
            <w:tcBorders>
              <w:top w:val="single" w:sz="8" w:space="0" w:color="auto"/>
              <w:left w:val="single" w:sz="8" w:space="0" w:color="auto"/>
              <w:bottom w:val="single" w:sz="8" w:space="0" w:color="auto"/>
              <w:right w:val="single" w:sz="8" w:space="0" w:color="auto"/>
            </w:tcBorders>
            <w:shd w:val="clear" w:color="auto" w:fill="104F75"/>
            <w:tcMar>
              <w:top w:w="0" w:type="dxa"/>
              <w:left w:w="108" w:type="dxa"/>
              <w:bottom w:w="0" w:type="dxa"/>
              <w:right w:w="108" w:type="dxa"/>
            </w:tcMar>
            <w:hideMark/>
          </w:tcPr>
          <w:p w:rsidR="000D463E" w:rsidRPr="008262B7" w:rsidRDefault="000D463E" w:rsidP="00330A58">
            <w:pPr>
              <w:pStyle w:val="Numbered"/>
              <w:jc w:val="center"/>
              <w:rPr>
                <w:b/>
                <w:bCs/>
                <w:color w:val="FFFFFF"/>
              </w:rPr>
            </w:pPr>
            <w:r w:rsidRPr="008262B7">
              <w:rPr>
                <w:b/>
                <w:bCs/>
                <w:color w:val="FFFFFF"/>
              </w:rPr>
              <w:t>Describe your Organisation</w:t>
            </w:r>
          </w:p>
        </w:tc>
      </w:tr>
      <w:tr w:rsidR="000D463E" w:rsidRPr="001C69F7" w:rsidTr="00330A58">
        <w:tc>
          <w:tcPr>
            <w:tcW w:w="567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rPr>
                <w:b/>
                <w:bCs/>
              </w:rPr>
            </w:pPr>
            <w:r w:rsidRPr="001C69F7">
              <w:rPr>
                <w:b/>
                <w:bCs/>
              </w:rPr>
              <w:t xml:space="preserve">What type of supply arrangement best describe you in relation to this bid? </w:t>
            </w:r>
          </w:p>
        </w:tc>
        <w:tc>
          <w:tcPr>
            <w:tcW w:w="3571" w:type="dxa"/>
            <w:tcBorders>
              <w:top w:val="nil"/>
              <w:left w:val="nil"/>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rPr>
                <w:b/>
                <w:bCs/>
              </w:rPr>
            </w:pPr>
            <w:r w:rsidRPr="001C69F7">
              <w:rPr>
                <w:b/>
                <w:bCs/>
              </w:rPr>
              <w:t xml:space="preserve">Delete as appropriate  </w:t>
            </w:r>
          </w:p>
        </w:tc>
      </w:tr>
      <w:tr w:rsidR="000D463E" w:rsidRPr="001C69F7" w:rsidTr="00330A58">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1.</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 xml:space="preserve">We are a SME by definition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0D463E" w:rsidRPr="001C69F7" w:rsidRDefault="000D463E" w:rsidP="00330A58">
            <w:pPr>
              <w:pStyle w:val="Numbered"/>
            </w:pPr>
            <w:r w:rsidRPr="001C69F7">
              <w:t xml:space="preserve">Yes/No </w:t>
            </w:r>
          </w:p>
        </w:tc>
      </w:tr>
      <w:tr w:rsidR="000D463E" w:rsidRPr="001C69F7" w:rsidTr="00330A58">
        <w:trPr>
          <w:trHeight w:val="600"/>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2.</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We are a Charity or Voluntary Sector Organisation (VSO)</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0D463E" w:rsidRPr="001C69F7" w:rsidRDefault="000D463E" w:rsidP="00330A58">
            <w:pPr>
              <w:pStyle w:val="Numbered"/>
            </w:pPr>
            <w:r w:rsidRPr="001C69F7">
              <w:t>Yes /No</w:t>
            </w:r>
          </w:p>
        </w:tc>
      </w:tr>
      <w:tr w:rsidR="000D463E" w:rsidRPr="001C69F7" w:rsidTr="00330A58">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D463E" w:rsidRPr="001C69F7" w:rsidRDefault="000D463E" w:rsidP="00330A58">
            <w:pPr>
              <w:pStyle w:val="Numbered"/>
            </w:pPr>
            <w:r w:rsidRPr="001C69F7">
              <w:t>3.</w:t>
            </w:r>
          </w:p>
        </w:tc>
        <w:tc>
          <w:tcPr>
            <w:tcW w:w="4854" w:type="dxa"/>
            <w:tcBorders>
              <w:top w:val="nil"/>
              <w:left w:val="nil"/>
              <w:bottom w:val="single" w:sz="8" w:space="0" w:color="auto"/>
              <w:right w:val="single" w:sz="8" w:space="0" w:color="auto"/>
            </w:tcBorders>
            <w:tcMar>
              <w:top w:w="0" w:type="dxa"/>
              <w:left w:w="108" w:type="dxa"/>
              <w:bottom w:w="0" w:type="dxa"/>
              <w:right w:w="108" w:type="dxa"/>
            </w:tcMar>
          </w:tcPr>
          <w:p w:rsidR="000D463E" w:rsidRPr="001C69F7" w:rsidRDefault="000D463E" w:rsidP="00330A58">
            <w:pPr>
              <w:pStyle w:val="Numbered"/>
            </w:pPr>
            <w:r w:rsidRPr="001C69F7">
              <w:t>We are a mutual organisation</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0D463E" w:rsidRPr="001C69F7" w:rsidRDefault="000D463E" w:rsidP="00330A58">
            <w:pPr>
              <w:pStyle w:val="Numbered"/>
            </w:pPr>
            <w:r w:rsidRPr="001C69F7">
              <w:t>Yes/No</w:t>
            </w:r>
          </w:p>
        </w:tc>
      </w:tr>
      <w:tr w:rsidR="000D463E" w:rsidRPr="001C69F7" w:rsidTr="00330A58">
        <w:trPr>
          <w:trHeight w:val="655"/>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4.</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 xml:space="preserve">We anticipate using a supply chain to deliver against this service.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0D463E" w:rsidRPr="001C69F7" w:rsidRDefault="000D463E" w:rsidP="00330A58">
            <w:pPr>
              <w:pStyle w:val="Numbered"/>
            </w:pPr>
            <w:r w:rsidRPr="001C69F7">
              <w:t>Yes/No</w:t>
            </w:r>
          </w:p>
        </w:tc>
      </w:tr>
      <w:tr w:rsidR="000D463E" w:rsidRPr="001C69F7" w:rsidTr="00330A58">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5.</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 xml:space="preserve">We estimate that that our service delivery will be i.e. 40% delivered by VSO’s/SMEs  </w:t>
            </w:r>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0D463E" w:rsidRPr="001C69F7" w:rsidRDefault="000D463E" w:rsidP="00330A58">
            <w:pPr>
              <w:pStyle w:val="Numbered"/>
            </w:pPr>
            <w:r w:rsidRPr="001C69F7">
              <w:t>…….%</w:t>
            </w:r>
          </w:p>
        </w:tc>
      </w:tr>
      <w:tr w:rsidR="000D463E" w:rsidRPr="001C69F7" w:rsidTr="00330A58">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6.</w:t>
            </w:r>
          </w:p>
        </w:tc>
        <w:tc>
          <w:tcPr>
            <w:tcW w:w="842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D463E" w:rsidRDefault="000D463E" w:rsidP="00330A58">
            <w:pPr>
              <w:pStyle w:val="Numbered"/>
            </w:pPr>
            <w:r w:rsidRPr="001C69F7">
              <w:t xml:space="preserve">If none of the above applies, please describe the type of organisation you are: </w:t>
            </w:r>
          </w:p>
          <w:p w:rsidR="000D463E" w:rsidRPr="001C69F7" w:rsidRDefault="000D463E" w:rsidP="00330A58">
            <w:pPr>
              <w:pStyle w:val="Numbered"/>
            </w:pPr>
          </w:p>
        </w:tc>
      </w:tr>
      <w:tr w:rsidR="000D463E" w:rsidRPr="001C69F7" w:rsidTr="00330A58">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463E" w:rsidRPr="001C69F7" w:rsidRDefault="000D463E" w:rsidP="00330A58">
            <w:pPr>
              <w:pStyle w:val="Numbered"/>
            </w:pPr>
            <w:r w:rsidRPr="001C69F7">
              <w:t>7.</w:t>
            </w:r>
            <w:r>
              <w:rPr>
                <w:rFonts w:ascii="Times New Roman" w:hAnsi="Times New Roman" w:cs="Times New Roman"/>
                <w:sz w:val="24"/>
                <w:szCs w:val="24"/>
              </w:rPr>
              <w:t xml:space="preserve"> </w:t>
            </w:r>
          </w:p>
        </w:tc>
        <w:tc>
          <w:tcPr>
            <w:tcW w:w="4854" w:type="dxa"/>
            <w:tcBorders>
              <w:top w:val="nil"/>
              <w:left w:val="nil"/>
              <w:bottom w:val="single" w:sz="8" w:space="0" w:color="auto"/>
              <w:right w:val="single" w:sz="8" w:space="0" w:color="auto"/>
            </w:tcBorders>
            <w:tcMar>
              <w:top w:w="0" w:type="dxa"/>
              <w:left w:w="108" w:type="dxa"/>
              <w:bottom w:w="0" w:type="dxa"/>
              <w:right w:w="108" w:type="dxa"/>
            </w:tcMar>
            <w:hideMark/>
          </w:tcPr>
          <w:p w:rsidR="000D463E" w:rsidRDefault="000D463E" w:rsidP="00330A58">
            <w:pPr>
              <w:pStyle w:val="Numbered"/>
            </w:pPr>
            <w:r w:rsidRPr="001C69F7">
              <w:t xml:space="preserve">Please provide us with your Dun and Bradstreet Number, or a consortium, the lead bidder’s number. </w:t>
            </w:r>
          </w:p>
          <w:p w:rsidR="000D463E" w:rsidRPr="001C69F7" w:rsidRDefault="000D463E" w:rsidP="00330A58">
            <w:pPr>
              <w:pStyle w:val="Numbered"/>
            </w:pPr>
            <w:hyperlink r:id="rId7" w:history="1">
              <w:r w:rsidRPr="001C69F7">
                <w:rPr>
                  <w:rStyle w:val="Hyperlink"/>
                </w:rPr>
                <w:t>http://www.dnb.co.uk/dandb-duns-number</w:t>
              </w:r>
            </w:hyperlink>
          </w:p>
        </w:tc>
        <w:tc>
          <w:tcPr>
            <w:tcW w:w="3571" w:type="dxa"/>
            <w:tcBorders>
              <w:top w:val="nil"/>
              <w:left w:val="nil"/>
              <w:bottom w:val="single" w:sz="8" w:space="0" w:color="auto"/>
              <w:right w:val="single" w:sz="8" w:space="0" w:color="auto"/>
            </w:tcBorders>
            <w:tcMar>
              <w:top w:w="0" w:type="dxa"/>
              <w:left w:w="108" w:type="dxa"/>
              <w:bottom w:w="0" w:type="dxa"/>
              <w:right w:w="108" w:type="dxa"/>
            </w:tcMar>
          </w:tcPr>
          <w:p w:rsidR="000D463E" w:rsidRPr="001C69F7" w:rsidRDefault="000D463E" w:rsidP="00330A58">
            <w:pPr>
              <w:pStyle w:val="Numbered"/>
            </w:pPr>
          </w:p>
        </w:tc>
      </w:tr>
    </w:tbl>
    <w:p w:rsidR="000D463E" w:rsidRDefault="000D463E" w:rsidP="000D463E">
      <w:pPr>
        <w:pStyle w:val="Numbered"/>
        <w:widowControl/>
      </w:pPr>
      <w:r>
        <w:t>The Department uses Dun and Bradstreet Numbers to manage its data around suppliers; we strongly encourage all suppliers to apply for a free Dunn’s numbers.   The link to apply is:-</w:t>
      </w:r>
      <w:hyperlink r:id="rId8" w:history="1">
        <w:r>
          <w:rPr>
            <w:rStyle w:val="Hyperlink"/>
          </w:rPr>
          <w:t>http://www.dnb.co.uk/myduns</w:t>
        </w:r>
      </w:hyperlink>
      <w:r>
        <w:t xml:space="preserve"> - </w:t>
      </w:r>
      <w:r w:rsidRPr="00C852FC">
        <w:t xml:space="preserve">add ‘GOVERNMENT SUPPLIER’ as a reason for requesting </w:t>
      </w:r>
      <w:r>
        <w:t>your</w:t>
      </w:r>
      <w:r w:rsidRPr="00C852FC">
        <w:t xml:space="preserve"> D&amp;B DUNS number.</w:t>
      </w:r>
    </w:p>
    <w:p w:rsidR="000D463E" w:rsidRDefault="000D463E" w:rsidP="000D463E">
      <w:pPr>
        <w:pStyle w:val="Numbered"/>
        <w:widowControl/>
      </w:pPr>
      <w:r>
        <w:t xml:space="preserve">Do not delay returning your application if you do not already have a Dun and Bradstreet number, returning your tender within the deadline is more important. </w:t>
      </w:r>
    </w:p>
    <w:p w:rsidR="000D463E" w:rsidRDefault="000D463E" w:rsidP="000D463E">
      <w:pPr>
        <w:pStyle w:val="Numbered"/>
        <w:widowControl/>
      </w:pPr>
    </w:p>
    <w:p w:rsidR="000D463E" w:rsidRDefault="000D463E" w:rsidP="000D463E">
      <w:pPr>
        <w:pStyle w:val="Numbered"/>
        <w:widowControl/>
      </w:pPr>
    </w:p>
    <w:p w:rsidR="000D463E" w:rsidRDefault="000D463E" w:rsidP="000D463E">
      <w:pPr>
        <w:pStyle w:val="Numbered"/>
        <w:widowControl/>
      </w:pPr>
      <w:r>
        <w:t>Declarations</w:t>
      </w:r>
    </w:p>
    <w:p w:rsidR="000D463E" w:rsidRDefault="000D463E" w:rsidP="000D463E">
      <w:pPr>
        <w:pStyle w:val="Numbered"/>
        <w:widowControl/>
        <w:ind w:left="720" w:hanging="720"/>
      </w:pPr>
      <w:r>
        <w:lastRenderedPageBreak/>
        <w:t>1</w:t>
      </w:r>
      <w:r>
        <w:tab/>
        <w:t>...............................................……………………………. (Name of applicant) declares that we accept the Accreditation Agreement Terms included at Document 3 as the basis of the agreement; and</w:t>
      </w:r>
    </w:p>
    <w:p w:rsidR="000D463E" w:rsidRDefault="000D463E" w:rsidP="000D463E">
      <w:pPr>
        <w:pStyle w:val="Numbered"/>
        <w:widowControl/>
        <w:ind w:left="720" w:hanging="720"/>
      </w:pPr>
      <w:r>
        <w:t>2</w:t>
      </w:r>
      <w:r>
        <w:tab/>
      </w:r>
      <w:r w:rsidRPr="009E2CDF">
        <w:t xml:space="preserve">agree that the Department may disclose the </w:t>
      </w:r>
      <w:r>
        <w:t>Applicant</w:t>
      </w:r>
      <w:r w:rsidRPr="009E2CDF">
        <w:t xml:space="preserve">'s information/documentation (submitted to the Department during this </w:t>
      </w:r>
      <w:r>
        <w:t>application process</w:t>
      </w:r>
      <w:r w:rsidRPr="009E2CDF">
        <w:t>) more widely within Government for the purpose of ensuring effective cross-Government procurement processes, including value for money and related purposes”.</w:t>
      </w:r>
    </w:p>
    <w:p w:rsidR="000D463E" w:rsidRDefault="000D463E" w:rsidP="000D463E">
      <w:pPr>
        <w:pStyle w:val="Numbered"/>
        <w:widowControl/>
        <w:ind w:left="720" w:hanging="720"/>
      </w:pPr>
      <w:r>
        <w:t>3</w:t>
      </w:r>
      <w:r>
        <w:tab/>
        <w:t>declare that we are not entitled to claim from the Department any costs or expenses incurred in preparing the application or subsequent negotiations whether or not the application is successful.</w:t>
      </w:r>
    </w:p>
    <w:p w:rsidR="000D463E" w:rsidRDefault="000D463E" w:rsidP="000D463E">
      <w:pPr>
        <w:pStyle w:val="Numbered"/>
        <w:widowControl/>
      </w:pPr>
    </w:p>
    <w:p w:rsidR="000D463E" w:rsidRDefault="000D463E" w:rsidP="000D463E">
      <w:pPr>
        <w:pStyle w:val="Numbered"/>
        <w:widowControl/>
        <w:ind w:left="720"/>
      </w:pPr>
      <w:r>
        <w:t>signed on behalf of the applicant ..................................................................................</w:t>
      </w:r>
    </w:p>
    <w:p w:rsidR="002F14AE" w:rsidRDefault="002F14AE" w:rsidP="000D463E"/>
    <w:sectPr w:rsidR="002F14AE" w:rsidSect="000D463E">
      <w:footerReference w:type="default" r:id="rId9"/>
      <w:pgSz w:w="11906" w:h="16838"/>
      <w:pgMar w:top="568"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63E" w:rsidRDefault="000D463E" w:rsidP="000D463E">
      <w:r>
        <w:separator/>
      </w:r>
    </w:p>
  </w:endnote>
  <w:endnote w:type="continuationSeparator" w:id="0">
    <w:p w:rsidR="000D463E" w:rsidRDefault="000D463E" w:rsidP="000D4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723678436"/>
      <w:docPartObj>
        <w:docPartGallery w:val="Page Numbers (Bottom of Page)"/>
        <w:docPartUnique/>
      </w:docPartObj>
    </w:sdtPr>
    <w:sdtContent>
      <w:sdt>
        <w:sdtPr>
          <w:rPr>
            <w:sz w:val="16"/>
            <w:szCs w:val="16"/>
          </w:rPr>
          <w:id w:val="1728636285"/>
          <w:docPartObj>
            <w:docPartGallery w:val="Page Numbers (Top of Page)"/>
            <w:docPartUnique/>
          </w:docPartObj>
        </w:sdtPr>
        <w:sdtContent>
          <w:p w:rsidR="000D463E" w:rsidRPr="000D463E" w:rsidRDefault="000D463E">
            <w:pPr>
              <w:pStyle w:val="Footer"/>
              <w:jc w:val="center"/>
              <w:rPr>
                <w:sz w:val="16"/>
                <w:szCs w:val="16"/>
              </w:rPr>
            </w:pPr>
            <w:r w:rsidRPr="000D463E">
              <w:rPr>
                <w:sz w:val="16"/>
                <w:szCs w:val="16"/>
              </w:rPr>
              <w:t xml:space="preserve">Page </w:t>
            </w:r>
            <w:r w:rsidRPr="000D463E">
              <w:rPr>
                <w:b/>
                <w:bCs/>
                <w:sz w:val="16"/>
                <w:szCs w:val="16"/>
              </w:rPr>
              <w:fldChar w:fldCharType="begin"/>
            </w:r>
            <w:r w:rsidRPr="000D463E">
              <w:rPr>
                <w:b/>
                <w:bCs/>
                <w:sz w:val="16"/>
                <w:szCs w:val="16"/>
              </w:rPr>
              <w:instrText xml:space="preserve"> PAGE </w:instrText>
            </w:r>
            <w:r w:rsidRPr="000D463E">
              <w:rPr>
                <w:b/>
                <w:bCs/>
                <w:sz w:val="16"/>
                <w:szCs w:val="16"/>
              </w:rPr>
              <w:fldChar w:fldCharType="separate"/>
            </w:r>
            <w:r>
              <w:rPr>
                <w:b/>
                <w:bCs/>
                <w:noProof/>
                <w:sz w:val="16"/>
                <w:szCs w:val="16"/>
              </w:rPr>
              <w:t>1</w:t>
            </w:r>
            <w:r w:rsidRPr="000D463E">
              <w:rPr>
                <w:b/>
                <w:bCs/>
                <w:sz w:val="16"/>
                <w:szCs w:val="16"/>
              </w:rPr>
              <w:fldChar w:fldCharType="end"/>
            </w:r>
            <w:r w:rsidRPr="000D463E">
              <w:rPr>
                <w:sz w:val="16"/>
                <w:szCs w:val="16"/>
              </w:rPr>
              <w:t xml:space="preserve"> of </w:t>
            </w:r>
            <w:r w:rsidRPr="000D463E">
              <w:rPr>
                <w:b/>
                <w:bCs/>
                <w:sz w:val="16"/>
                <w:szCs w:val="16"/>
              </w:rPr>
              <w:fldChar w:fldCharType="begin"/>
            </w:r>
            <w:r w:rsidRPr="000D463E">
              <w:rPr>
                <w:b/>
                <w:bCs/>
                <w:sz w:val="16"/>
                <w:szCs w:val="16"/>
              </w:rPr>
              <w:instrText xml:space="preserve"> NUMPAGES  </w:instrText>
            </w:r>
            <w:r w:rsidRPr="000D463E">
              <w:rPr>
                <w:b/>
                <w:bCs/>
                <w:sz w:val="16"/>
                <w:szCs w:val="16"/>
              </w:rPr>
              <w:fldChar w:fldCharType="separate"/>
            </w:r>
            <w:r>
              <w:rPr>
                <w:b/>
                <w:bCs/>
                <w:noProof/>
                <w:sz w:val="16"/>
                <w:szCs w:val="16"/>
              </w:rPr>
              <w:t>10</w:t>
            </w:r>
            <w:r w:rsidRPr="000D463E">
              <w:rPr>
                <w:b/>
                <w:bCs/>
                <w:sz w:val="16"/>
                <w:szCs w:val="16"/>
              </w:rPr>
              <w:fldChar w:fldCharType="end"/>
            </w:r>
          </w:p>
        </w:sdtContent>
      </w:sdt>
    </w:sdtContent>
  </w:sdt>
  <w:p w:rsidR="000D463E" w:rsidRPr="000D463E" w:rsidRDefault="000D463E">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63E" w:rsidRDefault="000D463E" w:rsidP="000D463E">
      <w:r>
        <w:separator/>
      </w:r>
    </w:p>
  </w:footnote>
  <w:footnote w:type="continuationSeparator" w:id="0">
    <w:p w:rsidR="000D463E" w:rsidRDefault="000D463E" w:rsidP="000D46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3723"/>
    <w:multiLevelType w:val="multilevel"/>
    <w:tmpl w:val="EEA015DC"/>
    <w:lvl w:ilvl="0">
      <w:start w:val="1"/>
      <w:numFmt w:val="lowerLetter"/>
      <w:lvlText w:val="(%1)"/>
      <w:lvlJc w:val="left"/>
      <w:pPr>
        <w:ind w:left="1800" w:firstLine="0"/>
      </w:pPr>
    </w:lvl>
    <w:lvl w:ilvl="1">
      <w:start w:val="1"/>
      <w:numFmt w:val="lowerLetter"/>
      <w:lvlText w:val="%2."/>
      <w:lvlJc w:val="left"/>
      <w:pPr>
        <w:ind w:left="3960" w:firstLine="0"/>
      </w:pPr>
    </w:lvl>
    <w:lvl w:ilvl="2">
      <w:start w:val="1"/>
      <w:numFmt w:val="lowerRoman"/>
      <w:lvlText w:val="%3."/>
      <w:lvlJc w:val="right"/>
      <w:pPr>
        <w:ind w:left="6300" w:firstLine="0"/>
      </w:pPr>
    </w:lvl>
    <w:lvl w:ilvl="3">
      <w:start w:val="1"/>
      <w:numFmt w:val="decimal"/>
      <w:lvlText w:val="%4."/>
      <w:lvlJc w:val="left"/>
      <w:pPr>
        <w:ind w:left="8280" w:firstLine="0"/>
      </w:pPr>
    </w:lvl>
    <w:lvl w:ilvl="4">
      <w:start w:val="1"/>
      <w:numFmt w:val="lowerLetter"/>
      <w:lvlText w:val="%5."/>
      <w:lvlJc w:val="left"/>
      <w:pPr>
        <w:ind w:left="10440" w:firstLine="0"/>
      </w:pPr>
    </w:lvl>
    <w:lvl w:ilvl="5">
      <w:start w:val="1"/>
      <w:numFmt w:val="lowerRoman"/>
      <w:lvlText w:val="%6."/>
      <w:lvlJc w:val="right"/>
      <w:pPr>
        <w:ind w:left="12780" w:firstLine="0"/>
      </w:pPr>
    </w:lvl>
    <w:lvl w:ilvl="6">
      <w:start w:val="1"/>
      <w:numFmt w:val="decimal"/>
      <w:lvlText w:val="%7."/>
      <w:lvlJc w:val="left"/>
      <w:pPr>
        <w:ind w:left="14760" w:firstLine="0"/>
      </w:pPr>
    </w:lvl>
    <w:lvl w:ilvl="7">
      <w:start w:val="1"/>
      <w:numFmt w:val="lowerLetter"/>
      <w:lvlText w:val="%8."/>
      <w:lvlJc w:val="left"/>
      <w:pPr>
        <w:ind w:left="16920" w:firstLine="0"/>
      </w:pPr>
    </w:lvl>
    <w:lvl w:ilvl="8">
      <w:start w:val="1"/>
      <w:numFmt w:val="lowerRoman"/>
      <w:lvlText w:val="%9."/>
      <w:lvlJc w:val="right"/>
      <w:pPr>
        <w:ind w:left="19260" w:firstLine="0"/>
      </w:pPr>
    </w:lvl>
  </w:abstractNum>
  <w:abstractNum w:abstractNumId="1" w15:restartNumberingAfterBreak="0">
    <w:nsid w:val="2FA75BB6"/>
    <w:multiLevelType w:val="hybridMultilevel"/>
    <w:tmpl w:val="7E249DC2"/>
    <w:lvl w:ilvl="0" w:tplc="71A8DC8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5D27B4E"/>
    <w:multiLevelType w:val="multilevel"/>
    <w:tmpl w:val="4A04092A"/>
    <w:lvl w:ilvl="0">
      <w:numFmt w:val="bullet"/>
      <w:lvlText w:val="●"/>
      <w:lvlJc w:val="left"/>
      <w:pPr>
        <w:ind w:left="1800" w:firstLine="0"/>
      </w:pPr>
      <w:rPr>
        <w:rFonts w:ascii="Arial" w:eastAsia="Arial" w:hAnsi="Arial" w:cs="Arial"/>
      </w:rPr>
    </w:lvl>
    <w:lvl w:ilvl="1">
      <w:numFmt w:val="bullet"/>
      <w:lvlText w:val="●"/>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start w:val="1"/>
      <w:numFmt w:val="decimal"/>
      <w:lvlText w:val="%5."/>
      <w:lvlJc w:val="left"/>
      <w:pPr>
        <w:ind w:left="1146" w:firstLine="0"/>
      </w:pPr>
    </w:lvl>
    <w:lvl w:ilvl="5">
      <w:start w:val="1"/>
      <w:numFmt w:val="decimal"/>
      <w:lvlText w:val="%6."/>
      <w:lvlJc w:val="left"/>
      <w:pPr>
        <w:ind w:left="12600" w:firstLine="0"/>
      </w:pPr>
    </w:lvl>
    <w:lvl w:ilvl="6">
      <w:start w:val="1"/>
      <w:numFmt w:val="decimal"/>
      <w:lvlText w:val="%7."/>
      <w:lvlJc w:val="left"/>
      <w:pPr>
        <w:ind w:left="14760" w:firstLine="0"/>
      </w:pPr>
    </w:lvl>
    <w:lvl w:ilvl="7">
      <w:start w:val="1"/>
      <w:numFmt w:val="decimal"/>
      <w:lvlText w:val="%8."/>
      <w:lvlJc w:val="left"/>
      <w:pPr>
        <w:ind w:left="16920" w:firstLine="0"/>
      </w:pPr>
    </w:lvl>
    <w:lvl w:ilvl="8">
      <w:start w:val="1"/>
      <w:numFmt w:val="decimal"/>
      <w:lvlText w:val="%9."/>
      <w:lvlJc w:val="left"/>
      <w:pPr>
        <w:ind w:left="19080" w:firstLine="0"/>
      </w:pPr>
    </w:lvl>
  </w:abstractNum>
  <w:abstractNum w:abstractNumId="3" w15:restartNumberingAfterBreak="0">
    <w:nsid w:val="4A247EA1"/>
    <w:multiLevelType w:val="hybridMultilevel"/>
    <w:tmpl w:val="CD106F0E"/>
    <w:lvl w:ilvl="0" w:tplc="A6FCC422">
      <w:start w:val="1"/>
      <w:numFmt w:val="lowerRoman"/>
      <w:lvlText w:val="(%1)"/>
      <w:lvlJc w:val="left"/>
      <w:pPr>
        <w:ind w:left="1440" w:hanging="720"/>
      </w:pPr>
      <w:rPr>
        <w:rFonts w:ascii="Arial" w:eastAsia="Arial" w:hAnsi="Arial" w:cs="Aria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4F43014"/>
    <w:multiLevelType w:val="multilevel"/>
    <w:tmpl w:val="6E80B5AC"/>
    <w:lvl w:ilvl="0">
      <w:numFmt w:val="bullet"/>
      <w:lvlText w:val="●"/>
      <w:lvlJc w:val="left"/>
      <w:pPr>
        <w:ind w:left="358" w:firstLine="0"/>
      </w:pPr>
      <w:rPr>
        <w:rFonts w:ascii="Arial" w:eastAsia="Arial" w:hAnsi="Arial" w:cs="Arial"/>
      </w:rPr>
    </w:lvl>
    <w:lvl w:ilvl="1">
      <w:numFmt w:val="bullet"/>
      <w:lvlText w:val="o"/>
      <w:lvlJc w:val="left"/>
      <w:pPr>
        <w:ind w:left="2518" w:firstLine="0"/>
      </w:pPr>
      <w:rPr>
        <w:rFonts w:ascii="Arial" w:eastAsia="Arial" w:hAnsi="Arial" w:cs="Arial"/>
      </w:rPr>
    </w:lvl>
    <w:lvl w:ilvl="2">
      <w:start w:val="1"/>
      <w:numFmt w:val="decimal"/>
      <w:lvlText w:val="%3."/>
      <w:lvlJc w:val="left"/>
      <w:pPr>
        <w:ind w:left="3826" w:firstLine="0"/>
      </w:pPr>
    </w:lvl>
    <w:lvl w:ilvl="3">
      <w:start w:val="1"/>
      <w:numFmt w:val="decimal"/>
      <w:lvlText w:val="%4."/>
      <w:lvlJc w:val="left"/>
      <w:pPr>
        <w:ind w:left="5986" w:firstLine="0"/>
      </w:pPr>
    </w:lvl>
    <w:lvl w:ilvl="4">
      <w:start w:val="1"/>
      <w:numFmt w:val="decimal"/>
      <w:lvlText w:val="%5."/>
      <w:lvlJc w:val="left"/>
      <w:pPr>
        <w:ind w:left="8146" w:firstLine="0"/>
      </w:pPr>
    </w:lvl>
    <w:lvl w:ilvl="5">
      <w:start w:val="1"/>
      <w:numFmt w:val="decimal"/>
      <w:lvlText w:val="%6."/>
      <w:lvlJc w:val="left"/>
      <w:pPr>
        <w:ind w:left="10306" w:firstLine="0"/>
      </w:pPr>
    </w:lvl>
    <w:lvl w:ilvl="6">
      <w:start w:val="1"/>
      <w:numFmt w:val="decimal"/>
      <w:lvlText w:val="%7."/>
      <w:lvlJc w:val="left"/>
      <w:pPr>
        <w:ind w:left="12466" w:firstLine="0"/>
      </w:pPr>
    </w:lvl>
    <w:lvl w:ilvl="7">
      <w:start w:val="1"/>
      <w:numFmt w:val="decimal"/>
      <w:lvlText w:val="%8."/>
      <w:lvlJc w:val="left"/>
      <w:pPr>
        <w:ind w:left="14626" w:firstLine="0"/>
      </w:pPr>
    </w:lvl>
    <w:lvl w:ilvl="8">
      <w:start w:val="1"/>
      <w:numFmt w:val="decimal"/>
      <w:lvlText w:val="%9."/>
      <w:lvlJc w:val="left"/>
      <w:pPr>
        <w:ind w:left="16786" w:firstLine="0"/>
      </w:pPr>
    </w:lvl>
  </w:abstractNum>
  <w:abstractNum w:abstractNumId="5" w15:restartNumberingAfterBreak="0">
    <w:nsid w:val="68542DE8"/>
    <w:multiLevelType w:val="multilevel"/>
    <w:tmpl w:val="9FF644C0"/>
    <w:lvl w:ilvl="0">
      <w:numFmt w:val="bullet"/>
      <w:lvlText w:val="●"/>
      <w:lvlJc w:val="left"/>
      <w:pPr>
        <w:ind w:left="1800" w:firstLine="0"/>
      </w:pPr>
      <w:rPr>
        <w:rFonts w:ascii="Arial" w:eastAsia="Arial" w:hAnsi="Arial" w:cs="Arial"/>
      </w:rPr>
    </w:lvl>
    <w:lvl w:ilvl="1">
      <w:numFmt w:val="bullet"/>
      <w:lvlText w:val="o"/>
      <w:lvlJc w:val="left"/>
      <w:pPr>
        <w:ind w:left="3960" w:firstLine="0"/>
      </w:pPr>
      <w:rPr>
        <w:rFonts w:ascii="Arial" w:eastAsia="Arial" w:hAnsi="Arial" w:cs="Arial"/>
      </w:rPr>
    </w:lvl>
    <w:lvl w:ilvl="2">
      <w:numFmt w:val="bullet"/>
      <w:lvlText w:val="▪"/>
      <w:lvlJc w:val="left"/>
      <w:pPr>
        <w:ind w:left="6120" w:firstLine="0"/>
      </w:pPr>
      <w:rPr>
        <w:rFonts w:ascii="Arial" w:eastAsia="Arial" w:hAnsi="Arial" w:cs="Arial"/>
      </w:rPr>
    </w:lvl>
    <w:lvl w:ilvl="3">
      <w:numFmt w:val="bullet"/>
      <w:lvlText w:val="●"/>
      <w:lvlJc w:val="left"/>
      <w:pPr>
        <w:ind w:left="8280" w:firstLine="0"/>
      </w:pPr>
      <w:rPr>
        <w:rFonts w:ascii="Arial" w:eastAsia="Arial" w:hAnsi="Arial" w:cs="Arial"/>
      </w:rPr>
    </w:lvl>
    <w:lvl w:ilvl="4">
      <w:numFmt w:val="bullet"/>
      <w:lvlText w:val="o"/>
      <w:lvlJc w:val="left"/>
      <w:pPr>
        <w:ind w:left="10440" w:firstLine="0"/>
      </w:pPr>
      <w:rPr>
        <w:rFonts w:ascii="Arial" w:eastAsia="Arial" w:hAnsi="Arial" w:cs="Arial"/>
      </w:rPr>
    </w:lvl>
    <w:lvl w:ilvl="5">
      <w:numFmt w:val="bullet"/>
      <w:lvlText w:val="▪"/>
      <w:lvlJc w:val="left"/>
      <w:pPr>
        <w:ind w:left="12600" w:firstLine="0"/>
      </w:pPr>
      <w:rPr>
        <w:rFonts w:ascii="Arial" w:eastAsia="Arial" w:hAnsi="Arial" w:cs="Arial"/>
      </w:rPr>
    </w:lvl>
    <w:lvl w:ilvl="6">
      <w:numFmt w:val="bullet"/>
      <w:lvlText w:val="●"/>
      <w:lvlJc w:val="left"/>
      <w:pPr>
        <w:ind w:left="14760" w:firstLine="0"/>
      </w:pPr>
      <w:rPr>
        <w:rFonts w:ascii="Arial" w:eastAsia="Arial" w:hAnsi="Arial" w:cs="Arial"/>
      </w:rPr>
    </w:lvl>
    <w:lvl w:ilvl="7">
      <w:numFmt w:val="bullet"/>
      <w:lvlText w:val="o"/>
      <w:lvlJc w:val="left"/>
      <w:pPr>
        <w:ind w:left="16920" w:firstLine="0"/>
      </w:pPr>
      <w:rPr>
        <w:rFonts w:ascii="Arial" w:eastAsia="Arial" w:hAnsi="Arial" w:cs="Arial"/>
      </w:rPr>
    </w:lvl>
    <w:lvl w:ilvl="8">
      <w:numFmt w:val="bullet"/>
      <w:lvlText w:val="▪"/>
      <w:lvlJc w:val="left"/>
      <w:pPr>
        <w:ind w:left="19080" w:firstLine="0"/>
      </w:pPr>
      <w:rPr>
        <w:rFonts w:ascii="Arial" w:eastAsia="Arial" w:hAnsi="Arial" w:cs="Arial"/>
      </w:rPr>
    </w:lvl>
  </w:abstractNum>
  <w:abstractNum w:abstractNumId="6" w15:restartNumberingAfterBreak="0">
    <w:nsid w:val="754517BF"/>
    <w:multiLevelType w:val="multilevel"/>
    <w:tmpl w:val="3B6C2766"/>
    <w:lvl w:ilvl="0">
      <w:start w:val="1"/>
      <w:numFmt w:val="lowerLetter"/>
      <w:lvlText w:val="(%1)"/>
      <w:lvlJc w:val="left"/>
      <w:pPr>
        <w:ind w:left="822" w:firstLine="0"/>
      </w:pPr>
    </w:lvl>
    <w:lvl w:ilvl="1">
      <w:start w:val="1"/>
      <w:numFmt w:val="lowerLetter"/>
      <w:lvlText w:val="%2."/>
      <w:lvlJc w:val="left"/>
      <w:pPr>
        <w:ind w:left="2982" w:firstLine="0"/>
      </w:pPr>
    </w:lvl>
    <w:lvl w:ilvl="2">
      <w:start w:val="1"/>
      <w:numFmt w:val="lowerRoman"/>
      <w:lvlText w:val="%3."/>
      <w:lvlJc w:val="right"/>
      <w:pPr>
        <w:ind w:left="5322" w:firstLine="0"/>
      </w:pPr>
    </w:lvl>
    <w:lvl w:ilvl="3">
      <w:start w:val="1"/>
      <w:numFmt w:val="decimal"/>
      <w:lvlText w:val="%4."/>
      <w:lvlJc w:val="left"/>
      <w:pPr>
        <w:ind w:left="7302" w:firstLine="0"/>
      </w:pPr>
    </w:lvl>
    <w:lvl w:ilvl="4">
      <w:start w:val="1"/>
      <w:numFmt w:val="lowerLetter"/>
      <w:lvlText w:val="%5."/>
      <w:lvlJc w:val="left"/>
      <w:pPr>
        <w:ind w:left="9462" w:firstLine="0"/>
      </w:pPr>
    </w:lvl>
    <w:lvl w:ilvl="5">
      <w:start w:val="1"/>
      <w:numFmt w:val="lowerRoman"/>
      <w:lvlText w:val="%6."/>
      <w:lvlJc w:val="right"/>
      <w:pPr>
        <w:ind w:left="11802" w:firstLine="0"/>
      </w:pPr>
    </w:lvl>
    <w:lvl w:ilvl="6">
      <w:start w:val="1"/>
      <w:numFmt w:val="decimal"/>
      <w:lvlText w:val="%7."/>
      <w:lvlJc w:val="left"/>
      <w:pPr>
        <w:ind w:left="13782" w:firstLine="0"/>
      </w:pPr>
    </w:lvl>
    <w:lvl w:ilvl="7">
      <w:start w:val="1"/>
      <w:numFmt w:val="lowerLetter"/>
      <w:lvlText w:val="%8."/>
      <w:lvlJc w:val="left"/>
      <w:pPr>
        <w:ind w:left="15942" w:firstLine="0"/>
      </w:pPr>
    </w:lvl>
    <w:lvl w:ilvl="8">
      <w:start w:val="1"/>
      <w:numFmt w:val="lowerRoman"/>
      <w:lvlText w:val="%9."/>
      <w:lvlJc w:val="right"/>
      <w:pPr>
        <w:ind w:left="18282" w:firstLine="0"/>
      </w:pPr>
    </w:lvl>
  </w:abstractNum>
  <w:num w:numId="1">
    <w:abstractNumId w:val="6"/>
  </w:num>
  <w:num w:numId="2">
    <w:abstractNumId w:val="5"/>
  </w:num>
  <w:num w:numId="3">
    <w:abstractNumId w:val="0"/>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3E"/>
    <w:rsid w:val="000D463E"/>
    <w:rsid w:val="002F1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7F6494"/>
  <w15:chartTrackingRefBased/>
  <w15:docId w15:val="{3AD8CC23-C8A1-467E-91FF-910CBDF79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63E"/>
    <w:pPr>
      <w:widowControl w:val="0"/>
      <w:overflowPunct w:val="0"/>
      <w:autoSpaceDE w:val="0"/>
      <w:autoSpaceDN w:val="0"/>
      <w:adjustRightInd w:val="0"/>
      <w:spacing w:after="0" w:line="240" w:lineRule="auto"/>
      <w:textAlignment w:val="baseline"/>
    </w:pPr>
    <w:rPr>
      <w:rFonts w:ascii="Arial" w:eastAsia="Times New Roman" w:hAnsi="Arial" w:cs="Mang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0D463E"/>
    <w:pPr>
      <w:spacing w:after="240"/>
    </w:pPr>
  </w:style>
  <w:style w:type="character" w:styleId="Hyperlink">
    <w:name w:val="Hyperlink"/>
    <w:rsid w:val="000D463E"/>
    <w:rPr>
      <w:color w:val="0000FF"/>
      <w:u w:val="single"/>
    </w:rPr>
  </w:style>
  <w:style w:type="paragraph" w:styleId="ListParagraph">
    <w:name w:val="List Paragraph"/>
    <w:basedOn w:val="Normal"/>
    <w:uiPriority w:val="34"/>
    <w:qFormat/>
    <w:rsid w:val="000D463E"/>
    <w:pPr>
      <w:ind w:left="720"/>
    </w:pPr>
    <w:rPr>
      <w:szCs w:val="20"/>
    </w:rPr>
  </w:style>
  <w:style w:type="paragraph" w:customStyle="1" w:styleId="CM43">
    <w:name w:val="CM4+3"/>
    <w:basedOn w:val="Normal"/>
    <w:next w:val="Normal"/>
    <w:uiPriority w:val="99"/>
    <w:rsid w:val="000D463E"/>
    <w:pPr>
      <w:widowControl/>
      <w:overflowPunct/>
      <w:textAlignment w:val="auto"/>
    </w:pPr>
    <w:rPr>
      <w:rFonts w:ascii="EUAlbertina" w:hAnsi="EUAlbertina" w:cs="Times New Roman"/>
      <w:sz w:val="24"/>
      <w:szCs w:val="24"/>
    </w:rPr>
  </w:style>
  <w:style w:type="paragraph" w:styleId="NormalWeb">
    <w:name w:val="Normal (Web)"/>
    <w:basedOn w:val="Normal"/>
    <w:uiPriority w:val="99"/>
    <w:semiHidden/>
    <w:unhideWhenUsed/>
    <w:rsid w:val="000D463E"/>
    <w:pPr>
      <w:widowControl/>
      <w:overflowPunct/>
      <w:autoSpaceDE/>
      <w:autoSpaceDN/>
      <w:adjustRightInd/>
      <w:spacing w:before="100" w:beforeAutospacing="1" w:after="100" w:afterAutospacing="1"/>
      <w:textAlignment w:val="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0D463E"/>
    <w:pPr>
      <w:tabs>
        <w:tab w:val="center" w:pos="4513"/>
        <w:tab w:val="right" w:pos="9026"/>
      </w:tabs>
    </w:pPr>
  </w:style>
  <w:style w:type="character" w:customStyle="1" w:styleId="HeaderChar">
    <w:name w:val="Header Char"/>
    <w:basedOn w:val="DefaultParagraphFont"/>
    <w:link w:val="Header"/>
    <w:uiPriority w:val="99"/>
    <w:rsid w:val="000D463E"/>
    <w:rPr>
      <w:rFonts w:ascii="Arial" w:eastAsia="Times New Roman" w:hAnsi="Arial" w:cs="Mangal"/>
      <w:lang w:eastAsia="en-GB"/>
    </w:rPr>
  </w:style>
  <w:style w:type="paragraph" w:styleId="Footer">
    <w:name w:val="footer"/>
    <w:basedOn w:val="Normal"/>
    <w:link w:val="FooterChar"/>
    <w:uiPriority w:val="99"/>
    <w:unhideWhenUsed/>
    <w:rsid w:val="000D463E"/>
    <w:pPr>
      <w:tabs>
        <w:tab w:val="center" w:pos="4513"/>
        <w:tab w:val="right" w:pos="9026"/>
      </w:tabs>
    </w:pPr>
  </w:style>
  <w:style w:type="character" w:customStyle="1" w:styleId="FooterChar">
    <w:name w:val="Footer Char"/>
    <w:basedOn w:val="DefaultParagraphFont"/>
    <w:link w:val="Footer"/>
    <w:uiPriority w:val="99"/>
    <w:rsid w:val="000D463E"/>
    <w:rPr>
      <w:rFonts w:ascii="Arial" w:eastAsia="Times New Roman" w:hAnsi="Arial" w:cs="Mang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b.co.uk/myduns" TargetMode="External"/><Relationship Id="rId3" Type="http://schemas.openxmlformats.org/officeDocument/2006/relationships/settings" Target="settings.xml"/><Relationship Id="rId7" Type="http://schemas.openxmlformats.org/officeDocument/2006/relationships/hyperlink" Target="http://www.dnb.co.uk/dandb-duns-numb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10</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SMETHURST, Michele</dc:creator>
  <cp:keywords/>
  <dc:description/>
  <cp:lastModifiedBy>SMETHURST, Michele</cp:lastModifiedBy>
  <cp:revision>1</cp:revision>
  <dcterms:created xsi:type="dcterms:W3CDTF">2016-12-01T11:53:00Z</dcterms:created>
  <dcterms:modified xsi:type="dcterms:W3CDTF">2016-12-01T12:39:00Z</dcterms:modified>
</cp:coreProperties>
</file>