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C51071" w14:textId="77777777" w:rsidR="00FD2406" w:rsidRDefault="00FD2406">
      <w:pPr>
        <w:rPr>
          <w:b/>
        </w:rPr>
      </w:pPr>
      <w:r w:rsidRPr="00FD2406">
        <w:rPr>
          <w:b/>
        </w:rPr>
        <w:t>RSSB2732 - T1156 Managing driver behaviours through adhesion-related information flows</w:t>
      </w:r>
      <w:r>
        <w:rPr>
          <w:b/>
        </w:rPr>
        <w:t xml:space="preserve"> </w:t>
      </w:r>
    </w:p>
    <w:p w14:paraId="7D247A25" w14:textId="282A106E" w:rsidR="00946481" w:rsidRDefault="00946481">
      <w:r>
        <w:t>Tender Questions Document</w:t>
      </w:r>
    </w:p>
    <w:tbl>
      <w:tblPr>
        <w:tblStyle w:val="TableGrid"/>
        <w:tblW w:w="0" w:type="auto"/>
        <w:tblLook w:val="04A0" w:firstRow="1" w:lastRow="0" w:firstColumn="1" w:lastColumn="0" w:noHBand="0" w:noVBand="1"/>
      </w:tblPr>
      <w:tblGrid>
        <w:gridCol w:w="9016"/>
      </w:tblGrid>
      <w:tr w:rsidR="00946481" w14:paraId="213916F7" w14:textId="77777777" w:rsidTr="00946481">
        <w:tc>
          <w:tcPr>
            <w:tcW w:w="9016" w:type="dxa"/>
          </w:tcPr>
          <w:p w14:paraId="7B6EE356" w14:textId="77777777" w:rsidR="00946481" w:rsidRPr="00946481" w:rsidRDefault="00946481" w:rsidP="00946481">
            <w:pPr>
              <w:rPr>
                <w:b/>
              </w:rPr>
            </w:pPr>
            <w:r w:rsidRPr="00946481">
              <w:rPr>
                <w:b/>
              </w:rPr>
              <w:t>Supplier Question 1</w:t>
            </w:r>
          </w:p>
          <w:p w14:paraId="6D88B40F" w14:textId="778C17AD" w:rsidR="00271618" w:rsidRDefault="00271618" w:rsidP="00271618"/>
          <w:p w14:paraId="4ABF8B34" w14:textId="7600E05C" w:rsidR="00FD2406" w:rsidRDefault="007305EB" w:rsidP="00FD2406">
            <w:r>
              <w:t>“</w:t>
            </w:r>
            <w:r w:rsidR="00FD2406">
              <w:t>In relation to question S2 would RSSB consider examples from other transport sectors?”</w:t>
            </w:r>
          </w:p>
          <w:p w14:paraId="69774FB1" w14:textId="77777777" w:rsidR="00271618" w:rsidRDefault="00271618" w:rsidP="00FD2406"/>
        </w:tc>
      </w:tr>
      <w:tr w:rsidR="00946481" w14:paraId="1C188891" w14:textId="77777777" w:rsidTr="00946481">
        <w:tc>
          <w:tcPr>
            <w:tcW w:w="9016" w:type="dxa"/>
          </w:tcPr>
          <w:p w14:paraId="2632B728" w14:textId="77777777" w:rsidR="00946481" w:rsidRDefault="00946481">
            <w:pPr>
              <w:rPr>
                <w:b/>
              </w:rPr>
            </w:pPr>
            <w:r w:rsidRPr="00946481">
              <w:rPr>
                <w:b/>
              </w:rPr>
              <w:t>RSSB Answer 1</w:t>
            </w:r>
          </w:p>
          <w:p w14:paraId="02A94091" w14:textId="1AAC28A7" w:rsidR="00946481" w:rsidRDefault="00946481" w:rsidP="00946481"/>
          <w:p w14:paraId="724FB549" w14:textId="77777777" w:rsidR="000E4822" w:rsidRDefault="000E4822" w:rsidP="000E4822">
            <w:r>
              <w:t>No. The question is asking the supplier to demonstrate understanding of the context of the industry. This is required as the project is expected to be delivered by March 2019, and pre-existing understanding of the industry is seen as important to achieve this outcome. It should be noted that organisation, or individual experience would be suitable. RSSB recognise that longer standing experience would also be valid and will adjust the requirement as follows:</w:t>
            </w:r>
          </w:p>
          <w:p w14:paraId="59A052A0" w14:textId="0FD14D89" w:rsidR="007305EB" w:rsidRDefault="007305EB" w:rsidP="00946481"/>
          <w:tbl>
            <w:tblPr>
              <w:tblpPr w:leftFromText="180" w:rightFromText="180" w:vertAnchor="text"/>
              <w:tblW w:w="4858" w:type="pct"/>
              <w:tblCellMar>
                <w:left w:w="0" w:type="dxa"/>
                <w:right w:w="0" w:type="dxa"/>
              </w:tblCellMar>
              <w:tblLook w:val="04A0" w:firstRow="1" w:lastRow="0" w:firstColumn="1" w:lastColumn="0" w:noHBand="0" w:noVBand="1"/>
            </w:tblPr>
            <w:tblGrid>
              <w:gridCol w:w="1314"/>
              <w:gridCol w:w="3413"/>
              <w:gridCol w:w="3804"/>
            </w:tblGrid>
            <w:tr w:rsidR="00AE6630" w14:paraId="5450EFF3" w14:textId="77777777" w:rsidTr="00AE6630">
              <w:trPr>
                <w:trHeight w:val="524"/>
                <w:tblHeader/>
              </w:trPr>
              <w:tc>
                <w:tcPr>
                  <w:tcW w:w="59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1364177" w14:textId="77777777" w:rsidR="00AE6630" w:rsidRDefault="00AE6630" w:rsidP="00AE6630">
                  <w:pPr>
                    <w:spacing w:line="300" w:lineRule="exact"/>
                    <w:rPr>
                      <w:sz w:val="19"/>
                      <w:szCs w:val="19"/>
                    </w:rPr>
                  </w:pPr>
                  <w:r>
                    <w:rPr>
                      <w:b/>
                      <w:bCs/>
                      <w:sz w:val="19"/>
                      <w:szCs w:val="19"/>
                    </w:rPr>
                    <w:t>S2</w:t>
                  </w:r>
                  <w:r>
                    <w:rPr>
                      <w:sz w:val="19"/>
                      <w:szCs w:val="19"/>
                    </w:rPr>
                    <w:t xml:space="preserve"> Supplier’s organisational experience and knowledge of the GB rail industry </w:t>
                  </w:r>
                </w:p>
              </w:tc>
              <w:tc>
                <w:tcPr>
                  <w:tcW w:w="208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97A54FC" w14:textId="77777777" w:rsidR="00AE6630" w:rsidRDefault="00AE6630" w:rsidP="00AE6630">
                  <w:pPr>
                    <w:spacing w:line="300" w:lineRule="exact"/>
                    <w:rPr>
                      <w:sz w:val="19"/>
                      <w:szCs w:val="19"/>
                    </w:rPr>
                  </w:pPr>
                  <w:r>
                    <w:rPr>
                      <w:sz w:val="19"/>
                      <w:szCs w:val="19"/>
                    </w:rPr>
                    <w:t>The tenderer should provide a short description (</w:t>
                  </w:r>
                  <w:r>
                    <w:rPr>
                      <w:b/>
                      <w:bCs/>
                      <w:sz w:val="19"/>
                      <w:szCs w:val="19"/>
                    </w:rPr>
                    <w:t>in no more than one page</w:t>
                  </w:r>
                  <w:r>
                    <w:rPr>
                      <w:sz w:val="19"/>
                      <w:szCs w:val="19"/>
                    </w:rPr>
                    <w:t xml:space="preserve">) of at least two projects/contracts completed within the past </w:t>
                  </w:r>
                  <w:r>
                    <w:rPr>
                      <w:color w:val="FF0000"/>
                      <w:sz w:val="19"/>
                      <w:szCs w:val="19"/>
                    </w:rPr>
                    <w:t>seven</w:t>
                  </w:r>
                  <w:r>
                    <w:rPr>
                      <w:sz w:val="19"/>
                      <w:szCs w:val="19"/>
                    </w:rPr>
                    <w:t xml:space="preserve"> years that focused on the GB rail industry</w:t>
                  </w:r>
                </w:p>
              </w:tc>
              <w:tc>
                <w:tcPr>
                  <w:tcW w:w="231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51B30D2" w14:textId="77777777" w:rsidR="00AE6630" w:rsidRDefault="00AE6630" w:rsidP="00AE6630">
                  <w:pPr>
                    <w:spacing w:line="300" w:lineRule="exact"/>
                    <w:rPr>
                      <w:sz w:val="19"/>
                      <w:szCs w:val="19"/>
                    </w:rPr>
                  </w:pPr>
                  <w:r>
                    <w:rPr>
                      <w:color w:val="00B050"/>
                      <w:sz w:val="19"/>
                      <w:szCs w:val="19"/>
                    </w:rPr>
                    <w:t xml:space="preserve">Pass: </w:t>
                  </w:r>
                  <w:r>
                    <w:rPr>
                      <w:sz w:val="19"/>
                      <w:szCs w:val="19"/>
                    </w:rPr>
                    <w:t xml:space="preserve">The tenderer provides a shore description, in no more than one page, of at least two projects, /contracts completed within the past </w:t>
                  </w:r>
                  <w:r>
                    <w:rPr>
                      <w:color w:val="FF0000"/>
                      <w:sz w:val="19"/>
                      <w:szCs w:val="19"/>
                    </w:rPr>
                    <w:t>seven</w:t>
                  </w:r>
                  <w:r>
                    <w:rPr>
                      <w:sz w:val="19"/>
                      <w:szCs w:val="19"/>
                    </w:rPr>
                    <w:t xml:space="preserve"> years that focused on the GB Rail Industry. Further through the above the tenderers gives RSSB a strong degree of confidence in its experience and knowledge of the GB rail industry</w:t>
                  </w:r>
                </w:p>
                <w:p w14:paraId="5F2CCA12" w14:textId="77777777" w:rsidR="00AE6630" w:rsidRDefault="00AE6630" w:rsidP="00AE6630">
                  <w:pPr>
                    <w:spacing w:line="300" w:lineRule="exact"/>
                    <w:rPr>
                      <w:color w:val="00B050"/>
                      <w:sz w:val="19"/>
                      <w:szCs w:val="19"/>
                      <w:highlight w:val="yellow"/>
                    </w:rPr>
                  </w:pPr>
                  <w:r>
                    <w:rPr>
                      <w:color w:val="FF0000"/>
                      <w:sz w:val="19"/>
                      <w:szCs w:val="19"/>
                    </w:rPr>
                    <w:t xml:space="preserve">Fail: </w:t>
                  </w:r>
                  <w:r>
                    <w:rPr>
                      <w:sz w:val="19"/>
                      <w:szCs w:val="19"/>
                    </w:rPr>
                    <w:t xml:space="preserve">The tenderer either fails to provide evidence a short description, in no more than one page of at least two projects/contracts completed within the past </w:t>
                  </w:r>
                  <w:r>
                    <w:rPr>
                      <w:color w:val="FF0000"/>
                      <w:sz w:val="19"/>
                      <w:szCs w:val="19"/>
                    </w:rPr>
                    <w:t>seven</w:t>
                  </w:r>
                  <w:r>
                    <w:rPr>
                      <w:sz w:val="19"/>
                      <w:szCs w:val="19"/>
                    </w:rPr>
                    <w:t xml:space="preserve"> years that focused on the GB Rail Industry or fails to provide RSSB with a strong degree of confidence in its experience and knowledge of the GB rail industry.</w:t>
                  </w:r>
                </w:p>
              </w:tc>
            </w:tr>
          </w:tbl>
          <w:p w14:paraId="6B984D58" w14:textId="77777777" w:rsidR="00AE6630" w:rsidRDefault="00AE6630" w:rsidP="00946481"/>
          <w:p w14:paraId="5F2B52E8" w14:textId="293913AB" w:rsidR="00A327B4" w:rsidRPr="00946481" w:rsidRDefault="00A327B4" w:rsidP="00FD2406"/>
        </w:tc>
      </w:tr>
      <w:tr w:rsidR="00207F7D" w14:paraId="2B4E9232" w14:textId="77777777" w:rsidTr="00207F7D">
        <w:trPr>
          <w:trHeight w:val="498"/>
        </w:trPr>
        <w:tc>
          <w:tcPr>
            <w:tcW w:w="9016" w:type="dxa"/>
          </w:tcPr>
          <w:p w14:paraId="5A6D39C2" w14:textId="2A5E8667" w:rsidR="00207F7D" w:rsidRDefault="00207F7D" w:rsidP="00207F7D">
            <w:pPr>
              <w:rPr>
                <w:b/>
              </w:rPr>
            </w:pPr>
            <w:r w:rsidRPr="00946481">
              <w:rPr>
                <w:b/>
              </w:rPr>
              <w:t xml:space="preserve">Supplier Question </w:t>
            </w:r>
            <w:r>
              <w:rPr>
                <w:b/>
              </w:rPr>
              <w:t>2</w:t>
            </w:r>
          </w:p>
          <w:p w14:paraId="0756E474" w14:textId="2B86F11C" w:rsidR="009F046E" w:rsidRDefault="009F046E" w:rsidP="00207F7D">
            <w:pPr>
              <w:rPr>
                <w:b/>
              </w:rPr>
            </w:pPr>
          </w:p>
          <w:p w14:paraId="17E7D15E" w14:textId="77777777" w:rsidR="009F046E" w:rsidRPr="004C105C" w:rsidRDefault="009F046E" w:rsidP="004C105C">
            <w:pPr>
              <w:rPr>
                <w:rFonts w:ascii="Verdana" w:eastAsia="Times New Roman" w:hAnsi="Verdana"/>
                <w:sz w:val="20"/>
                <w:szCs w:val="20"/>
              </w:rPr>
            </w:pPr>
            <w:r w:rsidRPr="004C105C">
              <w:rPr>
                <w:rFonts w:ascii="Verdana" w:eastAsia="Times New Roman" w:hAnsi="Verdana"/>
                <w:sz w:val="20"/>
                <w:szCs w:val="20"/>
              </w:rPr>
              <w:t>Please confirm the weighting for the price element - Section 8.2 indicates 20%, whereas W5 in section 9 indicates 30%.</w:t>
            </w:r>
          </w:p>
          <w:p w14:paraId="72DC9723" w14:textId="77777777" w:rsidR="009F046E" w:rsidRPr="00946481" w:rsidRDefault="009F046E" w:rsidP="00207F7D">
            <w:pPr>
              <w:rPr>
                <w:b/>
              </w:rPr>
            </w:pPr>
          </w:p>
          <w:p w14:paraId="35056709" w14:textId="77777777" w:rsidR="00207F7D" w:rsidRPr="00946481" w:rsidRDefault="00207F7D" w:rsidP="00207F7D">
            <w:pPr>
              <w:rPr>
                <w:b/>
              </w:rPr>
            </w:pPr>
          </w:p>
        </w:tc>
      </w:tr>
      <w:tr w:rsidR="00207F7D" w14:paraId="7E6F4B80" w14:textId="77777777" w:rsidTr="00946481">
        <w:tc>
          <w:tcPr>
            <w:tcW w:w="9016" w:type="dxa"/>
          </w:tcPr>
          <w:p w14:paraId="0647DFC1" w14:textId="4B59BA81" w:rsidR="00207F7D" w:rsidRDefault="00207F7D" w:rsidP="00207F7D">
            <w:pPr>
              <w:rPr>
                <w:b/>
              </w:rPr>
            </w:pPr>
            <w:r w:rsidRPr="00946481">
              <w:rPr>
                <w:b/>
              </w:rPr>
              <w:t xml:space="preserve">RSSB Answer </w:t>
            </w:r>
            <w:r>
              <w:rPr>
                <w:b/>
              </w:rPr>
              <w:t>2</w:t>
            </w:r>
          </w:p>
          <w:p w14:paraId="4C54CF63" w14:textId="6CA4F1B6" w:rsidR="004C105C" w:rsidRDefault="004C105C" w:rsidP="00207F7D">
            <w:pPr>
              <w:rPr>
                <w:b/>
              </w:rPr>
            </w:pPr>
          </w:p>
          <w:p w14:paraId="0ED9D0C6" w14:textId="4A462CBB" w:rsidR="004C105C" w:rsidRPr="004C105C" w:rsidRDefault="004C105C" w:rsidP="00207F7D">
            <w:r>
              <w:t xml:space="preserve">The </w:t>
            </w:r>
            <w:proofErr w:type="spellStart"/>
            <w:r>
              <w:t>weighitng</w:t>
            </w:r>
            <w:proofErr w:type="spellEnd"/>
            <w:r>
              <w:t xml:space="preserve"> for the pricing element is 30%.</w:t>
            </w:r>
          </w:p>
          <w:p w14:paraId="4EED3DF9" w14:textId="77777777" w:rsidR="00207F7D" w:rsidRPr="00946481" w:rsidRDefault="00207F7D" w:rsidP="00207F7D">
            <w:pPr>
              <w:rPr>
                <w:b/>
              </w:rPr>
            </w:pPr>
          </w:p>
        </w:tc>
      </w:tr>
      <w:tr w:rsidR="00207F7D" w14:paraId="2EEA61E9" w14:textId="77777777" w:rsidTr="00946481">
        <w:tc>
          <w:tcPr>
            <w:tcW w:w="9016" w:type="dxa"/>
          </w:tcPr>
          <w:p w14:paraId="2B4DC0F0" w14:textId="5134EFB5" w:rsidR="00207F7D" w:rsidRDefault="00207F7D" w:rsidP="00207F7D">
            <w:pPr>
              <w:rPr>
                <w:b/>
              </w:rPr>
            </w:pPr>
            <w:r w:rsidRPr="00946481">
              <w:rPr>
                <w:b/>
              </w:rPr>
              <w:t xml:space="preserve">Supplier Question </w:t>
            </w:r>
            <w:r>
              <w:rPr>
                <w:b/>
              </w:rPr>
              <w:t>3</w:t>
            </w:r>
          </w:p>
          <w:p w14:paraId="0499F839" w14:textId="77777777" w:rsidR="004C105C" w:rsidRDefault="004C105C" w:rsidP="004C105C">
            <w:pPr>
              <w:rPr>
                <w:rFonts w:ascii="Verdana" w:eastAsia="Times New Roman" w:hAnsi="Verdana"/>
                <w:sz w:val="20"/>
                <w:szCs w:val="20"/>
              </w:rPr>
            </w:pPr>
          </w:p>
          <w:p w14:paraId="6671983E" w14:textId="21D45F54" w:rsidR="00207F7D" w:rsidRPr="004C105C" w:rsidRDefault="004C105C" w:rsidP="00207F7D">
            <w:pPr>
              <w:rPr>
                <w:rFonts w:eastAsia="Times New Roman"/>
              </w:rPr>
            </w:pPr>
            <w:r w:rsidRPr="004C105C">
              <w:rPr>
                <w:rFonts w:ascii="Verdana" w:eastAsia="Times New Roman" w:hAnsi="Verdana"/>
                <w:sz w:val="20"/>
                <w:szCs w:val="20"/>
              </w:rPr>
              <w:t xml:space="preserve">Information indicates that tenders </w:t>
            </w:r>
            <w:proofErr w:type="gramStart"/>
            <w:r w:rsidRPr="004C105C">
              <w:rPr>
                <w:rFonts w:ascii="Verdana" w:eastAsia="Times New Roman" w:hAnsi="Verdana"/>
                <w:sz w:val="20"/>
                <w:szCs w:val="20"/>
              </w:rPr>
              <w:t>have to</w:t>
            </w:r>
            <w:proofErr w:type="gramEnd"/>
            <w:r w:rsidRPr="004C105C">
              <w:rPr>
                <w:rFonts w:ascii="Verdana" w:eastAsia="Times New Roman" w:hAnsi="Verdana"/>
                <w:sz w:val="20"/>
                <w:szCs w:val="20"/>
              </w:rPr>
              <w:t xml:space="preserve"> be submitted through Delta </w:t>
            </w:r>
            <w:proofErr w:type="spellStart"/>
            <w:r w:rsidRPr="004C105C">
              <w:rPr>
                <w:rFonts w:ascii="Verdana" w:eastAsia="Times New Roman" w:hAnsi="Verdana"/>
                <w:sz w:val="20"/>
                <w:szCs w:val="20"/>
              </w:rPr>
              <w:t>eSourcing</w:t>
            </w:r>
            <w:proofErr w:type="spellEnd"/>
            <w:r w:rsidRPr="004C105C">
              <w:rPr>
                <w:rFonts w:ascii="Verdana" w:eastAsia="Times New Roman" w:hAnsi="Verdana"/>
                <w:sz w:val="20"/>
                <w:szCs w:val="20"/>
              </w:rPr>
              <w:t xml:space="preserve"> – could you provide some instruction as to how to achieve this? RSSB appear not to be listed as a buyer on their website.</w:t>
            </w:r>
          </w:p>
        </w:tc>
      </w:tr>
      <w:tr w:rsidR="00207F7D" w14:paraId="63A3F833" w14:textId="77777777" w:rsidTr="00946481">
        <w:tc>
          <w:tcPr>
            <w:tcW w:w="9016" w:type="dxa"/>
          </w:tcPr>
          <w:p w14:paraId="0E5F9E8C" w14:textId="6600A89F" w:rsidR="00207F7D" w:rsidRPr="004C105C" w:rsidRDefault="00207F7D" w:rsidP="00207F7D">
            <w:pPr>
              <w:rPr>
                <w:b/>
              </w:rPr>
            </w:pPr>
            <w:r w:rsidRPr="004C105C">
              <w:rPr>
                <w:b/>
              </w:rPr>
              <w:lastRenderedPageBreak/>
              <w:t xml:space="preserve">RSSB Answer </w:t>
            </w:r>
            <w:r w:rsidRPr="004C105C">
              <w:rPr>
                <w:b/>
              </w:rPr>
              <w:t>3</w:t>
            </w:r>
          </w:p>
          <w:p w14:paraId="6ECC616F" w14:textId="77777777" w:rsidR="00207F7D" w:rsidRPr="004C105C" w:rsidRDefault="00207F7D" w:rsidP="00207F7D">
            <w:pPr>
              <w:rPr>
                <w:b/>
              </w:rPr>
            </w:pPr>
          </w:p>
          <w:p w14:paraId="6F1B306A" w14:textId="77777777" w:rsidR="004C105C" w:rsidRPr="004C105C" w:rsidRDefault="004C105C" w:rsidP="00207F7D">
            <w:r w:rsidRPr="004C105C">
              <w:t>Tender submissions are to be submitted to:</w:t>
            </w:r>
          </w:p>
          <w:p w14:paraId="58E1B124" w14:textId="77777777" w:rsidR="004C105C" w:rsidRPr="004C105C" w:rsidRDefault="004C105C" w:rsidP="00207F7D"/>
          <w:p w14:paraId="3C715A5A" w14:textId="211E8E65" w:rsidR="004C105C" w:rsidRPr="004C105C" w:rsidRDefault="004C105C" w:rsidP="00207F7D">
            <w:r w:rsidRPr="004C105C">
              <w:t>Shareditt@rssb.co.uk</w:t>
            </w:r>
          </w:p>
        </w:tc>
      </w:tr>
      <w:tr w:rsidR="00207F7D" w14:paraId="398DF538" w14:textId="77777777" w:rsidTr="00946481">
        <w:tc>
          <w:tcPr>
            <w:tcW w:w="9016" w:type="dxa"/>
          </w:tcPr>
          <w:p w14:paraId="60EF7B85" w14:textId="0413FE63" w:rsidR="00207F7D" w:rsidRPr="004C105C" w:rsidRDefault="00207F7D" w:rsidP="00207F7D">
            <w:pPr>
              <w:rPr>
                <w:b/>
              </w:rPr>
            </w:pPr>
            <w:r w:rsidRPr="004C105C">
              <w:rPr>
                <w:b/>
              </w:rPr>
              <w:t xml:space="preserve">Supplier Question </w:t>
            </w:r>
            <w:r w:rsidRPr="004C105C">
              <w:rPr>
                <w:b/>
              </w:rPr>
              <w:t>4</w:t>
            </w:r>
          </w:p>
          <w:p w14:paraId="0E12C999" w14:textId="01CCBDD0" w:rsidR="004C105C" w:rsidRPr="004C105C" w:rsidRDefault="004C105C" w:rsidP="00207F7D">
            <w:pPr>
              <w:rPr>
                <w:b/>
              </w:rPr>
            </w:pPr>
          </w:p>
          <w:p w14:paraId="65CECB2B" w14:textId="11FFBCBA" w:rsidR="004C105C" w:rsidRPr="004C105C" w:rsidRDefault="004C105C" w:rsidP="004C105C">
            <w:pPr>
              <w:pStyle w:val="xmsolistparagraph"/>
              <w:ind w:left="0"/>
              <w:rPr>
                <w:rFonts w:asciiTheme="minorHAnsi" w:eastAsia="Times New Roman" w:hAnsiTheme="minorHAnsi"/>
              </w:rPr>
            </w:pPr>
            <w:r w:rsidRPr="004C105C">
              <w:rPr>
                <w:rFonts w:asciiTheme="minorHAnsi" w:eastAsia="Times New Roman" w:hAnsiTheme="minorHAnsi"/>
              </w:rPr>
              <w:t>The ITT is contradictory in terms of the permissible length of each section, specifically in relation to the length of the approach description that can be submitted. Is the</w:t>
            </w:r>
            <w:bookmarkStart w:id="0" w:name="_GoBack"/>
            <w:bookmarkEnd w:id="0"/>
            <w:r w:rsidRPr="004C105C">
              <w:rPr>
                <w:rFonts w:asciiTheme="minorHAnsi" w:eastAsia="Times New Roman" w:hAnsiTheme="minorHAnsi"/>
              </w:rPr>
              <w:t xml:space="preserve"> W2 Method statement (no more than four pages) in addition to the S4 ‘Summary of the proposal’ (no more than one page)?</w:t>
            </w:r>
          </w:p>
          <w:p w14:paraId="269A9620" w14:textId="77777777" w:rsidR="004C105C" w:rsidRPr="004C105C" w:rsidRDefault="004C105C" w:rsidP="00207F7D">
            <w:pPr>
              <w:rPr>
                <w:b/>
              </w:rPr>
            </w:pPr>
          </w:p>
          <w:p w14:paraId="488BE2F0" w14:textId="77777777" w:rsidR="00207F7D" w:rsidRPr="004C105C" w:rsidRDefault="00207F7D" w:rsidP="00207F7D">
            <w:pPr>
              <w:rPr>
                <w:b/>
              </w:rPr>
            </w:pPr>
          </w:p>
        </w:tc>
      </w:tr>
      <w:tr w:rsidR="00207F7D" w14:paraId="20DFE651" w14:textId="77777777" w:rsidTr="00946481">
        <w:tc>
          <w:tcPr>
            <w:tcW w:w="9016" w:type="dxa"/>
          </w:tcPr>
          <w:p w14:paraId="05521384" w14:textId="0FF6C924" w:rsidR="00207F7D" w:rsidRPr="004C105C" w:rsidRDefault="00207F7D" w:rsidP="00207F7D">
            <w:pPr>
              <w:rPr>
                <w:b/>
              </w:rPr>
            </w:pPr>
            <w:r w:rsidRPr="004C105C">
              <w:rPr>
                <w:b/>
              </w:rPr>
              <w:t xml:space="preserve">RSSB Answer </w:t>
            </w:r>
            <w:r w:rsidRPr="004C105C">
              <w:rPr>
                <w:b/>
              </w:rPr>
              <w:t>4</w:t>
            </w:r>
          </w:p>
          <w:p w14:paraId="33C14F2F" w14:textId="77777777" w:rsidR="00207F7D" w:rsidRPr="004C105C" w:rsidRDefault="00207F7D" w:rsidP="00207F7D">
            <w:pPr>
              <w:rPr>
                <w:b/>
              </w:rPr>
            </w:pPr>
          </w:p>
          <w:p w14:paraId="5F678180" w14:textId="3F254E42" w:rsidR="004C105C" w:rsidRPr="004C105C" w:rsidRDefault="004C105C" w:rsidP="00207F7D">
            <w:r w:rsidRPr="004C105C">
              <w:t>Tenderers are advised to read through the question and associated evaluation criteria which, for each question, outlines the number of pages within w</w:t>
            </w:r>
            <w:r>
              <w:t>h</w:t>
            </w:r>
            <w:r w:rsidRPr="004C105C">
              <w:t>ich the tenderer can provide their answer.</w:t>
            </w:r>
          </w:p>
        </w:tc>
      </w:tr>
      <w:tr w:rsidR="004C105C" w14:paraId="41C37866" w14:textId="77777777" w:rsidTr="00946481">
        <w:tc>
          <w:tcPr>
            <w:tcW w:w="9016" w:type="dxa"/>
          </w:tcPr>
          <w:p w14:paraId="223FF521" w14:textId="765A522F" w:rsidR="004C105C" w:rsidRPr="004C105C" w:rsidRDefault="004C105C" w:rsidP="004C105C">
            <w:pPr>
              <w:rPr>
                <w:b/>
              </w:rPr>
            </w:pPr>
            <w:r w:rsidRPr="004C105C">
              <w:rPr>
                <w:b/>
              </w:rPr>
              <w:t xml:space="preserve">Supplier Question </w:t>
            </w:r>
            <w:r w:rsidRPr="004C105C">
              <w:rPr>
                <w:b/>
              </w:rPr>
              <w:t>5</w:t>
            </w:r>
          </w:p>
          <w:p w14:paraId="66FAA4B0" w14:textId="77777777" w:rsidR="004C105C" w:rsidRPr="004C105C" w:rsidRDefault="004C105C" w:rsidP="00207F7D">
            <w:pPr>
              <w:rPr>
                <w:b/>
              </w:rPr>
            </w:pPr>
          </w:p>
          <w:p w14:paraId="472A6B61" w14:textId="77777777" w:rsidR="004C105C" w:rsidRPr="004C105C" w:rsidRDefault="004C105C" w:rsidP="004C105C">
            <w:pPr>
              <w:pStyle w:val="xxxmsolistparagraph"/>
              <w:ind w:left="0"/>
              <w:rPr>
                <w:rFonts w:asciiTheme="minorHAnsi" w:eastAsia="Times New Roman" w:hAnsiTheme="minorHAnsi"/>
              </w:rPr>
            </w:pPr>
            <w:r w:rsidRPr="004C105C">
              <w:rPr>
                <w:rFonts w:asciiTheme="minorHAnsi" w:eastAsia="Times New Roman" w:hAnsiTheme="minorHAnsi" w:cs="Arial"/>
              </w:rPr>
              <w:t>What is the nature of the meetings which have been arranged for the dates specified in the Tender Evaluation table on page 10? Are these meetings opportunities for supplier data collection? And if so, will it be possible to arrange further opportunities for data collection with each TOC?</w:t>
            </w:r>
          </w:p>
          <w:p w14:paraId="69A032A3" w14:textId="102B44CA" w:rsidR="004C105C" w:rsidRPr="004C105C" w:rsidRDefault="004C105C" w:rsidP="00207F7D">
            <w:pPr>
              <w:rPr>
                <w:b/>
              </w:rPr>
            </w:pPr>
          </w:p>
        </w:tc>
      </w:tr>
      <w:tr w:rsidR="004C105C" w14:paraId="1D41EB05" w14:textId="77777777" w:rsidTr="00946481">
        <w:tc>
          <w:tcPr>
            <w:tcW w:w="9016" w:type="dxa"/>
          </w:tcPr>
          <w:p w14:paraId="167C3B66" w14:textId="664D8BB8" w:rsidR="004C105C" w:rsidRPr="004C105C" w:rsidRDefault="004C105C" w:rsidP="004C105C">
            <w:pPr>
              <w:rPr>
                <w:b/>
              </w:rPr>
            </w:pPr>
            <w:r w:rsidRPr="004C105C">
              <w:rPr>
                <w:b/>
              </w:rPr>
              <w:t xml:space="preserve">RSSB Answer </w:t>
            </w:r>
            <w:r w:rsidRPr="004C105C">
              <w:rPr>
                <w:b/>
              </w:rPr>
              <w:t>5</w:t>
            </w:r>
          </w:p>
          <w:p w14:paraId="47F60E00" w14:textId="4583EF04" w:rsidR="004C105C" w:rsidRPr="004C105C" w:rsidRDefault="004C105C" w:rsidP="004C105C">
            <w:pPr>
              <w:rPr>
                <w:b/>
              </w:rPr>
            </w:pPr>
          </w:p>
          <w:p w14:paraId="50AEC66D" w14:textId="77777777" w:rsidR="004C105C" w:rsidRPr="004C105C" w:rsidRDefault="004C105C" w:rsidP="004C105C">
            <w:pPr>
              <w:pStyle w:val="xmsolistparagraph"/>
              <w:ind w:left="0"/>
              <w:rPr>
                <w:rFonts w:asciiTheme="minorHAnsi" w:eastAsia="Times New Roman" w:hAnsiTheme="minorHAnsi"/>
              </w:rPr>
            </w:pPr>
            <w:r w:rsidRPr="004C105C">
              <w:rPr>
                <w:rFonts w:asciiTheme="minorHAnsi" w:eastAsia="Times New Roman" w:hAnsiTheme="minorHAnsi"/>
              </w:rPr>
              <w:t xml:space="preserve">The meetings are with Operations Standards Managers, to cover the following: </w:t>
            </w:r>
          </w:p>
          <w:p w14:paraId="5BFF1E2F" w14:textId="77777777" w:rsidR="004C105C" w:rsidRPr="004C105C" w:rsidRDefault="004C105C" w:rsidP="004C105C">
            <w:pPr>
              <w:pStyle w:val="xmsonormal"/>
              <w:numPr>
                <w:ilvl w:val="1"/>
                <w:numId w:val="9"/>
              </w:numPr>
              <w:rPr>
                <w:rFonts w:asciiTheme="minorHAnsi" w:eastAsia="Times New Roman" w:hAnsiTheme="minorHAnsi"/>
              </w:rPr>
            </w:pPr>
            <w:r w:rsidRPr="004C105C">
              <w:rPr>
                <w:rFonts w:asciiTheme="minorHAnsi" w:eastAsia="Times New Roman" w:hAnsiTheme="minorHAnsi"/>
              </w:rPr>
              <w:t xml:space="preserve">Discuss (and view) the adhesion-related information sources current used within the TOC (the in-scope information sources listed in the spec) </w:t>
            </w:r>
          </w:p>
          <w:p w14:paraId="6535E210" w14:textId="77777777" w:rsidR="004C105C" w:rsidRPr="004C105C" w:rsidRDefault="004C105C" w:rsidP="004C105C">
            <w:pPr>
              <w:pStyle w:val="xmsonormal"/>
              <w:numPr>
                <w:ilvl w:val="1"/>
                <w:numId w:val="9"/>
              </w:numPr>
              <w:rPr>
                <w:rFonts w:asciiTheme="minorHAnsi" w:eastAsia="Times New Roman" w:hAnsiTheme="minorHAnsi"/>
              </w:rPr>
            </w:pPr>
            <w:r w:rsidRPr="004C105C">
              <w:rPr>
                <w:rFonts w:asciiTheme="minorHAnsi" w:eastAsia="Times New Roman" w:hAnsiTheme="minorHAnsi"/>
              </w:rPr>
              <w:t xml:space="preserve">Discuss management practices that may influence how adhesion-related information is perceived and used by drivers </w:t>
            </w:r>
          </w:p>
          <w:p w14:paraId="5F2E7CB7" w14:textId="77777777" w:rsidR="004C105C" w:rsidRPr="004C105C" w:rsidRDefault="004C105C" w:rsidP="004C105C">
            <w:pPr>
              <w:pStyle w:val="xmsonormal"/>
              <w:numPr>
                <w:ilvl w:val="1"/>
                <w:numId w:val="9"/>
              </w:numPr>
              <w:rPr>
                <w:rFonts w:asciiTheme="minorHAnsi" w:eastAsia="Times New Roman" w:hAnsiTheme="minorHAnsi"/>
              </w:rPr>
            </w:pPr>
            <w:r w:rsidRPr="004C105C">
              <w:rPr>
                <w:rFonts w:asciiTheme="minorHAnsi" w:eastAsia="Times New Roman" w:hAnsiTheme="minorHAnsi"/>
              </w:rPr>
              <w:t xml:space="preserve">Discuss mechanisms that are available to manage driver behaviour </w:t>
            </w:r>
          </w:p>
          <w:p w14:paraId="157370D1" w14:textId="77777777" w:rsidR="004C105C" w:rsidRPr="004C105C" w:rsidRDefault="004C105C" w:rsidP="004C105C">
            <w:pPr>
              <w:pStyle w:val="xmsonormal"/>
              <w:numPr>
                <w:ilvl w:val="1"/>
                <w:numId w:val="9"/>
              </w:numPr>
              <w:rPr>
                <w:rFonts w:asciiTheme="minorHAnsi" w:eastAsia="Times New Roman" w:hAnsiTheme="minorHAnsi"/>
              </w:rPr>
            </w:pPr>
            <w:r w:rsidRPr="004C105C">
              <w:rPr>
                <w:rFonts w:asciiTheme="minorHAnsi" w:eastAsia="Times New Roman" w:hAnsiTheme="minorHAnsi"/>
              </w:rPr>
              <w:t xml:space="preserve">Discuss barriers to </w:t>
            </w:r>
            <w:proofErr w:type="gramStart"/>
            <w:r w:rsidRPr="004C105C">
              <w:rPr>
                <w:rFonts w:asciiTheme="minorHAnsi" w:eastAsia="Times New Roman" w:hAnsiTheme="minorHAnsi"/>
              </w:rPr>
              <w:t>providing</w:t>
            </w:r>
            <w:proofErr w:type="gramEnd"/>
            <w:r w:rsidRPr="004C105C">
              <w:rPr>
                <w:rFonts w:asciiTheme="minorHAnsi" w:eastAsia="Times New Roman" w:hAnsiTheme="minorHAnsi"/>
              </w:rPr>
              <w:t xml:space="preserve"> useful and usable adhesion-related information</w:t>
            </w:r>
          </w:p>
          <w:p w14:paraId="08BBD0D4" w14:textId="77777777" w:rsidR="004C105C" w:rsidRPr="004C105C" w:rsidRDefault="004C105C" w:rsidP="004C105C">
            <w:pPr>
              <w:pStyle w:val="xmsonormal"/>
              <w:ind w:left="720"/>
              <w:rPr>
                <w:rFonts w:asciiTheme="minorHAnsi" w:hAnsiTheme="minorHAnsi"/>
              </w:rPr>
            </w:pPr>
            <w:r w:rsidRPr="004C105C">
              <w:rPr>
                <w:rFonts w:asciiTheme="minorHAnsi" w:hAnsiTheme="minorHAnsi"/>
              </w:rPr>
              <w:t xml:space="preserve">(We would expect the suppliers to set up subsequent meetings/workshops with drivers and driver managers.) </w:t>
            </w:r>
          </w:p>
          <w:p w14:paraId="71753E32" w14:textId="77777777" w:rsidR="004C105C" w:rsidRPr="004C105C" w:rsidRDefault="004C105C" w:rsidP="004C105C">
            <w:pPr>
              <w:rPr>
                <w:b/>
              </w:rPr>
            </w:pPr>
          </w:p>
          <w:p w14:paraId="77309145" w14:textId="77777777" w:rsidR="004C105C" w:rsidRPr="004C105C" w:rsidRDefault="004C105C" w:rsidP="00207F7D">
            <w:pPr>
              <w:rPr>
                <w:b/>
              </w:rPr>
            </w:pPr>
          </w:p>
        </w:tc>
      </w:tr>
      <w:tr w:rsidR="004C105C" w14:paraId="52D59B90" w14:textId="77777777" w:rsidTr="00946481">
        <w:tc>
          <w:tcPr>
            <w:tcW w:w="9016" w:type="dxa"/>
          </w:tcPr>
          <w:p w14:paraId="020FCB04" w14:textId="24088158" w:rsidR="004C105C" w:rsidRPr="004C105C" w:rsidRDefault="004C105C" w:rsidP="004C105C">
            <w:pPr>
              <w:rPr>
                <w:b/>
              </w:rPr>
            </w:pPr>
            <w:r w:rsidRPr="004C105C">
              <w:rPr>
                <w:b/>
              </w:rPr>
              <w:t xml:space="preserve">Supplier Question </w:t>
            </w:r>
            <w:r w:rsidRPr="004C105C">
              <w:rPr>
                <w:b/>
              </w:rPr>
              <w:t>6</w:t>
            </w:r>
          </w:p>
          <w:p w14:paraId="0880C7C8" w14:textId="77777777" w:rsidR="004C105C" w:rsidRPr="004C105C" w:rsidRDefault="004C105C" w:rsidP="004C105C">
            <w:pPr>
              <w:rPr>
                <w:b/>
              </w:rPr>
            </w:pPr>
          </w:p>
          <w:p w14:paraId="0494F7CF" w14:textId="77777777" w:rsidR="004C105C" w:rsidRPr="004C105C" w:rsidRDefault="004C105C" w:rsidP="004C105C">
            <w:pPr>
              <w:pStyle w:val="xxxmsolistparagraph"/>
              <w:ind w:left="0"/>
              <w:rPr>
                <w:rFonts w:asciiTheme="minorHAnsi" w:eastAsia="Times New Roman" w:hAnsiTheme="minorHAnsi"/>
              </w:rPr>
            </w:pPr>
            <w:r w:rsidRPr="004C105C">
              <w:rPr>
                <w:rFonts w:asciiTheme="minorHAnsi" w:eastAsia="Times New Roman" w:hAnsiTheme="minorHAnsi" w:cs="Arial"/>
              </w:rPr>
              <w:t>Has research been conducted to evidence the reduced driver confidence and morale stated in the ITT? If so, will this data be made available upon contract award?</w:t>
            </w:r>
          </w:p>
          <w:p w14:paraId="02F3822D" w14:textId="4166315E" w:rsidR="004C105C" w:rsidRPr="004C105C" w:rsidRDefault="004C105C" w:rsidP="004C105C">
            <w:pPr>
              <w:rPr>
                <w:b/>
              </w:rPr>
            </w:pPr>
          </w:p>
        </w:tc>
      </w:tr>
      <w:tr w:rsidR="004C105C" w14:paraId="7BB07C71" w14:textId="77777777" w:rsidTr="00946481">
        <w:tc>
          <w:tcPr>
            <w:tcW w:w="9016" w:type="dxa"/>
          </w:tcPr>
          <w:p w14:paraId="3FC463C6" w14:textId="321F9736" w:rsidR="004C105C" w:rsidRPr="004C105C" w:rsidRDefault="004C105C" w:rsidP="004C105C">
            <w:pPr>
              <w:rPr>
                <w:b/>
              </w:rPr>
            </w:pPr>
            <w:r w:rsidRPr="004C105C">
              <w:rPr>
                <w:b/>
              </w:rPr>
              <w:t xml:space="preserve">RSSB Answer </w:t>
            </w:r>
            <w:r w:rsidRPr="004C105C">
              <w:rPr>
                <w:b/>
              </w:rPr>
              <w:t>6</w:t>
            </w:r>
          </w:p>
          <w:p w14:paraId="49A769BA" w14:textId="77777777" w:rsidR="004C105C" w:rsidRPr="004C105C" w:rsidRDefault="004C105C" w:rsidP="004C105C">
            <w:pPr>
              <w:rPr>
                <w:b/>
              </w:rPr>
            </w:pPr>
          </w:p>
          <w:p w14:paraId="0062C2D6" w14:textId="13A8471B" w:rsidR="004C105C" w:rsidRPr="004C105C" w:rsidRDefault="004C105C" w:rsidP="004C105C">
            <w:pPr>
              <w:pStyle w:val="xmsolistparagraph"/>
              <w:ind w:left="0"/>
              <w:rPr>
                <w:rFonts w:asciiTheme="minorHAnsi" w:eastAsia="Times New Roman" w:hAnsiTheme="minorHAnsi"/>
              </w:rPr>
            </w:pPr>
            <w:r w:rsidRPr="004C105C">
              <w:rPr>
                <w:rFonts w:asciiTheme="minorHAnsi" w:eastAsia="Times New Roman" w:hAnsiTheme="minorHAnsi"/>
              </w:rPr>
              <w:t xml:space="preserve">My understanding is that the reduced driver confidence has been shown through informal ARG research (so it is </w:t>
            </w:r>
            <w:proofErr w:type="spellStart"/>
            <w:r w:rsidRPr="004C105C">
              <w:rPr>
                <w:rFonts w:asciiTheme="minorHAnsi" w:eastAsia="Times New Roman" w:hAnsiTheme="minorHAnsi"/>
              </w:rPr>
              <w:t>ancedotal</w:t>
            </w:r>
            <w:proofErr w:type="spellEnd"/>
            <w:r w:rsidRPr="004C105C">
              <w:rPr>
                <w:rFonts w:asciiTheme="minorHAnsi" w:eastAsia="Times New Roman" w:hAnsiTheme="minorHAnsi"/>
              </w:rPr>
              <w:t xml:space="preserve"> evidence, not quantified research) and as such it is unlikely that there is actual data to share. </w:t>
            </w:r>
          </w:p>
          <w:p w14:paraId="11441399" w14:textId="189E107F" w:rsidR="004C105C" w:rsidRPr="004C105C" w:rsidRDefault="004C105C" w:rsidP="004C105C">
            <w:pPr>
              <w:rPr>
                <w:b/>
              </w:rPr>
            </w:pPr>
          </w:p>
        </w:tc>
      </w:tr>
      <w:tr w:rsidR="004C105C" w14:paraId="3DD0878A" w14:textId="77777777" w:rsidTr="00946481">
        <w:tc>
          <w:tcPr>
            <w:tcW w:w="9016" w:type="dxa"/>
          </w:tcPr>
          <w:p w14:paraId="7556DCFD" w14:textId="70DF68CC" w:rsidR="004C105C" w:rsidRPr="004C105C" w:rsidRDefault="004C105C" w:rsidP="004C105C">
            <w:pPr>
              <w:rPr>
                <w:b/>
              </w:rPr>
            </w:pPr>
            <w:r w:rsidRPr="004C105C">
              <w:rPr>
                <w:b/>
              </w:rPr>
              <w:t xml:space="preserve">Supplier Question </w:t>
            </w:r>
            <w:r w:rsidRPr="004C105C">
              <w:rPr>
                <w:b/>
              </w:rPr>
              <w:t>7</w:t>
            </w:r>
          </w:p>
          <w:p w14:paraId="630D5505" w14:textId="77777777" w:rsidR="004C105C" w:rsidRPr="004C105C" w:rsidRDefault="004C105C" w:rsidP="004C105C">
            <w:pPr>
              <w:rPr>
                <w:b/>
              </w:rPr>
            </w:pPr>
          </w:p>
          <w:p w14:paraId="53780123" w14:textId="24153827" w:rsidR="004C105C" w:rsidRPr="004C105C" w:rsidRDefault="004C105C" w:rsidP="004C105C">
            <w:pPr>
              <w:pStyle w:val="xxxmsolistparagraph"/>
              <w:ind w:left="0"/>
              <w:rPr>
                <w:rFonts w:asciiTheme="minorHAnsi" w:eastAsia="Times New Roman" w:hAnsiTheme="minorHAnsi"/>
              </w:rPr>
            </w:pPr>
            <w:r w:rsidRPr="004C105C">
              <w:rPr>
                <w:rFonts w:asciiTheme="minorHAnsi" w:eastAsia="Times New Roman" w:hAnsiTheme="minorHAnsi" w:cs="Arial"/>
              </w:rPr>
              <w:t>Several dates for TOC meetings are specified – are these intended for interview/workshop sessions with drivers?</w:t>
            </w:r>
          </w:p>
        </w:tc>
      </w:tr>
      <w:tr w:rsidR="004C105C" w14:paraId="1E8F9405" w14:textId="77777777" w:rsidTr="00946481">
        <w:tc>
          <w:tcPr>
            <w:tcW w:w="9016" w:type="dxa"/>
          </w:tcPr>
          <w:p w14:paraId="052E3A4B" w14:textId="78E5E162" w:rsidR="004C105C" w:rsidRPr="004C105C" w:rsidRDefault="004C105C" w:rsidP="004C105C">
            <w:pPr>
              <w:rPr>
                <w:b/>
              </w:rPr>
            </w:pPr>
            <w:r w:rsidRPr="004C105C">
              <w:rPr>
                <w:b/>
              </w:rPr>
              <w:lastRenderedPageBreak/>
              <w:t xml:space="preserve">RSSB Answer </w:t>
            </w:r>
            <w:r w:rsidRPr="004C105C">
              <w:rPr>
                <w:b/>
              </w:rPr>
              <w:t>7</w:t>
            </w:r>
          </w:p>
          <w:p w14:paraId="7202AB86" w14:textId="77777777" w:rsidR="004C105C" w:rsidRPr="004C105C" w:rsidRDefault="004C105C" w:rsidP="004C105C">
            <w:pPr>
              <w:rPr>
                <w:b/>
              </w:rPr>
            </w:pPr>
          </w:p>
          <w:p w14:paraId="546E1EC3" w14:textId="77777777" w:rsidR="004C105C" w:rsidRPr="004C105C" w:rsidRDefault="004C105C" w:rsidP="004C105C">
            <w:pPr>
              <w:pStyle w:val="xmsolistparagraph"/>
              <w:ind w:left="0"/>
              <w:rPr>
                <w:rFonts w:asciiTheme="minorHAnsi" w:eastAsia="Times New Roman" w:hAnsiTheme="minorHAnsi"/>
              </w:rPr>
            </w:pPr>
            <w:r w:rsidRPr="004C105C">
              <w:rPr>
                <w:rFonts w:asciiTheme="minorHAnsi" w:eastAsia="Times New Roman" w:hAnsiTheme="minorHAnsi"/>
              </w:rPr>
              <w:t>These meetings will be held with an Operations Standards Manager in each TOC, not drivers.</w:t>
            </w:r>
          </w:p>
          <w:p w14:paraId="62BA4255" w14:textId="13E9237A" w:rsidR="004C105C" w:rsidRPr="004C105C" w:rsidRDefault="004C105C" w:rsidP="004C105C">
            <w:pPr>
              <w:rPr>
                <w:b/>
              </w:rPr>
            </w:pPr>
          </w:p>
        </w:tc>
      </w:tr>
    </w:tbl>
    <w:p w14:paraId="7D50A3DA" w14:textId="77777777" w:rsidR="00946481" w:rsidRDefault="00946481">
      <w:r>
        <w:t xml:space="preserve"> </w:t>
      </w:r>
    </w:p>
    <w:sectPr w:rsidR="0094648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10A1F"/>
    <w:multiLevelType w:val="multilevel"/>
    <w:tmpl w:val="78BEA6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1C02BD9"/>
    <w:multiLevelType w:val="multilevel"/>
    <w:tmpl w:val="A672E3A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4ECE0184"/>
    <w:multiLevelType w:val="hybridMultilevel"/>
    <w:tmpl w:val="D716113E"/>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523C7F98"/>
    <w:multiLevelType w:val="hybridMultilevel"/>
    <w:tmpl w:val="9460AFE2"/>
    <w:lvl w:ilvl="0" w:tplc="0FAA4944">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63E528F"/>
    <w:multiLevelType w:val="multilevel"/>
    <w:tmpl w:val="F028DB60"/>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61F25643"/>
    <w:multiLevelType w:val="multilevel"/>
    <w:tmpl w:val="78BEA6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696B729B"/>
    <w:multiLevelType w:val="hybridMultilevel"/>
    <w:tmpl w:val="0D826E8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69886216"/>
    <w:multiLevelType w:val="hybridMultilevel"/>
    <w:tmpl w:val="0D826E8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70E969E1"/>
    <w:multiLevelType w:val="multilevel"/>
    <w:tmpl w:val="3A1A499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7A92114C"/>
    <w:multiLevelType w:val="multilevel"/>
    <w:tmpl w:val="78BEA6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3"/>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2"/>
  </w:num>
  <w:num w:numId="8">
    <w:abstractNumId w:val="0"/>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481"/>
    <w:rsid w:val="000C1A52"/>
    <w:rsid w:val="000E4822"/>
    <w:rsid w:val="00207F7D"/>
    <w:rsid w:val="00271618"/>
    <w:rsid w:val="00493330"/>
    <w:rsid w:val="004C105C"/>
    <w:rsid w:val="00561C5C"/>
    <w:rsid w:val="006C1A5C"/>
    <w:rsid w:val="007305EB"/>
    <w:rsid w:val="007F70D9"/>
    <w:rsid w:val="008064F8"/>
    <w:rsid w:val="00946481"/>
    <w:rsid w:val="009C7103"/>
    <w:rsid w:val="009F046E"/>
    <w:rsid w:val="00A327B4"/>
    <w:rsid w:val="00A65249"/>
    <w:rsid w:val="00A83354"/>
    <w:rsid w:val="00AE6630"/>
    <w:rsid w:val="00D62D47"/>
    <w:rsid w:val="00E7301A"/>
    <w:rsid w:val="00EF5C67"/>
    <w:rsid w:val="00F344DD"/>
    <w:rsid w:val="00FD24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01489"/>
  <w15:chartTrackingRefBased/>
  <w15:docId w15:val="{B787A36D-B0C9-43CA-82D8-262D43E9B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464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F70D9"/>
    <w:pPr>
      <w:spacing w:after="0" w:line="240" w:lineRule="auto"/>
    </w:pPr>
    <w:rPr>
      <w:rFonts w:ascii="Times New Roman" w:hAnsi="Times New Roman" w:cs="Times New Roman"/>
      <w:sz w:val="24"/>
      <w:szCs w:val="24"/>
      <w:lang w:eastAsia="en-GB"/>
    </w:rPr>
  </w:style>
  <w:style w:type="paragraph" w:customStyle="1" w:styleId="Body">
    <w:name w:val="Body"/>
    <w:link w:val="BodyChar"/>
    <w:qFormat/>
    <w:rsid w:val="000C1A52"/>
    <w:pPr>
      <w:spacing w:after="120" w:line="300" w:lineRule="exact"/>
    </w:pPr>
    <w:rPr>
      <w:rFonts w:ascii="Calibri" w:eastAsia="Times New Roman" w:hAnsi="Calibri" w:cs="Arial"/>
      <w:lang w:eastAsia="en-GB"/>
    </w:rPr>
  </w:style>
  <w:style w:type="character" w:customStyle="1" w:styleId="BodyChar">
    <w:name w:val="Body Char"/>
    <w:link w:val="Body"/>
    <w:rsid w:val="000C1A52"/>
    <w:rPr>
      <w:rFonts w:ascii="Calibri" w:eastAsia="Times New Roman" w:hAnsi="Calibri" w:cs="Arial"/>
      <w:lang w:eastAsia="en-GB"/>
    </w:rPr>
  </w:style>
  <w:style w:type="paragraph" w:styleId="ListParagraph">
    <w:name w:val="List Paragraph"/>
    <w:basedOn w:val="Normal"/>
    <w:uiPriority w:val="34"/>
    <w:qFormat/>
    <w:rsid w:val="008064F8"/>
    <w:pPr>
      <w:ind w:left="720"/>
      <w:contextualSpacing/>
    </w:pPr>
  </w:style>
  <w:style w:type="paragraph" w:customStyle="1" w:styleId="xmsolistparagraph">
    <w:name w:val="x_msolistparagraph"/>
    <w:basedOn w:val="Normal"/>
    <w:rsid w:val="004C105C"/>
    <w:pPr>
      <w:spacing w:after="0" w:line="240" w:lineRule="auto"/>
      <w:ind w:left="720"/>
    </w:pPr>
    <w:rPr>
      <w:rFonts w:ascii="Calibri" w:hAnsi="Calibri" w:cs="Calibri"/>
      <w:lang w:eastAsia="en-GB"/>
    </w:rPr>
  </w:style>
  <w:style w:type="paragraph" w:customStyle="1" w:styleId="xxxmsolistparagraph">
    <w:name w:val="x_xxmsolistparagraph"/>
    <w:basedOn w:val="Normal"/>
    <w:rsid w:val="004C105C"/>
    <w:pPr>
      <w:spacing w:after="0" w:line="240" w:lineRule="auto"/>
      <w:ind w:left="720"/>
    </w:pPr>
    <w:rPr>
      <w:rFonts w:ascii="Calibri" w:hAnsi="Calibri" w:cs="Calibri"/>
      <w:lang w:eastAsia="en-GB"/>
    </w:rPr>
  </w:style>
  <w:style w:type="paragraph" w:customStyle="1" w:styleId="xmsonormal">
    <w:name w:val="x_msonormal"/>
    <w:basedOn w:val="Normal"/>
    <w:rsid w:val="004C105C"/>
    <w:pPr>
      <w:spacing w:after="0"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89510">
      <w:bodyDiv w:val="1"/>
      <w:marLeft w:val="0"/>
      <w:marRight w:val="0"/>
      <w:marTop w:val="0"/>
      <w:marBottom w:val="0"/>
      <w:divBdr>
        <w:top w:val="none" w:sz="0" w:space="0" w:color="auto"/>
        <w:left w:val="none" w:sz="0" w:space="0" w:color="auto"/>
        <w:bottom w:val="none" w:sz="0" w:space="0" w:color="auto"/>
        <w:right w:val="none" w:sz="0" w:space="0" w:color="auto"/>
      </w:divBdr>
    </w:div>
    <w:div w:id="86853423">
      <w:bodyDiv w:val="1"/>
      <w:marLeft w:val="0"/>
      <w:marRight w:val="0"/>
      <w:marTop w:val="0"/>
      <w:marBottom w:val="0"/>
      <w:divBdr>
        <w:top w:val="none" w:sz="0" w:space="0" w:color="auto"/>
        <w:left w:val="none" w:sz="0" w:space="0" w:color="auto"/>
        <w:bottom w:val="none" w:sz="0" w:space="0" w:color="auto"/>
        <w:right w:val="none" w:sz="0" w:space="0" w:color="auto"/>
      </w:divBdr>
    </w:div>
    <w:div w:id="94519048">
      <w:bodyDiv w:val="1"/>
      <w:marLeft w:val="0"/>
      <w:marRight w:val="0"/>
      <w:marTop w:val="0"/>
      <w:marBottom w:val="0"/>
      <w:divBdr>
        <w:top w:val="none" w:sz="0" w:space="0" w:color="auto"/>
        <w:left w:val="none" w:sz="0" w:space="0" w:color="auto"/>
        <w:bottom w:val="none" w:sz="0" w:space="0" w:color="auto"/>
        <w:right w:val="none" w:sz="0" w:space="0" w:color="auto"/>
      </w:divBdr>
    </w:div>
    <w:div w:id="201212701">
      <w:bodyDiv w:val="1"/>
      <w:marLeft w:val="0"/>
      <w:marRight w:val="0"/>
      <w:marTop w:val="0"/>
      <w:marBottom w:val="0"/>
      <w:divBdr>
        <w:top w:val="none" w:sz="0" w:space="0" w:color="auto"/>
        <w:left w:val="none" w:sz="0" w:space="0" w:color="auto"/>
        <w:bottom w:val="none" w:sz="0" w:space="0" w:color="auto"/>
        <w:right w:val="none" w:sz="0" w:space="0" w:color="auto"/>
      </w:divBdr>
    </w:div>
    <w:div w:id="220753080">
      <w:bodyDiv w:val="1"/>
      <w:marLeft w:val="0"/>
      <w:marRight w:val="0"/>
      <w:marTop w:val="0"/>
      <w:marBottom w:val="0"/>
      <w:divBdr>
        <w:top w:val="none" w:sz="0" w:space="0" w:color="auto"/>
        <w:left w:val="none" w:sz="0" w:space="0" w:color="auto"/>
        <w:bottom w:val="none" w:sz="0" w:space="0" w:color="auto"/>
        <w:right w:val="none" w:sz="0" w:space="0" w:color="auto"/>
      </w:divBdr>
    </w:div>
    <w:div w:id="299195876">
      <w:bodyDiv w:val="1"/>
      <w:marLeft w:val="0"/>
      <w:marRight w:val="0"/>
      <w:marTop w:val="0"/>
      <w:marBottom w:val="0"/>
      <w:divBdr>
        <w:top w:val="none" w:sz="0" w:space="0" w:color="auto"/>
        <w:left w:val="none" w:sz="0" w:space="0" w:color="auto"/>
        <w:bottom w:val="none" w:sz="0" w:space="0" w:color="auto"/>
        <w:right w:val="none" w:sz="0" w:space="0" w:color="auto"/>
      </w:divBdr>
    </w:div>
    <w:div w:id="386220364">
      <w:bodyDiv w:val="1"/>
      <w:marLeft w:val="0"/>
      <w:marRight w:val="0"/>
      <w:marTop w:val="0"/>
      <w:marBottom w:val="0"/>
      <w:divBdr>
        <w:top w:val="none" w:sz="0" w:space="0" w:color="auto"/>
        <w:left w:val="none" w:sz="0" w:space="0" w:color="auto"/>
        <w:bottom w:val="none" w:sz="0" w:space="0" w:color="auto"/>
        <w:right w:val="none" w:sz="0" w:space="0" w:color="auto"/>
      </w:divBdr>
    </w:div>
    <w:div w:id="540476584">
      <w:bodyDiv w:val="1"/>
      <w:marLeft w:val="0"/>
      <w:marRight w:val="0"/>
      <w:marTop w:val="0"/>
      <w:marBottom w:val="0"/>
      <w:divBdr>
        <w:top w:val="none" w:sz="0" w:space="0" w:color="auto"/>
        <w:left w:val="none" w:sz="0" w:space="0" w:color="auto"/>
        <w:bottom w:val="none" w:sz="0" w:space="0" w:color="auto"/>
        <w:right w:val="none" w:sz="0" w:space="0" w:color="auto"/>
      </w:divBdr>
    </w:div>
    <w:div w:id="663972052">
      <w:bodyDiv w:val="1"/>
      <w:marLeft w:val="0"/>
      <w:marRight w:val="0"/>
      <w:marTop w:val="0"/>
      <w:marBottom w:val="0"/>
      <w:divBdr>
        <w:top w:val="none" w:sz="0" w:space="0" w:color="auto"/>
        <w:left w:val="none" w:sz="0" w:space="0" w:color="auto"/>
        <w:bottom w:val="none" w:sz="0" w:space="0" w:color="auto"/>
        <w:right w:val="none" w:sz="0" w:space="0" w:color="auto"/>
      </w:divBdr>
    </w:div>
    <w:div w:id="688601137">
      <w:bodyDiv w:val="1"/>
      <w:marLeft w:val="0"/>
      <w:marRight w:val="0"/>
      <w:marTop w:val="0"/>
      <w:marBottom w:val="0"/>
      <w:divBdr>
        <w:top w:val="none" w:sz="0" w:space="0" w:color="auto"/>
        <w:left w:val="none" w:sz="0" w:space="0" w:color="auto"/>
        <w:bottom w:val="none" w:sz="0" w:space="0" w:color="auto"/>
        <w:right w:val="none" w:sz="0" w:space="0" w:color="auto"/>
      </w:divBdr>
    </w:div>
    <w:div w:id="806892988">
      <w:bodyDiv w:val="1"/>
      <w:marLeft w:val="0"/>
      <w:marRight w:val="0"/>
      <w:marTop w:val="0"/>
      <w:marBottom w:val="0"/>
      <w:divBdr>
        <w:top w:val="none" w:sz="0" w:space="0" w:color="auto"/>
        <w:left w:val="none" w:sz="0" w:space="0" w:color="auto"/>
        <w:bottom w:val="none" w:sz="0" w:space="0" w:color="auto"/>
        <w:right w:val="none" w:sz="0" w:space="0" w:color="auto"/>
      </w:divBdr>
    </w:div>
    <w:div w:id="806894419">
      <w:bodyDiv w:val="1"/>
      <w:marLeft w:val="0"/>
      <w:marRight w:val="0"/>
      <w:marTop w:val="0"/>
      <w:marBottom w:val="0"/>
      <w:divBdr>
        <w:top w:val="none" w:sz="0" w:space="0" w:color="auto"/>
        <w:left w:val="none" w:sz="0" w:space="0" w:color="auto"/>
        <w:bottom w:val="none" w:sz="0" w:space="0" w:color="auto"/>
        <w:right w:val="none" w:sz="0" w:space="0" w:color="auto"/>
      </w:divBdr>
    </w:div>
    <w:div w:id="825586934">
      <w:bodyDiv w:val="1"/>
      <w:marLeft w:val="0"/>
      <w:marRight w:val="0"/>
      <w:marTop w:val="0"/>
      <w:marBottom w:val="0"/>
      <w:divBdr>
        <w:top w:val="none" w:sz="0" w:space="0" w:color="auto"/>
        <w:left w:val="none" w:sz="0" w:space="0" w:color="auto"/>
        <w:bottom w:val="none" w:sz="0" w:space="0" w:color="auto"/>
        <w:right w:val="none" w:sz="0" w:space="0" w:color="auto"/>
      </w:divBdr>
    </w:div>
    <w:div w:id="896817688">
      <w:bodyDiv w:val="1"/>
      <w:marLeft w:val="0"/>
      <w:marRight w:val="0"/>
      <w:marTop w:val="0"/>
      <w:marBottom w:val="0"/>
      <w:divBdr>
        <w:top w:val="none" w:sz="0" w:space="0" w:color="auto"/>
        <w:left w:val="none" w:sz="0" w:space="0" w:color="auto"/>
        <w:bottom w:val="none" w:sz="0" w:space="0" w:color="auto"/>
        <w:right w:val="none" w:sz="0" w:space="0" w:color="auto"/>
      </w:divBdr>
    </w:div>
    <w:div w:id="984041647">
      <w:bodyDiv w:val="1"/>
      <w:marLeft w:val="0"/>
      <w:marRight w:val="0"/>
      <w:marTop w:val="0"/>
      <w:marBottom w:val="0"/>
      <w:divBdr>
        <w:top w:val="none" w:sz="0" w:space="0" w:color="auto"/>
        <w:left w:val="none" w:sz="0" w:space="0" w:color="auto"/>
        <w:bottom w:val="none" w:sz="0" w:space="0" w:color="auto"/>
        <w:right w:val="none" w:sz="0" w:space="0" w:color="auto"/>
      </w:divBdr>
    </w:div>
    <w:div w:id="1020203805">
      <w:bodyDiv w:val="1"/>
      <w:marLeft w:val="0"/>
      <w:marRight w:val="0"/>
      <w:marTop w:val="0"/>
      <w:marBottom w:val="0"/>
      <w:divBdr>
        <w:top w:val="none" w:sz="0" w:space="0" w:color="auto"/>
        <w:left w:val="none" w:sz="0" w:space="0" w:color="auto"/>
        <w:bottom w:val="none" w:sz="0" w:space="0" w:color="auto"/>
        <w:right w:val="none" w:sz="0" w:space="0" w:color="auto"/>
      </w:divBdr>
    </w:div>
    <w:div w:id="1229458105">
      <w:bodyDiv w:val="1"/>
      <w:marLeft w:val="0"/>
      <w:marRight w:val="0"/>
      <w:marTop w:val="0"/>
      <w:marBottom w:val="0"/>
      <w:divBdr>
        <w:top w:val="none" w:sz="0" w:space="0" w:color="auto"/>
        <w:left w:val="none" w:sz="0" w:space="0" w:color="auto"/>
        <w:bottom w:val="none" w:sz="0" w:space="0" w:color="auto"/>
        <w:right w:val="none" w:sz="0" w:space="0" w:color="auto"/>
      </w:divBdr>
    </w:div>
    <w:div w:id="1589314195">
      <w:bodyDiv w:val="1"/>
      <w:marLeft w:val="0"/>
      <w:marRight w:val="0"/>
      <w:marTop w:val="0"/>
      <w:marBottom w:val="0"/>
      <w:divBdr>
        <w:top w:val="none" w:sz="0" w:space="0" w:color="auto"/>
        <w:left w:val="none" w:sz="0" w:space="0" w:color="auto"/>
        <w:bottom w:val="none" w:sz="0" w:space="0" w:color="auto"/>
        <w:right w:val="none" w:sz="0" w:space="0" w:color="auto"/>
      </w:divBdr>
    </w:div>
    <w:div w:id="1609972567">
      <w:bodyDiv w:val="1"/>
      <w:marLeft w:val="0"/>
      <w:marRight w:val="0"/>
      <w:marTop w:val="0"/>
      <w:marBottom w:val="0"/>
      <w:divBdr>
        <w:top w:val="none" w:sz="0" w:space="0" w:color="auto"/>
        <w:left w:val="none" w:sz="0" w:space="0" w:color="auto"/>
        <w:bottom w:val="none" w:sz="0" w:space="0" w:color="auto"/>
        <w:right w:val="none" w:sz="0" w:space="0" w:color="auto"/>
      </w:divBdr>
    </w:div>
    <w:div w:id="1693069966">
      <w:bodyDiv w:val="1"/>
      <w:marLeft w:val="0"/>
      <w:marRight w:val="0"/>
      <w:marTop w:val="0"/>
      <w:marBottom w:val="0"/>
      <w:divBdr>
        <w:top w:val="none" w:sz="0" w:space="0" w:color="auto"/>
        <w:left w:val="none" w:sz="0" w:space="0" w:color="auto"/>
        <w:bottom w:val="none" w:sz="0" w:space="0" w:color="auto"/>
        <w:right w:val="none" w:sz="0" w:space="0" w:color="auto"/>
      </w:divBdr>
    </w:div>
    <w:div w:id="1703089701">
      <w:bodyDiv w:val="1"/>
      <w:marLeft w:val="0"/>
      <w:marRight w:val="0"/>
      <w:marTop w:val="0"/>
      <w:marBottom w:val="0"/>
      <w:divBdr>
        <w:top w:val="none" w:sz="0" w:space="0" w:color="auto"/>
        <w:left w:val="none" w:sz="0" w:space="0" w:color="auto"/>
        <w:bottom w:val="none" w:sz="0" w:space="0" w:color="auto"/>
        <w:right w:val="none" w:sz="0" w:space="0" w:color="auto"/>
      </w:divBdr>
    </w:div>
    <w:div w:id="1743679526">
      <w:bodyDiv w:val="1"/>
      <w:marLeft w:val="0"/>
      <w:marRight w:val="0"/>
      <w:marTop w:val="0"/>
      <w:marBottom w:val="0"/>
      <w:divBdr>
        <w:top w:val="none" w:sz="0" w:space="0" w:color="auto"/>
        <w:left w:val="none" w:sz="0" w:space="0" w:color="auto"/>
        <w:bottom w:val="none" w:sz="0" w:space="0" w:color="auto"/>
        <w:right w:val="none" w:sz="0" w:space="0" w:color="auto"/>
      </w:divBdr>
    </w:div>
    <w:div w:id="2011633805">
      <w:bodyDiv w:val="1"/>
      <w:marLeft w:val="0"/>
      <w:marRight w:val="0"/>
      <w:marTop w:val="0"/>
      <w:marBottom w:val="0"/>
      <w:divBdr>
        <w:top w:val="none" w:sz="0" w:space="0" w:color="auto"/>
        <w:left w:val="none" w:sz="0" w:space="0" w:color="auto"/>
        <w:bottom w:val="none" w:sz="0" w:space="0" w:color="auto"/>
        <w:right w:val="none" w:sz="0" w:space="0" w:color="auto"/>
      </w:divBdr>
    </w:div>
    <w:div w:id="2032416281">
      <w:bodyDiv w:val="1"/>
      <w:marLeft w:val="0"/>
      <w:marRight w:val="0"/>
      <w:marTop w:val="0"/>
      <w:marBottom w:val="0"/>
      <w:divBdr>
        <w:top w:val="none" w:sz="0" w:space="0" w:color="auto"/>
        <w:left w:val="none" w:sz="0" w:space="0" w:color="auto"/>
        <w:bottom w:val="none" w:sz="0" w:space="0" w:color="auto"/>
        <w:right w:val="none" w:sz="0" w:space="0" w:color="auto"/>
      </w:divBdr>
    </w:div>
    <w:div w:id="2133210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632</Words>
  <Characters>3606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Riley</dc:creator>
  <cp:keywords/>
  <dc:description/>
  <cp:lastModifiedBy>Matthew Riley</cp:lastModifiedBy>
  <cp:revision>2</cp:revision>
  <dcterms:created xsi:type="dcterms:W3CDTF">2018-09-21T14:47:00Z</dcterms:created>
  <dcterms:modified xsi:type="dcterms:W3CDTF">2018-09-21T14:47:00Z</dcterms:modified>
</cp:coreProperties>
</file>