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A4D" w:rsidRDefault="00193388">
      <w:pPr>
        <w:spacing w:after="0"/>
      </w:pPr>
      <w:r>
        <w:rPr>
          <w:color w:val="38939B"/>
          <w:sz w:val="24"/>
        </w:rPr>
        <w:t>Core</w:t>
      </w:r>
    </w:p>
    <w:p w:rsidR="00996A4D" w:rsidRDefault="00193388">
      <w:pPr>
        <w:spacing w:after="0"/>
      </w:pPr>
      <w:r>
        <w:rPr>
          <w:rFonts w:ascii="Arial" w:eastAsia="Arial" w:hAnsi="Arial" w:cs="Arial"/>
          <w:sz w:val="24"/>
        </w:rPr>
        <w:t xml:space="preserve"> </w:t>
      </w:r>
    </w:p>
    <w:p w:rsidR="00996A4D" w:rsidRDefault="00193388">
      <w:pPr>
        <w:spacing w:after="0"/>
        <w:ind w:left="30"/>
      </w:pPr>
      <w:r>
        <w:rPr>
          <w:rFonts w:ascii="Arial" w:eastAsia="Arial" w:hAnsi="Arial" w:cs="Arial"/>
          <w:b/>
          <w:sz w:val="24"/>
        </w:rPr>
        <w:t>06-01 Introductory Procedures - Building Management Systems</w:t>
      </w:r>
    </w:p>
    <w:p w:rsidR="00996A4D" w:rsidRDefault="00193388">
      <w:pPr>
        <w:spacing w:after="41"/>
        <w:ind w:left="25" w:hanging="10"/>
      </w:pPr>
      <w:r>
        <w:rPr>
          <w:rFonts w:ascii="Arial" w:eastAsia="Arial" w:hAnsi="Arial" w:cs="Arial"/>
          <w:sz w:val="16"/>
        </w:rPr>
        <w:t>Date: 09 Dec 2019</w:t>
      </w:r>
    </w:p>
    <w:p w:rsidR="00996A4D" w:rsidRDefault="00193388">
      <w:pPr>
        <w:spacing w:after="41"/>
        <w:ind w:left="25" w:hanging="10"/>
      </w:pPr>
      <w:r>
        <w:rPr>
          <w:rFonts w:ascii="Arial" w:eastAsia="Arial" w:hAnsi="Arial" w:cs="Arial"/>
          <w:sz w:val="16"/>
        </w:rPr>
        <w:t>Version: 3</w:t>
      </w:r>
    </w:p>
    <w:p w:rsidR="00996A4D" w:rsidRDefault="00193388">
      <w:pPr>
        <w:spacing w:after="108"/>
        <w:ind w:left="25" w:hanging="10"/>
      </w:pPr>
      <w:r>
        <w:rPr>
          <w:noProof/>
        </w:rPr>
        <mc:AlternateContent>
          <mc:Choice Requires="wpg">
            <w:drawing>
              <wp:anchor distT="0" distB="0" distL="114300" distR="114300" simplePos="0" relativeHeight="251658240" behindDoc="0" locked="0" layoutInCell="1" allowOverlap="1">
                <wp:simplePos x="0" y="0"/>
                <wp:positionH relativeFrom="page">
                  <wp:posOffset>7129069</wp:posOffset>
                </wp:positionH>
                <wp:positionV relativeFrom="page">
                  <wp:posOffset>914400</wp:posOffset>
                </wp:positionV>
                <wp:extent cx="93980" cy="8025791"/>
                <wp:effectExtent l="0" t="0" r="0" b="0"/>
                <wp:wrapSquare wrapText="bothSides"/>
                <wp:docPr id="1439" name="Group 1439"/>
                <wp:cNvGraphicFramePr/>
                <a:graphic xmlns:a="http://schemas.openxmlformats.org/drawingml/2006/main">
                  <a:graphicData uri="http://schemas.microsoft.com/office/word/2010/wordprocessingGroup">
                    <wpg:wgp>
                      <wpg:cNvGrpSpPr/>
                      <wpg:grpSpPr>
                        <a:xfrm>
                          <a:off x="0" y="0"/>
                          <a:ext cx="93980" cy="8025791"/>
                          <a:chOff x="0" y="0"/>
                          <a:chExt cx="93980" cy="8025791"/>
                        </a:xfrm>
                      </wpg:grpSpPr>
                      <wps:wsp>
                        <wps:cNvPr id="61" name="Rectangle 61"/>
                        <wps:cNvSpPr/>
                        <wps:spPr>
                          <a:xfrm rot="5399999">
                            <a:off x="-5305666" y="5274654"/>
                            <a:ext cx="10674302" cy="124993"/>
                          </a:xfrm>
                          <a:prstGeom prst="rect">
                            <a:avLst/>
                          </a:prstGeom>
                          <a:ln>
                            <a:noFill/>
                          </a:ln>
                        </wps:spPr>
                        <wps:txbx>
                          <w:txbxContent>
                            <w:p w:rsidR="00996A4D" w:rsidRDefault="00193388">
                              <w:r>
                                <w:rPr>
                                  <w:rFonts w:ascii="Arial" w:eastAsia="Arial" w:hAnsi="Arial" w:cs="Arial"/>
                                  <w:color w:val="707070"/>
                                  <w:sz w:val="16"/>
                                </w:rPr>
                                <w:t>Uncontrolled Copy - Printed: 30/04/2020 | Science &amp; Technology Facilities Council | 06-01: Introductory Procedures - Building Management Systems | matthew.kenyon@stfc.ac.uk</w:t>
                              </w:r>
                            </w:p>
                          </w:txbxContent>
                        </wps:txbx>
                        <wps:bodyPr horzOverflow="overflow" vert="horz" lIns="0" tIns="0" rIns="0" bIns="0" rtlCol="0">
                          <a:noAutofit/>
                        </wps:bodyPr>
                      </wps:wsp>
                    </wpg:wgp>
                  </a:graphicData>
                </a:graphic>
              </wp:anchor>
            </w:drawing>
          </mc:Choice>
          <mc:Fallback xmlns:a="http://schemas.openxmlformats.org/drawingml/2006/main">
            <w:pict>
              <v:group id="Group 1439" style="width:7.40002pt;height:631.952pt;position:absolute;mso-position-horizontal-relative:page;mso-position-horizontal:absolute;margin-left:561.344pt;mso-position-vertical-relative:page;margin-top:72pt;" coordsize="939,80257">
                <v:rect id="Rectangle 61" style="position:absolute;width:106743;height:1249;left:-53056;top:52746;rotation:90;" filled="f" stroked="f">
                  <v:textbox inset="0,0,0,0" style="layout-flow:vertical">
                    <w:txbxContent>
                      <w:p>
                        <w:pPr>
                          <w:spacing w:before="0" w:after="160" w:line="259" w:lineRule="auto"/>
                        </w:pPr>
                        <w:r>
                          <w:rPr>
                            <w:rFonts w:cs="Arial" w:hAnsi="Arial" w:eastAsia="Arial" w:ascii="Arial"/>
                            <w:color w:val="707070"/>
                            <w:sz w:val="16"/>
                          </w:rPr>
                          <w:t xml:space="preserve">Uncontrolled Copy - Printed: 30/04/2020 | Science &amp; Technology Facilities Council | 06-01: Introductory Procedures - Building Management Systems | matthew.kenyon@stfc.ac.uk</w:t>
                        </w:r>
                      </w:p>
                    </w:txbxContent>
                  </v:textbox>
                </v:rect>
                <w10:wrap type="square"/>
              </v:group>
            </w:pict>
          </mc:Fallback>
        </mc:AlternateContent>
      </w:r>
      <w:r>
        <w:rPr>
          <w:noProof/>
        </w:rPr>
        <w:drawing>
          <wp:anchor distT="0" distB="0" distL="114300" distR="114300" simplePos="0" relativeHeight="251659264" behindDoc="0" locked="0" layoutInCell="1" allowOverlap="0">
            <wp:simplePos x="0" y="0"/>
            <wp:positionH relativeFrom="page">
              <wp:posOffset>660400</wp:posOffset>
            </wp:positionH>
            <wp:positionV relativeFrom="page">
              <wp:posOffset>533400</wp:posOffset>
            </wp:positionV>
            <wp:extent cx="952500" cy="254000"/>
            <wp:effectExtent l="0" t="0" r="0" b="0"/>
            <wp:wrapTopAndBottom/>
            <wp:docPr id="66" name="Picture 66"/>
            <wp:cNvGraphicFramePr/>
            <a:graphic xmlns:a="http://schemas.openxmlformats.org/drawingml/2006/main">
              <a:graphicData uri="http://schemas.openxmlformats.org/drawingml/2006/picture">
                <pic:pic xmlns:pic="http://schemas.openxmlformats.org/drawingml/2006/picture">
                  <pic:nvPicPr>
                    <pic:cNvPr id="66" name="Picture 66"/>
                    <pic:cNvPicPr/>
                  </pic:nvPicPr>
                  <pic:blipFill>
                    <a:blip r:embed="rId5"/>
                    <a:stretch>
                      <a:fillRect/>
                    </a:stretch>
                  </pic:blipFill>
                  <pic:spPr>
                    <a:xfrm>
                      <a:off x="0" y="0"/>
                      <a:ext cx="952500" cy="254000"/>
                    </a:xfrm>
                    <a:prstGeom prst="rect">
                      <a:avLst/>
                    </a:prstGeom>
                  </pic:spPr>
                </pic:pic>
              </a:graphicData>
            </a:graphic>
          </wp:anchor>
        </w:drawing>
      </w:r>
      <w:r>
        <w:rPr>
          <w:rFonts w:ascii="Arial" w:eastAsia="Arial" w:hAnsi="Arial" w:cs="Arial"/>
          <w:sz w:val="16"/>
        </w:rPr>
        <w:t>Unit of Measure: Not specified</w:t>
      </w:r>
    </w:p>
    <w:tbl>
      <w:tblPr>
        <w:tblStyle w:val="TableGrid"/>
        <w:tblW w:w="9840" w:type="dxa"/>
        <w:tblInd w:w="-10" w:type="dxa"/>
        <w:tblCellMar>
          <w:top w:w="105" w:type="dxa"/>
          <w:left w:w="60" w:type="dxa"/>
          <w:bottom w:w="0" w:type="dxa"/>
          <w:right w:w="69" w:type="dxa"/>
        </w:tblCellMar>
        <w:tblLook w:val="04A0" w:firstRow="1" w:lastRow="0" w:firstColumn="1" w:lastColumn="0" w:noHBand="0" w:noVBand="1"/>
      </w:tblPr>
      <w:tblGrid>
        <w:gridCol w:w="9840"/>
      </w:tblGrid>
      <w:tr w:rsidR="00996A4D">
        <w:trPr>
          <w:trHeight w:val="320"/>
        </w:trPr>
        <w:tc>
          <w:tcPr>
            <w:tcW w:w="9840" w:type="dxa"/>
            <w:tcBorders>
              <w:top w:val="single" w:sz="4" w:space="0" w:color="3F3F3F"/>
              <w:left w:val="single" w:sz="4" w:space="0" w:color="3F3F3F"/>
              <w:bottom w:val="single" w:sz="4" w:space="0" w:color="3F3F3F"/>
              <w:right w:val="single" w:sz="4" w:space="0" w:color="3F3F3F"/>
            </w:tcBorders>
            <w:shd w:val="clear" w:color="auto" w:fill="C8C8C8"/>
          </w:tcPr>
          <w:p w:rsidR="00996A4D" w:rsidRDefault="00193388">
            <w:pPr>
              <w:spacing w:after="0"/>
            </w:pPr>
            <w:r>
              <w:rPr>
                <w:rFonts w:ascii="Arial" w:eastAsia="Arial" w:hAnsi="Arial" w:cs="Arial"/>
                <w:b/>
                <w:sz w:val="16"/>
              </w:rPr>
              <w:t>Introduction</w:t>
            </w:r>
          </w:p>
        </w:tc>
      </w:tr>
      <w:tr w:rsidR="00996A4D">
        <w:trPr>
          <w:trHeight w:val="12400"/>
        </w:trPr>
        <w:tc>
          <w:tcPr>
            <w:tcW w:w="9840" w:type="dxa"/>
            <w:tcBorders>
              <w:top w:val="single" w:sz="4" w:space="0" w:color="3F3F3F"/>
              <w:left w:val="single" w:sz="4" w:space="0" w:color="3F3F3F"/>
              <w:bottom w:val="single" w:sz="4" w:space="0" w:color="3F3F3F"/>
              <w:right w:val="single" w:sz="4" w:space="0" w:color="3F3F3F"/>
            </w:tcBorders>
            <w:vAlign w:val="center"/>
          </w:tcPr>
          <w:p w:rsidR="00996A4D" w:rsidRDefault="00193388">
            <w:pPr>
              <w:spacing w:after="281"/>
            </w:pPr>
            <w:r>
              <w:rPr>
                <w:rFonts w:ascii="Arial" w:eastAsia="Arial" w:hAnsi="Arial" w:cs="Arial"/>
                <w:b/>
                <w:sz w:val="16"/>
              </w:rPr>
              <w:t>Development</w:t>
            </w:r>
          </w:p>
          <w:p w:rsidR="00996A4D" w:rsidRDefault="00193388">
            <w:pPr>
              <w:spacing w:after="240" w:line="313" w:lineRule="auto"/>
            </w:pPr>
            <w:r>
              <w:rPr>
                <w:rFonts w:ascii="Arial" w:eastAsia="Arial" w:hAnsi="Arial" w:cs="Arial"/>
                <w:sz w:val="16"/>
              </w:rPr>
              <w:t>The technologies used in building management systems have changed significantly resulting in a wide range of maintenance tools. Systems that use data communications networks may enable remote monitoring and diagnostics, thus reducing the number of site vis</w:t>
            </w:r>
            <w:r>
              <w:rPr>
                <w:rFonts w:ascii="Arial" w:eastAsia="Arial" w:hAnsi="Arial" w:cs="Arial"/>
                <w:sz w:val="16"/>
              </w:rPr>
              <w:t>its required. Systems that are automated or remotely managed may also reduce maintenance and energy costs.</w:t>
            </w:r>
          </w:p>
          <w:p w:rsidR="00996A4D" w:rsidRDefault="00193388">
            <w:pPr>
              <w:spacing w:after="281"/>
            </w:pPr>
            <w:r>
              <w:rPr>
                <w:rFonts w:ascii="Arial" w:eastAsia="Arial" w:hAnsi="Arial" w:cs="Arial"/>
                <w:b/>
                <w:sz w:val="16"/>
              </w:rPr>
              <w:t>Monitoring Operation</w:t>
            </w:r>
          </w:p>
          <w:p w:rsidR="00996A4D" w:rsidRDefault="00193388">
            <w:pPr>
              <w:spacing w:after="240" w:line="313" w:lineRule="auto"/>
            </w:pPr>
            <w:r>
              <w:rPr>
                <w:rFonts w:ascii="Arial" w:eastAsia="Arial" w:hAnsi="Arial" w:cs="Arial"/>
                <w:sz w:val="16"/>
              </w:rPr>
              <w:t>The basic components of a BMS include sensors, actuators, controllers, communication systems and a central unit which can be eit</w:t>
            </w:r>
            <w:r>
              <w:rPr>
                <w:rFonts w:ascii="Arial" w:eastAsia="Arial" w:hAnsi="Arial" w:cs="Arial"/>
                <w:sz w:val="16"/>
              </w:rPr>
              <w:t xml:space="preserve">her </w:t>
            </w:r>
            <w:r>
              <w:rPr>
                <w:rFonts w:ascii="Arial" w:eastAsia="Arial" w:hAnsi="Arial" w:cs="Arial"/>
                <w:b/>
                <w:sz w:val="16"/>
              </w:rPr>
              <w:t xml:space="preserve">passive </w:t>
            </w:r>
            <w:r>
              <w:rPr>
                <w:rFonts w:ascii="Arial" w:eastAsia="Arial" w:hAnsi="Arial" w:cs="Arial"/>
                <w:sz w:val="16"/>
              </w:rPr>
              <w:t xml:space="preserve">i.e. monitor and rely upon the outstations to act as local control centres, or </w:t>
            </w:r>
            <w:r>
              <w:rPr>
                <w:rFonts w:ascii="Arial" w:eastAsia="Arial" w:hAnsi="Arial" w:cs="Arial"/>
                <w:b/>
                <w:sz w:val="16"/>
              </w:rPr>
              <w:t xml:space="preserve">active </w:t>
            </w:r>
            <w:r>
              <w:rPr>
                <w:rFonts w:ascii="Arial" w:eastAsia="Arial" w:hAnsi="Arial" w:cs="Arial"/>
                <w:sz w:val="16"/>
              </w:rPr>
              <w:t>and provide a central control function.</w:t>
            </w:r>
          </w:p>
          <w:p w:rsidR="00996A4D" w:rsidRDefault="00193388">
            <w:pPr>
              <w:spacing w:after="240" w:line="313" w:lineRule="auto"/>
            </w:pPr>
            <w:r>
              <w:rPr>
                <w:rFonts w:ascii="Arial" w:eastAsia="Arial" w:hAnsi="Arial" w:cs="Arial"/>
                <w:sz w:val="16"/>
              </w:rPr>
              <w:t>Where Building Management Systems are installed, it is essential that the client should be aware of the need for conti</w:t>
            </w:r>
            <w:r>
              <w:rPr>
                <w:rFonts w:ascii="Arial" w:eastAsia="Arial" w:hAnsi="Arial" w:cs="Arial"/>
                <w:sz w:val="16"/>
              </w:rPr>
              <w:t>nuous monitoring of performance. Switching off because of a malfunction or lack of data update represents a negation of the investment and can give rise to poor environmental conditions and energy wastage.</w:t>
            </w:r>
          </w:p>
          <w:p w:rsidR="00996A4D" w:rsidRDefault="00193388">
            <w:pPr>
              <w:spacing w:after="281"/>
            </w:pPr>
            <w:r>
              <w:rPr>
                <w:rFonts w:ascii="Arial" w:eastAsia="Arial" w:hAnsi="Arial" w:cs="Arial"/>
                <w:b/>
                <w:sz w:val="16"/>
              </w:rPr>
              <w:t>Energy Saving and Maintenance</w:t>
            </w:r>
          </w:p>
          <w:p w:rsidR="00996A4D" w:rsidRDefault="00193388">
            <w:pPr>
              <w:spacing w:after="240" w:line="313" w:lineRule="auto"/>
            </w:pPr>
            <w:r>
              <w:rPr>
                <w:rFonts w:ascii="Arial" w:eastAsia="Arial" w:hAnsi="Arial" w:cs="Arial"/>
                <w:sz w:val="16"/>
              </w:rPr>
              <w:t>Building Energy Mana</w:t>
            </w:r>
            <w:r>
              <w:rPr>
                <w:rFonts w:ascii="Arial" w:eastAsia="Arial" w:hAnsi="Arial" w:cs="Arial"/>
                <w:sz w:val="16"/>
              </w:rPr>
              <w:t>gement Systems offer considerable energy and cost savings when compared with more simple equipment but represent a considerable investment by the building owner or lessee.  If the equipment is not properly commissioned and/or maintained by specialist train</w:t>
            </w:r>
            <w:r>
              <w:rPr>
                <w:rFonts w:ascii="Arial" w:eastAsia="Arial" w:hAnsi="Arial" w:cs="Arial"/>
                <w:sz w:val="16"/>
              </w:rPr>
              <w:t>ed personnel who have had training on such equipment and are supported by the manufacturer, the benefits of such investment could be lost, energy will be wasted and costs rise.</w:t>
            </w:r>
          </w:p>
          <w:p w:rsidR="00996A4D" w:rsidRDefault="00193388">
            <w:pPr>
              <w:spacing w:after="281"/>
            </w:pPr>
            <w:r>
              <w:rPr>
                <w:rFonts w:ascii="Arial" w:eastAsia="Arial" w:hAnsi="Arial" w:cs="Arial"/>
                <w:b/>
                <w:sz w:val="16"/>
              </w:rPr>
              <w:t>Building Owner or Lessee</w:t>
            </w:r>
          </w:p>
          <w:p w:rsidR="00996A4D" w:rsidRDefault="00193388">
            <w:pPr>
              <w:spacing w:after="240" w:line="313" w:lineRule="auto"/>
            </w:pPr>
            <w:r>
              <w:rPr>
                <w:rFonts w:ascii="Arial" w:eastAsia="Arial" w:hAnsi="Arial" w:cs="Arial"/>
                <w:sz w:val="16"/>
              </w:rPr>
              <w:t>Building owners or lessees should ensure that their op</w:t>
            </w:r>
            <w:r>
              <w:rPr>
                <w:rFonts w:ascii="Arial" w:eastAsia="Arial" w:hAnsi="Arial" w:cs="Arial"/>
                <w:sz w:val="16"/>
              </w:rPr>
              <w:t>erators have had the appropriate training to ensure that routine but important daily and weekly maintenance tasks are carried out satisfactorily.  Such tasks could include monitoring and changing time schedules, set points, environmental control settings a</w:t>
            </w:r>
            <w:r>
              <w:rPr>
                <w:rFonts w:ascii="Arial" w:eastAsia="Arial" w:hAnsi="Arial" w:cs="Arial"/>
                <w:sz w:val="16"/>
              </w:rPr>
              <w:t>nd simple routine maintenance of the computer hardware.  Where changes are made to the software routines it is essential that back-up copies are made to safeguard the changes.</w:t>
            </w:r>
          </w:p>
          <w:p w:rsidR="00996A4D" w:rsidRDefault="00193388">
            <w:pPr>
              <w:spacing w:after="281"/>
            </w:pPr>
            <w:r>
              <w:rPr>
                <w:rFonts w:ascii="Arial" w:eastAsia="Arial" w:hAnsi="Arial" w:cs="Arial"/>
                <w:b/>
                <w:sz w:val="16"/>
              </w:rPr>
              <w:t>Software</w:t>
            </w:r>
          </w:p>
          <w:p w:rsidR="00996A4D" w:rsidRDefault="00193388">
            <w:pPr>
              <w:spacing w:after="240" w:line="313" w:lineRule="auto"/>
            </w:pPr>
            <w:r>
              <w:rPr>
                <w:rFonts w:ascii="Arial" w:eastAsia="Arial" w:hAnsi="Arial" w:cs="Arial"/>
                <w:sz w:val="16"/>
              </w:rPr>
              <w:t>The owner or lessee should be aware that software is normally covered b</w:t>
            </w:r>
            <w:r>
              <w:rPr>
                <w:rFonts w:ascii="Arial" w:eastAsia="Arial" w:hAnsi="Arial" w:cs="Arial"/>
                <w:sz w:val="16"/>
              </w:rPr>
              <w:t>y copyright and the licence conditions covering its use can be very restrictive. The penalties for infringing that copyright can be considerable. The licence may relate to the use of the software or may be restrictive and apply only to a particular applica</w:t>
            </w:r>
            <w:r>
              <w:rPr>
                <w:rFonts w:ascii="Arial" w:eastAsia="Arial" w:hAnsi="Arial" w:cs="Arial"/>
                <w:sz w:val="16"/>
              </w:rPr>
              <w:t>tion or building.</w:t>
            </w:r>
          </w:p>
          <w:p w:rsidR="00996A4D" w:rsidRDefault="00193388">
            <w:pPr>
              <w:spacing w:after="281"/>
            </w:pPr>
            <w:r>
              <w:rPr>
                <w:rFonts w:ascii="Arial" w:eastAsia="Arial" w:hAnsi="Arial" w:cs="Arial"/>
                <w:sz w:val="16"/>
              </w:rPr>
              <w:t>If there is any doubt regarding the above, the manufacturer should be contacted for advice.</w:t>
            </w:r>
          </w:p>
          <w:p w:rsidR="00996A4D" w:rsidRDefault="00193388">
            <w:pPr>
              <w:spacing w:after="281"/>
            </w:pPr>
            <w:r>
              <w:rPr>
                <w:rFonts w:ascii="Arial" w:eastAsia="Arial" w:hAnsi="Arial" w:cs="Arial"/>
                <w:b/>
                <w:sz w:val="16"/>
              </w:rPr>
              <w:t>Maintenance Provider</w:t>
            </w:r>
          </w:p>
          <w:p w:rsidR="00996A4D" w:rsidRDefault="00193388">
            <w:pPr>
              <w:spacing w:after="297"/>
            </w:pPr>
            <w:r>
              <w:rPr>
                <w:rFonts w:ascii="Arial" w:eastAsia="Arial" w:hAnsi="Arial" w:cs="Arial"/>
                <w:sz w:val="16"/>
              </w:rPr>
              <w:t>For the regular maintenance of the equipment the client should be satisfied that the maintenance provider employs BMS special</w:t>
            </w:r>
            <w:r>
              <w:rPr>
                <w:rFonts w:ascii="Arial" w:eastAsia="Arial" w:hAnsi="Arial" w:cs="Arial"/>
                <w:sz w:val="16"/>
              </w:rPr>
              <w:t>ists who:</w:t>
            </w:r>
          </w:p>
          <w:p w:rsidR="00996A4D" w:rsidRDefault="00193388">
            <w:pPr>
              <w:numPr>
                <w:ilvl w:val="0"/>
                <w:numId w:val="1"/>
              </w:numPr>
              <w:spacing w:after="63"/>
              <w:ind w:hanging="133"/>
            </w:pPr>
            <w:r>
              <w:rPr>
                <w:rFonts w:ascii="Arial" w:eastAsia="Arial" w:hAnsi="Arial" w:cs="Arial"/>
                <w:sz w:val="16"/>
              </w:rPr>
              <w:t>have had the necessary training;</w:t>
            </w:r>
          </w:p>
          <w:p w:rsidR="00996A4D" w:rsidRDefault="00193388">
            <w:pPr>
              <w:numPr>
                <w:ilvl w:val="0"/>
                <w:numId w:val="1"/>
              </w:numPr>
              <w:spacing w:after="63"/>
              <w:ind w:hanging="133"/>
            </w:pPr>
            <w:r>
              <w:rPr>
                <w:rFonts w:ascii="Arial" w:eastAsia="Arial" w:hAnsi="Arial" w:cs="Arial"/>
                <w:sz w:val="16"/>
              </w:rPr>
              <w:t>have knowledge of the installed system;</w:t>
            </w:r>
          </w:p>
          <w:p w:rsidR="00996A4D" w:rsidRDefault="00193388">
            <w:pPr>
              <w:numPr>
                <w:ilvl w:val="0"/>
                <w:numId w:val="1"/>
              </w:numPr>
              <w:spacing w:after="63"/>
              <w:ind w:hanging="133"/>
            </w:pPr>
            <w:r>
              <w:rPr>
                <w:rFonts w:ascii="Arial" w:eastAsia="Arial" w:hAnsi="Arial" w:cs="Arial"/>
                <w:sz w:val="16"/>
              </w:rPr>
              <w:t>maintain an up to-date awareness of the manufacturers equipment including computer hardware and software;</w:t>
            </w:r>
          </w:p>
          <w:p w:rsidR="00996A4D" w:rsidRDefault="00193388">
            <w:pPr>
              <w:numPr>
                <w:ilvl w:val="0"/>
                <w:numId w:val="1"/>
              </w:numPr>
              <w:spacing w:after="63"/>
              <w:ind w:hanging="133"/>
            </w:pPr>
            <w:r>
              <w:rPr>
                <w:rFonts w:ascii="Arial" w:eastAsia="Arial" w:hAnsi="Arial" w:cs="Arial"/>
                <w:sz w:val="16"/>
              </w:rPr>
              <w:t>have access to up to-date diagnostic equipment;</w:t>
            </w:r>
          </w:p>
          <w:p w:rsidR="00996A4D" w:rsidRDefault="00193388">
            <w:pPr>
              <w:numPr>
                <w:ilvl w:val="0"/>
                <w:numId w:val="1"/>
              </w:numPr>
              <w:spacing w:after="63"/>
              <w:ind w:hanging="133"/>
            </w:pPr>
            <w:r>
              <w:rPr>
                <w:rFonts w:ascii="Arial" w:eastAsia="Arial" w:hAnsi="Arial" w:cs="Arial"/>
                <w:sz w:val="16"/>
              </w:rPr>
              <w:t>have good technical</w:t>
            </w:r>
            <w:r>
              <w:rPr>
                <w:rFonts w:ascii="Arial" w:eastAsia="Arial" w:hAnsi="Arial" w:cs="Arial"/>
                <w:sz w:val="16"/>
              </w:rPr>
              <w:t xml:space="preserve"> support;</w:t>
            </w:r>
          </w:p>
          <w:p w:rsidR="00996A4D" w:rsidRDefault="00193388">
            <w:pPr>
              <w:numPr>
                <w:ilvl w:val="0"/>
                <w:numId w:val="1"/>
              </w:numPr>
              <w:spacing w:after="287"/>
              <w:ind w:hanging="133"/>
            </w:pPr>
            <w:proofErr w:type="gramStart"/>
            <w:r>
              <w:rPr>
                <w:rFonts w:ascii="Arial" w:eastAsia="Arial" w:hAnsi="Arial" w:cs="Arial"/>
                <w:sz w:val="16"/>
              </w:rPr>
              <w:t>are</w:t>
            </w:r>
            <w:proofErr w:type="gramEnd"/>
            <w:r>
              <w:rPr>
                <w:rFonts w:ascii="Arial" w:eastAsia="Arial" w:hAnsi="Arial" w:cs="Arial"/>
                <w:sz w:val="16"/>
              </w:rPr>
              <w:t xml:space="preserve"> supported by adequate stocks of spares.</w:t>
            </w:r>
          </w:p>
          <w:p w:rsidR="00996A4D" w:rsidRDefault="00193388">
            <w:pPr>
              <w:spacing w:after="0"/>
              <w:ind w:right="18"/>
            </w:pPr>
            <w:r>
              <w:rPr>
                <w:rFonts w:ascii="Arial" w:eastAsia="Arial" w:hAnsi="Arial" w:cs="Arial"/>
                <w:sz w:val="16"/>
              </w:rPr>
              <w:t xml:space="preserve">The tasks and frequencies given in the SFG20 Building Management schedules represent good practice and are typically applied for sites with five or seven-day operation with plant and controls less than 10 years old. The frequencies suggested may be varied </w:t>
            </w:r>
            <w:r>
              <w:rPr>
                <w:rFonts w:ascii="Arial" w:eastAsia="Arial" w:hAnsi="Arial" w:cs="Arial"/>
                <w:sz w:val="16"/>
              </w:rPr>
              <w:t>to meet on-site conditions (extremes of dust or heat), age of plant and controls, acceptance of risk of failure.</w:t>
            </w:r>
          </w:p>
        </w:tc>
      </w:tr>
    </w:tbl>
    <w:p w:rsidR="00996A4D" w:rsidRDefault="00193388">
      <w:pPr>
        <w:tabs>
          <w:tab w:val="right" w:pos="9709"/>
        </w:tabs>
        <w:spacing w:after="41"/>
      </w:pPr>
      <w:r>
        <w:rPr>
          <w:rFonts w:ascii="Arial" w:eastAsia="Arial" w:hAnsi="Arial" w:cs="Arial"/>
          <w:sz w:val="16"/>
        </w:rPr>
        <w:t xml:space="preserve">© 2020 BESA </w:t>
      </w:r>
      <w:proofErr w:type="gramStart"/>
      <w:r>
        <w:rPr>
          <w:rFonts w:ascii="Arial" w:eastAsia="Arial" w:hAnsi="Arial" w:cs="Arial"/>
          <w:sz w:val="16"/>
        </w:rPr>
        <w:t>All</w:t>
      </w:r>
      <w:proofErr w:type="gramEnd"/>
      <w:r>
        <w:rPr>
          <w:rFonts w:ascii="Arial" w:eastAsia="Arial" w:hAnsi="Arial" w:cs="Arial"/>
          <w:sz w:val="16"/>
        </w:rPr>
        <w:t xml:space="preserve"> rights reserved</w:t>
      </w:r>
      <w:r>
        <w:rPr>
          <w:rFonts w:ascii="Arial" w:eastAsia="Arial" w:hAnsi="Arial" w:cs="Arial"/>
          <w:sz w:val="16"/>
        </w:rPr>
        <w:tab/>
        <w:t>Page 1 of 2</w:t>
      </w:r>
    </w:p>
    <w:tbl>
      <w:tblPr>
        <w:tblStyle w:val="TableGrid"/>
        <w:tblW w:w="9840" w:type="dxa"/>
        <w:tblInd w:w="-10" w:type="dxa"/>
        <w:tblCellMar>
          <w:top w:w="0" w:type="dxa"/>
          <w:left w:w="60" w:type="dxa"/>
          <w:bottom w:w="87" w:type="dxa"/>
          <w:right w:w="115" w:type="dxa"/>
        </w:tblCellMar>
        <w:tblLook w:val="04A0" w:firstRow="1" w:lastRow="0" w:firstColumn="1" w:lastColumn="0" w:noHBand="0" w:noVBand="1"/>
      </w:tblPr>
      <w:tblGrid>
        <w:gridCol w:w="9840"/>
      </w:tblGrid>
      <w:tr w:rsidR="00996A4D">
        <w:trPr>
          <w:trHeight w:val="2240"/>
        </w:trPr>
        <w:tc>
          <w:tcPr>
            <w:tcW w:w="9840" w:type="dxa"/>
            <w:tcBorders>
              <w:top w:val="single" w:sz="4" w:space="0" w:color="3F3F3F"/>
              <w:left w:val="single" w:sz="4" w:space="0" w:color="3F3F3F"/>
              <w:bottom w:val="single" w:sz="4" w:space="0" w:color="3F3F3F"/>
              <w:right w:val="single" w:sz="4" w:space="0" w:color="3F3F3F"/>
            </w:tcBorders>
            <w:vAlign w:val="bottom"/>
          </w:tcPr>
          <w:p w:rsidR="00996A4D" w:rsidRDefault="00193388">
            <w:pPr>
              <w:spacing w:after="200" w:line="313" w:lineRule="auto"/>
            </w:pPr>
            <w:r>
              <w:rPr>
                <w:rFonts w:ascii="Arial" w:eastAsia="Arial" w:hAnsi="Arial" w:cs="Arial"/>
                <w:sz w:val="16"/>
              </w:rPr>
              <w:lastRenderedPageBreak/>
              <w:t>Sites with critical areas such as computer suites or operating theatres may require increased frequency of maintenance of selected elements. Sites where risk of failure of services is acceptable may be more selective about the maintenance frequency of cert</w:t>
            </w:r>
            <w:r>
              <w:rPr>
                <w:rFonts w:ascii="Arial" w:eastAsia="Arial" w:hAnsi="Arial" w:cs="Arial"/>
                <w:sz w:val="16"/>
              </w:rPr>
              <w:t>ain elements. However, care should be taken to ensure that energy savings continue to be achieved.</w:t>
            </w:r>
          </w:p>
          <w:p w:rsidR="00996A4D" w:rsidRDefault="00193388">
            <w:pPr>
              <w:spacing w:after="0"/>
            </w:pPr>
            <w:r>
              <w:rPr>
                <w:rFonts w:ascii="Arial" w:eastAsia="Arial" w:hAnsi="Arial" w:cs="Arial"/>
                <w:b/>
                <w:sz w:val="16"/>
              </w:rPr>
              <w:t>Please refer to the overarching introduction (SFG 00-01) to make sure you are of the correct skill level as indicated within the task schedule to carry out t</w:t>
            </w:r>
            <w:r>
              <w:rPr>
                <w:rFonts w:ascii="Arial" w:eastAsia="Arial" w:hAnsi="Arial" w:cs="Arial"/>
                <w:b/>
                <w:sz w:val="16"/>
              </w:rPr>
              <w:t>he described works.  Ensure you have read and understood the manufacturer’s recommendations, carried out risk assessment(s) on each item of plant to identify the correct frequency of maintenance, identified all safety procedures that need to be applied and</w:t>
            </w:r>
            <w:r>
              <w:rPr>
                <w:rFonts w:ascii="Arial" w:eastAsia="Arial" w:hAnsi="Arial" w:cs="Arial"/>
                <w:b/>
                <w:sz w:val="16"/>
              </w:rPr>
              <w:t xml:space="preserve"> recorded in order to carry out the work in a safe and reliable manner.</w:t>
            </w:r>
          </w:p>
        </w:tc>
      </w:tr>
    </w:tbl>
    <w:bookmarkStart w:id="0" w:name="_GoBack"/>
    <w:bookmarkEnd w:id="0"/>
    <w:p w:rsidR="00996A4D" w:rsidRDefault="00193388">
      <w:pPr>
        <w:tabs>
          <w:tab w:val="right" w:pos="9709"/>
        </w:tabs>
        <w:spacing w:after="41"/>
      </w:pPr>
      <w:r>
        <w:rPr>
          <w:noProof/>
        </w:rPr>
        <mc:AlternateContent>
          <mc:Choice Requires="wpg">
            <w:drawing>
              <wp:anchor distT="0" distB="0" distL="114300" distR="114300" simplePos="0" relativeHeight="251660288" behindDoc="0" locked="0" layoutInCell="1" allowOverlap="1">
                <wp:simplePos x="0" y="0"/>
                <wp:positionH relativeFrom="page">
                  <wp:posOffset>7129069</wp:posOffset>
                </wp:positionH>
                <wp:positionV relativeFrom="page">
                  <wp:posOffset>914400</wp:posOffset>
                </wp:positionV>
                <wp:extent cx="93980" cy="8025791"/>
                <wp:effectExtent l="0" t="0" r="0" b="0"/>
                <wp:wrapTopAndBottom/>
                <wp:docPr id="1271" name="Group 1271"/>
                <wp:cNvGraphicFramePr/>
                <a:graphic xmlns:a="http://schemas.openxmlformats.org/drawingml/2006/main">
                  <a:graphicData uri="http://schemas.microsoft.com/office/word/2010/wordprocessingGroup">
                    <wpg:wgp>
                      <wpg:cNvGrpSpPr/>
                      <wpg:grpSpPr>
                        <a:xfrm>
                          <a:off x="0" y="0"/>
                          <a:ext cx="93980" cy="8025791"/>
                          <a:chOff x="0" y="0"/>
                          <a:chExt cx="93980" cy="8025791"/>
                        </a:xfrm>
                      </wpg:grpSpPr>
                      <wps:wsp>
                        <wps:cNvPr id="79" name="Rectangle 79"/>
                        <wps:cNvSpPr/>
                        <wps:spPr>
                          <a:xfrm rot="5399999">
                            <a:off x="-5305666" y="5274654"/>
                            <a:ext cx="10674302" cy="124993"/>
                          </a:xfrm>
                          <a:prstGeom prst="rect">
                            <a:avLst/>
                          </a:prstGeom>
                          <a:ln>
                            <a:noFill/>
                          </a:ln>
                        </wps:spPr>
                        <wps:txbx>
                          <w:txbxContent>
                            <w:p w:rsidR="00996A4D" w:rsidRDefault="00193388">
                              <w:r>
                                <w:rPr>
                                  <w:rFonts w:ascii="Arial" w:eastAsia="Arial" w:hAnsi="Arial" w:cs="Arial"/>
                                  <w:color w:val="707070"/>
                                  <w:sz w:val="16"/>
                                </w:rPr>
                                <w:t>Uncontrolled Copy - Printed: 30/04/2020 | Science &amp; Technology Facilities Council | 06-01: Introductory Procedures - Building Management Systems | matthew.kenyon@stfc.ac.uk</w:t>
                              </w:r>
                            </w:p>
                          </w:txbxContent>
                        </wps:txbx>
                        <wps:bodyPr horzOverflow="overflow" vert="horz" lIns="0" tIns="0" rIns="0" bIns="0" rtlCol="0">
                          <a:noAutofit/>
                        </wps:bodyPr>
                      </wps:wsp>
                    </wpg:wgp>
                  </a:graphicData>
                </a:graphic>
              </wp:anchor>
            </w:drawing>
          </mc:Choice>
          <mc:Fallback xmlns:a="http://schemas.openxmlformats.org/drawingml/2006/main">
            <w:pict>
              <v:group id="Group 1271" style="width:7.40002pt;height:631.952pt;position:absolute;mso-position-horizontal-relative:page;mso-position-horizontal:absolute;margin-left:561.344pt;mso-position-vertical-relative:page;margin-top:72pt;" coordsize="939,80257">
                <v:rect id="Rectangle 79" style="position:absolute;width:106743;height:1249;left:-53056;top:52746;rotation:90;" filled="f" stroked="f">
                  <v:textbox inset="0,0,0,0" style="layout-flow:vertical">
                    <w:txbxContent>
                      <w:p>
                        <w:pPr>
                          <w:spacing w:before="0" w:after="160" w:line="259" w:lineRule="auto"/>
                        </w:pPr>
                        <w:r>
                          <w:rPr>
                            <w:rFonts w:cs="Arial" w:hAnsi="Arial" w:eastAsia="Arial" w:ascii="Arial"/>
                            <w:color w:val="707070"/>
                            <w:sz w:val="16"/>
                          </w:rPr>
                          <w:t xml:space="preserve">Uncontrolled Copy - Printed: 30/04/2020 | Science &amp; Technology Facilities Council | 06-01: Introductory Procedures - Building Management Systems | matthew.kenyon@stfc.ac.uk</w:t>
                        </w:r>
                      </w:p>
                    </w:txbxContent>
                  </v:textbox>
                </v:rect>
                <w10:wrap type="topAndBottom"/>
              </v:group>
            </w:pict>
          </mc:Fallback>
        </mc:AlternateContent>
      </w:r>
      <w:r>
        <w:rPr>
          <w:noProof/>
        </w:rPr>
        <w:drawing>
          <wp:anchor distT="0" distB="0" distL="114300" distR="114300" simplePos="0" relativeHeight="251661312" behindDoc="0" locked="0" layoutInCell="1" allowOverlap="0">
            <wp:simplePos x="0" y="0"/>
            <wp:positionH relativeFrom="page">
              <wp:posOffset>660400</wp:posOffset>
            </wp:positionH>
            <wp:positionV relativeFrom="page">
              <wp:posOffset>533400</wp:posOffset>
            </wp:positionV>
            <wp:extent cx="952500" cy="254000"/>
            <wp:effectExtent l="0" t="0" r="0" b="0"/>
            <wp:wrapTopAndBottom/>
            <wp:docPr id="84" name="Picture 84"/>
            <wp:cNvGraphicFramePr/>
            <a:graphic xmlns:a="http://schemas.openxmlformats.org/drawingml/2006/main">
              <a:graphicData uri="http://schemas.openxmlformats.org/drawingml/2006/picture">
                <pic:pic xmlns:pic="http://schemas.openxmlformats.org/drawingml/2006/picture">
                  <pic:nvPicPr>
                    <pic:cNvPr id="84" name="Picture 84"/>
                    <pic:cNvPicPr/>
                  </pic:nvPicPr>
                  <pic:blipFill>
                    <a:blip r:embed="rId5"/>
                    <a:stretch>
                      <a:fillRect/>
                    </a:stretch>
                  </pic:blipFill>
                  <pic:spPr>
                    <a:xfrm>
                      <a:off x="0" y="0"/>
                      <a:ext cx="952500" cy="254000"/>
                    </a:xfrm>
                    <a:prstGeom prst="rect">
                      <a:avLst/>
                    </a:prstGeom>
                  </pic:spPr>
                </pic:pic>
              </a:graphicData>
            </a:graphic>
          </wp:anchor>
        </w:drawing>
      </w:r>
      <w:r>
        <w:rPr>
          <w:rFonts w:ascii="Arial" w:eastAsia="Arial" w:hAnsi="Arial" w:cs="Arial"/>
          <w:sz w:val="16"/>
        </w:rPr>
        <w:t xml:space="preserve">© 2020 BESA </w:t>
      </w:r>
      <w:proofErr w:type="gramStart"/>
      <w:r>
        <w:rPr>
          <w:rFonts w:ascii="Arial" w:eastAsia="Arial" w:hAnsi="Arial" w:cs="Arial"/>
          <w:sz w:val="16"/>
        </w:rPr>
        <w:t>All</w:t>
      </w:r>
      <w:proofErr w:type="gramEnd"/>
      <w:r>
        <w:rPr>
          <w:rFonts w:ascii="Arial" w:eastAsia="Arial" w:hAnsi="Arial" w:cs="Arial"/>
          <w:sz w:val="16"/>
        </w:rPr>
        <w:t xml:space="preserve"> rights reserved</w:t>
      </w:r>
      <w:r>
        <w:rPr>
          <w:rFonts w:ascii="Arial" w:eastAsia="Arial" w:hAnsi="Arial" w:cs="Arial"/>
          <w:sz w:val="16"/>
        </w:rPr>
        <w:tab/>
        <w:t>Page 2 of 2</w:t>
      </w:r>
    </w:p>
    <w:sectPr w:rsidR="00996A4D">
      <w:pgSz w:w="11900" w:h="16840"/>
      <w:pgMar w:top="1347" w:right="1151" w:bottom="607" w:left="10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6376C6"/>
    <w:multiLevelType w:val="hybridMultilevel"/>
    <w:tmpl w:val="A17A58D4"/>
    <w:lvl w:ilvl="0" w:tplc="25EE88C6">
      <w:start w:val="1"/>
      <w:numFmt w:val="decimal"/>
      <w:lvlText w:val="%1"/>
      <w:lvlJc w:val="left"/>
      <w:pPr>
        <w:ind w:left="33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34C1E36">
      <w:start w:val="1"/>
      <w:numFmt w:val="lowerLetter"/>
      <w:lvlText w:val="%2"/>
      <w:lvlJc w:val="left"/>
      <w:pPr>
        <w:ind w:left="13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4EDC9FE8">
      <w:start w:val="1"/>
      <w:numFmt w:val="lowerRoman"/>
      <w:lvlText w:val="%3"/>
      <w:lvlJc w:val="left"/>
      <w:pPr>
        <w:ind w:left="20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1D7EE3E2">
      <w:start w:val="1"/>
      <w:numFmt w:val="decimal"/>
      <w:lvlText w:val="%4"/>
      <w:lvlJc w:val="left"/>
      <w:pPr>
        <w:ind w:left="27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AAED85E">
      <w:start w:val="1"/>
      <w:numFmt w:val="lowerLetter"/>
      <w:lvlText w:val="%5"/>
      <w:lvlJc w:val="left"/>
      <w:pPr>
        <w:ind w:left="35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51B88A5E">
      <w:start w:val="1"/>
      <w:numFmt w:val="lowerRoman"/>
      <w:lvlText w:val="%6"/>
      <w:lvlJc w:val="left"/>
      <w:pPr>
        <w:ind w:left="42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B296A504">
      <w:start w:val="1"/>
      <w:numFmt w:val="decimal"/>
      <w:lvlText w:val="%7"/>
      <w:lvlJc w:val="left"/>
      <w:pPr>
        <w:ind w:left="49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2F43922">
      <w:start w:val="1"/>
      <w:numFmt w:val="lowerLetter"/>
      <w:lvlText w:val="%8"/>
      <w:lvlJc w:val="left"/>
      <w:pPr>
        <w:ind w:left="56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2BF8309A">
      <w:start w:val="1"/>
      <w:numFmt w:val="lowerRoman"/>
      <w:lvlText w:val="%9"/>
      <w:lvlJc w:val="left"/>
      <w:pPr>
        <w:ind w:left="63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A4D"/>
    <w:rsid w:val="00193388"/>
    <w:rsid w:val="00996A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3EA337-DE2F-4776-A0F7-E79B0D26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645</Words>
  <Characters>3681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STFC</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Bamford, Adam (STFC,RAL,CSD)</dc:creator>
  <cp:keywords/>
  <cp:lastModifiedBy>Bamford, Adam (STFC,RAL,CSD)</cp:lastModifiedBy>
  <cp:revision>2</cp:revision>
  <dcterms:created xsi:type="dcterms:W3CDTF">2020-04-30T11:55:00Z</dcterms:created>
  <dcterms:modified xsi:type="dcterms:W3CDTF">2020-04-30T11:55:00Z</dcterms:modified>
</cp:coreProperties>
</file>