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A76A396"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8950F5">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E827D7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2694D352"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45A9393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2AF8C0D7"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590EB6B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8950F5">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8950F5">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1DF1A440"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8950F5">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8E5E57" w14:paraId="152BDC20" w14:textId="77777777" w:rsidTr="00A22D80">
        <w:trPr>
          <w:jc w:val="center"/>
        </w:trPr>
        <w:tc>
          <w:tcPr>
            <w:tcW w:w="992" w:type="dxa"/>
            <w:shd w:val="clear" w:color="auto" w:fill="auto"/>
          </w:tcPr>
          <w:p w14:paraId="152BDC1D"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152BDC1E"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152BDC1F"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52BDC24" w14:textId="77777777" w:rsidTr="00A22D80">
        <w:trPr>
          <w:jc w:val="center"/>
        </w:trPr>
        <w:tc>
          <w:tcPr>
            <w:tcW w:w="992" w:type="dxa"/>
            <w:shd w:val="clear" w:color="auto" w:fill="auto"/>
          </w:tcPr>
          <w:p w14:paraId="152BDC21"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152BDC22"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152BDC23"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152BDC28" w14:textId="77777777" w:rsidTr="00A22D80">
        <w:trPr>
          <w:jc w:val="center"/>
        </w:trPr>
        <w:tc>
          <w:tcPr>
            <w:tcW w:w="992" w:type="dxa"/>
            <w:shd w:val="clear" w:color="auto" w:fill="auto"/>
          </w:tcPr>
          <w:p w14:paraId="152BDC25"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152BDC26"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152BDC27" w14:textId="77777777" w:rsidR="00763775" w:rsidRPr="008E5E57"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152BDC2C" w14:textId="77777777" w:rsidTr="00A22D80">
        <w:trPr>
          <w:jc w:val="center"/>
        </w:trPr>
        <w:tc>
          <w:tcPr>
            <w:tcW w:w="992" w:type="dxa"/>
            <w:shd w:val="clear" w:color="auto" w:fill="auto"/>
          </w:tcPr>
          <w:p w14:paraId="152BDC29"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152BDC2A"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152BDC2B"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A6C6E3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8950F5">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152BDC30" w14:textId="600CD4D2"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Key Provisions;</w:t>
      </w:r>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152BDC32" w14:textId="1F15E8D5"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8950F5">
        <w:rPr>
          <w:sz w:val="22"/>
          <w:szCs w:val="22"/>
        </w:rPr>
        <w:t>Schedule 2</w:t>
      </w:r>
      <w:r w:rsidRPr="008E5E57">
        <w:rPr>
          <w:sz w:val="22"/>
          <w:szCs w:val="22"/>
        </w:rPr>
        <w:fldChar w:fldCharType="end"/>
      </w:r>
      <w:r w:rsidRPr="008E5E57">
        <w:rPr>
          <w:sz w:val="22"/>
          <w:szCs w:val="22"/>
        </w:rPr>
        <w:t>: General Terms and Conditions;</w:t>
      </w:r>
    </w:p>
    <w:p w14:paraId="152BDC33" w14:textId="4868D92D"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8950F5">
        <w:rPr>
          <w:sz w:val="22"/>
          <w:szCs w:val="22"/>
        </w:rPr>
        <w:t>Schedule 3</w:t>
      </w:r>
      <w:r w:rsidRPr="008E5E57">
        <w:rPr>
          <w:sz w:val="22"/>
          <w:szCs w:val="22"/>
        </w:rPr>
        <w:fldChar w:fldCharType="end"/>
      </w:r>
      <w:r w:rsidRPr="008E5E57">
        <w:rPr>
          <w:sz w:val="22"/>
          <w:szCs w:val="22"/>
        </w:rPr>
        <w:t xml:space="preserve">: Information Governance Provisions; </w:t>
      </w:r>
    </w:p>
    <w:p w14:paraId="152BDC34" w14:textId="03551B99" w:rsidR="00763775" w:rsidRPr="008E5E57" w:rsidRDefault="00A02B98" w:rsidP="00A22D80">
      <w:pPr>
        <w:pStyle w:val="MRNumberedHeading3"/>
        <w:spacing w:before="120" w:after="120" w:line="240" w:lineRule="auto"/>
        <w:jc w:val="both"/>
        <w:rPr>
          <w:sz w:val="22"/>
          <w:szCs w:val="22"/>
        </w:rPr>
      </w:pPr>
      <w:r w:rsidRPr="008E5E57">
        <w:rPr>
          <w:sz w:val="22"/>
          <w:szCs w:val="22"/>
        </w:rPr>
        <w:lastRenderedPageBreak/>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8950F5">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which such documentation was created with the more recent</w:t>
      </w:r>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152BDC3F" w14:textId="1E174EA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8950F5">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7D3C5B7D" w14:textId="135F92BF" w:rsidR="00414A1E" w:rsidRPr="00AA73AF" w:rsidRDefault="00414A1E" w:rsidP="00414A1E">
      <w:pPr>
        <w:spacing w:before="120" w:after="120" w:line="240" w:lineRule="auto"/>
        <w:rPr>
          <w:rFonts w:cs="Arial"/>
          <w:i/>
          <w:color w:val="999999"/>
          <w:w w:val="0"/>
          <w:szCs w:val="24"/>
        </w:rPr>
      </w:pPr>
      <w:bookmarkStart w:id="19" w:name="_Ref9408400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w:t>
      </w:r>
      <w:r w:rsidRPr="00AA73AF">
        <w:rPr>
          <w:rFonts w:cs="Arial"/>
          <w:i/>
          <w:color w:val="999999"/>
          <w:w w:val="0"/>
          <w:szCs w:val="24"/>
        </w:rPr>
        <w:lastRenderedPageBreak/>
        <w:t xml:space="preserve">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DD3DCE0" w14:textId="22939FC3" w:rsidR="000330A8" w:rsidRPr="000330A8" w:rsidRDefault="00963736" w:rsidP="00A22D80">
      <w:pPr>
        <w:pStyle w:val="MRNumberedHeading2"/>
        <w:spacing w:before="120" w:after="120" w:line="240" w:lineRule="auto"/>
        <w:jc w:val="both"/>
        <w:rPr>
          <w:sz w:val="22"/>
          <w:szCs w:val="22"/>
        </w:rPr>
      </w:pPr>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16A137A9"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2.    Premises, locations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Lifescience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Modern slavery and environmental, social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lastRenderedPageBreak/>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28.  Assignment, novation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lastRenderedPageBreak/>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The Authority appoints the Supplier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promptly and in any event within any time limits as may be set out in this Contract;</w:t>
      </w:r>
      <w:bookmarkEnd w:id="35"/>
      <w:bookmarkEnd w:id="36"/>
      <w:bookmarkEnd w:id="37"/>
      <w:bookmarkEnd w:id="38"/>
      <w:bookmarkEnd w:id="39"/>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in accordance with all other provisions of this Contract;</w:t>
      </w:r>
      <w:bookmarkEnd w:id="40"/>
      <w:bookmarkEnd w:id="41"/>
      <w:bookmarkEnd w:id="42"/>
      <w:bookmarkEnd w:id="43"/>
      <w:bookmarkEnd w:id="44"/>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with reasonable skill and care and in accordance with any quality assurance standards as set out in the Specification and Tender Response Document and/or the Purchase Order;</w:t>
      </w:r>
      <w:bookmarkEnd w:id="45"/>
      <w:bookmarkEnd w:id="46"/>
      <w:bookmarkEnd w:id="47"/>
      <w:bookmarkEnd w:id="48"/>
      <w:bookmarkEnd w:id="49"/>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in accordance with the Law and with Guidance;</w:t>
      </w:r>
      <w:bookmarkEnd w:id="50"/>
      <w:bookmarkEnd w:id="51"/>
      <w:bookmarkEnd w:id="52"/>
      <w:bookmarkEnd w:id="53"/>
      <w:bookmarkEnd w:id="54"/>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Practice;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A17C0AD"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 xml:space="preserve">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w:t>
      </w:r>
      <w:r w:rsidRPr="00344C9A">
        <w:rPr>
          <w:rFonts w:cs="Arial"/>
          <w:szCs w:val="22"/>
        </w:rPr>
        <w:lastRenderedPageBreak/>
        <w:t>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3B252730"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8950F5">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8950F5">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64AF44FF"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23DA26E8"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such further rights shall be limited to any rights granted to the Supplier by the </w:t>
      </w:r>
      <w:r w:rsidRPr="00344C9A">
        <w:rPr>
          <w:rFonts w:cs="Arial"/>
          <w:szCs w:val="22"/>
        </w:rPr>
        <w:lastRenderedPageBreak/>
        <w:t>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52AB606D"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8950F5">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8950F5">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8950F5">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discretion;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Staff and Lifescience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lastRenderedPageBreak/>
        <w:t>The Supplier shall ensure that all Staff are aware of, and at all times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employ only those Staff who are careful, skilled and experienced in the duties required of them;</w:t>
      </w:r>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that every member of Staff is properly and sufficiently trained and instructed;</w:t>
      </w:r>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duties;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540CAEDA"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55BFE85C"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481D8DFE"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4A3145D1"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lastRenderedPageBreak/>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8950F5">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it shall comply with all requirements placed on it by the Safeguarding Vulnerable Groups Act 2006;</w:t>
      </w:r>
    </w:p>
    <w:p w14:paraId="152BDCB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at all times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00DA31C1"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8950F5">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 xml:space="preserve">The Supplier shall also ensure that its Business </w:t>
      </w:r>
      <w:r w:rsidRPr="00344C9A">
        <w:rPr>
          <w:rStyle w:val="DeltaViewInsertion"/>
          <w:rFonts w:cs="Arial"/>
          <w:color w:val="auto"/>
          <w:sz w:val="22"/>
          <w:szCs w:val="22"/>
          <w:u w:val="none"/>
        </w:rPr>
        <w:lastRenderedPageBreak/>
        <w:t>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52762228"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160528FD"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lastRenderedPageBreak/>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details of the performance of the Supplier when assessed in accordance with the KPIs since the last such performance report;</w:t>
      </w:r>
      <w:bookmarkEnd w:id="294"/>
      <w:bookmarkEnd w:id="295"/>
      <w:bookmarkEnd w:id="296"/>
      <w:bookmarkEnd w:id="297"/>
      <w:bookmarkEnd w:id="298"/>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Document;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a status report in relation to the implementation of any current Remedial Proposals by either Party; and</w:t>
      </w:r>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41E36C26"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w:t>
      </w:r>
      <w:r w:rsidRPr="00344C9A">
        <w:rPr>
          <w:rFonts w:cs="Arial"/>
          <w:szCs w:val="22"/>
          <w:lang w:val="en-US"/>
        </w:rPr>
        <w:lastRenderedPageBreak/>
        <w:t>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344C9A">
        <w:rPr>
          <w:rFonts w:cs="Arial"/>
          <w:b/>
          <w:bCs/>
          <w:szCs w:val="22"/>
          <w:lang w:val="en-US"/>
        </w:rPr>
        <w:t>Third Party Body”</w:t>
      </w:r>
      <w:r w:rsidRPr="00344C9A">
        <w:rPr>
          <w:rFonts w:cs="Arial"/>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4F15869D"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shall be payable from the Actual Services Commencement Date;</w:t>
      </w:r>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344C9A">
        <w:rPr>
          <w:rFonts w:cs="Arial"/>
          <w:szCs w:val="22"/>
        </w:rPr>
        <w:lastRenderedPageBreak/>
        <w:t>of the Services provided in compliance with this Contract in the preceding calendar month</w:t>
      </w:r>
      <w:bookmarkEnd w:id="328"/>
      <w:r w:rsidRPr="00344C9A">
        <w:rPr>
          <w:rFonts w:cs="Arial"/>
          <w:szCs w:val="22"/>
        </w:rPr>
        <w:t>; or</w:t>
      </w:r>
    </w:p>
    <w:p w14:paraId="152BDCEC" w14:textId="0CE66406"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8950F5">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0BC44CAF"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8950F5">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49C4AC02"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r w:rsidRPr="00344C9A">
        <w:rPr>
          <w:rFonts w:cs="Arial"/>
          <w:szCs w:val="22"/>
        </w:rPr>
        <w:t>Contract</w:t>
      </w:r>
      <w:r w:rsidRPr="00344C9A">
        <w:rPr>
          <w:rFonts w:cs="Arial"/>
          <w:w w:val="0"/>
          <w:szCs w:val="22"/>
        </w:rPr>
        <w:t>;</w:t>
      </w:r>
      <w:bookmarkEnd w:id="346"/>
      <w:bookmarkEnd w:id="347"/>
      <w:bookmarkEnd w:id="348"/>
      <w:bookmarkEnd w:id="349"/>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it has all rights, consents, authorisations, licences and accreditations required to provide the Services and shall maintain such consents, authorisations, licences and accreditations throughout the Term;</w:t>
      </w:r>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processes;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the Supplier shall comply fully with such notification and/or approval requirements;</w:t>
      </w:r>
      <w:bookmarkEnd w:id="354"/>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in so far as is relevant to the provision of the Services;</w:t>
      </w:r>
      <w:bookmarkEnd w:id="350"/>
      <w:bookmarkEnd w:id="351"/>
      <w:bookmarkEnd w:id="352"/>
      <w:bookmarkEnd w:id="353"/>
      <w:bookmarkEnd w:id="356"/>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357"/>
      <w:bookmarkEnd w:id="358"/>
      <w:bookmarkEnd w:id="359"/>
      <w:bookmarkEnd w:id="360"/>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52BDD02" w14:textId="685765E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8950F5">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be fit for its intended purpose and maintained fully in accordance with the manufacturer’s specification and shall remain the Supplier’s risk and responsibility at all times;</w:t>
      </w:r>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comply with its Net Zero and Social Value Commitments</w:t>
      </w:r>
      <w:r w:rsidRPr="00344C9A">
        <w:rPr>
          <w:rFonts w:cs="Arial"/>
          <w:w w:val="0"/>
          <w:sz w:val="22"/>
          <w:szCs w:val="22"/>
        </w:rPr>
        <w:t>;</w:t>
      </w:r>
      <w:bookmarkEnd w:id="365"/>
    </w:p>
    <w:p w14:paraId="152BDD08" w14:textId="0511E20B"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8950F5">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8950F5">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66"/>
      <w:bookmarkEnd w:id="367"/>
      <w:bookmarkEnd w:id="368"/>
      <w:bookmarkEnd w:id="369"/>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r w:rsidRPr="00344C9A">
        <w:rPr>
          <w:rFonts w:cs="Arial"/>
          <w:szCs w:val="22"/>
        </w:rPr>
        <w:t>Contract</w:t>
      </w:r>
      <w:r w:rsidRPr="00344C9A">
        <w:rPr>
          <w:rFonts w:cs="Arial"/>
          <w:w w:val="0"/>
          <w:szCs w:val="22"/>
        </w:rPr>
        <w:t>;</w:t>
      </w:r>
      <w:bookmarkEnd w:id="370"/>
      <w:bookmarkEnd w:id="371"/>
      <w:bookmarkEnd w:id="372"/>
      <w:bookmarkEnd w:id="373"/>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entity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execution</w:t>
      </w:r>
      <w:bookmarkEnd w:id="378"/>
      <w:bookmarkEnd w:id="379"/>
      <w:bookmarkEnd w:id="380"/>
      <w:bookmarkEnd w:id="381"/>
      <w:r w:rsidRPr="00344C9A">
        <w:rPr>
          <w:rFonts w:cs="Arial"/>
          <w:w w:val="0"/>
          <w:szCs w:val="22"/>
        </w:rPr>
        <w:t>;</w:t>
      </w:r>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there are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t xml:space="preserve">there are no material agreements existing to which the Supplier is a party which prevent the Supplier from entering into or complying with this </w:t>
      </w:r>
      <w:r w:rsidRPr="00344C9A">
        <w:rPr>
          <w:rFonts w:cs="Arial"/>
          <w:szCs w:val="22"/>
        </w:rPr>
        <w:t>Contract</w:t>
      </w:r>
      <w:r w:rsidRPr="00344C9A">
        <w:rPr>
          <w:rFonts w:cs="Arial"/>
          <w:w w:val="0"/>
          <w:szCs w:val="22"/>
        </w:rPr>
        <w:t>;</w:t>
      </w:r>
      <w:bookmarkEnd w:id="382"/>
      <w:bookmarkEnd w:id="383"/>
      <w:bookmarkEnd w:id="384"/>
      <w:bookmarkEnd w:id="385"/>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371A06A0"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8950F5">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22531E92"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8950F5">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any injury or allegation of injury to any person, including injury resulting in death;</w:t>
      </w:r>
      <w:bookmarkEnd w:id="404"/>
      <w:bookmarkEnd w:id="405"/>
      <w:bookmarkEnd w:id="406"/>
      <w:bookmarkEnd w:id="407"/>
      <w:bookmarkEnd w:id="408"/>
      <w:bookmarkEnd w:id="409"/>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bookmarkEnd w:id="410"/>
      <w:r w:rsidRPr="00344C9A">
        <w:rPr>
          <w:rFonts w:cs="Arial"/>
          <w:szCs w:val="22"/>
        </w:rPr>
        <w:t xml:space="preserve"> </w:t>
      </w:r>
      <w:bookmarkEnd w:id="411"/>
    </w:p>
    <w:p w14:paraId="152BDD23" w14:textId="520656E7"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8950F5">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8950F5">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any failure by the Supplier to commence the delivery of the Services by the Services Commencement Date;</w:t>
      </w:r>
      <w:bookmarkEnd w:id="415"/>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13FBC117"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8950F5">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8950F5">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8950F5">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8950F5">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8950F5">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8950F5">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for death or personal injury resulting from its negligence;</w:t>
      </w:r>
      <w:bookmarkEnd w:id="430"/>
      <w:bookmarkEnd w:id="431"/>
      <w:bookmarkEnd w:id="432"/>
      <w:bookmarkEnd w:id="433"/>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7312E5F3"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8950F5">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8950F5">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8950F5">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8950F5">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services;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patients;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Each Party shall at all times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6D5F640D"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6F3CE260"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3687EC4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1DD883E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7CD26138"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403E28E"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8950F5">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8950F5">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571BAD0A"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2EDCED6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8950F5">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20276674"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8950F5">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8950F5">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0588CD94"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8950F5">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the Supplier does not commence delivery of the Services by any Long Stop Date;</w:t>
      </w:r>
      <w:bookmarkEnd w:id="506"/>
      <w:bookmarkEnd w:id="507"/>
      <w:bookmarkEnd w:id="508"/>
      <w:bookmarkEnd w:id="509"/>
      <w:bookmarkEnd w:id="510"/>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6DF5F1D5"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00FDC49E"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8950F5">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8950F5">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8950F5">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8950F5">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1C6DCDF5"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3"/>
      <w:r w:rsidRPr="00344C9A">
        <w:rPr>
          <w:rFonts w:cs="Arial"/>
          <w:w w:val="0"/>
          <w:szCs w:val="22"/>
        </w:rPr>
        <w:t xml:space="preserve">; </w:t>
      </w:r>
      <w:r w:rsidRPr="00344C9A">
        <w:rPr>
          <w:rFonts w:cs="Arial"/>
          <w:w w:val="0"/>
          <w:szCs w:val="22"/>
          <w:lang w:val="en-US"/>
        </w:rPr>
        <w:t xml:space="preserve"> </w:t>
      </w:r>
    </w:p>
    <w:p w14:paraId="152BDD5A" w14:textId="36DE71CB"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69DBA445"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8950F5">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8950F5">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28212E90"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procedure;</w:t>
      </w:r>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285AA784"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8950F5">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7C288AE9"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8950F5">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8950F5">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306631D3"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The Supplier shall provide the Authority with the first draft of an exit plan within one (1) 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8950F5">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plan;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6D3932C1"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8950F5">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8950F5">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 xml:space="preserve">The Supplier shall cooperate fully with the Authority or, as the case may be, any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licence or lease entered into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1DE7D84"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5D27E458"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566C74FB"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Personnel;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or seek to increase the emoluments (excluding cost of living increases awarded in the ordinary course of business) payable to any of the Supplier Personnel;</w:t>
      </w:r>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replace any of the Supplier Personnel or increase the total number of employees providing the Services;</w:t>
      </w:r>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r w:rsidRPr="00344C9A">
        <w:rPr>
          <w:rFonts w:cs="Arial"/>
          <w:szCs w:val="22"/>
        </w:rPr>
        <w:t>Services;</w:t>
      </w:r>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terminate or give notice to terminate the employment or arrangements of any of the Supplier Personnel;</w:t>
      </w:r>
      <w:bookmarkStart w:id="614" w:name="_DV_M59"/>
      <w:bookmarkEnd w:id="614"/>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16350D81"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14806AD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C61E522"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27"/>
      <w:bookmarkEnd w:id="628"/>
      <w:bookmarkEnd w:id="629"/>
      <w:bookmarkEnd w:id="630"/>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31"/>
      <w:bookmarkEnd w:id="632"/>
      <w:bookmarkEnd w:id="633"/>
      <w:bookmarkEnd w:id="634"/>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35"/>
      <w:bookmarkEnd w:id="636"/>
      <w:bookmarkEnd w:id="637"/>
      <w:bookmarkEnd w:id="638"/>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42574D83"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8950F5">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any act or omission by the Supplier or Sub-contractor in respect of the Subsequent Transferring Employees occurring on or before the Subsequent Transfer Date;</w:t>
      </w:r>
      <w:bookmarkEnd w:id="656"/>
      <w:bookmarkEnd w:id="657"/>
      <w:bookmarkEnd w:id="658"/>
      <w:bookmarkEnd w:id="659"/>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any allegation or claim by any person who is not a Subsequent Transferring Employee but who alleges that their employment should transfer or has transferred to the Successor or the Authority, as appropriate;</w:t>
      </w:r>
      <w:bookmarkEnd w:id="660"/>
      <w:bookmarkEnd w:id="661"/>
      <w:bookmarkEnd w:id="662"/>
      <w:bookmarkEnd w:id="663"/>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holiday pay, bonuses, commissions, PAYE, national insurance contributions, pension contributions and other contributions) payable in respect of any period on or before the Subsequent Transfer Date;</w:t>
      </w:r>
      <w:bookmarkEnd w:id="664"/>
      <w:bookmarkEnd w:id="665"/>
      <w:bookmarkEnd w:id="666"/>
      <w:bookmarkEnd w:id="667"/>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76F3FEC9"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Authority will, or shall procure that the Successor will, within seven (7) days of becoming aware of that fact, give notice in writing to the Supplier;</w:t>
      </w:r>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the Supplier may offer (or may procure that a Sub-contractor may offer) employment to such person within twenty eight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4545A595"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8950F5">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701"/>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7DE4250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at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8950F5">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slavery or trafficking in its supply chains;</w:t>
      </w:r>
      <w:bookmarkEnd w:id="721"/>
      <w:bookmarkEnd w:id="722"/>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respond promptly to all slavery and trafficking due diligence questionnaires issued to it by the Authority from time to time and shall ensure that its responses to all such questionnaires are complete and accurate;</w:t>
      </w:r>
      <w:bookmarkEnd w:id="723"/>
      <w:bookmarkEnd w:id="724"/>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25"/>
      <w:bookmarkEnd w:id="726"/>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maintain a complete set of records to trace the supply chain of all goods and services purchased and/or supplied by the Supplier in connection with all contracts or framework agreements with the Authority;</w:t>
      </w:r>
      <w:bookmarkEnd w:id="728"/>
      <w:bookmarkEnd w:id="729"/>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5EB64C41"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8950F5">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8950F5">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it conducts its business in a manner consistent with all applicable Laws including the Slavery Act and all analogous legislation in place in any part of the world in which its supply chain operates;</w:t>
      </w:r>
      <w:bookmarkEnd w:id="739"/>
      <w:bookmarkEnd w:id="740"/>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25982EE"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484D18B0"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8950F5">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3DA493F1"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8950F5">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8950F5">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8950F5">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4DD6C0A0"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8950F5">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05F96A0C"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163F2588"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1A0B3EEA"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38A3DAA4"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authorised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3E682CC8"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42B9202B"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7E5024B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8950F5">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59D7D194"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the Authority taking action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5D71DFA0"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6278948C"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8950F5">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32A17AF6"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1EF92AA3"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8950F5">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the Force Majeure Event does not arise directly or indirectly as a result of any wilful or negligent act or default of the Supplier</w:t>
      </w:r>
      <w:bookmarkEnd w:id="848"/>
      <w:bookmarkEnd w:id="849"/>
      <w:bookmarkEnd w:id="850"/>
      <w:bookmarkEnd w:id="851"/>
      <w:r w:rsidRPr="00344C9A">
        <w:rPr>
          <w:rFonts w:cs="Arial"/>
          <w:w w:val="0"/>
          <w:szCs w:val="22"/>
        </w:rPr>
        <w:t>; and</w:t>
      </w:r>
    </w:p>
    <w:p w14:paraId="152BDDBA" w14:textId="3ACEB530"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8950F5">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If the Supplier is prevented from performance of its obligations as a result of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7126C7B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8950F5">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3FC239BE"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1D1270FA"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8950F5">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twenty one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in order to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0F48DB17"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078FFCD8"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8950F5">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405C987B"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35953F3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3A6EB67F"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8950F5">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152BDDE0" w14:textId="153C10BE"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7CFEB8E6"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8950F5">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205C39AD"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8950F5">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all related rights of the Authority in relation to the recovery of sums due but unpaid;</w:t>
      </w:r>
      <w:bookmarkEnd w:id="986"/>
      <w:bookmarkEnd w:id="987"/>
      <w:bookmarkEnd w:id="988"/>
      <w:bookmarkEnd w:id="989"/>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90"/>
      <w:bookmarkEnd w:id="991"/>
      <w:bookmarkEnd w:id="992"/>
      <w:bookmarkEnd w:id="993"/>
    </w:p>
    <w:p w14:paraId="152BDDE5" w14:textId="73B9C92E"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enters into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Sub-contracting;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keeping;</w:t>
      </w:r>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r w:rsidRPr="00344C9A">
        <w:rPr>
          <w:rFonts w:cs="Arial"/>
          <w:szCs w:val="22"/>
        </w:rPr>
        <w:t>Contract</w:t>
      </w:r>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requires the Supplier or other party receiving services under the contract to consider and verify invoices under that contract in a timely fashion;</w:t>
      </w:r>
      <w:bookmarkEnd w:id="1011"/>
    </w:p>
    <w:p w14:paraId="152BDDEE" w14:textId="4C7A47F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79779519"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5E54CAD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7AA6D81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and the Supplier warrants that it will carry out all such reasonable further acts required to effect such transfer, assignment, novation, sub-contracting or disposal</w:t>
      </w:r>
      <w:r w:rsidRPr="00344C9A">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termination;</w:t>
      </w:r>
      <w:bookmarkEnd w:id="1053"/>
      <w:bookmarkEnd w:id="1054"/>
      <w:bookmarkEnd w:id="1055"/>
      <w:bookmarkEnd w:id="1056"/>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to recover from the Supplier any other loss or expense sustained in consequence of the carrying out of the Prohibited Act or the commission of the offence under the Bribery Act 2010;</w:t>
      </w:r>
      <w:bookmarkEnd w:id="1061"/>
      <w:bookmarkEnd w:id="1062"/>
      <w:bookmarkEnd w:id="1063"/>
      <w:bookmarkEnd w:id="1064"/>
      <w:r w:rsidRPr="00344C9A">
        <w:rPr>
          <w:rFonts w:cs="Arial"/>
          <w:w w:val="0"/>
          <w:szCs w:val="22"/>
        </w:rPr>
        <w:t xml:space="preserve"> </w:t>
      </w:r>
    </w:p>
    <w:p w14:paraId="152BDE04" w14:textId="08C883BF"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8950F5">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1F1B2A57"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72A9CD3D"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8950F5">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8950F5">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2403B1DE"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authorised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DA12FE6"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0D26A11B"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the Recipient shall not be prevented from using any general knowledge, experience or skills which were in its possession prior to the Commencement Date;</w:t>
      </w:r>
    </w:p>
    <w:p w14:paraId="152BDE1C" w14:textId="51936689"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Recipient;</w:t>
      </w:r>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is obtained from a third party who is lawfully authorised to disclose such information without any obligation of confidentiality;</w:t>
      </w:r>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authorised for disclosure by the prior written consent of the Discloser;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2A9AED5F"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consultant, contractor or other person engaged by the Authority and/or the Contracting Authority receiving such information;</w:t>
      </w:r>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accounts;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resources;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52BDE2A" w14:textId="66AA1A13"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6905B1C5"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8950F5">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7E076932"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21CEDF2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toolkit;</w:t>
      </w:r>
      <w:bookmarkEnd w:id="1140"/>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toolkit;</w:t>
      </w:r>
      <w:bookmarkEnd w:id="1141"/>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42"/>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guidelines;</w:t>
      </w:r>
      <w:bookmarkEnd w:id="1143"/>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put in place and maintain policies that describe individual personal responsibilities for handling Personal Data and apply those policies vigorously;</w:t>
      </w:r>
      <w:bookmarkEnd w:id="1144"/>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145"/>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146"/>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where appropriate, have a system in place and a policy for the recording of any telephone calls in relation to the Services, including the retention and disposal of those recordings</w:t>
      </w:r>
      <w:bookmarkEnd w:id="1147"/>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33F6AAF3"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8950F5">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whatsoever or howsoever arising from the Supplier’s unlawful 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Codes of Practice and Environmental Regulations</w:t>
      </w:r>
      <w:r w:rsidRPr="00344C9A">
        <w:rPr>
          <w:rFonts w:cs="Arial"/>
          <w:szCs w:val="22"/>
          <w:lang w:val="en-US"/>
        </w:rPr>
        <w:t>;</w:t>
      </w:r>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is a decision solely for the Authority;</w:t>
      </w:r>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22F9F84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8950F5">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42AA67DC"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8950F5">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44E78AD1"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the Supplier actually commences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54F97837"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means a written notice of breach given by one Party to the other, notifying the Party receiving the notice of its breach of this Contract;</w:t>
            </w:r>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51F19A71"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means the supply of services to another customer of the Supplier that are the same or similar to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means information, data and material of any nature, which either Party may receive or obtain in connection with the conclusion 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Personal Data including without limitation which relates to any patient or other service user or his or her treatment or clinical or care history;</w:t>
            </w:r>
            <w:bookmarkEnd w:id="1191"/>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51C37BD0"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means a written notice served by one Party to the other stating that the Party serving the notice believes there is a Dispute;</w:t>
            </w:r>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1F5AA1B7"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07FFA88E"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804D95" w:rsidP="0015079E">
            <w:pPr>
              <w:spacing w:before="240" w:line="240" w:lineRule="auto"/>
              <w:jc w:val="both"/>
              <w:rPr>
                <w:rFonts w:cs="Arial"/>
                <w:sz w:val="22"/>
                <w:szCs w:val="22"/>
              </w:rPr>
            </w:pPr>
            <w:hyperlink r:id="rId17" w:history="1">
              <w:r w:rsidR="00A02B98"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t>“EU References”</w:t>
            </w:r>
          </w:p>
        </w:tc>
        <w:tc>
          <w:tcPr>
            <w:tcW w:w="6395" w:type="dxa"/>
          </w:tcPr>
          <w:p w14:paraId="42651620" w14:textId="4421043B"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8950F5">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8950F5">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5B2FD27C"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8950F5">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5A5CCEDA"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war including civil war (whether declared or undeclared), riot, civil commotion or armed conflict materially affecting either Party’s ability to perform its obligations under this Contract;</w:t>
            </w:r>
            <w:bookmarkEnd w:id="1220"/>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acts of terrorism;</w:t>
            </w:r>
            <w:bookmarkEnd w:id="1221"/>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flood, storm or other natural disasters;</w:t>
            </w:r>
            <w:bookmarkEnd w:id="1222"/>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r w:rsidRPr="00344C9A">
              <w:rPr>
                <w:rFonts w:cs="Arial"/>
                <w:szCs w:val="22"/>
              </w:rPr>
              <w:t>fire;</w:t>
            </w:r>
            <w:bookmarkEnd w:id="1223"/>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unavailability of public utilities and/or access to transport networks to the extent no diligent supplier could reasonably have planned for such unavailability as part of its business continuity planning;</w:t>
            </w:r>
            <w:bookmarkEnd w:id="1224"/>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25"/>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t>compliance with any local law or governmental order, rule, regulation or direction applicable outside of England and Wales that could not have been reasonably foreseen;</w:t>
            </w:r>
            <w:bookmarkEnd w:id="1226"/>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as a result of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5FBC3D20"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bye-law,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any enforceable community right within the meaning of section 2(1) European Communities Act 1972;</w:t>
            </w:r>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applicable judgment of a relevant court of law which is a binding precedent in England and Wales;</w:t>
            </w:r>
            <w:bookmarkEnd w:id="1242"/>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requirements set by any regulatory body as applicable in England and Wales;</w:t>
            </w:r>
            <w:bookmarkEnd w:id="1243"/>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59C9C747"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as a result of: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rules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783AA9DC"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Processed shall be construed accordingly;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4E282314"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0491C7C8"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4D9C7D50"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8950F5">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Authority’s requirements relating to the Services as provided by or on behalf of the Authority to the Supplier;</w:t>
            </w:r>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means a Change in Law that relates specifically to the business of the Authority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re-issued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7836AE34"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8950F5">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0BA32094"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02C0350F"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References to any legal entity shall include any body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2D53308F"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8950F5">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8950F5">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9AE1C" w14:textId="77777777" w:rsidR="00DF2CBA" w:rsidRDefault="00DF2CBA" w:rsidP="00763775">
      <w:pPr>
        <w:pStyle w:val="Outline4"/>
      </w:pPr>
      <w:r>
        <w:separator/>
      </w:r>
    </w:p>
  </w:endnote>
  <w:endnote w:type="continuationSeparator" w:id="0">
    <w:p w14:paraId="2A748F76" w14:textId="77777777" w:rsidR="00DF2CBA" w:rsidRDefault="00DF2CBA"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423FC" w14:textId="77777777" w:rsidR="00DF2CBA" w:rsidRDefault="00DF2CBA" w:rsidP="00763775">
      <w:pPr>
        <w:pStyle w:val="Outline4"/>
      </w:pPr>
      <w:r>
        <w:separator/>
      </w:r>
    </w:p>
  </w:footnote>
  <w:footnote w:type="continuationSeparator" w:id="0">
    <w:p w14:paraId="4FD5DBBF" w14:textId="77777777" w:rsidR="00DF2CBA" w:rsidRDefault="00DF2CBA"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0"/>
  </w:num>
  <w:num w:numId="2" w16cid:durableId="1349209229">
    <w:abstractNumId w:val="18"/>
  </w:num>
  <w:num w:numId="3" w16cid:durableId="961576561">
    <w:abstractNumId w:val="23"/>
  </w:num>
  <w:num w:numId="4" w16cid:durableId="6561166">
    <w:abstractNumId w:val="35"/>
  </w:num>
  <w:num w:numId="5" w16cid:durableId="714816848">
    <w:abstractNumId w:val="36"/>
  </w:num>
  <w:num w:numId="6" w16cid:durableId="26610240">
    <w:abstractNumId w:val="13"/>
  </w:num>
  <w:num w:numId="7" w16cid:durableId="907424300">
    <w:abstractNumId w:val="32"/>
  </w:num>
  <w:num w:numId="8" w16cid:durableId="698507685">
    <w:abstractNumId w:val="33"/>
  </w:num>
  <w:num w:numId="9" w16cid:durableId="419371081">
    <w:abstractNumId w:val="34"/>
  </w:num>
  <w:num w:numId="10" w16cid:durableId="1352760383">
    <w:abstractNumId w:val="29"/>
  </w:num>
  <w:num w:numId="11" w16cid:durableId="759252237">
    <w:abstractNumId w:val="21"/>
  </w:num>
  <w:num w:numId="12" w16cid:durableId="872310321">
    <w:abstractNumId w:val="27"/>
  </w:num>
  <w:num w:numId="13" w16cid:durableId="249245031">
    <w:abstractNumId w:val="14"/>
  </w:num>
  <w:num w:numId="14" w16cid:durableId="15039359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1"/>
  </w:num>
  <w:num w:numId="24" w16cid:durableId="1553232582">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2"/>
  </w:num>
  <w:num w:numId="31" w16cid:durableId="1817068266">
    <w:abstractNumId w:val="28"/>
  </w:num>
  <w:num w:numId="32" w16cid:durableId="349307108">
    <w:abstractNumId w:val="25"/>
  </w:num>
  <w:num w:numId="33" w16cid:durableId="1043482372">
    <w:abstractNumId w:val="30"/>
  </w:num>
  <w:num w:numId="34" w16cid:durableId="112527991">
    <w:abstractNumId w:val="37"/>
  </w:num>
  <w:num w:numId="35" w16cid:durableId="1026057023">
    <w:abstractNumId w:val="26"/>
  </w:num>
  <w:num w:numId="36" w16cid:durableId="15935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8"/>
  </w:num>
  <w:num w:numId="39" w16cid:durableId="1427195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6"/>
  </w:num>
  <w:num w:numId="41" w16cid:durableId="1103500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4"/>
  </w:num>
  <w:num w:numId="46" w16cid:durableId="347029600">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0"/>
  </w:num>
  <w:num w:numId="48" w16cid:durableId="1109081231">
    <w:abstractNumId w:val="15"/>
  </w:num>
  <w:num w:numId="49" w16cid:durableId="1950431437">
    <w:abstractNumId w:val="31"/>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2"/>
  </w:num>
  <w:num w:numId="62" w16cid:durableId="1849443950">
    <w:abstractNumId w:val="17"/>
  </w:num>
  <w:num w:numId="63" w16cid:durableId="106649143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C3F14"/>
    <w:rsid w:val="000C5265"/>
    <w:rsid w:val="000C5F30"/>
    <w:rsid w:val="000E20DC"/>
    <w:rsid w:val="000E375A"/>
    <w:rsid w:val="000F2FFE"/>
    <w:rsid w:val="00102674"/>
    <w:rsid w:val="0011252C"/>
    <w:rsid w:val="00112930"/>
    <w:rsid w:val="0015079E"/>
    <w:rsid w:val="001522E3"/>
    <w:rsid w:val="00157D8F"/>
    <w:rsid w:val="00192732"/>
    <w:rsid w:val="001967D3"/>
    <w:rsid w:val="001A5A9F"/>
    <w:rsid w:val="001A7711"/>
    <w:rsid w:val="001B421A"/>
    <w:rsid w:val="001B6A5F"/>
    <w:rsid w:val="001E6EE2"/>
    <w:rsid w:val="002053DC"/>
    <w:rsid w:val="00206000"/>
    <w:rsid w:val="00207D04"/>
    <w:rsid w:val="00225546"/>
    <w:rsid w:val="00233D57"/>
    <w:rsid w:val="0023673D"/>
    <w:rsid w:val="00242435"/>
    <w:rsid w:val="002513CF"/>
    <w:rsid w:val="002615CD"/>
    <w:rsid w:val="00271D3F"/>
    <w:rsid w:val="00275BBD"/>
    <w:rsid w:val="00296595"/>
    <w:rsid w:val="002B6821"/>
    <w:rsid w:val="002C19CA"/>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33CA"/>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B592B"/>
    <w:rsid w:val="007C473E"/>
    <w:rsid w:val="007C496B"/>
    <w:rsid w:val="007D1845"/>
    <w:rsid w:val="007D4995"/>
    <w:rsid w:val="007D73E4"/>
    <w:rsid w:val="007E2D97"/>
    <w:rsid w:val="007F3A41"/>
    <w:rsid w:val="007F7C03"/>
    <w:rsid w:val="00804D95"/>
    <w:rsid w:val="00813854"/>
    <w:rsid w:val="00826AAC"/>
    <w:rsid w:val="0083032B"/>
    <w:rsid w:val="0084188E"/>
    <w:rsid w:val="00841A76"/>
    <w:rsid w:val="008475EF"/>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E0363"/>
    <w:rsid w:val="00A02B98"/>
    <w:rsid w:val="00A14136"/>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43F3B"/>
    <w:rsid w:val="00B72D63"/>
    <w:rsid w:val="00B82337"/>
    <w:rsid w:val="00B82A0B"/>
    <w:rsid w:val="00B90DBC"/>
    <w:rsid w:val="00B928EA"/>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B292B"/>
    <w:rsid w:val="00CB4092"/>
    <w:rsid w:val="00CD048F"/>
    <w:rsid w:val="00CD0B57"/>
    <w:rsid w:val="00CD1A8C"/>
    <w:rsid w:val="00CE63BC"/>
    <w:rsid w:val="00CF22E5"/>
    <w:rsid w:val="00D02C0F"/>
    <w:rsid w:val="00D04687"/>
    <w:rsid w:val="00D11508"/>
    <w:rsid w:val="00D23101"/>
    <w:rsid w:val="00D3768A"/>
    <w:rsid w:val="00D42C93"/>
    <w:rsid w:val="00D51876"/>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u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36C3B-431D-4573-A6EA-0AED0CA09D57}">
  <ds:schemaRefs>
    <ds:schemaRef ds:uri="http://schemas.microsoft.com/sharepoint/v3/contenttype/forms"/>
  </ds:schemaRefs>
</ds:datastoreItem>
</file>

<file path=customXml/itemProps2.xml><?xml version="1.0" encoding="utf-8"?>
<ds:datastoreItem xmlns:ds="http://schemas.openxmlformats.org/officeDocument/2006/customXml" ds:itemID="{F58EDE35-9E26-458A-AF61-9233BBB38777}">
  <ds:schemaRefs>
    <ds:schemaRef ds:uri="http://schemas.microsoft.com/office/2006/documentManagement/types"/>
    <ds:schemaRef ds:uri="http://schemas.microsoft.com/sharepoint/v3"/>
    <ds:schemaRef ds:uri="http://purl.org/dc/elements/1.1/"/>
    <ds:schemaRef ds:uri="http://schemas.microsoft.com/office/2006/metadata/properties"/>
    <ds:schemaRef ds:uri="cccaf3ac-2de9-44d4-aa31-54302fceb5f7"/>
    <ds:schemaRef ds:uri="http://schemas.microsoft.com/office/infopath/2007/PartnerControls"/>
    <ds:schemaRef ds:uri="7f901ab8-bb9c-41c3-9b1d-5c5a42a91fd0"/>
    <ds:schemaRef ds:uri="http://purl.org/dc/terms/"/>
    <ds:schemaRef ds:uri="http://schemas.openxmlformats.org/package/2006/metadata/core-properties"/>
    <ds:schemaRef ds:uri="68c658e5-5c73-47d4-b70e-653a817403af"/>
    <ds:schemaRef ds:uri="http://www.w3.org/XML/1998/namespace"/>
    <ds:schemaRef ds:uri="http://purl.org/dc/dcmitype/"/>
  </ds:schemaRefs>
</ds:datastoreItem>
</file>

<file path=customXml/itemProps3.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customXml/itemProps4.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26570</Words>
  <Characters>151450</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Meena Valambhia</cp:lastModifiedBy>
  <cp:revision>2</cp:revision>
  <cp:lastPrinted>2022-05-24T09:20:00Z</cp:lastPrinted>
  <dcterms:created xsi:type="dcterms:W3CDTF">2024-06-27T11:00:00Z</dcterms:created>
  <dcterms:modified xsi:type="dcterms:W3CDTF">2024-06-27T11:00:00Z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