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Default="00E34621" w:rsidP="002170AA">
      <w:pPr>
        <w:pStyle w:val="MarginText"/>
        <w:jc w:val="center"/>
        <w:rPr>
          <w:rFonts w:cs="Arial"/>
          <w:b/>
          <w:sz w:val="28"/>
          <w:szCs w:val="28"/>
        </w:rPr>
      </w:pPr>
    </w:p>
    <w:p w:rsidR="00883724" w:rsidRPr="0059248B" w:rsidRDefault="00883724" w:rsidP="00883724">
      <w:pPr>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1F506D" w:rsidRPr="001F506D">
        <w:rPr>
          <w:rFonts w:cs="Arial"/>
          <w:b/>
          <w:sz w:val="28"/>
          <w:szCs w:val="28"/>
        </w:rPr>
        <w:t>Consultancy for Financial Due Diligence in relation to the UK Government’s unit holding in King’s Cross Central Partnership</w:t>
      </w:r>
    </w:p>
    <w:p w:rsidR="00883724" w:rsidRPr="0059248B" w:rsidRDefault="00883724" w:rsidP="00883724">
      <w:pPr>
        <w:jc w:val="center"/>
        <w:rPr>
          <w:rFonts w:cs="Arial"/>
          <w:b/>
          <w:sz w:val="28"/>
          <w:szCs w:val="28"/>
        </w:rPr>
      </w:pPr>
      <w:r w:rsidRPr="0059248B">
        <w:rPr>
          <w:rFonts w:cs="Arial"/>
          <w:b/>
          <w:sz w:val="28"/>
          <w:szCs w:val="28"/>
        </w:rPr>
        <w:t>TO</w:t>
      </w:r>
    </w:p>
    <w:p w:rsidR="00F03BEA" w:rsidRDefault="001F506D" w:rsidP="00883724">
      <w:pPr>
        <w:jc w:val="center"/>
        <w:rPr>
          <w:rFonts w:cs="Arial"/>
          <w:b/>
          <w:sz w:val="28"/>
          <w:szCs w:val="28"/>
        </w:rPr>
      </w:pPr>
      <w:r>
        <w:rPr>
          <w:rFonts w:cs="Arial"/>
          <w:b/>
          <w:sz w:val="28"/>
          <w:szCs w:val="28"/>
        </w:rPr>
        <w:t>The Department for Transport</w:t>
      </w:r>
      <w:r w:rsidR="00F03BEA">
        <w:rPr>
          <w:rFonts w:cs="Arial"/>
          <w:b/>
          <w:sz w:val="28"/>
          <w:szCs w:val="28"/>
        </w:rPr>
        <w:t xml:space="preserve"> </w:t>
      </w:r>
    </w:p>
    <w:p w:rsidR="00883724" w:rsidRPr="0059248B" w:rsidRDefault="00F03BEA" w:rsidP="00883724">
      <w:pPr>
        <w:jc w:val="center"/>
        <w:rPr>
          <w:rFonts w:cs="Arial"/>
          <w:b/>
          <w:sz w:val="28"/>
          <w:szCs w:val="28"/>
        </w:rPr>
      </w:pPr>
      <w:r>
        <w:rPr>
          <w:rFonts w:cs="Arial"/>
          <w:b/>
          <w:sz w:val="28"/>
          <w:szCs w:val="28"/>
        </w:rPr>
        <w:t>and London &amp; Continental Railways</w:t>
      </w:r>
    </w:p>
    <w:p w:rsidR="00883724" w:rsidRPr="0059248B" w:rsidRDefault="00883724" w:rsidP="00883724">
      <w:pPr>
        <w:pStyle w:val="Header"/>
        <w:jc w:val="center"/>
        <w:rPr>
          <w:rFonts w:cs="Arial"/>
          <w:b/>
          <w:sz w:val="28"/>
          <w:szCs w:val="28"/>
        </w:rPr>
      </w:pPr>
      <w:r>
        <w:rPr>
          <w:rFonts w:cs="Arial"/>
          <w:b/>
          <w:sz w:val="28"/>
          <w:szCs w:val="28"/>
        </w:rPr>
        <w:t>From</w:t>
      </w:r>
    </w:p>
    <w:p w:rsidR="00883724" w:rsidRPr="00FB26D7" w:rsidRDefault="00FB26D7" w:rsidP="00FB26D7">
      <w:pPr>
        <w:pStyle w:val="Header"/>
        <w:jc w:val="center"/>
        <w:rPr>
          <w:rFonts w:cs="Arial"/>
          <w:b/>
          <w:sz w:val="28"/>
          <w:szCs w:val="28"/>
        </w:rPr>
      </w:pPr>
      <w:r>
        <w:rPr>
          <w:rFonts w:cs="Arial"/>
          <w:b/>
          <w:sz w:val="28"/>
          <w:szCs w:val="28"/>
        </w:rPr>
        <w:t>Ernst &amp; Young LLP</w:t>
      </w:r>
    </w:p>
    <w:p w:rsidR="00883724" w:rsidRPr="0059248B" w:rsidRDefault="00883724" w:rsidP="00883724">
      <w:pPr>
        <w:jc w:val="center"/>
        <w:rPr>
          <w:rFonts w:cs="Arial"/>
          <w:sz w:val="28"/>
          <w:szCs w:val="28"/>
        </w:rPr>
      </w:pPr>
    </w:p>
    <w:p w:rsidR="00883724" w:rsidRPr="0059248B" w:rsidRDefault="00883724" w:rsidP="00883724">
      <w:pPr>
        <w:jc w:val="center"/>
        <w:rPr>
          <w:rFonts w:cs="Arial"/>
          <w:sz w:val="28"/>
          <w:szCs w:val="28"/>
        </w:rPr>
      </w:pPr>
    </w:p>
    <w:p w:rsidR="00883724" w:rsidRPr="0059248B" w:rsidRDefault="001F506D" w:rsidP="00883724">
      <w:pPr>
        <w:jc w:val="center"/>
        <w:rPr>
          <w:rFonts w:cs="Arial"/>
          <w:sz w:val="28"/>
          <w:szCs w:val="28"/>
        </w:rPr>
      </w:pPr>
      <w:r>
        <w:rPr>
          <w:rFonts w:cs="Arial"/>
          <w:b/>
          <w:sz w:val="28"/>
          <w:szCs w:val="28"/>
        </w:rPr>
        <w:t>RM5925 SO10605</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6A2EAF">
        <w:rPr>
          <w:rFonts w:cs="Arial"/>
          <w:b/>
          <w:bCs/>
          <w:szCs w:val="22"/>
        </w:rPr>
        <w:t>5</w:t>
      </w:r>
    </w:p>
    <w:p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Pr>
          <w:rFonts w:cs="Arial"/>
          <w:b/>
          <w:bCs/>
          <w:szCs w:val="22"/>
        </w:rPr>
        <w:t>8</w:t>
      </w:r>
    </w:p>
    <w:p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61085B" w:rsidRDefault="0061085B" w:rsidP="0061085B">
      <w:pPr>
        <w:pStyle w:val="MarginText"/>
        <w:jc w:val="center"/>
        <w:rPr>
          <w:rFonts w:cs="Arial"/>
          <w:b/>
          <w:sz w:val="28"/>
          <w:szCs w:val="28"/>
        </w:rPr>
      </w:pPr>
    </w:p>
    <w:p w:rsidR="0061085B" w:rsidRDefault="0061085B" w:rsidP="0061085B">
      <w:pPr>
        <w:pStyle w:val="MarginText"/>
        <w:jc w:val="center"/>
        <w:rPr>
          <w:rFonts w:cs="Arial"/>
          <w:b/>
          <w:sz w:val="28"/>
          <w:szCs w:val="28"/>
        </w:rPr>
      </w:pPr>
    </w:p>
    <w:p w:rsidR="0061085B" w:rsidRDefault="0061085B" w:rsidP="0061085B">
      <w:pPr>
        <w:pStyle w:val="MarginText"/>
        <w:jc w:val="center"/>
        <w:rPr>
          <w:rFonts w:cs="Arial"/>
          <w:b/>
          <w:sz w:val="28"/>
          <w:szCs w:val="28"/>
        </w:rPr>
      </w:pPr>
    </w:p>
    <w:p w:rsidR="0061085B" w:rsidRPr="00005344" w:rsidRDefault="0061085B" w:rsidP="0061085B">
      <w:pPr>
        <w:pStyle w:val="MarginText"/>
        <w:jc w:val="center"/>
        <w:rPr>
          <w:rFonts w:cs="Arial"/>
          <w:b/>
          <w:sz w:val="28"/>
          <w:szCs w:val="28"/>
        </w:rPr>
      </w:pPr>
    </w:p>
    <w:p w:rsidR="0061085B" w:rsidRPr="00005344" w:rsidRDefault="0061085B" w:rsidP="0061085B">
      <w:pPr>
        <w:pStyle w:val="MarginText"/>
        <w:jc w:val="center"/>
        <w:rPr>
          <w:rFonts w:cs="Arial"/>
          <w:b/>
          <w:szCs w:val="22"/>
        </w:rPr>
      </w:pPr>
      <w:r w:rsidRPr="00005344">
        <w:rPr>
          <w:rFonts w:cs="Arial"/>
          <w:b/>
          <w:szCs w:val="22"/>
        </w:rPr>
        <w:t>Blank Page</w:t>
      </w:r>
    </w:p>
    <w:p w:rsidR="0061085B" w:rsidRDefault="0061085B">
      <w:pPr>
        <w:overflowPunct/>
        <w:autoSpaceDE/>
        <w:autoSpaceDN/>
        <w:adjustRightInd/>
        <w:spacing w:after="0" w:line="240" w:lineRule="auto"/>
        <w:jc w:val="left"/>
        <w:textAlignment w:val="auto"/>
        <w:rPr>
          <w:rFonts w:eastAsia="STZhongsong" w:cs="Arial"/>
          <w:b/>
          <w:sz w:val="28"/>
          <w:szCs w:val="28"/>
          <w:lang w:eastAsia="zh-CN"/>
        </w:rPr>
      </w:pPr>
      <w:r>
        <w:rPr>
          <w:rFonts w:cs="Arial"/>
          <w:b/>
          <w:sz w:val="28"/>
          <w:szCs w:val="28"/>
        </w:rPr>
        <w:br w:type="page"/>
      </w:r>
    </w:p>
    <w:p w:rsidR="00883724" w:rsidRDefault="00883724" w:rsidP="002170AA">
      <w:pPr>
        <w:pStyle w:val="MarginText"/>
        <w:jc w:val="center"/>
        <w:rPr>
          <w:rFonts w:cs="Arial"/>
          <w:b/>
          <w:sz w:val="28"/>
          <w:szCs w:val="28"/>
        </w:rPr>
      </w:pPr>
    </w:p>
    <w:p w:rsidR="0061085B" w:rsidRDefault="0061085B" w:rsidP="002170AA">
      <w:pPr>
        <w:pStyle w:val="MarginText"/>
        <w:jc w:val="center"/>
        <w:rPr>
          <w:rFonts w:cs="Arial"/>
          <w:b/>
          <w:sz w:val="28"/>
          <w:szCs w:val="28"/>
        </w:rPr>
      </w:pPr>
    </w:p>
    <w:p w:rsidR="0061085B" w:rsidRDefault="0061085B" w:rsidP="002170AA">
      <w:pPr>
        <w:pStyle w:val="MarginText"/>
        <w:jc w:val="center"/>
        <w:rPr>
          <w:rFonts w:cs="Arial"/>
          <w:b/>
          <w:sz w:val="28"/>
          <w:szCs w:val="28"/>
        </w:rPr>
      </w:pPr>
    </w:p>
    <w:p w:rsidR="0061085B" w:rsidRDefault="0061085B" w:rsidP="002170AA">
      <w:pPr>
        <w:pStyle w:val="MarginText"/>
        <w:jc w:val="center"/>
        <w:rPr>
          <w:rFonts w:cs="Arial"/>
          <w:b/>
          <w:sz w:val="28"/>
          <w:szCs w:val="28"/>
        </w:rPr>
      </w:pPr>
    </w:p>
    <w:p w:rsidR="0061085B" w:rsidRDefault="0061085B" w:rsidP="002170AA">
      <w:pPr>
        <w:pStyle w:val="MarginText"/>
        <w:jc w:val="center"/>
        <w:rPr>
          <w:rFonts w:cs="Arial"/>
          <w:b/>
          <w:sz w:val="28"/>
          <w:szCs w:val="28"/>
        </w:rPr>
      </w:pPr>
    </w:p>
    <w:p w:rsidR="0061085B" w:rsidRDefault="0061085B"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2170AA" w:rsidRPr="00AE5A0F" w:rsidRDefault="0061085B" w:rsidP="002170AA">
      <w:pPr>
        <w:pStyle w:val="MarginText"/>
        <w:jc w:val="center"/>
        <w:rPr>
          <w:rFonts w:cs="Arial"/>
          <w:b/>
          <w:szCs w:val="22"/>
        </w:rPr>
      </w:pPr>
      <w:r>
        <w:rPr>
          <w:rFonts w:cs="Arial"/>
          <w:b/>
          <w:szCs w:val="22"/>
        </w:rPr>
        <w:br/>
      </w:r>
    </w:p>
    <w:p w:rsidR="009A1DAC" w:rsidRPr="008335FE" w:rsidRDefault="009A1DAC" w:rsidP="008335FE">
      <w:pPr>
        <w:jc w:val="center"/>
        <w:rPr>
          <w:b/>
        </w:rPr>
      </w:pP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rsidTr="000A35D8">
        <w:tc>
          <w:tcPr>
            <w:tcW w:w="8982" w:type="dxa"/>
            <w:shd w:val="clear" w:color="auto" w:fill="D9D9D9"/>
          </w:tcPr>
          <w:p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rsidTr="000A35D8">
        <w:tc>
          <w:tcPr>
            <w:tcW w:w="8982" w:type="dxa"/>
          </w:tcPr>
          <w:p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4363FF" w:rsidP="000F3939">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0F3939">
              <w:rPr>
                <w:rFonts w:cs="Arial"/>
                <w:sz w:val="20"/>
              </w:rPr>
              <w:t>10</w:t>
            </w:r>
            <w:r w:rsidR="000F3939" w:rsidRPr="000F3939">
              <w:rPr>
                <w:rFonts w:cs="Arial"/>
                <w:sz w:val="20"/>
                <w:vertAlign w:val="superscript"/>
              </w:rPr>
              <w:t>th</w:t>
            </w:r>
            <w:r w:rsidR="000F3939">
              <w:rPr>
                <w:rFonts w:cs="Arial"/>
                <w:sz w:val="20"/>
              </w:rPr>
              <w:t xml:space="preserve"> August 2015. </w:t>
            </w:r>
          </w:p>
        </w:tc>
      </w:tr>
      <w:tr w:rsidR="004363FF" w:rsidRPr="005E64BF" w:rsidTr="000A35D8">
        <w:tc>
          <w:tcPr>
            <w:tcW w:w="8982" w:type="dxa"/>
          </w:tcPr>
          <w:p w:rsidR="004363FF" w:rsidRPr="005E64BF" w:rsidRDefault="004363FF" w:rsidP="000A35D8">
            <w:pPr>
              <w:widowControl w:val="0"/>
              <w:spacing w:line="240" w:lineRule="auto"/>
              <w:rPr>
                <w:rFonts w:cs="Arial"/>
                <w:b/>
                <w:sz w:val="20"/>
              </w:rPr>
            </w:pPr>
            <w:r w:rsidRPr="005E64BF">
              <w:rPr>
                <w:rFonts w:cs="Arial"/>
                <w:b/>
                <w:sz w:val="20"/>
              </w:rPr>
              <w:t>1.2 Expiry Date</w:t>
            </w:r>
          </w:p>
          <w:p w:rsidR="004363FF" w:rsidRDefault="004363FF" w:rsidP="000A35D8">
            <w:pPr>
              <w:widowControl w:val="0"/>
              <w:spacing w:line="240" w:lineRule="auto"/>
              <w:rPr>
                <w:rFonts w:cs="Arial"/>
                <w:sz w:val="20"/>
              </w:rPr>
            </w:pPr>
            <w:r w:rsidRPr="005E64BF">
              <w:rPr>
                <w:rFonts w:cs="Arial"/>
                <w:sz w:val="20"/>
              </w:rPr>
              <w:t>1.2.1 This Contract shall expire on:</w:t>
            </w:r>
            <w:r w:rsidR="00E266A6">
              <w:rPr>
                <w:rFonts w:cs="Arial"/>
                <w:sz w:val="20"/>
              </w:rPr>
              <w:t xml:space="preserve"> </w:t>
            </w:r>
            <w:r w:rsidR="00E266A6" w:rsidRPr="00E266A6">
              <w:rPr>
                <w:rFonts w:cs="Arial"/>
                <w:sz w:val="20"/>
              </w:rPr>
              <w:t>Wednesday 10th April 2016.</w:t>
            </w:r>
          </w:p>
          <w:p w:rsidR="004363FF" w:rsidRPr="005E64BF" w:rsidRDefault="004363FF" w:rsidP="000A35D8">
            <w:pPr>
              <w:widowControl w:val="0"/>
              <w:spacing w:line="240" w:lineRule="auto"/>
              <w:ind w:left="720"/>
              <w:rPr>
                <w:rFonts w:cs="Arial"/>
                <w:sz w:val="20"/>
              </w:rPr>
            </w:pPr>
            <w:r w:rsidRPr="000F3939">
              <w:rPr>
                <w:rFonts w:cs="Arial"/>
                <w:sz w:val="20"/>
              </w:rPr>
              <w:t xml:space="preserve">Completion </w:t>
            </w:r>
            <w:r w:rsidR="004F17A4" w:rsidRPr="000F3939">
              <w:rPr>
                <w:rFonts w:cs="Arial"/>
                <w:sz w:val="20"/>
              </w:rPr>
              <w:t xml:space="preserve">in accordance with the terms of the Contract, of the Contract </w:t>
            </w:r>
            <w:r w:rsidR="000A29FE" w:rsidRPr="000F3939">
              <w:rPr>
                <w:rFonts w:cs="Arial"/>
                <w:sz w:val="20"/>
              </w:rPr>
              <w:t>Services specified</w:t>
            </w:r>
            <w:r w:rsidRPr="000F3939">
              <w:rPr>
                <w:rFonts w:cs="Arial"/>
                <w:sz w:val="20"/>
              </w:rPr>
              <w:t xml:space="preserve"> in this </w:t>
            </w:r>
            <w:r w:rsidR="004A3C70" w:rsidRPr="000F3939">
              <w:rPr>
                <w:rFonts w:cs="Arial"/>
                <w:sz w:val="20"/>
              </w:rPr>
              <w:t>Appendix 1</w:t>
            </w:r>
            <w:r w:rsidR="000A6ED6" w:rsidRPr="000F3939">
              <w:rPr>
                <w:rFonts w:cs="Arial"/>
                <w:sz w:val="20"/>
              </w:rPr>
              <w:t xml:space="preserve"> u</w:t>
            </w:r>
            <w:r w:rsidRPr="000F3939">
              <w:rPr>
                <w:rFonts w:cs="Arial"/>
                <w:sz w:val="20"/>
              </w:rPr>
              <w:t>nless terminated earlier pursuant to this Contract.</w:t>
            </w:r>
            <w:r w:rsidR="009A1DAC" w:rsidRPr="005E64BF">
              <w:rPr>
                <w:rFonts w:cs="Arial"/>
                <w:sz w:val="20"/>
              </w:rPr>
              <w:t xml:space="preserve"> </w:t>
            </w:r>
          </w:p>
        </w:tc>
      </w:tr>
      <w:tr w:rsidR="000F3939" w:rsidRPr="005E64BF" w:rsidTr="000A35D8">
        <w:tc>
          <w:tcPr>
            <w:tcW w:w="8982" w:type="dxa"/>
          </w:tcPr>
          <w:p w:rsidR="000F3939" w:rsidRPr="005E64BF" w:rsidRDefault="000F3939" w:rsidP="000A35D8">
            <w:pPr>
              <w:widowControl w:val="0"/>
              <w:spacing w:line="240" w:lineRule="auto"/>
              <w:rPr>
                <w:rFonts w:cs="Arial"/>
                <w:b/>
                <w:sz w:val="20"/>
              </w:rPr>
            </w:pPr>
          </w:p>
        </w:tc>
      </w:tr>
    </w:tbl>
    <w:p w:rsidR="000A35D8" w:rsidRDefault="000A35D8" w:rsidP="0061085B">
      <w:pPr>
        <w:pStyle w:val="MarginText"/>
        <w:jc w:val="center"/>
        <w:rPr>
          <w:rFonts w:cs="Arial"/>
          <w:b/>
          <w:szCs w:val="22"/>
        </w:rPr>
      </w:pPr>
      <w:r w:rsidRPr="00AE5A0F">
        <w:rPr>
          <w:rFonts w:cs="Arial"/>
          <w:b/>
          <w:szCs w:val="22"/>
        </w:rPr>
        <w:t xml:space="preserve">Appendix </w:t>
      </w:r>
      <w:r>
        <w:rPr>
          <w:rFonts w:cs="Arial"/>
          <w:b/>
          <w:szCs w:val="22"/>
        </w:rPr>
        <w:t>1</w:t>
      </w:r>
      <w:r w:rsidR="0061085B">
        <w:rPr>
          <w:rFonts w:cs="Arial"/>
          <w:b/>
          <w:szCs w:val="22"/>
        </w:rPr>
        <w:t>: Contract Services</w:t>
      </w:r>
    </w:p>
    <w:p w:rsidR="004363FF" w:rsidRPr="005E64BF" w:rsidRDefault="004363FF" w:rsidP="005E64BF">
      <w:pPr>
        <w:widowControl w:val="0"/>
        <w:spacing w:line="240" w:lineRule="auto"/>
        <w:rPr>
          <w:rFonts w:cs="Arial"/>
          <w:b/>
          <w:i/>
          <w:sz w:val="20"/>
        </w:rPr>
      </w:pPr>
    </w:p>
    <w:p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rsidTr="005B48E6">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5B48E6">
        <w:tc>
          <w:tcPr>
            <w:tcW w:w="9039" w:type="dxa"/>
            <w:shd w:val="clear" w:color="auto" w:fill="auto"/>
          </w:tcPr>
          <w:p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rsidR="00C054FC" w:rsidRPr="00C054FC" w:rsidRDefault="00C054FC" w:rsidP="005E64BF">
            <w:pPr>
              <w:widowControl w:val="0"/>
              <w:spacing w:line="240" w:lineRule="auto"/>
              <w:rPr>
                <w:rFonts w:cs="Arial"/>
                <w:sz w:val="20"/>
              </w:rPr>
            </w:pPr>
            <w:r w:rsidRPr="00C054FC">
              <w:rPr>
                <w:rFonts w:cs="Arial"/>
                <w:sz w:val="20"/>
              </w:rPr>
              <w:t>The Service Requirements are contained within Appendix B Service Description attached below:</w:t>
            </w:r>
          </w:p>
          <w:bookmarkStart w:id="0" w:name="_MON_1499509367"/>
          <w:bookmarkEnd w:id="0"/>
          <w:p w:rsidR="00212002" w:rsidRPr="00212002" w:rsidRDefault="00C054FC" w:rsidP="00F07C97">
            <w:pPr>
              <w:widowControl w:val="0"/>
              <w:spacing w:line="240" w:lineRule="auto"/>
              <w:rPr>
                <w:rFonts w:cs="Arial"/>
                <w:b/>
                <w:i/>
                <w:sz w:val="20"/>
              </w:rPr>
            </w:pPr>
            <w:r>
              <w:rPr>
                <w:rFonts w:cs="Arial"/>
                <w:b/>
                <w:i/>
                <w:sz w:val="20"/>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Word.Document.12" ShapeID="_x0000_i1025" DrawAspect="Icon" ObjectID="_1502103752" r:id="rId14">
                  <o:FieldCodes>\s</o:FieldCodes>
                </o:OLEObject>
              </w:object>
            </w:r>
          </w:p>
        </w:tc>
      </w:tr>
    </w:tbl>
    <w:p w:rsidR="004363FF" w:rsidRPr="005E64BF" w:rsidRDefault="004363FF" w:rsidP="005E64BF">
      <w:pPr>
        <w:spacing w:line="240" w:lineRule="auto"/>
        <w:rPr>
          <w:rFonts w:cs="Arial"/>
          <w:sz w:val="20"/>
        </w:rPr>
      </w:pPr>
    </w:p>
    <w:p w:rsidR="00C06985" w:rsidRDefault="00C06985">
      <w:pPr>
        <w:overflowPunct/>
        <w:autoSpaceDE/>
        <w:autoSpaceDN/>
        <w:adjustRightInd/>
        <w:spacing w:after="0" w:line="240" w:lineRule="auto"/>
        <w:jc w:val="left"/>
        <w:textAlignment w:val="auto"/>
        <w:rPr>
          <w:rFonts w:cs="Arial"/>
          <w:sz w:val="20"/>
        </w:rPr>
      </w:pPr>
      <w:r>
        <w:rPr>
          <w:rFonts w:cs="Arial"/>
          <w:sz w:val="20"/>
        </w:rPr>
        <w:br w:type="page"/>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rsidTr="008F76B2">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rsidTr="008F76B2">
        <w:trPr>
          <w:trHeight w:val="2117"/>
        </w:trPr>
        <w:tc>
          <w:tcPr>
            <w:tcW w:w="9245" w:type="dxa"/>
            <w:shd w:val="clear" w:color="auto" w:fill="auto"/>
          </w:tcPr>
          <w:p w:rsidR="004363FF" w:rsidRDefault="00C06985" w:rsidP="000B7311">
            <w:pPr>
              <w:pStyle w:val="MarginText"/>
              <w:ind w:left="720" w:hanging="720"/>
              <w:rPr>
                <w:rFonts w:cs="Arial"/>
                <w:b/>
                <w:sz w:val="20"/>
              </w:rPr>
            </w:pPr>
            <w:r w:rsidRPr="00C06985">
              <w:rPr>
                <w:rFonts w:cs="Arial"/>
                <w:b/>
                <w:sz w:val="20"/>
              </w:rPr>
              <w:t>3.1</w:t>
            </w:r>
            <w:r>
              <w:rPr>
                <w:rFonts w:cs="Arial"/>
                <w:b/>
                <w:sz w:val="20"/>
              </w:rPr>
              <w:t xml:space="preserve"> Performance of the Services and Deliverables</w:t>
            </w:r>
          </w:p>
          <w:p w:rsidR="00C06985" w:rsidRPr="00C06985" w:rsidRDefault="00C06985" w:rsidP="00C06985">
            <w:pPr>
              <w:tabs>
                <w:tab w:val="num" w:pos="1004"/>
              </w:tabs>
              <w:spacing w:after="120" w:line="240" w:lineRule="auto"/>
              <w:outlineLvl w:val="1"/>
              <w:rPr>
                <w:rFonts w:eastAsia="STZhongsong"/>
                <w:lang w:eastAsia="zh-CN"/>
              </w:rPr>
            </w:pPr>
            <w:r w:rsidRPr="00C06985">
              <w:rPr>
                <w:rFonts w:eastAsia="STZhongsong"/>
                <w:lang w:eastAsia="zh-CN"/>
              </w:rPr>
              <w:t xml:space="preserve">The Authority will measure the quality of the Supplier’s delivery by delivery against milestones: </w:t>
            </w:r>
          </w:p>
          <w:p w:rsidR="00C06985" w:rsidRPr="00C06985" w:rsidRDefault="00C06985" w:rsidP="00C06985">
            <w:pPr>
              <w:overflowPunct/>
              <w:autoSpaceDE/>
              <w:autoSpaceDN/>
              <w:spacing w:line="240" w:lineRule="auto"/>
              <w:textAlignment w:val="auto"/>
              <w:outlineLvl w:val="2"/>
              <w:rPr>
                <w:rFonts w:eastAsia="STZhongsong"/>
                <w:b/>
                <w:lang w:eastAsia="zh-CN"/>
              </w:rPr>
            </w:pPr>
            <w:r w:rsidRPr="00C06985">
              <w:rPr>
                <w:rFonts w:eastAsia="STZhongsong"/>
                <w:lang w:eastAsia="zh-CN"/>
              </w:rPr>
              <w:t>The Plan as at the Effective Date is set out below: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523"/>
              <w:gridCol w:w="1134"/>
              <w:gridCol w:w="1417"/>
              <w:gridCol w:w="2948"/>
            </w:tblGrid>
            <w:tr w:rsidR="00C06985" w:rsidRPr="00C06985" w:rsidTr="00FB26D7">
              <w:trPr>
                <w:tblHeader/>
              </w:trPr>
              <w:tc>
                <w:tcPr>
                  <w:tcW w:w="1158" w:type="dxa"/>
                  <w:tcBorders>
                    <w:bottom w:val="single" w:sz="4" w:space="0" w:color="auto"/>
                  </w:tcBorders>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Milestone</w:t>
                  </w:r>
                </w:p>
              </w:tc>
              <w:tc>
                <w:tcPr>
                  <w:tcW w:w="2523" w:type="dxa"/>
                  <w:tcBorders>
                    <w:bottom w:val="single" w:sz="4" w:space="0" w:color="auto"/>
                  </w:tcBorders>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Deliverables</w:t>
                  </w:r>
                </w:p>
                <w:p w:rsidR="00C06985" w:rsidRPr="00C06985" w:rsidRDefault="00C06985" w:rsidP="00C06985">
                  <w:pPr>
                    <w:overflowPunct/>
                    <w:autoSpaceDE/>
                    <w:autoSpaceDN/>
                    <w:spacing w:line="240" w:lineRule="auto"/>
                    <w:jc w:val="left"/>
                    <w:textAlignment w:val="auto"/>
                    <w:rPr>
                      <w:rFonts w:eastAsia="STZhongsong" w:cs="Arial"/>
                      <w:sz w:val="20"/>
                      <w:lang w:eastAsia="zh-CN"/>
                    </w:rPr>
                  </w:pPr>
                  <w:r w:rsidRPr="00C06985">
                    <w:rPr>
                      <w:rFonts w:eastAsia="STZhongsong" w:cs="Arial"/>
                      <w:sz w:val="20"/>
                      <w:lang w:eastAsia="zh-CN"/>
                    </w:rPr>
                    <w:t>(bulleted list showing all Deliverables (and associated tasks) required for each Milestone)</w:t>
                  </w:r>
                </w:p>
              </w:tc>
              <w:tc>
                <w:tcPr>
                  <w:tcW w:w="1134" w:type="dxa"/>
                  <w:tcBorders>
                    <w:bottom w:val="single" w:sz="4" w:space="0" w:color="auto"/>
                  </w:tcBorders>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Duration</w:t>
                  </w:r>
                </w:p>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(Working Days)</w:t>
                  </w:r>
                </w:p>
              </w:tc>
              <w:tc>
                <w:tcPr>
                  <w:tcW w:w="1417" w:type="dxa"/>
                  <w:tcBorders>
                    <w:bottom w:val="single" w:sz="4" w:space="0" w:color="auto"/>
                  </w:tcBorders>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Milestone Date</w:t>
                  </w:r>
                </w:p>
              </w:tc>
              <w:tc>
                <w:tcPr>
                  <w:tcW w:w="2948" w:type="dxa"/>
                  <w:tcBorders>
                    <w:bottom w:val="single" w:sz="4" w:space="0" w:color="auto"/>
                  </w:tcBorders>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Customer Responsibilities (if applicable)</w:t>
                  </w:r>
                </w:p>
              </w:tc>
            </w:tr>
            <w:tr w:rsidR="00C06985" w:rsidRPr="00C06985" w:rsidTr="00FB26D7">
              <w:trPr>
                <w:trHeight w:val="580"/>
                <w:tblHeader/>
              </w:trPr>
              <w:tc>
                <w:tcPr>
                  <w:tcW w:w="1158"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1</w:t>
                  </w:r>
                </w:p>
              </w:tc>
              <w:tc>
                <w:tcPr>
                  <w:tcW w:w="2523"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Draft Report</w:t>
                  </w:r>
                </w:p>
              </w:tc>
              <w:tc>
                <w:tcPr>
                  <w:tcW w:w="1134"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5 weeks</w:t>
                  </w:r>
                </w:p>
              </w:tc>
              <w:tc>
                <w:tcPr>
                  <w:tcW w:w="1417"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7</w:t>
                  </w:r>
                  <w:r w:rsidRPr="00C06985">
                    <w:rPr>
                      <w:rFonts w:eastAsia="STZhongsong" w:cs="Arial"/>
                      <w:sz w:val="20"/>
                      <w:vertAlign w:val="superscript"/>
                      <w:lang w:eastAsia="zh-CN"/>
                    </w:rPr>
                    <w:t>th</w:t>
                  </w:r>
                  <w:r w:rsidRPr="00C06985">
                    <w:rPr>
                      <w:rFonts w:eastAsia="STZhongsong" w:cs="Arial"/>
                      <w:sz w:val="20"/>
                      <w:lang w:eastAsia="zh-CN"/>
                    </w:rPr>
                    <w:t xml:space="preserve"> September 2015</w:t>
                  </w:r>
                </w:p>
              </w:tc>
              <w:tc>
                <w:tcPr>
                  <w:tcW w:w="2948"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highlight w:val="yellow"/>
                      <w:lang w:eastAsia="zh-CN"/>
                    </w:rPr>
                  </w:pPr>
                </w:p>
              </w:tc>
            </w:tr>
            <w:tr w:rsidR="00C06985" w:rsidRPr="00C06985" w:rsidTr="00FB26D7">
              <w:trPr>
                <w:tblHeader/>
              </w:trPr>
              <w:tc>
                <w:tcPr>
                  <w:tcW w:w="1158"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2</w:t>
                  </w:r>
                </w:p>
              </w:tc>
              <w:tc>
                <w:tcPr>
                  <w:tcW w:w="2523"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Final report</w:t>
                  </w:r>
                </w:p>
              </w:tc>
              <w:tc>
                <w:tcPr>
                  <w:tcW w:w="1134"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 xml:space="preserve">4 weeks </w:t>
                  </w:r>
                </w:p>
              </w:tc>
              <w:tc>
                <w:tcPr>
                  <w:tcW w:w="1417"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lang w:eastAsia="zh-CN"/>
                    </w:rPr>
                  </w:pPr>
                  <w:r w:rsidRPr="00C06985">
                    <w:rPr>
                      <w:rFonts w:eastAsia="STZhongsong" w:cs="Arial"/>
                      <w:sz w:val="20"/>
                      <w:lang w:eastAsia="zh-CN"/>
                    </w:rPr>
                    <w:t>5</w:t>
                  </w:r>
                  <w:r w:rsidRPr="00C06985">
                    <w:rPr>
                      <w:rFonts w:eastAsia="STZhongsong" w:cs="Arial"/>
                      <w:sz w:val="20"/>
                      <w:vertAlign w:val="superscript"/>
                      <w:lang w:eastAsia="zh-CN"/>
                    </w:rPr>
                    <w:t>th</w:t>
                  </w:r>
                  <w:r w:rsidRPr="00C06985">
                    <w:rPr>
                      <w:rFonts w:eastAsia="STZhongsong" w:cs="Arial"/>
                      <w:sz w:val="20"/>
                      <w:lang w:eastAsia="zh-CN"/>
                    </w:rPr>
                    <w:t xml:space="preserve"> October 2015</w:t>
                  </w:r>
                </w:p>
              </w:tc>
              <w:tc>
                <w:tcPr>
                  <w:tcW w:w="2948" w:type="dxa"/>
                  <w:shd w:val="clear" w:color="auto" w:fill="auto"/>
                </w:tcPr>
                <w:p w:rsidR="00C06985" w:rsidRPr="00C06985" w:rsidRDefault="00C06985" w:rsidP="00C06985">
                  <w:pPr>
                    <w:overflowPunct/>
                    <w:autoSpaceDE/>
                    <w:autoSpaceDN/>
                    <w:spacing w:line="240" w:lineRule="auto"/>
                    <w:textAlignment w:val="auto"/>
                    <w:rPr>
                      <w:rFonts w:eastAsia="STZhongsong" w:cs="Arial"/>
                      <w:sz w:val="20"/>
                      <w:highlight w:val="yellow"/>
                      <w:lang w:eastAsia="zh-CN"/>
                    </w:rPr>
                  </w:pPr>
                </w:p>
              </w:tc>
            </w:tr>
          </w:tbl>
          <w:p w:rsidR="00C06985" w:rsidRPr="00C06985" w:rsidRDefault="00C06985" w:rsidP="00C06985">
            <w:pPr>
              <w:overflowPunct/>
              <w:autoSpaceDE/>
              <w:autoSpaceDN/>
              <w:spacing w:line="240" w:lineRule="auto"/>
              <w:textAlignment w:val="auto"/>
              <w:outlineLvl w:val="2"/>
              <w:rPr>
                <w:rFonts w:eastAsia="STZhongsong"/>
                <w:b/>
                <w:highlight w:val="yellow"/>
                <w:lang w:eastAsia="zh-CN"/>
              </w:rPr>
            </w:pPr>
          </w:p>
          <w:p w:rsidR="00C06985" w:rsidRPr="00C06985" w:rsidRDefault="00C06985" w:rsidP="00C06985">
            <w:pPr>
              <w:overflowPunct/>
              <w:autoSpaceDE/>
              <w:autoSpaceDN/>
              <w:spacing w:line="240" w:lineRule="auto"/>
              <w:textAlignment w:val="auto"/>
              <w:outlineLvl w:val="2"/>
              <w:rPr>
                <w:rFonts w:eastAsia="STZhongsong"/>
                <w:b/>
                <w:lang w:eastAsia="zh-CN"/>
              </w:rPr>
            </w:pPr>
            <w:r w:rsidRPr="00C06985">
              <w:rPr>
                <w:rFonts w:eastAsia="STZhongsong" w:cs="Arial"/>
                <w:szCs w:val="22"/>
                <w:lang w:eastAsia="zh-CN"/>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rsidR="00C06985" w:rsidRPr="00C06985" w:rsidRDefault="00C06985" w:rsidP="00C06985">
            <w:pPr>
              <w:overflowPunct/>
              <w:autoSpaceDE/>
              <w:autoSpaceDN/>
              <w:spacing w:line="240" w:lineRule="auto"/>
              <w:textAlignment w:val="auto"/>
              <w:outlineLvl w:val="2"/>
              <w:rPr>
                <w:rFonts w:eastAsia="STZhongsong"/>
                <w:b/>
                <w:lang w:eastAsia="zh-CN"/>
              </w:rPr>
            </w:pPr>
            <w:r w:rsidRPr="00C06985">
              <w:rPr>
                <w:rFonts w:eastAsia="STZhongsong" w:cs="Arial"/>
                <w:szCs w:val="22"/>
                <w:lang w:eastAsia="zh-CN"/>
              </w:rPr>
              <w:t>The Customer shall have the right to require the Supplier to include any reasonable changes or provisions in each version of the Implementation Plan.</w:t>
            </w:r>
          </w:p>
          <w:p w:rsidR="00C06985" w:rsidRPr="00C06985" w:rsidRDefault="00C06985" w:rsidP="00C06985">
            <w:pPr>
              <w:overflowPunct/>
              <w:autoSpaceDE/>
              <w:autoSpaceDN/>
              <w:spacing w:line="240" w:lineRule="auto"/>
              <w:textAlignment w:val="auto"/>
              <w:outlineLvl w:val="2"/>
              <w:rPr>
                <w:rFonts w:eastAsia="STZhongsong"/>
                <w:b/>
                <w:lang w:eastAsia="zh-CN"/>
              </w:rPr>
            </w:pPr>
            <w:r w:rsidRPr="00C06985">
              <w:rPr>
                <w:rFonts w:eastAsia="STZhongsong" w:cs="Arial"/>
                <w:szCs w:val="22"/>
                <w:lang w:eastAsia="zh-CN"/>
              </w:rPr>
              <w:t>The Supplier shall perform its obligations so as to achieve each Milestone by the Milestone Date.</w:t>
            </w:r>
          </w:p>
          <w:p w:rsidR="00C06985" w:rsidRPr="00C06985" w:rsidRDefault="00C06985" w:rsidP="00C06985">
            <w:pPr>
              <w:overflowPunct/>
              <w:autoSpaceDE/>
              <w:autoSpaceDN/>
              <w:spacing w:line="240" w:lineRule="auto"/>
              <w:textAlignment w:val="auto"/>
              <w:outlineLvl w:val="2"/>
              <w:rPr>
                <w:rFonts w:eastAsia="STZhongsong"/>
                <w:b/>
                <w:lang w:eastAsia="zh-CN"/>
              </w:rPr>
            </w:pPr>
            <w:r w:rsidRPr="00C06985">
              <w:rPr>
                <w:rFonts w:eastAsia="STZhongsong" w:cs="Arial"/>
                <w:szCs w:val="22"/>
                <w:lang w:eastAsia="zh-CN"/>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rsidR="00E34621" w:rsidRPr="00DB1822" w:rsidRDefault="00E34621" w:rsidP="00F07C97">
            <w:pPr>
              <w:pStyle w:val="MarginText"/>
              <w:ind w:left="720" w:hanging="720"/>
              <w:rPr>
                <w:rFonts w:cs="Arial"/>
                <w:b/>
                <w:sz w:val="20"/>
              </w:rPr>
            </w:pPr>
          </w:p>
        </w:tc>
      </w:tr>
      <w:tr w:rsidR="004363FF" w:rsidRPr="005E64BF" w:rsidTr="008F76B2">
        <w:tc>
          <w:tcPr>
            <w:tcW w:w="9245" w:type="dxa"/>
            <w:shd w:val="clear" w:color="auto" w:fill="auto"/>
          </w:tcPr>
          <w:p w:rsidR="00E34621" w:rsidRDefault="004363FF" w:rsidP="00E34621">
            <w:pPr>
              <w:keepNext/>
              <w:widowControl w:val="0"/>
              <w:spacing w:line="240" w:lineRule="auto"/>
              <w:rPr>
                <w:rFonts w:cs="Arial"/>
                <w:b/>
                <w:sz w:val="20"/>
              </w:rPr>
            </w:pPr>
            <w:r w:rsidRPr="005E64BF">
              <w:rPr>
                <w:rFonts w:cs="Arial"/>
                <w:b/>
                <w:sz w:val="20"/>
              </w:rPr>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rsidR="00C06985" w:rsidRPr="00C06985" w:rsidRDefault="00C06985" w:rsidP="00C06985">
            <w:pPr>
              <w:overflowPunct/>
              <w:autoSpaceDE/>
              <w:autoSpaceDN/>
              <w:adjustRightInd/>
              <w:spacing w:after="0" w:line="240" w:lineRule="auto"/>
              <w:jc w:val="left"/>
              <w:textAlignment w:val="auto"/>
              <w:outlineLvl w:val="2"/>
              <w:rPr>
                <w:rFonts w:eastAsia="STZhongsong"/>
                <w:b/>
                <w:lang w:eastAsia="zh-CN"/>
              </w:rPr>
            </w:pPr>
            <w:r w:rsidRPr="00C06985">
              <w:rPr>
                <w:rFonts w:eastAsia="STZhongsong" w:cs="Arial"/>
                <w:szCs w:val="22"/>
                <w:lang w:eastAsia="zh-CN"/>
              </w:rPr>
              <w:t>Supplier’s performance shall be monitored through regular meetings, at least weekly.</w:t>
            </w:r>
          </w:p>
          <w:p w:rsidR="00E34621" w:rsidRPr="008F76B2" w:rsidRDefault="00E34621" w:rsidP="00F07C97">
            <w:pPr>
              <w:pStyle w:val="MarginText"/>
              <w:ind w:left="720" w:hanging="720"/>
              <w:rPr>
                <w:rFonts w:cs="Arial"/>
                <w:b/>
                <w:i/>
                <w:sz w:val="20"/>
                <w:shd w:val="clear" w:color="auto" w:fill="92D050"/>
              </w:rPr>
            </w:pPr>
          </w:p>
        </w:tc>
      </w:tr>
    </w:tbl>
    <w:p w:rsidR="004363FF" w:rsidRPr="005E64BF" w:rsidRDefault="004363FF" w:rsidP="005E64BF">
      <w:pPr>
        <w:widowControl w:val="0"/>
        <w:spacing w:line="240" w:lineRule="auto"/>
        <w:rPr>
          <w:rFonts w:cs="Arial"/>
          <w:sz w:val="20"/>
        </w:rPr>
      </w:pPr>
    </w:p>
    <w:p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rsidR="00102227" w:rsidRPr="008335FE" w:rsidRDefault="005C28AA" w:rsidP="0061085B">
      <w:pPr>
        <w:overflowPunct/>
        <w:autoSpaceDE/>
        <w:autoSpaceDN/>
        <w:adjustRightInd/>
        <w:spacing w:after="0" w:line="240" w:lineRule="auto"/>
        <w:jc w:val="center"/>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9322"/>
      </w:tblGrid>
      <w:tr w:rsidR="00C06985" w:rsidTr="00FB26D7">
        <w:tc>
          <w:tcPr>
            <w:tcW w:w="9322" w:type="dxa"/>
          </w:tcPr>
          <w:p w:rsidR="00C06985" w:rsidRPr="00AD615B"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Pr="00F07C97" w:rsidRDefault="00C06985" w:rsidP="00EA571E">
            <w:pPr>
              <w:rPr>
                <w:b/>
                <w:sz w:val="20"/>
              </w:rPr>
            </w:pPr>
            <w:r w:rsidRPr="00F07C97">
              <w:rPr>
                <w:b/>
                <w:sz w:val="20"/>
              </w:rPr>
              <w:t>The Authority requires the Contractor to deliver the services as</w:t>
            </w:r>
            <w:r w:rsidR="00FB26D7">
              <w:rPr>
                <w:b/>
                <w:sz w:val="20"/>
              </w:rPr>
              <w:t xml:space="preserve"> per the proposal dated 28</w:t>
            </w:r>
            <w:r w:rsidR="00FB26D7" w:rsidRPr="00FB26D7">
              <w:rPr>
                <w:b/>
                <w:sz w:val="20"/>
                <w:vertAlign w:val="superscript"/>
              </w:rPr>
              <w:t>th</w:t>
            </w:r>
            <w:r w:rsidR="00FB26D7">
              <w:rPr>
                <w:b/>
                <w:sz w:val="20"/>
              </w:rPr>
              <w:t xml:space="preserve"> July 2015.</w:t>
            </w:r>
            <w:r w:rsidR="006A2EAF">
              <w:rPr>
                <w:b/>
                <w:sz w:val="20"/>
              </w:rPr>
              <w:t xml:space="preserve"> The Supplier’s Quality and Commercial submissions are attached below:</w:t>
            </w:r>
            <w:r w:rsidR="00FB26D7">
              <w:rPr>
                <w:b/>
                <w:sz w:val="20"/>
              </w:rPr>
              <w:t xml:space="preserve"> </w:t>
            </w:r>
          </w:p>
          <w:p w:rsidR="00C06985" w:rsidRPr="00AD615B" w:rsidRDefault="00535D03" w:rsidP="00EA5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REDACTED</w:t>
            </w:r>
          </w:p>
          <w:p w:rsidR="00C06985" w:rsidRPr="007661E9"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Pr="00551CE5" w:rsidRDefault="00C06985" w:rsidP="00EA571E">
            <w:pPr>
              <w:overflowPunct/>
              <w:autoSpaceDE/>
              <w:autoSpaceDN/>
              <w:adjustRightInd/>
              <w:spacing w:after="0" w:line="240" w:lineRule="auto"/>
              <w:jc w:val="left"/>
              <w:textAlignment w:val="auto"/>
              <w:rPr>
                <w:rFonts w:eastAsia="STZhongsong" w:cs="Arial"/>
                <w:b/>
                <w:color w:val="FF0000"/>
                <w:sz w:val="20"/>
                <w:lang w:eastAsia="zh-CN"/>
              </w:rPr>
            </w:pPr>
          </w:p>
        </w:tc>
      </w:tr>
      <w:tr w:rsidR="00C06985" w:rsidTr="00FB26D7">
        <w:tc>
          <w:tcPr>
            <w:tcW w:w="9322" w:type="dxa"/>
          </w:tcPr>
          <w:p w:rsidR="00C06985"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Default="00C06985" w:rsidP="00EA571E">
            <w:pPr>
              <w:overflowPunct/>
              <w:autoSpaceDE/>
              <w:autoSpaceDN/>
              <w:adjustRightInd/>
              <w:spacing w:after="0" w:line="240" w:lineRule="auto"/>
              <w:jc w:val="left"/>
              <w:textAlignment w:val="auto"/>
              <w:rPr>
                <w:b/>
                <w:sz w:val="20"/>
              </w:rPr>
            </w:pPr>
            <w:r w:rsidRPr="007E7F9E">
              <w:rPr>
                <w:b/>
                <w:sz w:val="20"/>
              </w:rPr>
              <w:t xml:space="preserve">Charging </w:t>
            </w:r>
            <w:r>
              <w:rPr>
                <w:b/>
                <w:sz w:val="20"/>
              </w:rPr>
              <w:t>m</w:t>
            </w:r>
            <w:r w:rsidRPr="007E7F9E">
              <w:rPr>
                <w:b/>
                <w:sz w:val="20"/>
              </w:rPr>
              <w:t>echanism</w:t>
            </w:r>
            <w:r>
              <w:rPr>
                <w:b/>
                <w:sz w:val="20"/>
              </w:rPr>
              <w:t>, price and Day Rates</w:t>
            </w:r>
          </w:p>
          <w:p w:rsidR="00FB26D7" w:rsidRDefault="00FB26D7" w:rsidP="00EA571E">
            <w:pPr>
              <w:overflowPunct/>
              <w:autoSpaceDE/>
              <w:autoSpaceDN/>
              <w:adjustRightInd/>
              <w:spacing w:after="0" w:line="240" w:lineRule="auto"/>
              <w:jc w:val="left"/>
              <w:textAlignment w:val="auto"/>
              <w:rPr>
                <w:b/>
                <w:sz w:val="20"/>
              </w:rPr>
            </w:pPr>
          </w:p>
          <w:p w:rsidR="00FB26D7" w:rsidRDefault="00FB26D7" w:rsidP="00EA571E">
            <w:pPr>
              <w:overflowPunct/>
              <w:autoSpaceDE/>
              <w:autoSpaceDN/>
              <w:adjustRightInd/>
              <w:spacing w:after="0" w:line="240" w:lineRule="auto"/>
              <w:jc w:val="left"/>
              <w:textAlignment w:val="auto"/>
              <w:rPr>
                <w:b/>
                <w:sz w:val="20"/>
              </w:rPr>
            </w:pPr>
          </w:p>
          <w:p w:rsidR="00FB26D7" w:rsidRDefault="00FB26D7" w:rsidP="00EA571E">
            <w:pPr>
              <w:overflowPunct/>
              <w:autoSpaceDE/>
              <w:autoSpaceDN/>
              <w:adjustRightInd/>
              <w:spacing w:after="0" w:line="240" w:lineRule="auto"/>
              <w:jc w:val="left"/>
              <w:textAlignment w:val="auto"/>
              <w:rPr>
                <w:b/>
                <w:sz w:val="20"/>
              </w:rPr>
            </w:pPr>
          </w:p>
          <w:p w:rsidR="00FB26D7" w:rsidRDefault="00FB26D7" w:rsidP="00EA571E">
            <w:pPr>
              <w:overflowPunct/>
              <w:autoSpaceDE/>
              <w:autoSpaceDN/>
              <w:adjustRightInd/>
              <w:spacing w:after="0" w:line="240" w:lineRule="auto"/>
              <w:jc w:val="left"/>
              <w:textAlignment w:val="auto"/>
              <w:rPr>
                <w:b/>
                <w:sz w:val="20"/>
              </w:rPr>
            </w:pPr>
          </w:p>
          <w:p w:rsidR="00FB26D7" w:rsidRDefault="00FB26D7" w:rsidP="00EA571E">
            <w:pPr>
              <w:overflowPunct/>
              <w:autoSpaceDE/>
              <w:autoSpaceDN/>
              <w:adjustRightInd/>
              <w:spacing w:after="0" w:line="240" w:lineRule="auto"/>
              <w:jc w:val="left"/>
              <w:textAlignment w:val="auto"/>
              <w:rPr>
                <w:rFonts w:eastAsia="STZhongsong" w:cs="Arial"/>
                <w:sz w:val="20"/>
                <w:lang w:eastAsia="zh-CN"/>
              </w:rPr>
            </w:pPr>
          </w:p>
          <w:p w:rsidR="00C06985" w:rsidRDefault="006A2EAF" w:rsidP="00EA5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The maximum va</w:t>
            </w:r>
            <w:r w:rsidR="00CA59B6">
              <w:rPr>
                <w:rFonts w:eastAsia="STZhongsong" w:cs="Arial"/>
                <w:sz w:val="20"/>
                <w:lang w:eastAsia="zh-CN"/>
              </w:rPr>
              <w:t>lue of this contract is REDACTED</w:t>
            </w:r>
            <w:bookmarkStart w:id="1" w:name="_GoBack"/>
            <w:bookmarkEnd w:id="1"/>
            <w:r>
              <w:rPr>
                <w:rFonts w:eastAsia="STZhongsong" w:cs="Arial"/>
                <w:sz w:val="20"/>
                <w:lang w:eastAsia="zh-CN"/>
              </w:rPr>
              <w:t>.</w:t>
            </w:r>
          </w:p>
          <w:p w:rsidR="00C06985"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Pr="007661E9" w:rsidRDefault="00C06985" w:rsidP="00F07C97">
            <w:pPr>
              <w:overflowPunct/>
              <w:autoSpaceDE/>
              <w:autoSpaceDN/>
              <w:adjustRightInd/>
              <w:spacing w:after="0" w:line="240" w:lineRule="auto"/>
              <w:jc w:val="left"/>
              <w:textAlignment w:val="auto"/>
              <w:rPr>
                <w:rFonts w:eastAsia="STZhongsong" w:cs="Arial"/>
                <w:sz w:val="20"/>
                <w:lang w:eastAsia="zh-CN"/>
              </w:rPr>
            </w:pPr>
          </w:p>
        </w:tc>
      </w:tr>
      <w:tr w:rsidR="00C06985" w:rsidTr="00FB26D7">
        <w:tc>
          <w:tcPr>
            <w:tcW w:w="9322" w:type="dxa"/>
          </w:tcPr>
          <w:p w:rsidR="00C06985" w:rsidRPr="007661E9"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Pr="007661E9" w:rsidRDefault="00C06985"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C06985" w:rsidRPr="007661E9" w:rsidRDefault="00C06985" w:rsidP="00EA571E">
            <w:pPr>
              <w:overflowPunct/>
              <w:autoSpaceDE/>
              <w:autoSpaceDN/>
              <w:adjustRightInd/>
              <w:spacing w:after="0" w:line="240" w:lineRule="auto"/>
              <w:jc w:val="left"/>
              <w:textAlignment w:val="auto"/>
              <w:rPr>
                <w:rFonts w:eastAsia="STZhongsong" w:cs="Arial"/>
                <w:sz w:val="20"/>
                <w:lang w:eastAsia="zh-CN"/>
              </w:rPr>
            </w:pPr>
          </w:p>
          <w:p w:rsidR="00C06985" w:rsidRPr="00C06985" w:rsidRDefault="00C06985" w:rsidP="00C06985">
            <w:pPr>
              <w:overflowPunct/>
              <w:autoSpaceDE/>
              <w:autoSpaceDN/>
              <w:adjustRightInd/>
              <w:spacing w:after="0" w:line="240" w:lineRule="auto"/>
              <w:ind w:left="709" w:hanging="709"/>
              <w:textAlignment w:val="auto"/>
              <w:rPr>
                <w:rFonts w:eastAsia="SimSun" w:cs="Arial"/>
                <w:szCs w:val="24"/>
                <w:lang w:eastAsia="zh-CN"/>
              </w:rPr>
            </w:pPr>
            <w:r w:rsidRPr="00C06985">
              <w:rPr>
                <w:rFonts w:eastAsia="SimSun" w:cs="Arial"/>
                <w:szCs w:val="24"/>
                <w:lang w:eastAsia="zh-CN"/>
              </w:rPr>
              <w:t>Payment can only be made following satisfactory delivery of pre-agreed deliverables.</w:t>
            </w:r>
          </w:p>
          <w:p w:rsidR="00C06985" w:rsidRPr="00C06985" w:rsidRDefault="00C06985" w:rsidP="00C06985">
            <w:pPr>
              <w:overflowPunct/>
              <w:autoSpaceDE/>
              <w:autoSpaceDN/>
              <w:adjustRightInd/>
              <w:spacing w:after="0" w:line="240" w:lineRule="auto"/>
              <w:textAlignment w:val="auto"/>
              <w:rPr>
                <w:rFonts w:eastAsia="SimSun" w:cs="Arial"/>
                <w:szCs w:val="24"/>
                <w:lang w:eastAsia="zh-CN"/>
              </w:rPr>
            </w:pPr>
          </w:p>
          <w:p w:rsidR="00C06985" w:rsidRPr="007661E9" w:rsidRDefault="00C06985" w:rsidP="00C06985">
            <w:pPr>
              <w:overflowPunct/>
              <w:autoSpaceDE/>
              <w:autoSpaceDN/>
              <w:adjustRightInd/>
              <w:spacing w:after="0" w:line="240" w:lineRule="auto"/>
              <w:jc w:val="left"/>
              <w:textAlignment w:val="auto"/>
              <w:rPr>
                <w:rFonts w:eastAsia="STZhongsong" w:cs="Arial"/>
                <w:sz w:val="20"/>
                <w:lang w:eastAsia="zh-CN"/>
              </w:rPr>
            </w:pPr>
            <w:r w:rsidRPr="00C06985">
              <w:rPr>
                <w:rFonts w:eastAsia="SimSun" w:cs="Arial"/>
                <w:szCs w:val="24"/>
                <w:lang w:eastAsia="zh-CN"/>
              </w:rPr>
              <w:t>Invoices are to be addressed to London &amp; Continental Railways.</w:t>
            </w:r>
          </w:p>
          <w:p w:rsidR="00C06985" w:rsidRPr="007661E9" w:rsidRDefault="00C06985" w:rsidP="0035358B">
            <w:pPr>
              <w:overflowPunct/>
              <w:autoSpaceDE/>
              <w:autoSpaceDN/>
              <w:adjustRightInd/>
              <w:spacing w:after="0" w:line="240" w:lineRule="auto"/>
              <w:jc w:val="left"/>
              <w:textAlignment w:val="auto"/>
              <w:rPr>
                <w:rFonts w:eastAsia="STZhongsong" w:cs="Arial"/>
                <w:sz w:val="20"/>
                <w:lang w:eastAsia="zh-CN"/>
              </w:rPr>
            </w:pPr>
          </w:p>
        </w:tc>
      </w:tr>
    </w:tbl>
    <w:p w:rsidR="007E7F9E" w:rsidRPr="004363FF" w:rsidRDefault="007E7F9E" w:rsidP="007E7F9E">
      <w:pPr>
        <w:jc w:val="center"/>
        <w:rPr>
          <w:b/>
          <w:i/>
          <w:sz w:val="28"/>
          <w:szCs w:val="28"/>
        </w:rPr>
      </w:pPr>
    </w:p>
    <w:p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2" w:name="LASTCURSORPOSITION"/>
      <w:bookmarkEnd w:id="2"/>
    </w:p>
    <w:p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rsidR="00F21A2F" w:rsidRPr="00FD55FA" w:rsidRDefault="00F21A2F" w:rsidP="00F21A2F">
      <w:pPr>
        <w:pStyle w:val="Heading2"/>
        <w:numPr>
          <w:ilvl w:val="0"/>
          <w:numId w:val="0"/>
        </w:numPr>
        <w:rPr>
          <w:rFonts w:cs="Arial"/>
          <w:sz w:val="20"/>
        </w:rPr>
      </w:pPr>
      <w:bookmarkStart w:id="3" w:name="_Toc287881450"/>
      <w:bookmarkStart w:id="4" w:name="_Toc305585142"/>
      <w:r w:rsidRPr="00FD55FA">
        <w:rPr>
          <w:rFonts w:cs="Arial"/>
          <w:b/>
          <w:sz w:val="20"/>
        </w:rPr>
        <w:t>Sustainable Procurement</w:t>
      </w:r>
      <w:bookmarkEnd w:id="3"/>
      <w:bookmarkEnd w:id="4"/>
    </w:p>
    <w:p w:rsidR="00F21A2F" w:rsidRPr="00FD55FA" w:rsidRDefault="00F21A2F" w:rsidP="00F21A2F">
      <w:pPr>
        <w:rPr>
          <w:rFonts w:cs="Arial"/>
          <w:sz w:val="20"/>
        </w:rPr>
      </w:pPr>
      <w:r w:rsidRPr="00FD55FA">
        <w:rPr>
          <w:rFonts w:cs="Arial"/>
          <w:sz w:val="20"/>
        </w:rPr>
        <w:t>Potential Providers are required to comply with all the ap</w:t>
      </w:r>
      <w:r>
        <w:rPr>
          <w:rFonts w:cs="Arial"/>
          <w:sz w:val="20"/>
        </w:rPr>
        <w:t xml:space="preserve">plicable environmental laws and </w:t>
      </w:r>
      <w:r w:rsidRPr="00FD55FA">
        <w:rPr>
          <w:rFonts w:cs="Arial"/>
          <w:sz w:val="20"/>
        </w:rPr>
        <w:t>regulations in force in relation to the services/goods required.</w:t>
      </w:r>
    </w:p>
    <w:p w:rsidR="00F21A2F" w:rsidRPr="00FD55FA" w:rsidRDefault="00F21A2F" w:rsidP="00F21A2F">
      <w:pPr>
        <w:rPr>
          <w:rFonts w:cs="Arial"/>
          <w:sz w:val="20"/>
        </w:rPr>
      </w:pPr>
      <w:r w:rsidRPr="00FD55FA">
        <w:rPr>
          <w:rFonts w:cs="Arial"/>
          <w:sz w:val="20"/>
        </w:rPr>
        <w:t>All written outputs, including reports, produced in connection with the tender should, where possible, be produced on recycled paper containing at least 80% post consumer waste and used on both sides where appropriate.</w:t>
      </w:r>
    </w:p>
    <w:p w:rsidR="00F21A2F" w:rsidRPr="00FD55FA" w:rsidRDefault="00F21A2F" w:rsidP="00F21A2F">
      <w:pPr>
        <w:pStyle w:val="Heading2"/>
        <w:numPr>
          <w:ilvl w:val="0"/>
          <w:numId w:val="0"/>
        </w:numPr>
        <w:spacing w:before="120"/>
        <w:rPr>
          <w:rFonts w:cs="Arial"/>
          <w:sz w:val="20"/>
        </w:rPr>
      </w:pPr>
      <w:bookmarkStart w:id="5" w:name="_Toc305585146"/>
      <w:r w:rsidRPr="00FD55FA">
        <w:rPr>
          <w:rFonts w:cs="Arial"/>
          <w:b/>
          <w:sz w:val="20"/>
        </w:rPr>
        <w:t>Non Disclosure</w:t>
      </w:r>
      <w:bookmarkEnd w:id="5"/>
    </w:p>
    <w:p w:rsidR="00F21A2F" w:rsidRPr="00FD55FA" w:rsidRDefault="00F21A2F" w:rsidP="00F21A2F">
      <w:pPr>
        <w:rPr>
          <w:rFonts w:cs="Arial"/>
          <w:sz w:val="20"/>
        </w:rPr>
      </w:pPr>
      <w:r w:rsidRPr="00FD55FA">
        <w:rPr>
          <w:rFonts w:cs="Arial"/>
          <w:sz w:val="20"/>
        </w:rPr>
        <w:t>The contractor is required to undertake to be bound by the Autho</w:t>
      </w:r>
      <w:r>
        <w:rPr>
          <w:rFonts w:cs="Arial"/>
          <w:sz w:val="20"/>
        </w:rPr>
        <w:t xml:space="preserve">rity’s Non Disclosure Agreement </w:t>
      </w:r>
      <w:r w:rsidRPr="00FD55FA">
        <w:rPr>
          <w:rFonts w:cs="Arial"/>
          <w:sz w:val="20"/>
        </w:rPr>
        <w:t>in respect of the company and of those employees deployed on this engagement</w:t>
      </w:r>
    </w:p>
    <w:p w:rsidR="00F21A2F" w:rsidRPr="00FD55FA" w:rsidRDefault="00F21A2F" w:rsidP="00F21A2F">
      <w:pPr>
        <w:pStyle w:val="Heading2"/>
        <w:numPr>
          <w:ilvl w:val="0"/>
          <w:numId w:val="0"/>
        </w:numPr>
        <w:spacing w:before="120"/>
        <w:rPr>
          <w:rFonts w:cs="Arial"/>
          <w:b/>
          <w:bCs/>
          <w:sz w:val="20"/>
        </w:rPr>
      </w:pPr>
      <w:bookmarkStart w:id="6" w:name="_Toc305585148"/>
      <w:r w:rsidRPr="00FD55FA">
        <w:rPr>
          <w:rFonts w:cs="Arial"/>
          <w:b/>
          <w:bCs/>
          <w:sz w:val="20"/>
        </w:rPr>
        <w:t>Termination for Convenience</w:t>
      </w:r>
      <w:bookmarkEnd w:id="6"/>
    </w:p>
    <w:p w:rsidR="00F21A2F" w:rsidRPr="00FD55FA" w:rsidRDefault="00F21A2F" w:rsidP="00F21A2F">
      <w:pPr>
        <w:tabs>
          <w:tab w:val="left" w:pos="1800"/>
          <w:tab w:val="left" w:pos="7938"/>
        </w:tabs>
        <w:spacing w:before="240" w:after="100"/>
        <w:rPr>
          <w:rFonts w:cs="Arial"/>
          <w:spacing w:val="-3"/>
          <w:sz w:val="20"/>
        </w:rPr>
      </w:pPr>
      <w:r w:rsidRPr="00FD55FA">
        <w:rPr>
          <w:rFonts w:cs="Arial"/>
          <w:spacing w:val="-3"/>
          <w:sz w:val="20"/>
        </w:rPr>
        <w:t>The Authority may at its absolute discretion and at any time an</w:t>
      </w:r>
      <w:r>
        <w:rPr>
          <w:rFonts w:cs="Arial"/>
          <w:spacing w:val="-3"/>
          <w:sz w:val="20"/>
        </w:rPr>
        <w:t xml:space="preserve">d for any reason  terminate the </w:t>
      </w:r>
      <w:r w:rsidRPr="00FD55FA">
        <w:rPr>
          <w:rFonts w:cs="Arial"/>
          <w:spacing w:val="-3"/>
          <w:sz w:val="20"/>
        </w:rPr>
        <w:t>contracted services and work at the Authority's convenience by giving the Bidder five (5) business days notice in writing of its intention to do so. Upon receipt of such notice, the contractor shall, unless the notice directs otherwise, immediately discontinue the work and placing of orders for materials, facilities and supplies in connection with the performance of this contract.</w:t>
      </w:r>
    </w:p>
    <w:p w:rsidR="00F21A2F" w:rsidRPr="00FD55FA" w:rsidRDefault="00F21A2F" w:rsidP="00F21A2F">
      <w:pPr>
        <w:tabs>
          <w:tab w:val="left" w:pos="0"/>
          <w:tab w:val="left" w:pos="7920"/>
        </w:tabs>
        <w:spacing w:before="240" w:after="100"/>
        <w:rPr>
          <w:rFonts w:cs="Arial"/>
          <w:spacing w:val="-3"/>
          <w:sz w:val="20"/>
        </w:rPr>
      </w:pPr>
      <w:r w:rsidRPr="00FD55FA">
        <w:rPr>
          <w:rFonts w:cs="Arial"/>
          <w:spacing w:val="-3"/>
          <w:sz w:val="20"/>
        </w:rPr>
        <w:t xml:space="preserve">Upon such termination, the contractor shall be entitled to payment only </w:t>
      </w:r>
      <w:r>
        <w:rPr>
          <w:rFonts w:cs="Arial"/>
          <w:spacing w:val="-3"/>
          <w:sz w:val="20"/>
        </w:rPr>
        <w:t xml:space="preserve">for the actual cost of the work </w:t>
      </w:r>
      <w:r w:rsidRPr="00FD55FA">
        <w:rPr>
          <w:rFonts w:cs="Arial"/>
          <w:spacing w:val="-3"/>
          <w:sz w:val="20"/>
        </w:rPr>
        <w:t>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rsidR="00F21A2F" w:rsidRPr="00FD55FA" w:rsidRDefault="00F21A2F" w:rsidP="00F21A2F">
      <w:pPr>
        <w:pStyle w:val="Heading2"/>
        <w:numPr>
          <w:ilvl w:val="0"/>
          <w:numId w:val="0"/>
        </w:numPr>
        <w:spacing w:before="120"/>
        <w:rPr>
          <w:rFonts w:cs="Arial"/>
          <w:b/>
          <w:sz w:val="20"/>
        </w:rPr>
      </w:pPr>
      <w:bookmarkStart w:id="7" w:name="_Toc305585145"/>
      <w:r w:rsidRPr="00FD55FA">
        <w:rPr>
          <w:rFonts w:cs="Arial"/>
          <w:b/>
          <w:sz w:val="20"/>
        </w:rPr>
        <w:t>Security Clearance</w:t>
      </w:r>
      <w:bookmarkEnd w:id="7"/>
      <w:r w:rsidRPr="00FD55FA">
        <w:rPr>
          <w:rFonts w:cs="Arial"/>
          <w:b/>
          <w:sz w:val="20"/>
        </w:rPr>
        <w:t xml:space="preserve"> </w:t>
      </w:r>
    </w:p>
    <w:p w:rsidR="00F21A2F" w:rsidRPr="008335FE" w:rsidRDefault="00F21A2F" w:rsidP="00F21A2F">
      <w:pPr>
        <w:tabs>
          <w:tab w:val="left" w:pos="900"/>
          <w:tab w:val="left" w:pos="7938"/>
        </w:tabs>
        <w:spacing w:before="240" w:after="100"/>
        <w:ind w:hanging="720"/>
        <w:rPr>
          <w:rFonts w:cs="Arial"/>
          <w:spacing w:val="-3"/>
          <w:sz w:val="20"/>
        </w:rPr>
      </w:pPr>
      <w:r>
        <w:rPr>
          <w:rFonts w:cs="Arial"/>
          <w:color w:val="FF0000"/>
          <w:spacing w:val="-3"/>
          <w:sz w:val="20"/>
        </w:rPr>
        <w:tab/>
      </w:r>
      <w:r w:rsidRPr="008335FE">
        <w:rPr>
          <w:rFonts w:cs="Arial"/>
          <w:spacing w:val="-3"/>
          <w:sz w:val="20"/>
        </w:rPr>
        <w:t xml:space="preserve">All </w:t>
      </w:r>
      <w:r w:rsidR="00766A12" w:rsidRPr="008335FE">
        <w:rPr>
          <w:rFonts w:cs="Arial"/>
          <w:spacing w:val="-3"/>
          <w:sz w:val="20"/>
        </w:rPr>
        <w:t>contractors’</w:t>
      </w:r>
      <w:r w:rsidRPr="008335FE">
        <w:rPr>
          <w:rFonts w:cs="Arial"/>
          <w:spacing w:val="-3"/>
          <w:sz w:val="20"/>
        </w:rPr>
        <w:t xml:space="preserve"> personnel should be cleared to the Authority security clearance level of SC as a minimum and must be available to begin work with immediate effect following contract award. </w:t>
      </w:r>
    </w:p>
    <w:p w:rsidR="00F21A2F" w:rsidRDefault="00F21A2F" w:rsidP="00F21A2F">
      <w:pPr>
        <w:tabs>
          <w:tab w:val="left" w:pos="0"/>
          <w:tab w:val="left" w:pos="7938"/>
        </w:tabs>
        <w:spacing w:before="240" w:after="100"/>
        <w:rPr>
          <w:rFonts w:cs="Arial"/>
          <w:spacing w:val="-3"/>
          <w:sz w:val="20"/>
        </w:rPr>
      </w:pPr>
      <w:r w:rsidRPr="008335FE">
        <w:rPr>
          <w:rFonts w:cs="Arial"/>
          <w:spacing w:val="-3"/>
          <w:sz w:val="20"/>
        </w:rPr>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rsidR="000F3939" w:rsidRPr="008335FE" w:rsidRDefault="000F3939" w:rsidP="00F21A2F">
      <w:pPr>
        <w:tabs>
          <w:tab w:val="left" w:pos="0"/>
          <w:tab w:val="left" w:pos="7938"/>
        </w:tabs>
        <w:spacing w:before="240" w:after="100"/>
        <w:rPr>
          <w:rFonts w:cs="Arial"/>
          <w:spacing w:val="-3"/>
          <w:sz w:val="20"/>
        </w:rPr>
      </w:pPr>
    </w:p>
    <w:p w:rsidR="00F21A2F" w:rsidRPr="00FD55FA" w:rsidRDefault="00F21A2F" w:rsidP="00F21A2F">
      <w:pPr>
        <w:pStyle w:val="Heading2"/>
        <w:numPr>
          <w:ilvl w:val="0"/>
          <w:numId w:val="0"/>
        </w:numPr>
        <w:spacing w:before="120"/>
        <w:ind w:left="142" w:hanging="142"/>
        <w:rPr>
          <w:rFonts w:cs="Arial"/>
          <w:b/>
          <w:sz w:val="20"/>
        </w:rPr>
      </w:pPr>
      <w:r w:rsidRPr="00FD55FA">
        <w:rPr>
          <w:rFonts w:cs="Arial"/>
          <w:b/>
          <w:sz w:val="20"/>
        </w:rPr>
        <w:lastRenderedPageBreak/>
        <w:t>Conflict of Interest</w:t>
      </w:r>
    </w:p>
    <w:p w:rsidR="00F21A2F" w:rsidRPr="00FD55FA" w:rsidRDefault="00F21A2F" w:rsidP="00F21A2F">
      <w:pPr>
        <w:pStyle w:val="Header"/>
        <w:widowControl w:val="0"/>
        <w:tabs>
          <w:tab w:val="clear" w:pos="4153"/>
          <w:tab w:val="clear" w:pos="8306"/>
          <w:tab w:val="left" w:pos="3330"/>
        </w:tabs>
        <w:suppressAutoHyphens/>
        <w:spacing w:before="240" w:after="100"/>
        <w:ind w:hanging="578"/>
        <w:rPr>
          <w:rFonts w:cs="Arial"/>
          <w:sz w:val="20"/>
        </w:rPr>
      </w:pPr>
      <w:r w:rsidRPr="00FD55FA">
        <w:rPr>
          <w:rFonts w:cs="Arial"/>
          <w:sz w:val="20"/>
        </w:rPr>
        <w:tab/>
        <w:t xml:space="preserve">Potential Providers are to declare any competing interests that any part of your organisation may have. This may be considered in our determination of our final decision. A competing interest is something which exists when professional judgement concerning a primary interest (such as the robustness of work undertaken) may be influenced by a secondary interest (such as financial gain or personal rivalry). </w:t>
      </w:r>
    </w:p>
    <w:p w:rsidR="00F21A2F" w:rsidRPr="00FD55FA" w:rsidRDefault="00F21A2F" w:rsidP="00F21A2F">
      <w:pPr>
        <w:pStyle w:val="Header"/>
        <w:widowControl w:val="0"/>
        <w:tabs>
          <w:tab w:val="clear" w:pos="4153"/>
          <w:tab w:val="clear" w:pos="8306"/>
          <w:tab w:val="left" w:pos="3330"/>
        </w:tabs>
        <w:suppressAutoHyphens/>
        <w:ind w:hanging="578"/>
        <w:rPr>
          <w:rFonts w:cs="Arial"/>
          <w:iCs/>
          <w:kern w:val="24"/>
          <w:sz w:val="20"/>
        </w:rPr>
      </w:pPr>
      <w:r w:rsidRPr="00FD55FA">
        <w:rPr>
          <w:rFonts w:cs="Arial"/>
          <w:sz w:val="20"/>
        </w:rPr>
        <w:tab/>
      </w:r>
      <w:r w:rsidRPr="00FD55FA">
        <w:rPr>
          <w:rFonts w:cs="Arial"/>
          <w:iCs/>
          <w:kern w:val="24"/>
          <w:sz w:val="20"/>
        </w:rPr>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rsidR="00F21A2F" w:rsidRPr="00FD55FA" w:rsidRDefault="00F21A2F" w:rsidP="00F21A2F">
      <w:pPr>
        <w:rPr>
          <w:rFonts w:cs="Arial"/>
          <w:iCs/>
          <w:kern w:val="24"/>
          <w:sz w:val="20"/>
        </w:rPr>
      </w:pPr>
      <w:r w:rsidRPr="00FD55FA">
        <w:rPr>
          <w:rFonts w:cs="Arial"/>
          <w:iCs/>
          <w:kern w:val="24"/>
          <w:sz w:val="20"/>
        </w:rPr>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fully and properly complied with its obligations as set out in this Agreement; and</w:t>
      </w:r>
    </w:p>
    <w:p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maintained “ethical walls” as referred to in paragraph below.</w:t>
      </w:r>
    </w:p>
    <w:p w:rsidR="00F21A2F" w:rsidRPr="00FD55FA" w:rsidRDefault="00F21A2F" w:rsidP="00F21A2F">
      <w:pPr>
        <w:tabs>
          <w:tab w:val="num" w:pos="993"/>
        </w:tabs>
        <w:rPr>
          <w:rFonts w:cs="Arial"/>
          <w:iCs/>
          <w:kern w:val="24"/>
          <w:sz w:val="20"/>
        </w:rPr>
      </w:pPr>
      <w:r w:rsidRPr="00FD55FA">
        <w:rPr>
          <w:rFonts w:cs="Arial"/>
          <w:iCs/>
          <w:kern w:val="24"/>
          <w:sz w:val="20"/>
        </w:rPr>
        <w:t xml:space="preserve">In the event that the Company (or a Corporate Recipient) wishes to submit a tender or participate in any tender for the provision of goods and/or services relating to </w:t>
      </w:r>
      <w:r w:rsidR="000A29FE" w:rsidRPr="00FD55FA">
        <w:rPr>
          <w:rFonts w:cs="Arial"/>
          <w:iCs/>
          <w:kern w:val="24"/>
          <w:sz w:val="20"/>
        </w:rPr>
        <w:t>the</w:t>
      </w:r>
      <w:r w:rsidRPr="00FD55FA">
        <w:rPr>
          <w:rFonts w:cs="Arial"/>
          <w:iCs/>
          <w:kern w:val="24"/>
          <w:sz w:val="20"/>
        </w:rPr>
        <w:t xml:space="preserve"> requirement </w:t>
      </w:r>
      <w:r w:rsidR="000A29FE" w:rsidRPr="00FD55FA">
        <w:rPr>
          <w:rFonts w:cs="Arial"/>
          <w:iCs/>
          <w:kern w:val="24"/>
          <w:sz w:val="20"/>
        </w:rPr>
        <w:t>or any</w:t>
      </w:r>
      <w:r w:rsidRPr="00FD55FA">
        <w:rPr>
          <w:rFonts w:cs="Arial"/>
          <w:iCs/>
          <w:kern w:val="24"/>
          <w:sz w:val="20"/>
        </w:rPr>
        <w:t xml:space="preserve"> other procurement project or programme of the Authority, it shall demonstrate to the Authority and otherwise ensure at all times that:</w:t>
      </w:r>
    </w:p>
    <w:p w:rsidR="00F21A2F" w:rsidRPr="00FD55FA" w:rsidRDefault="00F21A2F" w:rsidP="00F21A2F">
      <w:pPr>
        <w:pStyle w:val="ListParagraph"/>
        <w:numPr>
          <w:ilvl w:val="0"/>
          <w:numId w:val="48"/>
        </w:numPr>
        <w:tabs>
          <w:tab w:val="num" w:pos="993"/>
        </w:tabs>
        <w:rPr>
          <w:rFonts w:cs="Arial"/>
          <w:iCs/>
          <w:kern w:val="24"/>
          <w:sz w:val="20"/>
        </w:rPr>
      </w:pPr>
      <w:r w:rsidRPr="00FD55FA">
        <w:rPr>
          <w:rFonts w:cs="Arial"/>
          <w:iCs/>
          <w:kern w:val="24"/>
          <w:sz w:val="20"/>
        </w:rPr>
        <w:t>such tender is not made with the benefit of the Information;</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rsidR="00F21A2F" w:rsidRPr="00FD55FA" w:rsidRDefault="00F21A2F" w:rsidP="00F21A2F">
      <w:pPr>
        <w:pStyle w:val="ListParagraph"/>
        <w:numPr>
          <w:ilvl w:val="0"/>
          <w:numId w:val="48"/>
        </w:numPr>
        <w:rPr>
          <w:rFonts w:cs="Arial"/>
          <w:iCs/>
          <w:kern w:val="24"/>
          <w:sz w:val="20"/>
        </w:rPr>
      </w:pPr>
      <w:r w:rsidRPr="00FD55FA">
        <w:rPr>
          <w:rFonts w:cs="Arial"/>
          <w:iCs/>
          <w:kern w:val="24"/>
          <w:sz w:val="20"/>
        </w:rPr>
        <w:t xml:space="preserve">any Information is not available to the Bid Team (or other employees of the Company (or a Corporate Recipient) who are not acting on behalf of the Contracting Authority) on the Company’s (or the Corporate Recipient’s) computer networks and that the Bid Team and </w:t>
      </w:r>
      <w:r w:rsidRPr="00FD55FA">
        <w:rPr>
          <w:rFonts w:cs="Arial"/>
          <w:iCs/>
          <w:kern w:val="24"/>
          <w:sz w:val="20"/>
        </w:rPr>
        <w:lastRenderedPageBreak/>
        <w:t>the BAU Team are, so far as practicable, located in different offices of the Company (or, as the case may be, the Corporate Recipient) and procedures are implemented including (but  not limited to): (a) a clean desk policy; (b) lockable private storage areas for paper documents otherwise available to both teams; (c) secure storage and secure access to electronic documents, electronic files and e mails otherwise available to both teams; and</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the Bid Team and the BAU Team have separate reporting and management lines.</w:t>
      </w:r>
    </w:p>
    <w:p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 xml:space="preserve">The Company and Corporate Recipient have entered into a Non-Disclosure Agreement </w:t>
      </w:r>
    </w:p>
    <w:p w:rsidR="00F21A2F" w:rsidRPr="00FD55FA" w:rsidRDefault="00F21A2F" w:rsidP="00F21A2F">
      <w:pPr>
        <w:ind w:left="-142"/>
        <w:rPr>
          <w:rFonts w:cs="Arial"/>
          <w:iCs/>
          <w:kern w:val="24"/>
          <w:sz w:val="20"/>
        </w:rPr>
      </w:pPr>
      <w:r w:rsidRPr="00FD55FA">
        <w:rPr>
          <w:rFonts w:cs="Arial"/>
          <w:iCs/>
          <w:kern w:val="24"/>
          <w:sz w:val="20"/>
        </w:rPr>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recommendations of the Authority.</w:t>
      </w:r>
    </w:p>
    <w:p w:rsidR="00E02A90" w:rsidRDefault="00E02A90">
      <w:pPr>
        <w:overflowPunct/>
        <w:autoSpaceDE/>
        <w:autoSpaceDN/>
        <w:adjustRightInd/>
        <w:spacing w:after="0" w:line="240" w:lineRule="auto"/>
        <w:jc w:val="left"/>
        <w:textAlignment w:val="auto"/>
        <w:rPr>
          <w:rFonts w:eastAsia="STZhongsong" w:cs="Arial"/>
          <w:b/>
          <w:sz w:val="20"/>
          <w:lang w:eastAsia="zh-CN"/>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F21A2F" w:rsidRDefault="00F21A2F">
      <w:pPr>
        <w:pStyle w:val="MarginText"/>
        <w:jc w:val="center"/>
        <w:rPr>
          <w:rFonts w:cs="Arial"/>
          <w:b/>
          <w:sz w:val="28"/>
          <w:szCs w:val="28"/>
        </w:rPr>
      </w:pPr>
    </w:p>
    <w:p w:rsidR="004F1D73" w:rsidRDefault="004F1D73">
      <w:pPr>
        <w:overflowPunct/>
        <w:autoSpaceDE/>
        <w:autoSpaceDN/>
        <w:adjustRightInd/>
        <w:spacing w:after="0" w:line="240" w:lineRule="auto"/>
        <w:jc w:val="left"/>
        <w:textAlignment w:val="auto"/>
        <w:rPr>
          <w:rFonts w:eastAsia="STZhongsong" w:cs="Arial"/>
          <w:b/>
          <w:sz w:val="28"/>
          <w:szCs w:val="28"/>
          <w:lang w:eastAsia="zh-CN"/>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 w:val="28"/>
          <w:szCs w:val="28"/>
        </w:rPr>
      </w:pPr>
    </w:p>
    <w:p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61085B" w:rsidP="00D63EEF">
      <w:pPr>
        <w:pStyle w:val="MarginText"/>
        <w:jc w:val="center"/>
        <w:rPr>
          <w:rFonts w:cs="Arial"/>
          <w:b/>
          <w:szCs w:val="22"/>
        </w:rPr>
      </w:pPr>
      <w:r>
        <w:rPr>
          <w:rFonts w:cs="Arial"/>
          <w:b/>
          <w:szCs w:val="22"/>
        </w:rPr>
        <w:br/>
        <w:t>Call Off Terms</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C06985" w:rsidRDefault="00C03B23" w:rsidP="00C03B23">
      <w:pPr>
        <w:rPr>
          <w:rFonts w:cs="Arial"/>
          <w:szCs w:val="22"/>
        </w:rPr>
      </w:pPr>
    </w:p>
    <w:p w:rsidR="000F3939" w:rsidRPr="00C06985" w:rsidRDefault="008C2CC9">
      <w:pPr>
        <w:pStyle w:val="TOC1"/>
        <w:rPr>
          <w:rFonts w:eastAsiaTheme="minorEastAsia" w:cs="Arial"/>
          <w:caps w:val="0"/>
          <w:noProof/>
          <w:szCs w:val="22"/>
          <w:lang w:eastAsia="en-GB"/>
        </w:rPr>
      </w:pPr>
      <w:r w:rsidRPr="00C06985">
        <w:rPr>
          <w:rFonts w:cs="Arial"/>
          <w:szCs w:val="22"/>
        </w:rPr>
        <w:fldChar w:fldCharType="begin"/>
      </w:r>
      <w:r w:rsidR="00C03B23" w:rsidRPr="00C06985">
        <w:rPr>
          <w:rFonts w:cs="Arial"/>
          <w:szCs w:val="22"/>
        </w:rPr>
        <w:instrText xml:space="preserve"> TOC \h \t "Heading, 1, Heading 1, 1" \h \t "SchHead, 8, SchPart, 9, SchSection, 3" \* MERGEFORMAT </w:instrText>
      </w:r>
      <w:r w:rsidRPr="00C06985">
        <w:rPr>
          <w:rFonts w:cs="Arial"/>
          <w:szCs w:val="22"/>
        </w:rPr>
        <w:fldChar w:fldCharType="separate"/>
      </w:r>
      <w:hyperlink w:anchor="_Toc424324214" w:history="1">
        <w:r w:rsidR="000F3939" w:rsidRPr="00C06985">
          <w:rPr>
            <w:rStyle w:val="Hyperlink"/>
            <w:rFonts w:cs="Arial"/>
            <w:noProof/>
            <w:szCs w:val="22"/>
          </w:rPr>
          <w:t>1.</w:t>
        </w:r>
        <w:r w:rsidR="000F3939" w:rsidRPr="00C06985">
          <w:rPr>
            <w:rFonts w:eastAsiaTheme="minorEastAsia" w:cs="Arial"/>
            <w:caps w:val="0"/>
            <w:noProof/>
            <w:szCs w:val="22"/>
            <w:lang w:eastAsia="en-GB"/>
          </w:rPr>
          <w:tab/>
        </w:r>
        <w:r w:rsidR="000F3939" w:rsidRPr="00C06985">
          <w:rPr>
            <w:rStyle w:val="Hyperlink"/>
            <w:rFonts w:cs="Arial"/>
            <w:noProof/>
            <w:szCs w:val="22"/>
          </w:rPr>
          <w:t>DEFINITIONS AND INTERPRETATION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_Toc424324214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16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15" w:history="1">
        <w:r w:rsidR="000F3939" w:rsidRPr="00C06985">
          <w:rPr>
            <w:rStyle w:val="Hyperlink"/>
            <w:rFonts w:cs="Arial"/>
            <w:noProof/>
            <w:szCs w:val="22"/>
          </w:rPr>
          <w:t>2.</w:t>
        </w:r>
        <w:r w:rsidR="000F3939" w:rsidRPr="00C06985">
          <w:rPr>
            <w:rFonts w:eastAsiaTheme="minorEastAsia" w:cs="Arial"/>
            <w:caps w:val="0"/>
            <w:noProof/>
            <w:szCs w:val="22"/>
            <w:lang w:eastAsia="en-GB"/>
          </w:rPr>
          <w:tab/>
        </w:r>
        <w:r w:rsidR="000F3939" w:rsidRPr="00C06985">
          <w:rPr>
            <w:rStyle w:val="Hyperlink"/>
            <w:rFonts w:cs="Arial"/>
            <w:noProof/>
            <w:szCs w:val="22"/>
          </w:rPr>
          <w:t>SUPPLY OF CONTRACT SERVICES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_Toc424324215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21</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16" w:history="1">
        <w:r w:rsidR="000F3939" w:rsidRPr="00C06985">
          <w:rPr>
            <w:rStyle w:val="Hyperlink"/>
            <w:rFonts w:cs="Arial"/>
            <w:noProof/>
            <w:szCs w:val="22"/>
          </w:rPr>
          <w:t>2B.</w:t>
        </w:r>
        <w:r w:rsidR="000F3939" w:rsidRPr="00C06985">
          <w:rPr>
            <w:rFonts w:eastAsiaTheme="minorEastAsia" w:cs="Arial"/>
            <w:caps w:val="0"/>
            <w:noProof/>
            <w:szCs w:val="22"/>
            <w:lang w:eastAsia="en-GB"/>
          </w:rPr>
          <w:tab/>
        </w:r>
        <w:r w:rsidR="000F3939" w:rsidRPr="00C06985">
          <w:rPr>
            <w:rStyle w:val="Hyperlink"/>
            <w:rFonts w:cs="Arial"/>
            <w:noProof/>
            <w:szCs w:val="22"/>
          </w:rPr>
          <w:t>REMEDIES IN THE EVENT OF INADEQUATE PERFORMANCE OF THE SERVICES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_Toc424324216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23</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17" w:history="1">
        <w:r w:rsidR="000F3939" w:rsidRPr="00C06985">
          <w:rPr>
            <w:rStyle w:val="Hyperlink"/>
            <w:rFonts w:cs="Arial"/>
            <w:noProof/>
            <w:szCs w:val="22"/>
          </w:rPr>
          <w:t>2C.</w:t>
        </w:r>
        <w:r w:rsidR="000F3939" w:rsidRPr="00C06985">
          <w:rPr>
            <w:rFonts w:eastAsiaTheme="minorEastAsia" w:cs="Arial"/>
            <w:caps w:val="0"/>
            <w:noProof/>
            <w:szCs w:val="22"/>
            <w:lang w:eastAsia="en-GB"/>
          </w:rPr>
          <w:tab/>
        </w:r>
        <w:r w:rsidR="000F3939" w:rsidRPr="00C06985">
          <w:rPr>
            <w:rStyle w:val="Hyperlink"/>
            <w:rFonts w:cs="Arial"/>
            <w:noProof/>
            <w:szCs w:val="22"/>
          </w:rPr>
          <w:t>SUPPLIER'S STAFF</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_Toc424324217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24</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18" w:history="1">
        <w:r w:rsidR="000F3939" w:rsidRPr="00C06985">
          <w:rPr>
            <w:rStyle w:val="Hyperlink"/>
            <w:rFonts w:cs="Arial"/>
            <w:noProof/>
            <w:szCs w:val="22"/>
          </w:rPr>
          <w:t>3.</w:t>
        </w:r>
        <w:r w:rsidR="000F3939" w:rsidRPr="00C06985">
          <w:rPr>
            <w:rFonts w:eastAsiaTheme="minorEastAsia" w:cs="Arial"/>
            <w:caps w:val="0"/>
            <w:noProof/>
            <w:szCs w:val="22"/>
            <w:lang w:eastAsia="en-GB"/>
          </w:rPr>
          <w:tab/>
        </w:r>
        <w:r w:rsidR="000F3939" w:rsidRPr="00C06985">
          <w:rPr>
            <w:rStyle w:val="Hyperlink"/>
            <w:rFonts w:cs="Arial"/>
            <w:noProof/>
            <w:szCs w:val="22"/>
          </w:rPr>
          <w:t>PAYMENT AND CHARGES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_Toc424324218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25</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19" w:history="1">
        <w:r w:rsidR="000F3939" w:rsidRPr="00C06985">
          <w:rPr>
            <w:rStyle w:val="Hyperlink"/>
            <w:rFonts w:cs="Arial"/>
            <w:noProof/>
            <w:szCs w:val="22"/>
          </w:rPr>
          <w:t>4.</w:t>
        </w:r>
        <w:r w:rsidR="000F3939" w:rsidRPr="00C06985">
          <w:rPr>
            <w:rFonts w:eastAsiaTheme="minorEastAsia" w:cs="Arial"/>
            <w:caps w:val="0"/>
            <w:noProof/>
            <w:szCs w:val="22"/>
            <w:lang w:eastAsia="en-GB"/>
          </w:rPr>
          <w:tab/>
        </w:r>
        <w:r w:rsidR="000F3939" w:rsidRPr="00C06985">
          <w:rPr>
            <w:rStyle w:val="Hyperlink"/>
            <w:rFonts w:cs="Arial"/>
            <w:noProof/>
            <w:szCs w:val="22"/>
          </w:rPr>
          <w:t>LIABILITY AND INSURANCE</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_Toc424324219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27</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0" w:history="1">
        <w:r w:rsidR="000F3939" w:rsidRPr="00C06985">
          <w:rPr>
            <w:rStyle w:val="Hyperlink"/>
            <w:rFonts w:cs="Arial"/>
            <w:noProof/>
            <w:szCs w:val="22"/>
          </w:rPr>
          <w:t>5.</w:t>
        </w:r>
        <w:r w:rsidR="000F3939" w:rsidRPr="00C06985">
          <w:rPr>
            <w:rFonts w:eastAsiaTheme="minorEastAsia" w:cs="Arial"/>
            <w:caps w:val="0"/>
            <w:noProof/>
            <w:szCs w:val="22"/>
            <w:lang w:eastAsia="en-GB"/>
          </w:rPr>
          <w:tab/>
        </w:r>
        <w:r w:rsidR="000F3939" w:rsidRPr="00C06985">
          <w:rPr>
            <w:rStyle w:val="Hyperlink"/>
            <w:rFonts w:cs="Arial"/>
            <w:noProof/>
            <w:szCs w:val="22"/>
          </w:rPr>
          <w:t>INTELLECTUAL PROPERTY RIGHTS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_Toc424324220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29</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1" w:history="1">
        <w:r w:rsidR="000F3939" w:rsidRPr="00C06985">
          <w:rPr>
            <w:rStyle w:val="Hyperlink"/>
            <w:rFonts w:cs="Arial"/>
            <w:noProof/>
            <w:szCs w:val="22"/>
          </w:rPr>
          <w:t>6.</w:t>
        </w:r>
        <w:r w:rsidR="000F3939" w:rsidRPr="00C06985">
          <w:rPr>
            <w:rFonts w:eastAsiaTheme="minorEastAsia" w:cs="Arial"/>
            <w:caps w:val="0"/>
            <w:noProof/>
            <w:szCs w:val="22"/>
            <w:lang w:eastAsia="en-GB"/>
          </w:rPr>
          <w:tab/>
        </w:r>
        <w:r w:rsidR="000F3939" w:rsidRPr="00C06985">
          <w:rPr>
            <w:rStyle w:val="Hyperlink"/>
            <w:rFonts w:cs="Arial"/>
            <w:noProof/>
            <w:szCs w:val="22"/>
          </w:rPr>
          <w:t>PROTECTION OF INFORMATION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_Toc424324221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30</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2" w:history="1">
        <w:r w:rsidR="000F3939" w:rsidRPr="00C06985">
          <w:rPr>
            <w:rStyle w:val="Hyperlink"/>
            <w:rFonts w:cs="Arial"/>
            <w:noProof/>
            <w:szCs w:val="22"/>
          </w:rPr>
          <w:t>7.</w:t>
        </w:r>
        <w:r w:rsidR="000F3939" w:rsidRPr="00C06985">
          <w:rPr>
            <w:rFonts w:eastAsiaTheme="minorEastAsia" w:cs="Arial"/>
            <w:caps w:val="0"/>
            <w:noProof/>
            <w:szCs w:val="22"/>
            <w:lang w:eastAsia="en-GB"/>
          </w:rPr>
          <w:tab/>
        </w:r>
        <w:r w:rsidR="000F3939" w:rsidRPr="00C06985">
          <w:rPr>
            <w:rStyle w:val="Hyperlink"/>
            <w:rFonts w:cs="Arial"/>
            <w:noProof/>
            <w:szCs w:val="22"/>
          </w:rPr>
          <w:t>WARRANTIES, REPRESENTATIONS AND UNDERTAKINGS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_Toc424324222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36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3" w:history="1">
        <w:r w:rsidR="000F3939" w:rsidRPr="00C06985">
          <w:rPr>
            <w:rStyle w:val="Hyperlink"/>
            <w:rFonts w:cs="Arial"/>
            <w:noProof/>
            <w:szCs w:val="22"/>
          </w:rPr>
          <w:t>8.</w:t>
        </w:r>
        <w:r w:rsidR="000F3939" w:rsidRPr="00C06985">
          <w:rPr>
            <w:rFonts w:eastAsiaTheme="minorEastAsia" w:cs="Arial"/>
            <w:caps w:val="0"/>
            <w:noProof/>
            <w:szCs w:val="22"/>
            <w:lang w:eastAsia="en-GB"/>
          </w:rPr>
          <w:tab/>
        </w:r>
        <w:r w:rsidR="000F3939" w:rsidRPr="00C06985">
          <w:rPr>
            <w:rStyle w:val="Hyperlink"/>
            <w:rFonts w:cs="Arial"/>
            <w:noProof/>
            <w:szCs w:val="22"/>
          </w:rPr>
          <w:t>TERMINATION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_Toc424324223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37</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4" w:history="1">
        <w:r w:rsidR="000F3939" w:rsidRPr="00C06985">
          <w:rPr>
            <w:rStyle w:val="Hyperlink"/>
            <w:rFonts w:cs="Arial"/>
            <w:noProof/>
            <w:szCs w:val="22"/>
          </w:rPr>
          <w:t>9.</w:t>
        </w:r>
        <w:r w:rsidR="000F3939" w:rsidRPr="00C06985">
          <w:rPr>
            <w:rFonts w:eastAsiaTheme="minorEastAsia" w:cs="Arial"/>
            <w:caps w:val="0"/>
            <w:noProof/>
            <w:szCs w:val="22"/>
            <w:lang w:eastAsia="en-GB"/>
          </w:rPr>
          <w:tab/>
        </w:r>
        <w:r w:rsidR="000F3939" w:rsidRPr="00C06985">
          <w:rPr>
            <w:rStyle w:val="Hyperlink"/>
            <w:rFonts w:cs="Arial"/>
            <w:noProof/>
            <w:szCs w:val="22"/>
          </w:rPr>
          <w:t>CONSEQUENCES OF EXPIRY OR TERMINATION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_Toc424324224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40</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5" w:history="1">
        <w:r w:rsidR="000F3939" w:rsidRPr="00C06985">
          <w:rPr>
            <w:rStyle w:val="Hyperlink"/>
            <w:rFonts w:cs="Arial"/>
            <w:noProof/>
            <w:szCs w:val="22"/>
          </w:rPr>
          <w:t>10.</w:t>
        </w:r>
        <w:r w:rsidR="000F3939" w:rsidRPr="00C06985">
          <w:rPr>
            <w:rFonts w:eastAsiaTheme="minorEastAsia" w:cs="Arial"/>
            <w:caps w:val="0"/>
            <w:noProof/>
            <w:szCs w:val="22"/>
            <w:lang w:eastAsia="en-GB"/>
          </w:rPr>
          <w:tab/>
        </w:r>
        <w:r w:rsidR="000F3939" w:rsidRPr="00C06985">
          <w:rPr>
            <w:rStyle w:val="Hyperlink"/>
            <w:rFonts w:cs="Arial"/>
            <w:noProof/>
            <w:szCs w:val="22"/>
          </w:rPr>
          <w:t>PUBLICITY, MEDIA AND OFFICIAL ENQUIRIES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_Toc424324225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42</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6" w:history="1">
        <w:r w:rsidR="000F3939" w:rsidRPr="00C06985">
          <w:rPr>
            <w:rStyle w:val="Hyperlink"/>
            <w:rFonts w:cs="Arial"/>
            <w:noProof/>
            <w:szCs w:val="22"/>
          </w:rPr>
          <w:t>11.</w:t>
        </w:r>
        <w:r w:rsidR="000F3939" w:rsidRPr="00C06985">
          <w:rPr>
            <w:rFonts w:eastAsiaTheme="minorEastAsia" w:cs="Arial"/>
            <w:caps w:val="0"/>
            <w:noProof/>
            <w:szCs w:val="22"/>
            <w:lang w:eastAsia="en-GB"/>
          </w:rPr>
          <w:tab/>
        </w:r>
        <w:r w:rsidR="000F3939" w:rsidRPr="00C06985">
          <w:rPr>
            <w:rStyle w:val="Hyperlink"/>
            <w:rFonts w:cs="Arial"/>
            <w:noProof/>
            <w:szCs w:val="22"/>
          </w:rPr>
          <w:t>PREVENTION OF BRIBERY AND CORRUPTION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_Toc424324226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42</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7" w:history="1">
        <w:r w:rsidR="000F3939" w:rsidRPr="00C06985">
          <w:rPr>
            <w:rStyle w:val="Hyperlink"/>
            <w:rFonts w:cs="Arial"/>
            <w:noProof/>
            <w:szCs w:val="22"/>
          </w:rPr>
          <w:t>12.</w:t>
        </w:r>
        <w:r w:rsidR="000F3939" w:rsidRPr="00C06985">
          <w:rPr>
            <w:rFonts w:eastAsiaTheme="minorEastAsia" w:cs="Arial"/>
            <w:caps w:val="0"/>
            <w:noProof/>
            <w:szCs w:val="22"/>
            <w:lang w:eastAsia="en-GB"/>
          </w:rPr>
          <w:tab/>
        </w:r>
        <w:r w:rsidR="000F3939" w:rsidRPr="00C06985">
          <w:rPr>
            <w:rStyle w:val="Hyperlink"/>
            <w:rFonts w:cs="Arial"/>
            <w:noProof/>
            <w:szCs w:val="22"/>
          </w:rPr>
          <w:t>NON-DISCRIMINATION</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_Toc424324227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44</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8" w:history="1">
        <w:r w:rsidR="000F3939" w:rsidRPr="00C06985">
          <w:rPr>
            <w:rStyle w:val="Hyperlink"/>
            <w:rFonts w:cs="Arial"/>
            <w:noProof/>
            <w:szCs w:val="22"/>
          </w:rPr>
          <w:t>13.</w:t>
        </w:r>
        <w:r w:rsidR="000F3939" w:rsidRPr="00C06985">
          <w:rPr>
            <w:rFonts w:eastAsiaTheme="minorEastAsia" w:cs="Arial"/>
            <w:caps w:val="0"/>
            <w:noProof/>
            <w:szCs w:val="22"/>
            <w:lang w:eastAsia="en-GB"/>
          </w:rPr>
          <w:tab/>
        </w:r>
        <w:r w:rsidR="000F3939" w:rsidRPr="00C06985">
          <w:rPr>
            <w:rStyle w:val="Hyperlink"/>
            <w:rFonts w:cs="Arial"/>
            <w:noProof/>
            <w:szCs w:val="22"/>
          </w:rPr>
          <w:t>PREVENTION OF FRAUD</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_Toc424324228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44</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29" w:history="1">
        <w:r w:rsidR="000F3939" w:rsidRPr="00C06985">
          <w:rPr>
            <w:rStyle w:val="Hyperlink"/>
            <w:rFonts w:cs="Arial"/>
            <w:noProof/>
            <w:szCs w:val="22"/>
          </w:rPr>
          <w:t>14.</w:t>
        </w:r>
        <w:r w:rsidR="000F3939" w:rsidRPr="00C06985">
          <w:rPr>
            <w:rFonts w:eastAsiaTheme="minorEastAsia" w:cs="Arial"/>
            <w:caps w:val="0"/>
            <w:noProof/>
            <w:szCs w:val="22"/>
            <w:lang w:eastAsia="en-GB"/>
          </w:rPr>
          <w:tab/>
        </w:r>
        <w:r w:rsidR="000F3939" w:rsidRPr="00C06985">
          <w:rPr>
            <w:rStyle w:val="Hyperlink"/>
            <w:rFonts w:cs="Arial"/>
            <w:noProof/>
            <w:szCs w:val="22"/>
          </w:rPr>
          <w:t>TRANSFER AND SUB-CONTRACTING</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_Toc424324229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44</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0" w:history="1">
        <w:r w:rsidR="000F3939" w:rsidRPr="00C06985">
          <w:rPr>
            <w:rStyle w:val="Hyperlink"/>
            <w:rFonts w:cs="Arial"/>
            <w:noProof/>
            <w:szCs w:val="22"/>
          </w:rPr>
          <w:t>15.</w:t>
        </w:r>
        <w:r w:rsidR="000F3939" w:rsidRPr="00C06985">
          <w:rPr>
            <w:rFonts w:eastAsiaTheme="minorEastAsia" w:cs="Arial"/>
            <w:caps w:val="0"/>
            <w:noProof/>
            <w:szCs w:val="22"/>
            <w:lang w:eastAsia="en-GB"/>
          </w:rPr>
          <w:tab/>
        </w:r>
        <w:r w:rsidR="000F3939" w:rsidRPr="00C06985">
          <w:rPr>
            <w:rStyle w:val="Hyperlink"/>
            <w:rFonts w:cs="Arial"/>
            <w:noProof/>
            <w:szCs w:val="22"/>
          </w:rPr>
          <w:t>WAIVER</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_Toc424324230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45</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1" w:history="1">
        <w:r w:rsidR="000F3939" w:rsidRPr="00C06985">
          <w:rPr>
            <w:rStyle w:val="Hyperlink"/>
            <w:rFonts w:cs="Arial"/>
            <w:noProof/>
            <w:szCs w:val="22"/>
          </w:rPr>
          <w:t>16.</w:t>
        </w:r>
        <w:r w:rsidR="000F3939" w:rsidRPr="00C06985">
          <w:rPr>
            <w:rFonts w:eastAsiaTheme="minorEastAsia" w:cs="Arial"/>
            <w:caps w:val="0"/>
            <w:noProof/>
            <w:szCs w:val="22"/>
            <w:lang w:eastAsia="en-GB"/>
          </w:rPr>
          <w:tab/>
        </w:r>
        <w:r w:rsidR="000F3939" w:rsidRPr="00C06985">
          <w:rPr>
            <w:rStyle w:val="Hyperlink"/>
            <w:rFonts w:cs="Arial"/>
            <w:noProof/>
            <w:szCs w:val="22"/>
          </w:rPr>
          <w:t>CUMULATIVE REMEDIES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_Toc424324231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2" w:history="1">
        <w:r w:rsidR="000F3939" w:rsidRPr="00C06985">
          <w:rPr>
            <w:rStyle w:val="Hyperlink"/>
            <w:rFonts w:cs="Arial"/>
            <w:noProof/>
            <w:szCs w:val="22"/>
          </w:rPr>
          <w:t>17.</w:t>
        </w:r>
        <w:r w:rsidR="000F3939" w:rsidRPr="00C06985">
          <w:rPr>
            <w:rFonts w:eastAsiaTheme="minorEastAsia" w:cs="Arial"/>
            <w:caps w:val="0"/>
            <w:noProof/>
            <w:szCs w:val="22"/>
            <w:lang w:eastAsia="en-GB"/>
          </w:rPr>
          <w:tab/>
        </w:r>
        <w:r w:rsidR="000F3939" w:rsidRPr="00C06985">
          <w:rPr>
            <w:rStyle w:val="Hyperlink"/>
            <w:rFonts w:cs="Arial"/>
            <w:noProof/>
            <w:szCs w:val="22"/>
          </w:rPr>
          <w:t>FURTHER ASSURANCES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_Toc424324232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3" w:history="1">
        <w:r w:rsidR="000F3939" w:rsidRPr="00C06985">
          <w:rPr>
            <w:rStyle w:val="Hyperlink"/>
            <w:rFonts w:cs="Arial"/>
            <w:noProof/>
            <w:szCs w:val="22"/>
          </w:rPr>
          <w:t>18.</w:t>
        </w:r>
        <w:r w:rsidR="000F3939" w:rsidRPr="00C06985">
          <w:rPr>
            <w:rFonts w:eastAsiaTheme="minorEastAsia" w:cs="Arial"/>
            <w:caps w:val="0"/>
            <w:noProof/>
            <w:szCs w:val="22"/>
            <w:lang w:eastAsia="en-GB"/>
          </w:rPr>
          <w:tab/>
        </w:r>
        <w:r w:rsidR="000F3939" w:rsidRPr="00C06985">
          <w:rPr>
            <w:rStyle w:val="Hyperlink"/>
            <w:rFonts w:cs="Arial"/>
            <w:noProof/>
            <w:szCs w:val="22"/>
          </w:rPr>
          <w:t>SEVERABILITY</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_Toc424324233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4" w:history="1">
        <w:r w:rsidR="000F3939" w:rsidRPr="00C06985">
          <w:rPr>
            <w:rStyle w:val="Hyperlink"/>
            <w:rFonts w:cs="Arial"/>
            <w:noProof/>
            <w:szCs w:val="22"/>
          </w:rPr>
          <w:t>19.</w:t>
        </w:r>
        <w:r w:rsidR="000F3939" w:rsidRPr="00C06985">
          <w:rPr>
            <w:rFonts w:eastAsiaTheme="minorEastAsia" w:cs="Arial"/>
            <w:caps w:val="0"/>
            <w:noProof/>
            <w:szCs w:val="22"/>
            <w:lang w:eastAsia="en-GB"/>
          </w:rPr>
          <w:tab/>
        </w:r>
        <w:r w:rsidR="000F3939" w:rsidRPr="00C06985">
          <w:rPr>
            <w:rStyle w:val="Hyperlink"/>
            <w:rFonts w:cs="Arial"/>
            <w:noProof/>
            <w:szCs w:val="22"/>
          </w:rPr>
          <w:t>SUPPLIER’S STATUS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_Toc424324234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5" w:history="1">
        <w:r w:rsidR="000F3939" w:rsidRPr="00C06985">
          <w:rPr>
            <w:rStyle w:val="Hyperlink"/>
            <w:rFonts w:cs="Arial"/>
            <w:noProof/>
            <w:szCs w:val="22"/>
          </w:rPr>
          <w:t>20.</w:t>
        </w:r>
        <w:r w:rsidR="000F3939" w:rsidRPr="00C06985">
          <w:rPr>
            <w:rFonts w:eastAsiaTheme="minorEastAsia" w:cs="Arial"/>
            <w:caps w:val="0"/>
            <w:noProof/>
            <w:szCs w:val="22"/>
            <w:lang w:eastAsia="en-GB"/>
          </w:rPr>
          <w:tab/>
        </w:r>
        <w:r w:rsidR="000F3939" w:rsidRPr="00C06985">
          <w:rPr>
            <w:rStyle w:val="Hyperlink"/>
            <w:rFonts w:cs="Arial"/>
            <w:noProof/>
            <w:szCs w:val="22"/>
          </w:rPr>
          <w:t>ENTIRE AGREEMENT</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_Toc424324235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46</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6" w:history="1">
        <w:r w:rsidR="000F3939" w:rsidRPr="00C06985">
          <w:rPr>
            <w:rStyle w:val="Hyperlink"/>
            <w:rFonts w:cs="Arial"/>
            <w:noProof/>
            <w:szCs w:val="22"/>
          </w:rPr>
          <w:t>21.</w:t>
        </w:r>
        <w:r w:rsidR="000F3939" w:rsidRPr="00C06985">
          <w:rPr>
            <w:rFonts w:eastAsiaTheme="minorEastAsia" w:cs="Arial"/>
            <w:caps w:val="0"/>
            <w:noProof/>
            <w:szCs w:val="22"/>
            <w:lang w:eastAsia="en-GB"/>
          </w:rPr>
          <w:tab/>
        </w:r>
        <w:r w:rsidR="000F3939" w:rsidRPr="00C06985">
          <w:rPr>
            <w:rStyle w:val="Hyperlink"/>
            <w:rFonts w:cs="Arial"/>
            <w:noProof/>
            <w:szCs w:val="22"/>
          </w:rPr>
          <w:t>CONTRACTS (RIGHTS OF THIRD PARTIES) ACT</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_Toc424324236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47</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7" w:history="1">
        <w:r w:rsidR="000F3939" w:rsidRPr="00C06985">
          <w:rPr>
            <w:rStyle w:val="Hyperlink"/>
            <w:rFonts w:cs="Arial"/>
            <w:noProof/>
            <w:szCs w:val="22"/>
          </w:rPr>
          <w:t>22.</w:t>
        </w:r>
        <w:r w:rsidR="000F3939" w:rsidRPr="00C06985">
          <w:rPr>
            <w:rFonts w:eastAsiaTheme="minorEastAsia" w:cs="Arial"/>
            <w:caps w:val="0"/>
            <w:noProof/>
            <w:szCs w:val="22"/>
            <w:lang w:eastAsia="en-GB"/>
          </w:rPr>
          <w:tab/>
        </w:r>
        <w:r w:rsidR="000F3939" w:rsidRPr="00C06985">
          <w:rPr>
            <w:rStyle w:val="Hyperlink"/>
            <w:rFonts w:cs="Arial"/>
            <w:noProof/>
            <w:szCs w:val="22"/>
          </w:rPr>
          <w:t>NOTICES</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_Toc424324237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47</w:t>
        </w:r>
        <w:r w:rsidR="000F3939" w:rsidRPr="00C06985">
          <w:rPr>
            <w:rFonts w:cs="Arial"/>
            <w:noProof/>
            <w:szCs w:val="22"/>
          </w:rPr>
          <w:fldChar w:fldCharType="end"/>
        </w:r>
      </w:hyperlink>
    </w:p>
    <w:p w:rsidR="000F3939" w:rsidRPr="00C06985" w:rsidRDefault="007B6B61">
      <w:pPr>
        <w:pStyle w:val="TOC1"/>
        <w:rPr>
          <w:rFonts w:eastAsiaTheme="minorEastAsia" w:cs="Arial"/>
          <w:caps w:val="0"/>
          <w:noProof/>
          <w:szCs w:val="22"/>
          <w:lang w:eastAsia="en-GB"/>
        </w:rPr>
      </w:pPr>
      <w:hyperlink w:anchor="_Toc424324238" w:history="1">
        <w:r w:rsidR="000F3939" w:rsidRPr="00C06985">
          <w:rPr>
            <w:rStyle w:val="Hyperlink"/>
            <w:rFonts w:cs="Arial"/>
            <w:noProof/>
            <w:szCs w:val="22"/>
          </w:rPr>
          <w:t>23.</w:t>
        </w:r>
        <w:r w:rsidR="000F3939" w:rsidRPr="00C06985">
          <w:rPr>
            <w:rFonts w:eastAsiaTheme="minorEastAsia" w:cs="Arial"/>
            <w:caps w:val="0"/>
            <w:noProof/>
            <w:szCs w:val="22"/>
            <w:lang w:eastAsia="en-GB"/>
          </w:rPr>
          <w:tab/>
        </w:r>
        <w:r w:rsidR="000F3939" w:rsidRPr="00C06985">
          <w:rPr>
            <w:rStyle w:val="Hyperlink"/>
            <w:rFonts w:cs="Arial"/>
            <w:noProof/>
            <w:szCs w:val="22"/>
          </w:rPr>
          <w:t>DISPUTES AND LAW</w:t>
        </w:r>
        <w:r w:rsidR="000F3939" w:rsidRPr="00C06985">
          <w:rPr>
            <w:rFonts w:cs="Arial"/>
            <w:noProof/>
            <w:szCs w:val="22"/>
          </w:rPr>
          <w:tab/>
        </w:r>
        <w:r w:rsidR="000F3939" w:rsidRPr="00C06985">
          <w:rPr>
            <w:rFonts w:cs="Arial"/>
            <w:noProof/>
            <w:szCs w:val="22"/>
          </w:rPr>
          <w:fldChar w:fldCharType="begin"/>
        </w:r>
        <w:r w:rsidR="000F3939" w:rsidRPr="00C06985">
          <w:rPr>
            <w:rFonts w:cs="Arial"/>
            <w:noProof/>
            <w:szCs w:val="22"/>
          </w:rPr>
          <w:instrText xml:space="preserve"> PAGEREF _Toc424324238 \h </w:instrText>
        </w:r>
        <w:r w:rsidR="000F3939" w:rsidRPr="00C06985">
          <w:rPr>
            <w:rFonts w:cs="Arial"/>
            <w:noProof/>
            <w:szCs w:val="22"/>
          </w:rPr>
        </w:r>
        <w:r w:rsidR="000F3939" w:rsidRPr="00C06985">
          <w:rPr>
            <w:rFonts w:cs="Arial"/>
            <w:noProof/>
            <w:szCs w:val="22"/>
          </w:rPr>
          <w:fldChar w:fldCharType="separate"/>
        </w:r>
        <w:r w:rsidR="00FB26D7">
          <w:rPr>
            <w:rFonts w:cs="Arial"/>
            <w:noProof/>
            <w:szCs w:val="22"/>
          </w:rPr>
          <w:t>48</w:t>
        </w:r>
        <w:r w:rsidR="000F3939" w:rsidRPr="00C06985">
          <w:rPr>
            <w:rFonts w:cs="Arial"/>
            <w:noProof/>
            <w:szCs w:val="22"/>
          </w:rPr>
          <w:fldChar w:fldCharType="end"/>
        </w:r>
      </w:hyperlink>
    </w:p>
    <w:p w:rsidR="000F3939" w:rsidRPr="00C06985" w:rsidRDefault="007B6B61">
      <w:pPr>
        <w:pStyle w:val="TOC8"/>
        <w:rPr>
          <w:rFonts w:ascii="Arial" w:eastAsiaTheme="minorEastAsia" w:hAnsi="Arial" w:cs="Arial"/>
          <w:caps w:val="0"/>
          <w:noProof/>
          <w:szCs w:val="22"/>
          <w:lang w:eastAsia="en-GB"/>
        </w:rPr>
      </w:pPr>
      <w:hyperlink w:anchor="_Toc424324239" w:history="1">
        <w:r w:rsidR="000F3939" w:rsidRPr="00C06985">
          <w:rPr>
            <w:rStyle w:val="Hyperlink"/>
            <w:rFonts w:ascii="Arial" w:hAnsi="Arial" w:cs="Arial"/>
            <w:noProof/>
            <w:szCs w:val="22"/>
          </w:rPr>
          <w:t>Annex 1 – Part 1 SERVICE LEVELS</w:t>
        </w:r>
        <w:r w:rsidR="000F3939" w:rsidRPr="00C06985">
          <w:rPr>
            <w:rFonts w:ascii="Arial" w:hAnsi="Arial" w:cs="Arial"/>
            <w:noProof/>
            <w:szCs w:val="22"/>
          </w:rPr>
          <w:tab/>
        </w:r>
        <w:r w:rsidR="000F3939" w:rsidRPr="00C06985">
          <w:rPr>
            <w:rFonts w:ascii="Arial" w:hAnsi="Arial" w:cs="Arial"/>
            <w:noProof/>
            <w:szCs w:val="22"/>
          </w:rPr>
          <w:fldChar w:fldCharType="begin"/>
        </w:r>
        <w:r w:rsidR="000F3939" w:rsidRPr="00C06985">
          <w:rPr>
            <w:rFonts w:ascii="Arial" w:hAnsi="Arial" w:cs="Arial"/>
            <w:noProof/>
            <w:szCs w:val="22"/>
          </w:rPr>
          <w:instrText xml:space="preserve"> PAGEREF _Toc424324239 \h </w:instrText>
        </w:r>
        <w:r w:rsidR="000F3939" w:rsidRPr="00C06985">
          <w:rPr>
            <w:rFonts w:ascii="Arial" w:hAnsi="Arial" w:cs="Arial"/>
            <w:noProof/>
            <w:szCs w:val="22"/>
          </w:rPr>
        </w:r>
        <w:r w:rsidR="000F3939" w:rsidRPr="00C06985">
          <w:rPr>
            <w:rFonts w:ascii="Arial" w:hAnsi="Arial" w:cs="Arial"/>
            <w:noProof/>
            <w:szCs w:val="22"/>
          </w:rPr>
          <w:fldChar w:fldCharType="separate"/>
        </w:r>
        <w:r w:rsidR="00FB26D7">
          <w:rPr>
            <w:rFonts w:ascii="Arial" w:hAnsi="Arial" w:cs="Arial"/>
            <w:noProof/>
            <w:szCs w:val="22"/>
          </w:rPr>
          <w:t>50</w:t>
        </w:r>
        <w:r w:rsidR="000F3939" w:rsidRPr="00C06985">
          <w:rPr>
            <w:rFonts w:ascii="Arial" w:hAnsi="Arial" w:cs="Arial"/>
            <w:noProof/>
            <w:szCs w:val="22"/>
          </w:rPr>
          <w:fldChar w:fldCharType="end"/>
        </w:r>
      </w:hyperlink>
    </w:p>
    <w:p w:rsidR="000F3939" w:rsidRPr="00C06985" w:rsidRDefault="007B6B61">
      <w:pPr>
        <w:pStyle w:val="TOC8"/>
        <w:rPr>
          <w:rFonts w:ascii="Arial" w:eastAsiaTheme="minorEastAsia" w:hAnsi="Arial" w:cs="Arial"/>
          <w:caps w:val="0"/>
          <w:noProof/>
          <w:szCs w:val="22"/>
          <w:lang w:eastAsia="en-GB"/>
        </w:rPr>
      </w:pPr>
      <w:hyperlink w:anchor="_Toc424324240" w:history="1">
        <w:r w:rsidR="000F3939" w:rsidRPr="00C06985">
          <w:rPr>
            <w:rStyle w:val="Hyperlink"/>
            <w:rFonts w:ascii="Arial" w:hAnsi="Arial" w:cs="Arial"/>
            <w:noProof/>
            <w:szCs w:val="22"/>
          </w:rPr>
          <w:t>Annex 1 – PARt 2 POST ASSIGNMENT REVIEW TEMPLATE</w:t>
        </w:r>
        <w:r w:rsidR="000F3939" w:rsidRPr="00C06985">
          <w:rPr>
            <w:rFonts w:ascii="Arial" w:hAnsi="Arial" w:cs="Arial"/>
            <w:noProof/>
            <w:szCs w:val="22"/>
          </w:rPr>
          <w:tab/>
        </w:r>
        <w:r w:rsidR="000F3939" w:rsidRPr="00C06985">
          <w:rPr>
            <w:rFonts w:ascii="Arial" w:hAnsi="Arial" w:cs="Arial"/>
            <w:noProof/>
            <w:szCs w:val="22"/>
          </w:rPr>
          <w:fldChar w:fldCharType="begin"/>
        </w:r>
        <w:r w:rsidR="000F3939" w:rsidRPr="00C06985">
          <w:rPr>
            <w:rFonts w:ascii="Arial" w:hAnsi="Arial" w:cs="Arial"/>
            <w:noProof/>
            <w:szCs w:val="22"/>
          </w:rPr>
          <w:instrText xml:space="preserve"> PAGEREF _Toc424324240 \h </w:instrText>
        </w:r>
        <w:r w:rsidR="000F3939" w:rsidRPr="00C06985">
          <w:rPr>
            <w:rFonts w:ascii="Arial" w:hAnsi="Arial" w:cs="Arial"/>
            <w:noProof/>
            <w:szCs w:val="22"/>
          </w:rPr>
        </w:r>
        <w:r w:rsidR="000F3939" w:rsidRPr="00C06985">
          <w:rPr>
            <w:rFonts w:ascii="Arial" w:hAnsi="Arial" w:cs="Arial"/>
            <w:noProof/>
            <w:szCs w:val="22"/>
          </w:rPr>
          <w:fldChar w:fldCharType="separate"/>
        </w:r>
        <w:r w:rsidR="00FB26D7">
          <w:rPr>
            <w:rFonts w:ascii="Arial" w:hAnsi="Arial" w:cs="Arial"/>
            <w:noProof/>
            <w:szCs w:val="22"/>
          </w:rPr>
          <w:t>52</w:t>
        </w:r>
        <w:r w:rsidR="000F3939" w:rsidRPr="00C06985">
          <w:rPr>
            <w:rFonts w:ascii="Arial" w:hAnsi="Arial" w:cs="Arial"/>
            <w:noProof/>
            <w:szCs w:val="22"/>
          </w:rPr>
          <w:fldChar w:fldCharType="end"/>
        </w:r>
      </w:hyperlink>
    </w:p>
    <w:p w:rsidR="00C03B23" w:rsidRDefault="008C2CC9" w:rsidP="00C03B23">
      <w:pPr>
        <w:pStyle w:val="TOC8"/>
        <w:rPr>
          <w:rFonts w:ascii="Arial" w:hAnsi="Arial" w:cs="Arial"/>
          <w:sz w:val="20"/>
        </w:rPr>
      </w:pPr>
      <w:r w:rsidRPr="00C06985">
        <w:rPr>
          <w:rFonts w:ascii="Arial" w:hAnsi="Arial" w:cs="Arial"/>
          <w:szCs w:val="22"/>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8" w:name="TOCField"/>
      <w:bookmarkStart w:id="9" w:name="_Toc424324214"/>
      <w:bookmarkEnd w:id="8"/>
      <w:r w:rsidRPr="00A4589E">
        <w:rPr>
          <w:rFonts w:cs="Arial"/>
          <w:sz w:val="20"/>
        </w:rPr>
        <w:lastRenderedPageBreak/>
        <w:t>DEFINITIONS AND INTERPRETATION</w:t>
      </w:r>
      <w:bookmarkEnd w:id="9"/>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 xml:space="preserve">means </w:t>
      </w:r>
      <w:r w:rsidR="003B0335">
        <w:rPr>
          <w:sz w:val="20"/>
        </w:rPr>
        <w:t>The Department for Transport and London Continental Railways</w:t>
      </w:r>
      <w:r w:rsidRPr="001F4461">
        <w:rPr>
          <w:sz w:val="20"/>
        </w:rPr>
        <w:t xml:space="preserve">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xml:space="preserve">, together with all information derived from any of the above, and any other </w:t>
      </w:r>
      <w:r w:rsidRPr="00A4589E">
        <w:rPr>
          <w:rFonts w:cs="Arial"/>
          <w:sz w:val="20"/>
        </w:rPr>
        <w:lastRenderedPageBreak/>
        <w:t>information 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sidR="000F3939">
        <w:rPr>
          <w:rFonts w:cs="Arial"/>
          <w:sz w:val="20"/>
        </w:rPr>
        <w:t xml:space="preserve"> 10</w:t>
      </w:r>
      <w:r w:rsidR="000F3939" w:rsidRPr="000F3939">
        <w:rPr>
          <w:rFonts w:cs="Arial"/>
          <w:sz w:val="20"/>
          <w:vertAlign w:val="superscript"/>
        </w:rPr>
        <w:t>th</w:t>
      </w:r>
      <w:r w:rsidR="000F3939">
        <w:rPr>
          <w:rFonts w:cs="Arial"/>
          <w:sz w:val="20"/>
        </w:rPr>
        <w:t xml:space="preserve"> August 2015</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7D594E" w:rsidRPr="00F07C97" w:rsidRDefault="00C03B23" w:rsidP="00FB26D7">
      <w:pPr>
        <w:pStyle w:val="BodyTextIndent"/>
        <w:tabs>
          <w:tab w:val="clear" w:pos="720"/>
          <w:tab w:val="num" w:pos="1134"/>
        </w:tabs>
        <w:adjustRightInd/>
        <w:spacing w:after="0"/>
        <w:ind w:left="1134"/>
        <w:jc w:val="left"/>
        <w:rPr>
          <w:rFonts w:cs="Arial"/>
          <w:b/>
          <w:sz w:val="20"/>
        </w:rPr>
      </w:pPr>
      <w:r w:rsidRPr="00F07C97">
        <w:rPr>
          <w:rFonts w:cs="Arial"/>
          <w:sz w:val="20"/>
        </w:rPr>
        <w:t>and for the purposes of the foregoing “proceedings” includes arbitration proceedings which have been commenced or court proceedings where a letter before action or a notice of claim has been issued);</w:t>
      </w:r>
      <w:r w:rsidR="007D594E" w:rsidRPr="00F07C97">
        <w:rPr>
          <w:rFonts w:cs="Arial"/>
          <w:b/>
          <w:sz w:val="20"/>
        </w:rPr>
        <w:br w:type="page"/>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0F3939">
        <w:rPr>
          <w:rFonts w:cs="Arial"/>
          <w:sz w:val="20"/>
        </w:rPr>
        <w:t>7</w:t>
      </w:r>
      <w:r w:rsidR="000F3939" w:rsidRPr="000F3939">
        <w:rPr>
          <w:rFonts w:cs="Arial"/>
          <w:sz w:val="20"/>
          <w:vertAlign w:val="superscript"/>
        </w:rPr>
        <w:t>th</w:t>
      </w:r>
      <w:r w:rsidR="000F3939">
        <w:rPr>
          <w:rFonts w:cs="Arial"/>
          <w:sz w:val="20"/>
        </w:rPr>
        <w:t xml:space="preserve"> August 2015</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7D594E" w:rsidRDefault="00C03B23" w:rsidP="00F07C97">
      <w:pPr>
        <w:pStyle w:val="BodyTextIndent"/>
        <w:numPr>
          <w:ilvl w:val="0"/>
          <w:numId w:val="0"/>
        </w:numPr>
        <w:overflowPunct w:val="0"/>
        <w:autoSpaceDE w:val="0"/>
        <w:autoSpaceDN w:val="0"/>
        <w:ind w:left="720"/>
        <w:textAlignment w:val="baseline"/>
        <w:rPr>
          <w:rFonts w:cs="Arial"/>
          <w:b/>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r w:rsidR="007D594E">
        <w:rPr>
          <w:rFonts w:cs="Arial"/>
          <w:b/>
          <w:sz w:val="20"/>
        </w:rPr>
        <w:br w:type="page"/>
      </w:r>
    </w:p>
    <w:p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F07C97"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F07C97">
        <w:rPr>
          <w:rFonts w:cs="Arial"/>
          <w:b/>
          <w:sz w:val="20"/>
        </w:rPr>
        <w:t xml:space="preserve">“Sites” </w:t>
      </w:r>
      <w:r w:rsidRPr="00F07C97">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F07C97" w:rsidRPr="00F07C97">
        <w:rPr>
          <w:rFonts w:cs="Arial"/>
          <w:sz w:val="20"/>
        </w:rPr>
        <w: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w:t>
      </w:r>
      <w:r w:rsidRPr="00A4589E">
        <w:rPr>
          <w:rFonts w:cs="Arial"/>
          <w:sz w:val="20"/>
        </w:rPr>
        <w:lastRenderedPageBreak/>
        <w:t xml:space="preserve">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F07C97"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F07C97">
        <w:rPr>
          <w:rFonts w:cs="Arial"/>
          <w:b/>
          <w:sz w:val="20"/>
        </w:rPr>
        <w:t>“Supplier System”</w:t>
      </w:r>
      <w:r w:rsidRPr="00F07C97">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F07C97" w:rsidRPr="00F07C97">
        <w:rPr>
          <w:rFonts w:cs="Arial"/>
          <w:sz w:val="20"/>
        </w:rPr>
        <w:t>;</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lastRenderedPageBreak/>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10"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10"/>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11" w:name="_Toc424324215"/>
      <w:r w:rsidRPr="00A4589E">
        <w:rPr>
          <w:rFonts w:cs="Arial"/>
          <w:sz w:val="20"/>
        </w:rPr>
        <w:t xml:space="preserve">SUPPLY OF </w:t>
      </w:r>
      <w:r>
        <w:rPr>
          <w:rFonts w:cs="Arial"/>
          <w:sz w:val="20"/>
        </w:rPr>
        <w:t xml:space="preserve">CONTRACT </w:t>
      </w:r>
      <w:r w:rsidRPr="00A4589E">
        <w:rPr>
          <w:rFonts w:cs="Arial"/>
          <w:sz w:val="20"/>
        </w:rPr>
        <w:t>SERVICES</w:t>
      </w:r>
      <w:bookmarkEnd w:id="11"/>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lastRenderedPageBreak/>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w:t>
      </w:r>
      <w:r w:rsidRPr="006C3D9C">
        <w:rPr>
          <w:sz w:val="20"/>
        </w:rPr>
        <w:lastRenderedPageBreak/>
        <w:t xml:space="preserve">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12" w:name="_Toc424324216"/>
      <w:r w:rsidRPr="002478B9">
        <w:rPr>
          <w:rFonts w:cs="Arial"/>
          <w:sz w:val="20"/>
        </w:rPr>
        <w:t>2B</w:t>
      </w:r>
      <w:r>
        <w:rPr>
          <w:rFonts w:cs="Arial"/>
          <w:sz w:val="20"/>
        </w:rPr>
        <w:t>.</w:t>
      </w:r>
      <w:r w:rsidRPr="002478B9">
        <w:rPr>
          <w:rFonts w:cs="Arial"/>
          <w:b w:val="0"/>
          <w:sz w:val="20"/>
        </w:rPr>
        <w:tab/>
      </w:r>
      <w:bookmarkStart w:id="13" w:name="_Toc304196127"/>
      <w:bookmarkStart w:id="14" w:name="_Toc304196303"/>
      <w:bookmarkStart w:id="15" w:name="_Toc304196479"/>
      <w:bookmarkStart w:id="16" w:name="_Toc304200955"/>
      <w:bookmarkStart w:id="17" w:name="_Toc304202042"/>
      <w:bookmarkStart w:id="18" w:name="_Toc304212968"/>
      <w:bookmarkStart w:id="19" w:name="_Toc304453835"/>
      <w:bookmarkStart w:id="20" w:name="_Toc304454008"/>
      <w:bookmarkStart w:id="21" w:name="_Toc304454630"/>
      <w:bookmarkStart w:id="22" w:name="_Toc304808604"/>
      <w:bookmarkStart w:id="23" w:name="_Toc304897196"/>
      <w:bookmarkStart w:id="24" w:name="_Toc304901107"/>
      <w:bookmarkStart w:id="25" w:name="_Toc304901280"/>
      <w:bookmarkStart w:id="26" w:name="_Toc304904522"/>
      <w:bookmarkStart w:id="27" w:name="_Toc305422568"/>
      <w:bookmarkStart w:id="28" w:name="_Toc305588763"/>
      <w:r w:rsidRPr="002478B9">
        <w:rPr>
          <w:sz w:val="20"/>
        </w:rPr>
        <w:t>REMEDIES IN THE EVENT OF INADEQUATE PERFORMANCE OF THE SERVICES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478B9">
        <w:rPr>
          <w:sz w:val="20"/>
        </w:rPr>
        <w:t xml:space="preserve"> </w:t>
      </w:r>
      <w:bookmarkStart w:id="29"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9"/>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lastRenderedPageBreak/>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30" w:name="_Toc139079956"/>
    </w:p>
    <w:bookmarkEnd w:id="30"/>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31" w:name="_Toc424324217"/>
      <w:r w:rsidRPr="00C555DC">
        <w:rPr>
          <w:sz w:val="20"/>
        </w:rPr>
        <w:t>2C.</w:t>
      </w:r>
      <w:r w:rsidRPr="00C555DC">
        <w:rPr>
          <w:sz w:val="20"/>
        </w:rPr>
        <w:tab/>
      </w:r>
      <w:bookmarkStart w:id="32" w:name="_Toc304196131"/>
      <w:bookmarkStart w:id="33" w:name="_Toc304196307"/>
      <w:bookmarkStart w:id="34" w:name="_Toc304196483"/>
      <w:bookmarkStart w:id="35" w:name="_Toc304200959"/>
      <w:bookmarkStart w:id="36" w:name="_Toc304202046"/>
      <w:bookmarkStart w:id="37" w:name="_Toc304212972"/>
      <w:bookmarkStart w:id="38" w:name="_Toc304453841"/>
      <w:bookmarkStart w:id="39" w:name="_Toc304454014"/>
      <w:bookmarkStart w:id="40" w:name="_Toc304454636"/>
      <w:bookmarkStart w:id="41" w:name="_Toc304808608"/>
      <w:bookmarkStart w:id="42" w:name="_Toc304897200"/>
      <w:bookmarkStart w:id="43" w:name="_Toc304901111"/>
      <w:bookmarkStart w:id="44" w:name="_Toc304901284"/>
      <w:bookmarkStart w:id="45" w:name="_Toc304904526"/>
      <w:bookmarkStart w:id="46" w:name="_Toc305422572"/>
      <w:bookmarkStart w:id="47" w:name="_Toc305588767"/>
      <w:r w:rsidRPr="00C555DC">
        <w:rPr>
          <w:sz w:val="20"/>
        </w:rPr>
        <w:t>SUPPLIER'S STAFF</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03B23" w:rsidRPr="002D3A01" w:rsidRDefault="00C03B23" w:rsidP="00C03B23">
      <w:pPr>
        <w:pStyle w:val="Heading3"/>
        <w:numPr>
          <w:ilvl w:val="0"/>
          <w:numId w:val="0"/>
        </w:numPr>
        <w:ind w:left="720" w:hanging="720"/>
        <w:rPr>
          <w:sz w:val="20"/>
        </w:rPr>
      </w:pPr>
      <w:bookmarkStart w:id="48"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8"/>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9" w:name="_Ref238890199"/>
    </w:p>
    <w:bookmarkEnd w:id="49"/>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50" w:name="_Toc139080182"/>
      <w:r>
        <w:rPr>
          <w:sz w:val="20"/>
        </w:rPr>
        <w:t xml:space="preserve">  </w:t>
      </w:r>
    </w:p>
    <w:p w:rsidR="00C03B23" w:rsidRPr="00A4589E" w:rsidRDefault="00C03B23" w:rsidP="00C03B23">
      <w:pPr>
        <w:pStyle w:val="Heading1"/>
        <w:keepNext/>
        <w:rPr>
          <w:rFonts w:cs="Arial"/>
          <w:sz w:val="20"/>
        </w:rPr>
      </w:pPr>
      <w:bookmarkStart w:id="51" w:name="_Ref313371683"/>
      <w:bookmarkStart w:id="52" w:name="_Toc424324218"/>
      <w:bookmarkEnd w:id="50"/>
      <w:r w:rsidRPr="00A4589E">
        <w:rPr>
          <w:rFonts w:cs="Arial"/>
          <w:sz w:val="20"/>
        </w:rPr>
        <w:t xml:space="preserve">PAYMENT AND </w:t>
      </w:r>
      <w:bookmarkEnd w:id="51"/>
      <w:r w:rsidRPr="00A4589E">
        <w:rPr>
          <w:rFonts w:cs="Arial"/>
          <w:sz w:val="20"/>
        </w:rPr>
        <w:t>CHARGES</w:t>
      </w:r>
      <w:bookmarkEnd w:id="52"/>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53"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3"/>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4" w:name="_Ref313364329"/>
      <w:r w:rsidRPr="00A4589E">
        <w:rPr>
          <w:rFonts w:cs="Arial"/>
          <w:b/>
          <w:sz w:val="20"/>
        </w:rPr>
        <w:lastRenderedPageBreak/>
        <w:t>Payment</w:t>
      </w:r>
      <w:bookmarkEnd w:id="54"/>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5"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5"/>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6"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6"/>
    </w:p>
    <w:p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7" w:name="_Ref313370178"/>
      <w:r w:rsidRPr="00A4589E">
        <w:rPr>
          <w:rFonts w:cs="Arial"/>
          <w:b/>
          <w:sz w:val="20"/>
        </w:rPr>
        <w:t>Recovery of Sums Due</w:t>
      </w:r>
      <w:bookmarkEnd w:id="57"/>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lastRenderedPageBreak/>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8" w:name="_Toc424324219"/>
      <w:bookmarkStart w:id="59" w:name="_Ref313371594"/>
      <w:r>
        <w:rPr>
          <w:rFonts w:cs="Arial"/>
          <w:sz w:val="20"/>
        </w:rPr>
        <w:t>LIABILITY AND INSURANCE</w:t>
      </w:r>
      <w:bookmarkEnd w:id="58"/>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60" w:name="_Ref311654936"/>
      <w:r w:rsidRPr="006C3D9C">
        <w:rPr>
          <w:sz w:val="20"/>
        </w:rPr>
        <w:t>Neither Party excludes or limits its liability for:</w:t>
      </w:r>
      <w:bookmarkEnd w:id="60"/>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61"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1"/>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62" w:name="_Ref311654962"/>
      <w:r>
        <w:rPr>
          <w:rFonts w:cs="Arial"/>
          <w:sz w:val="20"/>
        </w:rPr>
        <w:t>I</w:t>
      </w:r>
      <w:r w:rsidRPr="00B10032">
        <w:rPr>
          <w:rFonts w:cs="Arial"/>
          <w:sz w:val="20"/>
        </w:rPr>
        <w:t>n no event shall either Party be liable to the other for any:</w:t>
      </w:r>
      <w:bookmarkEnd w:id="62"/>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lastRenderedPageBreak/>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FB26D7" w:rsidRDefault="00FB26D7" w:rsidP="00FB26D7">
      <w:pPr>
        <w:pStyle w:val="Heading3"/>
        <w:numPr>
          <w:ilvl w:val="0"/>
          <w:numId w:val="0"/>
        </w:numPr>
        <w:ind w:left="1843" w:hanging="1134"/>
        <w:rPr>
          <w:rFonts w:cs="Arial"/>
          <w:sz w:val="20"/>
        </w:rPr>
      </w:pPr>
      <w:r>
        <w:rPr>
          <w:rFonts w:cs="Arial"/>
          <w:sz w:val="20"/>
        </w:rPr>
        <w:t>4.1.9</w:t>
      </w:r>
      <w:r>
        <w:rPr>
          <w:rFonts w:cs="Arial"/>
          <w:sz w:val="20"/>
        </w:rPr>
        <w:tab/>
        <w:t>The Customer hereby acknowledges and agrees to the following:</w:t>
      </w:r>
    </w:p>
    <w:p w:rsidR="00FB26D7" w:rsidRDefault="00FB26D7" w:rsidP="00FB26D7">
      <w:pPr>
        <w:pStyle w:val="Heading3"/>
        <w:numPr>
          <w:ilvl w:val="0"/>
          <w:numId w:val="0"/>
        </w:numPr>
        <w:ind w:left="1843" w:hanging="1134"/>
        <w:rPr>
          <w:rFonts w:cs="Arial"/>
          <w:sz w:val="20"/>
        </w:rPr>
      </w:pPr>
      <w:r>
        <w:rPr>
          <w:rFonts w:cs="Arial"/>
          <w:sz w:val="20"/>
        </w:rPr>
        <w:tab/>
        <w:t>4.1.9.1 Subject to the further provisions of this clause 4.1.9, the Report will be made available b</w:t>
      </w:r>
      <w:r w:rsidR="00730FA6">
        <w:rPr>
          <w:rFonts w:cs="Arial"/>
          <w:sz w:val="20"/>
        </w:rPr>
        <w:t>y Supplier to Customer only.</w:t>
      </w:r>
    </w:p>
    <w:p w:rsidR="00730FA6" w:rsidRDefault="00730FA6" w:rsidP="00FB26D7">
      <w:pPr>
        <w:pStyle w:val="Heading3"/>
        <w:numPr>
          <w:ilvl w:val="0"/>
          <w:numId w:val="0"/>
        </w:numPr>
        <w:ind w:left="1843" w:hanging="1134"/>
        <w:rPr>
          <w:rFonts w:cs="Arial"/>
          <w:sz w:val="20"/>
        </w:rPr>
      </w:pPr>
      <w:r>
        <w:rPr>
          <w:rFonts w:cs="Arial"/>
          <w:sz w:val="20"/>
        </w:rPr>
        <w:tab/>
        <w:t xml:space="preserve">4.1.9.2 In the event Customer wishes to make a copy of the Report available to any interested party as part of the sale process concerning the assets or business to which the Report relates, Supplier may consent to such as request </w:t>
      </w:r>
      <w:r>
        <w:rPr>
          <w:rFonts w:cs="Arial"/>
          <w:sz w:val="20"/>
        </w:rPr>
        <w:lastRenderedPageBreak/>
        <w:t>conditional on Supplier owing no duty of care or other liability to the interested party and the interested party signing Supplier’s release letter in the form annexed to this Appendix 3.</w:t>
      </w:r>
    </w:p>
    <w:p w:rsidR="00730FA6" w:rsidRDefault="00730FA6" w:rsidP="00FB26D7">
      <w:pPr>
        <w:pStyle w:val="Heading3"/>
        <w:numPr>
          <w:ilvl w:val="0"/>
          <w:numId w:val="0"/>
        </w:numPr>
        <w:ind w:left="1843" w:hanging="1134"/>
        <w:rPr>
          <w:rFonts w:cs="Arial"/>
          <w:sz w:val="20"/>
        </w:rPr>
      </w:pPr>
      <w:r>
        <w:rPr>
          <w:rFonts w:cs="Arial"/>
          <w:sz w:val="20"/>
        </w:rPr>
        <w:tab/>
        <w:t>4.1.9.3 In the event Supplier agrees any duty of care or other liability to the ultimate purchaser of Target, including members of its investing syndicate (including debt providers), Supplier’s duty of care and liability to such persons will be governed and limited by the terms of Supplier’s reliance letter which Supplier shall require such persons to sign, a draft form of which is annexed to this Appendix 3.</w:t>
      </w:r>
    </w:p>
    <w:p w:rsidR="00FB26D7" w:rsidRDefault="00FB26D7" w:rsidP="00FB26D7">
      <w:pPr>
        <w:pStyle w:val="Heading3"/>
        <w:numPr>
          <w:ilvl w:val="0"/>
          <w:numId w:val="0"/>
        </w:numPr>
        <w:ind w:left="2880" w:hanging="1037"/>
        <w:rPr>
          <w:rFonts w:cs="Arial"/>
          <w:sz w:val="20"/>
        </w:rPr>
      </w:pP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63" w:name="_Ref313366946"/>
      <w:bookmarkStart w:id="64" w:name="_Toc424324220"/>
      <w:bookmarkEnd w:id="59"/>
      <w:r w:rsidRPr="00A4589E">
        <w:rPr>
          <w:rFonts w:cs="Arial"/>
          <w:sz w:val="20"/>
        </w:rPr>
        <w:t>INTELLECTUAL PROPERTY RIGHTS</w:t>
      </w:r>
      <w:bookmarkEnd w:id="63"/>
      <w:bookmarkEnd w:id="64"/>
    </w:p>
    <w:p w:rsidR="00C03B23" w:rsidRDefault="00C03B23" w:rsidP="00C03B23">
      <w:pPr>
        <w:pStyle w:val="Heading2"/>
        <w:tabs>
          <w:tab w:val="num" w:pos="720"/>
        </w:tabs>
        <w:ind w:left="720"/>
        <w:rPr>
          <w:rFonts w:cs="Arial"/>
          <w:sz w:val="20"/>
        </w:rPr>
      </w:pPr>
      <w:bookmarkStart w:id="65"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5"/>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6"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6"/>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lastRenderedPageBreak/>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7" w:name="_Ref313367870"/>
      <w:bookmarkStart w:id="68" w:name="_Toc424324221"/>
      <w:r w:rsidRPr="00A4589E">
        <w:rPr>
          <w:rFonts w:cs="Arial"/>
          <w:sz w:val="20"/>
        </w:rPr>
        <w:t>PROTECTION OF INFORMATION</w:t>
      </w:r>
      <w:bookmarkEnd w:id="67"/>
      <w:bookmarkEnd w:id="68"/>
    </w:p>
    <w:p w:rsidR="00C03B23" w:rsidRPr="00A4589E" w:rsidRDefault="00C03B23" w:rsidP="00C03B23">
      <w:pPr>
        <w:pStyle w:val="Heading2"/>
        <w:keepNext/>
        <w:keepLines/>
        <w:tabs>
          <w:tab w:val="num" w:pos="720"/>
        </w:tabs>
        <w:ind w:left="720"/>
        <w:rPr>
          <w:rFonts w:cs="Arial"/>
          <w:b/>
          <w:sz w:val="20"/>
        </w:rPr>
      </w:pPr>
      <w:bookmarkStart w:id="69" w:name="_Ref313367297"/>
      <w:r w:rsidRPr="00A4589E">
        <w:rPr>
          <w:rFonts w:cs="Arial"/>
          <w:b/>
          <w:sz w:val="20"/>
        </w:rPr>
        <w:t>Protection of Personal Data</w:t>
      </w:r>
      <w:bookmarkEnd w:id="69"/>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70" w:name="_Ref313367753"/>
      <w:r w:rsidRPr="00A4589E">
        <w:rPr>
          <w:rFonts w:cs="Arial"/>
          <w:b/>
          <w:sz w:val="20"/>
        </w:rPr>
        <w:t>Confidentiality</w:t>
      </w:r>
      <w:bookmarkEnd w:id="70"/>
    </w:p>
    <w:p w:rsidR="00C03B23" w:rsidRPr="00A4589E" w:rsidRDefault="00C03B23" w:rsidP="00C03B23">
      <w:pPr>
        <w:pStyle w:val="Heading3"/>
        <w:keepNext/>
        <w:rPr>
          <w:rFonts w:cs="Arial"/>
          <w:sz w:val="20"/>
        </w:rPr>
      </w:pPr>
      <w:bookmarkStart w:id="71"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71"/>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lastRenderedPageBreak/>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72"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2"/>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Default="00C03B23" w:rsidP="00C03B23">
      <w:pPr>
        <w:pStyle w:val="Heading3"/>
        <w:rPr>
          <w:rFonts w:cs="Arial"/>
          <w:sz w:val="20"/>
        </w:rPr>
      </w:pPr>
      <w:bookmarkStart w:id="73"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w:t>
      </w:r>
      <w:r w:rsidRPr="00A4589E">
        <w:rPr>
          <w:rFonts w:cs="Arial"/>
          <w:sz w:val="20"/>
        </w:rPr>
        <w:lastRenderedPageBreak/>
        <w:t xml:space="preserve">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3"/>
      <w:r w:rsidRPr="00A4589E">
        <w:rPr>
          <w:rFonts w:cs="Arial"/>
          <w:sz w:val="20"/>
        </w:rPr>
        <w:t xml:space="preserve"> </w:t>
      </w:r>
    </w:p>
    <w:p w:rsidR="00730FA6" w:rsidRDefault="00730FA6" w:rsidP="00C03B23">
      <w:pPr>
        <w:pStyle w:val="Heading3"/>
        <w:rPr>
          <w:rFonts w:cs="Arial"/>
          <w:sz w:val="20"/>
        </w:rPr>
      </w:pPr>
      <w:r>
        <w:rPr>
          <w:rFonts w:cs="Arial"/>
          <w:sz w:val="20"/>
        </w:rPr>
        <w:t>The Customer hereby acknowledges and agrees to the following:</w:t>
      </w:r>
    </w:p>
    <w:p w:rsidR="00730FA6" w:rsidRDefault="00730FA6" w:rsidP="00C03B23">
      <w:pPr>
        <w:pStyle w:val="Heading3"/>
        <w:rPr>
          <w:rFonts w:cs="Arial"/>
          <w:sz w:val="20"/>
        </w:rPr>
      </w:pPr>
      <w:r>
        <w:rPr>
          <w:rFonts w:cs="Arial"/>
          <w:sz w:val="20"/>
        </w:rPr>
        <w:t>EY Firms may render professional services to a potential buyer of Target, its affiliates or any of its or their respective assets provided:</w:t>
      </w:r>
    </w:p>
    <w:p w:rsidR="00730FA6" w:rsidRPr="00730FA6" w:rsidRDefault="00730FA6" w:rsidP="00730FA6">
      <w:pPr>
        <w:pStyle w:val="Heading5"/>
        <w:rPr>
          <w:sz w:val="20"/>
        </w:rPr>
      </w:pPr>
      <w:r w:rsidRPr="00730FA6">
        <w:rPr>
          <w:sz w:val="20"/>
        </w:rPr>
        <w:t>Robust and proper processes are put in place to protect any Customer’s Confidential information;</w:t>
      </w:r>
    </w:p>
    <w:p w:rsidR="00730FA6" w:rsidRPr="00730FA6" w:rsidRDefault="00730FA6" w:rsidP="00730FA6">
      <w:pPr>
        <w:pStyle w:val="Heading5"/>
        <w:rPr>
          <w:sz w:val="20"/>
        </w:rPr>
      </w:pPr>
      <w:r w:rsidRPr="00730FA6">
        <w:rPr>
          <w:sz w:val="20"/>
        </w:rPr>
        <w:t>no member of Supplier’s team performing the Services shall form part of any Supplier’s team serving the potential buyer;</w:t>
      </w:r>
    </w:p>
    <w:p w:rsidR="00730FA6" w:rsidRDefault="00730FA6" w:rsidP="00730FA6">
      <w:pPr>
        <w:pStyle w:val="Heading5"/>
        <w:rPr>
          <w:sz w:val="20"/>
        </w:rPr>
      </w:pPr>
      <w:r w:rsidRPr="00730FA6">
        <w:rPr>
          <w:sz w:val="20"/>
        </w:rPr>
        <w:t xml:space="preserve">no member of Supplier’s team performing the Services shall disclose any Customer’s Confidential Information to any of Supplier’s team serving the potential buyer without Customer’s prior written consent. </w:t>
      </w:r>
    </w:p>
    <w:p w:rsidR="00DF597F" w:rsidRPr="00730FA6" w:rsidRDefault="00DF597F" w:rsidP="00730FA6">
      <w:pPr>
        <w:pStyle w:val="Heading5"/>
        <w:rPr>
          <w:sz w:val="20"/>
        </w:rPr>
      </w:pPr>
      <w:r>
        <w:rPr>
          <w:sz w:val="20"/>
        </w:rPr>
        <w:t>For the purposes of the above “EY Firms” means members of the global network of Ernst &amp; Young firms, “Report” means any information, advice, recommendations or other content of any reports, presentations or other communications Supplier provides under the Contract, “Target” means King’s Cross Central Limited Partnership.</w:t>
      </w:r>
    </w:p>
    <w:p w:rsidR="00C03B23" w:rsidRPr="00A4589E" w:rsidRDefault="00C03B23" w:rsidP="00C03B23">
      <w:pPr>
        <w:pStyle w:val="Heading2"/>
        <w:keepNext/>
        <w:tabs>
          <w:tab w:val="num" w:pos="720"/>
        </w:tabs>
        <w:ind w:left="720"/>
        <w:rPr>
          <w:rFonts w:cs="Arial"/>
          <w:b/>
          <w:sz w:val="20"/>
        </w:rPr>
      </w:pPr>
      <w:bookmarkStart w:id="74"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4"/>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5" w:name="_Ref313369975"/>
      <w:r w:rsidRPr="00A4589E">
        <w:rPr>
          <w:rFonts w:cs="Arial"/>
          <w:b/>
          <w:sz w:val="20"/>
        </w:rPr>
        <w:t>Freedom of Information</w:t>
      </w:r>
      <w:bookmarkEnd w:id="75"/>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lastRenderedPageBreak/>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6"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6"/>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C03B23" w:rsidRPr="00F07C97" w:rsidRDefault="00C03B23" w:rsidP="00C03B23">
      <w:pPr>
        <w:pStyle w:val="Heading3"/>
        <w:numPr>
          <w:ilvl w:val="0"/>
          <w:numId w:val="0"/>
        </w:numPr>
        <w:rPr>
          <w:rFonts w:cs="Arial"/>
          <w:b/>
          <w:sz w:val="20"/>
        </w:rPr>
      </w:pPr>
      <w:r w:rsidRPr="00F07C97">
        <w:rPr>
          <w:rFonts w:cs="Arial"/>
          <w:b/>
          <w:sz w:val="20"/>
        </w:rPr>
        <w:t>6A.</w:t>
      </w:r>
      <w:r w:rsidRPr="00F07C97">
        <w:rPr>
          <w:rFonts w:cs="Arial"/>
          <w:b/>
          <w:sz w:val="20"/>
        </w:rPr>
        <w:tab/>
      </w:r>
      <w:r w:rsidRPr="00F07C97">
        <w:rPr>
          <w:rFonts w:cs="Arial"/>
          <w:b/>
          <w:sz w:val="20"/>
        </w:rPr>
        <w:tab/>
        <w:t xml:space="preserve">     SECURITY REQUIREMENTS</w:t>
      </w:r>
    </w:p>
    <w:p w:rsidR="00C03B23" w:rsidRPr="00F07C97" w:rsidRDefault="00C03B23" w:rsidP="00C03B23">
      <w:pPr>
        <w:pStyle w:val="Heading3"/>
        <w:numPr>
          <w:ilvl w:val="0"/>
          <w:numId w:val="0"/>
        </w:numPr>
        <w:ind w:left="1701" w:hanging="992"/>
        <w:rPr>
          <w:rFonts w:cs="Arial"/>
          <w:sz w:val="20"/>
        </w:rPr>
      </w:pPr>
      <w:r w:rsidRPr="00F07C97">
        <w:rPr>
          <w:rFonts w:cs="Arial"/>
          <w:sz w:val="20"/>
        </w:rPr>
        <w:t xml:space="preserve">6A.1       </w:t>
      </w:r>
      <w:r w:rsidR="00F07C97" w:rsidRPr="00F07C97">
        <w:rPr>
          <w:rFonts w:cs="Arial"/>
          <w:sz w:val="20"/>
        </w:rPr>
        <w:t xml:space="preserve">   NOT USED</w:t>
      </w:r>
    </w:p>
    <w:p w:rsidR="00C03B23" w:rsidRPr="00F07C97" w:rsidRDefault="00C03B23" w:rsidP="00C03B23">
      <w:pPr>
        <w:spacing w:after="0" w:line="240" w:lineRule="auto"/>
        <w:ind w:left="1701" w:hanging="992"/>
        <w:rPr>
          <w:sz w:val="20"/>
        </w:rPr>
      </w:pPr>
      <w:bookmarkStart w:id="77" w:name="_Ref225254750"/>
      <w:r w:rsidRPr="00F07C97">
        <w:rPr>
          <w:sz w:val="20"/>
        </w:rPr>
        <w:t>6A.2</w:t>
      </w:r>
      <w:r w:rsidRPr="00F07C97">
        <w:rPr>
          <w:sz w:val="20"/>
        </w:rPr>
        <w:tab/>
      </w:r>
      <w:bookmarkStart w:id="78" w:name="_Ref221681832"/>
      <w:bookmarkStart w:id="79" w:name="_Ref231787108"/>
      <w:bookmarkEnd w:id="77"/>
      <w:r w:rsidR="00F07C97" w:rsidRPr="00F07C97">
        <w:rPr>
          <w:sz w:val="20"/>
        </w:rPr>
        <w:t>NOT USED</w:t>
      </w:r>
    </w:p>
    <w:p w:rsidR="00C03B23" w:rsidRPr="00F07C97" w:rsidRDefault="00C03B23" w:rsidP="00C03B23">
      <w:pPr>
        <w:spacing w:after="0" w:line="240" w:lineRule="auto"/>
        <w:ind w:left="1701" w:hanging="992"/>
        <w:rPr>
          <w:sz w:val="20"/>
        </w:rPr>
      </w:pPr>
    </w:p>
    <w:p w:rsidR="00C03B23" w:rsidRPr="00F07C97" w:rsidRDefault="00C03B23" w:rsidP="00C03B23">
      <w:pPr>
        <w:spacing w:after="0" w:line="240" w:lineRule="auto"/>
        <w:ind w:left="1701" w:hanging="992"/>
        <w:rPr>
          <w:sz w:val="20"/>
        </w:rPr>
      </w:pPr>
      <w:r w:rsidRPr="00F07C97">
        <w:rPr>
          <w:sz w:val="20"/>
        </w:rPr>
        <w:t>6A.3</w:t>
      </w:r>
      <w:r w:rsidRPr="00F07C97">
        <w:rPr>
          <w:sz w:val="20"/>
        </w:rPr>
        <w:tab/>
      </w:r>
      <w:bookmarkEnd w:id="78"/>
      <w:bookmarkEnd w:id="79"/>
      <w:r w:rsidR="00F07C97" w:rsidRPr="00F07C97">
        <w:rPr>
          <w:sz w:val="20"/>
        </w:rPr>
        <w:t>NOT USED</w:t>
      </w:r>
    </w:p>
    <w:p w:rsidR="00C03B23" w:rsidRPr="00F07C97" w:rsidRDefault="00C03B23" w:rsidP="00C03B23">
      <w:pPr>
        <w:spacing w:after="0" w:line="240" w:lineRule="auto"/>
        <w:ind w:left="1701" w:hanging="992"/>
        <w:rPr>
          <w:sz w:val="20"/>
        </w:rPr>
      </w:pPr>
    </w:p>
    <w:p w:rsidR="00C03B23" w:rsidRDefault="00C03B23" w:rsidP="00C03B23">
      <w:pPr>
        <w:spacing w:after="0" w:line="240" w:lineRule="auto"/>
        <w:ind w:left="1701" w:hanging="992"/>
        <w:rPr>
          <w:sz w:val="20"/>
        </w:rPr>
      </w:pPr>
      <w:r w:rsidRPr="00F07C97">
        <w:rPr>
          <w:sz w:val="20"/>
        </w:rPr>
        <w:t>6A.4</w:t>
      </w:r>
      <w:r w:rsidRPr="00F07C97">
        <w:rPr>
          <w:sz w:val="20"/>
        </w:rPr>
        <w:tab/>
      </w:r>
      <w:r w:rsidR="00F07C97" w:rsidRPr="00F07C97">
        <w:rPr>
          <w:sz w:val="20"/>
        </w:rPr>
        <w:t>NOT USED</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80"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80"/>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81"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82" w:name="_Ref313372170"/>
      <w:bookmarkStart w:id="83" w:name="_Toc424324222"/>
      <w:bookmarkEnd w:id="81"/>
      <w:r w:rsidRPr="00A4589E">
        <w:rPr>
          <w:rFonts w:cs="Arial"/>
          <w:sz w:val="20"/>
        </w:rPr>
        <w:t>WARRANTIES</w:t>
      </w:r>
      <w:r>
        <w:rPr>
          <w:rFonts w:cs="Arial"/>
          <w:sz w:val="20"/>
        </w:rPr>
        <w:t>,</w:t>
      </w:r>
      <w:r w:rsidRPr="00A4589E">
        <w:rPr>
          <w:rFonts w:cs="Arial"/>
          <w:sz w:val="20"/>
        </w:rPr>
        <w:t xml:space="preserve"> REPRESENTATIONS</w:t>
      </w:r>
      <w:bookmarkEnd w:id="82"/>
      <w:r>
        <w:rPr>
          <w:rFonts w:cs="Arial"/>
          <w:sz w:val="20"/>
        </w:rPr>
        <w:t xml:space="preserve"> AND UNDERTAKINGS</w:t>
      </w:r>
      <w:bookmarkEnd w:id="83"/>
    </w:p>
    <w:p w:rsidR="00C03B23" w:rsidRPr="00A4589E" w:rsidRDefault="00C03B23" w:rsidP="00C03B23">
      <w:pPr>
        <w:pStyle w:val="Heading2"/>
        <w:keepNext/>
        <w:tabs>
          <w:tab w:val="num" w:pos="720"/>
        </w:tabs>
        <w:ind w:left="720"/>
        <w:rPr>
          <w:rFonts w:cs="Arial"/>
          <w:sz w:val="20"/>
        </w:rPr>
      </w:pPr>
      <w:bookmarkStart w:id="84"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4"/>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t>
      </w:r>
      <w:r w:rsidRPr="007360EF">
        <w:rPr>
          <w:rFonts w:cs="Arial"/>
          <w:sz w:val="20"/>
        </w:rPr>
        <w:lastRenderedPageBreak/>
        <w:t>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lastRenderedPageBreak/>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5" w:name="_Ref313373896"/>
      <w:bookmarkStart w:id="86" w:name="_Toc424324223"/>
      <w:r w:rsidRPr="00A4589E">
        <w:rPr>
          <w:rFonts w:cs="Arial"/>
          <w:sz w:val="20"/>
        </w:rPr>
        <w:t>TERMINATION</w:t>
      </w:r>
      <w:bookmarkEnd w:id="85"/>
      <w:bookmarkEnd w:id="86"/>
    </w:p>
    <w:p w:rsidR="00C03B23" w:rsidRPr="00A4589E" w:rsidRDefault="00C03B23" w:rsidP="00C03B23">
      <w:pPr>
        <w:pStyle w:val="Heading2"/>
        <w:keepNext/>
        <w:tabs>
          <w:tab w:val="num" w:pos="720"/>
        </w:tabs>
        <w:ind w:left="720"/>
        <w:rPr>
          <w:rFonts w:cs="Arial"/>
          <w:b/>
          <w:sz w:val="20"/>
        </w:rPr>
      </w:pPr>
      <w:bookmarkStart w:id="87" w:name="_Ref313371016"/>
      <w:r w:rsidRPr="00A4589E">
        <w:rPr>
          <w:rFonts w:cs="Arial"/>
          <w:b/>
          <w:sz w:val="20"/>
        </w:rPr>
        <w:t>Termination on Insolvency</w:t>
      </w:r>
      <w:bookmarkEnd w:id="87"/>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8"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8"/>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lastRenderedPageBreak/>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9"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9"/>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90"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w:t>
      </w:r>
      <w:r w:rsidRPr="00A4589E">
        <w:rPr>
          <w:rFonts w:cs="Arial"/>
          <w:sz w:val="20"/>
        </w:rPr>
        <w:lastRenderedPageBreak/>
        <w:t xml:space="preserve">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90"/>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91" w:name="_Ref313369326"/>
      <w:r w:rsidRPr="00A4589E">
        <w:rPr>
          <w:rFonts w:cs="Arial"/>
          <w:b/>
          <w:sz w:val="20"/>
        </w:rPr>
        <w:t xml:space="preserve">Termination on </w:t>
      </w:r>
      <w:bookmarkEnd w:id="91"/>
      <w:r>
        <w:rPr>
          <w:rFonts w:cs="Arial"/>
          <w:b/>
          <w:sz w:val="20"/>
        </w:rPr>
        <w:t>Material Breach, Persistent Failure or Grave Misconduct etc</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92"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2"/>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93" w:name="_Ref313371033"/>
      <w:bookmarkStart w:id="94" w:name="_Ref313369604"/>
      <w:r w:rsidRPr="00A4589E">
        <w:rPr>
          <w:rFonts w:cs="Arial"/>
          <w:b/>
          <w:sz w:val="20"/>
        </w:rPr>
        <w:t>Termination on Change of Control</w:t>
      </w:r>
      <w:bookmarkEnd w:id="93"/>
    </w:p>
    <w:p w:rsidR="00C03B23" w:rsidRPr="00A4589E" w:rsidRDefault="00C03B23" w:rsidP="00C03B23">
      <w:pPr>
        <w:pStyle w:val="Heading3"/>
        <w:rPr>
          <w:rFonts w:cs="Arial"/>
          <w:sz w:val="20"/>
        </w:rPr>
      </w:pPr>
      <w:bookmarkStart w:id="95"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5"/>
    </w:p>
    <w:p w:rsidR="00C03B23" w:rsidRPr="00A4589E" w:rsidRDefault="00C03B23" w:rsidP="001E17CE">
      <w:pPr>
        <w:pStyle w:val="Heading4"/>
        <w:tabs>
          <w:tab w:val="clear" w:pos="2781"/>
          <w:tab w:val="clear" w:pos="2880"/>
        </w:tabs>
        <w:rPr>
          <w:rFonts w:cs="Arial"/>
          <w:sz w:val="20"/>
        </w:rPr>
      </w:pPr>
      <w:r w:rsidRPr="00A4589E">
        <w:rPr>
          <w:rFonts w:cs="Arial"/>
          <w:sz w:val="20"/>
        </w:rPr>
        <w:lastRenderedPageBreak/>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4"/>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6" w:name="_Ref313370007"/>
      <w:bookmarkStart w:id="97" w:name="_Toc424324224"/>
      <w:r w:rsidRPr="00A4589E">
        <w:rPr>
          <w:rFonts w:cs="Arial"/>
          <w:sz w:val="20"/>
        </w:rPr>
        <w:t>CONSEQUENCES OF EXPIRY OR TERMINATION</w:t>
      </w:r>
      <w:bookmarkEnd w:id="96"/>
      <w:bookmarkEnd w:id="97"/>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lastRenderedPageBreak/>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8"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8"/>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9"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9"/>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 xml:space="preserve">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w:t>
      </w:r>
      <w:r w:rsidRPr="00611C77">
        <w:rPr>
          <w:rFonts w:cs="Arial"/>
          <w:sz w:val="20"/>
        </w:rPr>
        <w:lastRenderedPageBreak/>
        <w:t>(Prevention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100" w:name="_Ref313373915"/>
      <w:bookmarkStart w:id="101" w:name="_Toc424324225"/>
      <w:r w:rsidRPr="00A4589E">
        <w:rPr>
          <w:rFonts w:cs="Arial"/>
          <w:sz w:val="20"/>
        </w:rPr>
        <w:t>PUBLICITY, MEDIA AND OFFICIAL ENQUIRIES</w:t>
      </w:r>
      <w:bookmarkEnd w:id="100"/>
      <w:bookmarkEnd w:id="101"/>
    </w:p>
    <w:p w:rsidR="00C03B23" w:rsidRPr="00A4589E" w:rsidRDefault="00C03B23" w:rsidP="00C03B23">
      <w:pPr>
        <w:pStyle w:val="Heading2"/>
        <w:tabs>
          <w:tab w:val="num" w:pos="720"/>
        </w:tabs>
        <w:ind w:left="720"/>
        <w:rPr>
          <w:rFonts w:cs="Arial"/>
          <w:sz w:val="20"/>
        </w:rPr>
      </w:pPr>
      <w:bookmarkStart w:id="102"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2"/>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103" w:name="_Ref313370019"/>
      <w:bookmarkStart w:id="104" w:name="_Toc424324226"/>
      <w:r w:rsidRPr="00A4589E">
        <w:rPr>
          <w:rFonts w:cs="Arial"/>
          <w:sz w:val="20"/>
        </w:rPr>
        <w:t>PREVENTION OF BRIBERY AND CORRUPTION</w:t>
      </w:r>
      <w:bookmarkEnd w:id="103"/>
      <w:bookmarkEnd w:id="104"/>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5" w:name="_Toc424324227"/>
      <w:r w:rsidRPr="00A4589E">
        <w:rPr>
          <w:rFonts w:cs="Arial"/>
          <w:sz w:val="20"/>
        </w:rPr>
        <w:t>NON-DISCRIMINATION</w:t>
      </w:r>
      <w:bookmarkEnd w:id="105"/>
    </w:p>
    <w:p w:rsidR="00C03B23" w:rsidRPr="00A4589E" w:rsidRDefault="00C03B23" w:rsidP="00C03B23">
      <w:pPr>
        <w:pStyle w:val="Heading2"/>
        <w:tabs>
          <w:tab w:val="num" w:pos="720"/>
        </w:tabs>
        <w:ind w:left="720"/>
        <w:rPr>
          <w:rFonts w:cs="Arial"/>
          <w:sz w:val="20"/>
        </w:rPr>
      </w:pPr>
      <w:bookmarkStart w:id="106"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6"/>
    </w:p>
    <w:p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7" w:name="_Ref313370082"/>
      <w:bookmarkStart w:id="108" w:name="_Toc424324228"/>
      <w:r w:rsidRPr="00A4589E">
        <w:rPr>
          <w:rFonts w:cs="Arial"/>
          <w:sz w:val="20"/>
        </w:rPr>
        <w:t>PREVENTION OF FRAUD</w:t>
      </w:r>
      <w:bookmarkEnd w:id="107"/>
      <w:bookmarkEnd w:id="108"/>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9" w:name="_Ref313370605"/>
      <w:bookmarkStart w:id="110" w:name="_Toc424324229"/>
      <w:r w:rsidRPr="00A4589E">
        <w:rPr>
          <w:rFonts w:cs="Arial"/>
          <w:sz w:val="20"/>
        </w:rPr>
        <w:t>TRANSFER AND SUB-CONTRACTING</w:t>
      </w:r>
      <w:bookmarkEnd w:id="109"/>
      <w:bookmarkEnd w:id="110"/>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11"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11"/>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12" w:name="_Ref313370925"/>
      <w:r w:rsidRPr="00A4589E">
        <w:rPr>
          <w:rFonts w:cs="Arial"/>
          <w:sz w:val="20"/>
        </w:rPr>
        <w:lastRenderedPageBreak/>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2"/>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13" w:name="_Toc424324230"/>
      <w:r w:rsidRPr="001A3AB9">
        <w:rPr>
          <w:rFonts w:cs="Arial"/>
          <w:sz w:val="20"/>
        </w:rPr>
        <w:t>WAIVER</w:t>
      </w:r>
      <w:bookmarkEnd w:id="113"/>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4" w:name="_Ref313370047"/>
      <w:bookmarkStart w:id="115" w:name="_Toc424324231"/>
      <w:r w:rsidRPr="001A3AB9">
        <w:rPr>
          <w:rFonts w:cs="Arial"/>
          <w:sz w:val="20"/>
        </w:rPr>
        <w:t>CUMULATI</w:t>
      </w:r>
      <w:r w:rsidRPr="001A3AB9">
        <w:rPr>
          <w:rFonts w:cs="Arial"/>
          <w:b w:val="0"/>
          <w:sz w:val="20"/>
        </w:rPr>
        <w:t>V</w:t>
      </w:r>
      <w:r w:rsidRPr="001A3AB9">
        <w:rPr>
          <w:rFonts w:cs="Arial"/>
          <w:sz w:val="20"/>
        </w:rPr>
        <w:t>E REMEDIES</w:t>
      </w:r>
      <w:bookmarkEnd w:id="114"/>
      <w:bookmarkEnd w:id="115"/>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6" w:name="_Toc424324232"/>
      <w:r w:rsidRPr="00A4589E">
        <w:rPr>
          <w:rFonts w:cs="Arial"/>
          <w:sz w:val="20"/>
        </w:rPr>
        <w:t>FURTHER ASSURANCES</w:t>
      </w:r>
      <w:bookmarkEnd w:id="116"/>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7" w:name="_Toc424324233"/>
      <w:r w:rsidRPr="00A4589E">
        <w:rPr>
          <w:rFonts w:cs="Arial"/>
          <w:sz w:val="20"/>
        </w:rPr>
        <w:lastRenderedPageBreak/>
        <w:t>SEVERABILITY</w:t>
      </w:r>
      <w:bookmarkEnd w:id="117"/>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8" w:name="_Toc424324234"/>
      <w:r>
        <w:rPr>
          <w:rFonts w:cs="Arial"/>
          <w:sz w:val="20"/>
        </w:rPr>
        <w:t>SUPPLIER</w:t>
      </w:r>
      <w:r w:rsidRPr="00A4589E">
        <w:rPr>
          <w:rFonts w:cs="Arial"/>
          <w:sz w:val="20"/>
        </w:rPr>
        <w:t>’S STATUS</w:t>
      </w:r>
      <w:bookmarkEnd w:id="118"/>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9" w:name="_Toc424324235"/>
      <w:r w:rsidRPr="00A4589E">
        <w:rPr>
          <w:rFonts w:cs="Arial"/>
          <w:sz w:val="20"/>
        </w:rPr>
        <w:t>ENTIRE AGREEMENT</w:t>
      </w:r>
      <w:bookmarkEnd w:id="119"/>
    </w:p>
    <w:p w:rsidR="00C03B23" w:rsidRPr="00A4589E" w:rsidRDefault="00C03B23" w:rsidP="00C03B23">
      <w:pPr>
        <w:pStyle w:val="Heading2"/>
        <w:tabs>
          <w:tab w:val="num" w:pos="720"/>
        </w:tabs>
        <w:ind w:left="720"/>
        <w:rPr>
          <w:rFonts w:cs="Arial"/>
          <w:sz w:val="20"/>
        </w:rPr>
      </w:pPr>
      <w:bookmarkStart w:id="120"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20"/>
    </w:p>
    <w:p w:rsidR="00C03B23" w:rsidRPr="00A4589E" w:rsidRDefault="00C03B23" w:rsidP="00C03B23">
      <w:pPr>
        <w:pStyle w:val="Heading2"/>
        <w:tabs>
          <w:tab w:val="num" w:pos="720"/>
        </w:tabs>
        <w:ind w:left="720"/>
        <w:rPr>
          <w:rFonts w:cs="Arial"/>
          <w:sz w:val="20"/>
        </w:rPr>
      </w:pPr>
      <w:bookmarkStart w:id="121"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21"/>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22" w:name="_Ref313370095"/>
      <w:bookmarkStart w:id="123" w:name="_Toc424324236"/>
      <w:r w:rsidRPr="00A4589E">
        <w:rPr>
          <w:rFonts w:cs="Arial"/>
          <w:sz w:val="20"/>
        </w:rPr>
        <w:t>CONTRACTS (RIGHTS OF THIRD PARTIES) ACT</w:t>
      </w:r>
      <w:bookmarkEnd w:id="122"/>
      <w:bookmarkEnd w:id="123"/>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lastRenderedPageBreak/>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4"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5" w:name="_Toc424324237"/>
      <w:r w:rsidRPr="00A4589E">
        <w:rPr>
          <w:rFonts w:cs="Arial"/>
          <w:sz w:val="20"/>
        </w:rPr>
        <w:t>NOTICES</w:t>
      </w:r>
      <w:bookmarkEnd w:id="124"/>
      <w:bookmarkEnd w:id="125"/>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6"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6"/>
    </w:p>
    <w:p w:rsidR="00C03B23" w:rsidRPr="00A4589E" w:rsidRDefault="00C03B23" w:rsidP="00C03B23">
      <w:pPr>
        <w:pStyle w:val="Heading2"/>
        <w:tabs>
          <w:tab w:val="num" w:pos="720"/>
        </w:tabs>
        <w:ind w:left="720"/>
        <w:rPr>
          <w:rFonts w:cs="Arial"/>
          <w:sz w:val="20"/>
        </w:rPr>
      </w:pPr>
      <w:bookmarkStart w:id="127"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7"/>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8" w:name="_Toc314810842"/>
      <w:bookmarkStart w:id="129" w:name="_Toc424324238"/>
      <w:r w:rsidRPr="00837B0E">
        <w:rPr>
          <w:sz w:val="20"/>
        </w:rPr>
        <w:lastRenderedPageBreak/>
        <w:t>DISPUTES AND LAW</w:t>
      </w:r>
      <w:bookmarkEnd w:id="128"/>
      <w:bookmarkEnd w:id="129"/>
    </w:p>
    <w:p w:rsidR="00C03B23" w:rsidRPr="00837B0E" w:rsidRDefault="00C03B23" w:rsidP="00C03B23">
      <w:pPr>
        <w:pStyle w:val="Heading2"/>
        <w:keepNext/>
        <w:tabs>
          <w:tab w:val="clear" w:pos="1350"/>
          <w:tab w:val="num" w:pos="720"/>
        </w:tabs>
        <w:ind w:left="720"/>
        <w:rPr>
          <w:b/>
          <w:sz w:val="20"/>
        </w:rPr>
      </w:pPr>
      <w:bookmarkStart w:id="130" w:name="_Ref313370109"/>
      <w:r w:rsidRPr="00837B0E">
        <w:rPr>
          <w:b/>
          <w:sz w:val="20"/>
        </w:rPr>
        <w:t>Governing Law and Jurisdiction</w:t>
      </w:r>
      <w:bookmarkEnd w:id="130"/>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31" w:name="_Ref313372098"/>
      <w:r w:rsidRPr="00837B0E">
        <w:rPr>
          <w:b/>
          <w:sz w:val="20"/>
        </w:rPr>
        <w:t>Dispute Resolution</w:t>
      </w:r>
      <w:bookmarkEnd w:id="131"/>
    </w:p>
    <w:p w:rsidR="00C03B23" w:rsidRPr="00837B0E" w:rsidRDefault="00C03B23" w:rsidP="00C03B23">
      <w:pPr>
        <w:pStyle w:val="Heading3"/>
        <w:rPr>
          <w:sz w:val="20"/>
        </w:rPr>
      </w:pPr>
      <w:bookmarkStart w:id="132"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2"/>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33" w:name="_Ref313371432"/>
      <w:r w:rsidRPr="00837B0E">
        <w:rPr>
          <w:sz w:val="20"/>
        </w:rPr>
        <w:t>The procedure for mediation is as follows:</w:t>
      </w:r>
      <w:bookmarkEnd w:id="133"/>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t xml:space="preserve">unless otherwise agreed, all negotiations connected with the dispute and any settlement agreement relating to it shall be conducted in </w:t>
      </w:r>
      <w:r w:rsidRPr="00837B0E">
        <w:rPr>
          <w:sz w:val="20"/>
        </w:rPr>
        <w:lastRenderedPageBreak/>
        <w:t>confidence and without prejudice to the rights of the Parties in any future proceedings;</w:t>
      </w:r>
    </w:p>
    <w:p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4"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4"/>
    </w:p>
    <w:p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5" w:name="_Toc127759065"/>
      <w:bookmarkStart w:id="136" w:name="_Toc139080105"/>
      <w:bookmarkStart w:id="137" w:name="_Toc296514644"/>
      <w:bookmarkStart w:id="138" w:name="_Toc297577110"/>
      <w:bookmarkStart w:id="139" w:name="_Toc297577509"/>
      <w:bookmarkStart w:id="140" w:name="_Toc297624436"/>
    </w:p>
    <w:bookmarkEnd w:id="135"/>
    <w:bookmarkEnd w:id="136"/>
    <w:bookmarkEnd w:id="137"/>
    <w:bookmarkEnd w:id="138"/>
    <w:bookmarkEnd w:id="139"/>
    <w:bookmarkEnd w:id="140"/>
    <w:p w:rsidR="00C03B23" w:rsidRPr="00A4589E" w:rsidRDefault="00C03B23" w:rsidP="00C03B23">
      <w:pPr>
        <w:pStyle w:val="Heading4"/>
        <w:rPr>
          <w:rFonts w:cs="Arial"/>
          <w:sz w:val="20"/>
        </w:rPr>
        <w:sectPr w:rsidR="00C03B23" w:rsidRPr="00A4589E" w:rsidSect="005B48E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40" w:right="1701"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41" w:name="_Toc424324239"/>
      <w:bookmarkStart w:id="142" w:name="_Ref313382807"/>
      <w:bookmarkStart w:id="143"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41"/>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44"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lastRenderedPageBreak/>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4"/>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5" w:name="_Toc424324240"/>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5"/>
    </w:p>
    <w:p w:rsidR="00C03B23" w:rsidRPr="00942CB1" w:rsidRDefault="00C03B23" w:rsidP="00C03B23">
      <w:pPr>
        <w:pStyle w:val="MarginText"/>
        <w:jc w:val="center"/>
        <w:rPr>
          <w:b/>
          <w:bCs/>
          <w:sz w:val="20"/>
        </w:rPr>
      </w:pPr>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AB64A8" w:rsidRDefault="00AB64A8">
      <w:pPr>
        <w:overflowPunct/>
        <w:autoSpaceDE/>
        <w:autoSpaceDN/>
        <w:adjustRightInd/>
        <w:spacing w:after="0" w:line="240"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tcPr>
          <w:p w:rsidR="00C03B23" w:rsidRPr="00942CB1" w:rsidRDefault="00AB64A8" w:rsidP="00C03B23">
            <w:pPr>
              <w:overflowPunct/>
              <w:autoSpaceDE/>
              <w:autoSpaceDN/>
              <w:adjustRightInd/>
              <w:spacing w:after="0"/>
              <w:jc w:val="left"/>
              <w:textAlignment w:val="auto"/>
              <w:rPr>
                <w:b/>
                <w:bCs/>
                <w:sz w:val="20"/>
                <w:lang w:eastAsia="en-GB"/>
              </w:rPr>
            </w:pPr>
            <w:r>
              <w:lastRenderedPageBreak/>
              <w:br w:type="page"/>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1367"/>
        </w:trPr>
        <w:tc>
          <w:tcPr>
            <w:tcW w:w="1810" w:type="dxa"/>
            <w:vMerge w:val="restart"/>
            <w:vAlign w:val="center"/>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considered opportunities for skills transfer in specification - Skills transfer requirements and the means of delivery were </w:t>
            </w:r>
            <w:r w:rsidRPr="00942CB1">
              <w:rPr>
                <w:sz w:val="20"/>
                <w:lang w:eastAsia="en-GB"/>
              </w:rPr>
              <w:lastRenderedPageBreak/>
              <w:t>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2"/>
      <w:bookmarkEnd w:id="143"/>
    </w:tbl>
    <w:p w:rsidR="00C03B23" w:rsidRDefault="00C03B23" w:rsidP="00C06985">
      <w:pPr>
        <w:overflowPunct/>
        <w:autoSpaceDE/>
        <w:autoSpaceDN/>
        <w:adjustRightInd/>
        <w:spacing w:after="0" w:line="240" w:lineRule="auto"/>
        <w:jc w:val="left"/>
        <w:textAlignment w:val="auto"/>
        <w:rPr>
          <w:rFonts w:cs="Arial"/>
          <w:b/>
          <w:sz w:val="20"/>
        </w:rPr>
      </w:pPr>
    </w:p>
    <w:sectPr w:rsidR="00C03B23" w:rsidSect="00C04C74">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B61" w:rsidRDefault="007B6B61">
      <w:pPr>
        <w:spacing w:after="0" w:line="20" w:lineRule="exact"/>
      </w:pPr>
    </w:p>
  </w:endnote>
  <w:endnote w:type="continuationSeparator" w:id="0">
    <w:p w:rsidR="007B6B61" w:rsidRDefault="007B6B61">
      <w:pPr>
        <w:spacing w:after="0" w:line="20" w:lineRule="exact"/>
      </w:pPr>
    </w:p>
  </w:endnote>
  <w:endnote w:type="continuationNotice" w:id="1">
    <w:p w:rsidR="007B6B61" w:rsidRDefault="007B6B6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FB26D7" w:rsidRDefault="00FB26D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FB26D7" w:rsidRDefault="00FB26D7"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4338F5">
    <w:pPr>
      <w:pStyle w:val="Footer"/>
      <w:jc w:val="left"/>
      <w:rPr>
        <w:sz w:val="18"/>
        <w:szCs w:val="18"/>
      </w:rPr>
    </w:pPr>
    <w:r>
      <w:rPr>
        <w:sz w:val="18"/>
        <w:szCs w:val="18"/>
      </w:rPr>
      <w:t xml:space="preserve">Contract: Provision of </w:t>
    </w:r>
    <w:r w:rsidRPr="00956BCD">
      <w:rPr>
        <w:sz w:val="18"/>
        <w:szCs w:val="18"/>
      </w:rPr>
      <w:t xml:space="preserve">Consultancy for </w:t>
    </w:r>
  </w:p>
  <w:p w:rsidR="00FB26D7" w:rsidRDefault="00FB26D7" w:rsidP="004338F5">
    <w:pPr>
      <w:pStyle w:val="Footer"/>
      <w:jc w:val="left"/>
      <w:rPr>
        <w:sz w:val="18"/>
        <w:szCs w:val="18"/>
      </w:rPr>
    </w:pPr>
    <w:r w:rsidRPr="00956BCD">
      <w:rPr>
        <w:sz w:val="18"/>
        <w:szCs w:val="18"/>
      </w:rPr>
      <w:t>Financial Due Diligence in relation to the</w:t>
    </w:r>
  </w:p>
  <w:p w:rsidR="00FB26D7" w:rsidRDefault="00FB26D7" w:rsidP="004338F5">
    <w:pPr>
      <w:pStyle w:val="Footer"/>
      <w:jc w:val="left"/>
      <w:rPr>
        <w:sz w:val="18"/>
        <w:szCs w:val="18"/>
      </w:rPr>
    </w:pPr>
    <w:r w:rsidRPr="00956BCD">
      <w:rPr>
        <w:sz w:val="18"/>
        <w:szCs w:val="18"/>
      </w:rPr>
      <w:t xml:space="preserve">UK Government’s unit holding in </w:t>
    </w:r>
  </w:p>
  <w:p w:rsidR="00FB26D7" w:rsidRDefault="00FB26D7" w:rsidP="004338F5">
    <w:pPr>
      <w:pStyle w:val="Footer"/>
      <w:jc w:val="left"/>
      <w:rPr>
        <w:sz w:val="18"/>
        <w:szCs w:val="18"/>
      </w:rPr>
    </w:pPr>
    <w:r w:rsidRPr="00956BCD">
      <w:rPr>
        <w:sz w:val="18"/>
        <w:szCs w:val="18"/>
      </w:rPr>
      <w:t>King’s Cross Central Partnership</w:t>
    </w:r>
    <w:r w:rsidRPr="00813093">
      <w:rPr>
        <w:sz w:val="18"/>
        <w:szCs w:val="18"/>
      </w:rPr>
      <w:t xml:space="preserve"> </w:t>
    </w:r>
  </w:p>
  <w:p w:rsidR="00FB26D7" w:rsidRPr="00813093" w:rsidRDefault="00FB26D7" w:rsidP="004338F5">
    <w:pPr>
      <w:pStyle w:val="Footer"/>
      <w:jc w:val="left"/>
      <w:rPr>
        <w:sz w:val="18"/>
        <w:szCs w:val="18"/>
      </w:rPr>
    </w:pPr>
    <w:r>
      <w:rPr>
        <w:sz w:val="18"/>
        <w:szCs w:val="18"/>
      </w:rPr>
      <w:t xml:space="preserve">Contract Number: </w:t>
    </w:r>
    <w:r w:rsidRPr="00956BCD">
      <w:rPr>
        <w:sz w:val="18"/>
        <w:szCs w:val="18"/>
      </w:rPr>
      <w:t xml:space="preserve">RM5925 SO10605 </w:t>
    </w:r>
  </w:p>
  <w:p w:rsidR="00FB26D7" w:rsidRPr="00813093" w:rsidRDefault="00FB26D7" w:rsidP="00813093">
    <w:pPr>
      <w:pStyle w:val="Footer"/>
      <w:jc w:val="left"/>
      <w:rPr>
        <w:sz w:val="18"/>
        <w:szCs w:val="18"/>
      </w:rPr>
    </w:pPr>
    <w:r>
      <w:rPr>
        <w:sz w:val="18"/>
        <w:szCs w:val="18"/>
      </w:rPr>
      <w:tab/>
    </w:r>
  </w:p>
  <w:p w:rsidR="00FB26D7" w:rsidRPr="00BB2491" w:rsidRDefault="00FB26D7"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CA59B6">
      <w:rPr>
        <w:noProof/>
        <w:sz w:val="18"/>
        <w:szCs w:val="18"/>
      </w:rPr>
      <w:t>11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CA59B6">
      <w:rPr>
        <w:noProof/>
        <w:sz w:val="18"/>
        <w:szCs w:val="18"/>
      </w:rPr>
      <w:t>60</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535D03">
      <w:rPr>
        <w:noProof/>
        <w:sz w:val="18"/>
        <w:szCs w:val="18"/>
      </w:rPr>
      <w:t>26 August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FB26D7" w:rsidRDefault="00FB26D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FB26D7" w:rsidRDefault="00FB26D7"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B61" w:rsidRDefault="007B6B61">
      <w:pPr>
        <w:spacing w:after="0" w:line="240" w:lineRule="auto"/>
      </w:pPr>
      <w:r>
        <w:separator/>
      </w:r>
    </w:p>
  </w:footnote>
  <w:footnote w:type="continuationSeparator" w:id="0">
    <w:p w:rsidR="007B6B61" w:rsidRDefault="007B6B61">
      <w:pPr>
        <w:spacing w:after="0" w:line="240" w:lineRule="auto"/>
      </w:pPr>
      <w:r>
        <w:continuationSeparator/>
      </w:r>
    </w:p>
  </w:footnote>
  <w:footnote w:type="continuationNotice" w:id="1">
    <w:p w:rsidR="007B6B61" w:rsidRDefault="007B6B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Pr="00883724" w:rsidRDefault="00FB26D7"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6D7" w:rsidRDefault="00FB26D7"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nsid w:val="51200365"/>
    <w:multiLevelType w:val="multilevel"/>
    <w:tmpl w:val="4B9E575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nsid w:val="66F80CBE"/>
    <w:multiLevelType w:val="multilevel"/>
    <w:tmpl w:val="766C966C"/>
    <w:numStyleLink w:val="111111"/>
  </w:abstractNum>
  <w:abstractNum w:abstractNumId="37">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5"/>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1"/>
  </w:num>
  <w:num w:numId="18">
    <w:abstractNumId w:val="24"/>
  </w:num>
  <w:num w:numId="19">
    <w:abstractNumId w:val="20"/>
  </w:num>
  <w:num w:numId="20">
    <w:abstractNumId w:val="13"/>
  </w:num>
  <w:num w:numId="21">
    <w:abstractNumId w:val="40"/>
  </w:num>
  <w:num w:numId="22">
    <w:abstractNumId w:val="33"/>
  </w:num>
  <w:num w:numId="23">
    <w:abstractNumId w:val="38"/>
  </w:num>
  <w:num w:numId="24">
    <w:abstractNumId w:val="44"/>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2"/>
  </w:num>
  <w:num w:numId="35">
    <w:abstractNumId w:val="16"/>
  </w:num>
  <w:num w:numId="36">
    <w:abstractNumId w:val="45"/>
  </w:num>
  <w:num w:numId="37">
    <w:abstractNumId w:val="41"/>
  </w:num>
  <w:num w:numId="38">
    <w:abstractNumId w:val="10"/>
  </w:num>
  <w:num w:numId="39">
    <w:abstractNumId w:val="29"/>
  </w:num>
  <w:num w:numId="40">
    <w:abstractNumId w:val="43"/>
  </w:num>
  <w:num w:numId="41">
    <w:abstractNumId w:val="26"/>
  </w:num>
  <w:num w:numId="42">
    <w:abstractNumId w:val="21"/>
  </w:num>
  <w:num w:numId="43">
    <w:abstractNumId w:val="37"/>
  </w:num>
  <w:num w:numId="44">
    <w:abstractNumId w:val="28"/>
  </w:num>
  <w:num w:numId="45">
    <w:abstractNumId w:val="17"/>
  </w:num>
  <w:num w:numId="46">
    <w:abstractNumId w:val="30"/>
  </w:num>
  <w:num w:numId="47">
    <w:abstractNumId w:val="19"/>
  </w:num>
  <w:num w:numId="48">
    <w:abstractNumId w:val="6"/>
  </w:num>
  <w:num w:numId="49">
    <w:abstractNumId w:val="9"/>
  </w:num>
  <w:num w:numId="5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500B"/>
    <w:rsid w:val="000E6A2F"/>
    <w:rsid w:val="000F1186"/>
    <w:rsid w:val="000F386F"/>
    <w:rsid w:val="000F3939"/>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A591A"/>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06D"/>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C55FB"/>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335"/>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5D03"/>
    <w:rsid w:val="00536DFF"/>
    <w:rsid w:val="00547DDB"/>
    <w:rsid w:val="0055093C"/>
    <w:rsid w:val="00551505"/>
    <w:rsid w:val="00551CE5"/>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085B"/>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2EAF"/>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5154"/>
    <w:rsid w:val="00715D83"/>
    <w:rsid w:val="00720057"/>
    <w:rsid w:val="00720809"/>
    <w:rsid w:val="00730FA6"/>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6B61"/>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56BCD"/>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4E2F"/>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AF70D8"/>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52695"/>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54FC"/>
    <w:rsid w:val="00C05984"/>
    <w:rsid w:val="00C06316"/>
    <w:rsid w:val="00C06985"/>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59B6"/>
    <w:rsid w:val="00CA6C27"/>
    <w:rsid w:val="00CB2345"/>
    <w:rsid w:val="00CB2406"/>
    <w:rsid w:val="00CB271F"/>
    <w:rsid w:val="00CB2FFD"/>
    <w:rsid w:val="00CB33B4"/>
    <w:rsid w:val="00CB484A"/>
    <w:rsid w:val="00CB5FF3"/>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4B7"/>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597F"/>
    <w:rsid w:val="00DF678C"/>
    <w:rsid w:val="00E013A7"/>
    <w:rsid w:val="00E02A90"/>
    <w:rsid w:val="00E0317E"/>
    <w:rsid w:val="00E03B79"/>
    <w:rsid w:val="00E04FE6"/>
    <w:rsid w:val="00E05143"/>
    <w:rsid w:val="00E05E05"/>
    <w:rsid w:val="00E100C3"/>
    <w:rsid w:val="00E109EC"/>
    <w:rsid w:val="00E13980"/>
    <w:rsid w:val="00E242A0"/>
    <w:rsid w:val="00E266A6"/>
    <w:rsid w:val="00E27721"/>
    <w:rsid w:val="00E27A80"/>
    <w:rsid w:val="00E27BC3"/>
    <w:rsid w:val="00E30047"/>
    <w:rsid w:val="00E33F85"/>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1EB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BEA"/>
    <w:rsid w:val="00F03D5D"/>
    <w:rsid w:val="00F07AAB"/>
    <w:rsid w:val="00F07C97"/>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59D"/>
    <w:rsid w:val="00F74B62"/>
    <w:rsid w:val="00F7632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26D7"/>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E0B650-F521-49E8-8046-94E6E995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2.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5.xml><?xml version="1.0" encoding="utf-8"?>
<ds:datastoreItem xmlns:ds="http://schemas.openxmlformats.org/officeDocument/2006/customXml" ds:itemID="{7809411C-71A2-4849-8849-F298E243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1</Pages>
  <Words>17750</Words>
  <Characters>101175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Julia Aldous</cp:lastModifiedBy>
  <cp:revision>4</cp:revision>
  <cp:lastPrinted>2013-01-02T14:27:00Z</cp:lastPrinted>
  <dcterms:created xsi:type="dcterms:W3CDTF">2015-08-26T13:16:00Z</dcterms:created>
  <dcterms:modified xsi:type="dcterms:W3CDTF">2015-08-26T13:16:00Z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