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2F72B" w14:textId="77777777" w:rsidR="004F32DC" w:rsidRDefault="000F3F5C" w:rsidP="000F3F5C">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40A90F60" wp14:editId="30BFBB54">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4F32DC">
        <w:rPr>
          <w:noProof/>
        </w:rPr>
        <w:drawing>
          <wp:anchor distT="0" distB="0" distL="114300" distR="114300" simplePos="0" relativeHeight="251659264" behindDoc="0" locked="0" layoutInCell="1" allowOverlap="1" wp14:anchorId="46825D1B" wp14:editId="123ABB9D">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602114B2" w14:textId="77777777" w:rsidR="004F32DC" w:rsidRDefault="004F32DC" w:rsidP="004F32DC">
      <w:pPr>
        <w:spacing w:before="240"/>
        <w:jc w:val="center"/>
        <w:rPr>
          <w:b/>
          <w:caps/>
          <w:sz w:val="24"/>
          <w:szCs w:val="24"/>
        </w:rPr>
      </w:pPr>
    </w:p>
    <w:bookmarkEnd w:id="1"/>
    <w:p w14:paraId="7023D5F7" w14:textId="77777777" w:rsidR="004F32DC" w:rsidRDefault="004F32DC" w:rsidP="004F32DC">
      <w:pPr>
        <w:spacing w:before="240"/>
        <w:jc w:val="center"/>
        <w:rPr>
          <w:b/>
          <w:caps/>
          <w:sz w:val="24"/>
          <w:szCs w:val="24"/>
        </w:rPr>
      </w:pPr>
    </w:p>
    <w:p w14:paraId="29D454C0" w14:textId="77777777" w:rsidR="004F32DC" w:rsidRPr="002D0ED3" w:rsidRDefault="004F32DC" w:rsidP="004F32DC">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51C41281" w14:textId="77777777" w:rsidR="004F32DC" w:rsidRPr="002D0ED3" w:rsidRDefault="004F32DC" w:rsidP="004F32DC">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6A06C703" w14:textId="77777777" w:rsidR="004F32DC" w:rsidRPr="002D0ED3" w:rsidRDefault="004F32DC" w:rsidP="004F32DC">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210DAA5D" w14:textId="77777777" w:rsidR="004F32DC" w:rsidRPr="00A33E00" w:rsidRDefault="004F32DC" w:rsidP="004F32DC">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244D7752" w14:textId="77777777" w:rsidR="004F32DC" w:rsidRPr="002D0ED3" w:rsidRDefault="004F32DC" w:rsidP="004F32DC">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4AE74DD8" w14:textId="77777777" w:rsidR="004F32DC" w:rsidRPr="002D0ED3" w:rsidRDefault="004F32DC" w:rsidP="004F32DC">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26A23522" w14:textId="77777777" w:rsidR="00320C2D" w:rsidRDefault="00320C2D">
      <w:r>
        <w:br w:type="page"/>
      </w:r>
    </w:p>
    <w:p w14:paraId="37DD0EC7" w14:textId="77777777" w:rsidR="009E4017" w:rsidRDefault="009E4017">
      <w:pPr>
        <w:widowControl w:val="0"/>
        <w:pBdr>
          <w:top w:val="nil"/>
          <w:left w:val="nil"/>
          <w:bottom w:val="nil"/>
          <w:right w:val="nil"/>
          <w:between w:val="nil"/>
        </w:pBdr>
        <w:spacing w:after="0"/>
      </w:pPr>
    </w:p>
    <w:p w14:paraId="368CAF53" w14:textId="77777777" w:rsidR="009E4017" w:rsidRDefault="00F17C41">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Call-Off Schedule 14 (Key Performance Indicators)</w:t>
      </w:r>
    </w:p>
    <w:p w14:paraId="4E2EE47C" w14:textId="77777777" w:rsidR="009E4017" w:rsidRDefault="00F17C41">
      <w:pPr>
        <w:numPr>
          <w:ilvl w:val="0"/>
          <w:numId w:val="4"/>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Definitions</w:t>
      </w:r>
    </w:p>
    <w:p w14:paraId="78004102" w14:textId="77777777" w:rsidR="009E4017" w:rsidRDefault="00F17C41">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fe"/>
        <w:tblW w:w="836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953"/>
      </w:tblGrid>
      <w:tr w:rsidR="009E4017" w14:paraId="5517ECD6" w14:textId="77777777">
        <w:tc>
          <w:tcPr>
            <w:tcW w:w="2410" w:type="dxa"/>
            <w:shd w:val="clear" w:color="auto" w:fill="auto"/>
          </w:tcPr>
          <w:p w14:paraId="3CCAF35F" w14:textId="77777777" w:rsidR="009E4017" w:rsidRDefault="00F17C41">
            <w:pPr>
              <w:pBdr>
                <w:top w:val="nil"/>
                <w:left w:val="nil"/>
                <w:bottom w:val="nil"/>
                <w:right w:val="nil"/>
                <w:between w:val="nil"/>
              </w:pBdr>
              <w:spacing w:after="120"/>
              <w:ind w:left="-108"/>
              <w:rPr>
                <w:rFonts w:ascii="Arial" w:eastAsia="Arial" w:hAnsi="Arial" w:cs="Arial"/>
                <w:b/>
                <w:color w:val="000000"/>
                <w:sz w:val="24"/>
                <w:szCs w:val="24"/>
              </w:rPr>
            </w:pPr>
            <w:bookmarkStart w:id="3" w:name="_heading=h.2et92p0" w:colFirst="0" w:colLast="0"/>
            <w:bookmarkEnd w:id="3"/>
            <w:r>
              <w:rPr>
                <w:rFonts w:ascii="Arial" w:eastAsia="Arial" w:hAnsi="Arial" w:cs="Arial"/>
                <w:b/>
                <w:color w:val="000000"/>
                <w:sz w:val="24"/>
                <w:szCs w:val="24"/>
              </w:rPr>
              <w:t>"At Risk %"</w:t>
            </w:r>
          </w:p>
        </w:tc>
        <w:tc>
          <w:tcPr>
            <w:tcW w:w="5953" w:type="dxa"/>
            <w:shd w:val="clear" w:color="auto" w:fill="auto"/>
          </w:tcPr>
          <w:p w14:paraId="50E750E9" w14:textId="77777777" w:rsidR="009E4017" w:rsidRDefault="00F17C41">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r>
              <w:rPr>
                <w:rFonts w:ascii="Arial" w:eastAsia="Arial" w:hAnsi="Arial" w:cs="Arial"/>
                <w:color w:val="000000"/>
                <w:sz w:val="24"/>
                <w:szCs w:val="24"/>
              </w:rPr>
              <w:t>means the percentage figure identified as such in the Order Form;</w:t>
            </w:r>
          </w:p>
        </w:tc>
      </w:tr>
      <w:tr w:rsidR="009E4017" w14:paraId="3FBB13EC" w14:textId="77777777">
        <w:tc>
          <w:tcPr>
            <w:tcW w:w="2410" w:type="dxa"/>
            <w:shd w:val="clear" w:color="auto" w:fill="auto"/>
          </w:tcPr>
          <w:p w14:paraId="11E5A0B1" w14:textId="77777777" w:rsidR="009E4017" w:rsidRDefault="00F17C4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"At Risk Amount"</w:t>
            </w:r>
          </w:p>
        </w:tc>
        <w:tc>
          <w:tcPr>
            <w:tcW w:w="5953" w:type="dxa"/>
            <w:shd w:val="clear" w:color="auto" w:fill="auto"/>
          </w:tcPr>
          <w:p w14:paraId="31525CB3" w14:textId="77777777" w:rsidR="009E4017" w:rsidRDefault="00F17C41">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r>
              <w:rPr>
                <w:rFonts w:ascii="Arial" w:eastAsia="Arial" w:hAnsi="Arial" w:cs="Arial"/>
                <w:color w:val="000000"/>
                <w:sz w:val="24"/>
                <w:szCs w:val="24"/>
              </w:rPr>
              <w:t xml:space="preserve">means in respect of a Service Period, the amount calculated in accordance with Paragraph 3.1 of Part A of this Schedule; </w:t>
            </w:r>
          </w:p>
        </w:tc>
      </w:tr>
      <w:tr w:rsidR="009E4017" w14:paraId="4D8F7A8E" w14:textId="77777777">
        <w:tc>
          <w:tcPr>
            <w:tcW w:w="2410" w:type="dxa"/>
            <w:shd w:val="clear" w:color="auto" w:fill="auto"/>
          </w:tcPr>
          <w:p w14:paraId="06F816DC" w14:textId="77777777" w:rsidR="009E4017" w:rsidRDefault="00F17C4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"Earn Back %"</w:t>
            </w:r>
          </w:p>
        </w:tc>
        <w:tc>
          <w:tcPr>
            <w:tcW w:w="5953" w:type="dxa"/>
            <w:shd w:val="clear" w:color="auto" w:fill="auto"/>
          </w:tcPr>
          <w:p w14:paraId="7691AC64" w14:textId="77777777" w:rsidR="009E4017" w:rsidRDefault="00F17C41">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sz w:val="24"/>
                <w:szCs w:val="24"/>
              </w:rPr>
              <w:t>means the percentage figure identified as such in the Order Form and which shall be used to determine the proportion of a KPI Credit which may be the subject of any Earn Back;</w:t>
            </w:r>
          </w:p>
        </w:tc>
      </w:tr>
      <w:tr w:rsidR="009E4017" w14:paraId="7A83C518" w14:textId="77777777">
        <w:tc>
          <w:tcPr>
            <w:tcW w:w="2410" w:type="dxa"/>
            <w:shd w:val="clear" w:color="auto" w:fill="auto"/>
          </w:tcPr>
          <w:p w14:paraId="145D67BD" w14:textId="77777777" w:rsidR="009E4017" w:rsidRDefault="00F17C41">
            <w:pPr>
              <w:spacing w:after="280"/>
              <w:rPr>
                <w:rFonts w:ascii="Arial" w:eastAsia="Arial" w:hAnsi="Arial" w:cs="Arial"/>
                <w:b/>
                <w:color w:val="000000"/>
                <w:sz w:val="24"/>
                <w:szCs w:val="24"/>
              </w:rPr>
            </w:pPr>
            <w:r>
              <w:rPr>
                <w:rFonts w:ascii="Arial" w:eastAsia="Arial" w:hAnsi="Arial" w:cs="Arial"/>
                <w:b/>
                <w:color w:val="000000"/>
                <w:sz w:val="24"/>
                <w:szCs w:val="24"/>
              </w:rPr>
              <w:t>“KPI Category”</w:t>
            </w:r>
          </w:p>
          <w:p w14:paraId="5E618271" w14:textId="77777777" w:rsidR="009E4017" w:rsidRDefault="009E4017">
            <w:pPr>
              <w:pBdr>
                <w:top w:val="nil"/>
                <w:left w:val="nil"/>
                <w:bottom w:val="nil"/>
                <w:right w:val="nil"/>
                <w:between w:val="nil"/>
              </w:pBdr>
              <w:spacing w:after="120"/>
              <w:ind w:left="-108"/>
              <w:rPr>
                <w:rFonts w:ascii="Arial" w:eastAsia="Arial" w:hAnsi="Arial" w:cs="Arial"/>
                <w:b/>
                <w:sz w:val="24"/>
                <w:szCs w:val="24"/>
              </w:rPr>
            </w:pPr>
          </w:p>
        </w:tc>
        <w:tc>
          <w:tcPr>
            <w:tcW w:w="5953" w:type="dxa"/>
            <w:shd w:val="clear" w:color="auto" w:fill="auto"/>
          </w:tcPr>
          <w:p w14:paraId="5DD61F83" w14:textId="77777777" w:rsidR="009E4017" w:rsidRDefault="00F17C41">
            <w:pPr>
              <w:pBdr>
                <w:top w:val="nil"/>
                <w:left w:val="nil"/>
                <w:bottom w:val="nil"/>
                <w:right w:val="nil"/>
                <w:between w:val="nil"/>
              </w:pBdr>
              <w:tabs>
                <w:tab w:val="left" w:pos="-9"/>
                <w:tab w:val="left" w:pos="-179"/>
              </w:tabs>
              <w:spacing w:after="120"/>
              <w:ind w:left="170"/>
              <w:rPr>
                <w:rFonts w:ascii="Arial" w:eastAsia="Arial" w:hAnsi="Arial" w:cs="Arial"/>
                <w:sz w:val="24"/>
                <w:szCs w:val="24"/>
              </w:rPr>
            </w:pPr>
            <w:r>
              <w:rPr>
                <w:rFonts w:ascii="Arial" w:eastAsia="Arial" w:hAnsi="Arial" w:cs="Arial"/>
                <w:sz w:val="24"/>
                <w:szCs w:val="24"/>
              </w:rPr>
              <w:t>means each of the categories in the columns headed "KPI Category" in the "KPI Measures" tab of the KPI PayMech Model</w:t>
            </w:r>
            <w:r>
              <w:rPr>
                <w:rFonts w:ascii="Arial" w:eastAsia="Arial" w:hAnsi="Arial" w:cs="Arial"/>
                <w:color w:val="000000"/>
                <w:sz w:val="24"/>
                <w:szCs w:val="24"/>
              </w:rPr>
              <w:t>;</w:t>
            </w:r>
          </w:p>
        </w:tc>
      </w:tr>
      <w:tr w:rsidR="009E4017" w14:paraId="69BAA5AA" w14:textId="77777777">
        <w:tc>
          <w:tcPr>
            <w:tcW w:w="2410" w:type="dxa"/>
            <w:shd w:val="clear" w:color="auto" w:fill="auto"/>
          </w:tcPr>
          <w:p w14:paraId="2C2D2820" w14:textId="77777777" w:rsidR="009E4017" w:rsidRDefault="00F17C41">
            <w:pPr>
              <w:pBdr>
                <w:top w:val="nil"/>
                <w:left w:val="nil"/>
                <w:bottom w:val="nil"/>
                <w:right w:val="nil"/>
                <w:between w:val="nil"/>
              </w:pBdr>
              <w:spacing w:after="120"/>
              <w:rPr>
                <w:rFonts w:ascii="Arial" w:eastAsia="Arial" w:hAnsi="Arial" w:cs="Arial"/>
                <w:b/>
              </w:rPr>
            </w:pPr>
            <w:r>
              <w:rPr>
                <w:rFonts w:ascii="Arial" w:eastAsia="Arial" w:hAnsi="Arial" w:cs="Arial"/>
                <w:b/>
                <w:sz w:val="24"/>
                <w:szCs w:val="24"/>
              </w:rPr>
              <w:t>“KPI Category At Risk Amount”</w:t>
            </w:r>
          </w:p>
        </w:tc>
        <w:tc>
          <w:tcPr>
            <w:tcW w:w="5953" w:type="dxa"/>
            <w:shd w:val="clear" w:color="auto" w:fill="auto"/>
          </w:tcPr>
          <w:p w14:paraId="5B691795" w14:textId="77777777" w:rsidR="009E4017" w:rsidRDefault="00F17C41">
            <w:pPr>
              <w:pBdr>
                <w:top w:val="nil"/>
                <w:left w:val="nil"/>
                <w:bottom w:val="nil"/>
                <w:right w:val="nil"/>
                <w:between w:val="nil"/>
              </w:pBdr>
              <w:tabs>
                <w:tab w:val="left" w:pos="-9"/>
                <w:tab w:val="left" w:pos="-179"/>
              </w:tabs>
              <w:spacing w:after="120"/>
              <w:ind w:left="170"/>
              <w:rPr>
                <w:rFonts w:ascii="Arial" w:eastAsia="Arial" w:hAnsi="Arial" w:cs="Arial"/>
                <w:sz w:val="24"/>
                <w:szCs w:val="24"/>
              </w:rPr>
            </w:pPr>
            <w:r>
              <w:rPr>
                <w:rFonts w:ascii="Arial" w:eastAsia="Arial" w:hAnsi="Arial" w:cs="Arial"/>
                <w:color w:val="000000"/>
                <w:sz w:val="24"/>
                <w:szCs w:val="24"/>
              </w:rPr>
              <w:t>means in relation to a KPI Category in respect of a Service Period, the amount calculated in accordance with Paragraph 3.2 of Part A of this Schedule;</w:t>
            </w:r>
          </w:p>
        </w:tc>
      </w:tr>
      <w:tr w:rsidR="009E4017" w14:paraId="1567A61B" w14:textId="77777777">
        <w:tc>
          <w:tcPr>
            <w:tcW w:w="2410" w:type="dxa"/>
            <w:shd w:val="clear" w:color="auto" w:fill="auto"/>
          </w:tcPr>
          <w:p w14:paraId="3872523C" w14:textId="77777777" w:rsidR="009E4017" w:rsidRDefault="00F17C4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"KPI Paymech Model"</w:t>
            </w:r>
          </w:p>
        </w:tc>
        <w:tc>
          <w:tcPr>
            <w:tcW w:w="5953" w:type="dxa"/>
            <w:shd w:val="clear" w:color="auto" w:fill="auto"/>
          </w:tcPr>
          <w:p w14:paraId="14C99BB8" w14:textId="77777777" w:rsidR="009E4017" w:rsidRDefault="00F17C41">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sz w:val="24"/>
                <w:szCs w:val="24"/>
              </w:rPr>
              <w:t>means the model comprised in the Excel worksheet - KPI Paymech Model, and attached</w:t>
            </w:r>
            <w:r>
              <w:rPr>
                <w:rFonts w:ascii="Arial" w:eastAsia="Arial" w:hAnsi="Arial" w:cs="Arial"/>
                <w:color w:val="000000"/>
                <w:sz w:val="24"/>
                <w:szCs w:val="24"/>
              </w:rPr>
              <w:t xml:space="preserve"> in the Annex </w:t>
            </w:r>
            <w:r>
              <w:rPr>
                <w:rFonts w:ascii="Arial" w:eastAsia="Arial" w:hAnsi="Arial" w:cs="Arial"/>
                <w:sz w:val="24"/>
                <w:szCs w:val="24"/>
              </w:rPr>
              <w:t xml:space="preserve">A </w:t>
            </w:r>
            <w:r>
              <w:rPr>
                <w:rFonts w:ascii="Arial" w:eastAsia="Arial" w:hAnsi="Arial" w:cs="Arial"/>
                <w:color w:val="000000"/>
                <w:sz w:val="24"/>
                <w:szCs w:val="24"/>
              </w:rPr>
              <w:t>to Part</w:t>
            </w:r>
            <w:r>
              <w:rPr>
                <w:rFonts w:ascii="Arial" w:eastAsia="Arial" w:hAnsi="Arial" w:cs="Arial"/>
                <w:sz w:val="24"/>
                <w:szCs w:val="24"/>
              </w:rPr>
              <w:t> </w:t>
            </w:r>
            <w:r>
              <w:rPr>
                <w:rFonts w:ascii="Arial" w:eastAsia="Arial" w:hAnsi="Arial" w:cs="Arial"/>
                <w:color w:val="000000"/>
                <w:sz w:val="24"/>
                <w:szCs w:val="24"/>
              </w:rPr>
              <w:t xml:space="preserve">A of this Schedule to </w:t>
            </w:r>
            <w:r>
              <w:rPr>
                <w:rFonts w:ascii="Arial" w:eastAsia="Arial" w:hAnsi="Arial" w:cs="Arial"/>
                <w:sz w:val="24"/>
                <w:szCs w:val="24"/>
              </w:rPr>
              <w:t>be used for calculating any adjustments</w:t>
            </w:r>
            <w:r>
              <w:rPr>
                <w:rFonts w:ascii="Arial" w:eastAsia="Arial" w:hAnsi="Arial" w:cs="Arial"/>
                <w:color w:val="000000"/>
                <w:sz w:val="24"/>
                <w:szCs w:val="24"/>
              </w:rPr>
              <w:t xml:space="preserve"> to </w:t>
            </w:r>
            <w:r>
              <w:rPr>
                <w:rFonts w:ascii="Arial" w:eastAsia="Arial" w:hAnsi="Arial" w:cs="Arial"/>
                <w:sz w:val="24"/>
                <w:szCs w:val="24"/>
              </w:rPr>
              <w:t>the Charges as a result of the operation of the KPI regime in this Schedule</w:t>
            </w:r>
            <w:r>
              <w:rPr>
                <w:rFonts w:ascii="Arial" w:eastAsia="Arial" w:hAnsi="Arial" w:cs="Arial"/>
                <w:color w:val="000000"/>
                <w:sz w:val="24"/>
                <w:szCs w:val="24"/>
              </w:rPr>
              <w:t>;</w:t>
            </w:r>
          </w:p>
        </w:tc>
      </w:tr>
      <w:tr w:rsidR="009E4017" w14:paraId="7B37639E" w14:textId="77777777">
        <w:tc>
          <w:tcPr>
            <w:tcW w:w="2410" w:type="dxa"/>
            <w:shd w:val="clear" w:color="auto" w:fill="auto"/>
          </w:tcPr>
          <w:p w14:paraId="445C1F7E" w14:textId="77777777" w:rsidR="009E4017" w:rsidRDefault="00F17C4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"KPI At Risk Amount"</w:t>
            </w:r>
          </w:p>
        </w:tc>
        <w:tc>
          <w:tcPr>
            <w:tcW w:w="5953" w:type="dxa"/>
            <w:shd w:val="clear" w:color="auto" w:fill="auto"/>
          </w:tcPr>
          <w:p w14:paraId="1D30FBC5" w14:textId="77777777" w:rsidR="009E4017" w:rsidRDefault="00F17C41">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w:t>
            </w:r>
            <w:r>
              <w:rPr>
                <w:rFonts w:ascii="Arial" w:eastAsia="Arial" w:hAnsi="Arial" w:cs="Arial"/>
                <w:sz w:val="24"/>
                <w:szCs w:val="24"/>
              </w:rPr>
              <w:t>in relation</w:t>
            </w:r>
            <w:r>
              <w:rPr>
                <w:rFonts w:ascii="Arial" w:eastAsia="Arial" w:hAnsi="Arial" w:cs="Arial"/>
                <w:color w:val="000000"/>
                <w:sz w:val="24"/>
                <w:szCs w:val="24"/>
              </w:rPr>
              <w:t xml:space="preserve"> to </w:t>
            </w:r>
            <w:r>
              <w:rPr>
                <w:rFonts w:ascii="Arial" w:eastAsia="Arial" w:hAnsi="Arial" w:cs="Arial"/>
                <w:sz w:val="24"/>
                <w:szCs w:val="24"/>
              </w:rPr>
              <w:t>a KPI</w:t>
            </w:r>
            <w:r>
              <w:rPr>
                <w:rFonts w:ascii="Arial" w:eastAsia="Arial" w:hAnsi="Arial" w:cs="Arial"/>
                <w:color w:val="000000"/>
                <w:sz w:val="24"/>
                <w:szCs w:val="24"/>
              </w:rPr>
              <w:t xml:space="preserve"> in respect of a Service </w:t>
            </w:r>
            <w:r>
              <w:rPr>
                <w:rFonts w:ascii="Arial" w:eastAsia="Arial" w:hAnsi="Arial" w:cs="Arial"/>
                <w:sz w:val="24"/>
                <w:szCs w:val="24"/>
              </w:rPr>
              <w:t xml:space="preserve">Period, the amount calculated in accordance with Paragraph 3.3 of Part A of this Schedule; </w:t>
            </w:r>
          </w:p>
        </w:tc>
      </w:tr>
      <w:tr w:rsidR="009E4017" w14:paraId="0A083FBA" w14:textId="77777777">
        <w:tc>
          <w:tcPr>
            <w:tcW w:w="2410" w:type="dxa"/>
            <w:shd w:val="clear" w:color="auto" w:fill="auto"/>
          </w:tcPr>
          <w:p w14:paraId="16F5A74D" w14:textId="77777777" w:rsidR="009E4017" w:rsidRDefault="00F17C41">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color w:val="000000"/>
                <w:sz w:val="24"/>
                <w:szCs w:val="24"/>
              </w:rPr>
              <w:t>"KPI Failure"</w:t>
            </w:r>
          </w:p>
        </w:tc>
        <w:tc>
          <w:tcPr>
            <w:tcW w:w="5953" w:type="dxa"/>
            <w:shd w:val="clear" w:color="auto" w:fill="auto"/>
          </w:tcPr>
          <w:p w14:paraId="691FF509" w14:textId="77777777" w:rsidR="009E4017" w:rsidRDefault="00F17C41">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a failure to meet the KPI Performance Measure in respect of a KPI;</w:t>
            </w:r>
          </w:p>
        </w:tc>
      </w:tr>
      <w:tr w:rsidR="009E4017" w14:paraId="3354AF94" w14:textId="77777777">
        <w:tc>
          <w:tcPr>
            <w:tcW w:w="2410" w:type="dxa"/>
            <w:shd w:val="clear" w:color="auto" w:fill="auto"/>
          </w:tcPr>
          <w:p w14:paraId="798173CC" w14:textId="77777777" w:rsidR="009E4017" w:rsidRDefault="00F17C4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"KPI Performance Measure"</w:t>
            </w:r>
          </w:p>
        </w:tc>
        <w:tc>
          <w:tcPr>
            <w:tcW w:w="5953" w:type="dxa"/>
            <w:shd w:val="clear" w:color="auto" w:fill="auto"/>
          </w:tcPr>
          <w:p w14:paraId="76443FE8" w14:textId="77777777" w:rsidR="009E4017" w:rsidRDefault="00F17C41">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sz w:val="24"/>
                <w:szCs w:val="24"/>
              </w:rPr>
              <w:t xml:space="preserve">means each of the Performance Measures in the columns headed Measure Requirement and Measure Achievement Calculation in the KPI Measures tab of the KPI Paymech Model </w:t>
            </w:r>
          </w:p>
        </w:tc>
      </w:tr>
      <w:tr w:rsidR="009E4017" w14:paraId="2759A0D0" w14:textId="77777777">
        <w:tc>
          <w:tcPr>
            <w:tcW w:w="2410" w:type="dxa"/>
            <w:shd w:val="clear" w:color="auto" w:fill="auto"/>
          </w:tcPr>
          <w:p w14:paraId="52E083D3" w14:textId="77777777" w:rsidR="009E4017" w:rsidRDefault="00F17C4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"Performance Monitoring Reports"</w:t>
            </w:r>
          </w:p>
        </w:tc>
        <w:tc>
          <w:tcPr>
            <w:tcW w:w="5953" w:type="dxa"/>
            <w:shd w:val="clear" w:color="auto" w:fill="auto"/>
          </w:tcPr>
          <w:p w14:paraId="0A2E254D" w14:textId="77777777" w:rsidR="009E4017" w:rsidRDefault="00F17C41">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shall have the meaning in Part B of this Schedule; </w:t>
            </w:r>
          </w:p>
        </w:tc>
      </w:tr>
      <w:tr w:rsidR="009E4017" w14:paraId="7FBF76F0" w14:textId="77777777">
        <w:tc>
          <w:tcPr>
            <w:tcW w:w="2410" w:type="dxa"/>
            <w:shd w:val="clear" w:color="auto" w:fill="auto"/>
          </w:tcPr>
          <w:p w14:paraId="347B1AFD" w14:textId="77777777" w:rsidR="009E4017" w:rsidRDefault="00F17C4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Review Meetings"</w:t>
            </w:r>
          </w:p>
        </w:tc>
        <w:tc>
          <w:tcPr>
            <w:tcW w:w="5953" w:type="dxa"/>
            <w:shd w:val="clear" w:color="auto" w:fill="auto"/>
          </w:tcPr>
          <w:p w14:paraId="71C72410" w14:textId="77777777" w:rsidR="009E4017" w:rsidRDefault="00F17C41">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shall have the meaning in Part B of this Schedule; </w:t>
            </w:r>
          </w:p>
        </w:tc>
      </w:tr>
      <w:tr w:rsidR="009E4017" w14:paraId="02E09919" w14:textId="77777777">
        <w:tc>
          <w:tcPr>
            <w:tcW w:w="2410" w:type="dxa"/>
            <w:shd w:val="clear" w:color="auto" w:fill="auto"/>
          </w:tcPr>
          <w:p w14:paraId="6F42E293" w14:textId="77777777" w:rsidR="009E4017" w:rsidRDefault="00F17C4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"Persistent KPI Failure"</w:t>
            </w:r>
          </w:p>
        </w:tc>
        <w:tc>
          <w:tcPr>
            <w:tcW w:w="5953" w:type="dxa"/>
            <w:shd w:val="clear" w:color="auto" w:fill="auto"/>
          </w:tcPr>
          <w:p w14:paraId="73FB1850" w14:textId="77777777" w:rsidR="009E4017" w:rsidRDefault="00F17C41">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the Supplier's actual performance against the KPIs falls to or below the standard to which Paragraph 6 of Part A of this Schedule refers; and</w:t>
            </w:r>
          </w:p>
        </w:tc>
      </w:tr>
      <w:tr w:rsidR="009E4017" w14:paraId="1F6A9AA9" w14:textId="77777777">
        <w:tc>
          <w:tcPr>
            <w:tcW w:w="2410" w:type="dxa"/>
            <w:shd w:val="clear" w:color="auto" w:fill="auto"/>
          </w:tcPr>
          <w:p w14:paraId="7D5DF413" w14:textId="77777777" w:rsidR="009E4017" w:rsidRDefault="00F17C4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"KPI Credits"</w:t>
            </w:r>
          </w:p>
        </w:tc>
        <w:tc>
          <w:tcPr>
            <w:tcW w:w="5953" w:type="dxa"/>
            <w:shd w:val="clear" w:color="auto" w:fill="auto"/>
          </w:tcPr>
          <w:p w14:paraId="18696C40" w14:textId="77777777" w:rsidR="009E4017" w:rsidRDefault="00F17C41">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any KPI Credits specified in the Annex to Part A of this Schedule being payable by the Supplier to the Buyer in respect of any failure by the Supplier to meet one or more KPIs;</w:t>
            </w:r>
          </w:p>
        </w:tc>
      </w:tr>
      <w:tr w:rsidR="009E4017" w14:paraId="5D1C832B" w14:textId="77777777">
        <w:tc>
          <w:tcPr>
            <w:tcW w:w="2410" w:type="dxa"/>
            <w:shd w:val="clear" w:color="auto" w:fill="auto"/>
          </w:tcPr>
          <w:p w14:paraId="57BBFCD7" w14:textId="77777777" w:rsidR="009E4017" w:rsidRDefault="00F17C4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"Ratchet"</w:t>
            </w:r>
          </w:p>
        </w:tc>
        <w:tc>
          <w:tcPr>
            <w:tcW w:w="5953" w:type="dxa"/>
            <w:shd w:val="clear" w:color="auto" w:fill="auto"/>
          </w:tcPr>
          <w:p w14:paraId="61DFADD4" w14:textId="77777777" w:rsidR="009E4017" w:rsidRDefault="00F17C41">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shall have the meaning in Part A of this Schedule.</w:t>
            </w:r>
          </w:p>
        </w:tc>
      </w:tr>
    </w:tbl>
    <w:p w14:paraId="29E0EAB4" w14:textId="77777777" w:rsidR="009E4017" w:rsidRDefault="009E4017">
      <w:pPr>
        <w:pBdr>
          <w:top w:val="nil"/>
          <w:left w:val="nil"/>
          <w:bottom w:val="nil"/>
          <w:right w:val="nil"/>
          <w:between w:val="nil"/>
        </w:pBdr>
        <w:tabs>
          <w:tab w:val="left" w:pos="142"/>
        </w:tabs>
        <w:spacing w:before="240" w:after="120" w:line="240" w:lineRule="auto"/>
        <w:ind w:left="720"/>
        <w:rPr>
          <w:rFonts w:ascii="Arial" w:eastAsia="Arial" w:hAnsi="Arial" w:cs="Arial"/>
          <w:b/>
          <w:sz w:val="24"/>
          <w:szCs w:val="24"/>
        </w:rPr>
      </w:pPr>
    </w:p>
    <w:p w14:paraId="3498CC50" w14:textId="77777777" w:rsidR="009E4017" w:rsidRDefault="00F17C41">
      <w:pPr>
        <w:numPr>
          <w:ilvl w:val="0"/>
          <w:numId w:val="4"/>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w:eastAsia="Arial" w:hAnsi="Arial" w:cs="Arial"/>
          <w:b/>
          <w:color w:val="000000"/>
          <w:sz w:val="24"/>
          <w:szCs w:val="24"/>
        </w:rPr>
        <w:t>What happens if you don’t meet the KPIs</w:t>
      </w:r>
    </w:p>
    <w:p w14:paraId="64E2F97E" w14:textId="77777777" w:rsidR="009E4017" w:rsidRDefault="00F17C41">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at all times provide the Deliverables to meet or exceed the KPI Performance Measure for each KPI.</w:t>
      </w:r>
    </w:p>
    <w:p w14:paraId="728A4E35" w14:textId="77777777" w:rsidR="009E4017" w:rsidRDefault="00F17C41">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acknowledges that any KPI Failure shall entitle the Buyer to the rights set out in Part A of this Schedule including the right to any KPI Credits and that any KPI Credit is a price adjustment and not an estimate of the Loss that may be suffered by the Buyer as a result of the Supplier’s failure to meet any KPI Performance Measure.</w:t>
      </w:r>
    </w:p>
    <w:p w14:paraId="3EE735A0" w14:textId="77777777" w:rsidR="009E4017" w:rsidRDefault="00F17C41">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47010408" w14:textId="77777777" w:rsidR="009E4017" w:rsidRDefault="00F17C41">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KPI Credit shall be the Buyer’s exclusive financial remedy for a KPI Failure except where:</w:t>
      </w:r>
    </w:p>
    <w:p w14:paraId="0D0476A2" w14:textId="77777777" w:rsidR="009E4017" w:rsidRDefault="00F17C4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 w:name="_heading=h.1t3h5sf" w:colFirst="0" w:colLast="0"/>
      <w:bookmarkEnd w:id="4"/>
      <w:r>
        <w:rPr>
          <w:rFonts w:ascii="Arial" w:eastAsia="Arial" w:hAnsi="Arial" w:cs="Arial"/>
          <w:color w:val="000000"/>
          <w:sz w:val="24"/>
          <w:szCs w:val="24"/>
        </w:rPr>
        <w:t>the KPI Failure:</w:t>
      </w:r>
    </w:p>
    <w:p w14:paraId="7F47E284" w14:textId="77777777" w:rsidR="009E4017" w:rsidRDefault="00F17C41">
      <w:pPr>
        <w:numPr>
          <w:ilvl w:val="3"/>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Supplier; </w:t>
      </w:r>
    </w:p>
    <w:p w14:paraId="03C9CE9A" w14:textId="77777777" w:rsidR="009E4017" w:rsidRDefault="00F17C41">
      <w:pPr>
        <w:numPr>
          <w:ilvl w:val="3"/>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14:paraId="7007AC1B" w14:textId="77777777" w:rsidR="009E4017" w:rsidRDefault="00F17C41">
      <w:pPr>
        <w:numPr>
          <w:ilvl w:val="3"/>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14:paraId="7162708E" w14:textId="77777777" w:rsidR="009E4017" w:rsidRDefault="00F17C41">
      <w:pPr>
        <w:numPr>
          <w:ilvl w:val="2"/>
          <w:numId w:val="4"/>
        </w:numPr>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sz w:val="24"/>
          <w:szCs w:val="24"/>
        </w:rPr>
        <w:lastRenderedPageBreak/>
        <w:t>a Persistent KPI Failure occurs and/or the Buyer is otherwise entitled to or does terminate this Contract pursuant to Clause 10.4 of the Core Terms (When CCS or the buyer can end a contract).</w:t>
      </w:r>
    </w:p>
    <w:p w14:paraId="6884F563" w14:textId="77777777" w:rsidR="009E4017" w:rsidRDefault="00F17C4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 w:name="_heading=h.gjdgxs" w:colFirst="0" w:colLast="0"/>
      <w:bookmarkEnd w:id="5"/>
      <w:r>
        <w:rPr>
          <w:rFonts w:ascii="Arial" w:eastAsia="Arial" w:hAnsi="Arial" w:cs="Arial"/>
          <w:color w:val="000000"/>
          <w:sz w:val="24"/>
          <w:szCs w:val="24"/>
        </w:rPr>
        <w:t>the Buyer is entitled to or does terminate this Contract pursuant to Clause 1</w:t>
      </w:r>
      <w:r>
        <w:rPr>
          <w:rFonts w:ascii="Arial" w:eastAsia="Arial" w:hAnsi="Arial" w:cs="Arial"/>
          <w:sz w:val="24"/>
          <w:szCs w:val="24"/>
        </w:rPr>
        <w:t>0</w:t>
      </w:r>
      <w:r>
        <w:rPr>
          <w:rFonts w:ascii="Arial" w:eastAsia="Arial" w:hAnsi="Arial" w:cs="Arial"/>
          <w:color w:val="000000"/>
          <w:sz w:val="24"/>
          <w:szCs w:val="24"/>
        </w:rPr>
        <w:t>.4 of the Core Terms (When CCS or the buyer can end a contract).</w:t>
      </w:r>
    </w:p>
    <w:p w14:paraId="4FC6D644" w14:textId="77777777" w:rsidR="009E4017" w:rsidRDefault="00F17C41">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more than once in each Contract Year, the Buyer may, on giving the Supplier at least three (3) Months’ notice, change the weighting of KPI Performance Measure in respect of one or more KPIs and the Supplier shall not be entitled to object to, or increase the Charges as a result of such changes, provided that:</w:t>
      </w:r>
    </w:p>
    <w:p w14:paraId="1A16DFD9" w14:textId="77777777" w:rsidR="009E4017" w:rsidRDefault="00F17C4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KPIs for which the weighting is to be changed does not exceed the number applicable as at the Start Date; </w:t>
      </w:r>
    </w:p>
    <w:p w14:paraId="7A9645F2" w14:textId="77777777" w:rsidR="009E4017" w:rsidRDefault="00F17C4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72064501" w14:textId="77777777" w:rsidR="009E4017" w:rsidRDefault="00F17C4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At Risk Amount</w:t>
      </w:r>
    </w:p>
    <w:p w14:paraId="75922D5F" w14:textId="77777777" w:rsidR="009E4017" w:rsidRDefault="00F17C41">
      <w:pPr>
        <w:numPr>
          <w:ilvl w:val="0"/>
          <w:numId w:val="4"/>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sz w:val="24"/>
          <w:szCs w:val="24"/>
        </w:rPr>
        <w:t>Persistent</w:t>
      </w:r>
      <w:r>
        <w:rPr>
          <w:rFonts w:ascii="Arial" w:eastAsia="Arial" w:hAnsi="Arial" w:cs="Arial"/>
          <w:b/>
          <w:color w:val="000000"/>
          <w:sz w:val="24"/>
          <w:szCs w:val="24"/>
        </w:rPr>
        <w:t xml:space="preserve"> KPI Failure</w:t>
      </w:r>
    </w:p>
    <w:p w14:paraId="03E39904" w14:textId="77777777" w:rsidR="009E4017" w:rsidRDefault="00F17C41">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On the occurrence of a </w:t>
      </w:r>
      <w:r>
        <w:rPr>
          <w:rFonts w:ascii="Arial" w:eastAsia="Arial" w:hAnsi="Arial" w:cs="Arial"/>
          <w:sz w:val="24"/>
          <w:szCs w:val="24"/>
        </w:rPr>
        <w:t>Persistent</w:t>
      </w:r>
      <w:r>
        <w:rPr>
          <w:rFonts w:ascii="Arial" w:eastAsia="Arial" w:hAnsi="Arial" w:cs="Arial"/>
          <w:color w:val="000000"/>
          <w:sz w:val="24"/>
          <w:szCs w:val="24"/>
        </w:rPr>
        <w:t xml:space="preserve"> KPI Failure:</w:t>
      </w:r>
    </w:p>
    <w:p w14:paraId="4D71D989" w14:textId="77777777" w:rsidR="009E4017" w:rsidRDefault="00F17C41">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KPI Credits that would otherwise have accrued during the relevant Service Period shall not accrue; and</w:t>
      </w:r>
    </w:p>
    <w:p w14:paraId="23B3479F" w14:textId="77777777" w:rsidR="009E4017" w:rsidRDefault="00F17C41">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be entitled to withhold and retain as compensation a sum equal to any Charges relating to the Persistent KPI Failure which would otherwise have been due to the Supplier in respect of that Service Period ("</w:t>
      </w:r>
      <w:r>
        <w:rPr>
          <w:rFonts w:ascii="Arial" w:eastAsia="Arial" w:hAnsi="Arial" w:cs="Arial"/>
          <w:b/>
          <w:color w:val="000000"/>
          <w:sz w:val="24"/>
          <w:szCs w:val="24"/>
        </w:rPr>
        <w:t>Compensation for Persistent KPI Failure</w:t>
      </w:r>
      <w:r>
        <w:rPr>
          <w:rFonts w:ascii="Arial" w:eastAsia="Arial" w:hAnsi="Arial" w:cs="Arial"/>
          <w:color w:val="000000"/>
          <w:sz w:val="24"/>
          <w:szCs w:val="24"/>
        </w:rPr>
        <w:t>"),</w:t>
      </w:r>
    </w:p>
    <w:p w14:paraId="2FCF52FD" w14:textId="77777777" w:rsidR="009E4017" w:rsidRDefault="00F17C41">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3FAF7E8A" w14:textId="77777777" w:rsidR="009E4017" w:rsidRDefault="009E4017">
      <w:pPr>
        <w:keepNext/>
        <w:pBdr>
          <w:top w:val="nil"/>
          <w:left w:val="nil"/>
          <w:bottom w:val="nil"/>
          <w:right w:val="nil"/>
          <w:between w:val="nil"/>
        </w:pBdr>
        <w:spacing w:after="240" w:line="240" w:lineRule="auto"/>
        <w:rPr>
          <w:rFonts w:ascii="Arial" w:eastAsia="Arial" w:hAnsi="Arial" w:cs="Arial"/>
          <w:b/>
          <w:color w:val="000000"/>
          <w:sz w:val="36"/>
          <w:szCs w:val="36"/>
        </w:rPr>
      </w:pPr>
      <w:bookmarkStart w:id="6" w:name="_heading=h.1fob9te" w:colFirst="0" w:colLast="0"/>
      <w:bookmarkEnd w:id="6"/>
    </w:p>
    <w:p w14:paraId="4A964AAD" w14:textId="77777777" w:rsidR="009E4017" w:rsidRDefault="00F17C41">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 xml:space="preserve">Part A: KPIs and KPI Credits </w:t>
      </w:r>
    </w:p>
    <w:p w14:paraId="02BBA0D3" w14:textId="77777777" w:rsidR="009E4017" w:rsidRDefault="00F17C41">
      <w:pPr>
        <w:numPr>
          <w:ilvl w:val="0"/>
          <w:numId w:val="2"/>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KPIs</w:t>
      </w:r>
    </w:p>
    <w:p w14:paraId="73156730" w14:textId="77777777" w:rsidR="009E4017" w:rsidRDefault="00F17C41">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1724808C" w14:textId="77777777" w:rsidR="009E4017" w:rsidRDefault="00F17C41">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KPI Performance Measure; or</w:t>
      </w:r>
    </w:p>
    <w:p w14:paraId="6E6438D3" w14:textId="77777777" w:rsidR="009E4017" w:rsidRDefault="00F17C41">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Persistent Service Failure to occur, </w:t>
      </w:r>
    </w:p>
    <w:p w14:paraId="15E4D8D0" w14:textId="77777777" w:rsidR="009E4017" w:rsidRDefault="00F17C41">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075E553E" w14:textId="77777777" w:rsidR="009E4017" w:rsidRDefault="00F17C41">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preventative and/or remedial action that is reasonable to mitigate the impact on the </w:t>
      </w:r>
      <w:r>
        <w:rPr>
          <w:rFonts w:ascii="Arial" w:eastAsia="Arial" w:hAnsi="Arial" w:cs="Arial"/>
          <w:color w:val="000000"/>
          <w:sz w:val="24"/>
          <w:szCs w:val="24"/>
        </w:rPr>
        <w:lastRenderedPageBreak/>
        <w:t xml:space="preserve">Buyer and to rectify or prevent a KPI Failure or Persistent KPI Failure from taking place or recurring; </w:t>
      </w:r>
    </w:p>
    <w:p w14:paraId="48F8EF69" w14:textId="77777777" w:rsidR="009E4017" w:rsidRDefault="00F17C41">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Process; </w:t>
      </w:r>
    </w:p>
    <w:p w14:paraId="1105585A" w14:textId="77777777" w:rsidR="009E4017" w:rsidRDefault="00F17C41">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KPI Failure has occurred, deduct the applicable KPI Credits payable by the Supplier to the Buyer; and/or</w:t>
      </w:r>
    </w:p>
    <w:p w14:paraId="151B39EF" w14:textId="77777777" w:rsidR="009E4017" w:rsidRDefault="00F17C41">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Persistent KPI Failure has occurred, exercise its right to Compensation for Persistent KPI Failure (including the right to terminate for material Default).</w:t>
      </w:r>
    </w:p>
    <w:p w14:paraId="508A3301" w14:textId="77777777" w:rsidR="009E4017" w:rsidRDefault="00F17C41">
      <w:pPr>
        <w:numPr>
          <w:ilvl w:val="0"/>
          <w:numId w:val="2"/>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KPI Credits</w:t>
      </w:r>
    </w:p>
    <w:p w14:paraId="60D39B82" w14:textId="77777777" w:rsidR="009E4017" w:rsidRDefault="00F17C41">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KPI Credits, if any, applicable to each Service Period.</w:t>
      </w:r>
    </w:p>
    <w:p w14:paraId="3101A484" w14:textId="77777777" w:rsidR="009E4017" w:rsidRDefault="00F17C41">
      <w:pPr>
        <w:numPr>
          <w:ilvl w:val="1"/>
          <w:numId w:val="2"/>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 xml:space="preserve">KPI Credits are a reduction of the amounts payable in respect of the Deliverables and do not include VAT. The Supplier shall </w:t>
      </w:r>
      <w:r>
        <w:rPr>
          <w:rFonts w:ascii="Arial" w:eastAsia="Arial" w:hAnsi="Arial" w:cs="Arial"/>
          <w:sz w:val="24"/>
          <w:szCs w:val="24"/>
        </w:rPr>
        <w:t>off set</w:t>
      </w:r>
      <w:r>
        <w:rPr>
          <w:rFonts w:ascii="Arial" w:eastAsia="Arial" w:hAnsi="Arial" w:cs="Arial"/>
          <w:color w:val="000000"/>
          <w:sz w:val="24"/>
          <w:szCs w:val="24"/>
        </w:rPr>
        <w:t xml:space="preserve"> the value of any KPI Credits against the appropriate invoice in accordance with </w:t>
      </w:r>
      <w:r>
        <w:rPr>
          <w:rFonts w:ascii="Arial" w:eastAsia="Arial" w:hAnsi="Arial" w:cs="Arial"/>
          <w:sz w:val="24"/>
          <w:szCs w:val="24"/>
        </w:rPr>
        <w:t xml:space="preserve">the relevant </w:t>
      </w:r>
      <w:r>
        <w:rPr>
          <w:rFonts w:ascii="Arial" w:eastAsia="Arial" w:hAnsi="Arial" w:cs="Arial"/>
          <w:color w:val="000000"/>
          <w:sz w:val="24"/>
          <w:szCs w:val="24"/>
        </w:rPr>
        <w:t>calculation formula below</w:t>
      </w:r>
      <w:r>
        <w:rPr>
          <w:rFonts w:ascii="Arial" w:eastAsia="Arial" w:hAnsi="Arial" w:cs="Arial"/>
          <w:sz w:val="24"/>
          <w:szCs w:val="24"/>
        </w:rPr>
        <w:t xml:space="preserve">. </w:t>
      </w:r>
    </w:p>
    <w:p w14:paraId="27113113" w14:textId="77777777" w:rsidR="009E4017" w:rsidRDefault="00F17C41">
      <w:pPr>
        <w:numPr>
          <w:ilvl w:val="0"/>
          <w:numId w:val="2"/>
        </w:numPr>
        <w:pBdr>
          <w:top w:val="nil"/>
          <w:left w:val="nil"/>
          <w:bottom w:val="nil"/>
          <w:right w:val="nil"/>
          <w:between w:val="nil"/>
        </w:pBdr>
        <w:spacing w:after="240" w:line="240" w:lineRule="auto"/>
        <w:jc w:val="both"/>
        <w:rPr>
          <w:rFonts w:ascii="Arial" w:eastAsia="Arial" w:hAnsi="Arial" w:cs="Arial"/>
          <w:color w:val="000000"/>
        </w:rPr>
      </w:pPr>
      <w:bookmarkStart w:id="7" w:name="_heading=h.17dp8vu" w:colFirst="0" w:colLast="0"/>
      <w:bookmarkEnd w:id="7"/>
      <w:r>
        <w:rPr>
          <w:rFonts w:ascii="Arial" w:eastAsia="Arial" w:hAnsi="Arial" w:cs="Arial"/>
          <w:b/>
          <w:color w:val="000000"/>
          <w:sz w:val="24"/>
          <w:szCs w:val="24"/>
        </w:rPr>
        <w:t>KPI</w:t>
      </w:r>
      <w:r>
        <w:rPr>
          <w:rFonts w:ascii="Arial" w:eastAsia="Arial" w:hAnsi="Arial" w:cs="Arial"/>
          <w:b/>
          <w:smallCaps/>
          <w:color w:val="000000"/>
          <w:sz w:val="24"/>
          <w:szCs w:val="24"/>
        </w:rPr>
        <w:t xml:space="preserve"> </w:t>
      </w:r>
      <w:r>
        <w:rPr>
          <w:rFonts w:ascii="Arial" w:eastAsia="Arial" w:hAnsi="Arial" w:cs="Arial"/>
          <w:b/>
          <w:color w:val="000000"/>
          <w:sz w:val="24"/>
          <w:szCs w:val="24"/>
        </w:rPr>
        <w:t>Credit Calculation</w:t>
      </w:r>
    </w:p>
    <w:p w14:paraId="59946690" w14:textId="77777777" w:rsidR="009E4017" w:rsidRDefault="00F17C41">
      <w:pPr>
        <w:numPr>
          <w:ilvl w:val="1"/>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bookmarkStart w:id="8" w:name="_heading=h.3rdcrjn" w:colFirst="0" w:colLast="0"/>
      <w:bookmarkEnd w:id="8"/>
      <w:r>
        <w:rPr>
          <w:rFonts w:ascii="Arial" w:eastAsia="Arial" w:hAnsi="Arial" w:cs="Arial"/>
          <w:color w:val="000000"/>
          <w:sz w:val="24"/>
          <w:szCs w:val="24"/>
        </w:rPr>
        <w:t>At Risk Amount</w:t>
      </w:r>
    </w:p>
    <w:p w14:paraId="2D2F9926" w14:textId="77777777" w:rsidR="009E4017" w:rsidRDefault="00F17C41">
      <w:pPr>
        <w:numPr>
          <w:ilvl w:val="2"/>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bookmarkStart w:id="9" w:name="_heading=h.26in1rg" w:colFirst="0" w:colLast="0"/>
      <w:bookmarkEnd w:id="9"/>
      <w:r>
        <w:rPr>
          <w:rFonts w:ascii="Arial" w:eastAsia="Arial" w:hAnsi="Arial" w:cs="Arial"/>
          <w:color w:val="000000"/>
          <w:sz w:val="24"/>
          <w:szCs w:val="24"/>
        </w:rPr>
        <w:t xml:space="preserve">For a Service Period, the At Risk Amount shall be calculated in accordance with Section 2 - Calculation of Monthly Value at Risk, of the Paymech Calc Overview tab of the </w:t>
      </w:r>
      <w:r>
        <w:rPr>
          <w:rFonts w:ascii="Arial" w:eastAsia="Arial" w:hAnsi="Arial" w:cs="Arial"/>
          <w:color w:val="222222"/>
          <w:sz w:val="24"/>
          <w:szCs w:val="24"/>
          <w:highlight w:val="white"/>
        </w:rPr>
        <w:t>KPI Paymech Model</w:t>
      </w:r>
      <w:r>
        <w:rPr>
          <w:rFonts w:ascii="Arial" w:eastAsia="Arial" w:hAnsi="Arial" w:cs="Arial"/>
          <w:color w:val="000000"/>
          <w:sz w:val="24"/>
          <w:szCs w:val="24"/>
        </w:rPr>
        <w:t>.</w:t>
      </w:r>
    </w:p>
    <w:p w14:paraId="161323CB" w14:textId="77777777" w:rsidR="009E4017" w:rsidRDefault="00F17C41">
      <w:pPr>
        <w:numPr>
          <w:ilvl w:val="1"/>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bookmarkStart w:id="10" w:name="_heading=h.lnxbz9" w:colFirst="0" w:colLast="0"/>
      <w:bookmarkEnd w:id="10"/>
      <w:r>
        <w:rPr>
          <w:rFonts w:ascii="Arial" w:eastAsia="Arial" w:hAnsi="Arial" w:cs="Arial"/>
          <w:color w:val="000000"/>
          <w:sz w:val="24"/>
          <w:szCs w:val="24"/>
        </w:rPr>
        <w:t xml:space="preserve">KPI Category At Risk Amount </w:t>
      </w:r>
    </w:p>
    <w:p w14:paraId="7750E62E" w14:textId="77777777" w:rsidR="009E4017" w:rsidRDefault="00F17C41">
      <w:pPr>
        <w:numPr>
          <w:ilvl w:val="2"/>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KPI Category At Risk Amount shall be calculated as follows: for each KPI Category, the At Risk Amount shall be apportioned to it in accordance with the KPI Category Weightings in the column headed KPI Weighting in the KPI Table 2 of the KPI Measures tab of the KPI Paymech Model.</w:t>
      </w:r>
    </w:p>
    <w:p w14:paraId="759B5ED4" w14:textId="77777777" w:rsidR="009E4017" w:rsidRDefault="00F17C41">
      <w:pPr>
        <w:numPr>
          <w:ilvl w:val="1"/>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bookmarkStart w:id="11" w:name="_heading=h.35nkun2" w:colFirst="0" w:colLast="0"/>
      <w:bookmarkEnd w:id="11"/>
      <w:r>
        <w:rPr>
          <w:rFonts w:ascii="Arial" w:eastAsia="Arial" w:hAnsi="Arial" w:cs="Arial"/>
          <w:color w:val="000000"/>
          <w:sz w:val="24"/>
          <w:szCs w:val="24"/>
        </w:rPr>
        <w:t xml:space="preserve">KPI At Risk Amount </w:t>
      </w:r>
    </w:p>
    <w:p w14:paraId="6491EF69" w14:textId="77777777" w:rsidR="009E4017" w:rsidRDefault="00F17C41">
      <w:pPr>
        <w:numPr>
          <w:ilvl w:val="2"/>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KPI At Risk Amount shall be calculated as follows: the KPI Category At Risk Amount that applies to the KPI Category in which the relevant KPI resides, shall be further apportioned in accordance with the KPI Measure Weightings in the column headed </w:t>
      </w:r>
      <w:r>
        <w:rPr>
          <w:rFonts w:ascii="Arial" w:eastAsia="Arial" w:hAnsi="Arial" w:cs="Arial"/>
          <w:color w:val="222222"/>
          <w:sz w:val="24"/>
          <w:szCs w:val="24"/>
          <w:highlight w:val="white"/>
        </w:rPr>
        <w:t>Measure Weighting in Table 3. Measures of the KPI Measures tab of the KPI Paymech Model.</w:t>
      </w:r>
    </w:p>
    <w:p w14:paraId="4D9A8DD9" w14:textId="77777777" w:rsidR="009E4017" w:rsidRDefault="00F17C41">
      <w:pPr>
        <w:numPr>
          <w:ilvl w:val="1"/>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KPI Credit </w:t>
      </w:r>
    </w:p>
    <w:p w14:paraId="3D409D97" w14:textId="77777777" w:rsidR="009E4017" w:rsidRDefault="00F17C41">
      <w:pPr>
        <w:numPr>
          <w:ilvl w:val="2"/>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KPI Credit to be applied to a KPI in a Service Period for a KPI Failure shall be calculated in accordance with the KPI Measures tab of the KPI Paymech Model by:</w:t>
      </w:r>
    </w:p>
    <w:p w14:paraId="72EA88F0" w14:textId="77777777" w:rsidR="009E4017" w:rsidRDefault="00F17C41">
      <w:pPr>
        <w:numPr>
          <w:ilvl w:val="3"/>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deducting from 100% the actual standard of performance (as a percentage, calculated using the Scoring Scales tab </w:t>
      </w:r>
      <w:r>
        <w:rPr>
          <w:rFonts w:ascii="Arial" w:eastAsia="Arial" w:hAnsi="Arial" w:cs="Arial"/>
          <w:color w:val="000000"/>
          <w:sz w:val="24"/>
          <w:szCs w:val="24"/>
        </w:rPr>
        <w:lastRenderedPageBreak/>
        <w:t xml:space="preserve">of the KPI Paymech Model) achieved by the Supplier against the KPI Performance Measure in that Service Period; and </w:t>
      </w:r>
    </w:p>
    <w:p w14:paraId="2A944C49" w14:textId="77777777" w:rsidR="009E4017" w:rsidRDefault="00F17C41">
      <w:pPr>
        <w:numPr>
          <w:ilvl w:val="3"/>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multiplying the resultant percentage by the KPI At Risk Amount.</w:t>
      </w:r>
    </w:p>
    <w:p w14:paraId="163F51FB" w14:textId="77777777" w:rsidR="009E4017" w:rsidRDefault="00F17C41">
      <w:pPr>
        <w:numPr>
          <w:ilvl w:val="0"/>
          <w:numId w:val="2"/>
        </w:numPr>
        <w:pBdr>
          <w:top w:val="nil"/>
          <w:left w:val="nil"/>
          <w:bottom w:val="nil"/>
          <w:right w:val="nil"/>
          <w:between w:val="nil"/>
        </w:pBdr>
        <w:spacing w:after="240" w:line="240" w:lineRule="auto"/>
        <w:jc w:val="both"/>
        <w:rPr>
          <w:rFonts w:ascii="Arial" w:eastAsia="Arial" w:hAnsi="Arial" w:cs="Arial"/>
          <w:color w:val="000000"/>
        </w:rPr>
      </w:pPr>
      <w:bookmarkStart w:id="12" w:name="_heading=h.1ksv4uv" w:colFirst="0" w:colLast="0"/>
      <w:bookmarkEnd w:id="12"/>
      <w:r>
        <w:rPr>
          <w:rFonts w:ascii="Arial" w:eastAsia="Arial" w:hAnsi="Arial" w:cs="Arial"/>
          <w:b/>
          <w:color w:val="000000"/>
        </w:rPr>
        <w:t>KPI Credit Ratchet</w:t>
      </w:r>
    </w:p>
    <w:p w14:paraId="1638CC46" w14:textId="77777777" w:rsidR="009E4017" w:rsidRDefault="00F17C41">
      <w:pPr>
        <w:numPr>
          <w:ilvl w:val="1"/>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bookmarkStart w:id="13" w:name="_heading=h.44sinio" w:colFirst="0" w:colLast="0"/>
      <w:bookmarkEnd w:id="13"/>
      <w:r>
        <w:rPr>
          <w:rFonts w:ascii="Arial" w:eastAsia="Arial" w:hAnsi="Arial" w:cs="Arial"/>
          <w:color w:val="000000"/>
          <w:sz w:val="24"/>
          <w:szCs w:val="24"/>
        </w:rPr>
        <w:t>A ratchet will apply to the calculation of KPI Credits for frequent and repeated KPI Failures (</w:t>
      </w:r>
      <w:r>
        <w:rPr>
          <w:rFonts w:ascii="Arial" w:eastAsia="Arial" w:hAnsi="Arial" w:cs="Arial"/>
          <w:b/>
          <w:color w:val="000000"/>
          <w:sz w:val="24"/>
          <w:szCs w:val="24"/>
        </w:rPr>
        <w:t>"Ratchet"</w:t>
      </w:r>
      <w:r>
        <w:rPr>
          <w:rFonts w:ascii="Arial" w:eastAsia="Arial" w:hAnsi="Arial" w:cs="Arial"/>
          <w:color w:val="000000"/>
          <w:sz w:val="24"/>
          <w:szCs w:val="24"/>
        </w:rPr>
        <w:t>).</w:t>
      </w:r>
    </w:p>
    <w:p w14:paraId="1C0154DA" w14:textId="77777777" w:rsidR="009E4017" w:rsidRDefault="00F17C41">
      <w:pPr>
        <w:numPr>
          <w:ilvl w:val="1"/>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Ratchet will be applied to the calculation of KPI Credits if one or both of the following circumstances occur:</w:t>
      </w:r>
    </w:p>
    <w:p w14:paraId="7A20E43E" w14:textId="77777777" w:rsidR="009E4017" w:rsidRDefault="00F17C41">
      <w:pPr>
        <w:numPr>
          <w:ilvl w:val="2"/>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KPI Failures occur in relation to any one or more of the KPIs comprised in the same KPI Category in consecutive Service Periods; and</w:t>
      </w:r>
    </w:p>
    <w:p w14:paraId="5AE10F70" w14:textId="77777777" w:rsidR="009E4017" w:rsidRDefault="00F17C41">
      <w:pPr>
        <w:numPr>
          <w:ilvl w:val="2"/>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KPI Failures occur in relation to any one or more of the KPIs comprised in the same KPI Category in any four (4) or more of the immediately preceding twelve (12) Service Periods.</w:t>
      </w:r>
    </w:p>
    <w:p w14:paraId="071A31B4" w14:textId="77777777" w:rsidR="009E4017" w:rsidRDefault="00F17C41">
      <w:pPr>
        <w:numPr>
          <w:ilvl w:val="1"/>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value of the Ratchet and when it is to be applied pursuant to Paragraph 4.2, </w:t>
      </w:r>
      <w:r>
        <w:rPr>
          <w:rFonts w:ascii="Arial" w:eastAsia="Arial" w:hAnsi="Arial" w:cs="Arial"/>
          <w:color w:val="222222"/>
          <w:sz w:val="24"/>
          <w:szCs w:val="24"/>
          <w:highlight w:val="white"/>
        </w:rPr>
        <w:t>is set out in the Perf Ded_Adj and Earnback Calc tab of the KPI Paymech Model</w:t>
      </w:r>
      <w:r>
        <w:rPr>
          <w:rFonts w:ascii="Arial" w:eastAsia="Arial" w:hAnsi="Arial" w:cs="Arial"/>
          <w:color w:val="000000"/>
          <w:sz w:val="24"/>
          <w:szCs w:val="24"/>
        </w:rPr>
        <w:t>.</w:t>
      </w:r>
    </w:p>
    <w:p w14:paraId="12F17D17" w14:textId="77777777" w:rsidR="009E4017" w:rsidRDefault="00F17C41">
      <w:pPr>
        <w:numPr>
          <w:ilvl w:val="1"/>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When the Ratchet is to be applied, the relevant KPI Credit shall be the number of KPI Credits that would normally accrue for an initial KPI Failure multiplied by the value of the Ratchet, for example:</w:t>
      </w:r>
    </w:p>
    <w:p w14:paraId="5558A5C2" w14:textId="77777777" w:rsidR="009E4017" w:rsidRDefault="00F17C41">
      <w:pPr>
        <w:numPr>
          <w:ilvl w:val="2"/>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if a KPI Failure in respect of any one or more KPIs comprised in the same KPI Category occurs in two (2) consecutive Service Periods, the KPI Credits for each of the KPI Failures in the second of such Service Periods will be 1.5 times the KPI Credit that would have been applicable to them for an initial KPI Failure (refer to table 1 in 4.4.3); and</w:t>
      </w:r>
    </w:p>
    <w:p w14:paraId="44DBEB7A" w14:textId="77777777" w:rsidR="009E4017" w:rsidRDefault="00F17C41">
      <w:pPr>
        <w:numPr>
          <w:ilvl w:val="2"/>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if a KPI Failure in respect of any one or more KPIs comprised in the same KPI Category occurs in any four (4) Service Periods in the immediately preceding twelve (12) Service Periods, the KPI Credits for each of the KPI Failures in that fourth Service Period will be 1.75 times the KPI Credit that would have been applicable to them for an initial KPI Failure (refer to table 1 in 4.4.3).</w:t>
      </w:r>
    </w:p>
    <w:p w14:paraId="43E585A8" w14:textId="77777777" w:rsidR="009E4017" w:rsidRDefault="00F17C41">
      <w:pPr>
        <w:numPr>
          <w:ilvl w:val="2"/>
          <w:numId w:val="2"/>
        </w:numPr>
        <w:pBdr>
          <w:top w:val="nil"/>
          <w:left w:val="nil"/>
          <w:bottom w:val="nil"/>
          <w:right w:val="nil"/>
          <w:between w:val="nil"/>
        </w:pBdr>
        <w:tabs>
          <w:tab w:val="left" w:pos="144"/>
        </w:tabs>
        <w:spacing w:after="120" w:line="240" w:lineRule="auto"/>
        <w:jc w:val="both"/>
        <w:rPr>
          <w:rFonts w:ascii="Arial" w:eastAsia="Arial" w:hAnsi="Arial" w:cs="Arial"/>
          <w:color w:val="000000"/>
        </w:rPr>
      </w:pPr>
      <w:r>
        <w:rPr>
          <w:rFonts w:ascii="Arial" w:eastAsia="Arial" w:hAnsi="Arial" w:cs="Arial"/>
          <w:color w:val="000000"/>
        </w:rPr>
        <w:t>Illustration of Ratchets to be applied in table form;</w:t>
      </w:r>
    </w:p>
    <w:tbl>
      <w:tblPr>
        <w:tblStyle w:val="afff"/>
        <w:tblW w:w="7653" w:type="dxa"/>
        <w:tblInd w:w="1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0"/>
        <w:gridCol w:w="1843"/>
        <w:gridCol w:w="1842"/>
        <w:gridCol w:w="2268"/>
      </w:tblGrid>
      <w:tr w:rsidR="009E4017" w14:paraId="6E845258" w14:textId="77777777">
        <w:trPr>
          <w:trHeight w:val="840"/>
        </w:trPr>
        <w:tc>
          <w:tcPr>
            <w:tcW w:w="1700" w:type="dxa"/>
            <w:tcBorders>
              <w:top w:val="single" w:sz="8" w:space="0" w:color="000000"/>
              <w:left w:val="single" w:sz="8" w:space="0" w:color="000000"/>
              <w:bottom w:val="single" w:sz="4" w:space="0" w:color="000000"/>
              <w:right w:val="single" w:sz="4" w:space="0" w:color="000000"/>
            </w:tcBorders>
            <w:shd w:val="clear" w:color="auto" w:fill="auto"/>
            <w:vAlign w:val="center"/>
          </w:tcPr>
          <w:p w14:paraId="57454BCE" w14:textId="77777777" w:rsidR="009E4017" w:rsidRDefault="00F17C41">
            <w:pPr>
              <w:rPr>
                <w:rFonts w:ascii="Arial" w:eastAsia="Arial" w:hAnsi="Arial" w:cs="Arial"/>
                <w:b/>
                <w:color w:val="000000"/>
              </w:rPr>
            </w:pPr>
            <w:r>
              <w:rPr>
                <w:rFonts w:ascii="Arial" w:eastAsia="Arial" w:hAnsi="Arial" w:cs="Arial"/>
                <w:b/>
                <w:color w:val="000000"/>
              </w:rPr>
              <w:t>Table 1: RATCHET OPTIONS</w:t>
            </w:r>
          </w:p>
        </w:tc>
        <w:tc>
          <w:tcPr>
            <w:tcW w:w="1843" w:type="dxa"/>
            <w:tcBorders>
              <w:top w:val="single" w:sz="8" w:space="0" w:color="000000"/>
              <w:left w:val="nil"/>
              <w:bottom w:val="single" w:sz="4" w:space="0" w:color="000000"/>
              <w:right w:val="single" w:sz="4" w:space="0" w:color="000000"/>
            </w:tcBorders>
            <w:shd w:val="clear" w:color="auto" w:fill="auto"/>
            <w:vAlign w:val="center"/>
          </w:tcPr>
          <w:p w14:paraId="187A0C82" w14:textId="77777777" w:rsidR="009E4017" w:rsidRDefault="00F17C41">
            <w:pPr>
              <w:jc w:val="center"/>
              <w:rPr>
                <w:rFonts w:ascii="Arial" w:eastAsia="Arial" w:hAnsi="Arial" w:cs="Arial"/>
                <w:b/>
                <w:color w:val="000000"/>
              </w:rPr>
            </w:pPr>
            <w:r>
              <w:rPr>
                <w:rFonts w:ascii="Arial" w:eastAsia="Arial" w:hAnsi="Arial" w:cs="Arial"/>
                <w:b/>
                <w:color w:val="000000"/>
              </w:rPr>
              <w:t>Ratchet Value</w:t>
            </w:r>
          </w:p>
        </w:tc>
        <w:tc>
          <w:tcPr>
            <w:tcW w:w="1842" w:type="dxa"/>
            <w:tcBorders>
              <w:top w:val="single" w:sz="8" w:space="0" w:color="000000"/>
              <w:left w:val="nil"/>
              <w:bottom w:val="single" w:sz="4" w:space="0" w:color="000000"/>
              <w:right w:val="single" w:sz="4" w:space="0" w:color="000000"/>
            </w:tcBorders>
            <w:shd w:val="clear" w:color="auto" w:fill="auto"/>
            <w:vAlign w:val="center"/>
          </w:tcPr>
          <w:p w14:paraId="1D3E9592" w14:textId="77777777" w:rsidR="009E4017" w:rsidRDefault="00F17C41">
            <w:pPr>
              <w:jc w:val="center"/>
              <w:rPr>
                <w:rFonts w:ascii="Arial" w:eastAsia="Arial" w:hAnsi="Arial" w:cs="Arial"/>
                <w:b/>
                <w:color w:val="000000"/>
              </w:rPr>
            </w:pPr>
            <w:r>
              <w:rPr>
                <w:rFonts w:ascii="Arial" w:eastAsia="Arial" w:hAnsi="Arial" w:cs="Arial"/>
                <w:b/>
                <w:color w:val="000000"/>
              </w:rPr>
              <w:t>Consecutive Failure</w:t>
            </w:r>
          </w:p>
        </w:tc>
        <w:tc>
          <w:tcPr>
            <w:tcW w:w="2268" w:type="dxa"/>
            <w:tcBorders>
              <w:top w:val="single" w:sz="8" w:space="0" w:color="000000"/>
              <w:left w:val="nil"/>
              <w:bottom w:val="single" w:sz="4" w:space="0" w:color="000000"/>
              <w:right w:val="single" w:sz="8" w:space="0" w:color="000000"/>
            </w:tcBorders>
            <w:shd w:val="clear" w:color="auto" w:fill="auto"/>
            <w:vAlign w:val="center"/>
          </w:tcPr>
          <w:p w14:paraId="04FCBA50" w14:textId="77777777" w:rsidR="009E4017" w:rsidRDefault="00F17C41">
            <w:pPr>
              <w:jc w:val="center"/>
              <w:rPr>
                <w:rFonts w:ascii="Arial" w:eastAsia="Arial" w:hAnsi="Arial" w:cs="Arial"/>
                <w:b/>
                <w:color w:val="000000"/>
              </w:rPr>
            </w:pPr>
            <w:r>
              <w:rPr>
                <w:rFonts w:ascii="Arial" w:eastAsia="Arial" w:hAnsi="Arial" w:cs="Arial"/>
                <w:b/>
                <w:color w:val="000000"/>
              </w:rPr>
              <w:t>Failure over a 12 Month Rolling Period</w:t>
            </w:r>
          </w:p>
        </w:tc>
      </w:tr>
      <w:tr w:rsidR="009E4017" w14:paraId="420C5C39" w14:textId="77777777">
        <w:trPr>
          <w:trHeight w:val="255"/>
        </w:trPr>
        <w:tc>
          <w:tcPr>
            <w:tcW w:w="1700" w:type="dxa"/>
            <w:tcBorders>
              <w:top w:val="nil"/>
              <w:left w:val="single" w:sz="8" w:space="0" w:color="000000"/>
              <w:bottom w:val="single" w:sz="4" w:space="0" w:color="000000"/>
              <w:right w:val="single" w:sz="4" w:space="0" w:color="000000"/>
            </w:tcBorders>
            <w:shd w:val="clear" w:color="auto" w:fill="auto"/>
            <w:vAlign w:val="center"/>
          </w:tcPr>
          <w:p w14:paraId="6557FE84" w14:textId="77777777" w:rsidR="009E4017" w:rsidRDefault="00F17C41">
            <w:pPr>
              <w:rPr>
                <w:rFonts w:ascii="Arial" w:eastAsia="Arial" w:hAnsi="Arial" w:cs="Arial"/>
                <w:color w:val="000000"/>
              </w:rPr>
            </w:pPr>
            <w:r>
              <w:rPr>
                <w:rFonts w:ascii="Arial" w:eastAsia="Arial" w:hAnsi="Arial" w:cs="Arial"/>
                <w:color w:val="000000"/>
              </w:rPr>
              <w:t>Default</w:t>
            </w:r>
          </w:p>
        </w:tc>
        <w:tc>
          <w:tcPr>
            <w:tcW w:w="1843" w:type="dxa"/>
            <w:tcBorders>
              <w:top w:val="nil"/>
              <w:left w:val="nil"/>
              <w:bottom w:val="single" w:sz="4" w:space="0" w:color="000000"/>
              <w:right w:val="single" w:sz="4" w:space="0" w:color="000000"/>
            </w:tcBorders>
            <w:shd w:val="clear" w:color="auto" w:fill="auto"/>
            <w:vAlign w:val="center"/>
          </w:tcPr>
          <w:p w14:paraId="7BCBF43A" w14:textId="77777777" w:rsidR="009E4017" w:rsidRDefault="00F17C41">
            <w:pPr>
              <w:jc w:val="center"/>
              <w:rPr>
                <w:rFonts w:ascii="Arial" w:eastAsia="Arial" w:hAnsi="Arial" w:cs="Arial"/>
                <w:color w:val="000000"/>
              </w:rPr>
            </w:pPr>
            <w:r>
              <w:rPr>
                <w:rFonts w:ascii="Arial" w:eastAsia="Arial" w:hAnsi="Arial" w:cs="Arial"/>
                <w:color w:val="000000"/>
              </w:rPr>
              <w:t>1</w:t>
            </w:r>
          </w:p>
        </w:tc>
        <w:tc>
          <w:tcPr>
            <w:tcW w:w="1842" w:type="dxa"/>
            <w:tcBorders>
              <w:top w:val="single" w:sz="4" w:space="0" w:color="000000"/>
              <w:left w:val="nil"/>
              <w:bottom w:val="single" w:sz="4" w:space="0" w:color="000000"/>
              <w:right w:val="single" w:sz="4" w:space="0" w:color="000000"/>
            </w:tcBorders>
            <w:shd w:val="clear" w:color="auto" w:fill="auto"/>
            <w:vAlign w:val="center"/>
          </w:tcPr>
          <w:p w14:paraId="5A6552F3" w14:textId="77777777" w:rsidR="009E4017" w:rsidRDefault="00F17C41">
            <w:pPr>
              <w:jc w:val="center"/>
              <w:rPr>
                <w:rFonts w:ascii="Arial" w:eastAsia="Arial" w:hAnsi="Arial" w:cs="Arial"/>
                <w:color w:val="000000"/>
              </w:rPr>
            </w:pPr>
            <w:r>
              <w:rPr>
                <w:rFonts w:ascii="Arial" w:eastAsia="Arial" w:hAnsi="Arial" w:cs="Arial"/>
                <w:color w:val="000000"/>
              </w:rPr>
              <w:t> </w:t>
            </w:r>
          </w:p>
        </w:tc>
        <w:tc>
          <w:tcPr>
            <w:tcW w:w="2268" w:type="dxa"/>
            <w:tcBorders>
              <w:top w:val="single" w:sz="4" w:space="0" w:color="000000"/>
              <w:left w:val="nil"/>
              <w:bottom w:val="single" w:sz="4" w:space="0" w:color="000000"/>
              <w:right w:val="single" w:sz="8" w:space="0" w:color="000000"/>
            </w:tcBorders>
            <w:shd w:val="clear" w:color="auto" w:fill="auto"/>
            <w:vAlign w:val="center"/>
          </w:tcPr>
          <w:p w14:paraId="7C2C141B" w14:textId="77777777" w:rsidR="009E4017" w:rsidRDefault="00F17C41">
            <w:pPr>
              <w:jc w:val="center"/>
              <w:rPr>
                <w:rFonts w:ascii="Arial" w:eastAsia="Arial" w:hAnsi="Arial" w:cs="Arial"/>
                <w:color w:val="000000"/>
              </w:rPr>
            </w:pPr>
            <w:r>
              <w:rPr>
                <w:rFonts w:ascii="Arial" w:eastAsia="Arial" w:hAnsi="Arial" w:cs="Arial"/>
                <w:color w:val="000000"/>
              </w:rPr>
              <w:t> </w:t>
            </w:r>
          </w:p>
        </w:tc>
      </w:tr>
      <w:tr w:rsidR="009E4017" w14:paraId="3579580D" w14:textId="77777777">
        <w:trPr>
          <w:trHeight w:val="255"/>
        </w:trPr>
        <w:tc>
          <w:tcPr>
            <w:tcW w:w="1700" w:type="dxa"/>
            <w:tcBorders>
              <w:top w:val="nil"/>
              <w:left w:val="single" w:sz="8" w:space="0" w:color="000000"/>
              <w:bottom w:val="single" w:sz="4" w:space="0" w:color="000000"/>
              <w:right w:val="single" w:sz="4" w:space="0" w:color="000000"/>
            </w:tcBorders>
            <w:shd w:val="clear" w:color="auto" w:fill="auto"/>
            <w:vAlign w:val="center"/>
          </w:tcPr>
          <w:p w14:paraId="6F3ADFD4" w14:textId="77777777" w:rsidR="009E4017" w:rsidRDefault="00F17C41">
            <w:pPr>
              <w:rPr>
                <w:rFonts w:ascii="Arial" w:eastAsia="Arial" w:hAnsi="Arial" w:cs="Arial"/>
                <w:color w:val="000000"/>
              </w:rPr>
            </w:pPr>
            <w:r>
              <w:rPr>
                <w:rFonts w:ascii="Arial" w:eastAsia="Arial" w:hAnsi="Arial" w:cs="Arial"/>
                <w:color w:val="000000"/>
              </w:rPr>
              <w:t>Ratchet 1</w:t>
            </w:r>
          </w:p>
        </w:tc>
        <w:tc>
          <w:tcPr>
            <w:tcW w:w="1843" w:type="dxa"/>
            <w:tcBorders>
              <w:top w:val="nil"/>
              <w:left w:val="nil"/>
              <w:bottom w:val="single" w:sz="4" w:space="0" w:color="000000"/>
              <w:right w:val="single" w:sz="4" w:space="0" w:color="000000"/>
            </w:tcBorders>
            <w:shd w:val="clear" w:color="auto" w:fill="auto"/>
            <w:vAlign w:val="center"/>
          </w:tcPr>
          <w:p w14:paraId="40A9C226" w14:textId="77777777" w:rsidR="009E4017" w:rsidRDefault="00F17C41">
            <w:pPr>
              <w:jc w:val="center"/>
              <w:rPr>
                <w:rFonts w:ascii="Arial" w:eastAsia="Arial" w:hAnsi="Arial" w:cs="Arial"/>
                <w:color w:val="000000"/>
              </w:rPr>
            </w:pPr>
            <w:r>
              <w:rPr>
                <w:rFonts w:ascii="Arial" w:eastAsia="Arial" w:hAnsi="Arial" w:cs="Arial"/>
                <w:color w:val="000000"/>
              </w:rPr>
              <w:t>1.5</w:t>
            </w:r>
          </w:p>
        </w:tc>
        <w:tc>
          <w:tcPr>
            <w:tcW w:w="1842" w:type="dxa"/>
            <w:tcBorders>
              <w:top w:val="single" w:sz="4" w:space="0" w:color="000000"/>
              <w:left w:val="nil"/>
              <w:bottom w:val="single" w:sz="4" w:space="0" w:color="000000"/>
              <w:right w:val="single" w:sz="4" w:space="0" w:color="000000"/>
            </w:tcBorders>
            <w:shd w:val="clear" w:color="auto" w:fill="auto"/>
            <w:vAlign w:val="center"/>
          </w:tcPr>
          <w:p w14:paraId="4B8A08A4" w14:textId="77777777" w:rsidR="009E4017" w:rsidRDefault="00F17C41">
            <w:pPr>
              <w:jc w:val="center"/>
              <w:rPr>
                <w:rFonts w:ascii="Arial" w:eastAsia="Arial" w:hAnsi="Arial" w:cs="Arial"/>
                <w:color w:val="000000"/>
              </w:rPr>
            </w:pPr>
            <w:r>
              <w:rPr>
                <w:rFonts w:ascii="Arial" w:eastAsia="Arial" w:hAnsi="Arial" w:cs="Arial"/>
                <w:color w:val="000000"/>
              </w:rPr>
              <w:t>2</w:t>
            </w:r>
          </w:p>
        </w:tc>
        <w:tc>
          <w:tcPr>
            <w:tcW w:w="2268" w:type="dxa"/>
            <w:tcBorders>
              <w:top w:val="single" w:sz="4" w:space="0" w:color="000000"/>
              <w:left w:val="nil"/>
              <w:bottom w:val="single" w:sz="4" w:space="0" w:color="000000"/>
              <w:right w:val="single" w:sz="8" w:space="0" w:color="000000"/>
            </w:tcBorders>
            <w:shd w:val="clear" w:color="auto" w:fill="auto"/>
            <w:vAlign w:val="center"/>
          </w:tcPr>
          <w:p w14:paraId="097A5772" w14:textId="77777777" w:rsidR="009E4017" w:rsidRDefault="00F17C41">
            <w:pPr>
              <w:jc w:val="center"/>
              <w:rPr>
                <w:rFonts w:ascii="Arial" w:eastAsia="Arial" w:hAnsi="Arial" w:cs="Arial"/>
                <w:color w:val="000000"/>
              </w:rPr>
            </w:pPr>
            <w:r>
              <w:rPr>
                <w:rFonts w:ascii="Arial" w:eastAsia="Arial" w:hAnsi="Arial" w:cs="Arial"/>
                <w:color w:val="000000"/>
              </w:rPr>
              <w:t>3</w:t>
            </w:r>
          </w:p>
        </w:tc>
      </w:tr>
      <w:tr w:rsidR="009E4017" w14:paraId="1DF393DE" w14:textId="77777777">
        <w:trPr>
          <w:trHeight w:val="255"/>
        </w:trPr>
        <w:tc>
          <w:tcPr>
            <w:tcW w:w="1700" w:type="dxa"/>
            <w:tcBorders>
              <w:top w:val="nil"/>
              <w:left w:val="single" w:sz="8" w:space="0" w:color="000000"/>
              <w:bottom w:val="single" w:sz="4" w:space="0" w:color="000000"/>
              <w:right w:val="single" w:sz="4" w:space="0" w:color="000000"/>
            </w:tcBorders>
            <w:shd w:val="clear" w:color="auto" w:fill="auto"/>
            <w:vAlign w:val="center"/>
          </w:tcPr>
          <w:p w14:paraId="0B33C7F0" w14:textId="77777777" w:rsidR="009E4017" w:rsidRDefault="00F17C41">
            <w:pPr>
              <w:rPr>
                <w:rFonts w:ascii="Arial" w:eastAsia="Arial" w:hAnsi="Arial" w:cs="Arial"/>
                <w:color w:val="000000"/>
              </w:rPr>
            </w:pPr>
            <w:r>
              <w:rPr>
                <w:rFonts w:ascii="Arial" w:eastAsia="Arial" w:hAnsi="Arial" w:cs="Arial"/>
                <w:color w:val="000000"/>
              </w:rPr>
              <w:lastRenderedPageBreak/>
              <w:t>Ratchet 2</w:t>
            </w:r>
          </w:p>
        </w:tc>
        <w:tc>
          <w:tcPr>
            <w:tcW w:w="1843" w:type="dxa"/>
            <w:tcBorders>
              <w:top w:val="nil"/>
              <w:left w:val="nil"/>
              <w:bottom w:val="single" w:sz="4" w:space="0" w:color="000000"/>
              <w:right w:val="single" w:sz="4" w:space="0" w:color="000000"/>
            </w:tcBorders>
            <w:shd w:val="clear" w:color="auto" w:fill="auto"/>
            <w:vAlign w:val="center"/>
          </w:tcPr>
          <w:p w14:paraId="5C89F42A" w14:textId="77777777" w:rsidR="009E4017" w:rsidRDefault="00F17C41">
            <w:pPr>
              <w:jc w:val="center"/>
              <w:rPr>
                <w:rFonts w:ascii="Arial" w:eastAsia="Arial" w:hAnsi="Arial" w:cs="Arial"/>
                <w:color w:val="000000"/>
              </w:rPr>
            </w:pPr>
            <w:r>
              <w:rPr>
                <w:rFonts w:ascii="Arial" w:eastAsia="Arial" w:hAnsi="Arial" w:cs="Arial"/>
                <w:color w:val="000000"/>
              </w:rPr>
              <w:t>1.75</w:t>
            </w:r>
          </w:p>
        </w:tc>
        <w:tc>
          <w:tcPr>
            <w:tcW w:w="1842" w:type="dxa"/>
            <w:tcBorders>
              <w:top w:val="single" w:sz="4" w:space="0" w:color="000000"/>
              <w:left w:val="nil"/>
              <w:bottom w:val="single" w:sz="4" w:space="0" w:color="000000"/>
              <w:right w:val="single" w:sz="4" w:space="0" w:color="000000"/>
            </w:tcBorders>
            <w:shd w:val="clear" w:color="auto" w:fill="auto"/>
            <w:vAlign w:val="center"/>
          </w:tcPr>
          <w:p w14:paraId="3368CF04" w14:textId="77777777" w:rsidR="009E4017" w:rsidRDefault="00F17C41">
            <w:pPr>
              <w:jc w:val="center"/>
              <w:rPr>
                <w:rFonts w:ascii="Arial" w:eastAsia="Arial" w:hAnsi="Arial" w:cs="Arial"/>
                <w:color w:val="000000"/>
              </w:rPr>
            </w:pPr>
            <w:r>
              <w:rPr>
                <w:rFonts w:ascii="Arial" w:eastAsia="Arial" w:hAnsi="Arial" w:cs="Arial"/>
                <w:color w:val="000000"/>
              </w:rPr>
              <w:t>3</w:t>
            </w:r>
          </w:p>
        </w:tc>
        <w:tc>
          <w:tcPr>
            <w:tcW w:w="2268" w:type="dxa"/>
            <w:tcBorders>
              <w:top w:val="single" w:sz="4" w:space="0" w:color="000000"/>
              <w:left w:val="nil"/>
              <w:bottom w:val="single" w:sz="4" w:space="0" w:color="000000"/>
              <w:right w:val="single" w:sz="8" w:space="0" w:color="000000"/>
            </w:tcBorders>
            <w:shd w:val="clear" w:color="auto" w:fill="auto"/>
            <w:vAlign w:val="center"/>
          </w:tcPr>
          <w:p w14:paraId="56DAAB89" w14:textId="77777777" w:rsidR="009E4017" w:rsidRDefault="00F17C41">
            <w:pPr>
              <w:jc w:val="center"/>
              <w:rPr>
                <w:rFonts w:ascii="Arial" w:eastAsia="Arial" w:hAnsi="Arial" w:cs="Arial"/>
                <w:color w:val="000000"/>
              </w:rPr>
            </w:pPr>
            <w:r>
              <w:rPr>
                <w:rFonts w:ascii="Arial" w:eastAsia="Arial" w:hAnsi="Arial" w:cs="Arial"/>
                <w:color w:val="000000"/>
              </w:rPr>
              <w:t>4,5</w:t>
            </w:r>
          </w:p>
        </w:tc>
      </w:tr>
      <w:tr w:rsidR="009E4017" w14:paraId="1EEDC062" w14:textId="77777777">
        <w:trPr>
          <w:trHeight w:val="270"/>
        </w:trPr>
        <w:tc>
          <w:tcPr>
            <w:tcW w:w="1700" w:type="dxa"/>
            <w:tcBorders>
              <w:top w:val="nil"/>
              <w:left w:val="single" w:sz="8" w:space="0" w:color="000000"/>
              <w:bottom w:val="single" w:sz="8" w:space="0" w:color="000000"/>
              <w:right w:val="single" w:sz="4" w:space="0" w:color="000000"/>
            </w:tcBorders>
            <w:shd w:val="clear" w:color="auto" w:fill="auto"/>
            <w:vAlign w:val="center"/>
          </w:tcPr>
          <w:p w14:paraId="247C711C" w14:textId="77777777" w:rsidR="009E4017" w:rsidRDefault="00F17C41">
            <w:pPr>
              <w:rPr>
                <w:rFonts w:ascii="Arial" w:eastAsia="Arial" w:hAnsi="Arial" w:cs="Arial"/>
                <w:color w:val="000000"/>
              </w:rPr>
            </w:pPr>
            <w:r>
              <w:rPr>
                <w:rFonts w:ascii="Arial" w:eastAsia="Arial" w:hAnsi="Arial" w:cs="Arial"/>
                <w:color w:val="000000"/>
              </w:rPr>
              <w:t>Ratchet 3</w:t>
            </w:r>
          </w:p>
        </w:tc>
        <w:tc>
          <w:tcPr>
            <w:tcW w:w="1843" w:type="dxa"/>
            <w:tcBorders>
              <w:top w:val="nil"/>
              <w:left w:val="nil"/>
              <w:bottom w:val="single" w:sz="8" w:space="0" w:color="000000"/>
              <w:right w:val="single" w:sz="4" w:space="0" w:color="000000"/>
            </w:tcBorders>
            <w:shd w:val="clear" w:color="auto" w:fill="auto"/>
            <w:vAlign w:val="center"/>
          </w:tcPr>
          <w:p w14:paraId="550C0142" w14:textId="77777777" w:rsidR="009E4017" w:rsidRDefault="00F17C41">
            <w:pPr>
              <w:jc w:val="center"/>
              <w:rPr>
                <w:rFonts w:ascii="Arial" w:eastAsia="Arial" w:hAnsi="Arial" w:cs="Arial"/>
                <w:color w:val="000000"/>
              </w:rPr>
            </w:pPr>
            <w:r>
              <w:rPr>
                <w:rFonts w:ascii="Arial" w:eastAsia="Arial" w:hAnsi="Arial" w:cs="Arial"/>
                <w:color w:val="000000"/>
              </w:rPr>
              <w:t>2</w:t>
            </w:r>
          </w:p>
        </w:tc>
        <w:tc>
          <w:tcPr>
            <w:tcW w:w="1842" w:type="dxa"/>
            <w:tcBorders>
              <w:top w:val="single" w:sz="4" w:space="0" w:color="000000"/>
              <w:left w:val="nil"/>
              <w:bottom w:val="single" w:sz="8" w:space="0" w:color="000000"/>
              <w:right w:val="single" w:sz="4" w:space="0" w:color="000000"/>
            </w:tcBorders>
            <w:shd w:val="clear" w:color="auto" w:fill="auto"/>
            <w:vAlign w:val="center"/>
          </w:tcPr>
          <w:p w14:paraId="489922C2" w14:textId="77777777" w:rsidR="009E4017" w:rsidRDefault="00F17C41">
            <w:pPr>
              <w:jc w:val="center"/>
              <w:rPr>
                <w:rFonts w:ascii="Arial" w:eastAsia="Arial" w:hAnsi="Arial" w:cs="Arial"/>
                <w:color w:val="000000"/>
              </w:rPr>
            </w:pPr>
            <w:r>
              <w:rPr>
                <w:rFonts w:ascii="Arial" w:eastAsia="Arial" w:hAnsi="Arial" w:cs="Arial"/>
                <w:color w:val="000000"/>
              </w:rPr>
              <w:t>4</w:t>
            </w:r>
          </w:p>
        </w:tc>
        <w:tc>
          <w:tcPr>
            <w:tcW w:w="2268" w:type="dxa"/>
            <w:tcBorders>
              <w:top w:val="single" w:sz="4" w:space="0" w:color="000000"/>
              <w:left w:val="nil"/>
              <w:bottom w:val="single" w:sz="8" w:space="0" w:color="000000"/>
              <w:right w:val="single" w:sz="8" w:space="0" w:color="000000"/>
            </w:tcBorders>
            <w:shd w:val="clear" w:color="auto" w:fill="auto"/>
            <w:vAlign w:val="center"/>
          </w:tcPr>
          <w:p w14:paraId="35D747E4" w14:textId="77777777" w:rsidR="009E4017" w:rsidRDefault="00F17C41">
            <w:pPr>
              <w:jc w:val="center"/>
              <w:rPr>
                <w:rFonts w:ascii="Arial" w:eastAsia="Arial" w:hAnsi="Arial" w:cs="Arial"/>
                <w:color w:val="000000"/>
              </w:rPr>
            </w:pPr>
            <w:r>
              <w:rPr>
                <w:rFonts w:ascii="Arial" w:eastAsia="Arial" w:hAnsi="Arial" w:cs="Arial"/>
                <w:color w:val="000000"/>
              </w:rPr>
              <w:t>6,7,8,9,10,11,12</w:t>
            </w:r>
          </w:p>
        </w:tc>
      </w:tr>
    </w:tbl>
    <w:p w14:paraId="21FA3F2D" w14:textId="77777777" w:rsidR="009E4017" w:rsidRDefault="009E4017">
      <w:pPr>
        <w:pBdr>
          <w:top w:val="nil"/>
          <w:left w:val="nil"/>
          <w:bottom w:val="nil"/>
          <w:right w:val="nil"/>
          <w:between w:val="nil"/>
        </w:pBdr>
        <w:tabs>
          <w:tab w:val="left" w:pos="144"/>
        </w:tabs>
        <w:spacing w:after="120" w:line="240" w:lineRule="auto"/>
        <w:ind w:left="2160" w:hanging="720"/>
        <w:jc w:val="both"/>
        <w:rPr>
          <w:rFonts w:ascii="Arial" w:eastAsia="Arial" w:hAnsi="Arial" w:cs="Arial"/>
          <w:b/>
          <w:color w:val="000000"/>
          <w:sz w:val="24"/>
          <w:szCs w:val="24"/>
        </w:rPr>
      </w:pPr>
    </w:p>
    <w:p w14:paraId="18567771" w14:textId="77777777" w:rsidR="009E4017" w:rsidRDefault="00F17C41">
      <w:pPr>
        <w:numPr>
          <w:ilvl w:val="1"/>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If more than one Ratchet applies to a KPI Failure in the same Service Period, the Ratchet resulting in the higher KPI Credit will be used.</w:t>
      </w:r>
    </w:p>
    <w:p w14:paraId="4830F893" w14:textId="77777777" w:rsidR="009E4017" w:rsidRDefault="00F17C41">
      <w:pPr>
        <w:numPr>
          <w:ilvl w:val="0"/>
          <w:numId w:val="2"/>
        </w:numPr>
        <w:pBdr>
          <w:top w:val="nil"/>
          <w:left w:val="nil"/>
          <w:bottom w:val="nil"/>
          <w:right w:val="nil"/>
          <w:between w:val="nil"/>
        </w:pBdr>
        <w:spacing w:after="240" w:line="240" w:lineRule="auto"/>
        <w:jc w:val="both"/>
        <w:rPr>
          <w:rFonts w:ascii="Arial" w:eastAsia="Arial" w:hAnsi="Arial" w:cs="Arial"/>
          <w:color w:val="000000"/>
        </w:rPr>
      </w:pPr>
      <w:bookmarkStart w:id="14" w:name="_heading=h.z337ya" w:colFirst="0" w:colLast="0"/>
      <w:bookmarkEnd w:id="14"/>
      <w:r>
        <w:rPr>
          <w:rFonts w:ascii="Arial" w:eastAsia="Arial" w:hAnsi="Arial" w:cs="Arial"/>
          <w:b/>
          <w:color w:val="000000"/>
          <w:sz w:val="24"/>
          <w:szCs w:val="24"/>
        </w:rPr>
        <w:t>KPI Credit Earn Back</w:t>
      </w:r>
    </w:p>
    <w:p w14:paraId="19BD0708" w14:textId="77777777" w:rsidR="009E4017" w:rsidRDefault="00F17C41">
      <w:pPr>
        <w:numPr>
          <w:ilvl w:val="1"/>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bookmarkStart w:id="15" w:name="_heading=h.3j2qqm3" w:colFirst="0" w:colLast="0"/>
      <w:bookmarkEnd w:id="15"/>
      <w:r>
        <w:rPr>
          <w:rFonts w:ascii="Arial" w:eastAsia="Arial" w:hAnsi="Arial" w:cs="Arial"/>
          <w:color w:val="000000"/>
          <w:sz w:val="24"/>
          <w:szCs w:val="24"/>
        </w:rPr>
        <w:t>If:</w:t>
      </w:r>
    </w:p>
    <w:p w14:paraId="03C37967" w14:textId="77777777" w:rsidR="009E4017" w:rsidRDefault="00F17C41">
      <w:pPr>
        <w:numPr>
          <w:ilvl w:val="2"/>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bookmarkStart w:id="16" w:name="_heading=h.1y810tw" w:colFirst="0" w:colLast="0"/>
      <w:bookmarkEnd w:id="16"/>
      <w:r>
        <w:rPr>
          <w:rFonts w:ascii="Arial" w:eastAsia="Arial" w:hAnsi="Arial" w:cs="Arial"/>
          <w:color w:val="000000"/>
          <w:sz w:val="24"/>
          <w:szCs w:val="24"/>
        </w:rPr>
        <w:t>in respect of a Service Period the Supplier has been liable to pay (and has paid) a KPI Credit in relation to a KPI Category; and</w:t>
      </w:r>
    </w:p>
    <w:p w14:paraId="7D15206F" w14:textId="77777777" w:rsidR="009E4017" w:rsidRDefault="00F17C41">
      <w:pPr>
        <w:numPr>
          <w:ilvl w:val="2"/>
          <w:numId w:val="2"/>
        </w:numPr>
        <w:pBdr>
          <w:top w:val="nil"/>
          <w:left w:val="nil"/>
          <w:bottom w:val="nil"/>
          <w:right w:val="nil"/>
          <w:between w:val="nil"/>
        </w:pBdr>
        <w:tabs>
          <w:tab w:val="left" w:pos="144"/>
          <w:tab w:val="left" w:pos="142"/>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 the next Service Period, the Supplier is not liable to pay a KPI Credit in relation to the same KPI Category that was the subject of such KPI Credits in the previous Service Period,</w:t>
      </w:r>
    </w:p>
    <w:p w14:paraId="2E8A2F1F" w14:textId="77777777" w:rsidR="009E4017" w:rsidRDefault="00F17C41">
      <w:pPr>
        <w:numPr>
          <w:ilvl w:val="1"/>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be entitled to recover a proportion of such KPI Credit (</w:t>
      </w:r>
      <w:r>
        <w:rPr>
          <w:rFonts w:ascii="Arial" w:eastAsia="Arial" w:hAnsi="Arial" w:cs="Arial"/>
          <w:b/>
          <w:color w:val="000000"/>
          <w:sz w:val="24"/>
          <w:szCs w:val="24"/>
        </w:rPr>
        <w:t xml:space="preserve">"Earn </w:t>
      </w:r>
      <w:r>
        <w:rPr>
          <w:rFonts w:ascii="Arial" w:eastAsia="Arial" w:hAnsi="Arial" w:cs="Arial"/>
          <w:b/>
          <w:sz w:val="24"/>
          <w:szCs w:val="24"/>
        </w:rPr>
        <w:t>B</w:t>
      </w:r>
      <w:r>
        <w:rPr>
          <w:rFonts w:ascii="Arial" w:eastAsia="Arial" w:hAnsi="Arial" w:cs="Arial"/>
          <w:b/>
          <w:color w:val="000000"/>
          <w:sz w:val="24"/>
          <w:szCs w:val="24"/>
        </w:rPr>
        <w:t>ack"</w:t>
      </w:r>
      <w:r>
        <w:rPr>
          <w:rFonts w:ascii="Arial" w:eastAsia="Arial" w:hAnsi="Arial" w:cs="Arial"/>
          <w:color w:val="000000"/>
          <w:sz w:val="24"/>
          <w:szCs w:val="24"/>
        </w:rPr>
        <w:t>).</w:t>
      </w:r>
    </w:p>
    <w:p w14:paraId="063E8837" w14:textId="77777777" w:rsidR="009E4017" w:rsidRDefault="00F17C41">
      <w:pPr>
        <w:numPr>
          <w:ilvl w:val="1"/>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amount of the Earn </w:t>
      </w:r>
      <w:r>
        <w:rPr>
          <w:rFonts w:ascii="Arial" w:eastAsia="Arial" w:hAnsi="Arial" w:cs="Arial"/>
          <w:sz w:val="24"/>
          <w:szCs w:val="24"/>
        </w:rPr>
        <w:t>B</w:t>
      </w:r>
      <w:r>
        <w:rPr>
          <w:rFonts w:ascii="Arial" w:eastAsia="Arial" w:hAnsi="Arial" w:cs="Arial"/>
          <w:color w:val="000000"/>
          <w:sz w:val="24"/>
          <w:szCs w:val="24"/>
        </w:rPr>
        <w:t xml:space="preserve">ack shall be calculated as the product of the KPI Credit paid in the previous Service Period in relation to the relevant KPI Category and the Earn </w:t>
      </w:r>
      <w:r>
        <w:rPr>
          <w:rFonts w:ascii="Arial" w:eastAsia="Arial" w:hAnsi="Arial" w:cs="Arial"/>
          <w:sz w:val="24"/>
          <w:szCs w:val="24"/>
        </w:rPr>
        <w:t>B</w:t>
      </w:r>
      <w:r>
        <w:rPr>
          <w:rFonts w:ascii="Arial" w:eastAsia="Arial" w:hAnsi="Arial" w:cs="Arial"/>
          <w:color w:val="000000"/>
          <w:sz w:val="24"/>
          <w:szCs w:val="24"/>
        </w:rPr>
        <w:t>ack %.</w:t>
      </w:r>
    </w:p>
    <w:p w14:paraId="27FC5231" w14:textId="77777777" w:rsidR="009E4017" w:rsidRDefault="00F17C41">
      <w:pPr>
        <w:numPr>
          <w:ilvl w:val="1"/>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recover any Earn </w:t>
      </w:r>
      <w:r>
        <w:rPr>
          <w:rFonts w:ascii="Arial" w:eastAsia="Arial" w:hAnsi="Arial" w:cs="Arial"/>
          <w:sz w:val="24"/>
          <w:szCs w:val="24"/>
        </w:rPr>
        <w:t>B</w:t>
      </w:r>
      <w:r>
        <w:rPr>
          <w:rFonts w:ascii="Arial" w:eastAsia="Arial" w:hAnsi="Arial" w:cs="Arial"/>
          <w:color w:val="000000"/>
          <w:sz w:val="24"/>
          <w:szCs w:val="24"/>
        </w:rPr>
        <w:t>ack to which it is entitled under this Paragraph 5 in accordance with Call-Off Schedule 5 (Call-Off Pricing).</w:t>
      </w:r>
    </w:p>
    <w:p w14:paraId="15E9DBB9" w14:textId="77777777" w:rsidR="009E4017" w:rsidRDefault="00F17C41">
      <w:pPr>
        <w:numPr>
          <w:ilvl w:val="0"/>
          <w:numId w:val="2"/>
        </w:numPr>
        <w:pBdr>
          <w:top w:val="nil"/>
          <w:left w:val="nil"/>
          <w:bottom w:val="nil"/>
          <w:right w:val="nil"/>
          <w:between w:val="nil"/>
        </w:pBdr>
        <w:spacing w:after="240" w:line="240" w:lineRule="auto"/>
        <w:jc w:val="both"/>
        <w:rPr>
          <w:rFonts w:ascii="Arial" w:eastAsia="Arial" w:hAnsi="Arial" w:cs="Arial"/>
          <w:color w:val="000000"/>
        </w:rPr>
      </w:pPr>
      <w:r>
        <w:rPr>
          <w:rFonts w:ascii="Arial" w:eastAsia="Arial" w:hAnsi="Arial" w:cs="Arial"/>
          <w:b/>
          <w:color w:val="000000"/>
          <w:sz w:val="24"/>
          <w:szCs w:val="24"/>
        </w:rPr>
        <w:t>Persistent KPI Failure</w:t>
      </w:r>
    </w:p>
    <w:p w14:paraId="479F0B58" w14:textId="77777777" w:rsidR="009E4017" w:rsidRDefault="00F17C41">
      <w:pPr>
        <w:numPr>
          <w:ilvl w:val="1"/>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Persistent KPI Failure shall arise when one or both of the following takes place:</w:t>
      </w:r>
    </w:p>
    <w:p w14:paraId="3B82FF38" w14:textId="77777777" w:rsidR="009E4017" w:rsidRDefault="00F17C41">
      <w:pPr>
        <w:numPr>
          <w:ilvl w:val="2"/>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bookmarkStart w:id="17" w:name="_heading=h.3znysh7" w:colFirst="0" w:colLast="0"/>
      <w:bookmarkEnd w:id="17"/>
      <w:r>
        <w:rPr>
          <w:rFonts w:ascii="Arial" w:eastAsia="Arial" w:hAnsi="Arial" w:cs="Arial"/>
          <w:color w:val="000000"/>
          <w:sz w:val="24"/>
          <w:szCs w:val="24"/>
        </w:rPr>
        <w:t>a KPI Failure in respect of any one or more of the KPIs comprised in the same KPI Category occurs in five (5) consecutive Service Periods;</w:t>
      </w:r>
    </w:p>
    <w:p w14:paraId="2B85CF6D" w14:textId="77777777" w:rsidR="009E4017" w:rsidRDefault="00F17C41">
      <w:pPr>
        <w:numPr>
          <w:ilvl w:val="2"/>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KPI Failure in respect of any one or more of the KPIs comprised in the same KPI Category occurs in any seven (7) Service Periods in the immediately preceding twelve (12) Service Periods.</w:t>
      </w:r>
    </w:p>
    <w:p w14:paraId="47735865" w14:textId="77777777" w:rsidR="009E4017" w:rsidRDefault="00F17C41">
      <w:pPr>
        <w:numPr>
          <w:ilvl w:val="1"/>
          <w:numId w:val="2"/>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Persistent KPI Failure shall constitute a material Default of this Contract by the Supplier.</w:t>
      </w:r>
    </w:p>
    <w:p w14:paraId="2F1305B1" w14:textId="77777777" w:rsidR="009E4017" w:rsidRDefault="009E4017">
      <w:pPr>
        <w:pBdr>
          <w:top w:val="nil"/>
          <w:left w:val="nil"/>
          <w:bottom w:val="nil"/>
          <w:right w:val="nil"/>
          <w:between w:val="nil"/>
        </w:pBdr>
        <w:spacing w:before="120" w:after="120" w:line="240" w:lineRule="auto"/>
        <w:rPr>
          <w:rFonts w:ascii="Arial" w:eastAsia="Arial" w:hAnsi="Arial" w:cs="Arial"/>
          <w:b/>
          <w:color w:val="000000"/>
          <w:sz w:val="36"/>
          <w:szCs w:val="36"/>
        </w:rPr>
      </w:pPr>
    </w:p>
    <w:p w14:paraId="07CE1977" w14:textId="77777777" w:rsidR="009E4017" w:rsidRDefault="009E4017">
      <w:pPr>
        <w:pBdr>
          <w:top w:val="nil"/>
          <w:left w:val="nil"/>
          <w:bottom w:val="nil"/>
          <w:right w:val="nil"/>
          <w:between w:val="nil"/>
        </w:pBdr>
        <w:spacing w:before="120" w:after="120" w:line="240" w:lineRule="auto"/>
        <w:rPr>
          <w:rFonts w:ascii="Arial" w:eastAsia="Arial" w:hAnsi="Arial" w:cs="Arial"/>
          <w:b/>
          <w:color w:val="000000"/>
          <w:sz w:val="36"/>
          <w:szCs w:val="36"/>
        </w:rPr>
      </w:pPr>
    </w:p>
    <w:p w14:paraId="08B3AC9F" w14:textId="6B4F3C9C" w:rsidR="009E4017" w:rsidRDefault="009E4017">
      <w:pPr>
        <w:pBdr>
          <w:top w:val="nil"/>
          <w:left w:val="nil"/>
          <w:bottom w:val="nil"/>
          <w:right w:val="nil"/>
          <w:between w:val="nil"/>
        </w:pBdr>
        <w:spacing w:before="120" w:after="120" w:line="240" w:lineRule="auto"/>
        <w:rPr>
          <w:rFonts w:ascii="Arial" w:eastAsia="Arial" w:hAnsi="Arial" w:cs="Arial"/>
          <w:b/>
          <w:color w:val="000000"/>
          <w:sz w:val="36"/>
          <w:szCs w:val="36"/>
        </w:rPr>
      </w:pPr>
    </w:p>
    <w:p w14:paraId="59D514F9" w14:textId="77777777" w:rsidR="00C859E8" w:rsidRDefault="00C859E8">
      <w:pPr>
        <w:pBdr>
          <w:top w:val="nil"/>
          <w:left w:val="nil"/>
          <w:bottom w:val="nil"/>
          <w:right w:val="nil"/>
          <w:between w:val="nil"/>
        </w:pBdr>
        <w:spacing w:before="120" w:after="120" w:line="240" w:lineRule="auto"/>
        <w:rPr>
          <w:rFonts w:ascii="Arial" w:eastAsia="Arial" w:hAnsi="Arial" w:cs="Arial"/>
          <w:b/>
          <w:color w:val="000000"/>
          <w:sz w:val="36"/>
          <w:szCs w:val="36"/>
        </w:rPr>
      </w:pPr>
    </w:p>
    <w:p w14:paraId="6FF200B0" w14:textId="77777777" w:rsidR="009E4017" w:rsidRDefault="009E4017">
      <w:pPr>
        <w:pBdr>
          <w:top w:val="nil"/>
          <w:left w:val="nil"/>
          <w:bottom w:val="nil"/>
          <w:right w:val="nil"/>
          <w:between w:val="nil"/>
        </w:pBdr>
        <w:spacing w:before="120" w:after="120" w:line="240" w:lineRule="auto"/>
        <w:rPr>
          <w:rFonts w:ascii="Arial" w:eastAsia="Arial" w:hAnsi="Arial" w:cs="Arial"/>
          <w:b/>
          <w:color w:val="000000"/>
          <w:sz w:val="36"/>
          <w:szCs w:val="36"/>
        </w:rPr>
      </w:pPr>
      <w:bookmarkStart w:id="18" w:name="_heading=h.tyjcwt" w:colFirst="0" w:colLast="0"/>
      <w:bookmarkEnd w:id="18"/>
    </w:p>
    <w:p w14:paraId="3211513B" w14:textId="77777777" w:rsidR="009E4017" w:rsidRDefault="00F17C41">
      <w:pPr>
        <w:pBdr>
          <w:top w:val="nil"/>
          <w:left w:val="nil"/>
          <w:bottom w:val="nil"/>
          <w:right w:val="nil"/>
          <w:between w:val="nil"/>
        </w:pBdr>
        <w:spacing w:before="120" w:after="120" w:line="240" w:lineRule="auto"/>
        <w:rPr>
          <w:rFonts w:ascii="Arial" w:eastAsia="Arial" w:hAnsi="Arial" w:cs="Arial"/>
        </w:rPr>
      </w:pPr>
      <w:r>
        <w:rPr>
          <w:rFonts w:ascii="Arial" w:eastAsia="Arial" w:hAnsi="Arial" w:cs="Arial"/>
          <w:b/>
          <w:color w:val="000000"/>
          <w:sz w:val="36"/>
          <w:szCs w:val="36"/>
        </w:rPr>
        <w:lastRenderedPageBreak/>
        <w:t>Annex A to Part A – KPI_Paymech Model</w:t>
      </w:r>
    </w:p>
    <w:p w14:paraId="5D66107C" w14:textId="77777777" w:rsidR="009E4017" w:rsidRDefault="00F17C41">
      <w:pPr>
        <w:pBdr>
          <w:top w:val="nil"/>
          <w:left w:val="nil"/>
          <w:bottom w:val="nil"/>
          <w:right w:val="nil"/>
          <w:between w:val="nil"/>
        </w:pBdr>
        <w:spacing w:before="120" w:after="120" w:line="240" w:lineRule="auto"/>
        <w:rPr>
          <w:rFonts w:ascii="Arial" w:eastAsia="Arial" w:hAnsi="Arial" w:cs="Arial"/>
        </w:rPr>
      </w:pPr>
      <w:r>
        <w:rPr>
          <w:rFonts w:ascii="Arial" w:eastAsia="Arial" w:hAnsi="Arial" w:cs="Arial"/>
        </w:rPr>
        <w:t xml:space="preserve">     </w:t>
      </w:r>
    </w:p>
    <w:p w14:paraId="2F934CE6" w14:textId="77777777" w:rsidR="009E4017" w:rsidRDefault="009E4017">
      <w:pPr>
        <w:pBdr>
          <w:top w:val="nil"/>
          <w:left w:val="nil"/>
          <w:bottom w:val="nil"/>
          <w:right w:val="nil"/>
          <w:between w:val="nil"/>
        </w:pBdr>
        <w:spacing w:before="120" w:after="120" w:line="240" w:lineRule="auto"/>
        <w:rPr>
          <w:rFonts w:ascii="Arial" w:eastAsia="Arial" w:hAnsi="Arial" w:cs="Arial"/>
        </w:rPr>
      </w:pPr>
      <w:bookmarkStart w:id="19" w:name="_heading=h.3dy6vkm" w:colFirst="0" w:colLast="0"/>
      <w:bookmarkEnd w:id="19"/>
    </w:p>
    <w:p w14:paraId="459EE41B" w14:textId="7BAD4518" w:rsidR="00C859E8" w:rsidRDefault="00F17C41" w:rsidP="00C859E8">
      <w:pPr>
        <w:pStyle w:val="Heading2"/>
        <w:spacing w:before="360" w:after="80" w:line="414" w:lineRule="atLeast"/>
        <w:rPr>
          <w:rFonts w:ascii="Calibri" w:hAnsi="Calibri" w:cs="Calibri"/>
          <w:color w:val="222222"/>
        </w:rPr>
      </w:pPr>
      <w:bookmarkStart w:id="20" w:name="_heading=h.4d34og8" w:colFirst="0" w:colLast="0"/>
      <w:bookmarkStart w:id="21" w:name="_GoBack"/>
      <w:bookmarkEnd w:id="20"/>
      <w:bookmarkEnd w:id="21"/>
      <w:r>
        <w:rPr>
          <w:rFonts w:ascii="Arial" w:eastAsia="Arial" w:hAnsi="Arial" w:cs="Arial"/>
        </w:rPr>
        <w:t xml:space="preserve"> </w:t>
      </w:r>
      <w:bookmarkStart w:id="22" w:name="m_-8402413888056522630__Toc496014860"/>
      <w:r w:rsidR="00C859E8">
        <w:rPr>
          <w:rFonts w:ascii="Arial" w:hAnsi="Arial" w:cs="Arial"/>
          <w:color w:val="222222"/>
          <w:sz w:val="24"/>
          <w:szCs w:val="24"/>
        </w:rPr>
        <w:t>REDACTED TEXT under FOIA Section 43, Commercial Interests</w:t>
      </w:r>
      <w:bookmarkEnd w:id="22"/>
    </w:p>
    <w:p w14:paraId="40F9E3F4" w14:textId="179F0FD8" w:rsidR="009E4017" w:rsidRDefault="009E4017">
      <w:pPr>
        <w:pBdr>
          <w:top w:val="nil"/>
          <w:left w:val="nil"/>
          <w:bottom w:val="nil"/>
          <w:right w:val="nil"/>
          <w:between w:val="nil"/>
        </w:pBdr>
        <w:spacing w:before="120" w:after="120" w:line="240" w:lineRule="auto"/>
        <w:rPr>
          <w:rFonts w:ascii="Arial" w:eastAsia="Arial" w:hAnsi="Arial" w:cs="Arial"/>
        </w:rPr>
      </w:pPr>
    </w:p>
    <w:p w14:paraId="4DAADDA8" w14:textId="77777777" w:rsidR="009E4017" w:rsidRDefault="009E4017">
      <w:pPr>
        <w:pBdr>
          <w:top w:val="nil"/>
          <w:left w:val="nil"/>
          <w:bottom w:val="nil"/>
          <w:right w:val="nil"/>
          <w:between w:val="nil"/>
        </w:pBdr>
        <w:spacing w:before="120" w:after="120" w:line="240" w:lineRule="auto"/>
        <w:rPr>
          <w:rFonts w:ascii="Arial" w:eastAsia="Arial" w:hAnsi="Arial" w:cs="Arial"/>
        </w:rPr>
      </w:pPr>
    </w:p>
    <w:p w14:paraId="2F0663F4" w14:textId="77777777" w:rsidR="009E4017" w:rsidRDefault="009E4017">
      <w:pPr>
        <w:pBdr>
          <w:top w:val="nil"/>
          <w:left w:val="nil"/>
          <w:bottom w:val="nil"/>
          <w:right w:val="nil"/>
          <w:between w:val="nil"/>
        </w:pBdr>
        <w:spacing w:before="120" w:after="120" w:line="240" w:lineRule="auto"/>
        <w:rPr>
          <w:rFonts w:ascii="Arial" w:eastAsia="Arial" w:hAnsi="Arial" w:cs="Arial"/>
        </w:rPr>
      </w:pPr>
    </w:p>
    <w:p w14:paraId="23354D07" w14:textId="77777777" w:rsidR="009E4017" w:rsidRDefault="009E4017">
      <w:pPr>
        <w:pBdr>
          <w:top w:val="nil"/>
          <w:left w:val="nil"/>
          <w:bottom w:val="nil"/>
          <w:right w:val="nil"/>
          <w:between w:val="nil"/>
        </w:pBdr>
        <w:spacing w:before="120" w:after="120" w:line="240" w:lineRule="auto"/>
        <w:rPr>
          <w:rFonts w:ascii="Arial" w:eastAsia="Arial" w:hAnsi="Arial" w:cs="Arial"/>
        </w:rPr>
      </w:pPr>
    </w:p>
    <w:p w14:paraId="4ED8C0A9" w14:textId="77777777" w:rsidR="009E4017" w:rsidRDefault="009E4017">
      <w:pPr>
        <w:pBdr>
          <w:top w:val="nil"/>
          <w:left w:val="nil"/>
          <w:bottom w:val="nil"/>
          <w:right w:val="nil"/>
          <w:between w:val="nil"/>
        </w:pBdr>
        <w:spacing w:before="120" w:after="120" w:line="240" w:lineRule="auto"/>
        <w:rPr>
          <w:rFonts w:ascii="Arial" w:eastAsia="Arial" w:hAnsi="Arial" w:cs="Arial"/>
        </w:rPr>
      </w:pPr>
    </w:p>
    <w:p w14:paraId="6C63F94B" w14:textId="77777777" w:rsidR="009E4017" w:rsidRDefault="00F17C41">
      <w:pPr>
        <w:pBdr>
          <w:top w:val="nil"/>
          <w:left w:val="nil"/>
          <w:bottom w:val="nil"/>
          <w:right w:val="nil"/>
          <w:between w:val="nil"/>
        </w:pBdr>
        <w:spacing w:before="120" w:after="120" w:line="240" w:lineRule="auto"/>
        <w:rPr>
          <w:rFonts w:ascii="Arial" w:eastAsia="Arial" w:hAnsi="Arial" w:cs="Arial"/>
        </w:rPr>
      </w:pPr>
      <w:r>
        <w:rPr>
          <w:rFonts w:ascii="Arial" w:eastAsia="Arial" w:hAnsi="Arial" w:cs="Arial"/>
          <w:b/>
          <w:color w:val="000000"/>
          <w:sz w:val="36"/>
          <w:szCs w:val="36"/>
        </w:rPr>
        <w:t xml:space="preserve">Part B: Performance Monitoring </w:t>
      </w:r>
    </w:p>
    <w:p w14:paraId="525FB3A5" w14:textId="77777777" w:rsidR="009E4017" w:rsidRDefault="00F17C41">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Performance Monitoring and Performance Review</w:t>
      </w:r>
    </w:p>
    <w:p w14:paraId="3C7BB575" w14:textId="77777777" w:rsidR="009E4017" w:rsidRDefault="00F17C4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KPIs will operate between the Parties and the Parties will endeavour to agree such process as soon as reasonably possible.</w:t>
      </w:r>
    </w:p>
    <w:p w14:paraId="70ED0E49" w14:textId="77777777" w:rsidR="009E4017" w:rsidRDefault="00F17C41">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in the same format as that in the KPI Paymech Model ("</w:t>
      </w:r>
      <w:r>
        <w:rPr>
          <w:rFonts w:ascii="Arial" w:eastAsia="Arial" w:hAnsi="Arial" w:cs="Arial"/>
          <w:b/>
          <w:color w:val="000000"/>
          <w:sz w:val="24"/>
          <w:szCs w:val="24"/>
        </w:rPr>
        <w:t>Performance Monitoring Reports</w:t>
      </w:r>
      <w:r>
        <w:rPr>
          <w:rFonts w:ascii="Arial" w:eastAsia="Arial" w:hAnsi="Arial" w:cs="Arial"/>
          <w:color w:val="000000"/>
          <w:sz w:val="24"/>
          <w:szCs w:val="24"/>
        </w:rPr>
        <w:t xml:space="preserve">") in accordance with the process and timescales agreed pursuant to paragraph </w:t>
      </w:r>
      <w:r>
        <w:rPr>
          <w:rFonts w:ascii="Arial" w:eastAsia="Arial" w:hAnsi="Arial" w:cs="Arial"/>
          <w:sz w:val="24"/>
          <w:szCs w:val="24"/>
        </w:rPr>
        <w:t>1</w:t>
      </w:r>
      <w:r>
        <w:rPr>
          <w:rFonts w:ascii="Arial" w:eastAsia="Arial" w:hAnsi="Arial" w:cs="Arial"/>
          <w:color w:val="000000"/>
          <w:sz w:val="24"/>
          <w:szCs w:val="24"/>
        </w:rPr>
        <w:t>.1 of Part B of this Schedule which shall contain, as a minimum, the following information in respect of the relevant Service Period just ended:</w:t>
      </w:r>
    </w:p>
    <w:p w14:paraId="5149FCFB" w14:textId="77777777" w:rsidR="009E4017" w:rsidRDefault="00F17C41">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KPI, the actual performance achieved over the KPI for the relevant Service Period;</w:t>
      </w:r>
    </w:p>
    <w:p w14:paraId="1E7B09C5" w14:textId="77777777" w:rsidR="009E4017" w:rsidRDefault="00F17C41">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KPIs that occurred during that Service Period;</w:t>
      </w:r>
    </w:p>
    <w:p w14:paraId="71328336" w14:textId="77777777" w:rsidR="009E4017" w:rsidRDefault="00F17C41">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Persistent KPI Failures;</w:t>
      </w:r>
    </w:p>
    <w:p w14:paraId="39E094BF" w14:textId="77777777" w:rsidR="009E4017" w:rsidRDefault="00F17C41">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any Persistent failures, actions taken to resolve the underlying cause and prevent recurrence;</w:t>
      </w:r>
    </w:p>
    <w:p w14:paraId="77B72D0A" w14:textId="77777777" w:rsidR="009E4017" w:rsidRDefault="00F17C41">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KPI Credits to be applied in respect of the relevant Service Period indicating the KPI Failures and KPIs to which the KPI Credits relate; and</w:t>
      </w:r>
    </w:p>
    <w:p w14:paraId="4947C7AD" w14:textId="77777777" w:rsidR="009E4017" w:rsidRDefault="00F17C41">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14:paraId="61C4192E" w14:textId="77777777" w:rsidR="009E4017" w:rsidRDefault="00F17C41">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xml:space="preserve">") on a Monthly basis. The Performance Review Meetings will be the forum for the review by the </w:t>
      </w:r>
      <w:r>
        <w:rPr>
          <w:rFonts w:ascii="Arial" w:eastAsia="Arial" w:hAnsi="Arial" w:cs="Arial"/>
          <w:color w:val="000000"/>
          <w:sz w:val="24"/>
          <w:szCs w:val="24"/>
        </w:rPr>
        <w:lastRenderedPageBreak/>
        <w:t>Supplier and the Buyer of the Performance Monitoring Reports.  The Performance Review Meetings shall:</w:t>
      </w:r>
    </w:p>
    <w:p w14:paraId="3B06D1AD" w14:textId="77777777" w:rsidR="009E4017" w:rsidRDefault="00F17C41">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0FA6BD22" w14:textId="77777777" w:rsidR="009E4017" w:rsidRDefault="00F17C41">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14:paraId="0AB26851" w14:textId="77777777" w:rsidR="009E4017" w:rsidRDefault="00F17C41">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7958B048" w14:textId="77777777" w:rsidR="009E4017" w:rsidRDefault="00F17C4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14:paraId="5A6FB796" w14:textId="77777777" w:rsidR="009E4017" w:rsidRDefault="00F17C4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KPI Credits for any specified Service Period.</w:t>
      </w:r>
    </w:p>
    <w:p w14:paraId="0AE2D208" w14:textId="77777777" w:rsidR="009E4017" w:rsidRDefault="009E4017">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3AA03CE5" w14:textId="77777777" w:rsidR="009E4017" w:rsidRDefault="00F17C41">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Satisfaction Surveys</w:t>
      </w:r>
    </w:p>
    <w:p w14:paraId="304CFBAD" w14:textId="77777777" w:rsidR="009E4017" w:rsidRDefault="00F17C41">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may undertake satisfaction surveys in respect of the Supplier's provision of the Deliverables. The Buyer shall be entitled to notify the Supplier of any aspects of their performance of the provision of the Deliverables which the responses to the </w:t>
      </w:r>
      <w:r>
        <w:rPr>
          <w:rFonts w:ascii="Arial" w:eastAsia="Arial" w:hAnsi="Arial" w:cs="Arial"/>
          <w:sz w:val="24"/>
          <w:szCs w:val="24"/>
        </w:rPr>
        <w:t>s</w:t>
      </w:r>
      <w:r>
        <w:rPr>
          <w:rFonts w:ascii="Arial" w:eastAsia="Arial" w:hAnsi="Arial" w:cs="Arial"/>
          <w:color w:val="000000"/>
          <w:sz w:val="24"/>
          <w:szCs w:val="24"/>
        </w:rPr>
        <w:t xml:space="preserve">atisfaction </w:t>
      </w:r>
      <w:r>
        <w:rPr>
          <w:rFonts w:ascii="Arial" w:eastAsia="Arial" w:hAnsi="Arial" w:cs="Arial"/>
          <w:sz w:val="24"/>
          <w:szCs w:val="24"/>
        </w:rPr>
        <w:t>s</w:t>
      </w:r>
      <w:r>
        <w:rPr>
          <w:rFonts w:ascii="Arial" w:eastAsia="Arial" w:hAnsi="Arial" w:cs="Arial"/>
          <w:color w:val="000000"/>
          <w:sz w:val="24"/>
          <w:szCs w:val="24"/>
        </w:rPr>
        <w:t>urveys reasonably suggest are not in accordance with this Contract.</w:t>
      </w:r>
    </w:p>
    <w:p w14:paraId="145FF790" w14:textId="77777777" w:rsidR="009E4017" w:rsidRDefault="009E4017">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bookmarkStart w:id="23" w:name="_heading=h.30j0zll" w:colFirst="0" w:colLast="0"/>
      <w:bookmarkEnd w:id="23"/>
    </w:p>
    <w:sectPr w:rsidR="009E401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BA543" w14:textId="77777777" w:rsidR="00F36038" w:rsidRDefault="00F36038">
      <w:pPr>
        <w:spacing w:after="0" w:line="240" w:lineRule="auto"/>
      </w:pPr>
      <w:r>
        <w:separator/>
      </w:r>
    </w:p>
  </w:endnote>
  <w:endnote w:type="continuationSeparator" w:id="0">
    <w:p w14:paraId="0C432B1A" w14:textId="77777777" w:rsidR="00F36038" w:rsidRDefault="00F3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0873" w14:textId="77777777" w:rsidR="009E4017" w:rsidRDefault="009E4017">
    <w:pPr>
      <w:pBdr>
        <w:top w:val="nil"/>
        <w:left w:val="nil"/>
        <w:bottom w:val="nil"/>
        <w:right w:val="nil"/>
        <w:between w:val="nil"/>
      </w:pBdr>
      <w:tabs>
        <w:tab w:val="center" w:pos="4513"/>
        <w:tab w:val="right" w:pos="9026"/>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394322"/>
      <w:docPartObj>
        <w:docPartGallery w:val="Page Numbers (Bottom of Page)"/>
        <w:docPartUnique/>
      </w:docPartObj>
    </w:sdtPr>
    <w:sdtEndPr/>
    <w:sdtContent>
      <w:sdt>
        <w:sdtPr>
          <w:id w:val="-1769616900"/>
          <w:docPartObj>
            <w:docPartGallery w:val="Page Numbers (Top of Page)"/>
            <w:docPartUnique/>
          </w:docPartObj>
        </w:sdtPr>
        <w:sdtEndPr/>
        <w:sdtContent>
          <w:p w14:paraId="71624E47" w14:textId="77777777" w:rsidR="00DC0B1F" w:rsidRDefault="00DC0B1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61EDEE" w14:textId="77777777" w:rsidR="00DC0B1F" w:rsidRDefault="00DC0B1F" w:rsidP="00DC0B1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24" w:name="_Hlk114839142"/>
    <w:bookmarkStart w:id="25" w:name="_Hlk114839143"/>
    <w:bookmarkStart w:id="26" w:name="_Hlk115854819"/>
    <w:bookmarkStart w:id="27" w:name="_Hlk115854820"/>
    <w:bookmarkStart w:id="28" w:name="_Hlk115854823"/>
    <w:bookmarkStart w:id="29" w:name="_Hlk115854824"/>
    <w:bookmarkStart w:id="30" w:name="_Hlk115854973"/>
    <w:bookmarkStart w:id="31" w:name="_Hlk115854974"/>
    <w:bookmarkStart w:id="32" w:name="_Hlk115854979"/>
    <w:bookmarkStart w:id="33" w:name="_Hlk115854980"/>
    <w:bookmarkStart w:id="34" w:name="_Hlk115855441"/>
    <w:bookmarkStart w:id="35" w:name="_Hlk115855442"/>
    <w:bookmarkStart w:id="36" w:name="_Hlk115855632"/>
    <w:bookmarkStart w:id="37" w:name="_Hlk115855633"/>
    <w:bookmarkStart w:id="38" w:name="_Hlk115856000"/>
    <w:bookmarkStart w:id="39" w:name="_Hlk115856001"/>
    <w:bookmarkStart w:id="40" w:name="_Hlk115856177"/>
    <w:bookmarkStart w:id="41" w:name="_Hlk115856178"/>
    <w:bookmarkStart w:id="42" w:name="_Hlk115856528"/>
    <w:bookmarkStart w:id="43" w:name="_Hlk115856529"/>
    <w:bookmarkStart w:id="44" w:name="_Hlk115856798"/>
    <w:bookmarkStart w:id="45" w:name="_Hlk115856799"/>
    <w:bookmarkStart w:id="46" w:name="_Hlk115856929"/>
    <w:bookmarkStart w:id="47" w:name="_Hlk115856930"/>
    <w:bookmarkStart w:id="48" w:name="_Hlk115857133"/>
    <w:bookmarkStart w:id="49" w:name="_Hlk115857134"/>
    <w:bookmarkStart w:id="50" w:name="_Hlk115857353"/>
    <w:bookmarkStart w:id="51" w:name="_Hlk115857354"/>
    <w:r>
      <w:rPr>
        <w:rFonts w:ascii="Arial" w:eastAsia="Arial" w:hAnsi="Arial" w:cs="Arial"/>
        <w:b/>
        <w:color w:val="000000"/>
        <w:sz w:val="20"/>
        <w:szCs w:val="20"/>
      </w:rPr>
      <w:t>Call-Off Schedule 14 (</w:t>
    </w:r>
    <w:r>
      <w:rPr>
        <w:rFonts w:ascii="Arial" w:eastAsia="Arial" w:hAnsi="Arial" w:cs="Arial"/>
        <w:b/>
        <w:sz w:val="20"/>
        <w:szCs w:val="20"/>
      </w:rPr>
      <w:t>Key Performance Indicators</w:t>
    </w:r>
    <w:r>
      <w:rPr>
        <w:rFonts w:ascii="Arial" w:eastAsia="Arial" w:hAnsi="Arial" w:cs="Arial"/>
        <w:b/>
        <w:color w:val="000000"/>
        <w:sz w:val="20"/>
        <w:szCs w:val="20"/>
      </w:rPr>
      <w:t>)</w:t>
    </w:r>
  </w:p>
  <w:p w14:paraId="3EF1B248" w14:textId="77777777" w:rsidR="00DC0B1F" w:rsidRDefault="00DC0B1F" w:rsidP="00DC0B1F">
    <w:pPr>
      <w:spacing w:after="0"/>
      <w:rPr>
        <w:rFonts w:ascii="Arial" w:eastAsia="Arial" w:hAnsi="Arial" w:cs="Arial"/>
        <w:sz w:val="20"/>
        <w:szCs w:val="20"/>
      </w:rPr>
    </w:pPr>
    <w:r>
      <w:rPr>
        <w:rFonts w:ascii="Arial" w:eastAsia="Arial" w:hAnsi="Arial" w:cs="Arial"/>
        <w:sz w:val="20"/>
        <w:szCs w:val="20"/>
      </w:rPr>
      <w:t>Ref: RM6232</w:t>
    </w:r>
    <w:r>
      <w:rPr>
        <w:rFonts w:ascii="Arial" w:eastAsia="Arial" w:hAnsi="Arial" w:cs="Arial"/>
        <w:sz w:val="20"/>
        <w:szCs w:val="20"/>
      </w:rPr>
      <w:tab/>
      <w:t xml:space="preserve">                                           </w:t>
    </w:r>
  </w:p>
  <w:p w14:paraId="5951406F" w14:textId="77777777" w:rsidR="009E4017" w:rsidRPr="00DC0B1F" w:rsidRDefault="00DC0B1F" w:rsidP="00DC0B1F">
    <w:pPr>
      <w:spacing w:after="0"/>
      <w:rPr>
        <w:rFonts w:ascii="Arial" w:eastAsia="Arial" w:hAnsi="Arial" w:cs="Arial"/>
        <w:sz w:val="20"/>
        <w:szCs w:val="20"/>
      </w:rPr>
    </w:pPr>
    <w:r>
      <w:rPr>
        <w:rFonts w:ascii="Arial" w:eastAsia="Arial" w:hAnsi="Arial" w:cs="Arial"/>
        <w:color w:val="000000"/>
        <w:sz w:val="20"/>
        <w:szCs w:val="20"/>
      </w:rPr>
      <w:t xml:space="preserve">Crown Copyright </w:t>
    </w:r>
    <w:r>
      <w:rPr>
        <w:rFonts w:ascii="Arial" w:eastAsia="Arial" w:hAnsi="Arial" w:cs="Arial"/>
        <w:sz w:val="20"/>
        <w:szCs w:val="20"/>
      </w:rPr>
      <w:t>2022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E4F18" w14:textId="77777777" w:rsidR="009E4017" w:rsidRDefault="009E4017">
    <w:pPr>
      <w:tabs>
        <w:tab w:val="center" w:pos="4513"/>
        <w:tab w:val="right" w:pos="9026"/>
      </w:tabs>
      <w:spacing w:after="0" w:line="240" w:lineRule="auto"/>
      <w:jc w:val="both"/>
    </w:pPr>
  </w:p>
  <w:p w14:paraId="54ED2004" w14:textId="77777777" w:rsidR="009E4017" w:rsidRDefault="00F17C4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14:paraId="27F21132" w14:textId="77777777" w:rsidR="009E4017" w:rsidRDefault="00F17C4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C8A798B" w14:textId="77777777" w:rsidR="009E4017" w:rsidRDefault="00F17C41">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Model Version: v2.9</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BAFF9" w14:textId="77777777" w:rsidR="00F36038" w:rsidRDefault="00F36038">
      <w:pPr>
        <w:spacing w:after="0" w:line="240" w:lineRule="auto"/>
      </w:pPr>
      <w:r>
        <w:separator/>
      </w:r>
    </w:p>
  </w:footnote>
  <w:footnote w:type="continuationSeparator" w:id="0">
    <w:p w14:paraId="1808D5E5" w14:textId="77777777" w:rsidR="00F36038" w:rsidRDefault="00F36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FE29" w14:textId="77777777" w:rsidR="009E4017" w:rsidRDefault="009E4017">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04E8" w14:textId="77777777" w:rsidR="009E4017" w:rsidRDefault="00DC0B1F" w:rsidP="00DC0B1F">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OFFICIAL SENSITIVE</w:t>
    </w:r>
  </w:p>
  <w:p w14:paraId="33691771" w14:textId="77777777" w:rsidR="009E4017" w:rsidRDefault="009E4017">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2EE1" w14:textId="77777777" w:rsidR="009E4017" w:rsidRDefault="009E4017">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20C72"/>
    <w:multiLevelType w:val="multilevel"/>
    <w:tmpl w:val="6BDC3E50"/>
    <w:lvl w:ilvl="0">
      <w:start w:val="1"/>
      <w:numFmt w:val="decimal"/>
      <w:pStyle w:val="GPsDefinition"/>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EAB05DB"/>
    <w:multiLevelType w:val="multilevel"/>
    <w:tmpl w:val="BF188A78"/>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859757A"/>
    <w:multiLevelType w:val="multilevel"/>
    <w:tmpl w:val="4A10CDF8"/>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1FB493A"/>
    <w:multiLevelType w:val="multilevel"/>
    <w:tmpl w:val="DB34170E"/>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D691885"/>
    <w:multiLevelType w:val="multilevel"/>
    <w:tmpl w:val="9C7E03DC"/>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17"/>
    <w:rsid w:val="000F3F5C"/>
    <w:rsid w:val="000F6EE6"/>
    <w:rsid w:val="00283D07"/>
    <w:rsid w:val="00320C2D"/>
    <w:rsid w:val="00355993"/>
    <w:rsid w:val="004F32DC"/>
    <w:rsid w:val="0057595C"/>
    <w:rsid w:val="009E4017"/>
    <w:rsid w:val="00A340AA"/>
    <w:rsid w:val="00A52CE1"/>
    <w:rsid w:val="00AA0973"/>
    <w:rsid w:val="00C83397"/>
    <w:rsid w:val="00C859E8"/>
    <w:rsid w:val="00CF1A91"/>
    <w:rsid w:val="00DC0B1F"/>
    <w:rsid w:val="00F17C41"/>
    <w:rsid w:val="00F36038"/>
    <w:rsid w:val="00F45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940E"/>
  <w15:docId w15:val="{C94EEF72-A5DE-49CA-8DF2-FD4558A7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993600"/>
    <w:pPr>
      <w:spacing w:before="100" w:beforeAutospacing="1" w:after="100" w:afterAutospacing="1" w:line="240" w:lineRule="auto"/>
    </w:pPr>
    <w:rPr>
      <w:rFonts w:ascii="Times New Roman" w:eastAsia="Times New Roman" w:hAnsi="Times New Roman"/>
      <w:sz w:val="24"/>
      <w:szCs w:val="24"/>
    </w:rPr>
  </w:style>
  <w:style w:type="table" w:customStyle="1" w:styleId="afb">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c">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d">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e">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f">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92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gZbI0t0Nhu/FDzE+l1NlI4v1bg==">AMUW2mXPdnYwoOf+m7r46t0v258bgILcWKNi77byf0f6f/8KycQWna4ORjkVm7RDtWXHwird2EaS5BxPRQdUAP8UYyCSfyA9CONFpfRvNyHEfaxp1ykphciBN4oRBstbOwZJHCCTNGIoBnZsdXlCB0K56cKACTAZE8r2PiZ2NVaYNujuged9efIIhm9tYf5WTXLRwc87Az+cqx+qAqY1XaoRtB7mw3JhgXjY4j35EMOml92r/Nv+9o7+FmcIYLdPNT8sjvN3hBH4Wo5AG4+zPfkycHSHKOPN7itDULUta7W+IeCEn1LXdD9+upp/XVqdlPR5E7uOd7zVpvSMy/gJ09yQVzsN6Nm/+JlMsFKy8+Oq9WyOi2UCKrP8GXXpA4Yv3Wv7QS8mvOPAtyXnJht8qXOAun/FkOKyb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00327F-FE77-4217-BED3-E1F83016C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62CAC-17A2-49F9-838E-B28A39998F1B}">
  <ds:schemaRefs>
    <ds:schemaRef ds:uri="http://schemas.microsoft.com/sharepoint/v3/contenttype/forms"/>
  </ds:schemaRefs>
</ds:datastoreItem>
</file>

<file path=customXml/itemProps4.xml><?xml version="1.0" encoding="utf-8"?>
<ds:datastoreItem xmlns:ds="http://schemas.openxmlformats.org/officeDocument/2006/customXml" ds:itemID="{0E1CF85E-21D1-487E-80F9-883316D7EB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Stuart Wilson</cp:lastModifiedBy>
  <cp:revision>2</cp:revision>
  <dcterms:created xsi:type="dcterms:W3CDTF">2024-06-10T13:08:00Z</dcterms:created>
  <dcterms:modified xsi:type="dcterms:W3CDTF">2024-06-10T13:08:00Z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0x0101008324F918D5154B40ADCFADD50BD2479E</vt:lpwstr>
  </property>
</Properties>
</file>