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6" w:rsidRDefault="006372E6" w:rsidP="006372E6">
      <w:pPr>
        <w:jc w:val="center"/>
        <w:rPr>
          <w:rFonts w:cs="Arial"/>
          <w:b/>
          <w:szCs w:val="28"/>
        </w:rPr>
      </w:pPr>
      <w:bookmarkStart w:id="0" w:name="_GoBack"/>
      <w:bookmarkEnd w:id="0"/>
      <w:r>
        <w:rPr>
          <w:rFonts w:cs="Arial"/>
          <w:b/>
          <w:szCs w:val="28"/>
        </w:rPr>
        <w:t>THE ROYAL BOROUGH OF KENSINGTON AND CHELSEA</w:t>
      </w:r>
    </w:p>
    <w:p w:rsidR="006372E6" w:rsidRDefault="006372E6" w:rsidP="006372E6">
      <w:pPr>
        <w:jc w:val="center"/>
        <w:rPr>
          <w:rFonts w:cs="Arial"/>
          <w:b/>
          <w:szCs w:val="28"/>
        </w:rPr>
      </w:pPr>
    </w:p>
    <w:p w:rsidR="006372E6" w:rsidRDefault="006372E6" w:rsidP="006372E6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PROVISION OF</w:t>
      </w:r>
      <w:r w:rsidR="00156534">
        <w:rPr>
          <w:rFonts w:cs="Arial"/>
          <w:b/>
          <w:szCs w:val="28"/>
        </w:rPr>
        <w:t xml:space="preserve"> MINDFULNESS </w:t>
      </w:r>
      <w:r>
        <w:rPr>
          <w:rFonts w:cs="Arial"/>
          <w:b/>
          <w:szCs w:val="28"/>
        </w:rPr>
        <w:t xml:space="preserve">TRAINING </w:t>
      </w:r>
      <w:r w:rsidR="00156534">
        <w:rPr>
          <w:rFonts w:cs="Arial"/>
          <w:b/>
          <w:szCs w:val="28"/>
        </w:rPr>
        <w:t>PROGRAMME</w:t>
      </w:r>
    </w:p>
    <w:p w:rsidR="00156534" w:rsidRDefault="00156534" w:rsidP="006372E6">
      <w:pPr>
        <w:jc w:val="center"/>
        <w:rPr>
          <w:rFonts w:cs="Arial"/>
          <w:b/>
          <w:szCs w:val="28"/>
        </w:rPr>
      </w:pPr>
    </w:p>
    <w:p w:rsidR="006372E6" w:rsidRDefault="009A04F2" w:rsidP="006372E6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APPENDIX 1</w:t>
      </w:r>
      <w:r w:rsidR="00344C48">
        <w:rPr>
          <w:rFonts w:cs="Arial"/>
          <w:b/>
          <w:szCs w:val="28"/>
        </w:rPr>
        <w:t xml:space="preserve"> - </w:t>
      </w:r>
      <w:r w:rsidR="006372E6">
        <w:rPr>
          <w:rFonts w:cs="Arial"/>
          <w:b/>
          <w:szCs w:val="28"/>
        </w:rPr>
        <w:t>SERVICE SPECIFICATION</w:t>
      </w:r>
    </w:p>
    <w:p w:rsidR="00D255C2" w:rsidRPr="006372E6" w:rsidRDefault="00D52DA5" w:rsidP="006372E6">
      <w:pPr>
        <w:rPr>
          <w:rFonts w:cs="Arial"/>
          <w:b/>
          <w:sz w:val="28"/>
          <w:szCs w:val="28"/>
        </w:rPr>
      </w:pPr>
      <w:r w:rsidRPr="006372E6">
        <w:rPr>
          <w:rFonts w:cs="Arial"/>
          <w:b/>
          <w:sz w:val="28"/>
          <w:szCs w:val="28"/>
        </w:rPr>
        <w:t>Introduction</w:t>
      </w:r>
    </w:p>
    <w:p w:rsidR="00D255C2" w:rsidRDefault="00D255C2" w:rsidP="00D255C2">
      <w:pPr>
        <w:pStyle w:val="ListParagraph"/>
        <w:ind w:left="360"/>
        <w:rPr>
          <w:rFonts w:cs="Arial"/>
          <w:b/>
          <w:sz w:val="28"/>
          <w:szCs w:val="28"/>
        </w:rPr>
      </w:pPr>
    </w:p>
    <w:p w:rsidR="006458E1" w:rsidRPr="00136420" w:rsidRDefault="006458E1" w:rsidP="00136420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136420">
        <w:rPr>
          <w:rFonts w:cs="Arial"/>
          <w:szCs w:val="24"/>
        </w:rPr>
        <w:t>The Royal Borough of Kensington and Chelsea (RBKC) and the London Boroughs of Hammersmith and Fulham (LBHF) operates a shared service for Human Resources that delivers learning and development for both</w:t>
      </w:r>
      <w:r w:rsidR="006372E6" w:rsidRPr="00136420">
        <w:rPr>
          <w:rFonts w:cs="Arial"/>
          <w:szCs w:val="24"/>
        </w:rPr>
        <w:t xml:space="preserve">. Some services are also shared with Westminster City Council (WCC) whose employees have access to certain courses. </w:t>
      </w:r>
      <w:r w:rsidRPr="00136420">
        <w:rPr>
          <w:rFonts w:cs="Arial"/>
          <w:szCs w:val="24"/>
        </w:rPr>
        <w:t xml:space="preserve"> </w:t>
      </w:r>
    </w:p>
    <w:p w:rsidR="006372E6" w:rsidRPr="006372E6" w:rsidRDefault="006372E6" w:rsidP="006372E6">
      <w:pPr>
        <w:pStyle w:val="ListParagraph"/>
        <w:ind w:left="825"/>
        <w:rPr>
          <w:rFonts w:cs="Arial"/>
          <w:szCs w:val="24"/>
        </w:rPr>
      </w:pPr>
    </w:p>
    <w:p w:rsidR="006458E1" w:rsidRDefault="006458E1" w:rsidP="006458E1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C076EC">
        <w:rPr>
          <w:rFonts w:cs="Arial"/>
          <w:szCs w:val="24"/>
        </w:rPr>
        <w:t xml:space="preserve">There are 4,900 employees across RBKC and LBHF and </w:t>
      </w:r>
      <w:r>
        <w:rPr>
          <w:rFonts w:cs="Arial"/>
          <w:szCs w:val="24"/>
        </w:rPr>
        <w:t xml:space="preserve">WCC employs 2,780 bringing the total potential training cohort to 7,600. </w:t>
      </w:r>
    </w:p>
    <w:p w:rsidR="006372E6" w:rsidRPr="006372E6" w:rsidRDefault="006372E6" w:rsidP="006372E6">
      <w:pPr>
        <w:pStyle w:val="ListParagraph"/>
        <w:rPr>
          <w:rFonts w:cs="Arial"/>
          <w:szCs w:val="24"/>
        </w:rPr>
      </w:pPr>
    </w:p>
    <w:p w:rsidR="006372E6" w:rsidRPr="004C4A26" w:rsidRDefault="006372E6" w:rsidP="006372E6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C076EC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Councils’</w:t>
      </w:r>
      <w:r w:rsidRPr="00C076EC">
        <w:rPr>
          <w:rFonts w:cs="Arial"/>
          <w:szCs w:val="24"/>
        </w:rPr>
        <w:t xml:space="preserve"> offer a wide range of services</w:t>
      </w:r>
      <w:r>
        <w:rPr>
          <w:rFonts w:cs="Arial"/>
          <w:szCs w:val="24"/>
        </w:rPr>
        <w:t xml:space="preserve"> that include adult, children, environment and </w:t>
      </w:r>
      <w:r w:rsidRPr="00C076EC">
        <w:rPr>
          <w:rFonts w:cs="Arial"/>
          <w:szCs w:val="24"/>
        </w:rPr>
        <w:t>planning</w:t>
      </w:r>
      <w:r w:rsidRPr="0094281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services. Services can be delivered independently or </w:t>
      </w:r>
      <w:r w:rsidR="00156534">
        <w:rPr>
          <w:rFonts w:cs="Arial"/>
          <w:szCs w:val="24"/>
        </w:rPr>
        <w:t xml:space="preserve">as shared services across two or three </w:t>
      </w:r>
      <w:r>
        <w:rPr>
          <w:rFonts w:cs="Arial"/>
          <w:szCs w:val="24"/>
        </w:rPr>
        <w:t>Borough partnerships.</w:t>
      </w:r>
      <w:r w:rsidRPr="00C076EC">
        <w:rPr>
          <w:rFonts w:cs="Arial"/>
          <w:szCs w:val="24"/>
        </w:rPr>
        <w:t xml:space="preserve"> The three boroughs work closely together to provide high quality services to local residents</w:t>
      </w:r>
    </w:p>
    <w:p w:rsidR="006372E6" w:rsidRPr="00C076EC" w:rsidRDefault="006372E6" w:rsidP="006372E6">
      <w:pPr>
        <w:pStyle w:val="ListParagraph"/>
        <w:ind w:left="749"/>
        <w:rPr>
          <w:rFonts w:cs="Arial"/>
          <w:szCs w:val="24"/>
        </w:rPr>
      </w:pPr>
    </w:p>
    <w:p w:rsidR="006372E6" w:rsidRDefault="006372E6" w:rsidP="00156534">
      <w:pPr>
        <w:pStyle w:val="ListParagraph"/>
        <w:numPr>
          <w:ilvl w:val="1"/>
          <w:numId w:val="15"/>
        </w:numPr>
        <w:rPr>
          <w:rFonts w:cs="Arial"/>
          <w:b/>
          <w:szCs w:val="24"/>
        </w:rPr>
      </w:pPr>
      <w:r>
        <w:rPr>
          <w:rFonts w:cs="Arial"/>
          <w:szCs w:val="24"/>
        </w:rPr>
        <w:t>RBKC</w:t>
      </w:r>
      <w:r w:rsidR="00294DD3" w:rsidRPr="004179C5">
        <w:rPr>
          <w:rFonts w:cs="Arial"/>
          <w:szCs w:val="24"/>
        </w:rPr>
        <w:t xml:space="preserve"> wishes to commission a number of </w:t>
      </w:r>
      <w:r w:rsidR="00156534" w:rsidRPr="00156534">
        <w:rPr>
          <w:rFonts w:cs="Arial"/>
          <w:b/>
          <w:szCs w:val="24"/>
        </w:rPr>
        <w:t>Mindfulness</w:t>
      </w:r>
      <w:r w:rsidR="00294DD3" w:rsidRPr="006372E6">
        <w:rPr>
          <w:rFonts w:cs="Arial"/>
          <w:b/>
          <w:szCs w:val="24"/>
        </w:rPr>
        <w:t xml:space="preserve"> </w:t>
      </w:r>
      <w:r w:rsidR="00336842">
        <w:rPr>
          <w:rFonts w:cs="Arial"/>
          <w:b/>
          <w:szCs w:val="24"/>
        </w:rPr>
        <w:t>T</w:t>
      </w:r>
      <w:r w:rsidRPr="006372E6">
        <w:rPr>
          <w:rFonts w:cs="Arial"/>
          <w:b/>
          <w:szCs w:val="24"/>
        </w:rPr>
        <w:t xml:space="preserve">raining </w:t>
      </w:r>
      <w:r w:rsidR="00156534">
        <w:rPr>
          <w:rFonts w:cs="Arial"/>
          <w:b/>
          <w:szCs w:val="24"/>
        </w:rPr>
        <w:t>programmes</w:t>
      </w:r>
      <w:r w:rsidR="006458E1">
        <w:rPr>
          <w:rFonts w:cs="Arial"/>
          <w:szCs w:val="24"/>
        </w:rPr>
        <w:t xml:space="preserve">. </w:t>
      </w:r>
      <w:r w:rsidR="00156534">
        <w:rPr>
          <w:rFonts w:cs="Arial"/>
          <w:szCs w:val="24"/>
        </w:rPr>
        <w:t>The programme n</w:t>
      </w:r>
      <w:r>
        <w:rPr>
          <w:rFonts w:cs="Arial"/>
          <w:szCs w:val="24"/>
        </w:rPr>
        <w:t>eed</w:t>
      </w:r>
      <w:r w:rsidR="00156534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to be designed to develop skills and behavioural change. </w:t>
      </w:r>
    </w:p>
    <w:p w:rsidR="006458E1" w:rsidRPr="006458E1" w:rsidRDefault="006458E1" w:rsidP="006458E1">
      <w:pPr>
        <w:pStyle w:val="ListParagraph"/>
        <w:ind w:left="890"/>
        <w:rPr>
          <w:rFonts w:cs="Arial"/>
          <w:szCs w:val="24"/>
        </w:rPr>
      </w:pPr>
    </w:p>
    <w:p w:rsidR="00294DD3" w:rsidRPr="00F77FB2" w:rsidRDefault="006458E1" w:rsidP="005E4F68">
      <w:pPr>
        <w:pStyle w:val="ListParagraph"/>
        <w:numPr>
          <w:ilvl w:val="1"/>
          <w:numId w:val="15"/>
        </w:numPr>
        <w:ind w:left="607"/>
        <w:rPr>
          <w:rFonts w:cs="Arial"/>
          <w:szCs w:val="24"/>
        </w:rPr>
      </w:pPr>
      <w:r w:rsidRPr="00F77FB2">
        <w:rPr>
          <w:rFonts w:cs="Arial"/>
          <w:szCs w:val="24"/>
        </w:rPr>
        <w:t>E</w:t>
      </w:r>
      <w:r w:rsidR="00156534" w:rsidRPr="00F77FB2">
        <w:rPr>
          <w:rFonts w:cs="Arial"/>
          <w:szCs w:val="24"/>
        </w:rPr>
        <w:t xml:space="preserve">ach face to face programme </w:t>
      </w:r>
      <w:r w:rsidR="004179C5" w:rsidRPr="00F77FB2">
        <w:rPr>
          <w:rFonts w:cs="Arial"/>
          <w:szCs w:val="24"/>
        </w:rPr>
        <w:t xml:space="preserve">will </w:t>
      </w:r>
      <w:r w:rsidR="0039496B" w:rsidRPr="00F77FB2">
        <w:rPr>
          <w:rFonts w:cs="Arial"/>
          <w:szCs w:val="24"/>
        </w:rPr>
        <w:t>b</w:t>
      </w:r>
      <w:r w:rsidR="004179C5" w:rsidRPr="00F77FB2">
        <w:rPr>
          <w:rFonts w:cs="Arial"/>
          <w:szCs w:val="24"/>
        </w:rPr>
        <w:t xml:space="preserve">e </w:t>
      </w:r>
      <w:r w:rsidR="00156534" w:rsidRPr="00F77FB2">
        <w:rPr>
          <w:rFonts w:cs="Arial"/>
          <w:szCs w:val="24"/>
        </w:rPr>
        <w:t>run over a period of time and to develop the skills</w:t>
      </w:r>
      <w:r w:rsidR="0039496B" w:rsidRPr="00F77FB2">
        <w:rPr>
          <w:rFonts w:cs="Arial"/>
          <w:szCs w:val="24"/>
        </w:rPr>
        <w:t xml:space="preserve"> and confidence to practice mindfulness techniques as part of their behavioural toolkit. This is likely to be </w:t>
      </w:r>
      <w:r w:rsidR="00156534" w:rsidRPr="00F77FB2">
        <w:rPr>
          <w:rFonts w:cs="Arial"/>
          <w:szCs w:val="24"/>
        </w:rPr>
        <w:t xml:space="preserve">4 x </w:t>
      </w:r>
      <w:r w:rsidR="0039496B" w:rsidRPr="00F77FB2">
        <w:rPr>
          <w:rFonts w:cs="Arial"/>
          <w:szCs w:val="24"/>
        </w:rPr>
        <w:t>2.5 hour sessions;</w:t>
      </w:r>
      <w:r w:rsidR="004179C5" w:rsidRPr="00F77FB2">
        <w:rPr>
          <w:rFonts w:cs="Arial"/>
          <w:szCs w:val="24"/>
        </w:rPr>
        <w:t xml:space="preserve"> </w:t>
      </w:r>
      <w:r w:rsidR="00156534" w:rsidRPr="00F77FB2">
        <w:rPr>
          <w:rFonts w:cs="Arial"/>
          <w:szCs w:val="24"/>
        </w:rPr>
        <w:t>we expect to run 4</w:t>
      </w:r>
      <w:r w:rsidR="004179C5" w:rsidRPr="00F77FB2">
        <w:rPr>
          <w:rFonts w:cs="Arial"/>
          <w:szCs w:val="24"/>
        </w:rPr>
        <w:t xml:space="preserve"> courses </w:t>
      </w:r>
      <w:r w:rsidR="00156534" w:rsidRPr="00F77FB2">
        <w:rPr>
          <w:rFonts w:cs="Arial"/>
          <w:szCs w:val="24"/>
        </w:rPr>
        <w:t xml:space="preserve">over a period of a </w:t>
      </w:r>
      <w:r w:rsidR="004179C5" w:rsidRPr="00F77FB2">
        <w:rPr>
          <w:rFonts w:cs="Arial"/>
          <w:szCs w:val="24"/>
        </w:rPr>
        <w:t xml:space="preserve">year.  </w:t>
      </w:r>
      <w:r w:rsidR="00FB3E8F" w:rsidRPr="00F77FB2">
        <w:rPr>
          <w:rFonts w:cs="Arial"/>
          <w:szCs w:val="24"/>
        </w:rPr>
        <w:t xml:space="preserve">The contract will be offered as a </w:t>
      </w:r>
      <w:r w:rsidR="00156534" w:rsidRPr="00F77FB2">
        <w:rPr>
          <w:rFonts w:cs="Arial"/>
          <w:szCs w:val="24"/>
        </w:rPr>
        <w:t>12-month</w:t>
      </w:r>
      <w:r w:rsidR="00FB3E8F" w:rsidRPr="00F77FB2">
        <w:rPr>
          <w:rFonts w:cs="Arial"/>
          <w:szCs w:val="24"/>
        </w:rPr>
        <w:t xml:space="preserve"> contract and with </w:t>
      </w:r>
      <w:r w:rsidR="00FB3E8F" w:rsidRPr="00F77FB2">
        <w:t xml:space="preserve">absolute discretion the Council may, following a </w:t>
      </w:r>
      <w:r w:rsidR="00D07F70" w:rsidRPr="00F77FB2">
        <w:t>review, extend</w:t>
      </w:r>
      <w:r w:rsidR="00FB3E8F" w:rsidRPr="00F77FB2">
        <w:t xml:space="preserve"> the contract by a period of up to 12 months and may do so again to make a maximum contract length of 36. </w:t>
      </w:r>
      <w:r w:rsidR="004179C5" w:rsidRPr="00F77FB2">
        <w:rPr>
          <w:rFonts w:cs="Arial"/>
          <w:szCs w:val="24"/>
        </w:rPr>
        <w:t xml:space="preserve">This equates to a maximum of </w:t>
      </w:r>
      <w:r w:rsidR="0039496B" w:rsidRPr="00F77FB2">
        <w:rPr>
          <w:rFonts w:cs="Arial"/>
          <w:szCs w:val="24"/>
        </w:rPr>
        <w:t xml:space="preserve">48 half days or 24 full days </w:t>
      </w:r>
      <w:r w:rsidRPr="00F77FB2">
        <w:rPr>
          <w:rFonts w:cs="Arial"/>
          <w:szCs w:val="24"/>
        </w:rPr>
        <w:t>60</w:t>
      </w:r>
      <w:r w:rsidR="00BC4FBC" w:rsidRPr="00F77FB2">
        <w:rPr>
          <w:rFonts w:cs="Arial"/>
          <w:szCs w:val="24"/>
        </w:rPr>
        <w:t xml:space="preserve"> days over 36 months. </w:t>
      </w:r>
      <w:r w:rsidR="00E858C5" w:rsidRPr="00F77FB2">
        <w:rPr>
          <w:rFonts w:cs="Arial"/>
          <w:szCs w:val="24"/>
        </w:rPr>
        <w:t xml:space="preserve">The anticipated value for this contract is </w:t>
      </w:r>
      <w:r w:rsidR="0039496B" w:rsidRPr="00F77FB2">
        <w:rPr>
          <w:rFonts w:cs="Arial"/>
          <w:szCs w:val="24"/>
        </w:rPr>
        <w:t>£25,000</w:t>
      </w:r>
    </w:p>
    <w:p w:rsidR="00DD646A" w:rsidRPr="00DD646A" w:rsidRDefault="00DD646A" w:rsidP="00DD646A">
      <w:pPr>
        <w:pStyle w:val="ListParagraph"/>
        <w:ind w:left="749"/>
        <w:rPr>
          <w:rFonts w:cs="Arial"/>
          <w:szCs w:val="24"/>
        </w:rPr>
      </w:pPr>
    </w:p>
    <w:p w:rsidR="00A06888" w:rsidRDefault="00A06888" w:rsidP="00D971C8">
      <w:pPr>
        <w:pStyle w:val="ListParagraph"/>
        <w:numPr>
          <w:ilvl w:val="0"/>
          <w:numId w:val="15"/>
        </w:numPr>
        <w:rPr>
          <w:rFonts w:cs="Arial"/>
          <w:b/>
          <w:szCs w:val="24"/>
        </w:rPr>
      </w:pPr>
      <w:r w:rsidRPr="00F97F33">
        <w:rPr>
          <w:rFonts w:cs="Arial"/>
          <w:b/>
          <w:szCs w:val="24"/>
        </w:rPr>
        <w:t>Scope and method of the training</w:t>
      </w:r>
    </w:p>
    <w:p w:rsidR="00462A98" w:rsidRDefault="00462A98" w:rsidP="00462A98">
      <w:pPr>
        <w:pStyle w:val="ListParagraph"/>
        <w:ind w:left="502"/>
        <w:rPr>
          <w:rFonts w:cs="Arial"/>
          <w:b/>
          <w:szCs w:val="24"/>
        </w:rPr>
      </w:pPr>
    </w:p>
    <w:p w:rsidR="006372E6" w:rsidRPr="0039496B" w:rsidRDefault="0039496B" w:rsidP="0039496B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39496B">
        <w:rPr>
          <w:rFonts w:cs="Arial"/>
          <w:szCs w:val="24"/>
        </w:rPr>
        <w:lastRenderedPageBreak/>
        <w:t xml:space="preserve">Mindfulness </w:t>
      </w:r>
      <w:r w:rsidR="006372E6" w:rsidRPr="0039496B">
        <w:rPr>
          <w:rFonts w:cs="Arial"/>
          <w:szCs w:val="24"/>
        </w:rPr>
        <w:t xml:space="preserve">training </w:t>
      </w:r>
      <w:r w:rsidR="00462A98" w:rsidRPr="0039496B">
        <w:rPr>
          <w:rFonts w:cs="Arial"/>
          <w:szCs w:val="24"/>
        </w:rPr>
        <w:t>needs to be highly interactive</w:t>
      </w:r>
      <w:r w:rsidR="006372E6" w:rsidRPr="0039496B">
        <w:rPr>
          <w:rFonts w:cs="Arial"/>
          <w:szCs w:val="24"/>
        </w:rPr>
        <w:t xml:space="preserve"> and </w:t>
      </w:r>
      <w:r w:rsidRPr="0039496B">
        <w:rPr>
          <w:rFonts w:cs="Arial"/>
          <w:szCs w:val="24"/>
        </w:rPr>
        <w:t xml:space="preserve">self-exploratory. </w:t>
      </w:r>
      <w:r w:rsidR="006372E6" w:rsidRPr="0039496B">
        <w:rPr>
          <w:rFonts w:cs="Arial"/>
          <w:szCs w:val="24"/>
        </w:rPr>
        <w:t xml:space="preserve"> </w:t>
      </w:r>
      <w:r w:rsidRPr="0039496B">
        <w:rPr>
          <w:rFonts w:cs="Arial"/>
          <w:szCs w:val="24"/>
        </w:rPr>
        <w:t>Aimed and developing</w:t>
      </w:r>
      <w:r w:rsidR="00F77FB2">
        <w:rPr>
          <w:rFonts w:cs="Arial"/>
          <w:szCs w:val="24"/>
        </w:rPr>
        <w:t xml:space="preserve"> personal insights, </w:t>
      </w:r>
      <w:r w:rsidRPr="0039496B">
        <w:rPr>
          <w:rFonts w:cs="Arial"/>
          <w:szCs w:val="24"/>
        </w:rPr>
        <w:t xml:space="preserve">skills, knowledge and behaviours to enable this technique to become familiar </w:t>
      </w:r>
      <w:r w:rsidR="00ED53BE">
        <w:rPr>
          <w:rFonts w:cs="Arial"/>
          <w:szCs w:val="24"/>
        </w:rPr>
        <w:t xml:space="preserve">and in regular use by the </w:t>
      </w:r>
      <w:r w:rsidRPr="0039496B">
        <w:rPr>
          <w:rFonts w:cs="Arial"/>
          <w:szCs w:val="24"/>
        </w:rPr>
        <w:t xml:space="preserve">individual. </w:t>
      </w:r>
    </w:p>
    <w:p w:rsidR="0039496B" w:rsidRPr="0039496B" w:rsidRDefault="0039496B" w:rsidP="0039496B">
      <w:pPr>
        <w:pStyle w:val="ListParagraph"/>
        <w:ind w:left="890"/>
        <w:rPr>
          <w:rFonts w:cs="Arial"/>
          <w:szCs w:val="24"/>
        </w:rPr>
      </w:pPr>
    </w:p>
    <w:p w:rsidR="00A06888" w:rsidRPr="004F34CC" w:rsidRDefault="00F77FB2" w:rsidP="00D971C8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Should </w:t>
      </w:r>
      <w:r w:rsidR="00A06888">
        <w:rPr>
          <w:rFonts w:cs="Arial"/>
          <w:szCs w:val="24"/>
        </w:rPr>
        <w:t xml:space="preserve">provide the opportunity to work with live examples from participants own experience </w:t>
      </w:r>
    </w:p>
    <w:p w:rsidR="00A06888" w:rsidRPr="00FF1100" w:rsidRDefault="00A06888" w:rsidP="00A06888">
      <w:pPr>
        <w:pStyle w:val="ListParagraph"/>
        <w:ind w:left="644"/>
        <w:rPr>
          <w:rFonts w:cs="Arial"/>
          <w:b/>
          <w:szCs w:val="24"/>
        </w:rPr>
      </w:pPr>
    </w:p>
    <w:p w:rsidR="00A06888" w:rsidRPr="007604C3" w:rsidRDefault="00A06888" w:rsidP="00D971C8">
      <w:pPr>
        <w:pStyle w:val="ListParagraph"/>
        <w:numPr>
          <w:ilvl w:val="1"/>
          <w:numId w:val="15"/>
        </w:numPr>
        <w:rPr>
          <w:rFonts w:cs="Arial"/>
          <w:b/>
          <w:szCs w:val="24"/>
        </w:rPr>
      </w:pPr>
      <w:r w:rsidRPr="004F34CC">
        <w:rPr>
          <w:rFonts w:cs="Arial"/>
          <w:szCs w:val="24"/>
        </w:rPr>
        <w:t>The chosen provider will be use a variety of training methods and techniques to engage the particular audience of each course taking into consideration learning styles and current experience.</w:t>
      </w:r>
    </w:p>
    <w:p w:rsidR="00A06888" w:rsidRPr="007604C3" w:rsidRDefault="00A06888" w:rsidP="00A06888">
      <w:pPr>
        <w:pStyle w:val="ListParagraph"/>
        <w:rPr>
          <w:rFonts w:cs="Arial"/>
          <w:b/>
          <w:szCs w:val="24"/>
        </w:rPr>
      </w:pPr>
    </w:p>
    <w:p w:rsidR="00A06888" w:rsidRDefault="00F77FB2" w:rsidP="00D971C8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The provider is expected to work to an ethical framework and ensure that the mental safety of the individual is observed and any issues reported or referred appropriately.</w:t>
      </w:r>
    </w:p>
    <w:p w:rsidR="00F77FB2" w:rsidRPr="00F77FB2" w:rsidRDefault="00F77FB2" w:rsidP="00F77FB2">
      <w:pPr>
        <w:pStyle w:val="ListParagraph"/>
        <w:rPr>
          <w:rFonts w:cs="Arial"/>
          <w:szCs w:val="24"/>
        </w:rPr>
      </w:pPr>
    </w:p>
    <w:p w:rsidR="00A06888" w:rsidRDefault="00F77FB2" w:rsidP="00037A44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F77FB2">
        <w:rPr>
          <w:rFonts w:cs="Arial"/>
          <w:szCs w:val="24"/>
        </w:rPr>
        <w:t>Mindfulness in a holistic skills and behaviour, however we would like the provider to explore with the group application to workplace situations.</w:t>
      </w:r>
    </w:p>
    <w:p w:rsidR="00F77FB2" w:rsidRPr="00F77FB2" w:rsidRDefault="00F77FB2" w:rsidP="00F77FB2">
      <w:pPr>
        <w:pStyle w:val="ListParagraph"/>
        <w:rPr>
          <w:rFonts w:cs="Arial"/>
          <w:szCs w:val="24"/>
        </w:rPr>
      </w:pPr>
    </w:p>
    <w:p w:rsidR="00A06888" w:rsidRPr="00D971C8" w:rsidRDefault="00A06888" w:rsidP="00D971C8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D971C8">
        <w:rPr>
          <w:rFonts w:cs="Arial"/>
          <w:szCs w:val="24"/>
        </w:rPr>
        <w:t>A briefing will take place where the content of the training and the shape of the programme will be agreed between R</w:t>
      </w:r>
      <w:r w:rsidR="00D738FB">
        <w:rPr>
          <w:rFonts w:cs="Arial"/>
          <w:szCs w:val="24"/>
        </w:rPr>
        <w:t>BKC</w:t>
      </w:r>
      <w:r w:rsidRPr="00D971C8">
        <w:rPr>
          <w:rFonts w:cs="Arial"/>
          <w:szCs w:val="24"/>
        </w:rPr>
        <w:t xml:space="preserve"> and the provider at the beginning at the contract. Quarterly review meetings will take place to ensure that the programme is up-to-date and relevant. There may also on occasions be a need to design courses for specific service groups.</w:t>
      </w:r>
    </w:p>
    <w:p w:rsidR="00A06888" w:rsidRPr="00B11915" w:rsidRDefault="00A06888" w:rsidP="00A06888">
      <w:pPr>
        <w:pStyle w:val="ListParagraph"/>
        <w:rPr>
          <w:rFonts w:cs="Arial"/>
          <w:szCs w:val="24"/>
        </w:rPr>
      </w:pPr>
    </w:p>
    <w:p w:rsidR="00A06888" w:rsidRPr="00D971C8" w:rsidRDefault="00A06888" w:rsidP="00D971C8">
      <w:pPr>
        <w:pStyle w:val="ListParagraph"/>
        <w:numPr>
          <w:ilvl w:val="1"/>
          <w:numId w:val="15"/>
        </w:numPr>
        <w:rPr>
          <w:rFonts w:cs="Arial"/>
          <w:b/>
          <w:szCs w:val="24"/>
        </w:rPr>
      </w:pPr>
      <w:r w:rsidRPr="004F34CC">
        <w:rPr>
          <w:rFonts w:cs="Arial"/>
          <w:szCs w:val="24"/>
        </w:rPr>
        <w:t xml:space="preserve">The booking of events will be co-ordinated by the </w:t>
      </w:r>
      <w:r w:rsidR="00D738FB">
        <w:rPr>
          <w:rFonts w:cs="Arial"/>
          <w:szCs w:val="24"/>
        </w:rPr>
        <w:t>BBL team.</w:t>
      </w:r>
    </w:p>
    <w:p w:rsidR="00D971C8" w:rsidRPr="00D971C8" w:rsidRDefault="00D971C8" w:rsidP="00D971C8">
      <w:pPr>
        <w:pStyle w:val="ListParagraph"/>
        <w:rPr>
          <w:rFonts w:cs="Arial"/>
          <w:b/>
          <w:szCs w:val="24"/>
        </w:rPr>
      </w:pPr>
    </w:p>
    <w:p w:rsidR="00D971C8" w:rsidRDefault="00D971C8" w:rsidP="00D971C8">
      <w:pPr>
        <w:pStyle w:val="ListParagraph"/>
        <w:numPr>
          <w:ilvl w:val="0"/>
          <w:numId w:val="15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Programme Frequency </w:t>
      </w:r>
    </w:p>
    <w:p w:rsidR="00462A98" w:rsidRDefault="00462A98" w:rsidP="00462A98">
      <w:pPr>
        <w:pStyle w:val="ListParagraph"/>
        <w:ind w:left="502"/>
        <w:rPr>
          <w:rFonts w:cs="Arial"/>
          <w:b/>
          <w:szCs w:val="24"/>
        </w:rPr>
      </w:pPr>
    </w:p>
    <w:p w:rsidR="00136420" w:rsidRDefault="00D971C8" w:rsidP="00D971C8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1666AB">
        <w:rPr>
          <w:rFonts w:cs="Arial"/>
          <w:szCs w:val="24"/>
        </w:rPr>
        <w:t xml:space="preserve">All programmes will run based on demand and subject to financial constraints. An indication of the number of events </w:t>
      </w:r>
      <w:r>
        <w:rPr>
          <w:rFonts w:cs="Arial"/>
          <w:szCs w:val="24"/>
        </w:rPr>
        <w:t>required is given in paragraph</w:t>
      </w:r>
      <w:r w:rsidR="0042173E">
        <w:rPr>
          <w:rFonts w:cs="Arial"/>
          <w:szCs w:val="24"/>
        </w:rPr>
        <w:t xml:space="preserve"> 1.</w:t>
      </w:r>
      <w:r w:rsidR="00ED53BE"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</w:p>
    <w:p w:rsidR="00136420" w:rsidRDefault="00136420" w:rsidP="00136420">
      <w:pPr>
        <w:pStyle w:val="ListParagraph"/>
        <w:ind w:left="607"/>
        <w:rPr>
          <w:rFonts w:cs="Arial"/>
          <w:szCs w:val="24"/>
        </w:rPr>
      </w:pPr>
    </w:p>
    <w:p w:rsidR="00136420" w:rsidRPr="00BC4FBC" w:rsidRDefault="00D971C8" w:rsidP="004169C6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 w:rsidRPr="00BC4FBC">
        <w:rPr>
          <w:rFonts w:cs="Arial"/>
          <w:szCs w:val="24"/>
        </w:rPr>
        <w:t xml:space="preserve"> </w:t>
      </w:r>
      <w:r w:rsidR="00BC4FBC">
        <w:t>At its absolute discretion the Council may, following a review, extend the contract for a further period of up to 12 months and may do so again to make a maximum contract length of 36 months,</w:t>
      </w:r>
    </w:p>
    <w:p w:rsidR="00BC4FBC" w:rsidRPr="00BC4FBC" w:rsidRDefault="00BC4FBC" w:rsidP="00BC4FBC">
      <w:pPr>
        <w:pStyle w:val="ListParagraph"/>
        <w:rPr>
          <w:rFonts w:cs="Arial"/>
          <w:szCs w:val="24"/>
        </w:rPr>
      </w:pPr>
    </w:p>
    <w:p w:rsidR="00A06888" w:rsidRPr="00136420" w:rsidRDefault="00D971C8" w:rsidP="00136420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t xml:space="preserve">We expect there to be a maximum of </w:t>
      </w:r>
      <w:r w:rsidR="00ED53BE">
        <w:t>18</w:t>
      </w:r>
      <w:r>
        <w:t xml:space="preserve"> attendees per workshop and we would work with the chosen provider to ensure the schedule allows the subject matter covered to be delivered by one trainer</w:t>
      </w:r>
      <w:r w:rsidR="006458E1">
        <w:t>.</w:t>
      </w:r>
    </w:p>
    <w:p w:rsidR="00A06888" w:rsidRDefault="00A06888" w:rsidP="00A06888">
      <w:pPr>
        <w:spacing w:after="0" w:line="240" w:lineRule="auto"/>
        <w:rPr>
          <w:rFonts w:cs="Arial"/>
          <w:b/>
          <w:szCs w:val="24"/>
        </w:rPr>
      </w:pPr>
    </w:p>
    <w:p w:rsidR="00A06888" w:rsidRPr="00136420" w:rsidRDefault="00A06888" w:rsidP="00136420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szCs w:val="24"/>
        </w:rPr>
      </w:pPr>
      <w:r w:rsidRPr="00136420">
        <w:rPr>
          <w:rFonts w:cs="Arial"/>
          <w:b/>
          <w:szCs w:val="24"/>
        </w:rPr>
        <w:t>Programme requirements</w:t>
      </w:r>
    </w:p>
    <w:p w:rsidR="00A06888" w:rsidRDefault="00A06888" w:rsidP="00A06888">
      <w:pPr>
        <w:spacing w:after="0" w:line="240" w:lineRule="auto"/>
        <w:rPr>
          <w:rFonts w:cs="Arial"/>
          <w:b/>
          <w:szCs w:val="24"/>
        </w:rPr>
      </w:pPr>
    </w:p>
    <w:p w:rsidR="00A06888" w:rsidRDefault="00A06888" w:rsidP="00136420">
      <w:pPr>
        <w:spacing w:after="0" w:line="240" w:lineRule="auto"/>
        <w:rPr>
          <w:rFonts w:cs="Arial"/>
          <w:szCs w:val="24"/>
        </w:rPr>
      </w:pPr>
      <w:r w:rsidRPr="00E23A48">
        <w:rPr>
          <w:rFonts w:cs="Arial"/>
          <w:szCs w:val="24"/>
        </w:rPr>
        <w:lastRenderedPageBreak/>
        <w:t>The successful provider will:</w:t>
      </w:r>
    </w:p>
    <w:p w:rsidR="00A06888" w:rsidRPr="00DB1691" w:rsidRDefault="00A06888" w:rsidP="00A06888">
      <w:pPr>
        <w:spacing w:after="0" w:line="240" w:lineRule="auto"/>
        <w:ind w:firstLine="360"/>
        <w:rPr>
          <w:rFonts w:cs="Arial"/>
          <w:b/>
          <w:szCs w:val="24"/>
        </w:rPr>
      </w:pPr>
    </w:p>
    <w:p w:rsidR="00A06888" w:rsidRDefault="00A06888" w:rsidP="00A06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Be responsible for promoting the online evaluation process following each event </w:t>
      </w:r>
    </w:p>
    <w:p w:rsidR="00A06888" w:rsidRDefault="00A06888" w:rsidP="00A06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Produce all materials including certificates for attendees</w:t>
      </w:r>
    </w:p>
    <w:p w:rsidR="00A06888" w:rsidRDefault="00A06888" w:rsidP="00A06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 w:rsidRPr="00B00E7D">
        <w:rPr>
          <w:rFonts w:cs="Arial"/>
          <w:color w:val="000000"/>
          <w:szCs w:val="24"/>
        </w:rPr>
        <w:t xml:space="preserve">Use training methods that are proven to </w:t>
      </w:r>
      <w:r>
        <w:rPr>
          <w:rFonts w:cs="Arial"/>
          <w:color w:val="000000"/>
          <w:szCs w:val="24"/>
        </w:rPr>
        <w:t xml:space="preserve">support and </w:t>
      </w:r>
      <w:r w:rsidRPr="00B00E7D">
        <w:rPr>
          <w:rFonts w:cs="Arial"/>
          <w:color w:val="000000"/>
          <w:szCs w:val="24"/>
        </w:rPr>
        <w:t>convey theory and practice</w:t>
      </w:r>
    </w:p>
    <w:p w:rsidR="00A06888" w:rsidRPr="008640FC" w:rsidRDefault="00A06888" w:rsidP="00A06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Allow for applied and reflective learning during the training period</w:t>
      </w:r>
    </w:p>
    <w:p w:rsidR="00A06888" w:rsidRDefault="00A06888" w:rsidP="00A06888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B00E7D">
        <w:rPr>
          <w:rFonts w:cs="Arial"/>
          <w:szCs w:val="24"/>
        </w:rPr>
        <w:t>The provider must ensure all learning materials can be adapted to ensure those with visual and or hearing impairments can gain benefit of the programmes</w:t>
      </w:r>
    </w:p>
    <w:p w:rsidR="00F478A4" w:rsidRPr="00F478A4" w:rsidRDefault="00F478A4" w:rsidP="00F478A4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478A4">
        <w:rPr>
          <w:rFonts w:cs="Arial"/>
          <w:szCs w:val="24"/>
        </w:rPr>
        <w:t xml:space="preserve">The training will be delivered within the premises of RBKC, H&amp;F or WCC </w:t>
      </w:r>
    </w:p>
    <w:p w:rsidR="00462A98" w:rsidRDefault="00462A98" w:rsidP="00462A98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We would ask providers to promote our other training courses and additional learning material at the end of the course</w:t>
      </w:r>
      <w:r w:rsidRPr="004F34CC">
        <w:rPr>
          <w:rFonts w:cs="Arial"/>
          <w:szCs w:val="24"/>
        </w:rPr>
        <w:t xml:space="preserve"> </w:t>
      </w:r>
    </w:p>
    <w:p w:rsidR="00ED53BE" w:rsidRDefault="00136420" w:rsidP="003573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ED53BE">
        <w:rPr>
          <w:rFonts w:cs="Arial"/>
          <w:szCs w:val="24"/>
        </w:rPr>
        <w:t xml:space="preserve">Providers are asked to provide follow up material for each participant to reinforce the learning. This can take the form of 3 x 5 minute pieces of learning such as video, article, audio or interactive e-learning module.  </w:t>
      </w:r>
      <w:r w:rsidR="00ED53BE">
        <w:rPr>
          <w:rFonts w:cs="Arial"/>
          <w:szCs w:val="24"/>
        </w:rPr>
        <w:t>The company will be responsible for sending this information out to participants.</w:t>
      </w:r>
    </w:p>
    <w:p w:rsidR="00136420" w:rsidRPr="00ED53BE" w:rsidRDefault="00136420" w:rsidP="003573B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ED53BE">
        <w:rPr>
          <w:rFonts w:cs="Arial"/>
          <w:szCs w:val="24"/>
        </w:rPr>
        <w:t xml:space="preserve">Providers will need to bring their own equipment such as laptop, projector and connection leads. </w:t>
      </w:r>
    </w:p>
    <w:p w:rsidR="00136420" w:rsidRDefault="00136420" w:rsidP="00136420">
      <w:pPr>
        <w:pStyle w:val="ListParagraph"/>
        <w:rPr>
          <w:rFonts w:cs="Arial"/>
          <w:szCs w:val="24"/>
        </w:rPr>
      </w:pPr>
    </w:p>
    <w:p w:rsidR="00A06888" w:rsidRDefault="00A06888" w:rsidP="00A06888">
      <w:pPr>
        <w:pStyle w:val="NoSpacing"/>
      </w:pPr>
    </w:p>
    <w:p w:rsidR="00A06888" w:rsidRPr="00136420" w:rsidRDefault="00136420" w:rsidP="00136420">
      <w:pPr>
        <w:spacing w:after="0" w:line="360" w:lineRule="auto"/>
        <w:rPr>
          <w:rFonts w:cs="Arial"/>
          <w:b/>
          <w:szCs w:val="24"/>
        </w:rPr>
      </w:pPr>
      <w:r>
        <w:rPr>
          <w:rFonts w:cs="Arial"/>
          <w:b/>
          <w:smallCaps/>
          <w:szCs w:val="24"/>
        </w:rPr>
        <w:t xml:space="preserve">5. </w:t>
      </w:r>
      <w:r w:rsidR="00A06888" w:rsidRPr="00136420">
        <w:rPr>
          <w:rFonts w:cs="Arial"/>
          <w:b/>
          <w:smallCaps/>
          <w:szCs w:val="24"/>
        </w:rPr>
        <w:t>C</w:t>
      </w:r>
      <w:r w:rsidR="00A06888" w:rsidRPr="00136420">
        <w:rPr>
          <w:rFonts w:cs="Arial"/>
          <w:b/>
          <w:szCs w:val="24"/>
        </w:rPr>
        <w:t>ontract Performance Monitoring</w:t>
      </w:r>
    </w:p>
    <w:p w:rsidR="00A06888" w:rsidRPr="00003341" w:rsidRDefault="00A06888" w:rsidP="00A06888">
      <w:pPr>
        <w:spacing w:after="0" w:line="360" w:lineRule="auto"/>
        <w:rPr>
          <w:rFonts w:cs="Arial"/>
          <w:szCs w:val="24"/>
        </w:rPr>
      </w:pPr>
    </w:p>
    <w:p w:rsidR="00E62F09" w:rsidRDefault="00E62F09" w:rsidP="00A06888">
      <w:pPr>
        <w:spacing w:after="0" w:line="240" w:lineRule="auto"/>
        <w:rPr>
          <w:rFonts w:cs="Arial"/>
          <w:szCs w:val="24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4"/>
        <w:gridCol w:w="4148"/>
        <w:gridCol w:w="2627"/>
      </w:tblGrid>
      <w:tr w:rsidR="00136420" w:rsidRPr="001A20A2" w:rsidTr="00245FD1">
        <w:trPr>
          <w:trHeight w:val="503"/>
        </w:trPr>
        <w:tc>
          <w:tcPr>
            <w:tcW w:w="1330" w:type="pct"/>
          </w:tcPr>
          <w:p w:rsidR="00136420" w:rsidRPr="001A20A2" w:rsidRDefault="00136420" w:rsidP="00245FD1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1A20A2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2247" w:type="pct"/>
          </w:tcPr>
          <w:p w:rsidR="00136420" w:rsidRPr="001A20A2" w:rsidRDefault="00136420" w:rsidP="00245FD1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  <w:tc>
          <w:tcPr>
            <w:tcW w:w="1423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Who will be responsible </w:t>
            </w:r>
          </w:p>
        </w:tc>
      </w:tr>
      <w:tr w:rsidR="00136420" w:rsidRPr="001A20A2" w:rsidTr="00245FD1">
        <w:trPr>
          <w:trHeight w:val="768"/>
        </w:trPr>
        <w:tc>
          <w:tcPr>
            <w:tcW w:w="1330" w:type="pct"/>
          </w:tcPr>
          <w:p w:rsidR="00136420" w:rsidRPr="001A20A2" w:rsidRDefault="00136420" w:rsidP="00ED53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Agree </w:t>
            </w:r>
            <w:r w:rsidR="00ED53BE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itle</w:t>
            </w:r>
            <w:r w:rsidR="00ED53BE">
              <w:rPr>
                <w:rFonts w:cs="Arial"/>
                <w:szCs w:val="24"/>
              </w:rPr>
              <w:t xml:space="preserve">, times </w:t>
            </w:r>
            <w:r>
              <w:rPr>
                <w:rFonts w:cs="Arial"/>
                <w:szCs w:val="24"/>
              </w:rPr>
              <w:t>and outlines and delivery schedule</w:t>
            </w:r>
          </w:p>
        </w:tc>
        <w:tc>
          <w:tcPr>
            <w:tcW w:w="2247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 the initial planning meeting following the contract being awarded</w:t>
            </w:r>
          </w:p>
        </w:tc>
        <w:tc>
          <w:tcPr>
            <w:tcW w:w="1423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provider</w:t>
            </w:r>
          </w:p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36420" w:rsidRPr="001A20A2" w:rsidTr="00245FD1">
        <w:trPr>
          <w:trHeight w:val="1034"/>
        </w:trPr>
        <w:tc>
          <w:tcPr>
            <w:tcW w:w="1330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On-line learning material /E- learning </w:t>
            </w:r>
          </w:p>
        </w:tc>
        <w:tc>
          <w:tcPr>
            <w:tcW w:w="2247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Agree the additional learning material such as video, audio and e learning and how it will be accessed by the learner.</w:t>
            </w:r>
          </w:p>
        </w:tc>
        <w:tc>
          <w:tcPr>
            <w:tcW w:w="1423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Both the provider and BBL team</w:t>
            </w:r>
          </w:p>
        </w:tc>
      </w:tr>
      <w:tr w:rsidR="00136420" w:rsidRPr="001A20A2" w:rsidTr="00245FD1">
        <w:trPr>
          <w:trHeight w:val="1537"/>
        </w:trPr>
        <w:tc>
          <w:tcPr>
            <w:tcW w:w="1330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Attendance lists</w:t>
            </w:r>
          </w:p>
        </w:tc>
        <w:tc>
          <w:tcPr>
            <w:tcW w:w="2247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 w:rsidRPr="001A20A2">
              <w:rPr>
                <w:rFonts w:cs="Arial"/>
                <w:szCs w:val="24"/>
              </w:rPr>
              <w:t>On conc</w:t>
            </w:r>
            <w:r>
              <w:rPr>
                <w:rFonts w:cs="Arial"/>
                <w:szCs w:val="24"/>
              </w:rPr>
              <w:t xml:space="preserve">lusion of each training day </w:t>
            </w:r>
          </w:p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23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provider to send to the BBL team ( if not able to hand to a member of staff on the day)</w:t>
            </w:r>
          </w:p>
        </w:tc>
      </w:tr>
      <w:tr w:rsidR="00136420" w:rsidRPr="001A20A2" w:rsidTr="00245FD1">
        <w:trPr>
          <w:trHeight w:val="1020"/>
        </w:trPr>
        <w:tc>
          <w:tcPr>
            <w:tcW w:w="1330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 w:rsidRPr="001A20A2">
              <w:rPr>
                <w:rFonts w:cs="Arial"/>
                <w:szCs w:val="24"/>
              </w:rPr>
              <w:t xml:space="preserve">Evaluation </w:t>
            </w:r>
            <w:r>
              <w:rPr>
                <w:rFonts w:cs="Arial"/>
                <w:szCs w:val="24"/>
              </w:rPr>
              <w:t xml:space="preserve">online </w:t>
            </w:r>
          </w:p>
        </w:tc>
        <w:tc>
          <w:tcPr>
            <w:tcW w:w="2247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Promote at the end of the course </w:t>
            </w:r>
          </w:p>
        </w:tc>
        <w:tc>
          <w:tcPr>
            <w:tcW w:w="1423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provider and BBL team</w:t>
            </w:r>
          </w:p>
        </w:tc>
      </w:tr>
      <w:tr w:rsidR="00136420" w:rsidRPr="001A20A2" w:rsidTr="00245FD1">
        <w:trPr>
          <w:trHeight w:val="1020"/>
        </w:trPr>
        <w:tc>
          <w:tcPr>
            <w:tcW w:w="1330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Follow up material and related courses</w:t>
            </w:r>
          </w:p>
        </w:tc>
        <w:tc>
          <w:tcPr>
            <w:tcW w:w="2247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Promote at the end of the course </w:t>
            </w:r>
          </w:p>
        </w:tc>
        <w:tc>
          <w:tcPr>
            <w:tcW w:w="1423" w:type="pct"/>
          </w:tcPr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provider and BBL team</w:t>
            </w:r>
          </w:p>
        </w:tc>
      </w:tr>
      <w:tr w:rsidR="00136420" w:rsidRPr="001A20A2" w:rsidTr="00245FD1">
        <w:trPr>
          <w:trHeight w:val="1020"/>
        </w:trPr>
        <w:tc>
          <w:tcPr>
            <w:tcW w:w="1330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meetings</w:t>
            </w:r>
          </w:p>
          <w:p w:rsidR="00136420" w:rsidRPr="001A20A2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47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Quarterly</w:t>
            </w:r>
          </w:p>
        </w:tc>
        <w:tc>
          <w:tcPr>
            <w:tcW w:w="1423" w:type="pct"/>
          </w:tcPr>
          <w:p w:rsidR="00136420" w:rsidRDefault="00136420" w:rsidP="00245FD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provider and BBL team </w:t>
            </w:r>
          </w:p>
        </w:tc>
      </w:tr>
    </w:tbl>
    <w:p w:rsidR="00FF62CA" w:rsidRDefault="00E62F09" w:rsidP="00136420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:rsidR="00AC7E02" w:rsidRDefault="00AC7E02">
      <w:pPr>
        <w:spacing w:after="0" w:line="240" w:lineRule="auto"/>
        <w:rPr>
          <w:rFonts w:cs="Arial"/>
          <w:b/>
          <w:szCs w:val="24"/>
        </w:rPr>
      </w:pPr>
    </w:p>
    <w:p w:rsidR="00A06888" w:rsidRDefault="00E858C5" w:rsidP="001364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Course </w:t>
      </w:r>
      <w:r w:rsidR="00AC7E02" w:rsidRPr="00136420">
        <w:rPr>
          <w:rFonts w:cs="Arial"/>
          <w:b/>
          <w:szCs w:val="24"/>
        </w:rPr>
        <w:t>S</w:t>
      </w:r>
      <w:r w:rsidR="00A06888" w:rsidRPr="00136420">
        <w:rPr>
          <w:rFonts w:cs="Arial"/>
          <w:b/>
          <w:szCs w:val="24"/>
        </w:rPr>
        <w:t>pecification</w:t>
      </w:r>
      <w:r>
        <w:rPr>
          <w:rFonts w:cs="Arial"/>
          <w:b/>
          <w:szCs w:val="24"/>
        </w:rPr>
        <w:t xml:space="preserve"> – indicative </w:t>
      </w:r>
    </w:p>
    <w:p w:rsidR="00ED53BE" w:rsidRPr="00136420" w:rsidRDefault="00ED53BE" w:rsidP="001364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Mindfulness </w:t>
      </w:r>
    </w:p>
    <w:p w:rsidR="00722552" w:rsidRPr="004718E4" w:rsidRDefault="00722552" w:rsidP="00722552">
      <w:pPr>
        <w:rPr>
          <w:rFonts w:cs="Arial"/>
          <w:szCs w:val="24"/>
        </w:rPr>
      </w:pPr>
      <w:r w:rsidRPr="004718E4">
        <w:rPr>
          <w:rFonts w:cs="Arial"/>
          <w:szCs w:val="24"/>
        </w:rPr>
        <w:t>The Council</w:t>
      </w:r>
      <w:r>
        <w:rPr>
          <w:rFonts w:cs="Arial"/>
          <w:szCs w:val="24"/>
        </w:rPr>
        <w:t>s’</w:t>
      </w:r>
      <w:r w:rsidRPr="004718E4">
        <w:rPr>
          <w:rFonts w:cs="Arial"/>
          <w:szCs w:val="24"/>
        </w:rPr>
        <w:t xml:space="preserve"> working environment is </w:t>
      </w:r>
      <w:r>
        <w:rPr>
          <w:rFonts w:cs="Arial"/>
          <w:szCs w:val="24"/>
        </w:rPr>
        <w:t xml:space="preserve">focused on </w:t>
      </w:r>
      <w:r w:rsidRPr="004718E4">
        <w:rPr>
          <w:rFonts w:cs="Arial"/>
          <w:szCs w:val="24"/>
        </w:rPr>
        <w:t>continu</w:t>
      </w:r>
      <w:r>
        <w:rPr>
          <w:rFonts w:cs="Arial"/>
          <w:szCs w:val="24"/>
        </w:rPr>
        <w:t xml:space="preserve">ous </w:t>
      </w:r>
      <w:r w:rsidRPr="004718E4">
        <w:rPr>
          <w:rFonts w:cs="Arial"/>
          <w:szCs w:val="24"/>
        </w:rPr>
        <w:t>improv</w:t>
      </w:r>
      <w:r>
        <w:rPr>
          <w:rFonts w:cs="Arial"/>
          <w:szCs w:val="24"/>
        </w:rPr>
        <w:t xml:space="preserve">ement </w:t>
      </w:r>
      <w:r w:rsidRPr="004718E4">
        <w:rPr>
          <w:rFonts w:cs="Arial"/>
          <w:szCs w:val="24"/>
        </w:rPr>
        <w:t xml:space="preserve">and </w:t>
      </w:r>
      <w:r w:rsidR="00C11B40">
        <w:rPr>
          <w:rFonts w:cs="Arial"/>
          <w:szCs w:val="24"/>
        </w:rPr>
        <w:t xml:space="preserve">how to </w:t>
      </w:r>
      <w:r w:rsidRPr="004718E4">
        <w:rPr>
          <w:rFonts w:cs="Arial"/>
          <w:szCs w:val="24"/>
        </w:rPr>
        <w:t>become more efficient. This requires employees to build a strong sense of personal accountability and responsibility to make local decisions based on a variety of factors. Employees need to be confident, assertive and resilient to meet these challenges.</w:t>
      </w:r>
    </w:p>
    <w:p w:rsidR="00722552" w:rsidRDefault="00722552" w:rsidP="007225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Aims </w:t>
      </w:r>
    </w:p>
    <w:p w:rsidR="00722552" w:rsidRPr="004718E4" w:rsidRDefault="00722552" w:rsidP="00722552">
      <w:pPr>
        <w:rPr>
          <w:rFonts w:cs="Arial"/>
          <w:szCs w:val="24"/>
        </w:rPr>
      </w:pPr>
      <w:r w:rsidRPr="004718E4">
        <w:rPr>
          <w:rFonts w:cs="Arial"/>
          <w:szCs w:val="24"/>
        </w:rPr>
        <w:t xml:space="preserve">To </w:t>
      </w:r>
      <w:r w:rsidR="00ED53BE">
        <w:rPr>
          <w:rFonts w:cs="Arial"/>
          <w:szCs w:val="24"/>
        </w:rPr>
        <w:t xml:space="preserve">build the skills and </w:t>
      </w:r>
      <w:r w:rsidR="006A6DE7">
        <w:rPr>
          <w:rFonts w:cs="Arial"/>
          <w:szCs w:val="24"/>
        </w:rPr>
        <w:t xml:space="preserve">behavioural techniques of </w:t>
      </w:r>
      <w:r w:rsidR="00207CD1">
        <w:rPr>
          <w:rFonts w:cs="Arial"/>
          <w:szCs w:val="24"/>
        </w:rPr>
        <w:t>‘</w:t>
      </w:r>
      <w:r w:rsidR="006A6DE7">
        <w:rPr>
          <w:rFonts w:cs="Arial"/>
          <w:szCs w:val="24"/>
        </w:rPr>
        <w:t>mindfulness</w:t>
      </w:r>
      <w:r w:rsidR="00207CD1">
        <w:rPr>
          <w:rFonts w:cs="Arial"/>
          <w:szCs w:val="24"/>
        </w:rPr>
        <w:t>’</w:t>
      </w:r>
      <w:r w:rsidR="006A6DE7">
        <w:rPr>
          <w:rFonts w:cs="Arial"/>
          <w:szCs w:val="24"/>
        </w:rPr>
        <w:t xml:space="preserve"> as an approach to </w:t>
      </w:r>
      <w:r w:rsidR="00207CD1">
        <w:rPr>
          <w:rFonts w:cs="Arial"/>
          <w:szCs w:val="24"/>
        </w:rPr>
        <w:t xml:space="preserve">raising self-awareness, developing </w:t>
      </w:r>
      <w:r w:rsidR="00D07F70">
        <w:rPr>
          <w:rFonts w:cs="Arial"/>
          <w:szCs w:val="24"/>
        </w:rPr>
        <w:t xml:space="preserve">‘a be </w:t>
      </w:r>
      <w:r w:rsidR="00207CD1">
        <w:rPr>
          <w:rFonts w:cs="Arial"/>
          <w:szCs w:val="24"/>
        </w:rPr>
        <w:t>present’ focus and</w:t>
      </w:r>
      <w:r w:rsidR="00D07F70">
        <w:rPr>
          <w:rFonts w:cs="Arial"/>
          <w:szCs w:val="24"/>
        </w:rPr>
        <w:t xml:space="preserve"> improving</w:t>
      </w:r>
      <w:r w:rsidR="00207CD1">
        <w:rPr>
          <w:rFonts w:cs="Arial"/>
          <w:szCs w:val="24"/>
        </w:rPr>
        <w:t xml:space="preserve"> wellbeing. </w:t>
      </w:r>
      <w:r w:rsidR="006A6DE7">
        <w:rPr>
          <w:rFonts w:cs="Arial"/>
          <w:szCs w:val="24"/>
        </w:rPr>
        <w:t xml:space="preserve"> </w:t>
      </w:r>
      <w:r w:rsidR="00207CD1">
        <w:rPr>
          <w:rFonts w:cs="Arial"/>
          <w:szCs w:val="24"/>
        </w:rPr>
        <w:t xml:space="preserve">This should </w:t>
      </w:r>
      <w:r w:rsidR="00207CD1" w:rsidRPr="004718E4">
        <w:rPr>
          <w:rFonts w:cs="Arial"/>
          <w:szCs w:val="24"/>
        </w:rPr>
        <w:t>enable</w:t>
      </w:r>
      <w:r w:rsidRPr="004718E4">
        <w:rPr>
          <w:rFonts w:cs="Arial"/>
          <w:szCs w:val="24"/>
        </w:rPr>
        <w:t xml:space="preserve"> an employee to become more confident, resilient and personally effective in the workplace</w:t>
      </w:r>
    </w:p>
    <w:p w:rsidR="00722552" w:rsidRDefault="00722552" w:rsidP="007225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Objectives </w:t>
      </w:r>
    </w:p>
    <w:p w:rsidR="00722552" w:rsidRDefault="00722552" w:rsidP="00722552">
      <w:pPr>
        <w:rPr>
          <w:rFonts w:cs="Arial"/>
          <w:szCs w:val="24"/>
        </w:rPr>
      </w:pPr>
      <w:r w:rsidRPr="004718E4">
        <w:rPr>
          <w:rFonts w:cs="Arial"/>
          <w:szCs w:val="24"/>
        </w:rPr>
        <w:t xml:space="preserve">By the </w:t>
      </w:r>
      <w:r>
        <w:rPr>
          <w:rFonts w:cs="Arial"/>
          <w:szCs w:val="24"/>
        </w:rPr>
        <w:t>end of the</w:t>
      </w:r>
      <w:r w:rsidR="00207CD1">
        <w:rPr>
          <w:rFonts w:cs="Arial"/>
          <w:szCs w:val="24"/>
        </w:rPr>
        <w:t xml:space="preserve"> 4 sessions </w:t>
      </w:r>
      <w:r>
        <w:rPr>
          <w:rFonts w:cs="Arial"/>
          <w:szCs w:val="24"/>
        </w:rPr>
        <w:t>participants will be able to;</w:t>
      </w:r>
    </w:p>
    <w:p w:rsidR="00207CD1" w:rsidRPr="00D07F70" w:rsidRDefault="00D07F70" w:rsidP="00D07F7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D07F70">
        <w:rPr>
          <w:rFonts w:cs="Arial"/>
          <w:szCs w:val="24"/>
        </w:rPr>
        <w:t xml:space="preserve">Understand what mindfulness is and </w:t>
      </w:r>
      <w:r>
        <w:rPr>
          <w:rFonts w:cs="Arial"/>
          <w:szCs w:val="24"/>
        </w:rPr>
        <w:t xml:space="preserve">how it can be </w:t>
      </w:r>
      <w:r w:rsidRPr="00D07F70">
        <w:rPr>
          <w:rFonts w:cs="Arial"/>
          <w:szCs w:val="24"/>
        </w:rPr>
        <w:t>benefi</w:t>
      </w:r>
      <w:r>
        <w:rPr>
          <w:rFonts w:cs="Arial"/>
          <w:szCs w:val="24"/>
        </w:rPr>
        <w:t>cial t</w:t>
      </w:r>
      <w:r w:rsidRPr="00D07F70">
        <w:rPr>
          <w:rFonts w:cs="Arial"/>
          <w:szCs w:val="24"/>
        </w:rPr>
        <w:t>o both work and personal life</w:t>
      </w:r>
    </w:p>
    <w:p w:rsidR="00D07F70" w:rsidRPr="00D07F70" w:rsidRDefault="00D07F70" w:rsidP="00D07F7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D07F70">
        <w:rPr>
          <w:rFonts w:cs="Arial"/>
          <w:szCs w:val="24"/>
        </w:rPr>
        <w:t xml:space="preserve">Learn and practice a selection of basic mindfulness techniques </w:t>
      </w:r>
    </w:p>
    <w:p w:rsidR="00D07F70" w:rsidRPr="00D07F70" w:rsidRDefault="00D07F70" w:rsidP="00D07F7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D07F70">
        <w:rPr>
          <w:rFonts w:cs="Arial"/>
          <w:szCs w:val="24"/>
        </w:rPr>
        <w:t xml:space="preserve">Improve self-awareness through discussion and feedback – personal insights </w:t>
      </w:r>
    </w:p>
    <w:p w:rsidR="00D07F70" w:rsidRPr="00D07F70" w:rsidRDefault="00D07F70" w:rsidP="00D07F7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D07F70">
        <w:rPr>
          <w:rFonts w:cs="Arial"/>
          <w:szCs w:val="24"/>
        </w:rPr>
        <w:t>Consider how behavioural techniques</w:t>
      </w:r>
      <w:r>
        <w:rPr>
          <w:rFonts w:cs="Arial"/>
          <w:szCs w:val="24"/>
        </w:rPr>
        <w:t xml:space="preserve"> can</w:t>
      </w:r>
      <w:r w:rsidRPr="00D07F70">
        <w:rPr>
          <w:rFonts w:cs="Arial"/>
          <w:szCs w:val="24"/>
        </w:rPr>
        <w:t xml:space="preserve"> be applied in the workplace </w:t>
      </w:r>
      <w:r>
        <w:rPr>
          <w:rFonts w:cs="Arial"/>
          <w:szCs w:val="24"/>
        </w:rPr>
        <w:t>to improve efficiency</w:t>
      </w:r>
    </w:p>
    <w:p w:rsidR="00D07F70" w:rsidRDefault="00D07F70" w:rsidP="00D07F7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D07F70">
        <w:rPr>
          <w:rFonts w:cs="Arial"/>
          <w:szCs w:val="24"/>
        </w:rPr>
        <w:t xml:space="preserve">Share experiences of developing mindfulness skills over the period of the programme </w:t>
      </w:r>
    </w:p>
    <w:p w:rsidR="00D07F70" w:rsidRPr="00D07F70" w:rsidRDefault="00D07F70" w:rsidP="00EA3813">
      <w:pPr>
        <w:pStyle w:val="ListParagraph"/>
        <w:numPr>
          <w:ilvl w:val="0"/>
          <w:numId w:val="29"/>
        </w:numPr>
        <w:rPr>
          <w:rFonts w:cs="Arial"/>
          <w:b/>
          <w:szCs w:val="24"/>
        </w:rPr>
      </w:pPr>
      <w:r w:rsidRPr="00D07F70">
        <w:rPr>
          <w:rFonts w:cs="Arial"/>
          <w:szCs w:val="24"/>
        </w:rPr>
        <w:t xml:space="preserve">Use the techniques to improve confidence, resilience and wellbeing </w:t>
      </w:r>
    </w:p>
    <w:p w:rsidR="00722552" w:rsidRPr="00D07F70" w:rsidRDefault="00722552" w:rsidP="00D07F70">
      <w:pPr>
        <w:rPr>
          <w:rFonts w:cs="Arial"/>
          <w:b/>
          <w:szCs w:val="24"/>
        </w:rPr>
      </w:pPr>
      <w:r w:rsidRPr="00D07F70">
        <w:rPr>
          <w:rFonts w:cs="Arial"/>
          <w:b/>
          <w:szCs w:val="24"/>
        </w:rPr>
        <w:t xml:space="preserve">Duration </w:t>
      </w:r>
    </w:p>
    <w:p w:rsidR="00D07F70" w:rsidRDefault="00D07F70" w:rsidP="007225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4 x 2.5 hour sessions </w:t>
      </w:r>
    </w:p>
    <w:p w:rsidR="00722552" w:rsidRDefault="00722552" w:rsidP="007225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Number </w:t>
      </w:r>
    </w:p>
    <w:p w:rsidR="00722552" w:rsidRDefault="00D07F70" w:rsidP="007225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</w:p>
    <w:sectPr w:rsidR="00722552" w:rsidSect="003219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7D" w:rsidRDefault="00681D7D">
      <w:pPr>
        <w:spacing w:after="0" w:line="240" w:lineRule="auto"/>
      </w:pPr>
      <w:r>
        <w:separator/>
      </w:r>
    </w:p>
  </w:endnote>
  <w:endnote w:type="continuationSeparator" w:id="0">
    <w:p w:rsidR="00681D7D" w:rsidRDefault="006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48" w:rsidRDefault="00344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C3E">
      <w:rPr>
        <w:noProof/>
      </w:rPr>
      <w:t>1</w:t>
    </w:r>
    <w:r>
      <w:rPr>
        <w:noProof/>
      </w:rPr>
      <w:fldChar w:fldCharType="end"/>
    </w:r>
  </w:p>
  <w:p w:rsidR="00245FD1" w:rsidRDefault="0024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7D" w:rsidRDefault="00681D7D">
      <w:pPr>
        <w:spacing w:after="0" w:line="240" w:lineRule="auto"/>
      </w:pPr>
      <w:r>
        <w:separator/>
      </w:r>
    </w:p>
  </w:footnote>
  <w:footnote w:type="continuationSeparator" w:id="0">
    <w:p w:rsidR="00681D7D" w:rsidRDefault="006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0E" w:rsidRDefault="00CD040E">
    <w:pPr>
      <w:pStyle w:val="Header"/>
    </w:pPr>
    <w:r>
      <w:t xml:space="preserve">Appendix 1 – service specification </w:t>
    </w:r>
  </w:p>
  <w:p w:rsidR="00CD040E" w:rsidRDefault="00CD0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240"/>
    <w:multiLevelType w:val="hybridMultilevel"/>
    <w:tmpl w:val="1F14A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F40"/>
    <w:multiLevelType w:val="hybridMultilevel"/>
    <w:tmpl w:val="3790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7BC"/>
    <w:multiLevelType w:val="hybridMultilevel"/>
    <w:tmpl w:val="649C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EFB"/>
    <w:multiLevelType w:val="hybridMultilevel"/>
    <w:tmpl w:val="C2AA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112D"/>
    <w:multiLevelType w:val="multilevel"/>
    <w:tmpl w:val="77E89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5" w15:restartNumberingAfterBreak="0">
    <w:nsid w:val="1E9C6F6A"/>
    <w:multiLevelType w:val="hybridMultilevel"/>
    <w:tmpl w:val="00062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852CA"/>
    <w:multiLevelType w:val="multilevel"/>
    <w:tmpl w:val="CCA80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5B71705"/>
    <w:multiLevelType w:val="hybridMultilevel"/>
    <w:tmpl w:val="93C4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6208"/>
    <w:multiLevelType w:val="hybridMultilevel"/>
    <w:tmpl w:val="247C2F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E3018"/>
    <w:multiLevelType w:val="multilevel"/>
    <w:tmpl w:val="77E89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44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9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3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309" w:hanging="1800"/>
      </w:pPr>
      <w:rPr>
        <w:rFonts w:hint="default"/>
        <w:sz w:val="28"/>
      </w:rPr>
    </w:lvl>
  </w:abstractNum>
  <w:abstractNum w:abstractNumId="10" w15:restartNumberingAfterBreak="0">
    <w:nsid w:val="3100009B"/>
    <w:multiLevelType w:val="hybridMultilevel"/>
    <w:tmpl w:val="EEBA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0A98"/>
    <w:multiLevelType w:val="hybridMultilevel"/>
    <w:tmpl w:val="3B34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1FC"/>
    <w:multiLevelType w:val="hybridMultilevel"/>
    <w:tmpl w:val="C59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571"/>
    <w:multiLevelType w:val="hybridMultilevel"/>
    <w:tmpl w:val="9E6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86203"/>
    <w:multiLevelType w:val="multilevel"/>
    <w:tmpl w:val="77E891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5" w15:restartNumberingAfterBreak="0">
    <w:nsid w:val="4EFF5F90"/>
    <w:multiLevelType w:val="multilevel"/>
    <w:tmpl w:val="77E891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4F6646A9"/>
    <w:multiLevelType w:val="hybridMultilevel"/>
    <w:tmpl w:val="2B0E3D06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1A153AF"/>
    <w:multiLevelType w:val="hybridMultilevel"/>
    <w:tmpl w:val="448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C59"/>
    <w:multiLevelType w:val="multilevel"/>
    <w:tmpl w:val="73D42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8003624"/>
    <w:multiLevelType w:val="hybridMultilevel"/>
    <w:tmpl w:val="A864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46B4"/>
    <w:multiLevelType w:val="hybridMultilevel"/>
    <w:tmpl w:val="F9DAB5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4120C6"/>
    <w:multiLevelType w:val="multilevel"/>
    <w:tmpl w:val="77E89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2" w15:restartNumberingAfterBreak="0">
    <w:nsid w:val="62D12582"/>
    <w:multiLevelType w:val="hybridMultilevel"/>
    <w:tmpl w:val="6D02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05E5"/>
    <w:multiLevelType w:val="multilevel"/>
    <w:tmpl w:val="77E891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4" w15:restartNumberingAfterBreak="0">
    <w:nsid w:val="65C8755C"/>
    <w:multiLevelType w:val="hybridMultilevel"/>
    <w:tmpl w:val="0D48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75E"/>
    <w:multiLevelType w:val="hybridMultilevel"/>
    <w:tmpl w:val="005E65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77971"/>
    <w:multiLevelType w:val="hybridMultilevel"/>
    <w:tmpl w:val="7B54C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265FE"/>
    <w:multiLevelType w:val="hybridMultilevel"/>
    <w:tmpl w:val="F62819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28B"/>
    <w:multiLevelType w:val="multilevel"/>
    <w:tmpl w:val="43AEC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9"/>
  </w:num>
  <w:num w:numId="8">
    <w:abstractNumId w:val="17"/>
  </w:num>
  <w:num w:numId="9">
    <w:abstractNumId w:val="1"/>
  </w:num>
  <w:num w:numId="10">
    <w:abstractNumId w:val="7"/>
  </w:num>
  <w:num w:numId="11">
    <w:abstractNumId w:val="3"/>
  </w:num>
  <w:num w:numId="12">
    <w:abstractNumId w:val="27"/>
  </w:num>
  <w:num w:numId="13">
    <w:abstractNumId w:val="22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25"/>
  </w:num>
  <w:num w:numId="19">
    <w:abstractNumId w:val="14"/>
  </w:num>
  <w:num w:numId="20">
    <w:abstractNumId w:val="23"/>
  </w:num>
  <w:num w:numId="21">
    <w:abstractNumId w:val="15"/>
  </w:num>
  <w:num w:numId="22">
    <w:abstractNumId w:val="26"/>
  </w:num>
  <w:num w:numId="23">
    <w:abstractNumId w:val="9"/>
  </w:num>
  <w:num w:numId="24">
    <w:abstractNumId w:val="6"/>
  </w:num>
  <w:num w:numId="25">
    <w:abstractNumId w:val="18"/>
  </w:num>
  <w:num w:numId="26">
    <w:abstractNumId w:val="28"/>
  </w:num>
  <w:num w:numId="27">
    <w:abstractNumId w:val="16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9"/>
    <w:rsid w:val="00076773"/>
    <w:rsid w:val="000874D6"/>
    <w:rsid w:val="000B3657"/>
    <w:rsid w:val="000C46C4"/>
    <w:rsid w:val="0012017E"/>
    <w:rsid w:val="00134DF2"/>
    <w:rsid w:val="00136420"/>
    <w:rsid w:val="001462AD"/>
    <w:rsid w:val="00156534"/>
    <w:rsid w:val="00163E4D"/>
    <w:rsid w:val="001727C5"/>
    <w:rsid w:val="001772E2"/>
    <w:rsid w:val="00186F38"/>
    <w:rsid w:val="00187993"/>
    <w:rsid w:val="001D1D3F"/>
    <w:rsid w:val="00207CD1"/>
    <w:rsid w:val="00245FD1"/>
    <w:rsid w:val="00246963"/>
    <w:rsid w:val="00282811"/>
    <w:rsid w:val="00291726"/>
    <w:rsid w:val="00294DD3"/>
    <w:rsid w:val="002B6280"/>
    <w:rsid w:val="002B6376"/>
    <w:rsid w:val="002C5A3D"/>
    <w:rsid w:val="002E1B4C"/>
    <w:rsid w:val="002F153D"/>
    <w:rsid w:val="00316419"/>
    <w:rsid w:val="003219F5"/>
    <w:rsid w:val="00327E4B"/>
    <w:rsid w:val="00336842"/>
    <w:rsid w:val="00344C48"/>
    <w:rsid w:val="00355A73"/>
    <w:rsid w:val="003709E0"/>
    <w:rsid w:val="00370D0E"/>
    <w:rsid w:val="0037223D"/>
    <w:rsid w:val="00373D12"/>
    <w:rsid w:val="0039099E"/>
    <w:rsid w:val="0039496B"/>
    <w:rsid w:val="003A0516"/>
    <w:rsid w:val="0040010A"/>
    <w:rsid w:val="00400443"/>
    <w:rsid w:val="004179C5"/>
    <w:rsid w:val="0042173E"/>
    <w:rsid w:val="00423550"/>
    <w:rsid w:val="0046200B"/>
    <w:rsid w:val="00462A98"/>
    <w:rsid w:val="004824C1"/>
    <w:rsid w:val="00490043"/>
    <w:rsid w:val="004A7ACB"/>
    <w:rsid w:val="00544CFF"/>
    <w:rsid w:val="005462C6"/>
    <w:rsid w:val="0057614E"/>
    <w:rsid w:val="00583BC3"/>
    <w:rsid w:val="005E2BEE"/>
    <w:rsid w:val="0061644B"/>
    <w:rsid w:val="006372E6"/>
    <w:rsid w:val="006458E1"/>
    <w:rsid w:val="00650869"/>
    <w:rsid w:val="00681D7D"/>
    <w:rsid w:val="00687558"/>
    <w:rsid w:val="006A606F"/>
    <w:rsid w:val="006A6DE7"/>
    <w:rsid w:val="006D7121"/>
    <w:rsid w:val="006E469B"/>
    <w:rsid w:val="00722552"/>
    <w:rsid w:val="007B0B0C"/>
    <w:rsid w:val="007F454A"/>
    <w:rsid w:val="00822A28"/>
    <w:rsid w:val="00836C3E"/>
    <w:rsid w:val="00865804"/>
    <w:rsid w:val="00867513"/>
    <w:rsid w:val="008A49C5"/>
    <w:rsid w:val="008B5554"/>
    <w:rsid w:val="008C7400"/>
    <w:rsid w:val="008E743B"/>
    <w:rsid w:val="008F1380"/>
    <w:rsid w:val="0096392C"/>
    <w:rsid w:val="00971FCF"/>
    <w:rsid w:val="009936A6"/>
    <w:rsid w:val="009A04F2"/>
    <w:rsid w:val="009E289B"/>
    <w:rsid w:val="00A06888"/>
    <w:rsid w:val="00A1244A"/>
    <w:rsid w:val="00A33F00"/>
    <w:rsid w:val="00A72D8A"/>
    <w:rsid w:val="00A83EC8"/>
    <w:rsid w:val="00A86B47"/>
    <w:rsid w:val="00AA0737"/>
    <w:rsid w:val="00AC7E02"/>
    <w:rsid w:val="00AE1C25"/>
    <w:rsid w:val="00AE3A62"/>
    <w:rsid w:val="00B177B8"/>
    <w:rsid w:val="00B65AB3"/>
    <w:rsid w:val="00B65E71"/>
    <w:rsid w:val="00B84F2C"/>
    <w:rsid w:val="00B96518"/>
    <w:rsid w:val="00BB0F42"/>
    <w:rsid w:val="00BC4FBC"/>
    <w:rsid w:val="00BD5E9A"/>
    <w:rsid w:val="00C06FCB"/>
    <w:rsid w:val="00C11B40"/>
    <w:rsid w:val="00C206D9"/>
    <w:rsid w:val="00C371F4"/>
    <w:rsid w:val="00C72AA7"/>
    <w:rsid w:val="00C83FA8"/>
    <w:rsid w:val="00CA08BA"/>
    <w:rsid w:val="00CA1567"/>
    <w:rsid w:val="00CA6533"/>
    <w:rsid w:val="00CD040E"/>
    <w:rsid w:val="00CD50C9"/>
    <w:rsid w:val="00D07CAB"/>
    <w:rsid w:val="00D07F70"/>
    <w:rsid w:val="00D12C10"/>
    <w:rsid w:val="00D15946"/>
    <w:rsid w:val="00D23AFA"/>
    <w:rsid w:val="00D255C2"/>
    <w:rsid w:val="00D4730F"/>
    <w:rsid w:val="00D52DA5"/>
    <w:rsid w:val="00D61E8F"/>
    <w:rsid w:val="00D65C85"/>
    <w:rsid w:val="00D738FB"/>
    <w:rsid w:val="00D926B1"/>
    <w:rsid w:val="00D971C8"/>
    <w:rsid w:val="00DB204E"/>
    <w:rsid w:val="00DC3544"/>
    <w:rsid w:val="00DD1D5F"/>
    <w:rsid w:val="00DD646A"/>
    <w:rsid w:val="00E35C2F"/>
    <w:rsid w:val="00E62F09"/>
    <w:rsid w:val="00E80074"/>
    <w:rsid w:val="00E858C5"/>
    <w:rsid w:val="00E87A96"/>
    <w:rsid w:val="00ED53BE"/>
    <w:rsid w:val="00F478A4"/>
    <w:rsid w:val="00F5126A"/>
    <w:rsid w:val="00F53D4D"/>
    <w:rsid w:val="00F67216"/>
    <w:rsid w:val="00F71539"/>
    <w:rsid w:val="00F77FB2"/>
    <w:rsid w:val="00F81196"/>
    <w:rsid w:val="00FB3450"/>
    <w:rsid w:val="00FB3E8F"/>
    <w:rsid w:val="00FC3FF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BC3C3-ACF0-483C-8792-0982DE3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A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7400"/>
    <w:rPr>
      <w:rFonts w:ascii="Arial" w:eastAsia="Times New Roman" w:hAnsi="Arial" w:cs="Times New Roman"/>
      <w:b/>
      <w:bCs/>
      <w:color w:val="001777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0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6888"/>
    <w:rPr>
      <w:rFonts w:ascii="Arial" w:eastAsia="Calibri" w:hAnsi="Arial" w:cs="Times New Roman"/>
      <w:szCs w:val="22"/>
    </w:rPr>
  </w:style>
  <w:style w:type="paragraph" w:styleId="NoSpacing">
    <w:name w:val="No Spacing"/>
    <w:uiPriority w:val="99"/>
    <w:qFormat/>
    <w:rsid w:val="00A06888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2255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27C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cgssuep</dc:creator>
  <cp:keywords/>
  <cp:lastModifiedBy>Van Goethem, Roger: CP: RBKC</cp:lastModifiedBy>
  <cp:revision>2</cp:revision>
  <cp:lastPrinted>2016-04-15T12:57:00Z</cp:lastPrinted>
  <dcterms:created xsi:type="dcterms:W3CDTF">2016-11-21T14:08:00Z</dcterms:created>
  <dcterms:modified xsi:type="dcterms:W3CDTF">2016-11-21T14:08:00Z</dcterms:modified>
</cp:coreProperties>
</file>