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CF" w:rsidRDefault="00C20BF0" w:rsidP="00C20BF0">
      <w:pPr>
        <w:pStyle w:val="Default"/>
        <w:spacing w:before="120" w:after="240"/>
        <w:jc w:val="right"/>
        <w:rPr>
          <w:b/>
          <w:bCs/>
          <w:color w:val="auto"/>
          <w:sz w:val="28"/>
          <w:szCs w:val="28"/>
        </w:rPr>
      </w:pPr>
      <w:r>
        <w:rPr>
          <w:rFonts w:ascii="Times New Roman" w:eastAsia="MS Mincho" w:hAnsi="Times New Roman"/>
          <w:noProof/>
          <w:color w:val="auto"/>
        </w:rPr>
        <w:drawing>
          <wp:anchor distT="0" distB="0" distL="114300" distR="114300" simplePos="0" relativeHeight="251657728" behindDoc="0" locked="0" layoutInCell="1" allowOverlap="1" wp14:anchorId="46FE19EE" wp14:editId="1D358D64">
            <wp:simplePos x="0" y="0"/>
            <wp:positionH relativeFrom="column">
              <wp:posOffset>175260</wp:posOffset>
            </wp:positionH>
            <wp:positionV relativeFrom="paragraph">
              <wp:posOffset>276860</wp:posOffset>
            </wp:positionV>
            <wp:extent cx="1371600" cy="1019175"/>
            <wp:effectExtent l="0" t="0" r="0" b="9525"/>
            <wp:wrapNone/>
            <wp:docPr id="2" name="Picture 2" descr="DWP_326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P_3262_SML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9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rPr>
        <w:drawing>
          <wp:inline distT="0" distB="0" distL="0" distR="0" wp14:anchorId="1E8A5DC5" wp14:editId="3D3C2256">
            <wp:extent cx="1511300" cy="1512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1512570"/>
                    </a:xfrm>
                    <a:prstGeom prst="rect">
                      <a:avLst/>
                    </a:prstGeom>
                    <a:noFill/>
                  </pic:spPr>
                </pic:pic>
              </a:graphicData>
            </a:graphic>
          </wp:inline>
        </w:drawing>
      </w:r>
    </w:p>
    <w:p w:rsidR="00CA6FCB" w:rsidRDefault="0024574B" w:rsidP="00B12D56">
      <w:pPr>
        <w:pStyle w:val="Default"/>
        <w:spacing w:before="120" w:after="240"/>
        <w:rPr>
          <w:b/>
          <w:bCs/>
          <w:color w:val="auto"/>
          <w:sz w:val="72"/>
          <w:szCs w:val="72"/>
        </w:rPr>
      </w:pPr>
      <w:r>
        <w:rPr>
          <w:b/>
          <w:bCs/>
          <w:color w:val="auto"/>
          <w:sz w:val="28"/>
          <w:szCs w:val="28"/>
        </w:rPr>
        <w:t xml:space="preserve"> </w:t>
      </w:r>
      <w:r w:rsidR="00711797" w:rsidRPr="00946EDA">
        <w:rPr>
          <w:b/>
          <w:bCs/>
          <w:color w:val="auto"/>
          <w:sz w:val="28"/>
          <w:szCs w:val="28"/>
        </w:rPr>
        <w:t xml:space="preserve"> </w:t>
      </w:r>
      <w:r w:rsidR="00244981" w:rsidRPr="00946EDA">
        <w:rPr>
          <w:b/>
          <w:bCs/>
          <w:color w:val="auto"/>
          <w:sz w:val="72"/>
          <w:szCs w:val="72"/>
        </w:rPr>
        <w:t xml:space="preserve">New Enterprise Allowance </w:t>
      </w:r>
    </w:p>
    <w:p w:rsidR="00AC4BC4" w:rsidRPr="004509A7" w:rsidRDefault="00CA6FCB" w:rsidP="00690E9E">
      <w:pPr>
        <w:pStyle w:val="Default"/>
        <w:spacing w:before="2160" w:after="240"/>
        <w:jc w:val="center"/>
        <w:rPr>
          <w:b/>
          <w:bCs/>
          <w:color w:val="auto"/>
          <w:sz w:val="48"/>
          <w:szCs w:val="48"/>
        </w:rPr>
      </w:pPr>
      <w:r w:rsidRPr="004509A7">
        <w:rPr>
          <w:b/>
          <w:bCs/>
          <w:color w:val="auto"/>
          <w:sz w:val="48"/>
          <w:szCs w:val="48"/>
        </w:rPr>
        <w:t>Phase 2</w:t>
      </w:r>
      <w:r w:rsidR="004509A7" w:rsidRPr="004509A7">
        <w:rPr>
          <w:b/>
          <w:bCs/>
          <w:color w:val="auto"/>
          <w:sz w:val="48"/>
          <w:szCs w:val="48"/>
        </w:rPr>
        <w:t xml:space="preserve"> - </w:t>
      </w:r>
      <w:r w:rsidRPr="004509A7">
        <w:rPr>
          <w:b/>
          <w:bCs/>
          <w:color w:val="auto"/>
          <w:sz w:val="48"/>
          <w:szCs w:val="48"/>
        </w:rPr>
        <w:t>2017/19</w:t>
      </w:r>
    </w:p>
    <w:p w:rsidR="00F42381" w:rsidRDefault="00FF63D3" w:rsidP="00690E9E">
      <w:pPr>
        <w:pStyle w:val="Default"/>
        <w:spacing w:before="960" w:after="240"/>
        <w:jc w:val="center"/>
        <w:rPr>
          <w:b/>
          <w:bCs/>
          <w:color w:val="auto"/>
          <w:sz w:val="40"/>
          <w:szCs w:val="40"/>
        </w:rPr>
      </w:pPr>
      <w:r w:rsidRPr="00946EDA">
        <w:rPr>
          <w:b/>
          <w:bCs/>
          <w:color w:val="auto"/>
          <w:sz w:val="40"/>
          <w:szCs w:val="40"/>
        </w:rPr>
        <w:t>Specification and</w:t>
      </w:r>
      <w:r w:rsidR="00C2098A" w:rsidRPr="00946EDA">
        <w:rPr>
          <w:b/>
          <w:bCs/>
          <w:color w:val="auto"/>
          <w:sz w:val="40"/>
          <w:szCs w:val="40"/>
        </w:rPr>
        <w:t xml:space="preserve"> </w:t>
      </w:r>
      <w:r w:rsidRPr="00946EDA">
        <w:rPr>
          <w:b/>
          <w:bCs/>
          <w:color w:val="auto"/>
          <w:sz w:val="40"/>
          <w:szCs w:val="40"/>
        </w:rPr>
        <w:t>Supporting Information</w:t>
      </w:r>
    </w:p>
    <w:p w:rsidR="00CA6FCB" w:rsidRPr="00F42381" w:rsidRDefault="00F42381" w:rsidP="00690E9E">
      <w:pPr>
        <w:pStyle w:val="Default"/>
        <w:spacing w:before="960" w:after="240"/>
        <w:jc w:val="center"/>
        <w:rPr>
          <w:b/>
          <w:bCs/>
          <w:color w:val="auto"/>
          <w:sz w:val="28"/>
          <w:szCs w:val="28"/>
        </w:rPr>
      </w:pPr>
      <w:r w:rsidRPr="00F42381">
        <w:rPr>
          <w:b/>
          <w:bCs/>
          <w:color w:val="auto"/>
          <w:sz w:val="28"/>
          <w:szCs w:val="28"/>
        </w:rPr>
        <w:t>30 September 2016</w:t>
      </w:r>
      <w:r w:rsidR="00FF63D3" w:rsidRPr="00F42381">
        <w:rPr>
          <w:b/>
          <w:bCs/>
          <w:color w:val="auto"/>
          <w:sz w:val="28"/>
          <w:szCs w:val="28"/>
        </w:rPr>
        <w:t xml:space="preserve"> </w:t>
      </w:r>
    </w:p>
    <w:p w:rsidR="00CA6FCB" w:rsidRDefault="00CA6FCB" w:rsidP="00690E9E">
      <w:pPr>
        <w:pStyle w:val="Default"/>
        <w:spacing w:before="960" w:after="240"/>
        <w:jc w:val="center"/>
        <w:rPr>
          <w:b/>
          <w:bCs/>
          <w:color w:val="auto"/>
          <w:sz w:val="40"/>
          <w:szCs w:val="40"/>
        </w:rPr>
      </w:pPr>
    </w:p>
    <w:p w:rsidR="004F5C4C" w:rsidRPr="00946EDA" w:rsidRDefault="00CA6FCB" w:rsidP="00690E9E">
      <w:pPr>
        <w:pStyle w:val="Default"/>
        <w:spacing w:before="960" w:after="240"/>
      </w:pPr>
      <w:r>
        <w:t>UI_DWP_101838</w:t>
      </w:r>
    </w:p>
    <w:p w:rsidR="00075B1E" w:rsidRPr="00946EDA" w:rsidRDefault="00075B1E" w:rsidP="00690E9E">
      <w:pPr>
        <w:pStyle w:val="Default"/>
        <w:spacing w:before="120" w:after="240"/>
        <w:jc w:val="right"/>
        <w:rPr>
          <w:color w:val="auto"/>
        </w:rPr>
      </w:pPr>
      <w:r w:rsidRPr="00946EDA">
        <w:rPr>
          <w:color w:val="auto"/>
        </w:rPr>
        <w:t>Versi</w:t>
      </w:r>
      <w:r w:rsidR="00967015" w:rsidRPr="00946EDA">
        <w:rPr>
          <w:color w:val="auto"/>
        </w:rPr>
        <w:t xml:space="preserve">on </w:t>
      </w:r>
      <w:r w:rsidR="005272C3">
        <w:rPr>
          <w:color w:val="auto"/>
        </w:rPr>
        <w:t>3.</w:t>
      </w:r>
      <w:r w:rsidR="00767703">
        <w:rPr>
          <w:color w:val="auto"/>
        </w:rPr>
        <w:t>2</w:t>
      </w:r>
    </w:p>
    <w:p w:rsidR="00735F4F" w:rsidRPr="00946EDA" w:rsidRDefault="00134289" w:rsidP="00690E9E">
      <w:pPr>
        <w:pStyle w:val="Default"/>
        <w:spacing w:before="120" w:after="240"/>
        <w:rPr>
          <w:b/>
          <w:bCs/>
          <w:color w:val="auto"/>
          <w:sz w:val="28"/>
          <w:szCs w:val="28"/>
          <w:u w:val="single"/>
        </w:rPr>
      </w:pPr>
      <w:r>
        <w:rPr>
          <w:b/>
          <w:bCs/>
          <w:color w:val="auto"/>
          <w:sz w:val="28"/>
          <w:szCs w:val="28"/>
          <w:u w:val="single"/>
        </w:rPr>
        <w:br w:type="page"/>
      </w:r>
      <w:r w:rsidR="00FF63D3" w:rsidRPr="00946EDA">
        <w:rPr>
          <w:b/>
          <w:bCs/>
          <w:color w:val="auto"/>
          <w:sz w:val="28"/>
          <w:szCs w:val="28"/>
          <w:u w:val="single"/>
        </w:rPr>
        <w:lastRenderedPageBreak/>
        <w:t>CONTENTS</w:t>
      </w:r>
    </w:p>
    <w:p w:rsidR="00CE0453" w:rsidRPr="00946EDA" w:rsidRDefault="00CE0453" w:rsidP="00690E9E">
      <w:pPr>
        <w:pStyle w:val="Default"/>
        <w:spacing w:before="120" w:after="240"/>
        <w:jc w:val="center"/>
        <w:rPr>
          <w:b/>
          <w:bCs/>
          <w:color w:val="auto"/>
          <w:sz w:val="28"/>
          <w:szCs w:val="28"/>
        </w:rPr>
      </w:pPr>
    </w:p>
    <w:p w:rsidR="00CE0453" w:rsidRPr="00720BC7" w:rsidRDefault="00CE0453" w:rsidP="00375376">
      <w:pPr>
        <w:pStyle w:val="Default"/>
        <w:spacing w:after="240"/>
        <w:jc w:val="both"/>
        <w:rPr>
          <w:color w:val="auto"/>
          <w:sz w:val="28"/>
          <w:szCs w:val="28"/>
        </w:rPr>
      </w:pPr>
      <w:r w:rsidRPr="00946EDA">
        <w:rPr>
          <w:b/>
          <w:bCs/>
          <w:color w:val="auto"/>
          <w:sz w:val="28"/>
          <w:szCs w:val="28"/>
        </w:rPr>
        <w:t>1.</w:t>
      </w:r>
      <w:r w:rsidRPr="00946EDA">
        <w:rPr>
          <w:b/>
          <w:bCs/>
          <w:color w:val="auto"/>
          <w:sz w:val="28"/>
          <w:szCs w:val="28"/>
        </w:rPr>
        <w:tab/>
      </w:r>
      <w:hyperlink w:anchor="_1._OVERVIEW" w:history="1">
        <w:r w:rsidRPr="00720BC7">
          <w:rPr>
            <w:rStyle w:val="Hyperlink"/>
            <w:b/>
            <w:bCs/>
            <w:color w:val="auto"/>
            <w:sz w:val="28"/>
            <w:szCs w:val="28"/>
          </w:rPr>
          <w:t xml:space="preserve">Overview </w:t>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t>P 3</w:t>
        </w:r>
      </w:hyperlink>
    </w:p>
    <w:p w:rsidR="00CE0453" w:rsidRPr="00720BC7" w:rsidRDefault="00CE0453" w:rsidP="00375376">
      <w:pPr>
        <w:pStyle w:val="Default"/>
        <w:spacing w:after="240"/>
        <w:jc w:val="both"/>
        <w:rPr>
          <w:color w:val="auto"/>
          <w:sz w:val="28"/>
          <w:szCs w:val="28"/>
        </w:rPr>
      </w:pPr>
      <w:r w:rsidRPr="00720BC7">
        <w:rPr>
          <w:b/>
          <w:bCs/>
          <w:color w:val="auto"/>
          <w:sz w:val="28"/>
          <w:szCs w:val="28"/>
        </w:rPr>
        <w:t xml:space="preserve">2. </w:t>
      </w:r>
      <w:r w:rsidRPr="00720BC7">
        <w:rPr>
          <w:b/>
          <w:bCs/>
          <w:color w:val="auto"/>
          <w:sz w:val="28"/>
          <w:szCs w:val="28"/>
        </w:rPr>
        <w:tab/>
      </w:r>
      <w:hyperlink w:anchor="_2._THE_SERVICE" w:history="1">
        <w:r w:rsidRPr="00720BC7">
          <w:rPr>
            <w:rStyle w:val="Hyperlink"/>
            <w:b/>
            <w:bCs/>
            <w:color w:val="auto"/>
            <w:sz w:val="28"/>
            <w:szCs w:val="28"/>
          </w:rPr>
          <w:t>The Service Requirement</w:t>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r>
        <w:r w:rsidR="004E0D9C" w:rsidRPr="00720BC7">
          <w:rPr>
            <w:rStyle w:val="Hyperlink"/>
            <w:b/>
            <w:bCs/>
            <w:color w:val="auto"/>
            <w:sz w:val="28"/>
            <w:szCs w:val="28"/>
          </w:rPr>
          <w:tab/>
          <w:t xml:space="preserve">P </w:t>
        </w:r>
        <w:r w:rsidR="00270419">
          <w:rPr>
            <w:rStyle w:val="Hyperlink"/>
            <w:b/>
            <w:bCs/>
            <w:color w:val="auto"/>
            <w:sz w:val="28"/>
            <w:szCs w:val="28"/>
          </w:rPr>
          <w:t>8</w:t>
        </w:r>
      </w:hyperlink>
    </w:p>
    <w:p w:rsidR="00CE0453" w:rsidRPr="008C2B75" w:rsidRDefault="00CE0453" w:rsidP="00566ACC">
      <w:pPr>
        <w:pStyle w:val="Default"/>
        <w:tabs>
          <w:tab w:val="left" w:pos="3261"/>
        </w:tabs>
        <w:spacing w:after="240"/>
        <w:jc w:val="both"/>
        <w:rPr>
          <w:color w:val="auto"/>
          <w:sz w:val="28"/>
          <w:szCs w:val="28"/>
          <w:highlight w:val="red"/>
        </w:rPr>
      </w:pPr>
      <w:r w:rsidRPr="00720BC7">
        <w:rPr>
          <w:b/>
          <w:bCs/>
          <w:color w:val="auto"/>
          <w:sz w:val="28"/>
          <w:szCs w:val="28"/>
        </w:rPr>
        <w:t>3.</w:t>
      </w:r>
      <w:r w:rsidRPr="00720BC7">
        <w:rPr>
          <w:b/>
          <w:bCs/>
          <w:color w:val="auto"/>
          <w:sz w:val="28"/>
          <w:szCs w:val="28"/>
        </w:rPr>
        <w:tab/>
      </w:r>
      <w:hyperlink w:anchor="_3._PERFORMANCE_AND" w:history="1">
        <w:r w:rsidRPr="000C37EE">
          <w:rPr>
            <w:rStyle w:val="Hyperlink"/>
            <w:b/>
            <w:bCs/>
            <w:color w:val="auto"/>
            <w:sz w:val="28"/>
            <w:szCs w:val="28"/>
          </w:rPr>
          <w:t>Performance</w:t>
        </w:r>
        <w:r w:rsidR="005421E7" w:rsidRPr="000C37EE">
          <w:rPr>
            <w:rStyle w:val="Hyperlink"/>
            <w:b/>
            <w:bCs/>
            <w:color w:val="auto"/>
            <w:sz w:val="28"/>
            <w:szCs w:val="28"/>
          </w:rPr>
          <w:t xml:space="preserve"> and th</w:t>
        </w:r>
        <w:r w:rsidR="005421E7" w:rsidRPr="00DA0E95">
          <w:rPr>
            <w:rStyle w:val="Hyperlink"/>
            <w:b/>
            <w:bCs/>
            <w:color w:val="auto"/>
            <w:sz w:val="28"/>
            <w:szCs w:val="28"/>
          </w:rPr>
          <w:t xml:space="preserve">e </w:t>
        </w:r>
        <w:r w:rsidR="005421E7" w:rsidRPr="00DA0E95">
          <w:rPr>
            <w:b/>
            <w:sz w:val="28"/>
            <w:szCs w:val="28"/>
            <w:u w:val="single"/>
          </w:rPr>
          <w:t>Payment</w:t>
        </w:r>
        <w:r w:rsidR="005421E7" w:rsidRPr="00DA0E95">
          <w:rPr>
            <w:rStyle w:val="Hyperlink"/>
            <w:b/>
            <w:bCs/>
            <w:color w:val="auto"/>
            <w:sz w:val="28"/>
            <w:szCs w:val="28"/>
          </w:rPr>
          <w:t xml:space="preserve"> Mo</w:t>
        </w:r>
        <w:r w:rsidR="005421E7" w:rsidRPr="000C37EE">
          <w:rPr>
            <w:rStyle w:val="Hyperlink"/>
            <w:b/>
            <w:bCs/>
            <w:color w:val="auto"/>
            <w:sz w:val="28"/>
            <w:szCs w:val="28"/>
          </w:rPr>
          <w:t>del</w:t>
        </w:r>
        <w:r w:rsidR="004E0D9C" w:rsidRPr="000C37EE">
          <w:rPr>
            <w:rStyle w:val="Hyperlink"/>
            <w:b/>
            <w:bCs/>
            <w:color w:val="auto"/>
            <w:sz w:val="28"/>
            <w:szCs w:val="28"/>
          </w:rPr>
          <w:tab/>
        </w:r>
        <w:r w:rsidR="004E0D9C" w:rsidRPr="000C37EE">
          <w:rPr>
            <w:rStyle w:val="Hyperlink"/>
            <w:b/>
            <w:bCs/>
            <w:color w:val="auto"/>
            <w:sz w:val="28"/>
            <w:szCs w:val="28"/>
          </w:rPr>
          <w:tab/>
        </w:r>
        <w:r w:rsidR="004E0D9C" w:rsidRPr="000C37EE">
          <w:rPr>
            <w:rStyle w:val="Hyperlink"/>
            <w:b/>
            <w:bCs/>
            <w:color w:val="auto"/>
            <w:sz w:val="28"/>
            <w:szCs w:val="28"/>
          </w:rPr>
          <w:tab/>
        </w:r>
        <w:r w:rsidR="004E0D9C" w:rsidRPr="000C37EE">
          <w:rPr>
            <w:rStyle w:val="Hyperlink"/>
            <w:b/>
            <w:bCs/>
            <w:color w:val="auto"/>
            <w:sz w:val="28"/>
            <w:szCs w:val="28"/>
          </w:rPr>
          <w:tab/>
        </w:r>
        <w:r w:rsidR="004E0D9C" w:rsidRPr="000C37EE">
          <w:rPr>
            <w:rStyle w:val="Hyperlink"/>
            <w:b/>
            <w:bCs/>
            <w:color w:val="auto"/>
            <w:sz w:val="28"/>
            <w:szCs w:val="28"/>
          </w:rPr>
          <w:tab/>
        </w:r>
        <w:r w:rsidR="004E0D9C" w:rsidRPr="000C37EE">
          <w:rPr>
            <w:rStyle w:val="Hyperlink"/>
            <w:b/>
            <w:bCs/>
            <w:color w:val="auto"/>
            <w:sz w:val="28"/>
            <w:szCs w:val="28"/>
          </w:rPr>
          <w:tab/>
          <w:t xml:space="preserve">P </w:t>
        </w:r>
        <w:r w:rsidR="00270419">
          <w:rPr>
            <w:rStyle w:val="Hyperlink"/>
            <w:b/>
            <w:bCs/>
            <w:color w:val="auto"/>
            <w:sz w:val="28"/>
            <w:szCs w:val="28"/>
          </w:rPr>
          <w:t>23</w:t>
        </w:r>
      </w:hyperlink>
    </w:p>
    <w:p w:rsidR="00CE0453" w:rsidRPr="00720BC7" w:rsidRDefault="00CE0453" w:rsidP="00375376">
      <w:pPr>
        <w:pStyle w:val="Default"/>
        <w:spacing w:after="240"/>
        <w:rPr>
          <w:color w:val="auto"/>
          <w:sz w:val="28"/>
          <w:szCs w:val="28"/>
        </w:rPr>
      </w:pPr>
      <w:r w:rsidRPr="00720BC7">
        <w:rPr>
          <w:b/>
          <w:bCs/>
          <w:color w:val="auto"/>
          <w:sz w:val="28"/>
          <w:szCs w:val="28"/>
        </w:rPr>
        <w:t>4.</w:t>
      </w:r>
      <w:r w:rsidRPr="00720BC7">
        <w:rPr>
          <w:b/>
          <w:bCs/>
          <w:color w:val="auto"/>
          <w:sz w:val="28"/>
          <w:szCs w:val="28"/>
        </w:rPr>
        <w:tab/>
      </w:r>
      <w:hyperlink w:anchor="_4._ADDITIONAL_INFORMATION" w:history="1">
        <w:r w:rsidRPr="00720BC7">
          <w:rPr>
            <w:rStyle w:val="Hyperlink"/>
            <w:b/>
            <w:bCs/>
            <w:color w:val="auto"/>
            <w:sz w:val="28"/>
            <w:szCs w:val="28"/>
          </w:rPr>
          <w:t xml:space="preserve">Additional Information and Delivery </w:t>
        </w:r>
        <w:r w:rsidR="00685EB2" w:rsidRPr="00720BC7">
          <w:rPr>
            <w:rStyle w:val="Hyperlink"/>
            <w:b/>
            <w:bCs/>
            <w:color w:val="auto"/>
            <w:sz w:val="28"/>
            <w:szCs w:val="28"/>
          </w:rPr>
          <w:t>Requirements</w:t>
        </w:r>
        <w:r w:rsidR="00FE2614" w:rsidRPr="00720BC7">
          <w:rPr>
            <w:rStyle w:val="Hyperlink"/>
            <w:b/>
            <w:bCs/>
            <w:color w:val="auto"/>
            <w:sz w:val="28"/>
            <w:szCs w:val="28"/>
          </w:rPr>
          <w:tab/>
        </w:r>
        <w:r w:rsidR="00FE2614" w:rsidRPr="00720BC7">
          <w:rPr>
            <w:rStyle w:val="Hyperlink"/>
            <w:b/>
            <w:bCs/>
            <w:color w:val="auto"/>
            <w:sz w:val="28"/>
            <w:szCs w:val="28"/>
          </w:rPr>
          <w:tab/>
        </w:r>
        <w:r w:rsidR="00FE2614" w:rsidRPr="00720BC7">
          <w:rPr>
            <w:rStyle w:val="Hyperlink"/>
            <w:b/>
            <w:bCs/>
            <w:color w:val="auto"/>
            <w:sz w:val="28"/>
            <w:szCs w:val="28"/>
          </w:rPr>
          <w:tab/>
          <w:t xml:space="preserve">P </w:t>
        </w:r>
        <w:r w:rsidR="00270419">
          <w:rPr>
            <w:rStyle w:val="Hyperlink"/>
            <w:b/>
            <w:bCs/>
            <w:color w:val="auto"/>
            <w:sz w:val="28"/>
            <w:szCs w:val="28"/>
          </w:rPr>
          <w:t>29</w:t>
        </w:r>
      </w:hyperlink>
    </w:p>
    <w:p w:rsidR="00CE0453" w:rsidRPr="00720BC7" w:rsidRDefault="00CE0453" w:rsidP="00690E9E">
      <w:pPr>
        <w:pStyle w:val="Default"/>
        <w:spacing w:after="480"/>
        <w:jc w:val="both"/>
        <w:rPr>
          <w:color w:val="auto"/>
          <w:sz w:val="28"/>
          <w:szCs w:val="28"/>
        </w:rPr>
      </w:pPr>
      <w:r w:rsidRPr="00720BC7">
        <w:rPr>
          <w:b/>
          <w:bCs/>
          <w:color w:val="auto"/>
          <w:sz w:val="28"/>
          <w:szCs w:val="28"/>
        </w:rPr>
        <w:t xml:space="preserve">5. </w:t>
      </w:r>
      <w:r w:rsidRPr="00720BC7">
        <w:rPr>
          <w:b/>
          <w:bCs/>
          <w:color w:val="auto"/>
          <w:sz w:val="28"/>
          <w:szCs w:val="28"/>
        </w:rPr>
        <w:tab/>
      </w:r>
      <w:hyperlink w:anchor="_5.__QUALITY,_1" w:history="1">
        <w:r w:rsidRPr="00720BC7">
          <w:rPr>
            <w:rStyle w:val="Hyperlink"/>
            <w:b/>
            <w:bCs/>
            <w:color w:val="auto"/>
            <w:sz w:val="28"/>
            <w:szCs w:val="28"/>
          </w:rPr>
          <w:t>Quality</w:t>
        </w:r>
        <w:r w:rsidR="00EB31CE" w:rsidRPr="00720BC7">
          <w:rPr>
            <w:rStyle w:val="Hyperlink"/>
            <w:b/>
            <w:bCs/>
            <w:color w:val="auto"/>
            <w:sz w:val="28"/>
            <w:szCs w:val="28"/>
          </w:rPr>
          <w:t>,</w:t>
        </w:r>
        <w:r w:rsidRPr="00720BC7">
          <w:rPr>
            <w:rStyle w:val="Hyperlink"/>
            <w:b/>
            <w:bCs/>
            <w:color w:val="auto"/>
            <w:sz w:val="28"/>
            <w:szCs w:val="28"/>
          </w:rPr>
          <w:t xml:space="preserve"> Evaluation</w:t>
        </w:r>
        <w:r w:rsidR="00EB31CE" w:rsidRPr="00720BC7">
          <w:rPr>
            <w:rStyle w:val="Hyperlink"/>
            <w:b/>
            <w:bCs/>
            <w:color w:val="auto"/>
            <w:sz w:val="28"/>
            <w:szCs w:val="28"/>
          </w:rPr>
          <w:t xml:space="preserve">, </w:t>
        </w:r>
        <w:r w:rsidR="00062849" w:rsidRPr="00720BC7">
          <w:rPr>
            <w:rStyle w:val="Hyperlink"/>
            <w:b/>
            <w:bCs/>
            <w:color w:val="auto"/>
            <w:sz w:val="28"/>
            <w:szCs w:val="28"/>
          </w:rPr>
          <w:t>Account and Performance Management</w:t>
        </w:r>
        <w:r w:rsidR="004E0D9C" w:rsidRPr="00720BC7">
          <w:rPr>
            <w:rStyle w:val="Hyperlink"/>
            <w:b/>
            <w:bCs/>
            <w:color w:val="auto"/>
            <w:sz w:val="28"/>
            <w:szCs w:val="28"/>
          </w:rPr>
          <w:tab/>
          <w:t xml:space="preserve">P </w:t>
        </w:r>
        <w:r w:rsidR="00270419">
          <w:rPr>
            <w:rStyle w:val="Hyperlink"/>
            <w:b/>
            <w:bCs/>
            <w:color w:val="auto"/>
            <w:sz w:val="28"/>
            <w:szCs w:val="28"/>
          </w:rPr>
          <w:t>34</w:t>
        </w:r>
      </w:hyperlink>
    </w:p>
    <w:p w:rsidR="00CE0453" w:rsidRPr="00720BC7" w:rsidRDefault="00CE0453" w:rsidP="00690E9E">
      <w:pPr>
        <w:pStyle w:val="Default"/>
        <w:spacing w:before="120" w:after="240"/>
        <w:ind w:left="618" w:hanging="620"/>
        <w:rPr>
          <w:b/>
          <w:bCs/>
          <w:color w:val="auto"/>
          <w:sz w:val="28"/>
          <w:szCs w:val="28"/>
          <w:u w:val="single"/>
        </w:rPr>
      </w:pPr>
      <w:r w:rsidRPr="00720BC7">
        <w:rPr>
          <w:b/>
          <w:bCs/>
          <w:color w:val="auto"/>
          <w:sz w:val="28"/>
          <w:szCs w:val="28"/>
          <w:u w:val="single"/>
        </w:rPr>
        <w:t>ANNEXES</w:t>
      </w:r>
    </w:p>
    <w:p w:rsidR="00CE0453" w:rsidRDefault="00CE0453" w:rsidP="00690E9E">
      <w:pPr>
        <w:pStyle w:val="BodyText"/>
        <w:ind w:left="618" w:hanging="620"/>
        <w:jc w:val="both"/>
        <w:rPr>
          <w:rFonts w:cs="Arial"/>
          <w:b/>
          <w:bCs/>
          <w:sz w:val="28"/>
          <w:szCs w:val="28"/>
        </w:rPr>
      </w:pPr>
      <w:r w:rsidRPr="00720BC7">
        <w:rPr>
          <w:rFonts w:cs="Arial"/>
          <w:b/>
          <w:sz w:val="28"/>
          <w:szCs w:val="28"/>
        </w:rPr>
        <w:t>1.</w:t>
      </w:r>
      <w:r w:rsidRPr="00720BC7">
        <w:rPr>
          <w:rFonts w:cs="Arial"/>
          <w:b/>
          <w:sz w:val="28"/>
          <w:szCs w:val="28"/>
        </w:rPr>
        <w:tab/>
      </w:r>
      <w:hyperlink w:anchor="_CONTRACT_PACKAGES,_INDICATIVE" w:history="1">
        <w:r w:rsidRPr="00720BC7">
          <w:rPr>
            <w:rStyle w:val="Hyperlink"/>
            <w:rFonts w:cs="Arial"/>
            <w:b/>
            <w:bCs/>
            <w:color w:val="auto"/>
            <w:sz w:val="28"/>
            <w:szCs w:val="28"/>
          </w:rPr>
          <w:t>C</w:t>
        </w:r>
        <w:r w:rsidR="001A7831">
          <w:rPr>
            <w:rStyle w:val="Hyperlink"/>
            <w:rFonts w:cs="Arial"/>
            <w:b/>
            <w:bCs/>
            <w:color w:val="auto"/>
            <w:sz w:val="28"/>
            <w:szCs w:val="28"/>
          </w:rPr>
          <w:t>ustomer Journey Graphic</w:t>
        </w:r>
        <w:r w:rsidR="001A7831">
          <w:rPr>
            <w:rStyle w:val="Hyperlink"/>
            <w:rFonts w:cs="Arial"/>
            <w:b/>
            <w:bCs/>
            <w:color w:val="auto"/>
            <w:sz w:val="28"/>
            <w:szCs w:val="28"/>
          </w:rPr>
          <w:tab/>
        </w:r>
        <w:r w:rsidR="001A7831">
          <w:rPr>
            <w:rStyle w:val="Hyperlink"/>
            <w:rFonts w:cs="Arial"/>
            <w:b/>
            <w:bCs/>
            <w:color w:val="auto"/>
            <w:sz w:val="28"/>
            <w:szCs w:val="28"/>
          </w:rPr>
          <w:tab/>
        </w:r>
        <w:r w:rsidR="001A7831">
          <w:rPr>
            <w:rStyle w:val="Hyperlink"/>
            <w:rFonts w:cs="Arial"/>
            <w:b/>
            <w:bCs/>
            <w:color w:val="auto"/>
            <w:sz w:val="28"/>
            <w:szCs w:val="28"/>
          </w:rPr>
          <w:tab/>
        </w:r>
        <w:r w:rsidR="001A7831">
          <w:rPr>
            <w:rStyle w:val="Hyperlink"/>
            <w:rFonts w:cs="Arial"/>
            <w:b/>
            <w:bCs/>
            <w:color w:val="auto"/>
            <w:sz w:val="28"/>
            <w:szCs w:val="28"/>
          </w:rPr>
          <w:tab/>
        </w:r>
        <w:r w:rsidR="001A7831">
          <w:rPr>
            <w:rStyle w:val="Hyperlink"/>
            <w:rFonts w:cs="Arial"/>
            <w:b/>
            <w:bCs/>
            <w:color w:val="auto"/>
            <w:sz w:val="28"/>
            <w:szCs w:val="28"/>
          </w:rPr>
          <w:tab/>
        </w:r>
        <w:r w:rsidR="004E0D9C" w:rsidRPr="00720BC7">
          <w:rPr>
            <w:rStyle w:val="Hyperlink"/>
            <w:rFonts w:cs="Arial"/>
            <w:b/>
            <w:bCs/>
            <w:color w:val="auto"/>
            <w:sz w:val="28"/>
            <w:szCs w:val="28"/>
          </w:rPr>
          <w:tab/>
        </w:r>
        <w:r w:rsidR="004E0D9C" w:rsidRPr="00720BC7">
          <w:rPr>
            <w:rStyle w:val="Hyperlink"/>
            <w:rFonts w:cs="Arial"/>
            <w:b/>
            <w:bCs/>
            <w:color w:val="auto"/>
            <w:sz w:val="28"/>
            <w:szCs w:val="28"/>
          </w:rPr>
          <w:tab/>
        </w:r>
        <w:r w:rsidR="004E0D9C" w:rsidRPr="00720BC7">
          <w:rPr>
            <w:rStyle w:val="Hyperlink"/>
            <w:rFonts w:cs="Arial"/>
            <w:b/>
            <w:bCs/>
            <w:color w:val="auto"/>
            <w:sz w:val="28"/>
            <w:szCs w:val="28"/>
          </w:rPr>
          <w:tab/>
          <w:t xml:space="preserve">P </w:t>
        </w:r>
      </w:hyperlink>
      <w:r w:rsidR="00270419">
        <w:rPr>
          <w:rStyle w:val="Hyperlink"/>
          <w:rFonts w:cs="Arial"/>
          <w:b/>
          <w:bCs/>
          <w:color w:val="auto"/>
          <w:sz w:val="28"/>
          <w:szCs w:val="28"/>
        </w:rPr>
        <w:t>38</w:t>
      </w:r>
    </w:p>
    <w:p w:rsidR="00CE0453" w:rsidRPr="00720BC7" w:rsidRDefault="00CE0453" w:rsidP="00690E9E">
      <w:pPr>
        <w:spacing w:after="240"/>
        <w:ind w:left="618" w:right="-178" w:hanging="620"/>
        <w:rPr>
          <w:rFonts w:cs="Arial"/>
          <w:b/>
          <w:bCs/>
          <w:sz w:val="28"/>
          <w:szCs w:val="28"/>
        </w:rPr>
      </w:pPr>
      <w:r w:rsidRPr="00720BC7">
        <w:rPr>
          <w:rFonts w:cs="Arial"/>
          <w:b/>
          <w:bCs/>
          <w:sz w:val="28"/>
          <w:szCs w:val="28"/>
        </w:rPr>
        <w:t>2.</w:t>
      </w:r>
      <w:r w:rsidRPr="00720BC7">
        <w:rPr>
          <w:rFonts w:cs="Arial"/>
          <w:b/>
          <w:bCs/>
          <w:sz w:val="28"/>
          <w:szCs w:val="28"/>
        </w:rPr>
        <w:tab/>
      </w:r>
      <w:hyperlink w:anchor="_Community_Action_Programme" w:history="1">
        <w:r w:rsidR="001A7831" w:rsidRPr="001A7831">
          <w:rPr>
            <w:rFonts w:cs="Arial"/>
            <w:b/>
            <w:sz w:val="28"/>
            <w:szCs w:val="28"/>
            <w:u w:val="single"/>
          </w:rPr>
          <w:t>Contract Packages, Indicative Volumes and Budget</w:t>
        </w:r>
        <w:r w:rsidR="00685127">
          <w:rPr>
            <w:rStyle w:val="Hyperlink"/>
            <w:rFonts w:cs="Arial"/>
            <w:b/>
            <w:color w:val="auto"/>
            <w:sz w:val="28"/>
            <w:szCs w:val="28"/>
          </w:rPr>
          <w:tab/>
        </w:r>
        <w:r w:rsidR="00685127">
          <w:rPr>
            <w:rStyle w:val="Hyperlink"/>
            <w:rFonts w:cs="Arial"/>
            <w:b/>
            <w:color w:val="auto"/>
            <w:sz w:val="28"/>
            <w:szCs w:val="28"/>
          </w:rPr>
          <w:tab/>
        </w:r>
        <w:r w:rsidR="00685127">
          <w:rPr>
            <w:rStyle w:val="Hyperlink"/>
            <w:rFonts w:cs="Arial"/>
            <w:b/>
            <w:color w:val="auto"/>
            <w:sz w:val="28"/>
            <w:szCs w:val="28"/>
          </w:rPr>
          <w:tab/>
        </w:r>
        <w:r w:rsidR="004E0D9C" w:rsidRPr="00F346CF">
          <w:rPr>
            <w:rStyle w:val="Hyperlink"/>
            <w:rFonts w:cs="Arial"/>
            <w:b/>
            <w:color w:val="auto"/>
            <w:sz w:val="28"/>
            <w:szCs w:val="28"/>
          </w:rPr>
          <w:t>P</w:t>
        </w:r>
        <w:r w:rsidR="005F07DC" w:rsidRPr="00F346CF">
          <w:rPr>
            <w:rStyle w:val="Hyperlink"/>
            <w:rFonts w:cs="Arial"/>
            <w:b/>
            <w:color w:val="auto"/>
            <w:sz w:val="28"/>
            <w:szCs w:val="28"/>
          </w:rPr>
          <w:t xml:space="preserve"> </w:t>
        </w:r>
      </w:hyperlink>
      <w:r w:rsidR="00270419">
        <w:rPr>
          <w:rStyle w:val="Hyperlink"/>
          <w:rFonts w:cs="Arial"/>
          <w:b/>
          <w:color w:val="auto"/>
          <w:sz w:val="28"/>
          <w:szCs w:val="28"/>
        </w:rPr>
        <w:t>39</w:t>
      </w:r>
    </w:p>
    <w:p w:rsidR="00CE0453" w:rsidRPr="00720BC7" w:rsidRDefault="00CE0453" w:rsidP="00690E9E">
      <w:pPr>
        <w:spacing w:after="240"/>
        <w:ind w:left="618" w:right="-178" w:hanging="620"/>
        <w:rPr>
          <w:rFonts w:cs="Arial"/>
          <w:b/>
          <w:sz w:val="28"/>
          <w:szCs w:val="28"/>
        </w:rPr>
      </w:pPr>
      <w:r w:rsidRPr="00720BC7">
        <w:rPr>
          <w:rFonts w:cs="Arial"/>
          <w:b/>
          <w:bCs/>
          <w:sz w:val="28"/>
          <w:szCs w:val="28"/>
        </w:rPr>
        <w:t>3.</w:t>
      </w:r>
      <w:r w:rsidRPr="00720BC7">
        <w:rPr>
          <w:rFonts w:cs="Arial"/>
          <w:b/>
          <w:bCs/>
          <w:sz w:val="28"/>
          <w:szCs w:val="28"/>
        </w:rPr>
        <w:tab/>
      </w:r>
      <w:hyperlink w:anchor="_SERVICE_DELIVERY_STANDARDS" w:history="1">
        <w:r w:rsidR="001A7831" w:rsidRPr="001A7831">
          <w:rPr>
            <w:rStyle w:val="Hyperlink"/>
            <w:rFonts w:cs="Arial"/>
            <w:b/>
            <w:color w:val="auto"/>
            <w:sz w:val="28"/>
            <w:szCs w:val="28"/>
          </w:rPr>
          <w:t>Definitions</w:t>
        </w:r>
        <w:r w:rsidR="00685127" w:rsidRPr="00720BC7">
          <w:rPr>
            <w:rStyle w:val="Hyperlink"/>
            <w:rFonts w:cs="Arial"/>
            <w:b/>
            <w:color w:val="auto"/>
            <w:sz w:val="28"/>
            <w:szCs w:val="28"/>
          </w:rPr>
          <w:tab/>
        </w:r>
      </w:hyperlink>
      <w:r w:rsidR="004E0D9C" w:rsidRPr="00F346CF">
        <w:rPr>
          <w:rFonts w:cs="Arial"/>
          <w:b/>
          <w:sz w:val="28"/>
          <w:szCs w:val="28"/>
          <w:u w:val="single"/>
        </w:rPr>
        <w:tab/>
      </w:r>
      <w:r w:rsidR="004E0D9C" w:rsidRPr="00F346CF">
        <w:rPr>
          <w:rFonts w:cs="Arial"/>
          <w:b/>
          <w:sz w:val="28"/>
          <w:szCs w:val="28"/>
          <w:u w:val="single"/>
        </w:rPr>
        <w:tab/>
      </w:r>
      <w:r w:rsidR="004E0D9C" w:rsidRPr="00F346CF">
        <w:rPr>
          <w:rFonts w:cs="Arial"/>
          <w:b/>
          <w:sz w:val="28"/>
          <w:szCs w:val="28"/>
          <w:u w:val="single"/>
        </w:rPr>
        <w:tab/>
      </w:r>
      <w:r w:rsidR="004E0D9C" w:rsidRPr="00F346CF">
        <w:rPr>
          <w:rFonts w:cs="Arial"/>
          <w:b/>
          <w:sz w:val="28"/>
          <w:szCs w:val="28"/>
          <w:u w:val="single"/>
        </w:rPr>
        <w:tab/>
      </w:r>
      <w:r w:rsidR="004E0D9C" w:rsidRPr="00F346CF">
        <w:rPr>
          <w:rFonts w:cs="Arial"/>
          <w:b/>
          <w:sz w:val="28"/>
          <w:szCs w:val="28"/>
          <w:u w:val="single"/>
        </w:rPr>
        <w:tab/>
      </w:r>
      <w:r w:rsidR="001A7831">
        <w:rPr>
          <w:rFonts w:cs="Arial"/>
          <w:b/>
          <w:sz w:val="28"/>
          <w:szCs w:val="28"/>
          <w:u w:val="single"/>
        </w:rPr>
        <w:t xml:space="preserve">          </w:t>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r>
      <w:r w:rsidR="004E0D9C" w:rsidRPr="00F346CF">
        <w:rPr>
          <w:rFonts w:cs="Arial"/>
          <w:b/>
          <w:sz w:val="28"/>
          <w:szCs w:val="28"/>
          <w:u w:val="single"/>
        </w:rPr>
        <w:tab/>
        <w:t>P</w:t>
      </w:r>
      <w:r w:rsidR="00270419">
        <w:rPr>
          <w:rFonts w:cs="Arial"/>
          <w:b/>
          <w:sz w:val="28"/>
          <w:szCs w:val="28"/>
          <w:u w:val="single"/>
        </w:rPr>
        <w:t xml:space="preserve"> 43</w:t>
      </w:r>
    </w:p>
    <w:p w:rsidR="009D5326" w:rsidRPr="00720BC7" w:rsidRDefault="009208B4" w:rsidP="00690E9E">
      <w:pPr>
        <w:spacing w:after="240"/>
        <w:ind w:left="618" w:right="-178" w:hanging="620"/>
        <w:rPr>
          <w:rFonts w:cs="Arial"/>
          <w:b/>
          <w:bCs/>
          <w:sz w:val="28"/>
          <w:szCs w:val="28"/>
        </w:rPr>
      </w:pPr>
      <w:r w:rsidRPr="00720BC7">
        <w:rPr>
          <w:rFonts w:cs="Arial"/>
          <w:b/>
          <w:sz w:val="28"/>
          <w:szCs w:val="28"/>
        </w:rPr>
        <w:t xml:space="preserve">4.  </w:t>
      </w:r>
      <w:r w:rsidRPr="00720BC7">
        <w:rPr>
          <w:rFonts w:cs="Arial"/>
          <w:b/>
          <w:sz w:val="28"/>
          <w:szCs w:val="28"/>
        </w:rPr>
        <w:tab/>
      </w:r>
      <w:hyperlink w:anchor="_ADDITIONAL_INFORMATION" w:history="1">
        <w:r w:rsidR="001A7831" w:rsidRPr="001A7831">
          <w:rPr>
            <w:rStyle w:val="Hyperlink"/>
            <w:rFonts w:cs="Arial"/>
            <w:b/>
            <w:bCs/>
            <w:color w:val="auto"/>
            <w:sz w:val="28"/>
            <w:szCs w:val="28"/>
          </w:rPr>
          <w:t>Service Delivery Standards</w:t>
        </w:r>
        <w:r w:rsidR="00685127" w:rsidRPr="00720BC7">
          <w:rPr>
            <w:rStyle w:val="Hyperlink"/>
            <w:rFonts w:cs="Arial"/>
            <w:b/>
            <w:bCs/>
            <w:color w:val="auto"/>
            <w:sz w:val="28"/>
            <w:szCs w:val="28"/>
          </w:rPr>
          <w:tab/>
        </w:r>
        <w:r w:rsidR="00685127" w:rsidRPr="00720BC7">
          <w:rPr>
            <w:rStyle w:val="Hyperlink"/>
            <w:rFonts w:cs="Arial"/>
            <w:b/>
            <w:bCs/>
            <w:color w:val="auto"/>
            <w:sz w:val="28"/>
            <w:szCs w:val="28"/>
          </w:rPr>
          <w:tab/>
        </w:r>
      </w:hyperlink>
      <w:r w:rsidR="009B79AB">
        <w:rPr>
          <w:rFonts w:cs="Arial"/>
          <w:b/>
          <w:bCs/>
          <w:sz w:val="28"/>
          <w:szCs w:val="28"/>
        </w:rPr>
        <w:t>____________________________</w:t>
      </w:r>
      <w:r w:rsidR="00685127" w:rsidRPr="009B79AB">
        <w:rPr>
          <w:rFonts w:cs="Arial"/>
          <w:b/>
          <w:bCs/>
          <w:sz w:val="28"/>
          <w:szCs w:val="28"/>
          <w:u w:val="single"/>
        </w:rPr>
        <w:t>P</w:t>
      </w:r>
      <w:r w:rsidR="009B79AB" w:rsidRPr="009B79AB">
        <w:rPr>
          <w:rFonts w:cs="Arial"/>
          <w:b/>
          <w:bCs/>
          <w:sz w:val="28"/>
          <w:szCs w:val="28"/>
          <w:u w:val="single"/>
        </w:rPr>
        <w:t xml:space="preserve"> </w:t>
      </w:r>
      <w:r w:rsidR="00270419">
        <w:rPr>
          <w:rFonts w:cs="Arial"/>
          <w:b/>
          <w:bCs/>
          <w:sz w:val="28"/>
          <w:szCs w:val="28"/>
          <w:u w:val="single"/>
        </w:rPr>
        <w:t>46</w:t>
      </w:r>
    </w:p>
    <w:p w:rsidR="00CE0453" w:rsidRPr="00720BC7" w:rsidRDefault="009D5326" w:rsidP="00690E9E">
      <w:pPr>
        <w:spacing w:after="240"/>
        <w:ind w:left="618" w:right="-178" w:hanging="620"/>
        <w:rPr>
          <w:rFonts w:cs="Arial"/>
          <w:b/>
          <w:sz w:val="28"/>
          <w:szCs w:val="28"/>
        </w:rPr>
      </w:pPr>
      <w:r w:rsidRPr="00720BC7">
        <w:rPr>
          <w:rFonts w:cs="Arial"/>
          <w:b/>
          <w:bCs/>
          <w:sz w:val="28"/>
          <w:szCs w:val="28"/>
        </w:rPr>
        <w:t>5</w:t>
      </w:r>
      <w:r w:rsidR="009208B4" w:rsidRPr="00720BC7">
        <w:rPr>
          <w:rFonts w:cs="Arial"/>
          <w:b/>
          <w:bCs/>
          <w:sz w:val="28"/>
          <w:szCs w:val="28"/>
        </w:rPr>
        <w:t>.</w:t>
      </w:r>
      <w:r w:rsidR="009208B4" w:rsidRPr="00720BC7">
        <w:rPr>
          <w:rFonts w:cs="Arial"/>
          <w:b/>
          <w:bCs/>
          <w:sz w:val="28"/>
          <w:szCs w:val="28"/>
        </w:rPr>
        <w:tab/>
      </w:r>
      <w:r w:rsidR="001A7831" w:rsidRPr="001A7831">
        <w:rPr>
          <w:rFonts w:cs="Arial"/>
          <w:b/>
          <w:sz w:val="28"/>
          <w:szCs w:val="28"/>
          <w:u w:val="single"/>
        </w:rPr>
        <w:t>Additional Information</w:t>
      </w:r>
      <w:r w:rsidR="001A7831" w:rsidRPr="001A7831">
        <w:rPr>
          <w:rFonts w:cs="Arial"/>
          <w:b/>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9B79AB" w:rsidRPr="00CD28FB">
        <w:rPr>
          <w:rFonts w:cs="Arial"/>
          <w:b/>
          <w:bCs/>
          <w:sz w:val="28"/>
          <w:szCs w:val="28"/>
          <w:u w:val="single"/>
        </w:rPr>
        <w:tab/>
      </w:r>
      <w:r w:rsidR="00685127" w:rsidRPr="00CD28FB">
        <w:rPr>
          <w:rFonts w:cs="Arial"/>
          <w:b/>
          <w:bCs/>
          <w:sz w:val="28"/>
          <w:szCs w:val="28"/>
          <w:u w:val="single"/>
        </w:rPr>
        <w:t>P</w:t>
      </w:r>
      <w:r w:rsidR="009B79AB" w:rsidRPr="00CD28FB">
        <w:rPr>
          <w:rFonts w:cs="Arial"/>
          <w:b/>
          <w:bCs/>
          <w:sz w:val="28"/>
          <w:szCs w:val="28"/>
          <w:u w:val="single"/>
        </w:rPr>
        <w:t xml:space="preserve"> </w:t>
      </w:r>
      <w:r w:rsidR="00270419">
        <w:rPr>
          <w:rFonts w:cs="Arial"/>
          <w:b/>
          <w:bCs/>
          <w:sz w:val="28"/>
          <w:szCs w:val="28"/>
          <w:u w:val="single"/>
        </w:rPr>
        <w:t>48</w:t>
      </w:r>
    </w:p>
    <w:p w:rsidR="005E355A" w:rsidRPr="001A7831" w:rsidRDefault="00FE2614" w:rsidP="00690E9E">
      <w:pPr>
        <w:spacing w:after="240"/>
        <w:ind w:left="618" w:hanging="620"/>
        <w:jc w:val="both"/>
        <w:rPr>
          <w:rFonts w:cs="Arial"/>
          <w:b/>
          <w:sz w:val="28"/>
          <w:szCs w:val="28"/>
          <w:u w:val="single"/>
        </w:rPr>
      </w:pPr>
      <w:r w:rsidRPr="00720BC7">
        <w:rPr>
          <w:rFonts w:cs="Arial"/>
          <w:b/>
          <w:sz w:val="28"/>
          <w:szCs w:val="28"/>
        </w:rPr>
        <w:t>6</w:t>
      </w:r>
      <w:r w:rsidR="005E355A" w:rsidRPr="00720BC7">
        <w:rPr>
          <w:rFonts w:cs="Arial"/>
          <w:b/>
          <w:sz w:val="28"/>
          <w:szCs w:val="28"/>
        </w:rPr>
        <w:t xml:space="preserve">. </w:t>
      </w:r>
      <w:r w:rsidR="005E355A" w:rsidRPr="00720BC7">
        <w:rPr>
          <w:rFonts w:cs="Arial"/>
          <w:b/>
          <w:sz w:val="28"/>
          <w:szCs w:val="28"/>
        </w:rPr>
        <w:tab/>
      </w:r>
      <w:r w:rsidR="001A7831" w:rsidRPr="001A7831">
        <w:rPr>
          <w:rFonts w:cs="Arial"/>
          <w:b/>
          <w:sz w:val="28"/>
          <w:szCs w:val="28"/>
          <w:u w:val="single"/>
        </w:rPr>
        <w:t>Evidence Requirements</w:t>
      </w:r>
      <w:r w:rsidR="001A7831">
        <w:rPr>
          <w:rFonts w:cs="Arial"/>
          <w:b/>
          <w:sz w:val="28"/>
          <w:szCs w:val="28"/>
          <w:u w:val="single"/>
        </w:rPr>
        <w:t xml:space="preserve">          </w:t>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r>
      <w:r w:rsidR="001A7831">
        <w:rPr>
          <w:rFonts w:cs="Arial"/>
          <w:b/>
          <w:sz w:val="28"/>
          <w:szCs w:val="28"/>
          <w:u w:val="single"/>
        </w:rPr>
        <w:tab/>
        <w:t>P</w:t>
      </w:r>
      <w:r w:rsidR="00270419">
        <w:rPr>
          <w:rFonts w:cs="Arial"/>
          <w:b/>
          <w:sz w:val="28"/>
          <w:szCs w:val="28"/>
          <w:u w:val="single"/>
        </w:rPr>
        <w:t xml:space="preserve"> 51</w:t>
      </w:r>
      <w:r w:rsidR="001A7831">
        <w:rPr>
          <w:rFonts w:cs="Arial"/>
          <w:b/>
          <w:sz w:val="28"/>
          <w:szCs w:val="28"/>
          <w:u w:val="single"/>
        </w:rPr>
        <w:t xml:space="preserve">       </w:t>
      </w:r>
    </w:p>
    <w:p w:rsidR="00CE0453" w:rsidRDefault="00BD6984" w:rsidP="00690E9E">
      <w:pPr>
        <w:spacing w:after="240"/>
        <w:ind w:left="618" w:hanging="618"/>
        <w:jc w:val="both"/>
        <w:rPr>
          <w:rStyle w:val="Hyperlink"/>
          <w:rFonts w:cs="Arial"/>
          <w:b/>
          <w:bCs/>
          <w:color w:val="auto"/>
          <w:sz w:val="28"/>
          <w:szCs w:val="28"/>
        </w:rPr>
      </w:pPr>
      <w:r w:rsidRPr="00720BC7">
        <w:rPr>
          <w:rFonts w:cs="Arial"/>
          <w:b/>
          <w:bCs/>
          <w:sz w:val="28"/>
          <w:szCs w:val="28"/>
          <w:lang w:eastAsia="en-GB"/>
        </w:rPr>
        <w:t>7.</w:t>
      </w:r>
      <w:r w:rsidRPr="00720BC7">
        <w:rPr>
          <w:rFonts w:cs="Arial"/>
          <w:b/>
          <w:bCs/>
          <w:sz w:val="28"/>
          <w:szCs w:val="28"/>
          <w:lang w:eastAsia="en-GB"/>
        </w:rPr>
        <w:tab/>
      </w:r>
      <w:hyperlink w:anchor="_GLOSSARY_OF_TERMS" w:history="1">
        <w:r w:rsidR="001A7831" w:rsidRPr="00F346CF">
          <w:rPr>
            <w:rStyle w:val="Hyperlink"/>
            <w:rFonts w:cs="Arial"/>
            <w:b/>
            <w:bCs/>
            <w:color w:val="auto"/>
            <w:sz w:val="28"/>
            <w:szCs w:val="28"/>
          </w:rPr>
          <w:t>Glossary of Terms</w:t>
        </w:r>
        <w:r w:rsidR="001A7831" w:rsidRPr="00F346CF">
          <w:rPr>
            <w:rStyle w:val="Hyperlink"/>
            <w:rFonts w:cs="Arial"/>
            <w:b/>
            <w:bCs/>
            <w:color w:val="auto"/>
            <w:sz w:val="28"/>
            <w:szCs w:val="28"/>
          </w:rPr>
          <w:tab/>
        </w:r>
        <w:r w:rsidR="001A7831" w:rsidRPr="00F346CF">
          <w:rPr>
            <w:rStyle w:val="Hyperlink"/>
            <w:rFonts w:cs="Arial"/>
            <w:b/>
            <w:bCs/>
            <w:color w:val="auto"/>
            <w:sz w:val="28"/>
            <w:szCs w:val="28"/>
          </w:rPr>
          <w:tab/>
        </w:r>
        <w:r w:rsidR="001A7831" w:rsidRPr="00F346CF">
          <w:rPr>
            <w:rStyle w:val="Hyperlink"/>
            <w:rFonts w:cs="Arial"/>
            <w:b/>
            <w:bCs/>
            <w:color w:val="auto"/>
            <w:sz w:val="28"/>
            <w:szCs w:val="28"/>
          </w:rPr>
          <w:tab/>
          <w:t xml:space="preserve"> </w:t>
        </w:r>
      </w:hyperlink>
      <w:r w:rsidR="001A7831" w:rsidRPr="00F346CF">
        <w:rPr>
          <w:rFonts w:cs="Arial"/>
          <w:b/>
          <w:sz w:val="28"/>
          <w:szCs w:val="28"/>
          <w:u w:val="single"/>
        </w:rPr>
        <w:tab/>
      </w:r>
      <w:r w:rsidR="001A7831" w:rsidRPr="00F346CF">
        <w:rPr>
          <w:rFonts w:cs="Arial"/>
          <w:b/>
          <w:sz w:val="28"/>
          <w:szCs w:val="28"/>
          <w:u w:val="single"/>
        </w:rPr>
        <w:tab/>
      </w:r>
      <w:r w:rsidR="001A7831" w:rsidRPr="00F346CF">
        <w:rPr>
          <w:rFonts w:cs="Arial"/>
          <w:b/>
          <w:sz w:val="28"/>
          <w:szCs w:val="28"/>
          <w:u w:val="single"/>
        </w:rPr>
        <w:tab/>
      </w:r>
      <w:r w:rsidR="001A7831" w:rsidRPr="00F346CF">
        <w:rPr>
          <w:rFonts w:cs="Arial"/>
          <w:b/>
          <w:sz w:val="28"/>
          <w:szCs w:val="28"/>
          <w:u w:val="single"/>
        </w:rPr>
        <w:tab/>
      </w:r>
      <w:r w:rsidR="001A7831" w:rsidRPr="00F346CF">
        <w:rPr>
          <w:rFonts w:cs="Arial"/>
          <w:b/>
          <w:sz w:val="28"/>
          <w:szCs w:val="28"/>
          <w:u w:val="single"/>
        </w:rPr>
        <w:tab/>
      </w:r>
      <w:r w:rsidR="001A7831" w:rsidRPr="00F346CF">
        <w:rPr>
          <w:rFonts w:cs="Arial"/>
          <w:b/>
          <w:sz w:val="28"/>
          <w:szCs w:val="28"/>
          <w:u w:val="single"/>
        </w:rPr>
        <w:tab/>
        <w:t xml:space="preserve">P </w:t>
      </w:r>
      <w:r w:rsidR="00270419">
        <w:rPr>
          <w:rFonts w:cs="Arial"/>
          <w:b/>
          <w:sz w:val="28"/>
          <w:szCs w:val="28"/>
          <w:u w:val="single"/>
        </w:rPr>
        <w:t>62</w:t>
      </w:r>
    </w:p>
    <w:p w:rsidR="001A7831" w:rsidRPr="0053561B" w:rsidRDefault="001A7831" w:rsidP="00690E9E">
      <w:pPr>
        <w:spacing w:after="240"/>
        <w:ind w:left="618" w:hanging="618"/>
        <w:jc w:val="both"/>
        <w:rPr>
          <w:rFonts w:cs="Arial"/>
          <w:b/>
          <w:bCs/>
          <w:sz w:val="28"/>
          <w:szCs w:val="28"/>
          <w:u w:val="single"/>
        </w:rPr>
      </w:pPr>
      <w:r>
        <w:rPr>
          <w:rFonts w:cs="Arial"/>
          <w:b/>
          <w:bCs/>
          <w:sz w:val="28"/>
          <w:szCs w:val="28"/>
          <w:lang w:eastAsia="en-GB"/>
        </w:rPr>
        <w:t>8.</w:t>
      </w:r>
      <w:r w:rsidRPr="001A7831">
        <w:t xml:space="preserve"> </w:t>
      </w:r>
      <w:r>
        <w:tab/>
      </w:r>
      <w:hyperlink w:anchor="_LIST_OF_ABBREVIATIONS" w:history="1">
        <w:r w:rsidRPr="000C37EE">
          <w:rPr>
            <w:rStyle w:val="Hyperlink"/>
            <w:rFonts w:cs="Arial"/>
            <w:b/>
            <w:bCs/>
            <w:color w:val="auto"/>
            <w:sz w:val="28"/>
            <w:szCs w:val="28"/>
          </w:rPr>
          <w:t>List of Abbreviations</w:t>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r>
        <w:r w:rsidRPr="000C37EE">
          <w:rPr>
            <w:rStyle w:val="Hyperlink"/>
            <w:rFonts w:cs="Arial"/>
            <w:b/>
            <w:bCs/>
            <w:color w:val="auto"/>
            <w:sz w:val="28"/>
            <w:szCs w:val="28"/>
          </w:rPr>
          <w:tab/>
          <w:t xml:space="preserve">P </w:t>
        </w:r>
      </w:hyperlink>
      <w:r w:rsidR="00270419">
        <w:rPr>
          <w:rStyle w:val="Hyperlink"/>
          <w:rFonts w:cs="Arial"/>
          <w:b/>
          <w:bCs/>
          <w:color w:val="auto"/>
          <w:sz w:val="28"/>
          <w:szCs w:val="28"/>
        </w:rPr>
        <w:t>65</w:t>
      </w:r>
    </w:p>
    <w:p w:rsidR="000714E0" w:rsidRPr="00946EDA" w:rsidRDefault="0051522D" w:rsidP="00690E9E">
      <w:pPr>
        <w:pStyle w:val="Heading1"/>
        <w:tabs>
          <w:tab w:val="clear" w:pos="432"/>
        </w:tabs>
        <w:spacing w:after="240"/>
        <w:ind w:left="360" w:hanging="360"/>
        <w:rPr>
          <w:b w:val="0"/>
          <w:bCs/>
          <w:sz w:val="28"/>
          <w:szCs w:val="28"/>
        </w:rPr>
      </w:pPr>
      <w:bookmarkStart w:id="0" w:name="_1._OVERVIEW"/>
      <w:bookmarkEnd w:id="0"/>
      <w:r w:rsidRPr="00946EDA">
        <w:rPr>
          <w:sz w:val="22"/>
          <w:szCs w:val="22"/>
        </w:rPr>
        <w:br w:type="page"/>
      </w:r>
      <w:r w:rsidR="009208B4" w:rsidRPr="00946EDA">
        <w:rPr>
          <w:sz w:val="28"/>
          <w:szCs w:val="28"/>
        </w:rPr>
        <w:lastRenderedPageBreak/>
        <w:t>1.</w:t>
      </w:r>
      <w:r w:rsidR="009208B4" w:rsidRPr="00946EDA">
        <w:rPr>
          <w:sz w:val="28"/>
          <w:szCs w:val="28"/>
        </w:rPr>
        <w:tab/>
      </w:r>
      <w:r w:rsidR="00323CC0" w:rsidRPr="00946EDA">
        <w:rPr>
          <w:sz w:val="28"/>
          <w:szCs w:val="28"/>
          <w:u w:val="single"/>
        </w:rPr>
        <w:t>O</w:t>
      </w:r>
      <w:r w:rsidR="009208B4" w:rsidRPr="00946EDA">
        <w:rPr>
          <w:sz w:val="28"/>
          <w:szCs w:val="28"/>
          <w:u w:val="single"/>
        </w:rPr>
        <w:t>VERVIEW</w:t>
      </w:r>
    </w:p>
    <w:p w:rsidR="00153FEE" w:rsidRPr="00946EDA" w:rsidRDefault="00B93451" w:rsidP="00EC0606">
      <w:pPr>
        <w:numPr>
          <w:ilvl w:val="1"/>
          <w:numId w:val="10"/>
        </w:numPr>
        <w:tabs>
          <w:tab w:val="clear" w:pos="465"/>
        </w:tabs>
        <w:spacing w:after="240"/>
        <w:ind w:left="720" w:hanging="720"/>
      </w:pPr>
      <w:r w:rsidRPr="00946EDA">
        <w:t>This specification sets out the delivery requirements which apply to the Department for Work and Pensions (DWP)</w:t>
      </w:r>
      <w:r w:rsidR="008607D6" w:rsidRPr="00946EDA">
        <w:t>,</w:t>
      </w:r>
      <w:r w:rsidR="00EB65EB" w:rsidRPr="00946EDA">
        <w:t xml:space="preserve"> </w:t>
      </w:r>
      <w:r w:rsidR="006101D9" w:rsidRPr="00946EDA">
        <w:t xml:space="preserve">New Enterprise Allowance (NEA) </w:t>
      </w:r>
      <w:r w:rsidR="008A45C0">
        <w:t>Mentor</w:t>
      </w:r>
      <w:r w:rsidR="006101D9" w:rsidRPr="00946EDA">
        <w:t xml:space="preserve">ing </w:t>
      </w:r>
      <w:r w:rsidR="00CA6FCB">
        <w:t xml:space="preserve">Phase 2 2017/19 </w:t>
      </w:r>
      <w:r w:rsidR="006101D9" w:rsidRPr="00946EDA">
        <w:t>service.</w:t>
      </w:r>
    </w:p>
    <w:p w:rsidR="00D86E7F" w:rsidRPr="00D86E7F" w:rsidRDefault="006101D9" w:rsidP="00EC0606">
      <w:pPr>
        <w:numPr>
          <w:ilvl w:val="1"/>
          <w:numId w:val="10"/>
        </w:numPr>
        <w:tabs>
          <w:tab w:val="clear" w:pos="465"/>
        </w:tabs>
        <w:spacing w:after="240"/>
        <w:ind w:left="720" w:hanging="720"/>
      </w:pPr>
      <w:r w:rsidRPr="00946EDA">
        <w:rPr>
          <w:rFonts w:cs="Arial"/>
          <w:lang w:eastAsia="en-GB"/>
        </w:rPr>
        <w:t xml:space="preserve">The New Enterprise Allowance scheme </w:t>
      </w:r>
      <w:r w:rsidR="003529EF">
        <w:rPr>
          <w:rFonts w:cs="Arial"/>
          <w:lang w:eastAsia="en-GB"/>
        </w:rPr>
        <w:t>was</w:t>
      </w:r>
      <w:r w:rsidRPr="00946EDA">
        <w:rPr>
          <w:rFonts w:cs="Arial"/>
          <w:lang w:eastAsia="en-GB"/>
        </w:rPr>
        <w:t xml:space="preserve"> designed to support the move into self-employment for those people who want to start their own business. The NEA </w:t>
      </w:r>
      <w:r w:rsidR="007F7295">
        <w:rPr>
          <w:rFonts w:cs="Arial"/>
          <w:lang w:eastAsia="en-GB"/>
        </w:rPr>
        <w:t xml:space="preserve">Phase 2 </w:t>
      </w:r>
      <w:r w:rsidR="003529EF">
        <w:rPr>
          <w:rFonts w:cs="Arial"/>
          <w:lang w:eastAsia="en-GB"/>
        </w:rPr>
        <w:t xml:space="preserve">extends this support to some Universal Credit participants already </w:t>
      </w:r>
      <w:proofErr w:type="spellStart"/>
      <w:r w:rsidR="003529EF">
        <w:rPr>
          <w:rFonts w:cs="Arial"/>
          <w:lang w:eastAsia="en-GB"/>
        </w:rPr>
        <w:t>self employed</w:t>
      </w:r>
      <w:proofErr w:type="spellEnd"/>
      <w:r w:rsidR="003529EF">
        <w:rPr>
          <w:rFonts w:cs="Arial"/>
          <w:lang w:eastAsia="en-GB"/>
        </w:rPr>
        <w:t>. It</w:t>
      </w:r>
      <w:r w:rsidRPr="00946EDA">
        <w:rPr>
          <w:rFonts w:cs="Arial"/>
          <w:lang w:eastAsia="en-GB"/>
        </w:rPr>
        <w:t xml:space="preserve"> provide</w:t>
      </w:r>
      <w:r w:rsidR="003529EF">
        <w:rPr>
          <w:rFonts w:cs="Arial"/>
          <w:lang w:eastAsia="en-GB"/>
        </w:rPr>
        <w:t>s</w:t>
      </w:r>
      <w:r w:rsidRPr="00946EDA">
        <w:rPr>
          <w:rFonts w:cs="Arial"/>
          <w:lang w:eastAsia="en-GB"/>
        </w:rPr>
        <w:t xml:space="preserve"> </w:t>
      </w:r>
      <w:r w:rsidR="008A45C0">
        <w:rPr>
          <w:rFonts w:cs="Arial"/>
          <w:lang w:eastAsia="en-GB"/>
        </w:rPr>
        <w:t>Mentor</w:t>
      </w:r>
      <w:r w:rsidRPr="00946EDA">
        <w:rPr>
          <w:rFonts w:cs="Arial"/>
          <w:lang w:eastAsia="en-GB"/>
        </w:rPr>
        <w:t xml:space="preserve">ing support and </w:t>
      </w:r>
      <w:r w:rsidR="00DB1A31" w:rsidRPr="00946EDA">
        <w:rPr>
          <w:rFonts w:cs="Arial"/>
          <w:lang w:eastAsia="en-GB"/>
        </w:rPr>
        <w:t xml:space="preserve">financial assistance </w:t>
      </w:r>
      <w:r w:rsidR="00396B67">
        <w:rPr>
          <w:rFonts w:cs="Arial"/>
          <w:lang w:eastAsia="en-GB"/>
        </w:rPr>
        <w:t>(NEA allowance</w:t>
      </w:r>
      <w:r w:rsidR="005623CF">
        <w:rPr>
          <w:rFonts w:cs="Arial"/>
          <w:lang w:eastAsia="en-GB"/>
        </w:rPr>
        <w:t xml:space="preserve"> for new business </w:t>
      </w:r>
      <w:proofErr w:type="spellStart"/>
      <w:r w:rsidR="005623CF">
        <w:rPr>
          <w:rFonts w:cs="Arial"/>
          <w:lang w:eastAsia="en-GB"/>
        </w:rPr>
        <w:t>start ups</w:t>
      </w:r>
      <w:proofErr w:type="spellEnd"/>
      <w:r w:rsidR="00396B67">
        <w:rPr>
          <w:rFonts w:cs="Arial"/>
          <w:lang w:eastAsia="en-GB"/>
        </w:rPr>
        <w:t xml:space="preserve">) </w:t>
      </w:r>
      <w:r w:rsidRPr="00946EDA">
        <w:rPr>
          <w:rFonts w:cs="Arial"/>
          <w:lang w:eastAsia="en-GB"/>
        </w:rPr>
        <w:t xml:space="preserve">to </w:t>
      </w:r>
      <w:r w:rsidR="008A45C0">
        <w:rPr>
          <w:rFonts w:cs="Arial"/>
          <w:lang w:eastAsia="en-GB"/>
        </w:rPr>
        <w:t>Participant</w:t>
      </w:r>
      <w:r w:rsidRPr="00946EDA">
        <w:rPr>
          <w:rFonts w:cs="Arial"/>
          <w:lang w:eastAsia="en-GB"/>
        </w:rPr>
        <w:t>s who satisfy eligibility and are referred to the scheme by Jobcentre Plus</w:t>
      </w:r>
    </w:p>
    <w:p w:rsidR="00BE1CE8" w:rsidRPr="00946EDA" w:rsidRDefault="006101D9" w:rsidP="00EC0606">
      <w:pPr>
        <w:numPr>
          <w:ilvl w:val="1"/>
          <w:numId w:val="10"/>
        </w:numPr>
        <w:tabs>
          <w:tab w:val="clear" w:pos="465"/>
        </w:tabs>
        <w:spacing w:after="600"/>
        <w:ind w:left="720" w:hanging="720"/>
      </w:pPr>
      <w:r w:rsidRPr="00685BED">
        <w:rPr>
          <w:rFonts w:cs="Arial"/>
          <w:lang w:eastAsia="en-GB"/>
        </w:rPr>
        <w:t xml:space="preserve">The commercial requirement is to provide business </w:t>
      </w:r>
      <w:r w:rsidR="00DB1A31" w:rsidRPr="00685BED">
        <w:rPr>
          <w:rFonts w:cs="Arial"/>
          <w:lang w:eastAsia="en-GB"/>
        </w:rPr>
        <w:t xml:space="preserve">advice and </w:t>
      </w:r>
      <w:r w:rsidRPr="00685BED">
        <w:rPr>
          <w:rFonts w:cs="Arial"/>
          <w:lang w:eastAsia="en-GB"/>
        </w:rPr>
        <w:t xml:space="preserve">support, </w:t>
      </w:r>
      <w:r w:rsidR="00DB1A31" w:rsidRPr="00685BED">
        <w:rPr>
          <w:rFonts w:cs="Arial"/>
          <w:lang w:eastAsia="en-GB"/>
        </w:rPr>
        <w:t>particularly</w:t>
      </w:r>
      <w:r w:rsidRPr="00685BED">
        <w:rPr>
          <w:rFonts w:cs="Arial"/>
          <w:lang w:eastAsia="en-GB"/>
        </w:rPr>
        <w:t xml:space="preserve"> </w:t>
      </w:r>
      <w:r w:rsidR="009516C1" w:rsidRPr="00685BED">
        <w:rPr>
          <w:rFonts w:cs="Arial"/>
          <w:lang w:eastAsia="en-GB"/>
        </w:rPr>
        <w:t>Business Mentor</w:t>
      </w:r>
      <w:r w:rsidRPr="00685BED">
        <w:rPr>
          <w:rFonts w:cs="Arial"/>
          <w:lang w:eastAsia="en-GB"/>
        </w:rPr>
        <w:t>ing, to help</w:t>
      </w:r>
      <w:r w:rsidR="008C7535" w:rsidRPr="00685BED">
        <w:rPr>
          <w:rFonts w:cs="Arial"/>
          <w:lang w:eastAsia="en-GB"/>
        </w:rPr>
        <w:t xml:space="preserve"> </w:t>
      </w:r>
      <w:r w:rsidRPr="00685BED">
        <w:rPr>
          <w:rFonts w:cs="Arial"/>
          <w:lang w:eastAsia="en-GB"/>
        </w:rPr>
        <w:t xml:space="preserve">out of work </w:t>
      </w:r>
      <w:r w:rsidR="008A45C0" w:rsidRPr="00685BED">
        <w:rPr>
          <w:rFonts w:cs="Arial"/>
          <w:lang w:eastAsia="en-GB"/>
        </w:rPr>
        <w:t>Participant</w:t>
      </w:r>
      <w:r w:rsidRPr="00685BED">
        <w:rPr>
          <w:rFonts w:cs="Arial"/>
          <w:lang w:eastAsia="en-GB"/>
        </w:rPr>
        <w:t>s who want to move into self-employment develop their business plans</w:t>
      </w:r>
      <w:r w:rsidR="003529EF">
        <w:rPr>
          <w:rFonts w:cs="Arial"/>
          <w:lang w:eastAsia="en-GB"/>
        </w:rPr>
        <w:t>, commence trading and develop a sustainable business</w:t>
      </w:r>
      <w:r w:rsidRPr="00685BED">
        <w:rPr>
          <w:rFonts w:cs="Arial"/>
          <w:lang w:eastAsia="en-GB"/>
        </w:rPr>
        <w:t>.</w:t>
      </w:r>
      <w:r w:rsidR="00664CBE">
        <w:rPr>
          <w:rFonts w:cs="Arial"/>
          <w:lang w:eastAsia="en-GB"/>
        </w:rPr>
        <w:t xml:space="preserve"> </w:t>
      </w:r>
      <w:r w:rsidR="00BE1CE8" w:rsidRPr="00685BED">
        <w:rPr>
          <w:rFonts w:cs="Arial"/>
          <w:lang w:eastAsia="en-GB"/>
        </w:rPr>
        <w:t xml:space="preserve">NEA Phase 2 also introduces a requirement to support </w:t>
      </w:r>
      <w:r w:rsidR="000832E3">
        <w:rPr>
          <w:rFonts w:cs="Arial"/>
          <w:lang w:eastAsia="en-GB"/>
        </w:rPr>
        <w:t>Universal Credit (UC)</w:t>
      </w:r>
      <w:r w:rsidR="003548F3">
        <w:rPr>
          <w:rStyle w:val="FootnoteReference"/>
          <w:rFonts w:cs="Arial"/>
          <w:lang w:eastAsia="en-GB"/>
        </w:rPr>
        <w:footnoteReference w:id="1"/>
      </w:r>
      <w:r w:rsidR="000832E3">
        <w:rPr>
          <w:rFonts w:cs="Arial"/>
          <w:lang w:eastAsia="en-GB"/>
        </w:rPr>
        <w:t xml:space="preserve"> </w:t>
      </w:r>
      <w:r w:rsidR="00BE1CE8" w:rsidRPr="00685BED">
        <w:rPr>
          <w:rFonts w:cs="Arial"/>
          <w:lang w:eastAsia="en-GB"/>
        </w:rPr>
        <w:t xml:space="preserve">participants already </w:t>
      </w:r>
      <w:proofErr w:type="spellStart"/>
      <w:r w:rsidR="00BE1CE8" w:rsidRPr="00685BED">
        <w:rPr>
          <w:rFonts w:cs="Arial"/>
          <w:lang w:eastAsia="en-GB"/>
        </w:rPr>
        <w:t>self employed</w:t>
      </w:r>
      <w:proofErr w:type="spellEnd"/>
      <w:r w:rsidR="00BE1CE8" w:rsidRPr="00685BED">
        <w:rPr>
          <w:rFonts w:cs="Arial"/>
          <w:lang w:eastAsia="en-GB"/>
        </w:rPr>
        <w:t xml:space="preserve"> / in busines</w:t>
      </w:r>
      <w:r w:rsidR="004C6408" w:rsidRPr="00685BED">
        <w:rPr>
          <w:rFonts w:cs="Arial"/>
          <w:lang w:eastAsia="en-GB"/>
        </w:rPr>
        <w:t>s</w:t>
      </w:r>
      <w:r w:rsidR="00BE1CE8" w:rsidRPr="00685BED">
        <w:rPr>
          <w:rFonts w:cs="Arial"/>
          <w:lang w:eastAsia="en-GB"/>
        </w:rPr>
        <w:t xml:space="preserve"> to access mentoring support via NEA</w:t>
      </w:r>
      <w:r w:rsidR="003529EF">
        <w:rPr>
          <w:rFonts w:cs="Arial"/>
          <w:lang w:eastAsia="en-GB"/>
        </w:rPr>
        <w:t xml:space="preserve"> to help them develop and grow their business</w:t>
      </w:r>
      <w:r w:rsidR="00BE1CE8" w:rsidRPr="00685BED">
        <w:rPr>
          <w:rFonts w:cs="Arial"/>
          <w:lang w:eastAsia="en-GB"/>
        </w:rPr>
        <w:t>.</w:t>
      </w:r>
    </w:p>
    <w:p w:rsidR="00CE0453" w:rsidRPr="00946EDA" w:rsidRDefault="00CE0453" w:rsidP="00690E9E">
      <w:pPr>
        <w:autoSpaceDE w:val="0"/>
        <w:autoSpaceDN w:val="0"/>
        <w:adjustRightInd w:val="0"/>
        <w:spacing w:after="240"/>
        <w:jc w:val="both"/>
        <w:rPr>
          <w:b/>
          <w:bCs/>
          <w:sz w:val="28"/>
          <w:szCs w:val="28"/>
        </w:rPr>
      </w:pPr>
      <w:r w:rsidRPr="00946EDA">
        <w:rPr>
          <w:b/>
          <w:bCs/>
          <w:sz w:val="28"/>
          <w:szCs w:val="28"/>
        </w:rPr>
        <w:t>Introduction</w:t>
      </w:r>
    </w:p>
    <w:p w:rsidR="009000C4" w:rsidRDefault="00451EDC" w:rsidP="00EC0606">
      <w:pPr>
        <w:numPr>
          <w:ilvl w:val="1"/>
          <w:numId w:val="10"/>
        </w:numPr>
        <w:tabs>
          <w:tab w:val="clear" w:pos="465"/>
        </w:tabs>
        <w:ind w:left="709" w:hanging="709"/>
        <w:rPr>
          <w:rFonts w:cs="Arial"/>
          <w:kern w:val="24"/>
          <w:lang w:eastAsia="en-GB"/>
        </w:rPr>
      </w:pPr>
      <w:r>
        <w:rPr>
          <w:kern w:val="24"/>
        </w:rPr>
        <w:t xml:space="preserve">The </w:t>
      </w:r>
      <w:r w:rsidR="006101D9" w:rsidRPr="00946EDA">
        <w:rPr>
          <w:kern w:val="24"/>
        </w:rPr>
        <w:t xml:space="preserve">NEA </w:t>
      </w:r>
      <w:r w:rsidR="009000C4">
        <w:rPr>
          <w:kern w:val="24"/>
        </w:rPr>
        <w:t xml:space="preserve">programme has </w:t>
      </w:r>
      <w:r w:rsidR="006101D9" w:rsidRPr="00946EDA">
        <w:rPr>
          <w:kern w:val="24"/>
        </w:rPr>
        <w:t>be</w:t>
      </w:r>
      <w:r w:rsidR="006D53BA">
        <w:rPr>
          <w:kern w:val="24"/>
        </w:rPr>
        <w:t>en</w:t>
      </w:r>
      <w:r w:rsidR="006101D9" w:rsidRPr="00946EDA">
        <w:rPr>
          <w:kern w:val="24"/>
        </w:rPr>
        <w:t xml:space="preserve"> very successful and Ministers </w:t>
      </w:r>
      <w:r w:rsidR="003529EF">
        <w:rPr>
          <w:kern w:val="24"/>
        </w:rPr>
        <w:t>are</w:t>
      </w:r>
      <w:r w:rsidR="006101D9" w:rsidRPr="00946EDA">
        <w:rPr>
          <w:kern w:val="24"/>
        </w:rPr>
        <w:t xml:space="preserve"> keen</w:t>
      </w:r>
      <w:r w:rsidR="009000C4">
        <w:rPr>
          <w:kern w:val="24"/>
        </w:rPr>
        <w:t xml:space="preserve"> </w:t>
      </w:r>
      <w:r w:rsidR="009D009B">
        <w:rPr>
          <w:kern w:val="24"/>
        </w:rPr>
        <w:t xml:space="preserve">to </w:t>
      </w:r>
      <w:r w:rsidR="009000C4">
        <w:rPr>
          <w:kern w:val="24"/>
        </w:rPr>
        <w:t xml:space="preserve">extend NEA provision to cover the current parliament. The current NEA </w:t>
      </w:r>
      <w:r w:rsidR="00AE7F31">
        <w:rPr>
          <w:kern w:val="24"/>
        </w:rPr>
        <w:t>contracts are</w:t>
      </w:r>
      <w:r w:rsidR="009000C4">
        <w:rPr>
          <w:kern w:val="24"/>
        </w:rPr>
        <w:t xml:space="preserve"> due to end for referrals on 31</w:t>
      </w:r>
      <w:r w:rsidR="009000C4" w:rsidRPr="009000C4">
        <w:rPr>
          <w:kern w:val="24"/>
          <w:vertAlign w:val="superscript"/>
        </w:rPr>
        <w:t>st</w:t>
      </w:r>
      <w:r w:rsidR="009000C4">
        <w:rPr>
          <w:kern w:val="24"/>
        </w:rPr>
        <w:t xml:space="preserve"> March 2017.</w:t>
      </w:r>
      <w:r w:rsidR="009000C4" w:rsidRPr="009000C4">
        <w:t xml:space="preserve"> </w:t>
      </w:r>
      <w:r w:rsidR="009000C4" w:rsidRPr="009000C4">
        <w:rPr>
          <w:rFonts w:cs="Arial"/>
          <w:kern w:val="24"/>
          <w:lang w:eastAsia="en-GB"/>
        </w:rPr>
        <w:t xml:space="preserve">The evidence we have available on the NEA is overwhelmingly positive. The Michelle </w:t>
      </w:r>
      <w:proofErr w:type="spellStart"/>
      <w:r w:rsidR="009000C4" w:rsidRPr="009000C4">
        <w:rPr>
          <w:rFonts w:cs="Arial"/>
          <w:kern w:val="24"/>
          <w:lang w:eastAsia="en-GB"/>
        </w:rPr>
        <w:t>Mone</w:t>
      </w:r>
      <w:proofErr w:type="spellEnd"/>
      <w:r w:rsidR="009000C4" w:rsidRPr="009000C4">
        <w:rPr>
          <w:rFonts w:cs="Arial"/>
          <w:kern w:val="24"/>
          <w:lang w:eastAsia="en-GB"/>
        </w:rPr>
        <w:t xml:space="preserve"> review</w:t>
      </w:r>
      <w:r w:rsidR="00685BED">
        <w:rPr>
          <w:rStyle w:val="FootnoteReference"/>
          <w:rFonts w:cs="Arial"/>
          <w:kern w:val="24"/>
          <w:lang w:eastAsia="en-GB"/>
        </w:rPr>
        <w:footnoteReference w:id="2"/>
      </w:r>
      <w:r w:rsidR="009000C4" w:rsidRPr="009000C4">
        <w:rPr>
          <w:rFonts w:cs="Arial"/>
          <w:kern w:val="24"/>
          <w:lang w:eastAsia="en-GB"/>
        </w:rPr>
        <w:t xml:space="preserve"> found that the NEA is a successful, value for money programme, our evaluation</w:t>
      </w:r>
      <w:r>
        <w:rPr>
          <w:rStyle w:val="FootnoteReference"/>
          <w:rFonts w:cs="Arial"/>
          <w:kern w:val="24"/>
          <w:lang w:eastAsia="en-GB"/>
        </w:rPr>
        <w:footnoteReference w:id="3"/>
      </w:r>
      <w:r w:rsidR="009000C4" w:rsidRPr="009000C4">
        <w:rPr>
          <w:rFonts w:cs="Arial"/>
          <w:kern w:val="24"/>
          <w:lang w:eastAsia="en-GB"/>
        </w:rPr>
        <w:t xml:space="preserve"> report showed that 80% of businesses started through the scheme were still trading after a year. </w:t>
      </w:r>
    </w:p>
    <w:p w:rsidR="009000C4" w:rsidRPr="009000C4" w:rsidRDefault="009000C4" w:rsidP="00690E9E">
      <w:pPr>
        <w:ind w:left="465"/>
        <w:rPr>
          <w:rFonts w:cs="Arial"/>
          <w:kern w:val="24"/>
          <w:lang w:eastAsia="en-GB"/>
        </w:rPr>
      </w:pPr>
    </w:p>
    <w:p w:rsidR="009000C4" w:rsidRPr="00402D61" w:rsidRDefault="009000C4" w:rsidP="00EC0606">
      <w:pPr>
        <w:pStyle w:val="Default"/>
        <w:numPr>
          <w:ilvl w:val="1"/>
          <w:numId w:val="10"/>
        </w:numPr>
        <w:tabs>
          <w:tab w:val="clear" w:pos="465"/>
        </w:tabs>
        <w:ind w:left="720" w:hanging="720"/>
        <w:outlineLvl w:val="0"/>
        <w:rPr>
          <w:b/>
          <w:bCs/>
        </w:rPr>
      </w:pPr>
      <w:r w:rsidRPr="009000C4">
        <w:rPr>
          <w:bCs/>
        </w:rPr>
        <w:t xml:space="preserve">However, as with any scheme, there are improvements we can make, and we need to take account of wider economic and structural changes that have taken place since NEA’s introduction.  When the scheme began in 2011, there was an emphasis on ensuring as many people as possible had the opportunity to move into self-employment from the relatively high levels of unemployment that existed at that time. We need to reflect that, with the introduction of </w:t>
      </w:r>
      <w:r w:rsidR="009776D0">
        <w:rPr>
          <w:bCs/>
        </w:rPr>
        <w:t>UC</w:t>
      </w:r>
      <w:r w:rsidRPr="009000C4">
        <w:rPr>
          <w:bCs/>
        </w:rPr>
        <w:t xml:space="preserve">, there is an expectation that people will be supported into self-employment if this will enable them to become self-sufficient – and </w:t>
      </w:r>
      <w:r w:rsidRPr="009000C4">
        <w:rPr>
          <w:bCs/>
        </w:rPr>
        <w:lastRenderedPageBreak/>
        <w:t xml:space="preserve">we should therefore ensure that the NEA </w:t>
      </w:r>
      <w:r w:rsidR="007F7295">
        <w:t xml:space="preserve">Phase 2 </w:t>
      </w:r>
      <w:r w:rsidRPr="009000C4">
        <w:rPr>
          <w:bCs/>
        </w:rPr>
        <w:t>takes account of this expectation when referring to and supporting people through the scheme. Th</w:t>
      </w:r>
      <w:r w:rsidR="00402D61">
        <w:rPr>
          <w:bCs/>
        </w:rPr>
        <w:t xml:space="preserve">is specification </w:t>
      </w:r>
      <w:r w:rsidRPr="009000C4">
        <w:rPr>
          <w:bCs/>
        </w:rPr>
        <w:t>take</w:t>
      </w:r>
      <w:r w:rsidR="00402D61">
        <w:rPr>
          <w:bCs/>
        </w:rPr>
        <w:t>s</w:t>
      </w:r>
      <w:r w:rsidRPr="009000C4">
        <w:rPr>
          <w:bCs/>
        </w:rPr>
        <w:t xml:space="preserve"> account of the increased need to focus on the quality of businesses established through the scheme.</w:t>
      </w:r>
    </w:p>
    <w:p w:rsidR="00402D61" w:rsidRDefault="00402D61" w:rsidP="00690E9E">
      <w:pPr>
        <w:pStyle w:val="ListParagraph"/>
        <w:rPr>
          <w:b/>
          <w:bCs/>
        </w:rPr>
      </w:pPr>
    </w:p>
    <w:p w:rsidR="009776D0" w:rsidRDefault="0040311B" w:rsidP="00EC0606">
      <w:pPr>
        <w:numPr>
          <w:ilvl w:val="1"/>
          <w:numId w:val="10"/>
        </w:numPr>
        <w:tabs>
          <w:tab w:val="clear" w:pos="465"/>
        </w:tabs>
        <w:ind w:left="709" w:hanging="709"/>
        <w:rPr>
          <w:rFonts w:cs="Arial"/>
          <w:lang w:eastAsia="en-GB"/>
        </w:rPr>
      </w:pPr>
      <w:r>
        <w:rPr>
          <w:rFonts w:cs="Arial"/>
          <w:lang w:eastAsia="en-GB"/>
        </w:rPr>
        <w:t xml:space="preserve">As at </w:t>
      </w:r>
      <w:r w:rsidR="009D009B">
        <w:rPr>
          <w:rFonts w:cs="Arial"/>
          <w:lang w:eastAsia="en-GB"/>
        </w:rPr>
        <w:t>March</w:t>
      </w:r>
      <w:r>
        <w:rPr>
          <w:rFonts w:cs="Arial"/>
          <w:lang w:eastAsia="en-GB"/>
        </w:rPr>
        <w:t xml:space="preserve"> 2016, there had been</w:t>
      </w:r>
      <w:r w:rsidR="00AE7F31">
        <w:rPr>
          <w:rFonts w:cs="Arial"/>
          <w:lang w:eastAsia="en-GB"/>
        </w:rPr>
        <w:t xml:space="preserve"> 169,880</w:t>
      </w:r>
      <w:r>
        <w:rPr>
          <w:rFonts w:cs="Arial"/>
          <w:lang w:eastAsia="en-GB"/>
        </w:rPr>
        <w:t xml:space="preserve"> starts</w:t>
      </w:r>
      <w:r w:rsidR="00457815">
        <w:rPr>
          <w:rStyle w:val="FootnoteReference"/>
          <w:rFonts w:cs="Arial"/>
          <w:lang w:eastAsia="en-GB"/>
        </w:rPr>
        <w:footnoteReference w:id="4"/>
      </w:r>
      <w:r>
        <w:rPr>
          <w:rFonts w:cs="Arial"/>
          <w:lang w:eastAsia="en-GB"/>
        </w:rPr>
        <w:t xml:space="preserve"> with a business mentor which has resulted in </w:t>
      </w:r>
      <w:r w:rsidR="00AE7F31">
        <w:rPr>
          <w:rFonts w:cs="Arial"/>
          <w:lang w:eastAsia="en-GB"/>
        </w:rPr>
        <w:t>84,850</w:t>
      </w:r>
      <w:r>
        <w:rPr>
          <w:rFonts w:cs="Arial"/>
          <w:lang w:eastAsia="en-GB"/>
        </w:rPr>
        <w:t xml:space="preserve"> new businesses being started.  </w:t>
      </w:r>
      <w:r w:rsidR="009776D0" w:rsidRPr="009776D0">
        <w:rPr>
          <w:rFonts w:cs="Arial"/>
          <w:lang w:eastAsia="en-GB"/>
        </w:rPr>
        <w:t xml:space="preserve">Since 2000, self-employment has been on the increase in the UK, rising from 12% of the total workforce to 15% in 2014.  </w:t>
      </w:r>
      <w:r w:rsidR="00AD1DB5">
        <w:rPr>
          <w:rFonts w:cs="Arial"/>
          <w:lang w:eastAsia="en-GB"/>
        </w:rPr>
        <w:t>For the year ending March 2016 starts to the current NEA programme have reduced by 13.5% compared to the previous 12 months</w:t>
      </w:r>
      <w:r w:rsidR="009776D0" w:rsidRPr="009776D0">
        <w:rPr>
          <w:rFonts w:cs="Arial"/>
          <w:lang w:eastAsia="en-GB"/>
        </w:rPr>
        <w:t xml:space="preserve"> which broadly reflects a drop in the JSA claimant count.  </w:t>
      </w:r>
    </w:p>
    <w:p w:rsidR="009776D0" w:rsidRDefault="009776D0" w:rsidP="00690E9E">
      <w:pPr>
        <w:pStyle w:val="ListParagraph"/>
        <w:rPr>
          <w:rFonts w:cs="Arial"/>
          <w:lang w:eastAsia="en-GB"/>
        </w:rPr>
      </w:pPr>
    </w:p>
    <w:p w:rsidR="00153FEE" w:rsidRPr="002D65BA" w:rsidRDefault="009776D0" w:rsidP="00EC0606">
      <w:pPr>
        <w:pStyle w:val="Default"/>
        <w:numPr>
          <w:ilvl w:val="1"/>
          <w:numId w:val="10"/>
        </w:numPr>
        <w:tabs>
          <w:tab w:val="clear" w:pos="465"/>
        </w:tabs>
        <w:spacing w:after="240"/>
        <w:ind w:left="720" w:hanging="720"/>
        <w:outlineLvl w:val="0"/>
        <w:rPr>
          <w:color w:val="auto"/>
        </w:rPr>
      </w:pPr>
      <w:r>
        <w:t xml:space="preserve">Given the success of the current NEA scheme, we are not making major changes </w:t>
      </w:r>
      <w:proofErr w:type="gramStart"/>
      <w:r>
        <w:t>to  the</w:t>
      </w:r>
      <w:proofErr w:type="gramEnd"/>
      <w:r>
        <w:t xml:space="preserve"> core design; however, we are putting</w:t>
      </w:r>
      <w:r w:rsidR="00E35C14">
        <w:t xml:space="preserve"> in</w:t>
      </w:r>
      <w:r>
        <w:t xml:space="preserve"> place enhancements that would provide additional support.</w:t>
      </w:r>
      <w:r w:rsidR="00606D2F">
        <w:t xml:space="preserve"> It should be noted where reference is made to new Business starts this includes UC claimants starting new businesses.</w:t>
      </w:r>
    </w:p>
    <w:p w:rsidR="002D65BA" w:rsidRPr="002D65BA" w:rsidRDefault="002D65BA" w:rsidP="00EC0606">
      <w:pPr>
        <w:pStyle w:val="Default"/>
        <w:numPr>
          <w:ilvl w:val="1"/>
          <w:numId w:val="10"/>
        </w:numPr>
        <w:tabs>
          <w:tab w:val="clear" w:pos="465"/>
        </w:tabs>
        <w:spacing w:after="240"/>
        <w:ind w:left="709" w:hanging="709"/>
        <w:outlineLvl w:val="0"/>
        <w:rPr>
          <w:color w:val="auto"/>
        </w:rPr>
      </w:pPr>
      <w:r w:rsidRPr="002D65BA">
        <w:rPr>
          <w:color w:val="auto"/>
        </w:rPr>
        <w:t xml:space="preserve">A </w:t>
      </w:r>
      <w:r>
        <w:rPr>
          <w:color w:val="auto"/>
        </w:rPr>
        <w:t xml:space="preserve">brief outline </w:t>
      </w:r>
      <w:r w:rsidRPr="002D65BA">
        <w:rPr>
          <w:color w:val="auto"/>
        </w:rPr>
        <w:t xml:space="preserve">of </w:t>
      </w:r>
      <w:r>
        <w:rPr>
          <w:color w:val="auto"/>
        </w:rPr>
        <w:t xml:space="preserve">the elements of NEA Phase 2 </w:t>
      </w:r>
      <w:r w:rsidR="00321C45">
        <w:rPr>
          <w:color w:val="auto"/>
        </w:rPr>
        <w:t xml:space="preserve">for new business starts </w:t>
      </w:r>
      <w:r>
        <w:rPr>
          <w:color w:val="auto"/>
        </w:rPr>
        <w:t>is as follows</w:t>
      </w:r>
      <w:r w:rsidRPr="002D65BA">
        <w:rPr>
          <w:color w:val="auto"/>
        </w:rPr>
        <w:t>:</w:t>
      </w:r>
    </w:p>
    <w:p w:rsidR="002D65BA" w:rsidRPr="002D65BA" w:rsidRDefault="00574D37" w:rsidP="00EC0606">
      <w:pPr>
        <w:pStyle w:val="Default"/>
        <w:numPr>
          <w:ilvl w:val="0"/>
          <w:numId w:val="34"/>
        </w:numPr>
        <w:spacing w:after="240"/>
        <w:outlineLvl w:val="0"/>
        <w:rPr>
          <w:color w:val="auto"/>
        </w:rPr>
      </w:pPr>
      <w:r>
        <w:rPr>
          <w:color w:val="auto"/>
        </w:rPr>
        <w:t>A</w:t>
      </w:r>
      <w:r w:rsidR="002D65BA" w:rsidRPr="002D65BA">
        <w:rPr>
          <w:color w:val="auto"/>
        </w:rPr>
        <w:t xml:space="preserve"> pre-NEA </w:t>
      </w:r>
      <w:r w:rsidR="007F7295">
        <w:t xml:space="preserve">Phase 2 </w:t>
      </w:r>
      <w:r w:rsidR="002D65BA" w:rsidRPr="002D65BA">
        <w:rPr>
          <w:color w:val="auto"/>
        </w:rPr>
        <w:t>workshop</w:t>
      </w:r>
      <w:r w:rsidR="00137652">
        <w:rPr>
          <w:color w:val="auto"/>
        </w:rPr>
        <w:t xml:space="preserve"> called Link </w:t>
      </w:r>
      <w:proofErr w:type="gramStart"/>
      <w:r w:rsidR="00137652">
        <w:rPr>
          <w:color w:val="auto"/>
        </w:rPr>
        <w:t>U</w:t>
      </w:r>
      <w:r w:rsidR="00F22D19">
        <w:rPr>
          <w:color w:val="auto"/>
        </w:rPr>
        <w:t>p</w:t>
      </w:r>
      <w:r w:rsidR="00685BED">
        <w:rPr>
          <w:color w:val="auto"/>
        </w:rPr>
        <w:t xml:space="preserve"> </w:t>
      </w:r>
      <w:r w:rsidR="00F22D19">
        <w:rPr>
          <w:color w:val="auto"/>
        </w:rPr>
        <w:t>:</w:t>
      </w:r>
      <w:proofErr w:type="gramEnd"/>
      <w:r w:rsidR="00F22D19">
        <w:rPr>
          <w:color w:val="auto"/>
        </w:rPr>
        <w:t xml:space="preserve"> Start</w:t>
      </w:r>
      <w:r w:rsidR="00137652">
        <w:rPr>
          <w:color w:val="auto"/>
        </w:rPr>
        <w:t xml:space="preserve"> U</w:t>
      </w:r>
      <w:r w:rsidR="00F22D19">
        <w:rPr>
          <w:color w:val="auto"/>
        </w:rPr>
        <w:t xml:space="preserve">p, </w:t>
      </w:r>
      <w:r w:rsidR="002D65BA" w:rsidRPr="002D65BA">
        <w:rPr>
          <w:color w:val="auto"/>
        </w:rPr>
        <w:t xml:space="preserve">providing claimants with an overview of the impact, commitment and responsibilities of being self-employed; this </w:t>
      </w:r>
      <w:r w:rsidR="00B42122">
        <w:rPr>
          <w:color w:val="auto"/>
        </w:rPr>
        <w:t xml:space="preserve">should </w:t>
      </w:r>
      <w:r w:rsidR="002D65BA" w:rsidRPr="002D65BA">
        <w:rPr>
          <w:color w:val="auto"/>
        </w:rPr>
        <w:t xml:space="preserve">include our expectations on business sustainability. </w:t>
      </w:r>
      <w:r w:rsidR="009A4671">
        <w:rPr>
          <w:color w:val="auto"/>
        </w:rPr>
        <w:t xml:space="preserve">While participation in </w:t>
      </w:r>
      <w:r w:rsidR="00214EDC">
        <w:rPr>
          <w:color w:val="auto"/>
        </w:rPr>
        <w:t xml:space="preserve">the new business </w:t>
      </w:r>
      <w:proofErr w:type="spellStart"/>
      <w:r w:rsidR="00214EDC">
        <w:rPr>
          <w:color w:val="auto"/>
        </w:rPr>
        <w:t>start up</w:t>
      </w:r>
      <w:proofErr w:type="spellEnd"/>
      <w:r w:rsidR="00214EDC">
        <w:rPr>
          <w:color w:val="auto"/>
        </w:rPr>
        <w:t xml:space="preserve"> </w:t>
      </w:r>
      <w:r w:rsidR="009A4671">
        <w:rPr>
          <w:color w:val="auto"/>
        </w:rPr>
        <w:t xml:space="preserve">NEA Phase 2 </w:t>
      </w:r>
      <w:r w:rsidR="00214EDC">
        <w:rPr>
          <w:color w:val="auto"/>
        </w:rPr>
        <w:t xml:space="preserve">offer </w:t>
      </w:r>
      <w:r w:rsidR="009A4671">
        <w:rPr>
          <w:color w:val="auto"/>
        </w:rPr>
        <w:t>is voluntary p</w:t>
      </w:r>
      <w:r w:rsidR="002D65BA" w:rsidRPr="002D65BA">
        <w:rPr>
          <w:color w:val="auto"/>
        </w:rPr>
        <w:t>articipation on th</w:t>
      </w:r>
      <w:r w:rsidR="00214EDC">
        <w:rPr>
          <w:color w:val="auto"/>
        </w:rPr>
        <w:t xml:space="preserve">e pre-NEA phase 2 </w:t>
      </w:r>
      <w:r w:rsidR="002D65BA" w:rsidRPr="002D65BA">
        <w:rPr>
          <w:color w:val="auto"/>
        </w:rPr>
        <w:t xml:space="preserve">workshop </w:t>
      </w:r>
      <w:r w:rsidR="00214EDC">
        <w:rPr>
          <w:color w:val="auto"/>
        </w:rPr>
        <w:t xml:space="preserve">is </w:t>
      </w:r>
      <w:r w:rsidR="002D65BA" w:rsidRPr="002D65BA">
        <w:rPr>
          <w:color w:val="auto"/>
        </w:rPr>
        <w:t xml:space="preserve">mandatory for all who want to progress </w:t>
      </w:r>
    </w:p>
    <w:p w:rsidR="007D62DA" w:rsidRPr="00731078" w:rsidRDefault="00731078" w:rsidP="00EC0606">
      <w:pPr>
        <w:pStyle w:val="Default"/>
        <w:numPr>
          <w:ilvl w:val="0"/>
          <w:numId w:val="34"/>
        </w:numPr>
        <w:ind w:left="1179" w:hanging="357"/>
        <w:outlineLvl w:val="0"/>
        <w:rPr>
          <w:color w:val="auto"/>
        </w:rPr>
      </w:pPr>
      <w:r>
        <w:t xml:space="preserve">Initial </w:t>
      </w:r>
      <w:proofErr w:type="gramStart"/>
      <w:r>
        <w:t>Assessment  -</w:t>
      </w:r>
      <w:proofErr w:type="gramEnd"/>
      <w:r>
        <w:t xml:space="preserve"> </w:t>
      </w:r>
      <w:r w:rsidRPr="00731078">
        <w:t xml:space="preserve">Providers will undertake an initial assessment of eligible individuals within </w:t>
      </w:r>
      <w:r w:rsidR="001F4017">
        <w:t>10</w:t>
      </w:r>
      <w:r w:rsidR="00CE3168">
        <w:t xml:space="preserve"> </w:t>
      </w:r>
      <w:r w:rsidRPr="00731078">
        <w:t>working days of the referral date</w:t>
      </w:r>
      <w:r w:rsidR="007611FC">
        <w:t xml:space="preserve"> and record the result in </w:t>
      </w:r>
      <w:proofErr w:type="spellStart"/>
      <w:r w:rsidR="007611FC">
        <w:t>PRaP</w:t>
      </w:r>
      <w:proofErr w:type="spellEnd"/>
      <w:r w:rsidRPr="00731078">
        <w:t xml:space="preserve"> </w:t>
      </w:r>
      <w:r w:rsidR="001F4017">
        <w:t>within 15 working days of the referral.</w:t>
      </w:r>
    </w:p>
    <w:p w:rsidR="00731078" w:rsidRDefault="00731078" w:rsidP="00731078">
      <w:pPr>
        <w:pStyle w:val="Default"/>
        <w:ind w:left="1179"/>
        <w:outlineLvl w:val="0"/>
        <w:rPr>
          <w:color w:val="auto"/>
        </w:rPr>
      </w:pPr>
    </w:p>
    <w:p w:rsidR="0061015B" w:rsidRDefault="002D65BA" w:rsidP="00EC0606">
      <w:pPr>
        <w:pStyle w:val="Default"/>
        <w:numPr>
          <w:ilvl w:val="0"/>
          <w:numId w:val="34"/>
        </w:numPr>
        <w:ind w:left="1179" w:hanging="357"/>
        <w:outlineLvl w:val="0"/>
        <w:rPr>
          <w:color w:val="auto"/>
        </w:rPr>
      </w:pPr>
      <w:r w:rsidRPr="002D65BA">
        <w:rPr>
          <w:color w:val="auto"/>
        </w:rPr>
        <w:t>An enhanced mentoring offer</w:t>
      </w:r>
      <w:r w:rsidR="0061015B">
        <w:rPr>
          <w:color w:val="auto"/>
        </w:rPr>
        <w:t>:</w:t>
      </w:r>
    </w:p>
    <w:p w:rsidR="0061015B" w:rsidRDefault="0061015B" w:rsidP="00EC0606">
      <w:pPr>
        <w:pStyle w:val="Default"/>
        <w:numPr>
          <w:ilvl w:val="1"/>
          <w:numId w:val="34"/>
        </w:numPr>
        <w:ind w:left="1899" w:hanging="357"/>
        <w:outlineLvl w:val="0"/>
        <w:rPr>
          <w:color w:val="auto"/>
        </w:rPr>
      </w:pPr>
      <w:r>
        <w:rPr>
          <w:color w:val="auto"/>
        </w:rPr>
        <w:t xml:space="preserve">mentoring support </w:t>
      </w:r>
      <w:r w:rsidR="007D62DA">
        <w:rPr>
          <w:color w:val="auto"/>
        </w:rPr>
        <w:t xml:space="preserve"> for</w:t>
      </w:r>
      <w:r w:rsidR="002D65BA" w:rsidRPr="002D65BA">
        <w:rPr>
          <w:color w:val="auto"/>
        </w:rPr>
        <w:t xml:space="preserve"> 12 weeks</w:t>
      </w:r>
      <w:r w:rsidR="00AC0C35">
        <w:rPr>
          <w:color w:val="auto"/>
        </w:rPr>
        <w:t xml:space="preserve"> of at least 3 mentoring sessions</w:t>
      </w:r>
      <w:r>
        <w:rPr>
          <w:color w:val="auto"/>
        </w:rPr>
        <w:t>;</w:t>
      </w:r>
      <w:r w:rsidR="002D65BA" w:rsidRPr="002D65BA">
        <w:rPr>
          <w:color w:val="auto"/>
        </w:rPr>
        <w:t xml:space="preserve"> and </w:t>
      </w:r>
    </w:p>
    <w:p w:rsidR="002D65BA" w:rsidRPr="002D65BA" w:rsidRDefault="0061015B" w:rsidP="00EC0606">
      <w:pPr>
        <w:pStyle w:val="Default"/>
        <w:numPr>
          <w:ilvl w:val="1"/>
          <w:numId w:val="34"/>
        </w:numPr>
        <w:spacing w:after="240"/>
        <w:outlineLvl w:val="0"/>
        <w:rPr>
          <w:color w:val="auto"/>
        </w:rPr>
      </w:pPr>
      <w:r>
        <w:rPr>
          <w:color w:val="auto"/>
        </w:rPr>
        <w:t xml:space="preserve">The mentoring support </w:t>
      </w:r>
      <w:r w:rsidR="002D65BA" w:rsidRPr="002D65BA">
        <w:rPr>
          <w:color w:val="auto"/>
        </w:rPr>
        <w:t xml:space="preserve">will </w:t>
      </w:r>
      <w:r>
        <w:rPr>
          <w:color w:val="auto"/>
        </w:rPr>
        <w:t>be supplemented with</w:t>
      </w:r>
      <w:r w:rsidR="002D65BA" w:rsidRPr="002D65BA">
        <w:rPr>
          <w:color w:val="auto"/>
        </w:rPr>
        <w:t xml:space="preserve"> additional workshops</w:t>
      </w:r>
      <w:r>
        <w:rPr>
          <w:color w:val="auto"/>
        </w:rPr>
        <w:t xml:space="preserve"> covering key areas, for example</w:t>
      </w:r>
      <w:r w:rsidR="002D65BA" w:rsidRPr="002D65BA">
        <w:rPr>
          <w:color w:val="auto"/>
        </w:rPr>
        <w:t xml:space="preserve"> financial planning and marketing support</w:t>
      </w:r>
      <w:r>
        <w:rPr>
          <w:color w:val="auto"/>
        </w:rPr>
        <w:t xml:space="preserve"> etc</w:t>
      </w:r>
      <w:r w:rsidR="002D65BA" w:rsidRPr="002D65BA">
        <w:rPr>
          <w:color w:val="auto"/>
        </w:rPr>
        <w:t>.</w:t>
      </w:r>
    </w:p>
    <w:p w:rsidR="007D62DA" w:rsidRDefault="007D62DA" w:rsidP="00EC0606">
      <w:pPr>
        <w:pStyle w:val="Default"/>
        <w:numPr>
          <w:ilvl w:val="0"/>
          <w:numId w:val="34"/>
        </w:numPr>
        <w:spacing w:after="240"/>
        <w:outlineLvl w:val="0"/>
        <w:rPr>
          <w:color w:val="auto"/>
        </w:rPr>
      </w:pPr>
      <w:r>
        <w:rPr>
          <w:color w:val="auto"/>
        </w:rPr>
        <w:t>Business Plan a</w:t>
      </w:r>
      <w:r w:rsidR="009D009B">
        <w:rPr>
          <w:color w:val="auto"/>
        </w:rPr>
        <w:t>ssessment</w:t>
      </w:r>
      <w:r w:rsidR="00731078">
        <w:rPr>
          <w:color w:val="auto"/>
        </w:rPr>
        <w:t xml:space="preserve">. </w:t>
      </w:r>
      <w:r w:rsidR="00731078" w:rsidRPr="00731078">
        <w:rPr>
          <w:color w:val="auto"/>
        </w:rPr>
        <w:t xml:space="preserve">Provider to administer an approval process </w:t>
      </w:r>
      <w:r w:rsidR="00731078">
        <w:rPr>
          <w:color w:val="auto"/>
        </w:rPr>
        <w:t>for Participants business plans and provide the participant with feedback</w:t>
      </w:r>
      <w:r w:rsidR="006D53BA">
        <w:rPr>
          <w:color w:val="auto"/>
        </w:rPr>
        <w:t xml:space="preserve"> after assessment</w:t>
      </w:r>
      <w:r w:rsidR="00731078">
        <w:rPr>
          <w:color w:val="auto"/>
        </w:rPr>
        <w:t>.</w:t>
      </w:r>
    </w:p>
    <w:p w:rsidR="002D65BA" w:rsidRPr="002D65BA" w:rsidRDefault="002D65BA" w:rsidP="00EC0606">
      <w:pPr>
        <w:pStyle w:val="Default"/>
        <w:numPr>
          <w:ilvl w:val="0"/>
          <w:numId w:val="34"/>
        </w:numPr>
        <w:spacing w:after="240"/>
        <w:outlineLvl w:val="0"/>
        <w:rPr>
          <w:color w:val="auto"/>
        </w:rPr>
      </w:pPr>
      <w:r w:rsidRPr="002D65BA">
        <w:rPr>
          <w:color w:val="auto"/>
        </w:rPr>
        <w:t xml:space="preserve">Business Development phase – Up to 13 weeks after the business plan has been signed off. During this time participants will undertake additional work aimed at building a successful platform for their business launch, for example, for market </w:t>
      </w:r>
      <w:r w:rsidR="00B42122">
        <w:rPr>
          <w:color w:val="auto"/>
        </w:rPr>
        <w:t>research</w:t>
      </w:r>
      <w:r w:rsidRPr="002D65BA">
        <w:rPr>
          <w:color w:val="auto"/>
        </w:rPr>
        <w:t xml:space="preserve"> and time to apply for a Start-Up Loan  Crucially, this should also help ensure UC participants are better prepared for the Gainful Self-Employment Test in UC. </w:t>
      </w:r>
    </w:p>
    <w:p w:rsidR="00C12FC8" w:rsidRDefault="002D65BA" w:rsidP="00EC0606">
      <w:pPr>
        <w:pStyle w:val="Default"/>
        <w:numPr>
          <w:ilvl w:val="0"/>
          <w:numId w:val="34"/>
        </w:numPr>
        <w:spacing w:after="240"/>
        <w:outlineLvl w:val="0"/>
        <w:rPr>
          <w:color w:val="auto"/>
        </w:rPr>
      </w:pPr>
      <w:r w:rsidRPr="002D65BA">
        <w:rPr>
          <w:color w:val="auto"/>
        </w:rPr>
        <w:lastRenderedPageBreak/>
        <w:t xml:space="preserve">Post-trading support – The mentoring support available from providers will be extended to up to </w:t>
      </w:r>
      <w:r w:rsidR="00685BED">
        <w:rPr>
          <w:color w:val="auto"/>
        </w:rPr>
        <w:t>12 months</w:t>
      </w:r>
      <w:r w:rsidR="006339F2">
        <w:rPr>
          <w:color w:val="auto"/>
        </w:rPr>
        <w:t xml:space="preserve"> / 52 weeks</w:t>
      </w:r>
      <w:r w:rsidR="00DC5694">
        <w:rPr>
          <w:rStyle w:val="FootnoteReference"/>
          <w:color w:val="auto"/>
        </w:rPr>
        <w:footnoteReference w:id="5"/>
      </w:r>
      <w:r w:rsidR="00685BED">
        <w:rPr>
          <w:color w:val="auto"/>
        </w:rPr>
        <w:t xml:space="preserve"> (currently </w:t>
      </w:r>
      <w:r w:rsidR="00C36093">
        <w:rPr>
          <w:color w:val="auto"/>
        </w:rPr>
        <w:t>6 months / 26 weeks</w:t>
      </w:r>
      <w:r w:rsidRPr="002D65BA">
        <w:rPr>
          <w:color w:val="auto"/>
        </w:rPr>
        <w:t xml:space="preserve">).  This will bring the post-trading mentoring support into line with the start-up period within UC. </w:t>
      </w:r>
    </w:p>
    <w:p w:rsidR="002D65BA" w:rsidRPr="002D65BA" w:rsidRDefault="00C12FC8" w:rsidP="00EC0606">
      <w:pPr>
        <w:pStyle w:val="Default"/>
        <w:numPr>
          <w:ilvl w:val="0"/>
          <w:numId w:val="34"/>
        </w:numPr>
        <w:spacing w:after="240"/>
        <w:outlineLvl w:val="0"/>
        <w:rPr>
          <w:color w:val="auto"/>
        </w:rPr>
      </w:pPr>
      <w:r>
        <w:rPr>
          <w:color w:val="auto"/>
        </w:rPr>
        <w:t xml:space="preserve">As in the current NEA programme </w:t>
      </w:r>
      <w:r w:rsidR="00606D2F">
        <w:rPr>
          <w:color w:val="auto"/>
        </w:rPr>
        <w:t xml:space="preserve">new business </w:t>
      </w:r>
      <w:proofErr w:type="spellStart"/>
      <w:r w:rsidR="00606D2F">
        <w:rPr>
          <w:color w:val="auto"/>
        </w:rPr>
        <w:t>start up</w:t>
      </w:r>
      <w:proofErr w:type="spellEnd"/>
      <w:r w:rsidR="00606D2F">
        <w:rPr>
          <w:color w:val="auto"/>
        </w:rPr>
        <w:t xml:space="preserve"> </w:t>
      </w:r>
      <w:r>
        <w:rPr>
          <w:color w:val="auto"/>
        </w:rPr>
        <w:t>Participants will also be eligible to receive</w:t>
      </w:r>
      <w:r w:rsidR="002D65BA" w:rsidRPr="002D65BA">
        <w:rPr>
          <w:color w:val="auto"/>
        </w:rPr>
        <w:t xml:space="preserve"> </w:t>
      </w:r>
      <w:r>
        <w:rPr>
          <w:color w:val="auto"/>
        </w:rPr>
        <w:t xml:space="preserve">an allowance for the first </w:t>
      </w:r>
      <w:r w:rsidR="00C36093">
        <w:rPr>
          <w:color w:val="auto"/>
        </w:rPr>
        <w:t>6 months / 26 weeks</w:t>
      </w:r>
      <w:r>
        <w:rPr>
          <w:color w:val="auto"/>
        </w:rPr>
        <w:t xml:space="preserve"> that they are trading.</w:t>
      </w:r>
    </w:p>
    <w:p w:rsidR="00BE1CE8" w:rsidRDefault="009776D0" w:rsidP="00EC0606">
      <w:pPr>
        <w:pStyle w:val="Default"/>
        <w:numPr>
          <w:ilvl w:val="1"/>
          <w:numId w:val="10"/>
        </w:numPr>
        <w:tabs>
          <w:tab w:val="clear" w:pos="465"/>
        </w:tabs>
        <w:spacing w:after="240"/>
        <w:ind w:left="709" w:hanging="709"/>
        <w:outlineLvl w:val="0"/>
        <w:rPr>
          <w:color w:val="auto"/>
        </w:rPr>
      </w:pPr>
      <w:r w:rsidRPr="002D65BA">
        <w:rPr>
          <w:color w:val="auto"/>
        </w:rPr>
        <w:t>With the introduction of UC</w:t>
      </w:r>
      <w:r w:rsidR="007D62DA">
        <w:rPr>
          <w:color w:val="auto"/>
        </w:rPr>
        <w:t xml:space="preserve"> NEA is being extended to include an </w:t>
      </w:r>
      <w:r w:rsidR="002D65BA" w:rsidRPr="002D65BA">
        <w:rPr>
          <w:color w:val="auto"/>
        </w:rPr>
        <w:t xml:space="preserve">additional participant group allowing UC claimants who are already in business, to access mentoring support from the NEA. </w:t>
      </w:r>
      <w:r w:rsidR="00BE1CE8">
        <w:rPr>
          <w:color w:val="auto"/>
        </w:rPr>
        <w:t>The offer for this group will be</w:t>
      </w:r>
      <w:r w:rsidR="00B42122">
        <w:rPr>
          <w:color w:val="auto"/>
        </w:rPr>
        <w:t>:</w:t>
      </w:r>
      <w:r w:rsidR="00BE1CE8">
        <w:rPr>
          <w:color w:val="auto"/>
        </w:rPr>
        <w:t xml:space="preserve"> </w:t>
      </w:r>
    </w:p>
    <w:p w:rsidR="00754A3F" w:rsidRPr="00731078" w:rsidRDefault="000832E3" w:rsidP="00754A3F">
      <w:pPr>
        <w:pStyle w:val="Default"/>
        <w:numPr>
          <w:ilvl w:val="0"/>
          <w:numId w:val="34"/>
        </w:numPr>
        <w:ind w:left="1179" w:hanging="357"/>
        <w:outlineLvl w:val="0"/>
        <w:rPr>
          <w:color w:val="auto"/>
        </w:rPr>
      </w:pPr>
      <w:r>
        <w:rPr>
          <w:rFonts w:cs="Times New Roman"/>
          <w:color w:val="auto"/>
          <w:kern w:val="24"/>
        </w:rPr>
        <w:t>P</w:t>
      </w:r>
      <w:r w:rsidR="00C26846" w:rsidRPr="00A61846">
        <w:rPr>
          <w:rFonts w:cs="Times New Roman"/>
          <w:color w:val="auto"/>
          <w:kern w:val="24"/>
        </w:rPr>
        <w:t xml:space="preserve">roviders to conduct an initial </w:t>
      </w:r>
      <w:r w:rsidR="00AC0C35">
        <w:rPr>
          <w:rFonts w:cs="Times New Roman"/>
          <w:color w:val="auto"/>
          <w:kern w:val="24"/>
        </w:rPr>
        <w:t>assessment</w:t>
      </w:r>
      <w:r w:rsidR="00C26846" w:rsidRPr="00A61846">
        <w:rPr>
          <w:rFonts w:cs="Times New Roman"/>
          <w:color w:val="auto"/>
          <w:kern w:val="24"/>
        </w:rPr>
        <w:t xml:space="preserve"> </w:t>
      </w:r>
      <w:r w:rsidR="007D62DA">
        <w:rPr>
          <w:rFonts w:cs="Times New Roman"/>
          <w:color w:val="auto"/>
          <w:kern w:val="24"/>
        </w:rPr>
        <w:t>with</w:t>
      </w:r>
      <w:r w:rsidR="00C26846" w:rsidRPr="00A61846">
        <w:rPr>
          <w:rFonts w:cs="Times New Roman"/>
          <w:color w:val="auto"/>
          <w:kern w:val="24"/>
        </w:rPr>
        <w:t xml:space="preserve"> participants</w:t>
      </w:r>
      <w:r w:rsidR="00754A3F">
        <w:rPr>
          <w:rFonts w:cs="Times New Roman"/>
          <w:color w:val="auto"/>
          <w:kern w:val="24"/>
        </w:rPr>
        <w:t xml:space="preserve"> within </w:t>
      </w:r>
      <w:r w:rsidR="00754A3F">
        <w:t>1</w:t>
      </w:r>
      <w:r w:rsidR="001F4017">
        <w:t>0</w:t>
      </w:r>
      <w:r w:rsidR="00754A3F">
        <w:t xml:space="preserve"> </w:t>
      </w:r>
      <w:r w:rsidR="00754A3F" w:rsidRPr="00731078">
        <w:t>working days of the referral date</w:t>
      </w:r>
      <w:r w:rsidR="00754A3F">
        <w:t xml:space="preserve"> and record the result in </w:t>
      </w:r>
      <w:proofErr w:type="spellStart"/>
      <w:r w:rsidR="00754A3F">
        <w:t>PRaP</w:t>
      </w:r>
      <w:proofErr w:type="spellEnd"/>
      <w:r w:rsidR="001F4017">
        <w:t xml:space="preserve"> within 15 working days of the referral</w:t>
      </w:r>
      <w:r w:rsidR="006D53BA">
        <w:t xml:space="preserve"> </w:t>
      </w:r>
      <w:r w:rsidR="006D53BA" w:rsidRPr="00A61846">
        <w:rPr>
          <w:rFonts w:cs="Times New Roman"/>
          <w:color w:val="auto"/>
          <w:kern w:val="24"/>
        </w:rPr>
        <w:t>to assess the current state of the business and to decide if the provision could help them</w:t>
      </w:r>
      <w:r w:rsidR="006D53BA">
        <w:rPr>
          <w:rFonts w:cs="Times New Roman"/>
          <w:color w:val="auto"/>
          <w:kern w:val="24"/>
        </w:rPr>
        <w:t>, sifting out those who are not suitable, for example, those whose business does not have the potential to grow</w:t>
      </w:r>
      <w:r w:rsidR="006D53BA" w:rsidRPr="00A61846">
        <w:rPr>
          <w:rFonts w:cs="Times New Roman"/>
          <w:color w:val="auto"/>
          <w:kern w:val="24"/>
        </w:rPr>
        <w:t>.</w:t>
      </w:r>
    </w:p>
    <w:p w:rsidR="0006688D" w:rsidRPr="00A61846" w:rsidRDefault="00C26846" w:rsidP="006D53BA">
      <w:pPr>
        <w:pStyle w:val="Default"/>
        <w:spacing w:after="240"/>
        <w:ind w:left="1276"/>
        <w:outlineLvl w:val="0"/>
        <w:rPr>
          <w:color w:val="auto"/>
        </w:rPr>
      </w:pPr>
      <w:r w:rsidRPr="00A61846">
        <w:rPr>
          <w:rFonts w:cs="Times New Roman"/>
          <w:color w:val="auto"/>
          <w:kern w:val="24"/>
        </w:rPr>
        <w:t xml:space="preserve">  </w:t>
      </w:r>
    </w:p>
    <w:p w:rsidR="00C26846" w:rsidRPr="00A61846" w:rsidRDefault="00EE27E1" w:rsidP="006D53BA">
      <w:pPr>
        <w:pStyle w:val="ListParagraph"/>
        <w:numPr>
          <w:ilvl w:val="0"/>
          <w:numId w:val="36"/>
        </w:numPr>
        <w:tabs>
          <w:tab w:val="clear" w:pos="1276"/>
        </w:tabs>
        <w:ind w:hanging="425"/>
        <w:contextualSpacing/>
        <w:textAlignment w:val="baseline"/>
        <w:rPr>
          <w:rFonts w:ascii="Times New Roman" w:hAnsi="Times New Roman"/>
          <w:lang w:eastAsia="en-GB"/>
        </w:rPr>
      </w:pPr>
      <w:r w:rsidRPr="00A61846">
        <w:rPr>
          <w:rFonts w:cs="Arial"/>
          <w:lang w:eastAsia="en-GB"/>
        </w:rPr>
        <w:t xml:space="preserve">Similar to the </w:t>
      </w:r>
      <w:r w:rsidR="00FE46F1">
        <w:t xml:space="preserve">new business </w:t>
      </w:r>
      <w:proofErr w:type="spellStart"/>
      <w:r w:rsidR="00FE46F1">
        <w:t>start up</w:t>
      </w:r>
      <w:proofErr w:type="spellEnd"/>
      <w:r w:rsidR="00FE46F1" w:rsidRPr="00A61846">
        <w:rPr>
          <w:rFonts w:cs="Arial"/>
          <w:lang w:eastAsia="en-GB"/>
        </w:rPr>
        <w:t xml:space="preserve"> </w:t>
      </w:r>
      <w:r w:rsidR="00AC0C35">
        <w:rPr>
          <w:rFonts w:cs="Arial"/>
          <w:lang w:eastAsia="en-GB"/>
        </w:rPr>
        <w:t xml:space="preserve">mentoring </w:t>
      </w:r>
      <w:r w:rsidRPr="00A61846">
        <w:rPr>
          <w:rFonts w:cs="Arial"/>
          <w:lang w:eastAsia="en-GB"/>
        </w:rPr>
        <w:t xml:space="preserve">offer </w:t>
      </w:r>
      <w:r w:rsidR="00AC0C35">
        <w:rPr>
          <w:rFonts w:cs="Arial"/>
          <w:lang w:eastAsia="en-GB"/>
        </w:rPr>
        <w:t>–</w:t>
      </w:r>
      <w:r w:rsidRPr="00A61846">
        <w:rPr>
          <w:rFonts w:cs="Arial"/>
          <w:lang w:eastAsia="en-GB"/>
        </w:rPr>
        <w:t xml:space="preserve"> </w:t>
      </w:r>
      <w:r w:rsidR="00AC0C35">
        <w:rPr>
          <w:rFonts w:cs="Arial"/>
          <w:lang w:eastAsia="en-GB"/>
        </w:rPr>
        <w:t xml:space="preserve">UC existing </w:t>
      </w:r>
      <w:proofErr w:type="spellStart"/>
      <w:r w:rsidR="00AC0C35">
        <w:rPr>
          <w:rFonts w:cs="Arial"/>
          <w:lang w:eastAsia="en-GB"/>
        </w:rPr>
        <w:t>self employed</w:t>
      </w:r>
      <w:proofErr w:type="spellEnd"/>
      <w:r w:rsidR="00AC0C35">
        <w:rPr>
          <w:rFonts w:cs="Arial"/>
          <w:lang w:eastAsia="en-GB"/>
        </w:rPr>
        <w:t xml:space="preserve"> mentoring </w:t>
      </w:r>
      <w:r w:rsidRPr="00A61846">
        <w:rPr>
          <w:rFonts w:cs="Arial"/>
          <w:lang w:eastAsia="en-GB"/>
        </w:rPr>
        <w:t xml:space="preserve">will last for up to 12 weeks </w:t>
      </w:r>
      <w:r w:rsidR="00C26846" w:rsidRPr="00A61846">
        <w:rPr>
          <w:rFonts w:cs="Arial"/>
          <w:lang w:eastAsia="en-GB"/>
        </w:rPr>
        <w:t xml:space="preserve">with </w:t>
      </w:r>
      <w:r w:rsidR="00C26846" w:rsidRPr="00A61846">
        <w:rPr>
          <w:kern w:val="24"/>
          <w:lang w:eastAsia="en-GB"/>
        </w:rPr>
        <w:t xml:space="preserve">a minimum of </w:t>
      </w:r>
      <w:r w:rsidR="00AC0C35">
        <w:rPr>
          <w:kern w:val="24"/>
          <w:lang w:eastAsia="en-GB"/>
        </w:rPr>
        <w:t>3</w:t>
      </w:r>
      <w:r w:rsidR="00C26846" w:rsidRPr="00A61846">
        <w:rPr>
          <w:kern w:val="24"/>
          <w:lang w:eastAsia="en-GB"/>
        </w:rPr>
        <w:t xml:space="preserve"> mentoring sessions over the 12 weeks </w:t>
      </w:r>
      <w:r w:rsidRPr="00A61846">
        <w:rPr>
          <w:rFonts w:cs="Arial"/>
          <w:lang w:eastAsia="en-GB"/>
        </w:rPr>
        <w:t>and will include additional workshops e.g. on financial planning and marketing support.</w:t>
      </w:r>
      <w:r w:rsidR="00C26846" w:rsidRPr="00A61846">
        <w:rPr>
          <w:kern w:val="24"/>
        </w:rPr>
        <w:t xml:space="preserve"> </w:t>
      </w:r>
    </w:p>
    <w:p w:rsidR="00EE27E1" w:rsidRPr="00A61846" w:rsidRDefault="00EE27E1" w:rsidP="00690E9E">
      <w:pPr>
        <w:ind w:left="851"/>
        <w:rPr>
          <w:rFonts w:cs="Arial"/>
          <w:lang w:eastAsia="en-GB"/>
        </w:rPr>
      </w:pPr>
    </w:p>
    <w:p w:rsidR="00EE27E1" w:rsidRPr="00A61846" w:rsidRDefault="00C26846" w:rsidP="00EC0606">
      <w:pPr>
        <w:numPr>
          <w:ilvl w:val="0"/>
          <w:numId w:val="35"/>
        </w:numPr>
        <w:spacing w:after="240"/>
        <w:ind w:left="1276" w:hanging="425"/>
        <w:rPr>
          <w:rFonts w:cs="Arial"/>
          <w:lang w:eastAsia="en-GB"/>
        </w:rPr>
      </w:pPr>
      <w:r w:rsidRPr="00A61846">
        <w:rPr>
          <w:rFonts w:cs="Arial"/>
          <w:lang w:eastAsia="en-GB"/>
        </w:rPr>
        <w:t xml:space="preserve">Mentoring support will be based around developing a </w:t>
      </w:r>
      <w:r w:rsidR="00A61846">
        <w:rPr>
          <w:rFonts w:cs="Arial"/>
          <w:lang w:eastAsia="en-GB"/>
        </w:rPr>
        <w:t xml:space="preserve">Business </w:t>
      </w:r>
      <w:r w:rsidR="006D53BA">
        <w:rPr>
          <w:rFonts w:cs="Arial"/>
          <w:lang w:eastAsia="en-GB"/>
        </w:rPr>
        <w:t xml:space="preserve">Development and </w:t>
      </w:r>
      <w:r w:rsidR="00A61846">
        <w:rPr>
          <w:rFonts w:cs="Arial"/>
          <w:lang w:eastAsia="en-GB"/>
        </w:rPr>
        <w:t>Growth Plan</w:t>
      </w:r>
      <w:r w:rsidR="00B42122">
        <w:rPr>
          <w:rFonts w:cs="Arial"/>
          <w:lang w:eastAsia="en-GB"/>
        </w:rPr>
        <w:t xml:space="preserve"> (BDGP)</w:t>
      </w:r>
      <w:r w:rsidR="00A61846">
        <w:rPr>
          <w:rFonts w:cs="Arial"/>
          <w:lang w:eastAsia="en-GB"/>
        </w:rPr>
        <w:t>, which will include</w:t>
      </w:r>
      <w:r w:rsidRPr="00A61846">
        <w:rPr>
          <w:rFonts w:cs="Arial"/>
          <w:lang w:eastAsia="en-GB"/>
        </w:rPr>
        <w:t xml:space="preserve"> short, medium and long term activities aimed at improving business earnings</w:t>
      </w:r>
      <w:r w:rsidR="007D62DA">
        <w:rPr>
          <w:rFonts w:cs="Arial"/>
          <w:lang w:eastAsia="en-GB"/>
        </w:rPr>
        <w:t xml:space="preserve"> to above the Minimum Income Floor</w:t>
      </w:r>
      <w:r w:rsidR="00606D2F">
        <w:rPr>
          <w:rFonts w:cs="Arial"/>
          <w:lang w:eastAsia="en-GB"/>
        </w:rPr>
        <w:t xml:space="preserve"> (MIF)</w:t>
      </w:r>
      <w:r w:rsidR="007D62DA">
        <w:rPr>
          <w:rFonts w:cs="Arial"/>
          <w:lang w:eastAsia="en-GB"/>
        </w:rPr>
        <w:t xml:space="preserve"> </w:t>
      </w:r>
      <w:r w:rsidR="003548F3">
        <w:rPr>
          <w:rStyle w:val="FootnoteReference"/>
          <w:rFonts w:cs="Arial"/>
          <w:lang w:eastAsia="en-GB"/>
        </w:rPr>
        <w:footnoteReference w:id="6"/>
      </w:r>
      <w:r w:rsidRPr="00A61846">
        <w:rPr>
          <w:rFonts w:cs="Arial"/>
          <w:lang w:eastAsia="en-GB"/>
        </w:rPr>
        <w:t xml:space="preserve"> and therefore, business sustainability.</w:t>
      </w:r>
    </w:p>
    <w:p w:rsidR="00E100E5" w:rsidRPr="009776D0" w:rsidRDefault="009776D0" w:rsidP="00EC0606">
      <w:pPr>
        <w:pStyle w:val="Default"/>
        <w:numPr>
          <w:ilvl w:val="1"/>
          <w:numId w:val="10"/>
        </w:numPr>
        <w:tabs>
          <w:tab w:val="clear" w:pos="465"/>
        </w:tabs>
        <w:spacing w:after="240"/>
        <w:ind w:left="720" w:hanging="720"/>
        <w:outlineLvl w:val="0"/>
        <w:rPr>
          <w:color w:val="auto"/>
        </w:rPr>
      </w:pPr>
      <w:r w:rsidRPr="009776D0">
        <w:rPr>
          <w:color w:val="auto"/>
        </w:rPr>
        <w:t>NEA P</w:t>
      </w:r>
      <w:r w:rsidR="00E100E5" w:rsidRPr="009776D0">
        <w:rPr>
          <w:color w:val="auto"/>
        </w:rPr>
        <w:t>hase</w:t>
      </w:r>
      <w:r w:rsidRPr="009776D0">
        <w:rPr>
          <w:color w:val="auto"/>
        </w:rPr>
        <w:t xml:space="preserve"> 2</w:t>
      </w:r>
      <w:r w:rsidR="00E100E5" w:rsidRPr="009776D0">
        <w:rPr>
          <w:color w:val="auto"/>
        </w:rPr>
        <w:t xml:space="preserve"> will </w:t>
      </w:r>
      <w:r w:rsidR="002D65BA">
        <w:rPr>
          <w:color w:val="auto"/>
        </w:rPr>
        <w:t xml:space="preserve">offer </w:t>
      </w:r>
      <w:r w:rsidR="00E100E5" w:rsidRPr="009776D0">
        <w:rPr>
          <w:color w:val="auto"/>
        </w:rPr>
        <w:t>provision</w:t>
      </w:r>
      <w:r w:rsidR="006A229A" w:rsidRPr="009776D0">
        <w:rPr>
          <w:color w:val="auto"/>
        </w:rPr>
        <w:t xml:space="preserve"> for new referrals to the scheme</w:t>
      </w:r>
      <w:r w:rsidR="00E100E5" w:rsidRPr="009776D0">
        <w:rPr>
          <w:color w:val="auto"/>
        </w:rPr>
        <w:t xml:space="preserve"> from </w:t>
      </w:r>
      <w:r w:rsidRPr="009776D0">
        <w:rPr>
          <w:color w:val="auto"/>
        </w:rPr>
        <w:t xml:space="preserve">April </w:t>
      </w:r>
      <w:r w:rsidR="00E100E5" w:rsidRPr="009776D0">
        <w:rPr>
          <w:color w:val="auto"/>
        </w:rPr>
        <w:t>201</w:t>
      </w:r>
      <w:r w:rsidRPr="009776D0">
        <w:rPr>
          <w:color w:val="auto"/>
        </w:rPr>
        <w:t>7</w:t>
      </w:r>
      <w:r w:rsidR="00E100E5" w:rsidRPr="009776D0">
        <w:rPr>
          <w:color w:val="auto"/>
        </w:rPr>
        <w:t xml:space="preserve"> to March 201</w:t>
      </w:r>
      <w:r w:rsidRPr="009776D0">
        <w:rPr>
          <w:color w:val="auto"/>
        </w:rPr>
        <w:t>9</w:t>
      </w:r>
      <w:r w:rsidR="00E100E5" w:rsidRPr="009776D0">
        <w:rPr>
          <w:color w:val="auto"/>
        </w:rPr>
        <w:t xml:space="preserve"> with an option to extend the contracts for up to further 2 years </w:t>
      </w:r>
      <w:r w:rsidR="008A45C0" w:rsidRPr="009776D0">
        <w:rPr>
          <w:color w:val="auto"/>
        </w:rPr>
        <w:t>(1 +</w:t>
      </w:r>
      <w:r w:rsidR="003F1357">
        <w:rPr>
          <w:color w:val="auto"/>
        </w:rPr>
        <w:t xml:space="preserve"> </w:t>
      </w:r>
      <w:r w:rsidR="008A45C0" w:rsidRPr="009776D0">
        <w:rPr>
          <w:color w:val="auto"/>
        </w:rPr>
        <w:t>1</w:t>
      </w:r>
      <w:r w:rsidRPr="009776D0">
        <w:rPr>
          <w:color w:val="auto"/>
        </w:rPr>
        <w:t xml:space="preserve"> or other</w:t>
      </w:r>
      <w:r w:rsidR="008A45C0" w:rsidRPr="009776D0">
        <w:rPr>
          <w:color w:val="auto"/>
        </w:rPr>
        <w:t xml:space="preserve">) </w:t>
      </w:r>
      <w:r w:rsidR="00E100E5" w:rsidRPr="009776D0">
        <w:rPr>
          <w:color w:val="auto"/>
        </w:rPr>
        <w:t>subject to funding avai</w:t>
      </w:r>
      <w:r w:rsidR="00DD0A2F" w:rsidRPr="009776D0">
        <w:rPr>
          <w:color w:val="auto"/>
        </w:rPr>
        <w:t>lab</w:t>
      </w:r>
      <w:r w:rsidR="00E100E5" w:rsidRPr="009776D0">
        <w:rPr>
          <w:color w:val="auto"/>
        </w:rPr>
        <w:t>ility and acceptable performance.</w:t>
      </w:r>
    </w:p>
    <w:p w:rsidR="00EB65EB" w:rsidRPr="00DC6B74" w:rsidRDefault="00E100E5" w:rsidP="00EC0606">
      <w:pPr>
        <w:pStyle w:val="Default"/>
        <w:numPr>
          <w:ilvl w:val="1"/>
          <w:numId w:val="10"/>
        </w:numPr>
        <w:tabs>
          <w:tab w:val="clear" w:pos="465"/>
        </w:tabs>
        <w:spacing w:after="600"/>
        <w:ind w:left="720" w:hanging="720"/>
        <w:outlineLvl w:val="0"/>
        <w:rPr>
          <w:color w:val="auto"/>
        </w:rPr>
      </w:pPr>
      <w:r w:rsidRPr="00DC6B74">
        <w:rPr>
          <w:color w:val="auto"/>
        </w:rPr>
        <w:t xml:space="preserve">The intention is to award </w:t>
      </w:r>
      <w:r w:rsidR="00C26846" w:rsidRPr="00DC6B74">
        <w:rPr>
          <w:color w:val="auto"/>
        </w:rPr>
        <w:t>14</w:t>
      </w:r>
      <w:r w:rsidR="00E808AB" w:rsidRPr="00DC6B74">
        <w:rPr>
          <w:color w:val="auto"/>
        </w:rPr>
        <w:t xml:space="preserve"> </w:t>
      </w:r>
      <w:r w:rsidRPr="00DC6B74">
        <w:rPr>
          <w:color w:val="auto"/>
        </w:rPr>
        <w:t xml:space="preserve">contracts </w:t>
      </w:r>
      <w:r w:rsidR="00E808AB" w:rsidRPr="00DC6B74">
        <w:rPr>
          <w:color w:val="auto"/>
        </w:rPr>
        <w:t xml:space="preserve">that will </w:t>
      </w:r>
      <w:r w:rsidRPr="00DC6B74">
        <w:rPr>
          <w:color w:val="auto"/>
        </w:rPr>
        <w:t xml:space="preserve">ensure full coverage across all JCP Districts. </w:t>
      </w:r>
      <w:r w:rsidR="00DC6B74">
        <w:rPr>
          <w:color w:val="auto"/>
        </w:rPr>
        <w:t xml:space="preserve">NEA </w:t>
      </w:r>
      <w:r w:rsidR="007F7295">
        <w:t xml:space="preserve">Phase 2 </w:t>
      </w:r>
      <w:r w:rsidR="00DC6B74">
        <w:rPr>
          <w:color w:val="auto"/>
        </w:rPr>
        <w:t>is not a devolved responsibility, so contracts will be awarded in both Scotland and Wales.</w:t>
      </w:r>
    </w:p>
    <w:p w:rsidR="00296DAB" w:rsidRPr="00946EDA" w:rsidRDefault="00296DAB" w:rsidP="00690E9E">
      <w:pPr>
        <w:autoSpaceDE w:val="0"/>
        <w:autoSpaceDN w:val="0"/>
        <w:adjustRightInd w:val="0"/>
        <w:spacing w:after="240"/>
        <w:ind w:left="720" w:hanging="720"/>
        <w:rPr>
          <w:rFonts w:cs="Arial"/>
          <w:b/>
          <w:bCs/>
          <w:sz w:val="28"/>
          <w:szCs w:val="28"/>
          <w:lang w:eastAsia="en-GB"/>
        </w:rPr>
      </w:pPr>
      <w:r w:rsidRPr="00946EDA">
        <w:rPr>
          <w:rFonts w:cs="Arial"/>
          <w:b/>
          <w:bCs/>
          <w:sz w:val="28"/>
          <w:szCs w:val="28"/>
          <w:lang w:eastAsia="en-GB"/>
        </w:rPr>
        <w:t>Critical Success Factors</w:t>
      </w:r>
    </w:p>
    <w:p w:rsidR="003612A8" w:rsidRPr="00FB359E" w:rsidRDefault="00296DAB" w:rsidP="00EC0606">
      <w:pPr>
        <w:pStyle w:val="Default"/>
        <w:numPr>
          <w:ilvl w:val="1"/>
          <w:numId w:val="10"/>
        </w:numPr>
        <w:tabs>
          <w:tab w:val="clear" w:pos="465"/>
        </w:tabs>
        <w:spacing w:after="240"/>
        <w:ind w:left="720" w:hanging="720"/>
        <w:outlineLvl w:val="0"/>
        <w:rPr>
          <w:bCs/>
          <w:color w:val="auto"/>
        </w:rPr>
      </w:pPr>
      <w:r w:rsidRPr="00FB359E">
        <w:rPr>
          <w:color w:val="auto"/>
        </w:rPr>
        <w:t>Below are the Critical Success Factors against which the success of</w:t>
      </w:r>
      <w:r w:rsidR="00A73C95" w:rsidRPr="00FB359E">
        <w:rPr>
          <w:color w:val="auto"/>
        </w:rPr>
        <w:t xml:space="preserve"> </w:t>
      </w:r>
      <w:r w:rsidR="00C30DA7" w:rsidRPr="00FB359E">
        <w:rPr>
          <w:color w:val="auto"/>
        </w:rPr>
        <w:t xml:space="preserve">NEA </w:t>
      </w:r>
      <w:r w:rsidR="007F7295">
        <w:t xml:space="preserve">Phase 2 </w:t>
      </w:r>
      <w:r w:rsidRPr="00FB359E">
        <w:rPr>
          <w:color w:val="auto"/>
        </w:rPr>
        <w:t>will be judged:</w:t>
      </w:r>
    </w:p>
    <w:p w:rsidR="00DC6B74" w:rsidRPr="00FB359E" w:rsidRDefault="00FB359E" w:rsidP="00EC0606">
      <w:pPr>
        <w:pStyle w:val="Default"/>
        <w:numPr>
          <w:ilvl w:val="0"/>
          <w:numId w:val="9"/>
        </w:numPr>
        <w:tabs>
          <w:tab w:val="clear" w:pos="2632"/>
        </w:tabs>
        <w:ind w:left="1418" w:hanging="425"/>
        <w:outlineLvl w:val="0"/>
        <w:rPr>
          <w:color w:val="auto"/>
        </w:rPr>
      </w:pPr>
      <w:r w:rsidRPr="00FB359E">
        <w:rPr>
          <w:color w:val="auto"/>
        </w:rPr>
        <w:lastRenderedPageBreak/>
        <w:t xml:space="preserve">Number of people progressing into </w:t>
      </w:r>
      <w:r w:rsidR="0065018C">
        <w:rPr>
          <w:color w:val="auto"/>
        </w:rPr>
        <w:t xml:space="preserve">sustained </w:t>
      </w:r>
      <w:r w:rsidRPr="00FB359E">
        <w:rPr>
          <w:color w:val="auto"/>
        </w:rPr>
        <w:t>self-employment</w:t>
      </w:r>
      <w:r w:rsidR="006D53BA">
        <w:rPr>
          <w:color w:val="auto"/>
        </w:rPr>
        <w:t>; and</w:t>
      </w:r>
      <w:r w:rsidRPr="00FB359E">
        <w:rPr>
          <w:color w:val="auto"/>
        </w:rPr>
        <w:t xml:space="preserve"> </w:t>
      </w:r>
    </w:p>
    <w:p w:rsidR="00B13EBD" w:rsidRPr="00FB359E" w:rsidRDefault="00FB359E" w:rsidP="00EC0606">
      <w:pPr>
        <w:pStyle w:val="Default"/>
        <w:numPr>
          <w:ilvl w:val="0"/>
          <w:numId w:val="9"/>
        </w:numPr>
        <w:tabs>
          <w:tab w:val="clear" w:pos="2632"/>
        </w:tabs>
        <w:spacing w:after="240"/>
        <w:ind w:left="1418" w:hanging="425"/>
        <w:outlineLvl w:val="0"/>
        <w:rPr>
          <w:color w:val="auto"/>
        </w:rPr>
      </w:pPr>
      <w:r w:rsidRPr="00FB359E">
        <w:rPr>
          <w:color w:val="auto"/>
        </w:rPr>
        <w:t xml:space="preserve">Number of </w:t>
      </w:r>
      <w:r w:rsidR="00132790">
        <w:rPr>
          <w:color w:val="auto"/>
        </w:rPr>
        <w:t xml:space="preserve">UC </w:t>
      </w:r>
      <w:r w:rsidRPr="00FB359E">
        <w:rPr>
          <w:color w:val="auto"/>
        </w:rPr>
        <w:t xml:space="preserve">existing self-employed </w:t>
      </w:r>
      <w:r w:rsidR="00132790">
        <w:rPr>
          <w:color w:val="auto"/>
        </w:rPr>
        <w:t xml:space="preserve">Participants </w:t>
      </w:r>
      <w:r w:rsidRPr="00FB359E">
        <w:rPr>
          <w:color w:val="auto"/>
        </w:rPr>
        <w:t>who increase their earning</w:t>
      </w:r>
      <w:r w:rsidR="00685BED">
        <w:rPr>
          <w:color w:val="auto"/>
        </w:rPr>
        <w:t>s</w:t>
      </w:r>
      <w:r w:rsidRPr="00FB359E">
        <w:rPr>
          <w:color w:val="auto"/>
        </w:rPr>
        <w:t xml:space="preserve"> from the business</w:t>
      </w:r>
      <w:r w:rsidR="0065018C">
        <w:rPr>
          <w:color w:val="auto"/>
        </w:rPr>
        <w:t xml:space="preserve"> to above the MIF</w:t>
      </w:r>
      <w:r w:rsidR="000F4F90">
        <w:rPr>
          <w:color w:val="auto"/>
        </w:rPr>
        <w:t>.</w:t>
      </w:r>
    </w:p>
    <w:p w:rsidR="00FB359E" w:rsidRPr="00FB359E" w:rsidRDefault="000C1935" w:rsidP="00690E9E">
      <w:pPr>
        <w:pStyle w:val="Default"/>
        <w:spacing w:after="240"/>
        <w:ind w:left="720"/>
        <w:outlineLvl w:val="0"/>
        <w:rPr>
          <w:color w:val="auto"/>
        </w:rPr>
      </w:pPr>
      <w:r>
        <w:rPr>
          <w:color w:val="auto"/>
        </w:rPr>
        <w:t>For new business starts w</w:t>
      </w:r>
      <w:r w:rsidR="00FB359E">
        <w:rPr>
          <w:color w:val="auto"/>
        </w:rPr>
        <w:t>e will measure whether these critical success factors have been a</w:t>
      </w:r>
      <w:r w:rsidR="00FB359E" w:rsidRPr="00FB359E">
        <w:rPr>
          <w:color w:val="auto"/>
        </w:rPr>
        <w:t>chieved by</w:t>
      </w:r>
      <w:r w:rsidR="00FB359E">
        <w:rPr>
          <w:color w:val="auto"/>
        </w:rPr>
        <w:t xml:space="preserve"> the:</w:t>
      </w:r>
    </w:p>
    <w:p w:rsidR="00AE7F31" w:rsidRDefault="00FB359E" w:rsidP="00EC0606">
      <w:pPr>
        <w:pStyle w:val="Default"/>
        <w:numPr>
          <w:ilvl w:val="0"/>
          <w:numId w:val="9"/>
        </w:numPr>
        <w:tabs>
          <w:tab w:val="clear" w:pos="2632"/>
        </w:tabs>
        <w:spacing w:after="120"/>
        <w:ind w:left="1843" w:hanging="448"/>
        <w:outlineLvl w:val="0"/>
        <w:rPr>
          <w:color w:val="auto"/>
        </w:rPr>
      </w:pPr>
      <w:r w:rsidRPr="00AE7F31">
        <w:rPr>
          <w:color w:val="auto"/>
        </w:rPr>
        <w:t xml:space="preserve">number of </w:t>
      </w:r>
      <w:r w:rsidR="00137652">
        <w:rPr>
          <w:color w:val="auto"/>
        </w:rPr>
        <w:t>Link Up : Start Up</w:t>
      </w:r>
      <w:r w:rsidR="00137652" w:rsidRPr="00AE7F31">
        <w:rPr>
          <w:color w:val="auto"/>
        </w:rPr>
        <w:t xml:space="preserve"> </w:t>
      </w:r>
      <w:r w:rsidRPr="00AE7F31">
        <w:rPr>
          <w:color w:val="auto"/>
        </w:rPr>
        <w:t>workshop attendees who a</w:t>
      </w:r>
      <w:r w:rsidR="00AE7F31">
        <w:rPr>
          <w:color w:val="auto"/>
        </w:rPr>
        <w:t xml:space="preserve">re suitably informed about self-employment to decide whether they want to be referred the assessment stage and access NEA </w:t>
      </w:r>
      <w:r w:rsidR="007F7295">
        <w:t xml:space="preserve">Phase 2 </w:t>
      </w:r>
      <w:r w:rsidR="00AE7F31">
        <w:rPr>
          <w:color w:val="auto"/>
        </w:rPr>
        <w:t>mentoring</w:t>
      </w:r>
      <w:r w:rsidR="00690E9E" w:rsidRPr="00AE7F31">
        <w:rPr>
          <w:color w:val="auto"/>
        </w:rPr>
        <w:t>;</w:t>
      </w:r>
      <w:r w:rsidRPr="00AE7F31">
        <w:rPr>
          <w:color w:val="auto"/>
        </w:rPr>
        <w:t xml:space="preserve"> </w:t>
      </w:r>
    </w:p>
    <w:p w:rsidR="00FB359E" w:rsidRPr="00AE7F31" w:rsidRDefault="00FB359E" w:rsidP="00EC0606">
      <w:pPr>
        <w:pStyle w:val="Default"/>
        <w:numPr>
          <w:ilvl w:val="0"/>
          <w:numId w:val="9"/>
        </w:numPr>
        <w:tabs>
          <w:tab w:val="clear" w:pos="2632"/>
        </w:tabs>
        <w:spacing w:after="120"/>
        <w:ind w:left="1843" w:hanging="448"/>
        <w:outlineLvl w:val="0"/>
        <w:rPr>
          <w:color w:val="auto"/>
        </w:rPr>
      </w:pPr>
      <w:r w:rsidRPr="00AE7F31">
        <w:rPr>
          <w:color w:val="auto"/>
        </w:rPr>
        <w:t>number of Participants who receive an initial assessment / scre</w:t>
      </w:r>
      <w:r w:rsidR="00690E9E" w:rsidRPr="00AE7F31">
        <w:rPr>
          <w:color w:val="auto"/>
        </w:rPr>
        <w:t xml:space="preserve">en (within </w:t>
      </w:r>
      <w:r w:rsidR="00B547C2" w:rsidRPr="00AE7F31">
        <w:rPr>
          <w:color w:val="auto"/>
        </w:rPr>
        <w:t>1</w:t>
      </w:r>
      <w:r w:rsidR="00FA49AA">
        <w:rPr>
          <w:color w:val="auto"/>
        </w:rPr>
        <w:t>0</w:t>
      </w:r>
      <w:r w:rsidR="00690E9E" w:rsidRPr="00AE7F31">
        <w:rPr>
          <w:color w:val="auto"/>
        </w:rPr>
        <w:t xml:space="preserve"> </w:t>
      </w:r>
      <w:r w:rsidR="008762CF">
        <w:rPr>
          <w:color w:val="auto"/>
        </w:rPr>
        <w:t xml:space="preserve">working </w:t>
      </w:r>
      <w:r w:rsidR="00690E9E" w:rsidRPr="00AE7F31">
        <w:rPr>
          <w:color w:val="auto"/>
        </w:rPr>
        <w:t>days of referral);</w:t>
      </w:r>
      <w:r w:rsidRPr="00AE7F31">
        <w:rPr>
          <w:color w:val="auto"/>
        </w:rPr>
        <w:t xml:space="preserve"> </w:t>
      </w:r>
    </w:p>
    <w:p w:rsidR="00FB359E" w:rsidRPr="00690E9E" w:rsidRDefault="00754A3F" w:rsidP="00EC0606">
      <w:pPr>
        <w:pStyle w:val="Default"/>
        <w:numPr>
          <w:ilvl w:val="0"/>
          <w:numId w:val="9"/>
        </w:numPr>
        <w:tabs>
          <w:tab w:val="clear" w:pos="2632"/>
        </w:tabs>
        <w:spacing w:after="120"/>
        <w:ind w:left="1843" w:hanging="448"/>
        <w:outlineLvl w:val="0"/>
        <w:rPr>
          <w:color w:val="auto"/>
        </w:rPr>
      </w:pPr>
      <w:r>
        <w:rPr>
          <w:color w:val="auto"/>
        </w:rPr>
        <w:t xml:space="preserve">proportion </w:t>
      </w:r>
      <w:r w:rsidR="00FB359E" w:rsidRPr="00FB359E">
        <w:rPr>
          <w:color w:val="auto"/>
        </w:rPr>
        <w:t xml:space="preserve"> of Participants who complete the mentoring phase and have </w:t>
      </w:r>
      <w:r w:rsidR="00690E9E">
        <w:rPr>
          <w:color w:val="auto"/>
        </w:rPr>
        <w:t xml:space="preserve">business plans </w:t>
      </w:r>
      <w:r w:rsidR="00C52E59">
        <w:rPr>
          <w:color w:val="auto"/>
        </w:rPr>
        <w:t>a</w:t>
      </w:r>
      <w:r w:rsidR="0074509F">
        <w:rPr>
          <w:color w:val="auto"/>
        </w:rPr>
        <w:t>ssessed</w:t>
      </w:r>
      <w:r w:rsidR="00690E9E">
        <w:rPr>
          <w:color w:val="auto"/>
        </w:rPr>
        <w:t>;</w:t>
      </w:r>
    </w:p>
    <w:p w:rsidR="00FB359E" w:rsidRDefault="00754A3F" w:rsidP="00EC0606">
      <w:pPr>
        <w:pStyle w:val="Default"/>
        <w:numPr>
          <w:ilvl w:val="0"/>
          <w:numId w:val="9"/>
        </w:numPr>
        <w:tabs>
          <w:tab w:val="clear" w:pos="2632"/>
        </w:tabs>
        <w:spacing w:after="120"/>
        <w:ind w:left="1843" w:hanging="448"/>
        <w:outlineLvl w:val="0"/>
        <w:rPr>
          <w:color w:val="auto"/>
        </w:rPr>
      </w:pPr>
      <w:r>
        <w:rPr>
          <w:color w:val="auto"/>
        </w:rPr>
        <w:t xml:space="preserve">proportion </w:t>
      </w:r>
      <w:r w:rsidR="00FB359E" w:rsidRPr="00FB359E">
        <w:rPr>
          <w:color w:val="auto"/>
        </w:rPr>
        <w:t>of Pa</w:t>
      </w:r>
      <w:r w:rsidR="00690E9E">
        <w:rPr>
          <w:color w:val="auto"/>
        </w:rPr>
        <w:t>rticipants who commence trading;</w:t>
      </w:r>
      <w:r w:rsidR="004C6408">
        <w:rPr>
          <w:color w:val="auto"/>
        </w:rPr>
        <w:t xml:space="preserve"> </w:t>
      </w:r>
    </w:p>
    <w:p w:rsidR="00321C45" w:rsidRPr="00DF7F09" w:rsidRDefault="00754A3F" w:rsidP="00EC0606">
      <w:pPr>
        <w:pStyle w:val="Default"/>
        <w:numPr>
          <w:ilvl w:val="0"/>
          <w:numId w:val="9"/>
        </w:numPr>
        <w:tabs>
          <w:tab w:val="clear" w:pos="2632"/>
        </w:tabs>
        <w:spacing w:after="120"/>
        <w:ind w:left="1843" w:hanging="448"/>
        <w:outlineLvl w:val="0"/>
        <w:rPr>
          <w:color w:val="auto"/>
        </w:rPr>
      </w:pPr>
      <w:r>
        <w:rPr>
          <w:color w:val="auto"/>
        </w:rPr>
        <w:t xml:space="preserve">proportion </w:t>
      </w:r>
      <w:r w:rsidR="00321C45" w:rsidRPr="00FB359E">
        <w:rPr>
          <w:color w:val="auto"/>
        </w:rPr>
        <w:t xml:space="preserve">of Participants who complete </w:t>
      </w:r>
      <w:r w:rsidR="00C36093">
        <w:rPr>
          <w:color w:val="auto"/>
        </w:rPr>
        <w:t>6 months / 26 weeks</w:t>
      </w:r>
      <w:r w:rsidR="00321C45" w:rsidRPr="00FB359E">
        <w:rPr>
          <w:color w:val="auto"/>
        </w:rPr>
        <w:t xml:space="preserve"> of trading</w:t>
      </w:r>
      <w:r w:rsidR="006D53BA">
        <w:rPr>
          <w:color w:val="auto"/>
        </w:rPr>
        <w:t>; and</w:t>
      </w:r>
    </w:p>
    <w:p w:rsidR="00FB359E" w:rsidRPr="00FB359E" w:rsidRDefault="00754A3F" w:rsidP="00EC0606">
      <w:pPr>
        <w:pStyle w:val="Default"/>
        <w:numPr>
          <w:ilvl w:val="0"/>
          <w:numId w:val="9"/>
        </w:numPr>
        <w:tabs>
          <w:tab w:val="clear" w:pos="2632"/>
        </w:tabs>
        <w:spacing w:after="240"/>
        <w:ind w:left="1843" w:hanging="447"/>
        <w:outlineLvl w:val="0"/>
        <w:rPr>
          <w:color w:val="auto"/>
        </w:rPr>
      </w:pPr>
      <w:proofErr w:type="gramStart"/>
      <w:r>
        <w:rPr>
          <w:color w:val="auto"/>
        </w:rPr>
        <w:t xml:space="preserve">proportion </w:t>
      </w:r>
      <w:r w:rsidR="00FB359E" w:rsidRPr="00FB359E">
        <w:rPr>
          <w:color w:val="auto"/>
        </w:rPr>
        <w:t xml:space="preserve"> of</w:t>
      </w:r>
      <w:proofErr w:type="gramEnd"/>
      <w:r w:rsidR="00FB359E" w:rsidRPr="00FB359E">
        <w:rPr>
          <w:color w:val="auto"/>
        </w:rPr>
        <w:t xml:space="preserve"> Participants who complete </w:t>
      </w:r>
      <w:r w:rsidR="00685BED">
        <w:rPr>
          <w:color w:val="auto"/>
        </w:rPr>
        <w:t>1</w:t>
      </w:r>
      <w:r w:rsidR="00FB359E" w:rsidRPr="00FB359E">
        <w:rPr>
          <w:color w:val="auto"/>
        </w:rPr>
        <w:t xml:space="preserve">2 </w:t>
      </w:r>
      <w:r w:rsidR="00685BED">
        <w:rPr>
          <w:color w:val="auto"/>
        </w:rPr>
        <w:t>months</w:t>
      </w:r>
      <w:r w:rsidR="00FB359E" w:rsidRPr="00FB359E">
        <w:rPr>
          <w:color w:val="auto"/>
        </w:rPr>
        <w:t xml:space="preserve"> </w:t>
      </w:r>
      <w:r w:rsidR="00C36093">
        <w:rPr>
          <w:color w:val="auto"/>
        </w:rPr>
        <w:t xml:space="preserve">/ 52 weeks </w:t>
      </w:r>
      <w:r w:rsidR="00FB359E" w:rsidRPr="00FB359E">
        <w:rPr>
          <w:color w:val="auto"/>
        </w:rPr>
        <w:t>of trading.</w:t>
      </w:r>
    </w:p>
    <w:p w:rsidR="00FB359E" w:rsidRDefault="00FB359E" w:rsidP="00690E9E">
      <w:pPr>
        <w:pStyle w:val="Default"/>
        <w:spacing w:after="240"/>
        <w:ind w:left="720"/>
        <w:outlineLvl w:val="0"/>
        <w:rPr>
          <w:color w:val="auto"/>
        </w:rPr>
      </w:pPr>
      <w:r>
        <w:rPr>
          <w:color w:val="auto"/>
        </w:rPr>
        <w:t xml:space="preserve">For those who are </w:t>
      </w:r>
      <w:r w:rsidR="008762CF">
        <w:rPr>
          <w:color w:val="auto"/>
        </w:rPr>
        <w:t xml:space="preserve">UC </w:t>
      </w:r>
      <w:r w:rsidR="00132790">
        <w:rPr>
          <w:color w:val="auto"/>
        </w:rPr>
        <w:t xml:space="preserve">existing </w:t>
      </w:r>
      <w:r>
        <w:rPr>
          <w:color w:val="auto"/>
        </w:rPr>
        <w:t>self-employed we will measure success by the:</w:t>
      </w:r>
    </w:p>
    <w:p w:rsidR="00E02DB4" w:rsidRDefault="000F4F90" w:rsidP="00EC0606">
      <w:pPr>
        <w:pStyle w:val="Default"/>
        <w:numPr>
          <w:ilvl w:val="1"/>
          <w:numId w:val="37"/>
        </w:numPr>
        <w:tabs>
          <w:tab w:val="clear" w:pos="1440"/>
        </w:tabs>
        <w:spacing w:after="120"/>
        <w:ind w:left="1843" w:hanging="448"/>
        <w:outlineLvl w:val="0"/>
        <w:rPr>
          <w:color w:val="auto"/>
        </w:rPr>
      </w:pPr>
      <w:r w:rsidRPr="00E02DB4">
        <w:rPr>
          <w:color w:val="auto"/>
        </w:rPr>
        <w:t xml:space="preserve">number of existing </w:t>
      </w:r>
      <w:proofErr w:type="spellStart"/>
      <w:r w:rsidRPr="00E02DB4">
        <w:rPr>
          <w:color w:val="auto"/>
        </w:rPr>
        <w:t>self employed</w:t>
      </w:r>
      <w:proofErr w:type="spellEnd"/>
      <w:r w:rsidRPr="00E02DB4">
        <w:rPr>
          <w:color w:val="auto"/>
        </w:rPr>
        <w:t xml:space="preserve"> Participants </w:t>
      </w:r>
      <w:r w:rsidR="00E02DB4" w:rsidRPr="00E02DB4">
        <w:rPr>
          <w:color w:val="auto"/>
        </w:rPr>
        <w:t>referred to NEA Phase 2</w:t>
      </w:r>
      <w:r w:rsidR="006D53BA">
        <w:rPr>
          <w:color w:val="auto"/>
        </w:rPr>
        <w:t>;</w:t>
      </w:r>
    </w:p>
    <w:p w:rsidR="000F4F90" w:rsidRPr="000C1935" w:rsidRDefault="00754A3F" w:rsidP="00E02DB4">
      <w:pPr>
        <w:pStyle w:val="Default"/>
        <w:numPr>
          <w:ilvl w:val="1"/>
          <w:numId w:val="37"/>
        </w:numPr>
        <w:tabs>
          <w:tab w:val="clear" w:pos="1440"/>
        </w:tabs>
        <w:spacing w:after="120"/>
        <w:ind w:left="1843" w:hanging="448"/>
        <w:outlineLvl w:val="0"/>
        <w:rPr>
          <w:color w:val="auto"/>
        </w:rPr>
      </w:pPr>
      <w:r>
        <w:rPr>
          <w:color w:val="auto"/>
        </w:rPr>
        <w:t xml:space="preserve">proportion </w:t>
      </w:r>
      <w:r w:rsidR="00FB359E" w:rsidRPr="000C1935">
        <w:rPr>
          <w:color w:val="auto"/>
        </w:rPr>
        <w:t xml:space="preserve"> of existing </w:t>
      </w:r>
      <w:proofErr w:type="spellStart"/>
      <w:r w:rsidR="00FB359E" w:rsidRPr="000C1935">
        <w:rPr>
          <w:color w:val="auto"/>
        </w:rPr>
        <w:t>self employed</w:t>
      </w:r>
      <w:proofErr w:type="spellEnd"/>
      <w:r w:rsidR="00FB359E" w:rsidRPr="000C1935">
        <w:rPr>
          <w:color w:val="auto"/>
        </w:rPr>
        <w:t xml:space="preserve"> Participants w</w:t>
      </w:r>
      <w:r w:rsidR="00690E9E" w:rsidRPr="000C1935">
        <w:rPr>
          <w:color w:val="auto"/>
        </w:rPr>
        <w:t>ho have their business assessed;</w:t>
      </w:r>
    </w:p>
    <w:p w:rsidR="00FB359E" w:rsidRPr="00FB359E" w:rsidRDefault="00754A3F" w:rsidP="00EC0606">
      <w:pPr>
        <w:pStyle w:val="Default"/>
        <w:numPr>
          <w:ilvl w:val="1"/>
          <w:numId w:val="37"/>
        </w:numPr>
        <w:tabs>
          <w:tab w:val="clear" w:pos="1440"/>
        </w:tabs>
        <w:spacing w:after="120"/>
        <w:ind w:left="1843" w:hanging="448"/>
        <w:outlineLvl w:val="0"/>
        <w:rPr>
          <w:color w:val="auto"/>
        </w:rPr>
      </w:pPr>
      <w:r>
        <w:rPr>
          <w:color w:val="auto"/>
        </w:rPr>
        <w:t xml:space="preserve">proportion </w:t>
      </w:r>
      <w:r w:rsidR="00FB359E" w:rsidRPr="00FB359E">
        <w:rPr>
          <w:color w:val="auto"/>
        </w:rPr>
        <w:t xml:space="preserve"> of existing </w:t>
      </w:r>
      <w:proofErr w:type="spellStart"/>
      <w:r w:rsidR="00FB359E" w:rsidRPr="00FB359E">
        <w:rPr>
          <w:color w:val="auto"/>
        </w:rPr>
        <w:t>self employed</w:t>
      </w:r>
      <w:proofErr w:type="spellEnd"/>
      <w:r w:rsidR="00FB359E" w:rsidRPr="00FB359E">
        <w:rPr>
          <w:color w:val="auto"/>
        </w:rPr>
        <w:t xml:space="preserve"> Participants w</w:t>
      </w:r>
      <w:r w:rsidR="00690E9E">
        <w:rPr>
          <w:color w:val="auto"/>
        </w:rPr>
        <w:t>ho compl</w:t>
      </w:r>
      <w:r w:rsidR="004C6408">
        <w:rPr>
          <w:color w:val="auto"/>
        </w:rPr>
        <w:t>ete the mentoring phase</w:t>
      </w:r>
      <w:r w:rsidR="00C52E59">
        <w:rPr>
          <w:color w:val="auto"/>
        </w:rPr>
        <w:t xml:space="preserve"> and have their BDGP </w:t>
      </w:r>
      <w:r w:rsidR="008A7A1C">
        <w:rPr>
          <w:color w:val="auto"/>
        </w:rPr>
        <w:t>assessed</w:t>
      </w:r>
      <w:r w:rsidR="006D53BA">
        <w:rPr>
          <w:color w:val="auto"/>
        </w:rPr>
        <w:t>;</w:t>
      </w:r>
      <w:r w:rsidR="008A7A1C">
        <w:rPr>
          <w:color w:val="auto"/>
        </w:rPr>
        <w:t xml:space="preserve"> </w:t>
      </w:r>
      <w:r w:rsidR="004C6408">
        <w:rPr>
          <w:color w:val="auto"/>
        </w:rPr>
        <w:t xml:space="preserve"> </w:t>
      </w:r>
    </w:p>
    <w:p w:rsidR="00321C45" w:rsidRPr="006B5B9B" w:rsidRDefault="001221F4" w:rsidP="00EC0606">
      <w:pPr>
        <w:pStyle w:val="Default"/>
        <w:numPr>
          <w:ilvl w:val="1"/>
          <w:numId w:val="37"/>
        </w:numPr>
        <w:tabs>
          <w:tab w:val="clear" w:pos="1440"/>
        </w:tabs>
        <w:spacing w:after="240"/>
        <w:ind w:left="1843" w:hanging="447"/>
        <w:outlineLvl w:val="0"/>
        <w:rPr>
          <w:color w:val="auto"/>
        </w:rPr>
      </w:pPr>
      <w:r>
        <w:rPr>
          <w:color w:val="auto"/>
        </w:rPr>
        <w:t xml:space="preserve">proportion </w:t>
      </w:r>
      <w:r w:rsidR="00FB359E" w:rsidRPr="006B5B9B">
        <w:rPr>
          <w:color w:val="auto"/>
        </w:rPr>
        <w:t xml:space="preserve"> of existing </w:t>
      </w:r>
      <w:proofErr w:type="spellStart"/>
      <w:r w:rsidR="00FB359E" w:rsidRPr="006B5B9B">
        <w:rPr>
          <w:color w:val="auto"/>
        </w:rPr>
        <w:t>self employed</w:t>
      </w:r>
      <w:proofErr w:type="spellEnd"/>
      <w:r w:rsidR="00FB359E" w:rsidRPr="006B5B9B">
        <w:rPr>
          <w:color w:val="auto"/>
        </w:rPr>
        <w:t xml:space="preserve"> Participants who increase their earning</w:t>
      </w:r>
      <w:r w:rsidR="004C6408" w:rsidRPr="006B5B9B">
        <w:rPr>
          <w:color w:val="auto"/>
        </w:rPr>
        <w:t xml:space="preserve">s to </w:t>
      </w:r>
      <w:r w:rsidR="008762CF">
        <w:rPr>
          <w:color w:val="auto"/>
        </w:rPr>
        <w:t xml:space="preserve">equal to or </w:t>
      </w:r>
      <w:r w:rsidR="004C6408" w:rsidRPr="006B5B9B">
        <w:rPr>
          <w:color w:val="auto"/>
        </w:rPr>
        <w:t>above the Minimum Income Floor (MIF)</w:t>
      </w:r>
      <w:r w:rsidR="00FB359E" w:rsidRPr="006B5B9B">
        <w:rPr>
          <w:color w:val="auto"/>
        </w:rPr>
        <w:t xml:space="preserve"> </w:t>
      </w:r>
      <w:r w:rsidR="00321C45" w:rsidRPr="006B5B9B">
        <w:rPr>
          <w:color w:val="auto"/>
        </w:rPr>
        <w:t xml:space="preserve">on average from completing the mentoring phase to </w:t>
      </w:r>
      <w:r w:rsidR="00C36093">
        <w:rPr>
          <w:color w:val="auto"/>
        </w:rPr>
        <w:t>6 months / 26 weeks</w:t>
      </w:r>
      <w:r w:rsidR="006D53BA">
        <w:rPr>
          <w:color w:val="auto"/>
        </w:rPr>
        <w:t>; and</w:t>
      </w:r>
      <w:r w:rsidR="00321C45" w:rsidRPr="006B5B9B">
        <w:rPr>
          <w:color w:val="auto"/>
        </w:rPr>
        <w:t xml:space="preserve">. </w:t>
      </w:r>
    </w:p>
    <w:p w:rsidR="00321C45" w:rsidRPr="00AC0C35" w:rsidRDefault="006D53BA" w:rsidP="00EC0606">
      <w:pPr>
        <w:pStyle w:val="Default"/>
        <w:numPr>
          <w:ilvl w:val="1"/>
          <w:numId w:val="37"/>
        </w:numPr>
        <w:tabs>
          <w:tab w:val="clear" w:pos="1440"/>
        </w:tabs>
        <w:spacing w:after="240"/>
        <w:ind w:left="1843" w:hanging="447"/>
        <w:outlineLvl w:val="0"/>
        <w:rPr>
          <w:color w:val="auto"/>
        </w:rPr>
      </w:pPr>
      <w:proofErr w:type="gramStart"/>
      <w:r>
        <w:rPr>
          <w:color w:val="auto"/>
        </w:rPr>
        <w:t>p</w:t>
      </w:r>
      <w:r w:rsidR="001221F4">
        <w:rPr>
          <w:color w:val="auto"/>
        </w:rPr>
        <w:t>roportion</w:t>
      </w:r>
      <w:proofErr w:type="gramEnd"/>
      <w:r w:rsidR="001221F4">
        <w:rPr>
          <w:color w:val="auto"/>
        </w:rPr>
        <w:t xml:space="preserve"> </w:t>
      </w:r>
      <w:r w:rsidR="00321C45" w:rsidRPr="00AC0C35">
        <w:rPr>
          <w:color w:val="auto"/>
        </w:rPr>
        <w:t xml:space="preserve">of existing </w:t>
      </w:r>
      <w:proofErr w:type="spellStart"/>
      <w:r w:rsidR="00321C45" w:rsidRPr="00AC0C35">
        <w:rPr>
          <w:color w:val="auto"/>
        </w:rPr>
        <w:t>self employed</w:t>
      </w:r>
      <w:proofErr w:type="spellEnd"/>
      <w:r w:rsidR="00321C45" w:rsidRPr="00AC0C35">
        <w:rPr>
          <w:color w:val="auto"/>
        </w:rPr>
        <w:t xml:space="preserve"> Participants who increase their earnings to </w:t>
      </w:r>
      <w:r w:rsidR="008762CF" w:rsidRPr="00AC0C35">
        <w:rPr>
          <w:color w:val="auto"/>
        </w:rPr>
        <w:t xml:space="preserve">equal to or </w:t>
      </w:r>
      <w:r w:rsidR="00321C45" w:rsidRPr="00AC0C35">
        <w:rPr>
          <w:color w:val="auto"/>
        </w:rPr>
        <w:t>above the Minimum Income Floor (MIF) on average between from months 7 and 12 after completing the mentoring phase.</w:t>
      </w:r>
    </w:p>
    <w:p w:rsidR="00F3198C" w:rsidRPr="00946EDA" w:rsidRDefault="00F3198C" w:rsidP="00690E9E">
      <w:pPr>
        <w:pStyle w:val="Style1"/>
        <w:tabs>
          <w:tab w:val="clear" w:pos="1080"/>
          <w:tab w:val="clear" w:pos="1192"/>
        </w:tabs>
        <w:spacing w:before="600" w:after="240" w:line="240" w:lineRule="auto"/>
        <w:ind w:left="0" w:firstLine="0"/>
        <w:jc w:val="both"/>
        <w:rPr>
          <w:rFonts w:cs="Arial"/>
          <w:b/>
          <w:sz w:val="28"/>
          <w:szCs w:val="28"/>
        </w:rPr>
      </w:pPr>
      <w:r w:rsidRPr="00946EDA">
        <w:rPr>
          <w:rFonts w:cs="Arial"/>
          <w:b/>
          <w:sz w:val="28"/>
          <w:szCs w:val="28"/>
        </w:rPr>
        <w:t>Commercial Approach</w:t>
      </w:r>
    </w:p>
    <w:p w:rsidR="00154317" w:rsidRDefault="00154317" w:rsidP="00EC0606">
      <w:pPr>
        <w:pStyle w:val="Default"/>
        <w:numPr>
          <w:ilvl w:val="1"/>
          <w:numId w:val="10"/>
        </w:numPr>
        <w:tabs>
          <w:tab w:val="clear" w:pos="465"/>
        </w:tabs>
        <w:spacing w:after="240"/>
        <w:ind w:left="709" w:hanging="709"/>
        <w:outlineLvl w:val="0"/>
        <w:rPr>
          <w:color w:val="auto"/>
        </w:rPr>
      </w:pPr>
      <w:r w:rsidRPr="00946EDA">
        <w:rPr>
          <w:color w:val="auto"/>
        </w:rPr>
        <w:t xml:space="preserve">The NEA </w:t>
      </w:r>
      <w:r w:rsidR="007F7295">
        <w:t xml:space="preserve">Phase 2 </w:t>
      </w:r>
      <w:r w:rsidRPr="00946EDA">
        <w:rPr>
          <w:color w:val="auto"/>
        </w:rPr>
        <w:t xml:space="preserve">service will be procured via an open competition and it is expected that </w:t>
      </w:r>
      <w:r w:rsidR="00FE46F1" w:rsidRPr="00946EDA">
        <w:rPr>
          <w:color w:val="auto"/>
        </w:rPr>
        <w:t>contracts</w:t>
      </w:r>
      <w:r w:rsidR="00FE46F1">
        <w:rPr>
          <w:color w:val="auto"/>
        </w:rPr>
        <w:t xml:space="preserve"> will be awarded </w:t>
      </w:r>
      <w:r>
        <w:rPr>
          <w:color w:val="auto"/>
        </w:rPr>
        <w:t xml:space="preserve">to </w:t>
      </w:r>
      <w:r w:rsidRPr="00946EDA">
        <w:rPr>
          <w:color w:val="auto"/>
        </w:rPr>
        <w:t>ensure full coverage across all JCP Districts.</w:t>
      </w:r>
      <w:r w:rsidR="00E440AD">
        <w:rPr>
          <w:color w:val="auto"/>
        </w:rPr>
        <w:t xml:space="preserve"> </w:t>
      </w:r>
    </w:p>
    <w:p w:rsidR="00A32C5E" w:rsidRDefault="002E3944" w:rsidP="00EC0606">
      <w:pPr>
        <w:pStyle w:val="Default"/>
        <w:numPr>
          <w:ilvl w:val="1"/>
          <w:numId w:val="10"/>
        </w:numPr>
        <w:tabs>
          <w:tab w:val="clear" w:pos="465"/>
        </w:tabs>
        <w:spacing w:after="240"/>
        <w:ind w:left="720" w:hanging="720"/>
        <w:outlineLvl w:val="0"/>
        <w:rPr>
          <w:color w:val="auto"/>
        </w:rPr>
      </w:pPr>
      <w:r w:rsidRPr="00946EDA">
        <w:rPr>
          <w:color w:val="auto"/>
        </w:rPr>
        <w:t xml:space="preserve">NEA is currently being delivered </w:t>
      </w:r>
      <w:r>
        <w:rPr>
          <w:color w:val="auto"/>
        </w:rPr>
        <w:t>across Great Britain with provision divided up into 1</w:t>
      </w:r>
      <w:r w:rsidR="008419DD">
        <w:rPr>
          <w:color w:val="auto"/>
        </w:rPr>
        <w:t>4</w:t>
      </w:r>
      <w:r>
        <w:rPr>
          <w:color w:val="auto"/>
        </w:rPr>
        <w:t xml:space="preserve"> contract package areas</w:t>
      </w:r>
      <w:r w:rsidR="00E440AD">
        <w:rPr>
          <w:color w:val="auto"/>
        </w:rPr>
        <w:t xml:space="preserve"> (CPA)</w:t>
      </w:r>
      <w:r w:rsidR="0041537F">
        <w:rPr>
          <w:color w:val="auto"/>
        </w:rPr>
        <w:t>.</w:t>
      </w:r>
      <w:r w:rsidR="00E02DB4">
        <w:rPr>
          <w:color w:val="auto"/>
        </w:rPr>
        <w:t xml:space="preserve"> </w:t>
      </w:r>
      <w:r w:rsidR="0041537F">
        <w:rPr>
          <w:color w:val="auto"/>
        </w:rPr>
        <w:t>R</w:t>
      </w:r>
      <w:r>
        <w:rPr>
          <w:color w:val="auto"/>
        </w:rPr>
        <w:t>eferrals</w:t>
      </w:r>
      <w:r w:rsidR="0041537F">
        <w:rPr>
          <w:color w:val="auto"/>
        </w:rPr>
        <w:t xml:space="preserve"> under these contracts end</w:t>
      </w:r>
      <w:r>
        <w:rPr>
          <w:color w:val="auto"/>
        </w:rPr>
        <w:t xml:space="preserve"> </w:t>
      </w:r>
      <w:r w:rsidRPr="00946EDA">
        <w:rPr>
          <w:color w:val="auto"/>
        </w:rPr>
        <w:t>on 31</w:t>
      </w:r>
      <w:r w:rsidRPr="00946EDA">
        <w:rPr>
          <w:color w:val="auto"/>
          <w:vertAlign w:val="superscript"/>
        </w:rPr>
        <w:t>st</w:t>
      </w:r>
      <w:r w:rsidRPr="00946EDA">
        <w:rPr>
          <w:color w:val="auto"/>
        </w:rPr>
        <w:t xml:space="preserve"> </w:t>
      </w:r>
      <w:r>
        <w:rPr>
          <w:color w:val="auto"/>
        </w:rPr>
        <w:t>March 2017</w:t>
      </w:r>
      <w:r w:rsidR="00C459BC">
        <w:rPr>
          <w:color w:val="auto"/>
        </w:rPr>
        <w:t xml:space="preserve">, current Providers will retain responsibility for </w:t>
      </w:r>
      <w:r w:rsidR="00A32C5E">
        <w:rPr>
          <w:color w:val="auto"/>
        </w:rPr>
        <w:t xml:space="preserve">delivering the full current programme to </w:t>
      </w:r>
      <w:r w:rsidR="00C459BC">
        <w:rPr>
          <w:color w:val="auto"/>
        </w:rPr>
        <w:t>participants re</w:t>
      </w:r>
      <w:r w:rsidR="0041537F">
        <w:rPr>
          <w:color w:val="auto"/>
        </w:rPr>
        <w:t xml:space="preserve">ferred to the </w:t>
      </w:r>
      <w:r w:rsidR="00E02DB4">
        <w:rPr>
          <w:color w:val="auto"/>
        </w:rPr>
        <w:t>provision up</w:t>
      </w:r>
      <w:r w:rsidR="00C459BC">
        <w:rPr>
          <w:color w:val="auto"/>
        </w:rPr>
        <w:t xml:space="preserve"> to the end of the contract.</w:t>
      </w:r>
      <w:r w:rsidRPr="00946EDA">
        <w:rPr>
          <w:color w:val="auto"/>
        </w:rPr>
        <w:t xml:space="preserve"> </w:t>
      </w:r>
    </w:p>
    <w:p w:rsidR="00787C95" w:rsidRDefault="002E3944" w:rsidP="00EC0606">
      <w:pPr>
        <w:pStyle w:val="Default"/>
        <w:numPr>
          <w:ilvl w:val="1"/>
          <w:numId w:val="10"/>
        </w:numPr>
        <w:tabs>
          <w:tab w:val="clear" w:pos="465"/>
        </w:tabs>
        <w:spacing w:after="240"/>
        <w:ind w:left="720" w:hanging="720"/>
        <w:outlineLvl w:val="0"/>
        <w:rPr>
          <w:color w:val="auto"/>
        </w:rPr>
      </w:pPr>
      <w:r w:rsidRPr="00946EDA">
        <w:rPr>
          <w:color w:val="auto"/>
        </w:rPr>
        <w:lastRenderedPageBreak/>
        <w:t xml:space="preserve">From </w:t>
      </w:r>
      <w:r>
        <w:rPr>
          <w:color w:val="auto"/>
        </w:rPr>
        <w:t>3</w:t>
      </w:r>
      <w:r w:rsidRPr="002E3944">
        <w:rPr>
          <w:color w:val="auto"/>
          <w:vertAlign w:val="superscript"/>
        </w:rPr>
        <w:t>rd</w:t>
      </w:r>
      <w:r>
        <w:rPr>
          <w:color w:val="auto"/>
        </w:rPr>
        <w:t xml:space="preserve"> April </w:t>
      </w:r>
      <w:r w:rsidRPr="00946EDA">
        <w:rPr>
          <w:color w:val="auto"/>
        </w:rPr>
        <w:t>201</w:t>
      </w:r>
      <w:r>
        <w:rPr>
          <w:color w:val="auto"/>
        </w:rPr>
        <w:t>7</w:t>
      </w:r>
      <w:r w:rsidRPr="00946EDA">
        <w:rPr>
          <w:color w:val="auto"/>
        </w:rPr>
        <w:t xml:space="preserve"> to </w:t>
      </w:r>
      <w:r>
        <w:rPr>
          <w:color w:val="auto"/>
        </w:rPr>
        <w:t>3</w:t>
      </w:r>
      <w:r w:rsidR="00E440AD">
        <w:rPr>
          <w:color w:val="auto"/>
        </w:rPr>
        <w:t>1</w:t>
      </w:r>
      <w:r w:rsidR="00E440AD" w:rsidRPr="00E440AD">
        <w:rPr>
          <w:color w:val="auto"/>
          <w:vertAlign w:val="superscript"/>
        </w:rPr>
        <w:t>st</w:t>
      </w:r>
      <w:r w:rsidR="00E440AD">
        <w:rPr>
          <w:color w:val="auto"/>
        </w:rPr>
        <w:t xml:space="preserve"> Decemb</w:t>
      </w:r>
      <w:r w:rsidR="009A4391">
        <w:rPr>
          <w:color w:val="auto"/>
        </w:rPr>
        <w:t xml:space="preserve">er </w:t>
      </w:r>
      <w:r>
        <w:rPr>
          <w:color w:val="auto"/>
        </w:rPr>
        <w:t>20</w:t>
      </w:r>
      <w:r w:rsidR="009A4391">
        <w:rPr>
          <w:color w:val="auto"/>
        </w:rPr>
        <w:t xml:space="preserve">20 (referrals up to </w:t>
      </w:r>
      <w:r w:rsidR="004D5C44">
        <w:rPr>
          <w:color w:val="auto"/>
        </w:rPr>
        <w:t>29</w:t>
      </w:r>
      <w:r w:rsidR="004D5C44" w:rsidRPr="004D5C44">
        <w:rPr>
          <w:color w:val="auto"/>
          <w:vertAlign w:val="superscript"/>
        </w:rPr>
        <w:t>th</w:t>
      </w:r>
      <w:r w:rsidR="004D5C44">
        <w:rPr>
          <w:color w:val="auto"/>
        </w:rPr>
        <w:t xml:space="preserve"> </w:t>
      </w:r>
      <w:r w:rsidR="009A4391">
        <w:rPr>
          <w:color w:val="auto"/>
        </w:rPr>
        <w:t>March 2019)</w:t>
      </w:r>
      <w:r>
        <w:rPr>
          <w:color w:val="auto"/>
        </w:rPr>
        <w:t xml:space="preserve"> </w:t>
      </w:r>
      <w:r w:rsidRPr="00946EDA">
        <w:rPr>
          <w:color w:val="auto"/>
        </w:rPr>
        <w:t xml:space="preserve">NEA </w:t>
      </w:r>
      <w:r>
        <w:rPr>
          <w:color w:val="auto"/>
        </w:rPr>
        <w:t xml:space="preserve">Phase 2 </w:t>
      </w:r>
      <w:r w:rsidRPr="00946EDA">
        <w:rPr>
          <w:color w:val="auto"/>
        </w:rPr>
        <w:t xml:space="preserve">will be delivered via contracted provision </w:t>
      </w:r>
      <w:r>
        <w:rPr>
          <w:color w:val="auto"/>
        </w:rPr>
        <w:t xml:space="preserve">across </w:t>
      </w:r>
      <w:r w:rsidRPr="00946EDA">
        <w:rPr>
          <w:color w:val="auto"/>
        </w:rPr>
        <w:t>Great Britain</w:t>
      </w:r>
      <w:r w:rsidRPr="00946EDA">
        <w:rPr>
          <w:rStyle w:val="FootnoteReference"/>
          <w:color w:val="auto"/>
        </w:rPr>
        <w:footnoteReference w:id="7"/>
      </w:r>
      <w:r w:rsidRPr="00946EDA">
        <w:rPr>
          <w:color w:val="auto"/>
        </w:rPr>
        <w:t xml:space="preserve"> in </w:t>
      </w:r>
      <w:r>
        <w:rPr>
          <w:color w:val="auto"/>
        </w:rPr>
        <w:t xml:space="preserve"> 14</w:t>
      </w:r>
      <w:r w:rsidRPr="00946EDA">
        <w:rPr>
          <w:color w:val="auto"/>
        </w:rPr>
        <w:t xml:space="preserve"> Contract Package Areas (CPAs) outlined in </w:t>
      </w:r>
      <w:hyperlink w:anchor="_CONTRACT_PACKAGES,_INDICATIVE" w:history="1">
        <w:r w:rsidRPr="00946EDA">
          <w:rPr>
            <w:rStyle w:val="Hyperlink"/>
            <w:color w:val="auto"/>
          </w:rPr>
          <w:t>Annex 1</w:t>
        </w:r>
      </w:hyperlink>
      <w:r w:rsidRPr="00946EDA">
        <w:rPr>
          <w:color w:val="auto"/>
        </w:rPr>
        <w:t xml:space="preserve"> (one contract in each CPA).  </w:t>
      </w:r>
      <w:r>
        <w:rPr>
          <w:color w:val="auto"/>
        </w:rPr>
        <w:t>We intend to award the contract</w:t>
      </w:r>
      <w:r w:rsidR="00A32C5E">
        <w:rPr>
          <w:color w:val="auto"/>
        </w:rPr>
        <w:t>s</w:t>
      </w:r>
      <w:r>
        <w:rPr>
          <w:color w:val="auto"/>
        </w:rPr>
        <w:t xml:space="preserve"> by the </w:t>
      </w:r>
      <w:r w:rsidR="008419DD">
        <w:rPr>
          <w:color w:val="auto"/>
        </w:rPr>
        <w:t>mid February</w:t>
      </w:r>
      <w:r>
        <w:rPr>
          <w:color w:val="auto"/>
        </w:rPr>
        <w:t xml:space="preserve"> 2017</w:t>
      </w:r>
      <w:r w:rsidR="00F80F75">
        <w:rPr>
          <w:color w:val="auto"/>
        </w:rPr>
        <w:t xml:space="preserve"> with </w:t>
      </w:r>
      <w:r>
        <w:rPr>
          <w:color w:val="auto"/>
        </w:rPr>
        <w:t>go live</w:t>
      </w:r>
      <w:r w:rsidR="00F80F75">
        <w:rPr>
          <w:color w:val="auto"/>
        </w:rPr>
        <w:t xml:space="preserve"> for delivery </w:t>
      </w:r>
      <w:r w:rsidR="008419DD">
        <w:rPr>
          <w:color w:val="auto"/>
        </w:rPr>
        <w:t>between</w:t>
      </w:r>
      <w:r>
        <w:rPr>
          <w:color w:val="auto"/>
        </w:rPr>
        <w:t xml:space="preserve"> </w:t>
      </w:r>
      <w:r w:rsidR="00F80F75">
        <w:rPr>
          <w:color w:val="auto"/>
        </w:rPr>
        <w:t>3</w:t>
      </w:r>
      <w:r w:rsidR="00F80F75" w:rsidRPr="00F80F75">
        <w:rPr>
          <w:color w:val="auto"/>
          <w:vertAlign w:val="superscript"/>
        </w:rPr>
        <w:t>rd</w:t>
      </w:r>
      <w:r w:rsidR="00F80F75">
        <w:rPr>
          <w:color w:val="auto"/>
        </w:rPr>
        <w:t xml:space="preserve"> April </w:t>
      </w:r>
      <w:r w:rsidR="008419DD">
        <w:rPr>
          <w:color w:val="auto"/>
        </w:rPr>
        <w:t xml:space="preserve">and 2 May </w:t>
      </w:r>
      <w:r w:rsidR="00F80F75">
        <w:rPr>
          <w:color w:val="auto"/>
        </w:rPr>
        <w:t>2017</w:t>
      </w:r>
      <w:r>
        <w:rPr>
          <w:color w:val="auto"/>
        </w:rPr>
        <w:t xml:space="preserve">.  Referrals to this provision will end on </w:t>
      </w:r>
      <w:r w:rsidR="004D5C44">
        <w:rPr>
          <w:color w:val="auto"/>
        </w:rPr>
        <w:t>29</w:t>
      </w:r>
      <w:r w:rsidR="004D5C44" w:rsidRPr="004D5C44">
        <w:rPr>
          <w:color w:val="auto"/>
          <w:vertAlign w:val="superscript"/>
        </w:rPr>
        <w:t>th</w:t>
      </w:r>
      <w:r w:rsidR="004D5C44">
        <w:rPr>
          <w:color w:val="auto"/>
        </w:rPr>
        <w:t xml:space="preserve"> </w:t>
      </w:r>
      <w:r>
        <w:rPr>
          <w:color w:val="auto"/>
        </w:rPr>
        <w:t>March 201</w:t>
      </w:r>
      <w:r w:rsidR="00F80F75">
        <w:rPr>
          <w:color w:val="auto"/>
        </w:rPr>
        <w:t>9</w:t>
      </w:r>
      <w:r>
        <w:rPr>
          <w:color w:val="auto"/>
        </w:rPr>
        <w:t xml:space="preserve"> however, providers </w:t>
      </w:r>
      <w:r w:rsidR="009B1A63">
        <w:rPr>
          <w:color w:val="auto"/>
        </w:rPr>
        <w:t xml:space="preserve">will </w:t>
      </w:r>
      <w:r>
        <w:rPr>
          <w:color w:val="auto"/>
        </w:rPr>
        <w:t>continue</w:t>
      </w:r>
      <w:r w:rsidR="009B1A63">
        <w:rPr>
          <w:color w:val="auto"/>
        </w:rPr>
        <w:t xml:space="preserve"> to</w:t>
      </w:r>
      <w:r>
        <w:rPr>
          <w:color w:val="auto"/>
        </w:rPr>
        <w:t xml:space="preserve"> </w:t>
      </w:r>
      <w:r w:rsidR="009B1A63">
        <w:rPr>
          <w:color w:val="auto"/>
        </w:rPr>
        <w:t xml:space="preserve">deliver </w:t>
      </w:r>
      <w:r>
        <w:rPr>
          <w:color w:val="auto"/>
        </w:rPr>
        <w:t xml:space="preserve">support through to the end of the contract </w:t>
      </w:r>
      <w:r w:rsidRPr="006B5B9B">
        <w:rPr>
          <w:color w:val="auto"/>
        </w:rPr>
        <w:t>on 31</w:t>
      </w:r>
      <w:r w:rsidRPr="006B5B9B">
        <w:rPr>
          <w:color w:val="auto"/>
          <w:vertAlign w:val="superscript"/>
        </w:rPr>
        <w:t>st</w:t>
      </w:r>
      <w:r w:rsidRPr="006B5B9B">
        <w:rPr>
          <w:color w:val="auto"/>
        </w:rPr>
        <w:t xml:space="preserve"> </w:t>
      </w:r>
      <w:r w:rsidR="00AC0C35">
        <w:rPr>
          <w:color w:val="auto"/>
        </w:rPr>
        <w:t>December</w:t>
      </w:r>
      <w:r w:rsidR="002C51FE" w:rsidRPr="006B5B9B">
        <w:rPr>
          <w:color w:val="auto"/>
        </w:rPr>
        <w:t xml:space="preserve"> </w:t>
      </w:r>
      <w:r w:rsidRPr="006B5B9B">
        <w:rPr>
          <w:color w:val="auto"/>
        </w:rPr>
        <w:t>20</w:t>
      </w:r>
      <w:r w:rsidR="002C51FE" w:rsidRPr="006B5B9B">
        <w:rPr>
          <w:color w:val="auto"/>
        </w:rPr>
        <w:t>20</w:t>
      </w:r>
      <w:r>
        <w:rPr>
          <w:color w:val="auto"/>
        </w:rPr>
        <w:t xml:space="preserve">.  </w:t>
      </w:r>
      <w:r w:rsidRPr="00946EDA">
        <w:rPr>
          <w:color w:val="auto"/>
        </w:rPr>
        <w:t xml:space="preserve">DWP </w:t>
      </w:r>
      <w:r w:rsidR="009B1A63">
        <w:rPr>
          <w:color w:val="auto"/>
        </w:rPr>
        <w:t xml:space="preserve">will retain the option </w:t>
      </w:r>
      <w:r w:rsidRPr="00946EDA">
        <w:rPr>
          <w:color w:val="auto"/>
        </w:rPr>
        <w:t xml:space="preserve">to extend the contract for up </w:t>
      </w:r>
      <w:r>
        <w:rPr>
          <w:color w:val="auto"/>
        </w:rPr>
        <w:t xml:space="preserve">to </w:t>
      </w:r>
      <w:r w:rsidRPr="00946EDA">
        <w:rPr>
          <w:color w:val="auto"/>
        </w:rPr>
        <w:t xml:space="preserve">a further 2 years </w:t>
      </w:r>
      <w:r>
        <w:rPr>
          <w:color w:val="auto"/>
        </w:rPr>
        <w:t>(1+1</w:t>
      </w:r>
      <w:r w:rsidR="00C459BC">
        <w:rPr>
          <w:color w:val="auto"/>
        </w:rPr>
        <w:t xml:space="preserve"> or other</w:t>
      </w:r>
      <w:r>
        <w:rPr>
          <w:color w:val="auto"/>
        </w:rPr>
        <w:t xml:space="preserve">) </w:t>
      </w:r>
      <w:r w:rsidRPr="00946EDA">
        <w:rPr>
          <w:color w:val="auto"/>
        </w:rPr>
        <w:t>subject to funding availability and acceptable performance.</w:t>
      </w:r>
      <w:r w:rsidR="00961939" w:rsidRPr="00946EDA">
        <w:rPr>
          <w:color w:val="auto"/>
        </w:rPr>
        <w:t xml:space="preserve"> </w:t>
      </w:r>
    </w:p>
    <w:p w:rsidR="00E440AD" w:rsidRDefault="00E440AD" w:rsidP="00EC0606">
      <w:pPr>
        <w:pStyle w:val="Default"/>
        <w:numPr>
          <w:ilvl w:val="1"/>
          <w:numId w:val="10"/>
        </w:numPr>
        <w:tabs>
          <w:tab w:val="clear" w:pos="465"/>
          <w:tab w:val="num" w:pos="709"/>
        </w:tabs>
        <w:spacing w:after="240"/>
        <w:ind w:left="709" w:hanging="709"/>
        <w:outlineLvl w:val="0"/>
        <w:rPr>
          <w:color w:val="auto"/>
        </w:rPr>
      </w:pPr>
      <w:r w:rsidRPr="00E440AD">
        <w:rPr>
          <w:color w:val="auto"/>
        </w:rPr>
        <w:t xml:space="preserve">Bids for each CPA will be assessed on both Quality and Price, with bids that achieve highest combined score for each CPA being awarded a contract. Organisations may tender for multiple contracts / CPAs, </w:t>
      </w:r>
      <w:r w:rsidR="009B1A63">
        <w:rPr>
          <w:color w:val="auto"/>
        </w:rPr>
        <w:t xml:space="preserve">however, </w:t>
      </w:r>
      <w:r w:rsidRPr="00E440AD">
        <w:rPr>
          <w:color w:val="auto"/>
        </w:rPr>
        <w:t xml:space="preserve">a maximum of 3 contracts will be awarded to any single successful organisation.  As such the Invitation to Tender asks potential Providers to state their order of preference for the contracts for which they are tendering. Should an organisation win </w:t>
      </w:r>
      <w:r w:rsidR="009B1A63">
        <w:rPr>
          <w:color w:val="auto"/>
        </w:rPr>
        <w:t xml:space="preserve">more than </w:t>
      </w:r>
      <w:r w:rsidRPr="00E440AD">
        <w:rPr>
          <w:color w:val="auto"/>
        </w:rPr>
        <w:t>3 contracts / CPAs DWP w</w:t>
      </w:r>
      <w:r w:rsidR="009B1A63">
        <w:rPr>
          <w:color w:val="auto"/>
        </w:rPr>
        <w:t>ill only award a total of three contracts to that organisation, awarding the others to the second placed provider (subject to this action not awarding that provider more than 3 contracts).</w:t>
      </w:r>
    </w:p>
    <w:p w:rsidR="0007720A" w:rsidRPr="00946EDA" w:rsidRDefault="0007720A" w:rsidP="00EC0606">
      <w:pPr>
        <w:pStyle w:val="Default"/>
        <w:numPr>
          <w:ilvl w:val="1"/>
          <w:numId w:val="10"/>
        </w:numPr>
        <w:tabs>
          <w:tab w:val="clear" w:pos="465"/>
          <w:tab w:val="num" w:pos="709"/>
        </w:tabs>
        <w:spacing w:after="240"/>
        <w:ind w:left="709" w:hanging="709"/>
        <w:outlineLvl w:val="0"/>
        <w:rPr>
          <w:color w:val="auto"/>
        </w:rPr>
      </w:pPr>
      <w:r>
        <w:rPr>
          <w:color w:val="auto"/>
        </w:rPr>
        <w:t>Providers may be required to present elements of their bids to a DWP panel to clarify key elements of the bid.</w:t>
      </w:r>
    </w:p>
    <w:p w:rsidR="00932A09" w:rsidRPr="00946EDA" w:rsidRDefault="00932A09" w:rsidP="00EC0606">
      <w:pPr>
        <w:pStyle w:val="Default"/>
        <w:numPr>
          <w:ilvl w:val="1"/>
          <w:numId w:val="10"/>
        </w:numPr>
        <w:tabs>
          <w:tab w:val="clear" w:pos="465"/>
        </w:tabs>
        <w:spacing w:after="240"/>
        <w:ind w:left="720" w:hanging="720"/>
        <w:outlineLvl w:val="0"/>
        <w:rPr>
          <w:color w:val="auto"/>
        </w:rPr>
      </w:pPr>
      <w:r>
        <w:rPr>
          <w:color w:val="auto"/>
        </w:rPr>
        <w:t>Provider</w:t>
      </w:r>
      <w:r w:rsidRPr="00946EDA">
        <w:rPr>
          <w:color w:val="auto"/>
        </w:rPr>
        <w:t xml:space="preserve">s </w:t>
      </w:r>
      <w:r w:rsidR="009B1A63">
        <w:rPr>
          <w:color w:val="auto"/>
        </w:rPr>
        <w:t>must</w:t>
      </w:r>
      <w:r w:rsidRPr="00946EDA">
        <w:rPr>
          <w:color w:val="auto"/>
        </w:rPr>
        <w:t xml:space="preserve"> </w:t>
      </w:r>
      <w:r w:rsidR="008419DD">
        <w:rPr>
          <w:color w:val="auto"/>
        </w:rPr>
        <w:t>achieve a</w:t>
      </w:r>
      <w:r w:rsidRPr="00946EDA">
        <w:rPr>
          <w:color w:val="auto"/>
        </w:rPr>
        <w:t xml:space="preserve"> </w:t>
      </w:r>
      <w:r w:rsidR="009B1A63">
        <w:rPr>
          <w:color w:val="auto"/>
        </w:rPr>
        <w:t>C</w:t>
      </w:r>
      <w:r w:rsidRPr="00946EDA">
        <w:rPr>
          <w:color w:val="auto"/>
        </w:rPr>
        <w:t xml:space="preserve">ommencement </w:t>
      </w:r>
      <w:r w:rsidR="008419DD">
        <w:rPr>
          <w:color w:val="auto"/>
        </w:rPr>
        <w:t xml:space="preserve">Date between </w:t>
      </w:r>
      <w:r>
        <w:rPr>
          <w:color w:val="auto"/>
        </w:rPr>
        <w:t>3</w:t>
      </w:r>
      <w:r w:rsidRPr="00932A09">
        <w:rPr>
          <w:color w:val="auto"/>
          <w:vertAlign w:val="superscript"/>
        </w:rPr>
        <w:t>rd</w:t>
      </w:r>
      <w:r>
        <w:rPr>
          <w:color w:val="auto"/>
        </w:rPr>
        <w:t xml:space="preserve"> April</w:t>
      </w:r>
      <w:r w:rsidR="008419DD">
        <w:rPr>
          <w:color w:val="auto"/>
        </w:rPr>
        <w:t xml:space="preserve"> and 2 May</w:t>
      </w:r>
      <w:r w:rsidRPr="00946EDA">
        <w:rPr>
          <w:color w:val="auto"/>
        </w:rPr>
        <w:t xml:space="preserve"> 201</w:t>
      </w:r>
      <w:r>
        <w:rPr>
          <w:color w:val="auto"/>
        </w:rPr>
        <w:t>7</w:t>
      </w:r>
      <w:r w:rsidR="008419DD">
        <w:rPr>
          <w:color w:val="auto"/>
        </w:rPr>
        <w:t>. T</w:t>
      </w:r>
      <w:r w:rsidRPr="00946EDA">
        <w:rPr>
          <w:color w:val="auto"/>
        </w:rPr>
        <w:t xml:space="preserve">his </w:t>
      </w:r>
      <w:r w:rsidR="009B1A63">
        <w:rPr>
          <w:color w:val="auto"/>
        </w:rPr>
        <w:t>should</w:t>
      </w:r>
      <w:r w:rsidRPr="00946EDA">
        <w:rPr>
          <w:color w:val="auto"/>
        </w:rPr>
        <w:t xml:space="preserve"> </w:t>
      </w:r>
      <w:r>
        <w:rPr>
          <w:color w:val="auto"/>
        </w:rPr>
        <w:t xml:space="preserve">be </w:t>
      </w:r>
      <w:r w:rsidRPr="00946EDA">
        <w:rPr>
          <w:color w:val="auto"/>
        </w:rPr>
        <w:t xml:space="preserve">evidenced in their Implementation Plans to be submitted as part of their tender. </w:t>
      </w:r>
    </w:p>
    <w:p w:rsidR="00170996" w:rsidRPr="002C0969" w:rsidRDefault="00932A09" w:rsidP="00EC0606">
      <w:pPr>
        <w:pStyle w:val="Default"/>
        <w:numPr>
          <w:ilvl w:val="1"/>
          <w:numId w:val="10"/>
        </w:numPr>
        <w:tabs>
          <w:tab w:val="clear" w:pos="465"/>
        </w:tabs>
        <w:spacing w:after="240"/>
        <w:ind w:left="720" w:hanging="720"/>
        <w:outlineLvl w:val="0"/>
        <w:rPr>
          <w:b/>
          <w:color w:val="auto"/>
        </w:rPr>
      </w:pPr>
      <w:r w:rsidRPr="00946EDA">
        <w:rPr>
          <w:color w:val="auto"/>
        </w:rPr>
        <w:t xml:space="preserve">It should be noted that by </w:t>
      </w:r>
      <w:r w:rsidR="009277E5">
        <w:rPr>
          <w:color w:val="auto"/>
        </w:rPr>
        <w:t>C</w:t>
      </w:r>
      <w:r w:rsidRPr="00946EDA">
        <w:rPr>
          <w:color w:val="auto"/>
        </w:rPr>
        <w:t xml:space="preserve">ommencement </w:t>
      </w:r>
      <w:r w:rsidR="009277E5">
        <w:rPr>
          <w:color w:val="auto"/>
        </w:rPr>
        <w:t>D</w:t>
      </w:r>
      <w:r w:rsidRPr="00946EDA">
        <w:rPr>
          <w:color w:val="auto"/>
        </w:rPr>
        <w:t xml:space="preserve">ate it is meant that the </w:t>
      </w:r>
      <w:r>
        <w:rPr>
          <w:color w:val="auto"/>
        </w:rPr>
        <w:t>Provider</w:t>
      </w:r>
      <w:r w:rsidRPr="00946EDA">
        <w:rPr>
          <w:color w:val="auto"/>
        </w:rPr>
        <w:t xml:space="preserve"> is immediately ready</w:t>
      </w:r>
      <w:r>
        <w:rPr>
          <w:color w:val="auto"/>
        </w:rPr>
        <w:t>,</w:t>
      </w:r>
      <w:r w:rsidRPr="00946EDA">
        <w:rPr>
          <w:color w:val="auto"/>
        </w:rPr>
        <w:t xml:space="preserve"> in all locations across the relevant CPA</w:t>
      </w:r>
      <w:r>
        <w:rPr>
          <w:color w:val="auto"/>
        </w:rPr>
        <w:t>,</w:t>
      </w:r>
      <w:r w:rsidRPr="00946EDA">
        <w:rPr>
          <w:color w:val="auto"/>
        </w:rPr>
        <w:t xml:space="preserve"> to receive referrals and offer </w:t>
      </w:r>
      <w:r>
        <w:rPr>
          <w:color w:val="auto"/>
        </w:rPr>
        <w:t>Participant</w:t>
      </w:r>
      <w:r w:rsidRPr="00946EDA">
        <w:rPr>
          <w:color w:val="auto"/>
        </w:rPr>
        <w:t xml:space="preserve">s a </w:t>
      </w:r>
      <w:r>
        <w:rPr>
          <w:color w:val="auto"/>
        </w:rPr>
        <w:t xml:space="preserve">place on the </w:t>
      </w:r>
      <w:r w:rsidR="00731078">
        <w:rPr>
          <w:color w:val="auto"/>
        </w:rPr>
        <w:t xml:space="preserve">Link </w:t>
      </w:r>
      <w:proofErr w:type="gramStart"/>
      <w:r w:rsidR="00731078">
        <w:rPr>
          <w:color w:val="auto"/>
        </w:rPr>
        <w:t>Up :</w:t>
      </w:r>
      <w:proofErr w:type="gramEnd"/>
      <w:r w:rsidR="00731078">
        <w:rPr>
          <w:color w:val="auto"/>
        </w:rPr>
        <w:t xml:space="preserve"> Start Up workshop </w:t>
      </w:r>
      <w:r w:rsidR="00AD1DB5">
        <w:rPr>
          <w:color w:val="auto"/>
        </w:rPr>
        <w:t xml:space="preserve"> within 15 days of the referral </w:t>
      </w:r>
      <w:r w:rsidR="00E35C14">
        <w:rPr>
          <w:color w:val="auto"/>
        </w:rPr>
        <w:t>(where appropriate)</w:t>
      </w:r>
      <w:r w:rsidR="00AD1DB5">
        <w:rPr>
          <w:color w:val="auto"/>
        </w:rPr>
        <w:t xml:space="preserve">and a place on the </w:t>
      </w:r>
      <w:r w:rsidR="00731078">
        <w:rPr>
          <w:color w:val="auto"/>
        </w:rPr>
        <w:t xml:space="preserve">subsequent </w:t>
      </w:r>
      <w:r w:rsidR="002C0969">
        <w:rPr>
          <w:color w:val="auto"/>
        </w:rPr>
        <w:t>mentoring phase</w:t>
      </w:r>
      <w:r w:rsidRPr="00946EDA">
        <w:rPr>
          <w:color w:val="auto"/>
        </w:rPr>
        <w:t xml:space="preserve"> within </w:t>
      </w:r>
      <w:r w:rsidR="002C0969">
        <w:rPr>
          <w:color w:val="auto"/>
        </w:rPr>
        <w:t>1</w:t>
      </w:r>
      <w:r w:rsidR="00FA49AA">
        <w:rPr>
          <w:color w:val="auto"/>
        </w:rPr>
        <w:t>0</w:t>
      </w:r>
      <w:r w:rsidRPr="00946EDA">
        <w:rPr>
          <w:color w:val="auto"/>
        </w:rPr>
        <w:t xml:space="preserve"> working days of referra</w:t>
      </w:r>
      <w:r w:rsidR="00690E9E">
        <w:rPr>
          <w:color w:val="auto"/>
        </w:rPr>
        <w:t>l</w:t>
      </w:r>
      <w:r w:rsidR="00731078">
        <w:rPr>
          <w:color w:val="auto"/>
        </w:rPr>
        <w:t xml:space="preserve">. </w:t>
      </w:r>
      <w:r w:rsidR="002C0969">
        <w:rPr>
          <w:color w:val="auto"/>
        </w:rPr>
        <w:t xml:space="preserve"> </w:t>
      </w:r>
    </w:p>
    <w:p w:rsidR="00932A09" w:rsidRDefault="009277E5" w:rsidP="00EC0606">
      <w:pPr>
        <w:pStyle w:val="Default"/>
        <w:numPr>
          <w:ilvl w:val="1"/>
          <w:numId w:val="10"/>
        </w:numPr>
        <w:tabs>
          <w:tab w:val="clear" w:pos="465"/>
        </w:tabs>
        <w:spacing w:after="240"/>
        <w:ind w:left="720" w:hanging="720"/>
        <w:outlineLvl w:val="0"/>
        <w:rPr>
          <w:color w:val="auto"/>
        </w:rPr>
      </w:pPr>
      <w:r>
        <w:rPr>
          <w:color w:val="auto"/>
        </w:rPr>
        <w:t>Last r</w:t>
      </w:r>
      <w:r w:rsidR="00932A09" w:rsidRPr="00946EDA">
        <w:rPr>
          <w:color w:val="auto"/>
        </w:rPr>
        <w:t xml:space="preserve">eferrals </w:t>
      </w:r>
      <w:r w:rsidR="0076507C">
        <w:rPr>
          <w:color w:val="auto"/>
        </w:rPr>
        <w:t xml:space="preserve">to start the mentoring phase </w:t>
      </w:r>
      <w:r w:rsidR="00932A09" w:rsidRPr="00946EDA">
        <w:rPr>
          <w:color w:val="auto"/>
        </w:rPr>
        <w:t xml:space="preserve">will be made </w:t>
      </w:r>
      <w:r>
        <w:rPr>
          <w:color w:val="auto"/>
        </w:rPr>
        <w:t>on</w:t>
      </w:r>
      <w:r w:rsidR="00932A09" w:rsidRPr="00946EDA">
        <w:rPr>
          <w:color w:val="auto"/>
        </w:rPr>
        <w:t xml:space="preserve"> </w:t>
      </w:r>
      <w:r w:rsidR="004D5C44">
        <w:rPr>
          <w:color w:val="auto"/>
        </w:rPr>
        <w:t>29</w:t>
      </w:r>
      <w:r w:rsidR="004D5C44" w:rsidRPr="004D5C44">
        <w:rPr>
          <w:color w:val="auto"/>
          <w:vertAlign w:val="superscript"/>
        </w:rPr>
        <w:t>th</w:t>
      </w:r>
      <w:r w:rsidR="004D5C44">
        <w:rPr>
          <w:color w:val="auto"/>
        </w:rPr>
        <w:t xml:space="preserve"> </w:t>
      </w:r>
      <w:r w:rsidR="00932A09" w:rsidRPr="00946EDA">
        <w:rPr>
          <w:color w:val="auto"/>
        </w:rPr>
        <w:t>March 201</w:t>
      </w:r>
      <w:r w:rsidR="00932A09">
        <w:rPr>
          <w:color w:val="auto"/>
        </w:rPr>
        <w:t>9</w:t>
      </w:r>
      <w:r w:rsidR="00932A09" w:rsidRPr="00946EDA">
        <w:rPr>
          <w:color w:val="auto"/>
        </w:rPr>
        <w:t xml:space="preserve">. From the last NEA </w:t>
      </w:r>
      <w:r w:rsidR="007F7295">
        <w:t xml:space="preserve">Phase 2 </w:t>
      </w:r>
      <w:r w:rsidR="00932A09" w:rsidRPr="00946EDA">
        <w:rPr>
          <w:color w:val="auto"/>
        </w:rPr>
        <w:t xml:space="preserve">referral date </w:t>
      </w:r>
      <w:r w:rsidR="00932A09">
        <w:rPr>
          <w:color w:val="auto"/>
        </w:rPr>
        <w:t>Provider</w:t>
      </w:r>
      <w:r w:rsidR="00932A09" w:rsidRPr="00946EDA">
        <w:rPr>
          <w:color w:val="auto"/>
        </w:rPr>
        <w:t>s will then have the following periods to carry out their service delivery obligations:</w:t>
      </w:r>
    </w:p>
    <w:p w:rsidR="00A32C5E" w:rsidRPr="006B5B9B" w:rsidRDefault="00A32C5E" w:rsidP="00EC0606">
      <w:pPr>
        <w:pStyle w:val="Default"/>
        <w:numPr>
          <w:ilvl w:val="0"/>
          <w:numId w:val="35"/>
        </w:numPr>
        <w:spacing w:after="240"/>
        <w:ind w:left="1134" w:hanging="425"/>
        <w:outlineLvl w:val="0"/>
        <w:rPr>
          <w:color w:val="auto"/>
        </w:rPr>
      </w:pPr>
      <w:r w:rsidRPr="006B5B9B">
        <w:rPr>
          <w:color w:val="auto"/>
        </w:rPr>
        <w:t xml:space="preserve">The final date for a participant </w:t>
      </w:r>
      <w:r w:rsidR="002C51FE" w:rsidRPr="006B5B9B">
        <w:rPr>
          <w:color w:val="auto"/>
        </w:rPr>
        <w:t xml:space="preserve">to start </w:t>
      </w:r>
      <w:r w:rsidR="009D009B">
        <w:rPr>
          <w:color w:val="auto"/>
        </w:rPr>
        <w:t xml:space="preserve">mentoring </w:t>
      </w:r>
      <w:r w:rsidR="002C51FE" w:rsidRPr="006B5B9B">
        <w:rPr>
          <w:color w:val="auto"/>
        </w:rPr>
        <w:t xml:space="preserve">and be recorded on </w:t>
      </w:r>
      <w:r w:rsidR="00E550BE">
        <w:rPr>
          <w:color w:val="auto"/>
        </w:rPr>
        <w:t xml:space="preserve">the </w:t>
      </w:r>
      <w:r w:rsidR="002C51FE" w:rsidRPr="006B5B9B">
        <w:rPr>
          <w:color w:val="auto"/>
        </w:rPr>
        <w:t>P</w:t>
      </w:r>
      <w:r w:rsidR="00E550BE">
        <w:rPr>
          <w:color w:val="auto"/>
        </w:rPr>
        <w:t xml:space="preserve">rovider </w:t>
      </w:r>
      <w:r w:rsidR="002C51FE" w:rsidRPr="006B5B9B">
        <w:rPr>
          <w:color w:val="auto"/>
        </w:rPr>
        <w:t>R</w:t>
      </w:r>
      <w:r w:rsidR="00E550BE">
        <w:rPr>
          <w:color w:val="auto"/>
        </w:rPr>
        <w:t xml:space="preserve">eferral </w:t>
      </w:r>
      <w:r w:rsidR="002C51FE" w:rsidRPr="006B5B9B">
        <w:rPr>
          <w:color w:val="auto"/>
        </w:rPr>
        <w:t>a</w:t>
      </w:r>
      <w:r w:rsidR="00E550BE">
        <w:rPr>
          <w:color w:val="auto"/>
        </w:rPr>
        <w:t xml:space="preserve">nd </w:t>
      </w:r>
      <w:r w:rsidR="002C51FE" w:rsidRPr="006B5B9B">
        <w:rPr>
          <w:color w:val="auto"/>
        </w:rPr>
        <w:t>P</w:t>
      </w:r>
      <w:r w:rsidR="00E550BE">
        <w:rPr>
          <w:color w:val="auto"/>
        </w:rPr>
        <w:t>ayments (</w:t>
      </w:r>
      <w:proofErr w:type="spellStart"/>
      <w:r w:rsidR="00E550BE">
        <w:rPr>
          <w:color w:val="auto"/>
        </w:rPr>
        <w:t>PRaP</w:t>
      </w:r>
      <w:proofErr w:type="spellEnd"/>
      <w:r w:rsidR="00E550BE">
        <w:rPr>
          <w:color w:val="auto"/>
        </w:rPr>
        <w:t>) system</w:t>
      </w:r>
      <w:r w:rsidR="001F2410">
        <w:rPr>
          <w:rStyle w:val="FootnoteReference"/>
          <w:color w:val="auto"/>
        </w:rPr>
        <w:footnoteReference w:id="8"/>
      </w:r>
      <w:r w:rsidR="002C51FE" w:rsidRPr="006B5B9B">
        <w:rPr>
          <w:color w:val="auto"/>
        </w:rPr>
        <w:t xml:space="preserve"> </w:t>
      </w:r>
      <w:r w:rsidR="00057922" w:rsidRPr="006B5B9B">
        <w:rPr>
          <w:color w:val="auto"/>
        </w:rPr>
        <w:t>is 1</w:t>
      </w:r>
      <w:r w:rsidR="002C51FE" w:rsidRPr="006B5B9B">
        <w:rPr>
          <w:color w:val="auto"/>
        </w:rPr>
        <w:t>9</w:t>
      </w:r>
      <w:r w:rsidR="00057922" w:rsidRPr="006B5B9B">
        <w:rPr>
          <w:color w:val="auto"/>
          <w:vertAlign w:val="superscript"/>
        </w:rPr>
        <w:t>th</w:t>
      </w:r>
      <w:r w:rsidR="00057922" w:rsidRPr="006B5B9B">
        <w:rPr>
          <w:color w:val="auto"/>
        </w:rPr>
        <w:t xml:space="preserve"> April 2019.</w:t>
      </w:r>
      <w:r w:rsidRPr="006B5B9B">
        <w:rPr>
          <w:color w:val="auto"/>
        </w:rPr>
        <w:t xml:space="preserve"> </w:t>
      </w:r>
    </w:p>
    <w:p w:rsidR="00932A09" w:rsidRDefault="00932A09" w:rsidP="00EC0606">
      <w:pPr>
        <w:pStyle w:val="Default"/>
        <w:numPr>
          <w:ilvl w:val="0"/>
          <w:numId w:val="21"/>
        </w:numPr>
        <w:tabs>
          <w:tab w:val="clear" w:pos="1080"/>
        </w:tabs>
        <w:ind w:left="1077" w:hanging="357"/>
        <w:outlineLvl w:val="0"/>
        <w:rPr>
          <w:color w:val="auto"/>
        </w:rPr>
      </w:pPr>
      <w:r>
        <w:rPr>
          <w:color w:val="auto"/>
        </w:rPr>
        <w:t xml:space="preserve">Up to </w:t>
      </w:r>
      <w:r w:rsidRPr="00946EDA">
        <w:rPr>
          <w:color w:val="auto"/>
        </w:rPr>
        <w:t>1</w:t>
      </w:r>
      <w:r>
        <w:rPr>
          <w:color w:val="auto"/>
        </w:rPr>
        <w:t>2</w:t>
      </w:r>
      <w:r w:rsidRPr="00946EDA">
        <w:rPr>
          <w:color w:val="auto"/>
        </w:rPr>
        <w:t xml:space="preserve"> weeks to undertake </w:t>
      </w:r>
      <w:r>
        <w:rPr>
          <w:color w:val="auto"/>
        </w:rPr>
        <w:t>Business Mentor</w:t>
      </w:r>
      <w:r w:rsidRPr="00946EDA">
        <w:rPr>
          <w:color w:val="auto"/>
        </w:rPr>
        <w:t>ing and advi</w:t>
      </w:r>
      <w:r>
        <w:rPr>
          <w:color w:val="auto"/>
        </w:rPr>
        <w:t>c</w:t>
      </w:r>
      <w:r w:rsidRPr="00946EDA">
        <w:rPr>
          <w:color w:val="auto"/>
        </w:rPr>
        <w:t xml:space="preserve">e and support </w:t>
      </w:r>
      <w:r>
        <w:rPr>
          <w:color w:val="auto"/>
        </w:rPr>
        <w:t>to Participant</w:t>
      </w:r>
      <w:r w:rsidRPr="00946EDA">
        <w:rPr>
          <w:color w:val="auto"/>
        </w:rPr>
        <w:t>s in developing their business plans.   (</w:t>
      </w:r>
      <w:r>
        <w:rPr>
          <w:color w:val="auto"/>
        </w:rPr>
        <w:t>F</w:t>
      </w:r>
      <w:r w:rsidRPr="00946EDA">
        <w:rPr>
          <w:color w:val="auto"/>
        </w:rPr>
        <w:t xml:space="preserve">ollowing </w:t>
      </w:r>
      <w:r w:rsidR="001F2410">
        <w:rPr>
          <w:color w:val="auto"/>
        </w:rPr>
        <w:t xml:space="preserve">the </w:t>
      </w:r>
      <w:r w:rsidR="001E0545">
        <w:rPr>
          <w:color w:val="auto"/>
        </w:rPr>
        <w:t>business plan approval</w:t>
      </w:r>
      <w:r w:rsidRPr="00946EDA">
        <w:rPr>
          <w:color w:val="auto"/>
        </w:rPr>
        <w:t xml:space="preserve">, </w:t>
      </w:r>
      <w:r>
        <w:rPr>
          <w:color w:val="auto"/>
        </w:rPr>
        <w:t>Participant</w:t>
      </w:r>
      <w:r w:rsidRPr="00946EDA">
        <w:rPr>
          <w:color w:val="auto"/>
        </w:rPr>
        <w:t>s can then have up to 1</w:t>
      </w:r>
      <w:r w:rsidR="00AC0C35">
        <w:rPr>
          <w:color w:val="auto"/>
        </w:rPr>
        <w:t>3</w:t>
      </w:r>
      <w:r w:rsidRPr="00946EDA">
        <w:rPr>
          <w:color w:val="auto"/>
        </w:rPr>
        <w:t xml:space="preserve"> weeks </w:t>
      </w:r>
      <w:r w:rsidR="00525FAD">
        <w:rPr>
          <w:color w:val="auto"/>
        </w:rPr>
        <w:t xml:space="preserve">for the Business Development Phase </w:t>
      </w:r>
      <w:r w:rsidRPr="00946EDA">
        <w:rPr>
          <w:color w:val="auto"/>
        </w:rPr>
        <w:t xml:space="preserve">to </w:t>
      </w:r>
      <w:r w:rsidR="00154317">
        <w:rPr>
          <w:color w:val="auto"/>
        </w:rPr>
        <w:t xml:space="preserve">develop their business plans prior to starting trading and </w:t>
      </w:r>
      <w:r w:rsidRPr="00946EDA">
        <w:rPr>
          <w:color w:val="auto"/>
        </w:rPr>
        <w:t>sign</w:t>
      </w:r>
      <w:r w:rsidR="00154317">
        <w:rPr>
          <w:color w:val="auto"/>
        </w:rPr>
        <w:t xml:space="preserve">ing </w:t>
      </w:r>
      <w:r w:rsidRPr="00946EDA">
        <w:rPr>
          <w:color w:val="auto"/>
        </w:rPr>
        <w:t>off benefit</w:t>
      </w:r>
      <w:r w:rsidR="001E0545">
        <w:rPr>
          <w:color w:val="auto"/>
        </w:rPr>
        <w:t xml:space="preserve">, reporting a change of circumstances if a </w:t>
      </w:r>
      <w:r w:rsidR="001E0545">
        <w:t>UC c</w:t>
      </w:r>
      <w:r w:rsidR="001E0545" w:rsidRPr="007113B0">
        <w:t xml:space="preserve">laimants </w:t>
      </w:r>
      <w:r w:rsidRPr="00946EDA">
        <w:rPr>
          <w:color w:val="auto"/>
        </w:rPr>
        <w:t>and start claiming the NEA allowance)</w:t>
      </w:r>
      <w:r>
        <w:rPr>
          <w:color w:val="auto"/>
        </w:rPr>
        <w:t>.</w:t>
      </w:r>
    </w:p>
    <w:p w:rsidR="00057922" w:rsidRPr="00946EDA" w:rsidRDefault="00057922" w:rsidP="00057922">
      <w:pPr>
        <w:pStyle w:val="Default"/>
        <w:ind w:left="1077"/>
        <w:outlineLvl w:val="0"/>
        <w:rPr>
          <w:color w:val="auto"/>
        </w:rPr>
      </w:pPr>
    </w:p>
    <w:p w:rsidR="00932A09" w:rsidRPr="00946EDA" w:rsidRDefault="00932A09" w:rsidP="00EC0606">
      <w:pPr>
        <w:pStyle w:val="Default"/>
        <w:numPr>
          <w:ilvl w:val="0"/>
          <w:numId w:val="21"/>
        </w:numPr>
        <w:tabs>
          <w:tab w:val="clear" w:pos="1080"/>
        </w:tabs>
        <w:spacing w:after="240"/>
        <w:outlineLvl w:val="0"/>
        <w:rPr>
          <w:color w:val="auto"/>
        </w:rPr>
      </w:pPr>
      <w:r w:rsidRPr="00946EDA">
        <w:rPr>
          <w:color w:val="auto"/>
        </w:rPr>
        <w:t xml:space="preserve">Following that, support claimants through the first </w:t>
      </w:r>
      <w:r w:rsidR="00685BED">
        <w:rPr>
          <w:color w:val="auto"/>
        </w:rPr>
        <w:t>1</w:t>
      </w:r>
      <w:r w:rsidRPr="00946EDA">
        <w:rPr>
          <w:color w:val="auto"/>
        </w:rPr>
        <w:t xml:space="preserve">2 </w:t>
      </w:r>
      <w:r w:rsidR="00685BED">
        <w:rPr>
          <w:color w:val="auto"/>
        </w:rPr>
        <w:t>months</w:t>
      </w:r>
      <w:r w:rsidR="006339F2">
        <w:rPr>
          <w:color w:val="auto"/>
        </w:rPr>
        <w:t xml:space="preserve"> / 52 weeks</w:t>
      </w:r>
      <w:r w:rsidRPr="00946EDA">
        <w:rPr>
          <w:color w:val="auto"/>
        </w:rPr>
        <w:t xml:space="preserve"> of trading.</w:t>
      </w:r>
    </w:p>
    <w:p w:rsidR="009B2032" w:rsidRPr="009D7B80" w:rsidRDefault="00154317" w:rsidP="00EC0606">
      <w:pPr>
        <w:pStyle w:val="Default"/>
        <w:numPr>
          <w:ilvl w:val="1"/>
          <w:numId w:val="10"/>
        </w:numPr>
        <w:tabs>
          <w:tab w:val="clear" w:pos="465"/>
        </w:tabs>
        <w:spacing w:after="240"/>
        <w:ind w:left="720" w:hanging="720"/>
        <w:outlineLvl w:val="0"/>
        <w:rPr>
          <w:color w:val="auto"/>
        </w:rPr>
      </w:pPr>
      <w:r w:rsidRPr="00946EDA">
        <w:rPr>
          <w:color w:val="auto"/>
        </w:rPr>
        <w:lastRenderedPageBreak/>
        <w:t>Details of the tender evaluation can be found in the Instructions to Potential Suppliers</w:t>
      </w:r>
    </w:p>
    <w:p w:rsidR="008D33DB" w:rsidRPr="008D33DB" w:rsidRDefault="00154317" w:rsidP="00EC0606">
      <w:pPr>
        <w:numPr>
          <w:ilvl w:val="1"/>
          <w:numId w:val="10"/>
        </w:numPr>
        <w:tabs>
          <w:tab w:val="clear" w:pos="465"/>
        </w:tabs>
        <w:autoSpaceDE w:val="0"/>
        <w:autoSpaceDN w:val="0"/>
        <w:adjustRightInd w:val="0"/>
        <w:spacing w:after="240"/>
        <w:ind w:left="709" w:hanging="709"/>
        <w:jc w:val="both"/>
        <w:outlineLvl w:val="0"/>
        <w:rPr>
          <w:rFonts w:cs="Arial"/>
          <w:b/>
          <w:bCs/>
          <w:sz w:val="28"/>
          <w:szCs w:val="28"/>
          <w:lang w:eastAsia="en-GB"/>
        </w:rPr>
      </w:pPr>
      <w:r>
        <w:t xml:space="preserve">DWP </w:t>
      </w:r>
      <w:r w:rsidRPr="0030189D">
        <w:t xml:space="preserve">are keen to </w:t>
      </w:r>
      <w:r>
        <w:t>build on the success of the existing NEA programme. The current programme is delivered by a range of organisations, DWP</w:t>
      </w:r>
      <w:r w:rsidR="009D009B">
        <w:t xml:space="preserve"> is</w:t>
      </w:r>
      <w:r>
        <w:t xml:space="preserve"> keen to </w:t>
      </w:r>
      <w:r w:rsidRPr="0030189D">
        <w:t xml:space="preserve">ensure that </w:t>
      </w:r>
      <w:r>
        <w:t xml:space="preserve">NEA Phase 2 retains a range of providers and </w:t>
      </w:r>
      <w:r w:rsidRPr="0030189D">
        <w:t>is not delivered by just one (or a few) national contract(s).  Local knowledge is key to the successful delivery of sustainable businesses</w:t>
      </w:r>
      <w:r>
        <w:t xml:space="preserve">. </w:t>
      </w:r>
      <w:r w:rsidRPr="008D33DB">
        <w:rPr>
          <w:rFonts w:cs="Arial"/>
        </w:rPr>
        <w:t xml:space="preserve">In support of the government’s commitment on Small Medium size Enterprises (SMEs), </w:t>
      </w:r>
      <w:r>
        <w:t>DWP</w:t>
      </w:r>
      <w:r w:rsidRPr="008D33DB">
        <w:rPr>
          <w:rFonts w:cs="Arial"/>
        </w:rPr>
        <w:t xml:space="preserve"> encourages bids from SMEs either directly or via consortiums or for its larger suppliers to make their sub-contracting opportunities accessible to smaller companies and implement SME-friendly policies in their supply-chains</w:t>
      </w:r>
      <w:r w:rsidRPr="008D33DB">
        <w:rPr>
          <w:rFonts w:cs="Arial"/>
          <w:b/>
        </w:rPr>
        <w:t xml:space="preserve">. All providers will need to demonstrate knowledge of local labour market and local business issues (e.g. to at least Jobcentre Plus District level) and how they can support participants in developing sustainable businesses within the local economic climate. </w:t>
      </w:r>
      <w:r w:rsidR="00556495">
        <w:t>Throughout the lifetime of the contract, providers will be required to report on the use of SMEs in their supply chain,</w:t>
      </w:r>
    </w:p>
    <w:p w:rsidR="00CE0453" w:rsidRPr="008D33DB" w:rsidRDefault="00CE0453" w:rsidP="00AA55BA">
      <w:pPr>
        <w:autoSpaceDE w:val="0"/>
        <w:autoSpaceDN w:val="0"/>
        <w:adjustRightInd w:val="0"/>
        <w:spacing w:after="240"/>
        <w:ind w:left="-349" w:firstLine="349"/>
        <w:jc w:val="both"/>
        <w:outlineLvl w:val="0"/>
        <w:rPr>
          <w:rFonts w:cs="Arial"/>
          <w:b/>
          <w:bCs/>
          <w:sz w:val="28"/>
          <w:szCs w:val="28"/>
          <w:lang w:eastAsia="en-GB"/>
        </w:rPr>
      </w:pPr>
      <w:r w:rsidRPr="008D33DB">
        <w:rPr>
          <w:rFonts w:cs="Arial"/>
          <w:b/>
          <w:bCs/>
          <w:sz w:val="28"/>
          <w:szCs w:val="28"/>
          <w:lang w:eastAsia="en-GB"/>
        </w:rPr>
        <w:t>Specification</w:t>
      </w:r>
    </w:p>
    <w:p w:rsidR="006839C2" w:rsidRPr="008D33DB" w:rsidRDefault="00CE0453" w:rsidP="00EC0606">
      <w:pPr>
        <w:pStyle w:val="Default"/>
        <w:numPr>
          <w:ilvl w:val="1"/>
          <w:numId w:val="10"/>
        </w:numPr>
        <w:tabs>
          <w:tab w:val="clear" w:pos="465"/>
        </w:tabs>
        <w:spacing w:after="600"/>
        <w:ind w:left="720" w:hanging="709"/>
        <w:outlineLvl w:val="0"/>
        <w:rPr>
          <w:color w:val="FF0000"/>
          <w:u w:val="single"/>
        </w:rPr>
      </w:pPr>
      <w:r w:rsidRPr="008D33DB">
        <w:rPr>
          <w:color w:val="auto"/>
        </w:rPr>
        <w:t>This document provides information about DWP’s requirement</w:t>
      </w:r>
      <w:r w:rsidR="008A2FA4" w:rsidRPr="008D33DB">
        <w:rPr>
          <w:color w:val="auto"/>
        </w:rPr>
        <w:t>s</w:t>
      </w:r>
      <w:r w:rsidRPr="008D33DB">
        <w:rPr>
          <w:color w:val="auto"/>
        </w:rPr>
        <w:t xml:space="preserve"> so that </w:t>
      </w:r>
      <w:r w:rsidR="008A45C0" w:rsidRPr="008D33DB">
        <w:rPr>
          <w:color w:val="auto"/>
        </w:rPr>
        <w:t>Provider</w:t>
      </w:r>
      <w:r w:rsidRPr="008D33DB">
        <w:rPr>
          <w:color w:val="auto"/>
        </w:rPr>
        <w:t>s can develop comprehensive delivery proposals and relat</w:t>
      </w:r>
      <w:r w:rsidR="004950A5" w:rsidRPr="008D33DB">
        <w:rPr>
          <w:color w:val="auto"/>
        </w:rPr>
        <w:t>ed</w:t>
      </w:r>
      <w:r w:rsidRPr="008D33DB">
        <w:rPr>
          <w:color w:val="auto"/>
        </w:rPr>
        <w:t xml:space="preserve"> pricing schedules. </w:t>
      </w:r>
    </w:p>
    <w:p w:rsidR="00CE0453" w:rsidRPr="00946EDA" w:rsidRDefault="00CE0453" w:rsidP="00690E9E">
      <w:pPr>
        <w:autoSpaceDE w:val="0"/>
        <w:autoSpaceDN w:val="0"/>
        <w:adjustRightInd w:val="0"/>
        <w:spacing w:after="240"/>
        <w:ind w:left="720" w:hanging="720"/>
        <w:rPr>
          <w:rFonts w:cs="Arial"/>
          <w:sz w:val="28"/>
          <w:szCs w:val="28"/>
          <w:lang w:eastAsia="en-GB"/>
        </w:rPr>
      </w:pPr>
      <w:r w:rsidRPr="00946EDA">
        <w:rPr>
          <w:b/>
          <w:bCs/>
          <w:iCs/>
          <w:sz w:val="28"/>
          <w:szCs w:val="28"/>
        </w:rPr>
        <w:t>Flexibility during the life of the Contracts</w:t>
      </w:r>
    </w:p>
    <w:p w:rsidR="00386E94" w:rsidRDefault="005116ED" w:rsidP="00EC0606">
      <w:pPr>
        <w:pStyle w:val="Default"/>
        <w:numPr>
          <w:ilvl w:val="1"/>
          <w:numId w:val="10"/>
        </w:numPr>
        <w:tabs>
          <w:tab w:val="clear" w:pos="465"/>
        </w:tabs>
        <w:spacing w:after="240"/>
        <w:ind w:left="720" w:hanging="720"/>
        <w:outlineLvl w:val="0"/>
        <w:rPr>
          <w:color w:val="auto"/>
        </w:rPr>
      </w:pPr>
      <w:r w:rsidRPr="00690E9E">
        <w:rPr>
          <w:color w:val="auto"/>
        </w:rPr>
        <w:t xml:space="preserve">Contracts will be sufficiently flexible to handle the changes that might occur during their lifetime and any variations will be subject to discussion and agreement at the appropriate time. </w:t>
      </w:r>
      <w:r w:rsidR="002D2701" w:rsidRPr="00690E9E">
        <w:rPr>
          <w:color w:val="auto"/>
        </w:rPr>
        <w:t>Any proposed changes would be subject to agreement via formal change control procedures as detailed in the terms and conditions.</w:t>
      </w:r>
    </w:p>
    <w:p w:rsidR="00AA55BA" w:rsidRDefault="00AA55BA" w:rsidP="00AA55BA">
      <w:pPr>
        <w:pStyle w:val="Default"/>
        <w:spacing w:after="240"/>
        <w:outlineLvl w:val="0"/>
        <w:rPr>
          <w:b/>
          <w:color w:val="auto"/>
          <w:sz w:val="28"/>
          <w:szCs w:val="28"/>
        </w:rPr>
      </w:pPr>
      <w:r w:rsidRPr="00AA55BA">
        <w:rPr>
          <w:b/>
          <w:color w:val="auto"/>
          <w:sz w:val="28"/>
          <w:szCs w:val="28"/>
        </w:rPr>
        <w:t>European Social Fund 2014 -2020</w:t>
      </w:r>
    </w:p>
    <w:p w:rsidR="00AA55BA" w:rsidRDefault="00AA55BA" w:rsidP="00AA55BA">
      <w:pPr>
        <w:pStyle w:val="Default"/>
        <w:numPr>
          <w:ilvl w:val="1"/>
          <w:numId w:val="10"/>
        </w:numPr>
        <w:tabs>
          <w:tab w:val="clear" w:pos="465"/>
          <w:tab w:val="num" w:pos="709"/>
        </w:tabs>
        <w:spacing w:after="240"/>
        <w:ind w:left="709" w:hanging="709"/>
        <w:outlineLvl w:val="0"/>
        <w:rPr>
          <w:color w:val="auto"/>
        </w:rPr>
      </w:pPr>
      <w:r w:rsidRPr="00AA55BA">
        <w:rPr>
          <w:color w:val="auto"/>
        </w:rPr>
        <w:t xml:space="preserve">DWP may choose either at the outset or at any point during the contract to use NEA </w:t>
      </w:r>
      <w:r>
        <w:rPr>
          <w:color w:val="auto"/>
        </w:rPr>
        <w:t xml:space="preserve">Phase 2 </w:t>
      </w:r>
      <w:r w:rsidRPr="00AA55BA">
        <w:rPr>
          <w:color w:val="auto"/>
        </w:rPr>
        <w:t xml:space="preserve">as match for the European Social Fund 2014 – 2020 (ESF 14/20) provision. Further details can be found at </w:t>
      </w:r>
      <w:r>
        <w:rPr>
          <w:color w:val="auto"/>
        </w:rPr>
        <w:t xml:space="preserve">the relevant </w:t>
      </w:r>
      <w:r w:rsidRPr="00AA55BA">
        <w:rPr>
          <w:color w:val="auto"/>
        </w:rPr>
        <w:t xml:space="preserve">annex </w:t>
      </w:r>
      <w:r>
        <w:rPr>
          <w:color w:val="auto"/>
        </w:rPr>
        <w:t>of the Terms and Conditions.</w:t>
      </w:r>
    </w:p>
    <w:p w:rsidR="00AA55BA" w:rsidRPr="00AA55BA" w:rsidRDefault="00AA55BA" w:rsidP="00AA55BA">
      <w:pPr>
        <w:pStyle w:val="Default"/>
        <w:spacing w:after="240"/>
        <w:outlineLvl w:val="0"/>
        <w:rPr>
          <w:b/>
          <w:color w:val="auto"/>
          <w:sz w:val="28"/>
          <w:szCs w:val="28"/>
        </w:rPr>
      </w:pPr>
    </w:p>
    <w:p w:rsidR="00B96A91" w:rsidRPr="00690E9E" w:rsidRDefault="00B96A91" w:rsidP="00690E9E">
      <w:pPr>
        <w:pStyle w:val="Heading1"/>
        <w:tabs>
          <w:tab w:val="clear" w:pos="432"/>
        </w:tabs>
        <w:spacing w:after="240"/>
        <w:ind w:left="431" w:hanging="431"/>
        <w:rPr>
          <w:sz w:val="28"/>
          <w:szCs w:val="28"/>
          <w:u w:val="single"/>
        </w:rPr>
      </w:pPr>
      <w:bookmarkStart w:id="1" w:name="_2._THE_SERVICE"/>
      <w:bookmarkEnd w:id="1"/>
      <w:r w:rsidRPr="00690E9E">
        <w:rPr>
          <w:sz w:val="28"/>
          <w:szCs w:val="28"/>
        </w:rPr>
        <w:t>2.</w:t>
      </w:r>
      <w:r w:rsidRPr="00690E9E">
        <w:rPr>
          <w:sz w:val="28"/>
          <w:szCs w:val="28"/>
        </w:rPr>
        <w:tab/>
      </w:r>
      <w:r w:rsidRPr="00690E9E">
        <w:rPr>
          <w:sz w:val="28"/>
          <w:szCs w:val="28"/>
          <w:u w:val="single"/>
        </w:rPr>
        <w:t>THE SERVICE REQUIREMENT</w:t>
      </w:r>
    </w:p>
    <w:p w:rsidR="00690E9E" w:rsidRDefault="00612844" w:rsidP="00EC0606">
      <w:pPr>
        <w:pStyle w:val="Default"/>
        <w:numPr>
          <w:ilvl w:val="1"/>
          <w:numId w:val="11"/>
        </w:numPr>
        <w:tabs>
          <w:tab w:val="clear" w:pos="645"/>
        </w:tabs>
        <w:spacing w:after="240"/>
        <w:ind w:left="720" w:hanging="720"/>
        <w:outlineLvl w:val="0"/>
        <w:rPr>
          <w:color w:val="auto"/>
        </w:rPr>
      </w:pPr>
      <w:r w:rsidRPr="00E10D9C">
        <w:rPr>
          <w:color w:val="auto"/>
        </w:rPr>
        <w:t>NEA</w:t>
      </w:r>
      <w:r w:rsidR="0045766F" w:rsidRPr="0045766F">
        <w:t xml:space="preserve"> </w:t>
      </w:r>
      <w:r w:rsidR="0045766F">
        <w:t>Phase 2</w:t>
      </w:r>
      <w:r w:rsidR="00E10D9C">
        <w:rPr>
          <w:color w:val="auto"/>
        </w:rPr>
        <w:t xml:space="preserve"> will remain an entirely voluntary scheme that</w:t>
      </w:r>
      <w:r w:rsidRPr="00E10D9C">
        <w:rPr>
          <w:color w:val="auto"/>
        </w:rPr>
        <w:t xml:space="preserve"> will provide </w:t>
      </w:r>
      <w:r w:rsidR="00E10D9C">
        <w:rPr>
          <w:color w:val="auto"/>
        </w:rPr>
        <w:t xml:space="preserve">self-employment </w:t>
      </w:r>
      <w:r w:rsidRPr="00E10D9C">
        <w:rPr>
          <w:color w:val="auto"/>
        </w:rPr>
        <w:t>support to</w:t>
      </w:r>
      <w:r w:rsidR="00E10D9C" w:rsidRPr="00E10D9C">
        <w:rPr>
          <w:color w:val="auto"/>
        </w:rPr>
        <w:t xml:space="preserve"> people who are</w:t>
      </w:r>
      <w:r w:rsidR="00690E9E" w:rsidRPr="00E10D9C">
        <w:rPr>
          <w:color w:val="auto"/>
        </w:rPr>
        <w:t>:</w:t>
      </w:r>
    </w:p>
    <w:p w:rsidR="00320080" w:rsidRPr="00320080" w:rsidRDefault="00320080" w:rsidP="00320080">
      <w:pPr>
        <w:pStyle w:val="Default"/>
        <w:spacing w:after="240"/>
        <w:ind w:left="720"/>
        <w:outlineLvl w:val="0"/>
        <w:rPr>
          <w:color w:val="auto"/>
        </w:rPr>
      </w:pPr>
      <w:r w:rsidRPr="00320080">
        <w:rPr>
          <w:color w:val="auto"/>
        </w:rPr>
        <w:t>−</w:t>
      </w:r>
      <w:r w:rsidRPr="00320080">
        <w:rPr>
          <w:color w:val="auto"/>
        </w:rPr>
        <w:tab/>
      </w:r>
      <w:proofErr w:type="gramStart"/>
      <w:r w:rsidRPr="00320080">
        <w:rPr>
          <w:color w:val="auto"/>
        </w:rPr>
        <w:t>in</w:t>
      </w:r>
      <w:proofErr w:type="gramEnd"/>
      <w:r w:rsidRPr="00320080">
        <w:rPr>
          <w:color w:val="auto"/>
        </w:rPr>
        <w:t xml:space="preserve"> receipt of an eligible benefit who are interested in self-employment; and</w:t>
      </w:r>
    </w:p>
    <w:p w:rsidR="00320080" w:rsidRDefault="00320080" w:rsidP="003F1357">
      <w:pPr>
        <w:pStyle w:val="Default"/>
        <w:spacing w:after="240"/>
        <w:ind w:left="1418" w:hanging="698"/>
        <w:outlineLvl w:val="0"/>
        <w:rPr>
          <w:color w:val="auto"/>
        </w:rPr>
      </w:pPr>
      <w:r w:rsidRPr="00320080">
        <w:rPr>
          <w:color w:val="auto"/>
        </w:rPr>
        <w:t>−</w:t>
      </w:r>
      <w:r w:rsidRPr="00320080">
        <w:rPr>
          <w:color w:val="auto"/>
        </w:rPr>
        <w:tab/>
      </w:r>
      <w:proofErr w:type="gramStart"/>
      <w:r w:rsidRPr="00320080">
        <w:rPr>
          <w:color w:val="auto"/>
        </w:rPr>
        <w:t>already</w:t>
      </w:r>
      <w:proofErr w:type="gramEnd"/>
      <w:r w:rsidRPr="00320080">
        <w:rPr>
          <w:color w:val="auto"/>
        </w:rPr>
        <w:t xml:space="preserve"> self-employed claiming UC and deemed to be ‘Gainfully self-employed’ </w:t>
      </w:r>
      <w:r w:rsidR="005623CF">
        <w:rPr>
          <w:color w:val="auto"/>
        </w:rPr>
        <w:t xml:space="preserve">(passed the gainfully </w:t>
      </w:r>
      <w:proofErr w:type="spellStart"/>
      <w:r w:rsidR="005623CF">
        <w:rPr>
          <w:color w:val="auto"/>
        </w:rPr>
        <w:t>self employed</w:t>
      </w:r>
      <w:proofErr w:type="spellEnd"/>
      <w:r w:rsidR="005623CF">
        <w:rPr>
          <w:color w:val="auto"/>
        </w:rPr>
        <w:t xml:space="preserve">  test) </w:t>
      </w:r>
      <w:r w:rsidRPr="00320080">
        <w:rPr>
          <w:color w:val="auto"/>
        </w:rPr>
        <w:t xml:space="preserve">for UC purposes.  </w:t>
      </w:r>
    </w:p>
    <w:p w:rsidR="00320080" w:rsidRDefault="00320080" w:rsidP="00EC0606">
      <w:pPr>
        <w:pStyle w:val="Default"/>
        <w:numPr>
          <w:ilvl w:val="1"/>
          <w:numId w:val="11"/>
        </w:numPr>
        <w:spacing w:after="240"/>
        <w:ind w:hanging="645"/>
        <w:outlineLvl w:val="0"/>
        <w:rPr>
          <w:color w:val="auto"/>
        </w:rPr>
      </w:pPr>
      <w:r w:rsidRPr="00320080">
        <w:rPr>
          <w:color w:val="auto"/>
        </w:rPr>
        <w:lastRenderedPageBreak/>
        <w:t xml:space="preserve">This means that NEA </w:t>
      </w:r>
      <w:r w:rsidR="0045766F">
        <w:t xml:space="preserve">Phase 2 </w:t>
      </w:r>
      <w:r w:rsidRPr="00320080">
        <w:rPr>
          <w:color w:val="auto"/>
        </w:rPr>
        <w:t>will now consist of two customer journeys that are similar in parts, but with a slightly different focus.  The requirement outlined here will therefore be split into two sections.</w:t>
      </w:r>
      <w:r w:rsidR="001001E1">
        <w:rPr>
          <w:color w:val="auto"/>
        </w:rPr>
        <w:t xml:space="preserve"> See Annex 1 for Customer Journey graphic.</w:t>
      </w:r>
    </w:p>
    <w:p w:rsidR="00320080" w:rsidRPr="008C6E74" w:rsidRDefault="00320080" w:rsidP="00320080">
      <w:pPr>
        <w:pStyle w:val="Default"/>
        <w:spacing w:after="240"/>
        <w:outlineLvl w:val="0"/>
        <w:rPr>
          <w:b/>
          <w:color w:val="auto"/>
          <w:sz w:val="28"/>
          <w:szCs w:val="28"/>
          <w:u w:val="single"/>
        </w:rPr>
      </w:pPr>
      <w:r w:rsidRPr="008C6E74">
        <w:rPr>
          <w:b/>
          <w:color w:val="auto"/>
          <w:sz w:val="28"/>
          <w:szCs w:val="28"/>
          <w:u w:val="single"/>
        </w:rPr>
        <w:t>New business start</w:t>
      </w:r>
      <w:r w:rsidR="00C17672" w:rsidRPr="008C6E74">
        <w:rPr>
          <w:b/>
          <w:color w:val="auto"/>
          <w:sz w:val="28"/>
          <w:szCs w:val="28"/>
          <w:u w:val="single"/>
        </w:rPr>
        <w:t>s</w:t>
      </w:r>
    </w:p>
    <w:p w:rsidR="00320080" w:rsidRPr="00375376" w:rsidRDefault="00320080" w:rsidP="00320080">
      <w:pPr>
        <w:spacing w:after="240"/>
        <w:ind w:left="540" w:hanging="540"/>
        <w:jc w:val="both"/>
        <w:rPr>
          <w:rFonts w:cs="Arial"/>
          <w:b/>
          <w:bCs/>
        </w:rPr>
      </w:pPr>
      <w:r>
        <w:rPr>
          <w:rFonts w:cs="Arial"/>
          <w:b/>
          <w:bCs/>
        </w:rPr>
        <w:t>Eligibility</w:t>
      </w:r>
    </w:p>
    <w:p w:rsidR="00320080" w:rsidRDefault="00DA4F43" w:rsidP="00EC0606">
      <w:pPr>
        <w:pStyle w:val="Default"/>
        <w:numPr>
          <w:ilvl w:val="1"/>
          <w:numId w:val="11"/>
        </w:numPr>
        <w:spacing w:after="240"/>
        <w:ind w:hanging="645"/>
        <w:outlineLvl w:val="0"/>
        <w:rPr>
          <w:color w:val="auto"/>
        </w:rPr>
      </w:pPr>
      <w:r>
        <w:rPr>
          <w:color w:val="auto"/>
        </w:rPr>
        <w:t>The eligibility criteria is:</w:t>
      </w:r>
    </w:p>
    <w:p w:rsidR="00375376" w:rsidRPr="00375376" w:rsidRDefault="00375376" w:rsidP="00EC0606">
      <w:pPr>
        <w:pStyle w:val="Default"/>
        <w:numPr>
          <w:ilvl w:val="0"/>
          <w:numId w:val="30"/>
        </w:numPr>
        <w:tabs>
          <w:tab w:val="clear" w:pos="720"/>
        </w:tabs>
        <w:ind w:left="1259" w:hanging="357"/>
        <w:rPr>
          <w:color w:val="auto"/>
        </w:rPr>
      </w:pPr>
      <w:r w:rsidRPr="00375376">
        <w:rPr>
          <w:color w:val="auto"/>
        </w:rPr>
        <w:t>Jobseeker’s Allowance (JSA) claimants</w:t>
      </w:r>
      <w:r w:rsidR="009D009B">
        <w:rPr>
          <w:color w:val="auto"/>
        </w:rPr>
        <w:t xml:space="preserve"> and their partners</w:t>
      </w:r>
      <w:r w:rsidRPr="00375376">
        <w:rPr>
          <w:color w:val="auto"/>
        </w:rPr>
        <w:t>;</w:t>
      </w:r>
    </w:p>
    <w:p w:rsidR="00375376" w:rsidRPr="00375376" w:rsidRDefault="00375376" w:rsidP="00EC0606">
      <w:pPr>
        <w:pStyle w:val="Default"/>
        <w:numPr>
          <w:ilvl w:val="0"/>
          <w:numId w:val="30"/>
        </w:numPr>
        <w:tabs>
          <w:tab w:val="clear" w:pos="720"/>
        </w:tabs>
        <w:ind w:left="1259" w:hanging="357"/>
        <w:rPr>
          <w:color w:val="auto"/>
        </w:rPr>
      </w:pPr>
      <w:r w:rsidRPr="00375376">
        <w:rPr>
          <w:color w:val="auto"/>
        </w:rPr>
        <w:t>Employment and Support Allowance (ESA) claimants</w:t>
      </w:r>
      <w:r w:rsidR="009D009B">
        <w:rPr>
          <w:color w:val="auto"/>
        </w:rPr>
        <w:t xml:space="preserve"> and their partners</w:t>
      </w:r>
      <w:r w:rsidRPr="00375376">
        <w:rPr>
          <w:color w:val="auto"/>
        </w:rPr>
        <w:t xml:space="preserve">; </w:t>
      </w:r>
    </w:p>
    <w:p w:rsidR="00375376" w:rsidRPr="001001E1" w:rsidRDefault="00375376" w:rsidP="00EC0606">
      <w:pPr>
        <w:pStyle w:val="Default"/>
        <w:numPr>
          <w:ilvl w:val="0"/>
          <w:numId w:val="30"/>
        </w:numPr>
        <w:tabs>
          <w:tab w:val="clear" w:pos="720"/>
        </w:tabs>
        <w:spacing w:after="120"/>
        <w:ind w:left="1260" w:hanging="357"/>
        <w:rPr>
          <w:color w:val="auto"/>
        </w:rPr>
      </w:pPr>
      <w:r w:rsidRPr="001001E1">
        <w:rPr>
          <w:color w:val="auto"/>
        </w:rPr>
        <w:t>Income support claimants (lone parents or people claiming as sick);</w:t>
      </w:r>
    </w:p>
    <w:p w:rsidR="00375376" w:rsidRPr="00320080" w:rsidRDefault="00375376" w:rsidP="00EC0606">
      <w:pPr>
        <w:numPr>
          <w:ilvl w:val="0"/>
          <w:numId w:val="30"/>
        </w:numPr>
        <w:tabs>
          <w:tab w:val="clear" w:pos="720"/>
        </w:tabs>
        <w:autoSpaceDE w:val="0"/>
        <w:autoSpaceDN w:val="0"/>
        <w:adjustRightInd w:val="0"/>
        <w:spacing w:after="120"/>
        <w:ind w:left="1260"/>
        <w:rPr>
          <w:rFonts w:cs="Arial"/>
          <w:color w:val="FF0000"/>
        </w:rPr>
      </w:pPr>
      <w:r w:rsidRPr="001001E1">
        <w:t xml:space="preserve">Some Universal Credit customers. </w:t>
      </w:r>
      <w:r w:rsidR="008322CB" w:rsidRPr="001001E1">
        <w:t>Eligible</w:t>
      </w:r>
      <w:r w:rsidRPr="001001E1">
        <w:t xml:space="preserve"> Universal Credit claimants </w:t>
      </w:r>
      <w:r w:rsidR="008322CB" w:rsidRPr="001001E1">
        <w:t>will primarily</w:t>
      </w:r>
      <w:r w:rsidRPr="001001E1">
        <w:t xml:space="preserve"> </w:t>
      </w:r>
      <w:r w:rsidRPr="00375376">
        <w:t>fall within the following conditionality groups:</w:t>
      </w:r>
      <w:r w:rsidR="008322CB">
        <w:t xml:space="preserve"> </w:t>
      </w:r>
    </w:p>
    <w:p w:rsidR="00375376" w:rsidRPr="00375376" w:rsidRDefault="00375376" w:rsidP="00EC0606">
      <w:pPr>
        <w:numPr>
          <w:ilvl w:val="1"/>
          <w:numId w:val="30"/>
        </w:numPr>
        <w:tabs>
          <w:tab w:val="clear" w:pos="1440"/>
        </w:tabs>
        <w:autoSpaceDE w:val="0"/>
        <w:autoSpaceDN w:val="0"/>
        <w:adjustRightInd w:val="0"/>
        <w:ind w:left="1800"/>
      </w:pPr>
      <w:r w:rsidRPr="00375376">
        <w:t xml:space="preserve">all work related requirement </w:t>
      </w:r>
    </w:p>
    <w:p w:rsidR="00375376" w:rsidRPr="00375376" w:rsidRDefault="008322CB" w:rsidP="00EC0606">
      <w:pPr>
        <w:numPr>
          <w:ilvl w:val="1"/>
          <w:numId w:val="30"/>
        </w:numPr>
        <w:tabs>
          <w:tab w:val="clear" w:pos="1440"/>
        </w:tabs>
        <w:autoSpaceDE w:val="0"/>
        <w:autoSpaceDN w:val="0"/>
        <w:adjustRightInd w:val="0"/>
        <w:ind w:left="1800"/>
      </w:pPr>
      <w:r>
        <w:t>the ‘W</w:t>
      </w:r>
      <w:r w:rsidR="00375376" w:rsidRPr="00375376">
        <w:t xml:space="preserve">ork </w:t>
      </w:r>
      <w:r>
        <w:t>P</w:t>
      </w:r>
      <w:r w:rsidR="00375376" w:rsidRPr="00375376">
        <w:t xml:space="preserve">reparation’ </w:t>
      </w:r>
    </w:p>
    <w:p w:rsidR="00375376" w:rsidRPr="00375376" w:rsidRDefault="00375376" w:rsidP="00EC0606">
      <w:pPr>
        <w:numPr>
          <w:ilvl w:val="1"/>
          <w:numId w:val="30"/>
        </w:numPr>
        <w:tabs>
          <w:tab w:val="clear" w:pos="1440"/>
        </w:tabs>
        <w:autoSpaceDE w:val="0"/>
        <w:autoSpaceDN w:val="0"/>
        <w:adjustRightInd w:val="0"/>
        <w:spacing w:after="240"/>
        <w:ind w:left="1800"/>
        <w:rPr>
          <w:rFonts w:cs="Arial"/>
        </w:rPr>
      </w:pPr>
      <w:proofErr w:type="gramStart"/>
      <w:r w:rsidRPr="00375376">
        <w:t>the</w:t>
      </w:r>
      <w:proofErr w:type="gramEnd"/>
      <w:r w:rsidRPr="00375376">
        <w:t xml:space="preserve"> Work Focussed Interview only.</w:t>
      </w:r>
    </w:p>
    <w:p w:rsidR="00CE3101" w:rsidRDefault="00CE3101" w:rsidP="00375376">
      <w:pPr>
        <w:pStyle w:val="Default"/>
        <w:spacing w:after="240"/>
        <w:outlineLvl w:val="0"/>
        <w:rPr>
          <w:b/>
          <w:color w:val="auto"/>
        </w:rPr>
      </w:pPr>
    </w:p>
    <w:p w:rsidR="00CE3101" w:rsidRDefault="00CE3101" w:rsidP="00375376">
      <w:pPr>
        <w:pStyle w:val="Default"/>
        <w:spacing w:after="240"/>
        <w:outlineLvl w:val="0"/>
        <w:rPr>
          <w:b/>
          <w:color w:val="auto"/>
        </w:rPr>
      </w:pPr>
    </w:p>
    <w:p w:rsidR="000C35B6" w:rsidRPr="00375376" w:rsidRDefault="000C35B6" w:rsidP="00375376">
      <w:pPr>
        <w:pStyle w:val="Default"/>
        <w:spacing w:after="240"/>
        <w:outlineLvl w:val="0"/>
        <w:rPr>
          <w:b/>
          <w:color w:val="auto"/>
        </w:rPr>
      </w:pPr>
      <w:r w:rsidRPr="00375376">
        <w:rPr>
          <w:b/>
          <w:color w:val="auto"/>
        </w:rPr>
        <w:t>Referrals</w:t>
      </w:r>
    </w:p>
    <w:p w:rsidR="00B55201" w:rsidRPr="00DF7F09" w:rsidRDefault="00DF7F09" w:rsidP="00EC0606">
      <w:pPr>
        <w:pStyle w:val="Default"/>
        <w:numPr>
          <w:ilvl w:val="1"/>
          <w:numId w:val="11"/>
        </w:numPr>
        <w:tabs>
          <w:tab w:val="clear" w:pos="645"/>
        </w:tabs>
        <w:spacing w:after="240"/>
        <w:ind w:left="720" w:hanging="720"/>
        <w:outlineLvl w:val="0"/>
        <w:rPr>
          <w:color w:val="auto"/>
        </w:rPr>
      </w:pPr>
      <w:r>
        <w:rPr>
          <w:color w:val="auto"/>
        </w:rPr>
        <w:t>All eligible and suitable claimants</w:t>
      </w:r>
      <w:r w:rsidR="00375376" w:rsidRPr="008322CB">
        <w:rPr>
          <w:color w:val="auto"/>
        </w:rPr>
        <w:t xml:space="preserve"> </w:t>
      </w:r>
      <w:r w:rsidR="00B55201">
        <w:rPr>
          <w:color w:val="auto"/>
        </w:rPr>
        <w:t>will</w:t>
      </w:r>
      <w:r w:rsidR="00375376" w:rsidRPr="008322CB">
        <w:rPr>
          <w:color w:val="auto"/>
        </w:rPr>
        <w:t xml:space="preserve"> </w:t>
      </w:r>
      <w:r>
        <w:rPr>
          <w:color w:val="auto"/>
        </w:rPr>
        <w:t xml:space="preserve">be </w:t>
      </w:r>
      <w:r w:rsidR="00375376" w:rsidRPr="008322CB">
        <w:rPr>
          <w:color w:val="auto"/>
        </w:rPr>
        <w:t xml:space="preserve">referred to the </w:t>
      </w:r>
      <w:r w:rsidR="00137652">
        <w:rPr>
          <w:color w:val="auto"/>
        </w:rPr>
        <w:t xml:space="preserve">Link </w:t>
      </w:r>
      <w:proofErr w:type="gramStart"/>
      <w:r w:rsidR="00137652">
        <w:rPr>
          <w:color w:val="auto"/>
        </w:rPr>
        <w:t>Up :</w:t>
      </w:r>
      <w:proofErr w:type="gramEnd"/>
      <w:r w:rsidR="00137652">
        <w:rPr>
          <w:color w:val="auto"/>
        </w:rPr>
        <w:t xml:space="preserve"> Start Up</w:t>
      </w:r>
      <w:r w:rsidR="00137652" w:rsidRPr="008322CB">
        <w:rPr>
          <w:color w:val="auto"/>
        </w:rPr>
        <w:t xml:space="preserve"> </w:t>
      </w:r>
      <w:r w:rsidR="00375376" w:rsidRPr="008322CB">
        <w:rPr>
          <w:color w:val="auto"/>
        </w:rPr>
        <w:t>workshop by Jobcentre Plus.</w:t>
      </w:r>
      <w:r>
        <w:rPr>
          <w:color w:val="auto"/>
        </w:rPr>
        <w:t xml:space="preserve">  The </w:t>
      </w:r>
      <w:r w:rsidR="00137652">
        <w:rPr>
          <w:color w:val="auto"/>
        </w:rPr>
        <w:t xml:space="preserve">Link </w:t>
      </w:r>
      <w:proofErr w:type="gramStart"/>
      <w:r w:rsidR="00137652">
        <w:rPr>
          <w:color w:val="auto"/>
        </w:rPr>
        <w:t>Up :</w:t>
      </w:r>
      <w:proofErr w:type="gramEnd"/>
      <w:r w:rsidR="00137652">
        <w:rPr>
          <w:color w:val="auto"/>
        </w:rPr>
        <w:t xml:space="preserve"> Start Up </w:t>
      </w:r>
      <w:r>
        <w:rPr>
          <w:color w:val="auto"/>
        </w:rPr>
        <w:t>Workshop marks the beginning of the NEA process.</w:t>
      </w:r>
      <w:r w:rsidR="00375376" w:rsidRPr="008322CB">
        <w:rPr>
          <w:color w:val="auto"/>
        </w:rPr>
        <w:t xml:space="preserve"> </w:t>
      </w:r>
      <w:r w:rsidR="00375376">
        <w:rPr>
          <w:color w:val="FF0000"/>
        </w:rPr>
        <w:t xml:space="preserve"> </w:t>
      </w:r>
    </w:p>
    <w:p w:rsidR="00B55201" w:rsidRPr="007D14FF" w:rsidRDefault="00137652" w:rsidP="00B55201">
      <w:pPr>
        <w:pStyle w:val="Default"/>
        <w:spacing w:after="240"/>
        <w:outlineLvl w:val="0"/>
        <w:rPr>
          <w:b/>
          <w:color w:val="auto"/>
        </w:rPr>
      </w:pPr>
      <w:r w:rsidRPr="007D14FF">
        <w:rPr>
          <w:b/>
          <w:color w:val="auto"/>
        </w:rPr>
        <w:t xml:space="preserve">Link </w:t>
      </w:r>
      <w:proofErr w:type="gramStart"/>
      <w:r w:rsidRPr="007D14FF">
        <w:rPr>
          <w:b/>
          <w:color w:val="auto"/>
        </w:rPr>
        <w:t>Up :</w:t>
      </w:r>
      <w:proofErr w:type="gramEnd"/>
      <w:r w:rsidRPr="007D14FF">
        <w:rPr>
          <w:b/>
          <w:color w:val="auto"/>
        </w:rPr>
        <w:t xml:space="preserve"> Start Up </w:t>
      </w:r>
      <w:r w:rsidR="00B55201" w:rsidRPr="007D14FF">
        <w:rPr>
          <w:b/>
          <w:color w:val="auto"/>
        </w:rPr>
        <w:t>Workshop</w:t>
      </w:r>
    </w:p>
    <w:p w:rsidR="00B55201" w:rsidRDefault="00B55201" w:rsidP="00EC0606">
      <w:pPr>
        <w:pStyle w:val="Default"/>
        <w:numPr>
          <w:ilvl w:val="1"/>
          <w:numId w:val="11"/>
        </w:numPr>
        <w:tabs>
          <w:tab w:val="clear" w:pos="645"/>
        </w:tabs>
        <w:spacing w:after="240"/>
        <w:ind w:left="709" w:hanging="709"/>
        <w:outlineLvl w:val="0"/>
        <w:rPr>
          <w:color w:val="auto"/>
        </w:rPr>
      </w:pPr>
      <w:r w:rsidRPr="00B55201">
        <w:rPr>
          <w:color w:val="auto"/>
        </w:rPr>
        <w:t xml:space="preserve">The aim of these workshops is to ensure </w:t>
      </w:r>
      <w:r w:rsidR="00C84470">
        <w:rPr>
          <w:color w:val="auto"/>
        </w:rPr>
        <w:t>that</w:t>
      </w:r>
      <w:r w:rsidR="00FA49AA">
        <w:rPr>
          <w:color w:val="auto"/>
        </w:rPr>
        <w:t xml:space="preserve"> </w:t>
      </w:r>
      <w:r w:rsidR="00C84470">
        <w:rPr>
          <w:color w:val="auto"/>
        </w:rPr>
        <w:t xml:space="preserve">participants </w:t>
      </w:r>
      <w:r w:rsidR="007B34CC">
        <w:rPr>
          <w:color w:val="auto"/>
        </w:rPr>
        <w:t xml:space="preserve">are fully aware of the implications of becoming </w:t>
      </w:r>
      <w:proofErr w:type="spellStart"/>
      <w:r w:rsidR="006D53BA">
        <w:rPr>
          <w:color w:val="auto"/>
        </w:rPr>
        <w:t>self employed</w:t>
      </w:r>
      <w:proofErr w:type="spellEnd"/>
      <w:r w:rsidR="006D53BA">
        <w:rPr>
          <w:color w:val="auto"/>
        </w:rPr>
        <w:t xml:space="preserve"> </w:t>
      </w:r>
      <w:r w:rsidR="007B34CC">
        <w:rPr>
          <w:color w:val="auto"/>
        </w:rPr>
        <w:t xml:space="preserve">so that only those </w:t>
      </w:r>
      <w:r w:rsidRPr="00B55201">
        <w:rPr>
          <w:color w:val="auto"/>
        </w:rPr>
        <w:t xml:space="preserve">with a viable business idea </w:t>
      </w:r>
      <w:r w:rsidR="00C84470">
        <w:rPr>
          <w:color w:val="auto"/>
        </w:rPr>
        <w:t xml:space="preserve">and </w:t>
      </w:r>
      <w:r w:rsidRPr="00B55201">
        <w:rPr>
          <w:color w:val="auto"/>
        </w:rPr>
        <w:t>who ha</w:t>
      </w:r>
      <w:r w:rsidR="00C84470">
        <w:rPr>
          <w:color w:val="auto"/>
        </w:rPr>
        <w:t>ve</w:t>
      </w:r>
      <w:r w:rsidRPr="00B55201">
        <w:rPr>
          <w:color w:val="auto"/>
        </w:rPr>
        <w:t xml:space="preserve"> the potential to both progress to trading and remain in sustainable self-employment long term</w:t>
      </w:r>
      <w:r w:rsidR="00C84470">
        <w:rPr>
          <w:color w:val="auto"/>
        </w:rPr>
        <w:t>,</w:t>
      </w:r>
      <w:r w:rsidRPr="00B55201">
        <w:rPr>
          <w:color w:val="auto"/>
        </w:rPr>
        <w:t xml:space="preserve"> go on to actually start </w:t>
      </w:r>
      <w:r w:rsidR="00C84470">
        <w:rPr>
          <w:color w:val="auto"/>
        </w:rPr>
        <w:t>on provis</w:t>
      </w:r>
      <w:r w:rsidR="00C02509">
        <w:rPr>
          <w:color w:val="auto"/>
        </w:rPr>
        <w:t>i</w:t>
      </w:r>
      <w:r w:rsidR="00C84470">
        <w:rPr>
          <w:color w:val="auto"/>
        </w:rPr>
        <w:t>on</w:t>
      </w:r>
      <w:r w:rsidRPr="00B55201">
        <w:rPr>
          <w:color w:val="auto"/>
        </w:rPr>
        <w:t>.</w:t>
      </w:r>
      <w:r w:rsidR="00ED032F">
        <w:rPr>
          <w:color w:val="auto"/>
        </w:rPr>
        <w:t xml:space="preserve"> </w:t>
      </w:r>
    </w:p>
    <w:p w:rsidR="00C84470" w:rsidRDefault="00C84470" w:rsidP="00EC0606">
      <w:pPr>
        <w:pStyle w:val="Default"/>
        <w:numPr>
          <w:ilvl w:val="1"/>
          <w:numId w:val="11"/>
        </w:numPr>
        <w:tabs>
          <w:tab w:val="clear" w:pos="645"/>
        </w:tabs>
        <w:spacing w:after="240"/>
        <w:ind w:left="720" w:hanging="720"/>
        <w:outlineLvl w:val="0"/>
        <w:rPr>
          <w:color w:val="auto"/>
        </w:rPr>
      </w:pPr>
      <w:r>
        <w:t>Providers will be expected to give an overview of what being self-employed means and the level of commitment required to set up a business</w:t>
      </w:r>
      <w:r w:rsidRPr="00B55201">
        <w:rPr>
          <w:color w:val="auto"/>
        </w:rPr>
        <w:t xml:space="preserve">. </w:t>
      </w:r>
      <w:r>
        <w:rPr>
          <w:color w:val="auto"/>
        </w:rPr>
        <w:t>It is anticipated t</w:t>
      </w:r>
      <w:r w:rsidR="00B55201" w:rsidRPr="00ED032F">
        <w:rPr>
          <w:color w:val="auto"/>
        </w:rPr>
        <w:t xml:space="preserve">he workshops will cover a range of areas and outline to participants clearly the </w:t>
      </w:r>
      <w:proofErr w:type="gramStart"/>
      <w:r>
        <w:rPr>
          <w:color w:val="auto"/>
        </w:rPr>
        <w:t xml:space="preserve">advantages </w:t>
      </w:r>
      <w:r w:rsidR="00B55201" w:rsidRPr="00ED032F">
        <w:rPr>
          <w:color w:val="auto"/>
        </w:rPr>
        <w:t xml:space="preserve"> and</w:t>
      </w:r>
      <w:proofErr w:type="gramEnd"/>
      <w:r w:rsidR="00B55201" w:rsidRPr="00ED032F">
        <w:rPr>
          <w:color w:val="auto"/>
        </w:rPr>
        <w:t xml:space="preserve"> </w:t>
      </w:r>
      <w:r>
        <w:rPr>
          <w:color w:val="auto"/>
        </w:rPr>
        <w:t>disadvantages</w:t>
      </w:r>
      <w:r w:rsidR="00B55201" w:rsidRPr="00ED032F">
        <w:rPr>
          <w:color w:val="auto"/>
        </w:rPr>
        <w:t xml:space="preserve"> of self-employment.   </w:t>
      </w:r>
      <w:r>
        <w:t xml:space="preserve">Participants should also be provided with a clear outline of the wider implications of self-employment, such as the lack of paid annual leave etc. </w:t>
      </w:r>
      <w:r w:rsidR="00B55201" w:rsidRPr="00ED032F">
        <w:rPr>
          <w:color w:val="auto"/>
        </w:rPr>
        <w:t xml:space="preserve"> </w:t>
      </w:r>
    </w:p>
    <w:p w:rsidR="00ED032F" w:rsidRPr="00463519" w:rsidRDefault="00B55201" w:rsidP="00686E05">
      <w:pPr>
        <w:pStyle w:val="Default"/>
        <w:numPr>
          <w:ilvl w:val="1"/>
          <w:numId w:val="11"/>
        </w:numPr>
        <w:tabs>
          <w:tab w:val="clear" w:pos="645"/>
          <w:tab w:val="num" w:pos="709"/>
        </w:tabs>
        <w:spacing w:after="240"/>
        <w:ind w:left="709" w:hanging="709"/>
        <w:outlineLvl w:val="0"/>
        <w:rPr>
          <w:color w:val="auto"/>
        </w:rPr>
      </w:pPr>
      <w:r w:rsidRPr="00ED032F">
        <w:rPr>
          <w:color w:val="auto"/>
        </w:rPr>
        <w:t>Provider</w:t>
      </w:r>
      <w:r w:rsidR="00686E05">
        <w:rPr>
          <w:color w:val="auto"/>
        </w:rPr>
        <w:t>s</w:t>
      </w:r>
      <w:r w:rsidRPr="00ED032F">
        <w:rPr>
          <w:color w:val="auto"/>
        </w:rPr>
        <w:t xml:space="preserve"> </w:t>
      </w:r>
      <w:r w:rsidR="00C84470">
        <w:rPr>
          <w:color w:val="auto"/>
        </w:rPr>
        <w:t>must also</w:t>
      </w:r>
      <w:r w:rsidRPr="00ED032F">
        <w:rPr>
          <w:color w:val="auto"/>
        </w:rPr>
        <w:t xml:space="preserve"> ensure that workshop participants are informed about the implications self-employment will hav</w:t>
      </w:r>
      <w:r w:rsidR="00ED032F" w:rsidRPr="00ED032F">
        <w:rPr>
          <w:color w:val="auto"/>
        </w:rPr>
        <w:t xml:space="preserve">e on any benefits </w:t>
      </w:r>
      <w:r w:rsidR="009D009B">
        <w:rPr>
          <w:color w:val="auto"/>
        </w:rPr>
        <w:t xml:space="preserve">or working tax credits </w:t>
      </w:r>
      <w:r w:rsidR="00ED032F" w:rsidRPr="00ED032F">
        <w:rPr>
          <w:color w:val="auto"/>
        </w:rPr>
        <w:t xml:space="preserve">they receive.  </w:t>
      </w:r>
      <w:r w:rsidR="00AD1DB5" w:rsidRPr="00741CCE">
        <w:t xml:space="preserve">For those on UC who are subject to the Minimum Income Floor, </w:t>
      </w:r>
      <w:r w:rsidR="00AD1DB5">
        <w:t>this will include the</w:t>
      </w:r>
      <w:r w:rsidR="00AD1DB5" w:rsidRPr="00741CCE">
        <w:t xml:space="preserve"> expectation of earnings from the business reaching </w:t>
      </w:r>
      <w:r w:rsidR="00AD1DB5">
        <w:t xml:space="preserve">their MIF within 12 months of the date they are deemed to be Gainfully Self-employed. </w:t>
      </w:r>
      <w:r w:rsidR="00AD1DB5" w:rsidRPr="00741CCE">
        <w:t xml:space="preserve"> </w:t>
      </w:r>
    </w:p>
    <w:p w:rsidR="00463519" w:rsidRPr="00ED032F" w:rsidRDefault="00463519" w:rsidP="00EC0606">
      <w:pPr>
        <w:pStyle w:val="Default"/>
        <w:numPr>
          <w:ilvl w:val="1"/>
          <w:numId w:val="11"/>
        </w:numPr>
        <w:tabs>
          <w:tab w:val="clear" w:pos="645"/>
        </w:tabs>
        <w:spacing w:after="240"/>
        <w:ind w:left="720" w:hanging="720"/>
        <w:outlineLvl w:val="0"/>
        <w:rPr>
          <w:color w:val="auto"/>
        </w:rPr>
      </w:pPr>
      <w:r>
        <w:lastRenderedPageBreak/>
        <w:t xml:space="preserve">Participation in the </w:t>
      </w:r>
      <w:r w:rsidR="00137652">
        <w:rPr>
          <w:color w:val="auto"/>
        </w:rPr>
        <w:t xml:space="preserve">Link </w:t>
      </w:r>
      <w:proofErr w:type="gramStart"/>
      <w:r w:rsidR="00137652">
        <w:rPr>
          <w:color w:val="auto"/>
        </w:rPr>
        <w:t>Up :</w:t>
      </w:r>
      <w:proofErr w:type="gramEnd"/>
      <w:r w:rsidR="00137652">
        <w:rPr>
          <w:color w:val="auto"/>
        </w:rPr>
        <w:t xml:space="preserve"> Start Up</w:t>
      </w:r>
      <w:r w:rsidR="00137652">
        <w:t xml:space="preserve"> </w:t>
      </w:r>
      <w:r>
        <w:t xml:space="preserve">Workshops will be voluntary, but only those who have attended </w:t>
      </w:r>
      <w:r w:rsidR="00C84470">
        <w:t xml:space="preserve">a workshop </w:t>
      </w:r>
      <w:r>
        <w:t xml:space="preserve">will be eligible to progress to the </w:t>
      </w:r>
      <w:r w:rsidR="002F116C">
        <w:t>mentoring stage of NEA</w:t>
      </w:r>
      <w:r w:rsidR="0045766F">
        <w:t xml:space="preserve"> Phase 2</w:t>
      </w:r>
      <w:r>
        <w:t xml:space="preserve">.  </w:t>
      </w:r>
      <w:r w:rsidR="001001E1">
        <w:t>P</w:t>
      </w:r>
      <w:r>
        <w:t xml:space="preserve">articipants </w:t>
      </w:r>
      <w:r w:rsidR="00686E05">
        <w:t xml:space="preserve">who attend a Link </w:t>
      </w:r>
      <w:proofErr w:type="gramStart"/>
      <w:r w:rsidR="00686E05">
        <w:t>Up :</w:t>
      </w:r>
      <w:proofErr w:type="gramEnd"/>
      <w:r w:rsidR="00686E05">
        <w:t xml:space="preserve"> Start Up workshop </w:t>
      </w:r>
      <w:r w:rsidR="001001E1">
        <w:t xml:space="preserve">must </w:t>
      </w:r>
      <w:r>
        <w:t xml:space="preserve">progress to the </w:t>
      </w:r>
      <w:r w:rsidR="00FE46F1">
        <w:rPr>
          <w:color w:val="auto"/>
        </w:rPr>
        <w:t xml:space="preserve">new business </w:t>
      </w:r>
      <w:proofErr w:type="spellStart"/>
      <w:r w:rsidR="00FE46F1">
        <w:rPr>
          <w:color w:val="auto"/>
        </w:rPr>
        <w:t>start up</w:t>
      </w:r>
      <w:proofErr w:type="spellEnd"/>
      <w:r w:rsidR="00FE46F1">
        <w:t xml:space="preserve"> </w:t>
      </w:r>
      <w:r>
        <w:t xml:space="preserve">NEA </w:t>
      </w:r>
      <w:r w:rsidR="0045766F">
        <w:t xml:space="preserve">Phase 2 </w:t>
      </w:r>
      <w:r>
        <w:t xml:space="preserve">offer within </w:t>
      </w:r>
      <w:r w:rsidR="00580229">
        <w:t xml:space="preserve">26 weeks </w:t>
      </w:r>
      <w:r>
        <w:t xml:space="preserve"> of attending the </w:t>
      </w:r>
      <w:r w:rsidR="00137652">
        <w:rPr>
          <w:color w:val="auto"/>
        </w:rPr>
        <w:t>Link Up : Start Up</w:t>
      </w:r>
      <w:r w:rsidR="00137652">
        <w:t xml:space="preserve"> </w:t>
      </w:r>
      <w:r>
        <w:t xml:space="preserve">Workshops.  </w:t>
      </w:r>
      <w:r w:rsidR="00271A4E">
        <w:t xml:space="preserve">Where a participant attends the </w:t>
      </w:r>
      <w:r w:rsidR="00137652">
        <w:rPr>
          <w:color w:val="auto"/>
        </w:rPr>
        <w:t xml:space="preserve">Link </w:t>
      </w:r>
      <w:proofErr w:type="gramStart"/>
      <w:r w:rsidR="00137652">
        <w:rPr>
          <w:color w:val="auto"/>
        </w:rPr>
        <w:t>Up :</w:t>
      </w:r>
      <w:proofErr w:type="gramEnd"/>
      <w:r w:rsidR="00137652">
        <w:rPr>
          <w:color w:val="auto"/>
        </w:rPr>
        <w:t xml:space="preserve"> Start Up</w:t>
      </w:r>
      <w:r w:rsidR="00137652">
        <w:t xml:space="preserve"> </w:t>
      </w:r>
      <w:r w:rsidR="00271A4E">
        <w:t xml:space="preserve">Workshop but do not start NEA </w:t>
      </w:r>
      <w:r w:rsidR="0045766F">
        <w:t xml:space="preserve">Phase 2 </w:t>
      </w:r>
      <w:r w:rsidR="00271A4E">
        <w:t xml:space="preserve">within </w:t>
      </w:r>
      <w:r w:rsidR="00C36093">
        <w:t>26 weeks</w:t>
      </w:r>
      <w:r w:rsidR="00271A4E">
        <w:t xml:space="preserve"> they will need </w:t>
      </w:r>
      <w:r w:rsidR="00E35C14">
        <w:t xml:space="preserve">to </w:t>
      </w:r>
      <w:r w:rsidR="00271A4E">
        <w:t>re</w:t>
      </w:r>
      <w:r w:rsidR="006D53BA">
        <w:t>-</w:t>
      </w:r>
      <w:r w:rsidR="00271A4E">
        <w:t xml:space="preserve">attend the </w:t>
      </w:r>
      <w:r w:rsidR="00137652">
        <w:rPr>
          <w:color w:val="auto"/>
        </w:rPr>
        <w:t>Link Up : Start Up</w:t>
      </w:r>
      <w:r w:rsidR="00137652">
        <w:t xml:space="preserve"> </w:t>
      </w:r>
      <w:r w:rsidR="00271A4E">
        <w:t xml:space="preserve">Workshop in order to be eligible to start the NEA </w:t>
      </w:r>
      <w:r w:rsidR="0045766F">
        <w:t xml:space="preserve">Phase 2 </w:t>
      </w:r>
      <w:r w:rsidR="00FE46F1">
        <w:rPr>
          <w:color w:val="auto"/>
        </w:rPr>
        <w:t xml:space="preserve">new business </w:t>
      </w:r>
      <w:proofErr w:type="spellStart"/>
      <w:r w:rsidR="00FE46F1">
        <w:rPr>
          <w:color w:val="auto"/>
        </w:rPr>
        <w:t>start up</w:t>
      </w:r>
      <w:proofErr w:type="spellEnd"/>
      <w:r w:rsidR="00271A4E">
        <w:t xml:space="preserve"> programme.</w:t>
      </w:r>
      <w:r>
        <w:t xml:space="preserve"> </w:t>
      </w:r>
    </w:p>
    <w:p w:rsidR="0080656F" w:rsidRPr="0080656F" w:rsidRDefault="00B55201" w:rsidP="00EC0606">
      <w:pPr>
        <w:pStyle w:val="Default"/>
        <w:numPr>
          <w:ilvl w:val="1"/>
          <w:numId w:val="11"/>
        </w:numPr>
        <w:tabs>
          <w:tab w:val="clear" w:pos="645"/>
        </w:tabs>
        <w:spacing w:after="240"/>
        <w:ind w:left="709" w:right="74" w:hanging="709"/>
        <w:outlineLvl w:val="0"/>
        <w:rPr>
          <w:b/>
          <w:bCs/>
        </w:rPr>
      </w:pPr>
      <w:r w:rsidRPr="00B55201">
        <w:rPr>
          <w:color w:val="auto"/>
        </w:rPr>
        <w:t xml:space="preserve">The Provider must work collaboratively with local Growth Hubs, Jobcentre Plus and other organisations to deliver the </w:t>
      </w:r>
      <w:r w:rsidR="00137652">
        <w:rPr>
          <w:color w:val="auto"/>
        </w:rPr>
        <w:t xml:space="preserve">Link </w:t>
      </w:r>
      <w:proofErr w:type="gramStart"/>
      <w:r w:rsidR="00137652">
        <w:rPr>
          <w:color w:val="auto"/>
        </w:rPr>
        <w:t>Up :</w:t>
      </w:r>
      <w:proofErr w:type="gramEnd"/>
      <w:r w:rsidR="00137652">
        <w:rPr>
          <w:color w:val="auto"/>
        </w:rPr>
        <w:t xml:space="preserve"> Start Up</w:t>
      </w:r>
      <w:r w:rsidR="00137652" w:rsidRPr="00B55201">
        <w:rPr>
          <w:color w:val="auto"/>
        </w:rPr>
        <w:t xml:space="preserve"> </w:t>
      </w:r>
      <w:r w:rsidRPr="00B55201">
        <w:rPr>
          <w:color w:val="auto"/>
        </w:rPr>
        <w:t xml:space="preserve">workshops.  </w:t>
      </w:r>
      <w:r w:rsidR="00ED2CFF">
        <w:rPr>
          <w:color w:val="auto"/>
        </w:rPr>
        <w:t xml:space="preserve">Following the Link </w:t>
      </w:r>
      <w:proofErr w:type="gramStart"/>
      <w:r w:rsidR="00ED2CFF">
        <w:rPr>
          <w:color w:val="auto"/>
        </w:rPr>
        <w:t>Up :</w:t>
      </w:r>
      <w:proofErr w:type="gramEnd"/>
      <w:r w:rsidR="00ED2CFF">
        <w:rPr>
          <w:color w:val="auto"/>
        </w:rPr>
        <w:t xml:space="preserve"> Start Up workshop p</w:t>
      </w:r>
      <w:r w:rsidRPr="00B55201">
        <w:rPr>
          <w:color w:val="auto"/>
        </w:rPr>
        <w:t xml:space="preserve">roviders will </w:t>
      </w:r>
      <w:r w:rsidR="00985B9B">
        <w:rPr>
          <w:color w:val="auto"/>
        </w:rPr>
        <w:t>refer the participant back to Jobcentre Plus</w:t>
      </w:r>
      <w:r w:rsidR="00ED2CFF">
        <w:rPr>
          <w:color w:val="auto"/>
        </w:rPr>
        <w:t xml:space="preserve"> and </w:t>
      </w:r>
      <w:r w:rsidRPr="00B55201">
        <w:rPr>
          <w:color w:val="auto"/>
        </w:rPr>
        <w:t xml:space="preserve"> confirm the attendance of all those referred to the </w:t>
      </w:r>
      <w:r w:rsidR="00137652">
        <w:rPr>
          <w:color w:val="auto"/>
        </w:rPr>
        <w:t>Link Up : Start Up</w:t>
      </w:r>
      <w:r w:rsidRPr="00B55201">
        <w:rPr>
          <w:color w:val="auto"/>
        </w:rPr>
        <w:t xml:space="preserve"> workshop</w:t>
      </w:r>
      <w:r w:rsidR="00ED2CFF">
        <w:rPr>
          <w:color w:val="auto"/>
        </w:rPr>
        <w:t xml:space="preserve"> via </w:t>
      </w:r>
      <w:proofErr w:type="spellStart"/>
      <w:r w:rsidR="00ED2CFF">
        <w:rPr>
          <w:color w:val="auto"/>
        </w:rPr>
        <w:t>PRaP</w:t>
      </w:r>
      <w:proofErr w:type="spellEnd"/>
      <w:r w:rsidRPr="00B55201">
        <w:rPr>
          <w:color w:val="auto"/>
        </w:rPr>
        <w:t>.</w:t>
      </w:r>
      <w:r w:rsidR="00DD2187" w:rsidRPr="00DD2187">
        <w:rPr>
          <w:rFonts w:eastAsiaTheme="minorHAnsi" w:cstheme="minorBidi"/>
        </w:rPr>
        <w:t xml:space="preserve"> </w:t>
      </w:r>
      <w:r w:rsidR="00DD2187">
        <w:rPr>
          <w:rFonts w:eastAsiaTheme="minorHAnsi" w:cstheme="minorBidi"/>
        </w:rPr>
        <w:t xml:space="preserve">Providers will offer as start on the </w:t>
      </w:r>
      <w:r w:rsidR="00DD2187">
        <w:rPr>
          <w:color w:val="auto"/>
        </w:rPr>
        <w:t xml:space="preserve">Link </w:t>
      </w:r>
      <w:proofErr w:type="gramStart"/>
      <w:r w:rsidR="00DD2187">
        <w:rPr>
          <w:color w:val="auto"/>
        </w:rPr>
        <w:t>Up :</w:t>
      </w:r>
      <w:proofErr w:type="gramEnd"/>
      <w:r w:rsidR="00DD2187">
        <w:rPr>
          <w:color w:val="auto"/>
        </w:rPr>
        <w:t xml:space="preserve"> Start Up</w:t>
      </w:r>
      <w:r w:rsidR="00DD2187" w:rsidRPr="00B55201">
        <w:rPr>
          <w:color w:val="auto"/>
        </w:rPr>
        <w:t xml:space="preserve"> workshops</w:t>
      </w:r>
      <w:r w:rsidR="00DD2187">
        <w:rPr>
          <w:color w:val="auto"/>
        </w:rPr>
        <w:t xml:space="preserve"> within </w:t>
      </w:r>
      <w:r w:rsidR="00DD2187" w:rsidRPr="002F0A04">
        <w:rPr>
          <w:rFonts w:eastAsiaTheme="minorHAnsi" w:cstheme="minorBidi"/>
        </w:rPr>
        <w:t>15 working days of referral and th</w:t>
      </w:r>
      <w:r w:rsidR="00DD2187">
        <w:rPr>
          <w:rFonts w:eastAsiaTheme="minorHAnsi" w:cstheme="minorBidi"/>
        </w:rPr>
        <w:t xml:space="preserve">e result of the referral </w:t>
      </w:r>
      <w:r w:rsidR="00DD2187" w:rsidRPr="002F0A04">
        <w:rPr>
          <w:rFonts w:eastAsiaTheme="minorHAnsi" w:cstheme="minorBidi"/>
        </w:rPr>
        <w:t xml:space="preserve">will be recorded in </w:t>
      </w:r>
      <w:proofErr w:type="spellStart"/>
      <w:r w:rsidR="00DD2187" w:rsidRPr="002F0A04">
        <w:rPr>
          <w:rFonts w:eastAsiaTheme="minorHAnsi" w:cstheme="minorBidi"/>
        </w:rPr>
        <w:t>PRaP</w:t>
      </w:r>
      <w:proofErr w:type="spellEnd"/>
      <w:r w:rsidR="00DD2187" w:rsidRPr="002F0A04">
        <w:rPr>
          <w:rFonts w:eastAsiaTheme="minorHAnsi" w:cstheme="minorBidi"/>
        </w:rPr>
        <w:t xml:space="preserve"> within 20 working days of </w:t>
      </w:r>
      <w:r w:rsidR="00356A8B">
        <w:rPr>
          <w:rFonts w:eastAsiaTheme="minorHAnsi" w:cstheme="minorBidi"/>
        </w:rPr>
        <w:t xml:space="preserve">the </w:t>
      </w:r>
      <w:r w:rsidR="00DD2187" w:rsidRPr="002F0A04">
        <w:rPr>
          <w:rFonts w:eastAsiaTheme="minorHAnsi" w:cstheme="minorBidi"/>
        </w:rPr>
        <w:t>referral</w:t>
      </w:r>
      <w:r w:rsidR="00356A8B">
        <w:rPr>
          <w:rFonts w:eastAsiaTheme="minorHAnsi" w:cstheme="minorBidi"/>
        </w:rPr>
        <w:t>.</w:t>
      </w:r>
    </w:p>
    <w:p w:rsidR="0080656F" w:rsidRDefault="0080656F" w:rsidP="00EC0606">
      <w:pPr>
        <w:pStyle w:val="Default"/>
        <w:numPr>
          <w:ilvl w:val="1"/>
          <w:numId w:val="11"/>
        </w:numPr>
        <w:tabs>
          <w:tab w:val="clear" w:pos="645"/>
        </w:tabs>
        <w:spacing w:before="100" w:beforeAutospacing="1" w:after="240"/>
        <w:ind w:left="709" w:right="74" w:hanging="709"/>
        <w:outlineLvl w:val="0"/>
      </w:pPr>
      <w:r w:rsidRPr="0080656F">
        <w:t xml:space="preserve">We expect the </w:t>
      </w:r>
      <w:r w:rsidR="00137652">
        <w:rPr>
          <w:color w:val="auto"/>
        </w:rPr>
        <w:t xml:space="preserve">Link </w:t>
      </w:r>
      <w:proofErr w:type="gramStart"/>
      <w:r w:rsidR="00137652">
        <w:rPr>
          <w:color w:val="auto"/>
        </w:rPr>
        <w:t>Up :</w:t>
      </w:r>
      <w:proofErr w:type="gramEnd"/>
      <w:r w:rsidR="00137652">
        <w:rPr>
          <w:color w:val="auto"/>
        </w:rPr>
        <w:t xml:space="preserve"> Start Up</w:t>
      </w:r>
      <w:r w:rsidR="00137652" w:rsidRPr="0080656F">
        <w:t xml:space="preserve"> </w:t>
      </w:r>
      <w:r w:rsidRPr="0080656F">
        <w:t xml:space="preserve">Workshops to provide attendees with a comprehensive overview of the pros and cons of self-employment.  These workshops should last at least </w:t>
      </w:r>
      <w:r w:rsidR="006B5B9B">
        <w:t>three</w:t>
      </w:r>
      <w:r w:rsidRPr="0080656F">
        <w:t xml:space="preserve"> hours. </w:t>
      </w:r>
      <w:r w:rsidR="00271A4E">
        <w:t>It will be for Providers to determine the minimum viable number of places on each workshop to ensure waiting times are minimised for participants.</w:t>
      </w:r>
      <w:r w:rsidR="00410FDE">
        <w:t xml:space="preserve"> </w:t>
      </w:r>
      <w:r w:rsidRPr="0080656F">
        <w:t xml:space="preserve">We expect </w:t>
      </w:r>
      <w:r w:rsidR="00410FDE">
        <w:t>the optimal maximum number of participants to be around 15</w:t>
      </w:r>
      <w:r w:rsidR="00E844AE">
        <w:t xml:space="preserve"> to 20</w:t>
      </w:r>
      <w:r w:rsidR="00410FDE">
        <w:t xml:space="preserve"> on each workshop.</w:t>
      </w:r>
      <w:r w:rsidR="006B4C0E">
        <w:t xml:space="preserve"> Depending on </w:t>
      </w:r>
      <w:r w:rsidR="007764B2">
        <w:t>l</w:t>
      </w:r>
      <w:r w:rsidR="006B4C0E">
        <w:t xml:space="preserve">ocal circumstances Providers may need to over book places on workshops to account for fail to attends and </w:t>
      </w:r>
      <w:r w:rsidR="007764B2">
        <w:t>ensure optimal attendance numbers are achieved.</w:t>
      </w:r>
    </w:p>
    <w:p w:rsidR="0015424C" w:rsidRPr="0015424C" w:rsidRDefault="0015424C" w:rsidP="00EC0606">
      <w:pPr>
        <w:pStyle w:val="ListParagraph"/>
        <w:numPr>
          <w:ilvl w:val="1"/>
          <w:numId w:val="11"/>
        </w:numPr>
        <w:ind w:hanging="645"/>
        <w:rPr>
          <w:rFonts w:cs="Arial"/>
          <w:color w:val="000000"/>
          <w:lang w:eastAsia="en-GB"/>
        </w:rPr>
      </w:pPr>
      <w:r w:rsidRPr="0015424C">
        <w:rPr>
          <w:rFonts w:cs="Arial"/>
          <w:color w:val="000000"/>
          <w:lang w:eastAsia="en-GB"/>
        </w:rPr>
        <w:t xml:space="preserve">All attendees should leave the workshop with enough information to enable them to decide if self-employment is appropriate for them.  Subjects covered in the workshop should include: </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What does being self-employed mean?</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How does being self-employed differ from being employed?</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What impact will being self-employed have on benefits</w:t>
      </w:r>
      <w:r w:rsidR="00356DA6">
        <w:rPr>
          <w:rFonts w:cs="Arial"/>
          <w:lang w:eastAsia="en-GB"/>
        </w:rPr>
        <w:t xml:space="preserve"> including Working Tax Credits for non UC Claimants</w:t>
      </w:r>
      <w:r w:rsidR="008B1FC3">
        <w:rPr>
          <w:rFonts w:cs="Arial"/>
          <w:lang w:eastAsia="en-GB"/>
        </w:rPr>
        <w:t>.</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What are the tax implications of being self-employed</w:t>
      </w:r>
      <w:r w:rsidR="008B1FC3">
        <w:rPr>
          <w:rFonts w:cs="Arial"/>
          <w:lang w:eastAsia="en-GB"/>
        </w:rPr>
        <w:t>?</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 xml:space="preserve">Other legal/technical implications – such as health and safety regulations, insurance costs, licencing etc. </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An overview of accounting/book-keeping</w:t>
      </w:r>
      <w:r w:rsidR="008B1FC3">
        <w:rPr>
          <w:rFonts w:cs="Arial"/>
          <w:lang w:eastAsia="en-GB"/>
        </w:rPr>
        <w:t>.</w:t>
      </w:r>
      <w:r>
        <w:rPr>
          <w:rFonts w:cs="Arial"/>
          <w:lang w:eastAsia="en-GB"/>
        </w:rPr>
        <w:t xml:space="preserve"> </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What happens when self-employed people have sickness or maternity/paternity absences</w:t>
      </w:r>
      <w:r w:rsidR="008B1FC3">
        <w:rPr>
          <w:rFonts w:cs="Arial"/>
          <w:lang w:eastAsia="en-GB"/>
        </w:rPr>
        <w:t>?</w:t>
      </w:r>
    </w:p>
    <w:p w:rsidR="0080656F" w:rsidRDefault="0080656F" w:rsidP="00EC0606">
      <w:pPr>
        <w:pStyle w:val="ListParagraph"/>
        <w:numPr>
          <w:ilvl w:val="0"/>
          <w:numId w:val="58"/>
        </w:numPr>
        <w:spacing w:before="100" w:beforeAutospacing="1" w:after="240"/>
        <w:ind w:left="1134" w:hanging="425"/>
        <w:rPr>
          <w:rFonts w:cs="Arial"/>
          <w:lang w:eastAsia="en-GB"/>
        </w:rPr>
      </w:pPr>
      <w:r>
        <w:rPr>
          <w:rFonts w:cs="Arial"/>
          <w:lang w:eastAsia="en-GB"/>
        </w:rPr>
        <w:t>What skills are needed to be successfully self-employed?</w:t>
      </w:r>
    </w:p>
    <w:p w:rsidR="0080656F" w:rsidRDefault="00985B9B" w:rsidP="00751775">
      <w:pPr>
        <w:pStyle w:val="Default"/>
        <w:numPr>
          <w:ilvl w:val="0"/>
          <w:numId w:val="58"/>
        </w:numPr>
        <w:spacing w:before="100" w:beforeAutospacing="1" w:after="240"/>
        <w:ind w:left="1134" w:right="74" w:hanging="425"/>
        <w:outlineLvl w:val="0"/>
      </w:pPr>
      <w:r>
        <w:lastRenderedPageBreak/>
        <w:t>B</w:t>
      </w:r>
      <w:r w:rsidR="0080656F" w:rsidRPr="0080656F">
        <w:t>enefits of being self-employed, including being your own boss, deciding what hours you work, and how you carry out that work.</w:t>
      </w:r>
    </w:p>
    <w:p w:rsidR="0080656F" w:rsidRDefault="00985B9B" w:rsidP="00751775">
      <w:pPr>
        <w:pStyle w:val="Default"/>
        <w:numPr>
          <w:ilvl w:val="0"/>
          <w:numId w:val="58"/>
        </w:numPr>
        <w:spacing w:before="100" w:beforeAutospacing="1" w:after="240"/>
        <w:ind w:left="1134" w:right="74" w:hanging="425"/>
        <w:outlineLvl w:val="0"/>
      </w:pPr>
      <w:r>
        <w:t>T</w:t>
      </w:r>
      <w:r w:rsidR="0080656F" w:rsidRPr="0080656F">
        <w:t>he negative side of self-employment, including potentially long working hours, lack of paid holiday/sick leave, and potentially erratic income.</w:t>
      </w:r>
    </w:p>
    <w:p w:rsidR="0080656F" w:rsidRPr="0080656F" w:rsidRDefault="0080656F" w:rsidP="008B1FC3">
      <w:pPr>
        <w:pStyle w:val="Default"/>
        <w:numPr>
          <w:ilvl w:val="1"/>
          <w:numId w:val="11"/>
        </w:numPr>
        <w:tabs>
          <w:tab w:val="clear" w:pos="645"/>
        </w:tabs>
        <w:spacing w:before="100" w:beforeAutospacing="1" w:after="240"/>
        <w:ind w:left="709" w:right="74" w:hanging="709"/>
        <w:outlineLvl w:val="0"/>
      </w:pPr>
      <w:r w:rsidRPr="0080656F">
        <w:t>The above sets out our minimum requirement and is not an exhaustive list.  Providers are expected to add their considerable detailed business knowledge and knowledge of the local economy to these workshops.  We also expect there to be time at the end of the workshop for a Q&amp;A session.</w:t>
      </w:r>
    </w:p>
    <w:p w:rsidR="00BB663E" w:rsidRPr="00410FDE" w:rsidRDefault="0080656F" w:rsidP="008B1FC3">
      <w:pPr>
        <w:pStyle w:val="Default"/>
        <w:numPr>
          <w:ilvl w:val="1"/>
          <w:numId w:val="11"/>
        </w:numPr>
        <w:tabs>
          <w:tab w:val="clear" w:pos="645"/>
        </w:tabs>
        <w:spacing w:after="240"/>
        <w:ind w:left="709" w:hanging="709"/>
        <w:outlineLvl w:val="0"/>
        <w:rPr>
          <w:color w:val="auto"/>
        </w:rPr>
      </w:pPr>
      <w:r>
        <w:t xml:space="preserve">Participants should also have the opportunity to have a brief one to one session with the provider on the day.  </w:t>
      </w:r>
      <w:r w:rsidRPr="00410FDE">
        <w:rPr>
          <w:b/>
        </w:rPr>
        <w:t xml:space="preserve">These will be separate to the Initial </w:t>
      </w:r>
      <w:proofErr w:type="gramStart"/>
      <w:r w:rsidRPr="00410FDE">
        <w:rPr>
          <w:b/>
        </w:rPr>
        <w:t>Assessment</w:t>
      </w:r>
      <w:r w:rsidR="00410FDE" w:rsidRPr="00410FDE">
        <w:rPr>
          <w:b/>
        </w:rPr>
        <w:t xml:space="preserve">  and</w:t>
      </w:r>
      <w:proofErr w:type="gramEnd"/>
      <w:r w:rsidR="00410FDE" w:rsidRPr="00410FDE">
        <w:rPr>
          <w:b/>
        </w:rPr>
        <w:t xml:space="preserve"> in no circumstances are to be treated as the </w:t>
      </w:r>
      <w:r w:rsidR="00463185">
        <w:rPr>
          <w:b/>
        </w:rPr>
        <w:t>I</w:t>
      </w:r>
      <w:r w:rsidR="00410FDE" w:rsidRPr="00410FDE">
        <w:rPr>
          <w:b/>
        </w:rPr>
        <w:t xml:space="preserve">nitial </w:t>
      </w:r>
      <w:r w:rsidR="00463185">
        <w:rPr>
          <w:b/>
        </w:rPr>
        <w:t>A</w:t>
      </w:r>
      <w:r w:rsidR="00410FDE" w:rsidRPr="00410FDE">
        <w:rPr>
          <w:b/>
        </w:rPr>
        <w:t>ssessment</w:t>
      </w:r>
      <w:r w:rsidR="00410FDE">
        <w:t>. The purpose is to</w:t>
      </w:r>
      <w:r>
        <w:t xml:space="preserve"> give the participant </w:t>
      </w:r>
      <w:r w:rsidR="00410FDE">
        <w:t>an opportunity</w:t>
      </w:r>
      <w:r w:rsidR="009D009B">
        <w:t xml:space="preserve"> to</w:t>
      </w:r>
      <w:r w:rsidR="00410FDE">
        <w:t xml:space="preserve"> briefly discuss any issues raised including </w:t>
      </w:r>
      <w:r>
        <w:t>the</w:t>
      </w:r>
      <w:r w:rsidR="00410FDE">
        <w:t>ir</w:t>
      </w:r>
      <w:r>
        <w:t xml:space="preserve"> business idea</w:t>
      </w:r>
      <w:r w:rsidR="00410FDE">
        <w:t xml:space="preserve"> on a o</w:t>
      </w:r>
      <w:r>
        <w:t xml:space="preserve">ne to one </w:t>
      </w:r>
      <w:r w:rsidR="00410FDE">
        <w:t>basis.</w:t>
      </w:r>
    </w:p>
    <w:p w:rsidR="000C35B6" w:rsidRPr="00B55201" w:rsidRDefault="00B55201" w:rsidP="008B1FC3">
      <w:pPr>
        <w:pStyle w:val="Default"/>
        <w:spacing w:after="240"/>
        <w:outlineLvl w:val="0"/>
        <w:rPr>
          <w:b/>
          <w:color w:val="auto"/>
        </w:rPr>
      </w:pPr>
      <w:r>
        <w:rPr>
          <w:b/>
          <w:color w:val="auto"/>
        </w:rPr>
        <w:t>Initial As</w:t>
      </w:r>
      <w:r w:rsidR="000C35B6" w:rsidRPr="00B55201">
        <w:rPr>
          <w:b/>
          <w:color w:val="auto"/>
        </w:rPr>
        <w:t>sessment</w:t>
      </w:r>
    </w:p>
    <w:p w:rsidR="00D45DDA" w:rsidRPr="005C563F" w:rsidRDefault="00D45DDA" w:rsidP="008B1FC3">
      <w:pPr>
        <w:pStyle w:val="ListParagraph"/>
        <w:numPr>
          <w:ilvl w:val="1"/>
          <w:numId w:val="11"/>
        </w:numPr>
        <w:tabs>
          <w:tab w:val="clear" w:pos="645"/>
        </w:tabs>
        <w:spacing w:after="240"/>
        <w:ind w:left="709" w:hanging="709"/>
        <w:rPr>
          <w:rFonts w:cs="Arial"/>
          <w:lang w:eastAsia="en-GB"/>
        </w:rPr>
      </w:pPr>
      <w:r w:rsidRPr="005C563F">
        <w:rPr>
          <w:rFonts w:cs="Arial"/>
          <w:lang w:eastAsia="en-GB"/>
        </w:rPr>
        <w:t xml:space="preserve">Only those participants who have attended the </w:t>
      </w:r>
      <w:r w:rsidR="00137652">
        <w:t xml:space="preserve">Link </w:t>
      </w:r>
      <w:proofErr w:type="gramStart"/>
      <w:r w:rsidR="00137652">
        <w:t>Up :</w:t>
      </w:r>
      <w:proofErr w:type="gramEnd"/>
      <w:r w:rsidR="00137652">
        <w:t xml:space="preserve"> Start Up</w:t>
      </w:r>
      <w:r w:rsidR="00137652" w:rsidRPr="005C563F">
        <w:rPr>
          <w:rFonts w:cs="Arial"/>
          <w:lang w:eastAsia="en-GB"/>
        </w:rPr>
        <w:t xml:space="preserve"> </w:t>
      </w:r>
      <w:r w:rsidRPr="005C563F">
        <w:rPr>
          <w:rFonts w:cs="Arial"/>
          <w:lang w:eastAsia="en-GB"/>
        </w:rPr>
        <w:t xml:space="preserve">workshop will be referred to the </w:t>
      </w:r>
      <w:r w:rsidR="00BB663E" w:rsidRPr="005C563F">
        <w:rPr>
          <w:rFonts w:cs="Arial"/>
          <w:lang w:eastAsia="en-GB"/>
        </w:rPr>
        <w:t>mentoring stage of the</w:t>
      </w:r>
      <w:r w:rsidRPr="005C563F">
        <w:rPr>
          <w:rFonts w:cs="Arial"/>
          <w:lang w:eastAsia="en-GB"/>
        </w:rPr>
        <w:t xml:space="preserve"> NEA</w:t>
      </w:r>
      <w:r w:rsidR="0045766F" w:rsidRPr="005C563F">
        <w:rPr>
          <w:rFonts w:cs="Arial"/>
          <w:lang w:eastAsia="en-GB"/>
        </w:rPr>
        <w:t xml:space="preserve"> Phase 2</w:t>
      </w:r>
      <w:r w:rsidRPr="005C563F">
        <w:rPr>
          <w:rFonts w:cs="Arial"/>
          <w:lang w:eastAsia="en-GB"/>
        </w:rPr>
        <w:t xml:space="preserve">. </w:t>
      </w:r>
      <w:r w:rsidR="008B1FC3" w:rsidRPr="005C563F">
        <w:rPr>
          <w:rFonts w:cs="Arial"/>
          <w:lang w:eastAsia="en-GB"/>
        </w:rPr>
        <w:t xml:space="preserve"> For clarity separate referrals will be needed for </w:t>
      </w:r>
      <w:r w:rsidR="008B1FC3">
        <w:t xml:space="preserve">Link </w:t>
      </w:r>
      <w:proofErr w:type="gramStart"/>
      <w:r w:rsidR="008B1FC3">
        <w:t>Up :</w:t>
      </w:r>
      <w:proofErr w:type="gramEnd"/>
      <w:r w:rsidR="008B1FC3">
        <w:t xml:space="preserve"> Start Up</w:t>
      </w:r>
      <w:r w:rsidR="008B1FC3" w:rsidRPr="005C563F">
        <w:rPr>
          <w:rFonts w:cs="Arial"/>
          <w:lang w:eastAsia="en-GB"/>
        </w:rPr>
        <w:t xml:space="preserve"> and the Initial Assessment. </w:t>
      </w:r>
      <w:r w:rsidRPr="005C563F">
        <w:rPr>
          <w:rFonts w:cs="Arial"/>
          <w:lang w:eastAsia="en-GB"/>
        </w:rPr>
        <w:t>All referrals will be via Jobcentre Plus.</w:t>
      </w:r>
      <w:r w:rsidR="00763EDC" w:rsidRPr="005C563F">
        <w:rPr>
          <w:rFonts w:cs="Arial"/>
          <w:lang w:eastAsia="en-GB"/>
        </w:rPr>
        <w:t xml:space="preserve"> Initial Assessments need to take place </w:t>
      </w:r>
      <w:r w:rsidR="001A2447">
        <w:rPr>
          <w:rFonts w:cs="Arial"/>
          <w:lang w:eastAsia="en-GB"/>
        </w:rPr>
        <w:t xml:space="preserve">within 10 working days of the referral </w:t>
      </w:r>
      <w:r w:rsidR="00B467C9">
        <w:rPr>
          <w:rFonts w:cs="Arial"/>
          <w:lang w:eastAsia="en-GB"/>
        </w:rPr>
        <w:t xml:space="preserve">and be recorded in </w:t>
      </w:r>
      <w:proofErr w:type="spellStart"/>
      <w:r w:rsidR="00B467C9">
        <w:rPr>
          <w:rFonts w:cs="Arial"/>
          <w:lang w:eastAsia="en-GB"/>
        </w:rPr>
        <w:t>PRaP</w:t>
      </w:r>
      <w:proofErr w:type="spellEnd"/>
      <w:r w:rsidR="00B467C9">
        <w:rPr>
          <w:rFonts w:cs="Arial"/>
          <w:lang w:eastAsia="en-GB"/>
        </w:rPr>
        <w:t xml:space="preserve"> </w:t>
      </w:r>
      <w:r w:rsidR="00763EDC" w:rsidRPr="005C563F">
        <w:rPr>
          <w:rFonts w:cs="Arial"/>
          <w:lang w:eastAsia="en-GB"/>
        </w:rPr>
        <w:t>within 1</w:t>
      </w:r>
      <w:r w:rsidR="00B467C9">
        <w:rPr>
          <w:rFonts w:cs="Arial"/>
          <w:lang w:eastAsia="en-GB"/>
        </w:rPr>
        <w:t>5</w:t>
      </w:r>
      <w:r w:rsidR="00763EDC" w:rsidRPr="005C563F">
        <w:rPr>
          <w:rFonts w:cs="Arial"/>
          <w:lang w:eastAsia="en-GB"/>
        </w:rPr>
        <w:t xml:space="preserve"> working days of the referral. </w:t>
      </w:r>
      <w:r w:rsidR="005C563F" w:rsidRPr="005C563F">
        <w:rPr>
          <w:rFonts w:cs="Arial"/>
          <w:lang w:eastAsia="en-GB"/>
        </w:rPr>
        <w:t xml:space="preserve">The </w:t>
      </w:r>
      <w:r w:rsidRPr="005C563F">
        <w:rPr>
          <w:rFonts w:cs="Arial"/>
          <w:lang w:eastAsia="en-GB"/>
        </w:rPr>
        <w:t xml:space="preserve">initial assessment </w:t>
      </w:r>
      <w:r w:rsidR="005C563F">
        <w:rPr>
          <w:rFonts w:cs="Arial"/>
          <w:lang w:eastAsia="en-GB"/>
        </w:rPr>
        <w:t>will include</w:t>
      </w:r>
      <w:r w:rsidRPr="005C563F">
        <w:rPr>
          <w:rFonts w:cs="Arial"/>
          <w:lang w:eastAsia="en-GB"/>
        </w:rPr>
        <w:t>:</w:t>
      </w:r>
    </w:p>
    <w:p w:rsidR="00D45DDA" w:rsidRDefault="00D45DDA" w:rsidP="00EC0606">
      <w:pPr>
        <w:pStyle w:val="ListParagraph"/>
        <w:numPr>
          <w:ilvl w:val="1"/>
          <w:numId w:val="38"/>
        </w:numPr>
        <w:tabs>
          <w:tab w:val="clear" w:pos="645"/>
        </w:tabs>
        <w:ind w:left="1276" w:hanging="567"/>
        <w:rPr>
          <w:rFonts w:cs="Arial"/>
          <w:lang w:eastAsia="en-GB"/>
        </w:rPr>
      </w:pPr>
      <w:r w:rsidRPr="00D45DDA">
        <w:rPr>
          <w:rFonts w:cs="Arial"/>
          <w:lang w:eastAsia="en-GB"/>
        </w:rPr>
        <w:t xml:space="preserve">the individual’s </w:t>
      </w:r>
      <w:r w:rsidR="00FA496B" w:rsidRPr="00D45DDA">
        <w:rPr>
          <w:rFonts w:cs="Arial"/>
          <w:lang w:eastAsia="en-GB"/>
        </w:rPr>
        <w:t xml:space="preserve">business </w:t>
      </w:r>
      <w:r w:rsidR="00FA496B">
        <w:rPr>
          <w:rFonts w:cs="Arial"/>
          <w:lang w:eastAsia="en-GB"/>
        </w:rPr>
        <w:t>idea</w:t>
      </w:r>
      <w:r>
        <w:rPr>
          <w:rFonts w:cs="Arial"/>
          <w:lang w:eastAsia="en-GB"/>
        </w:rPr>
        <w:t>;</w:t>
      </w:r>
    </w:p>
    <w:p w:rsidR="003E3921" w:rsidRDefault="003E3921" w:rsidP="00EC0606">
      <w:pPr>
        <w:pStyle w:val="ListParagraph"/>
        <w:numPr>
          <w:ilvl w:val="1"/>
          <w:numId w:val="38"/>
        </w:numPr>
        <w:tabs>
          <w:tab w:val="clear" w:pos="645"/>
        </w:tabs>
        <w:ind w:left="1276" w:hanging="567"/>
        <w:rPr>
          <w:rFonts w:cs="Arial"/>
          <w:lang w:eastAsia="en-GB"/>
        </w:rPr>
      </w:pPr>
      <w:r>
        <w:rPr>
          <w:rFonts w:cs="Arial"/>
          <w:lang w:eastAsia="en-GB"/>
        </w:rPr>
        <w:t>their ability to complete a robust business plan with</w:t>
      </w:r>
      <w:r w:rsidR="00BB663E">
        <w:rPr>
          <w:rFonts w:cs="Arial"/>
          <w:lang w:eastAsia="en-GB"/>
        </w:rPr>
        <w:t>in</w:t>
      </w:r>
      <w:r>
        <w:rPr>
          <w:rFonts w:cs="Arial"/>
          <w:lang w:eastAsia="en-GB"/>
        </w:rPr>
        <w:t xml:space="preserve"> 12 weeks;</w:t>
      </w:r>
    </w:p>
    <w:p w:rsidR="00D45DDA" w:rsidRDefault="00D45DDA" w:rsidP="00EC0606">
      <w:pPr>
        <w:pStyle w:val="ListParagraph"/>
        <w:numPr>
          <w:ilvl w:val="1"/>
          <w:numId w:val="38"/>
        </w:numPr>
        <w:tabs>
          <w:tab w:val="clear" w:pos="645"/>
        </w:tabs>
        <w:ind w:left="1276" w:hanging="567"/>
        <w:rPr>
          <w:rFonts w:cs="Arial"/>
          <w:lang w:eastAsia="en-GB"/>
        </w:rPr>
      </w:pPr>
      <w:r w:rsidRPr="00D45DDA">
        <w:rPr>
          <w:rFonts w:cs="Arial"/>
          <w:lang w:eastAsia="en-GB"/>
        </w:rPr>
        <w:t>their</w:t>
      </w:r>
      <w:r w:rsidR="00FA496B" w:rsidRPr="00FA496B">
        <w:rPr>
          <w:rFonts w:cs="Arial"/>
          <w:lang w:eastAsia="en-GB"/>
        </w:rPr>
        <w:t xml:space="preserve"> </w:t>
      </w:r>
      <w:r w:rsidR="00FA496B" w:rsidRPr="00D45DDA">
        <w:rPr>
          <w:rFonts w:cs="Arial"/>
          <w:lang w:eastAsia="en-GB"/>
        </w:rPr>
        <w:t>self-employment prospects</w:t>
      </w:r>
      <w:r>
        <w:rPr>
          <w:rFonts w:cs="Arial"/>
          <w:lang w:eastAsia="en-GB"/>
        </w:rPr>
        <w:t>;</w:t>
      </w:r>
    </w:p>
    <w:p w:rsidR="00D45DDA" w:rsidRDefault="00FA496B" w:rsidP="00EC0606">
      <w:pPr>
        <w:pStyle w:val="ListParagraph"/>
        <w:numPr>
          <w:ilvl w:val="1"/>
          <w:numId w:val="38"/>
        </w:numPr>
        <w:tabs>
          <w:tab w:val="clear" w:pos="645"/>
        </w:tabs>
        <w:ind w:left="1276" w:hanging="567"/>
        <w:rPr>
          <w:rFonts w:cs="Arial"/>
          <w:lang w:eastAsia="en-GB"/>
        </w:rPr>
      </w:pPr>
      <w:r>
        <w:rPr>
          <w:rFonts w:cs="Arial"/>
          <w:lang w:eastAsia="en-GB"/>
        </w:rPr>
        <w:t>the</w:t>
      </w:r>
      <w:r w:rsidR="00D45DDA" w:rsidRPr="00D45DDA">
        <w:rPr>
          <w:rFonts w:cs="Arial"/>
          <w:lang w:eastAsia="en-GB"/>
        </w:rPr>
        <w:t xml:space="preserve"> </w:t>
      </w:r>
      <w:r w:rsidRPr="00D45DDA">
        <w:rPr>
          <w:rFonts w:cs="Arial"/>
          <w:lang w:eastAsia="en-GB"/>
        </w:rPr>
        <w:t xml:space="preserve">potential </w:t>
      </w:r>
      <w:r w:rsidR="00D45DDA" w:rsidRPr="00D45DDA">
        <w:rPr>
          <w:rFonts w:cs="Arial"/>
          <w:lang w:eastAsia="en-GB"/>
        </w:rPr>
        <w:t>sustainability</w:t>
      </w:r>
      <w:r>
        <w:rPr>
          <w:rFonts w:cs="Arial"/>
          <w:lang w:eastAsia="en-GB"/>
        </w:rPr>
        <w:t xml:space="preserve"> of the business</w:t>
      </w:r>
      <w:r w:rsidR="00D45DDA">
        <w:rPr>
          <w:rFonts w:cs="Arial"/>
          <w:lang w:eastAsia="en-GB"/>
        </w:rPr>
        <w:t>;</w:t>
      </w:r>
      <w:r w:rsidR="00D45DDA" w:rsidRPr="00D45DDA">
        <w:rPr>
          <w:rFonts w:cs="Arial"/>
          <w:lang w:eastAsia="en-GB"/>
        </w:rPr>
        <w:t xml:space="preserve"> and </w:t>
      </w:r>
    </w:p>
    <w:p w:rsidR="00D45DDA" w:rsidRPr="00D45DDA" w:rsidRDefault="00D45DDA" w:rsidP="00EC0606">
      <w:pPr>
        <w:pStyle w:val="ListParagraph"/>
        <w:numPr>
          <w:ilvl w:val="1"/>
          <w:numId w:val="38"/>
        </w:numPr>
        <w:tabs>
          <w:tab w:val="clear" w:pos="645"/>
        </w:tabs>
        <w:spacing w:after="240"/>
        <w:ind w:left="1276" w:hanging="567"/>
        <w:rPr>
          <w:rFonts w:cs="Arial"/>
          <w:lang w:eastAsia="en-GB"/>
        </w:rPr>
      </w:pPr>
      <w:proofErr w:type="gramStart"/>
      <w:r w:rsidRPr="00D45DDA">
        <w:rPr>
          <w:rFonts w:cs="Arial"/>
          <w:lang w:eastAsia="en-GB"/>
        </w:rPr>
        <w:t>their</w:t>
      </w:r>
      <w:proofErr w:type="gramEnd"/>
      <w:r w:rsidRPr="00D45DDA">
        <w:rPr>
          <w:rFonts w:cs="Arial"/>
          <w:lang w:eastAsia="en-GB"/>
        </w:rPr>
        <w:t xml:space="preserve"> overall suitability for the NEA</w:t>
      </w:r>
      <w:r w:rsidR="0045766F">
        <w:rPr>
          <w:rFonts w:cs="Arial"/>
          <w:lang w:eastAsia="en-GB"/>
        </w:rPr>
        <w:t xml:space="preserve"> Phase 2</w:t>
      </w:r>
      <w:r w:rsidRPr="00D45DDA">
        <w:rPr>
          <w:rFonts w:cs="Arial"/>
          <w:lang w:eastAsia="en-GB"/>
        </w:rPr>
        <w:t xml:space="preserve"> programme.</w:t>
      </w:r>
    </w:p>
    <w:p w:rsidR="00B55201" w:rsidRDefault="00D45DDA" w:rsidP="00EC0606">
      <w:pPr>
        <w:pStyle w:val="Default"/>
        <w:numPr>
          <w:ilvl w:val="1"/>
          <w:numId w:val="11"/>
        </w:numPr>
        <w:tabs>
          <w:tab w:val="clear" w:pos="645"/>
        </w:tabs>
        <w:spacing w:after="240"/>
        <w:ind w:left="720" w:hanging="720"/>
        <w:outlineLvl w:val="0"/>
        <w:rPr>
          <w:color w:val="auto"/>
        </w:rPr>
      </w:pPr>
      <w:r>
        <w:rPr>
          <w:color w:val="auto"/>
        </w:rPr>
        <w:t xml:space="preserve">Providers will only </w:t>
      </w:r>
      <w:r w:rsidR="00C1679B">
        <w:rPr>
          <w:color w:val="auto"/>
        </w:rPr>
        <w:t xml:space="preserve">start </w:t>
      </w:r>
      <w:r>
        <w:rPr>
          <w:color w:val="auto"/>
        </w:rPr>
        <w:t>people who are suitable to be on the NEA</w:t>
      </w:r>
      <w:r w:rsidR="0045766F">
        <w:rPr>
          <w:color w:val="auto"/>
        </w:rPr>
        <w:t xml:space="preserve"> </w:t>
      </w:r>
      <w:r w:rsidR="0045766F">
        <w:t>Phase 2</w:t>
      </w:r>
      <w:r>
        <w:rPr>
          <w:color w:val="auto"/>
        </w:rPr>
        <w:t xml:space="preserve"> who have a viable business proposition.  Providers will report back to Jobcentre Plus, informing them of the outcome of the Initial Assessment.</w:t>
      </w:r>
      <w:r w:rsidR="003E3921">
        <w:rPr>
          <w:color w:val="auto"/>
        </w:rPr>
        <w:t xml:space="preserve">  </w:t>
      </w:r>
      <w:r w:rsidR="0069112B">
        <w:rPr>
          <w:color w:val="auto"/>
        </w:rPr>
        <w:t>For those with a viable business idea, t</w:t>
      </w:r>
      <w:r w:rsidR="003E3921">
        <w:rPr>
          <w:color w:val="auto"/>
        </w:rPr>
        <w:t xml:space="preserve">he 12 week Mentoring Phase </w:t>
      </w:r>
      <w:r w:rsidR="0069112B">
        <w:rPr>
          <w:color w:val="auto"/>
        </w:rPr>
        <w:t>will begin</w:t>
      </w:r>
      <w:r w:rsidR="003E3921">
        <w:rPr>
          <w:color w:val="auto"/>
        </w:rPr>
        <w:t xml:space="preserve"> on the date of this Initial Assessment.</w:t>
      </w:r>
      <w:r w:rsidR="0069112B">
        <w:rPr>
          <w:color w:val="auto"/>
        </w:rPr>
        <w:t xml:space="preserve">  This will become the Start Date.</w:t>
      </w:r>
    </w:p>
    <w:p w:rsidR="002C51FE" w:rsidRPr="006B5B9B" w:rsidRDefault="002C51FE" w:rsidP="00EC0606">
      <w:pPr>
        <w:pStyle w:val="Default"/>
        <w:numPr>
          <w:ilvl w:val="1"/>
          <w:numId w:val="11"/>
        </w:numPr>
        <w:spacing w:after="240"/>
        <w:ind w:hanging="645"/>
        <w:outlineLvl w:val="0"/>
        <w:rPr>
          <w:color w:val="auto"/>
        </w:rPr>
      </w:pPr>
      <w:r w:rsidRPr="006B5B9B">
        <w:rPr>
          <w:color w:val="auto"/>
        </w:rPr>
        <w:t>Where distance or length of time of travel is a factor</w:t>
      </w:r>
      <w:r w:rsidR="00ED2CFF">
        <w:rPr>
          <w:color w:val="auto"/>
        </w:rPr>
        <w:t xml:space="preserve"> for the participant</w:t>
      </w:r>
      <w:r w:rsidRPr="006B5B9B">
        <w:rPr>
          <w:color w:val="auto"/>
        </w:rPr>
        <w:t>, Initial Assessments may be conducted via telephone if no other options are available. This should be by exception and not the norm.</w:t>
      </w:r>
    </w:p>
    <w:p w:rsidR="000C35B6" w:rsidRPr="00B55201" w:rsidRDefault="000C35B6" w:rsidP="00B55201">
      <w:pPr>
        <w:pStyle w:val="Default"/>
        <w:spacing w:after="240"/>
        <w:outlineLvl w:val="0"/>
        <w:rPr>
          <w:b/>
          <w:color w:val="auto"/>
        </w:rPr>
      </w:pPr>
      <w:r w:rsidRPr="00B55201">
        <w:rPr>
          <w:b/>
          <w:color w:val="auto"/>
        </w:rPr>
        <w:t>Mentoring phase</w:t>
      </w:r>
    </w:p>
    <w:p w:rsidR="003E3921" w:rsidRPr="003E3921" w:rsidRDefault="003E3921" w:rsidP="00EC0606">
      <w:pPr>
        <w:pStyle w:val="Default"/>
        <w:numPr>
          <w:ilvl w:val="1"/>
          <w:numId w:val="11"/>
        </w:numPr>
        <w:tabs>
          <w:tab w:val="clear" w:pos="645"/>
        </w:tabs>
        <w:spacing w:after="240"/>
        <w:ind w:left="709" w:hanging="709"/>
        <w:outlineLvl w:val="0"/>
        <w:rPr>
          <w:color w:val="auto"/>
        </w:rPr>
      </w:pPr>
      <w:r w:rsidRPr="003E3921">
        <w:rPr>
          <w:color w:val="auto"/>
        </w:rPr>
        <w:t xml:space="preserve">From a Participant’s </w:t>
      </w:r>
      <w:r w:rsidR="00C1679B">
        <w:rPr>
          <w:color w:val="auto"/>
        </w:rPr>
        <w:t>S</w:t>
      </w:r>
      <w:r w:rsidRPr="003E3921">
        <w:rPr>
          <w:color w:val="auto"/>
        </w:rPr>
        <w:t xml:space="preserve">tart </w:t>
      </w:r>
      <w:r w:rsidR="00C1679B">
        <w:rPr>
          <w:color w:val="auto"/>
        </w:rPr>
        <w:t>D</w:t>
      </w:r>
      <w:r w:rsidRPr="003E3921">
        <w:rPr>
          <w:color w:val="auto"/>
        </w:rPr>
        <w:t>ate on the scheme, the Prov</w:t>
      </w:r>
      <w:r>
        <w:rPr>
          <w:color w:val="auto"/>
        </w:rPr>
        <w:t>ider must provide m</w:t>
      </w:r>
      <w:r w:rsidRPr="003E3921">
        <w:rPr>
          <w:color w:val="auto"/>
        </w:rPr>
        <w:t>entoring support to the Participant</w:t>
      </w:r>
      <w:r>
        <w:rPr>
          <w:color w:val="auto"/>
        </w:rPr>
        <w:t xml:space="preserve"> to develop</w:t>
      </w:r>
      <w:r w:rsidRPr="003E3921">
        <w:rPr>
          <w:color w:val="auto"/>
        </w:rPr>
        <w:t xml:space="preserve"> their business plan. The Provider may use a range of Mentoring support and business advice through the duration of the Participant’s time on the scheme. The minimum requirement is:</w:t>
      </w:r>
    </w:p>
    <w:p w:rsidR="003E3921" w:rsidRPr="00EB59BF" w:rsidRDefault="003E3921" w:rsidP="00EC0606">
      <w:pPr>
        <w:pStyle w:val="Default"/>
        <w:numPr>
          <w:ilvl w:val="0"/>
          <w:numId w:val="35"/>
        </w:numPr>
        <w:spacing w:after="240"/>
        <w:outlineLvl w:val="0"/>
        <w:rPr>
          <w:color w:val="auto"/>
        </w:rPr>
      </w:pPr>
      <w:r w:rsidRPr="002C51FE">
        <w:rPr>
          <w:color w:val="auto"/>
        </w:rPr>
        <w:lastRenderedPageBreak/>
        <w:t xml:space="preserve">Providers must match the Participant with a suitable Mentor. The Mentor is responsible for supporting the Participant in developing their business idea and business plan. Mentors can be volunteers or paid advisers.  Providers are expected to ensure the mentoring delivered is to a high quality standard – </w:t>
      </w:r>
      <w:r w:rsidRPr="002C51FE">
        <w:rPr>
          <w:b/>
          <w:color w:val="auto"/>
        </w:rPr>
        <w:t xml:space="preserve">see paragraph </w:t>
      </w:r>
      <w:r w:rsidR="0080656F" w:rsidRPr="00EB59BF">
        <w:rPr>
          <w:b/>
          <w:color w:val="auto"/>
        </w:rPr>
        <w:t>2.5</w:t>
      </w:r>
      <w:r w:rsidR="001A2447">
        <w:rPr>
          <w:b/>
          <w:color w:val="auto"/>
        </w:rPr>
        <w:t>0</w:t>
      </w:r>
      <w:r w:rsidR="0080656F" w:rsidRPr="00EB59BF">
        <w:rPr>
          <w:b/>
          <w:color w:val="auto"/>
        </w:rPr>
        <w:t>.</w:t>
      </w:r>
    </w:p>
    <w:p w:rsidR="003E3921" w:rsidRPr="00EB59BF" w:rsidRDefault="003E3921" w:rsidP="00EC0606">
      <w:pPr>
        <w:pStyle w:val="Default"/>
        <w:numPr>
          <w:ilvl w:val="0"/>
          <w:numId w:val="35"/>
        </w:numPr>
        <w:spacing w:after="240"/>
        <w:outlineLvl w:val="0"/>
        <w:rPr>
          <w:color w:val="auto"/>
        </w:rPr>
      </w:pPr>
      <w:r w:rsidRPr="00EB59BF">
        <w:rPr>
          <w:color w:val="auto"/>
        </w:rPr>
        <w:t xml:space="preserve">Providers are expected to provide advice support and guidance for the duration of the Participant’s time on the scheme. This must include at least three </w:t>
      </w:r>
      <w:r w:rsidR="00DE538E">
        <w:rPr>
          <w:color w:val="auto"/>
        </w:rPr>
        <w:t xml:space="preserve">mentor </w:t>
      </w:r>
      <w:r w:rsidRPr="00EB59BF">
        <w:rPr>
          <w:color w:val="auto"/>
        </w:rPr>
        <w:t>meetings</w:t>
      </w:r>
      <w:r w:rsidR="00AF4A9C" w:rsidRPr="00EB59BF">
        <w:rPr>
          <w:color w:val="auto"/>
        </w:rPr>
        <w:t xml:space="preserve"> (in addition to the Initial Assessment), the first one of which must be</w:t>
      </w:r>
      <w:r w:rsidRPr="00EB59BF">
        <w:rPr>
          <w:color w:val="auto"/>
        </w:rPr>
        <w:t xml:space="preserve"> </w:t>
      </w:r>
      <w:r w:rsidR="00AF4A9C" w:rsidRPr="00EB59BF">
        <w:rPr>
          <w:color w:val="auto"/>
        </w:rPr>
        <w:t>face to face</w:t>
      </w:r>
      <w:r w:rsidRPr="00EB59BF">
        <w:rPr>
          <w:color w:val="auto"/>
        </w:rPr>
        <w:t xml:space="preserve"> between the Mentor and the Participant.  In exceptional circumstances we may allow </w:t>
      </w:r>
      <w:r w:rsidR="00AF4A9C" w:rsidRPr="00EB59BF">
        <w:rPr>
          <w:color w:val="auto"/>
        </w:rPr>
        <w:t xml:space="preserve">the first mentoring meeting to be </w:t>
      </w:r>
      <w:r w:rsidRPr="00EB59BF">
        <w:rPr>
          <w:color w:val="auto"/>
        </w:rPr>
        <w:t>conducted other than face to face</w:t>
      </w:r>
      <w:r w:rsidR="00AF4A9C" w:rsidRPr="00EB59BF">
        <w:rPr>
          <w:color w:val="auto"/>
        </w:rPr>
        <w:t>.</w:t>
      </w:r>
      <w:r w:rsidR="00311C69" w:rsidRPr="00EB59BF">
        <w:rPr>
          <w:color w:val="auto"/>
        </w:rPr>
        <w:t xml:space="preserve"> </w:t>
      </w:r>
      <w:r w:rsidR="00AF4A9C" w:rsidRPr="00EB59BF">
        <w:rPr>
          <w:color w:val="auto"/>
        </w:rPr>
        <w:t xml:space="preserve">An ‘exceptional circumstance’ could be where the face-to-face meeting has been arranged but due to circumstances outside the </w:t>
      </w:r>
      <w:r w:rsidR="00401FA7">
        <w:rPr>
          <w:color w:val="auto"/>
        </w:rPr>
        <w:t xml:space="preserve">participant </w:t>
      </w:r>
      <w:r w:rsidR="00AF4A9C" w:rsidRPr="00EB59BF">
        <w:rPr>
          <w:color w:val="auto"/>
        </w:rPr>
        <w:t xml:space="preserve"> and </w:t>
      </w:r>
      <w:r w:rsidR="008B5AD3">
        <w:rPr>
          <w:color w:val="auto"/>
        </w:rPr>
        <w:t>P</w:t>
      </w:r>
      <w:r w:rsidR="00AF4A9C" w:rsidRPr="00EB59BF">
        <w:rPr>
          <w:color w:val="auto"/>
        </w:rPr>
        <w:t xml:space="preserve">roviders control (e.g. adverse weather conditions / travel disruptions) the meeting cannot take place on the agreed date or </w:t>
      </w:r>
      <w:r w:rsidR="00401FA7">
        <w:rPr>
          <w:color w:val="auto"/>
        </w:rPr>
        <w:t xml:space="preserve">is </w:t>
      </w:r>
      <w:r w:rsidR="00AF4A9C" w:rsidRPr="00EB59BF">
        <w:rPr>
          <w:color w:val="auto"/>
        </w:rPr>
        <w:t>re-arranged</w:t>
      </w:r>
      <w:r w:rsidR="000C5291">
        <w:rPr>
          <w:color w:val="auto"/>
        </w:rPr>
        <w:t>.</w:t>
      </w:r>
      <w:r w:rsidR="00AF4A9C" w:rsidRPr="00EB59BF">
        <w:rPr>
          <w:color w:val="auto"/>
        </w:rPr>
        <w:t xml:space="preserve"> In these circumstances alternative methods of communication (e.g. use of IT technology) can be considered / used. </w:t>
      </w:r>
      <w:r w:rsidR="00AF4A9C" w:rsidRPr="00EB59BF">
        <w:rPr>
          <w:b/>
          <w:color w:val="auto"/>
        </w:rPr>
        <w:t>Note</w:t>
      </w:r>
      <w:r w:rsidR="00AF4A9C" w:rsidRPr="00EB59BF">
        <w:rPr>
          <w:color w:val="auto"/>
        </w:rPr>
        <w:t xml:space="preserve">: </w:t>
      </w:r>
      <w:r w:rsidR="00311C69" w:rsidRPr="00EB59BF">
        <w:rPr>
          <w:color w:val="auto"/>
        </w:rPr>
        <w:t xml:space="preserve">Any agreement to conduct mentoring sessions other than face to </w:t>
      </w:r>
      <w:r w:rsidR="008E0A40" w:rsidRPr="00EB59BF">
        <w:rPr>
          <w:color w:val="auto"/>
        </w:rPr>
        <w:t>face</w:t>
      </w:r>
      <w:r w:rsidR="00311C69" w:rsidRPr="00EB59BF">
        <w:rPr>
          <w:color w:val="auto"/>
        </w:rPr>
        <w:t xml:space="preserve"> must be with the agreement of the participant</w:t>
      </w:r>
      <w:r w:rsidR="005C563F">
        <w:rPr>
          <w:color w:val="auto"/>
        </w:rPr>
        <w:t xml:space="preserve"> and recorded in writing</w:t>
      </w:r>
      <w:r w:rsidR="00311C69" w:rsidRPr="00EB59BF">
        <w:rPr>
          <w:color w:val="auto"/>
        </w:rPr>
        <w:t>.</w:t>
      </w:r>
    </w:p>
    <w:p w:rsidR="00311C69" w:rsidRPr="00EB59BF" w:rsidRDefault="003E3921" w:rsidP="00EC0606">
      <w:pPr>
        <w:pStyle w:val="Default"/>
        <w:numPr>
          <w:ilvl w:val="1"/>
          <w:numId w:val="11"/>
        </w:numPr>
        <w:tabs>
          <w:tab w:val="clear" w:pos="645"/>
        </w:tabs>
        <w:spacing w:after="120"/>
        <w:ind w:left="709" w:hanging="709"/>
        <w:outlineLvl w:val="0"/>
        <w:rPr>
          <w:color w:val="auto"/>
        </w:rPr>
      </w:pPr>
      <w:r w:rsidRPr="00EB59BF">
        <w:rPr>
          <w:color w:val="auto"/>
        </w:rPr>
        <w:t xml:space="preserve">Providers </w:t>
      </w:r>
      <w:r w:rsidR="000C5291">
        <w:rPr>
          <w:color w:val="auto"/>
        </w:rPr>
        <w:t xml:space="preserve">will deliver </w:t>
      </w:r>
      <w:r w:rsidR="00311C69" w:rsidRPr="00EB59BF">
        <w:rPr>
          <w:color w:val="auto"/>
        </w:rPr>
        <w:t xml:space="preserve">additional seminars </w:t>
      </w:r>
      <w:r w:rsidR="000C5291" w:rsidRPr="00EB59BF">
        <w:rPr>
          <w:color w:val="auto"/>
        </w:rPr>
        <w:t>to supplement the mentoring support</w:t>
      </w:r>
      <w:r w:rsidR="000C5291">
        <w:rPr>
          <w:color w:val="auto"/>
        </w:rPr>
        <w:t>,</w:t>
      </w:r>
      <w:r w:rsidR="000C5291" w:rsidRPr="00EB59BF">
        <w:rPr>
          <w:color w:val="auto"/>
        </w:rPr>
        <w:t xml:space="preserve"> </w:t>
      </w:r>
      <w:r w:rsidR="00311C69" w:rsidRPr="00EB59BF">
        <w:rPr>
          <w:color w:val="auto"/>
        </w:rPr>
        <w:t>focused</w:t>
      </w:r>
      <w:r w:rsidRPr="00EB59BF">
        <w:rPr>
          <w:color w:val="auto"/>
        </w:rPr>
        <w:t xml:space="preserve"> on particular aspects of self-employment</w:t>
      </w:r>
      <w:r w:rsidR="00311C69" w:rsidRPr="00EB59BF">
        <w:rPr>
          <w:color w:val="auto"/>
        </w:rPr>
        <w:t>.  As a minimum we expect these seminars to cover:</w:t>
      </w:r>
    </w:p>
    <w:p w:rsidR="00311C69" w:rsidRPr="00EB59BF" w:rsidRDefault="00E4528A" w:rsidP="00EC0606">
      <w:pPr>
        <w:pStyle w:val="Default"/>
        <w:numPr>
          <w:ilvl w:val="1"/>
          <w:numId w:val="39"/>
        </w:numPr>
        <w:tabs>
          <w:tab w:val="clear" w:pos="645"/>
        </w:tabs>
        <w:ind w:left="1276"/>
        <w:outlineLvl w:val="0"/>
        <w:rPr>
          <w:color w:val="auto"/>
        </w:rPr>
      </w:pPr>
      <w:r w:rsidRPr="00EB59BF">
        <w:rPr>
          <w:color w:val="auto"/>
        </w:rPr>
        <w:t>F</w:t>
      </w:r>
      <w:r w:rsidR="003E3921" w:rsidRPr="00EB59BF">
        <w:rPr>
          <w:color w:val="auto"/>
        </w:rPr>
        <w:t xml:space="preserve">inancial </w:t>
      </w:r>
      <w:r w:rsidRPr="00EB59BF">
        <w:rPr>
          <w:color w:val="auto"/>
        </w:rPr>
        <w:t>P</w:t>
      </w:r>
      <w:r w:rsidR="003E3921" w:rsidRPr="00EB59BF">
        <w:rPr>
          <w:color w:val="auto"/>
        </w:rPr>
        <w:t>lanning</w:t>
      </w:r>
      <w:r w:rsidR="00311C69" w:rsidRPr="00EB59BF">
        <w:rPr>
          <w:color w:val="auto"/>
        </w:rPr>
        <w:t>, including:</w:t>
      </w:r>
    </w:p>
    <w:p w:rsidR="00311C69" w:rsidRPr="00EB59BF" w:rsidRDefault="00311C69" w:rsidP="00EC0606">
      <w:pPr>
        <w:pStyle w:val="Default"/>
        <w:numPr>
          <w:ilvl w:val="2"/>
          <w:numId w:val="40"/>
        </w:numPr>
        <w:ind w:left="2268" w:hanging="468"/>
        <w:outlineLvl w:val="0"/>
        <w:rPr>
          <w:color w:val="auto"/>
        </w:rPr>
      </w:pPr>
      <w:r w:rsidRPr="00EB59BF">
        <w:rPr>
          <w:color w:val="auto"/>
        </w:rPr>
        <w:t xml:space="preserve">an overview of </w:t>
      </w:r>
      <w:r w:rsidR="00E4528A" w:rsidRPr="00EB59BF">
        <w:rPr>
          <w:color w:val="auto"/>
        </w:rPr>
        <w:t xml:space="preserve">business </w:t>
      </w:r>
      <w:r w:rsidRPr="00EB59BF">
        <w:rPr>
          <w:color w:val="auto"/>
        </w:rPr>
        <w:t>accounts</w:t>
      </w:r>
      <w:r w:rsidR="00E4528A" w:rsidRPr="00EB59BF">
        <w:rPr>
          <w:color w:val="auto"/>
        </w:rPr>
        <w:t xml:space="preserve">, invoicing </w:t>
      </w:r>
      <w:proofErr w:type="spellStart"/>
      <w:r w:rsidR="00E4528A" w:rsidRPr="00EB59BF">
        <w:rPr>
          <w:color w:val="auto"/>
        </w:rPr>
        <w:t>etc</w:t>
      </w:r>
      <w:proofErr w:type="spellEnd"/>
      <w:r w:rsidR="006D53BA">
        <w:rPr>
          <w:color w:val="auto"/>
        </w:rPr>
        <w:t>;</w:t>
      </w:r>
      <w:r w:rsidRPr="00EB59BF">
        <w:rPr>
          <w:color w:val="auto"/>
        </w:rPr>
        <w:t xml:space="preserve"> </w:t>
      </w:r>
    </w:p>
    <w:p w:rsidR="00311C69" w:rsidRPr="00EB59BF" w:rsidRDefault="00311C69" w:rsidP="00EC0606">
      <w:pPr>
        <w:pStyle w:val="Default"/>
        <w:numPr>
          <w:ilvl w:val="1"/>
          <w:numId w:val="40"/>
        </w:numPr>
        <w:ind w:left="2268" w:hanging="468"/>
        <w:outlineLvl w:val="0"/>
        <w:rPr>
          <w:color w:val="auto"/>
        </w:rPr>
      </w:pPr>
      <w:r w:rsidRPr="00EB59BF">
        <w:rPr>
          <w:color w:val="auto"/>
        </w:rPr>
        <w:t xml:space="preserve">forecasting of incomings, outgoings, overheads </w:t>
      </w:r>
      <w:proofErr w:type="spellStart"/>
      <w:r w:rsidRPr="00EB59BF">
        <w:rPr>
          <w:color w:val="auto"/>
        </w:rPr>
        <w:t>etc</w:t>
      </w:r>
      <w:proofErr w:type="spellEnd"/>
      <w:r w:rsidR="00E4528A" w:rsidRPr="00EB59BF">
        <w:rPr>
          <w:color w:val="auto"/>
        </w:rPr>
        <w:t>;</w:t>
      </w:r>
    </w:p>
    <w:p w:rsidR="00E4528A" w:rsidRPr="00EB59BF" w:rsidRDefault="00E4528A" w:rsidP="00EC0606">
      <w:pPr>
        <w:pStyle w:val="Default"/>
        <w:numPr>
          <w:ilvl w:val="1"/>
          <w:numId w:val="40"/>
        </w:numPr>
        <w:ind w:left="2268" w:hanging="468"/>
        <w:outlineLvl w:val="0"/>
        <w:rPr>
          <w:color w:val="auto"/>
        </w:rPr>
      </w:pPr>
      <w:r w:rsidRPr="00EB59BF">
        <w:rPr>
          <w:color w:val="auto"/>
        </w:rPr>
        <w:t>personal income</w:t>
      </w:r>
      <w:r w:rsidR="006D53BA">
        <w:rPr>
          <w:color w:val="auto"/>
        </w:rPr>
        <w:t>; and</w:t>
      </w:r>
    </w:p>
    <w:p w:rsidR="00E4528A" w:rsidRPr="00EB59BF" w:rsidRDefault="00E4528A" w:rsidP="00EC0606">
      <w:pPr>
        <w:pStyle w:val="Default"/>
        <w:numPr>
          <w:ilvl w:val="1"/>
          <w:numId w:val="40"/>
        </w:numPr>
        <w:spacing w:after="240"/>
        <w:ind w:left="2268" w:hanging="468"/>
        <w:outlineLvl w:val="0"/>
        <w:rPr>
          <w:color w:val="auto"/>
        </w:rPr>
      </w:pPr>
      <w:proofErr w:type="gramStart"/>
      <w:r w:rsidRPr="00EB59BF">
        <w:rPr>
          <w:color w:val="auto"/>
        </w:rPr>
        <w:t>start-up</w:t>
      </w:r>
      <w:proofErr w:type="gramEnd"/>
      <w:r w:rsidRPr="00EB59BF">
        <w:rPr>
          <w:color w:val="auto"/>
        </w:rPr>
        <w:t xml:space="preserve"> funding or loans – and managing repayments</w:t>
      </w:r>
      <w:r w:rsidR="006D53BA">
        <w:rPr>
          <w:color w:val="auto"/>
        </w:rPr>
        <w:t>.</w:t>
      </w:r>
    </w:p>
    <w:p w:rsidR="00E4528A" w:rsidRPr="00EB59BF" w:rsidRDefault="003E3921" w:rsidP="00EC0606">
      <w:pPr>
        <w:pStyle w:val="Default"/>
        <w:numPr>
          <w:ilvl w:val="1"/>
          <w:numId w:val="39"/>
        </w:numPr>
        <w:tabs>
          <w:tab w:val="clear" w:pos="645"/>
        </w:tabs>
        <w:ind w:left="1276"/>
        <w:outlineLvl w:val="0"/>
        <w:rPr>
          <w:color w:val="auto"/>
        </w:rPr>
      </w:pPr>
      <w:r w:rsidRPr="00EB59BF">
        <w:rPr>
          <w:color w:val="auto"/>
        </w:rPr>
        <w:t xml:space="preserve"> </w:t>
      </w:r>
      <w:r w:rsidR="00E4528A" w:rsidRPr="00EB59BF">
        <w:rPr>
          <w:color w:val="auto"/>
        </w:rPr>
        <w:t>M</w:t>
      </w:r>
      <w:r w:rsidRPr="00EB59BF">
        <w:rPr>
          <w:color w:val="auto"/>
        </w:rPr>
        <w:t>arketing</w:t>
      </w:r>
      <w:r w:rsidR="00E4528A" w:rsidRPr="00EB59BF">
        <w:rPr>
          <w:color w:val="auto"/>
        </w:rPr>
        <w:t>, including:</w:t>
      </w:r>
    </w:p>
    <w:p w:rsidR="003E3921" w:rsidRPr="00EB59BF" w:rsidRDefault="00E4528A" w:rsidP="00EC0606">
      <w:pPr>
        <w:pStyle w:val="Default"/>
        <w:numPr>
          <w:ilvl w:val="1"/>
          <w:numId w:val="41"/>
        </w:numPr>
        <w:tabs>
          <w:tab w:val="clear" w:pos="645"/>
        </w:tabs>
        <w:ind w:left="2268" w:hanging="425"/>
        <w:outlineLvl w:val="0"/>
        <w:rPr>
          <w:color w:val="auto"/>
        </w:rPr>
      </w:pPr>
      <w:r w:rsidRPr="00EB59BF">
        <w:rPr>
          <w:color w:val="auto"/>
        </w:rPr>
        <w:t>developing an online presence including social media;</w:t>
      </w:r>
    </w:p>
    <w:p w:rsidR="00E4528A" w:rsidRPr="00EB59BF" w:rsidRDefault="00E4528A" w:rsidP="00EC0606">
      <w:pPr>
        <w:pStyle w:val="Default"/>
        <w:numPr>
          <w:ilvl w:val="1"/>
          <w:numId w:val="41"/>
        </w:numPr>
        <w:tabs>
          <w:tab w:val="clear" w:pos="645"/>
        </w:tabs>
        <w:ind w:left="2268" w:hanging="425"/>
        <w:outlineLvl w:val="0"/>
        <w:rPr>
          <w:color w:val="auto"/>
        </w:rPr>
      </w:pPr>
      <w:r w:rsidRPr="00EB59BF">
        <w:rPr>
          <w:color w:val="auto"/>
        </w:rPr>
        <w:t>use of local media;</w:t>
      </w:r>
      <w:r w:rsidR="006D53BA">
        <w:rPr>
          <w:color w:val="auto"/>
        </w:rPr>
        <w:t xml:space="preserve"> and</w:t>
      </w:r>
    </w:p>
    <w:p w:rsidR="00E4528A" w:rsidRPr="00EB59BF" w:rsidRDefault="00DE538E" w:rsidP="00EC0606">
      <w:pPr>
        <w:pStyle w:val="Default"/>
        <w:numPr>
          <w:ilvl w:val="1"/>
          <w:numId w:val="41"/>
        </w:numPr>
        <w:tabs>
          <w:tab w:val="clear" w:pos="645"/>
        </w:tabs>
        <w:spacing w:after="240"/>
        <w:ind w:left="2268" w:hanging="425"/>
        <w:outlineLvl w:val="0"/>
        <w:rPr>
          <w:color w:val="auto"/>
        </w:rPr>
      </w:pPr>
      <w:r w:rsidRPr="00EB59BF">
        <w:rPr>
          <w:color w:val="auto"/>
        </w:rPr>
        <w:t>Advertising</w:t>
      </w:r>
      <w:r w:rsidR="00E4528A" w:rsidRPr="00EB59BF">
        <w:rPr>
          <w:color w:val="auto"/>
        </w:rPr>
        <w:t>.</w:t>
      </w:r>
    </w:p>
    <w:p w:rsidR="00E4528A" w:rsidRPr="00EB59BF" w:rsidRDefault="00E4528A" w:rsidP="00EC0606">
      <w:pPr>
        <w:pStyle w:val="Default"/>
        <w:numPr>
          <w:ilvl w:val="1"/>
          <w:numId w:val="11"/>
        </w:numPr>
        <w:tabs>
          <w:tab w:val="clear" w:pos="645"/>
        </w:tabs>
        <w:spacing w:after="240"/>
        <w:ind w:left="709" w:hanging="709"/>
        <w:outlineLvl w:val="0"/>
        <w:rPr>
          <w:color w:val="auto"/>
        </w:rPr>
      </w:pPr>
      <w:r w:rsidRPr="00EB59BF">
        <w:rPr>
          <w:color w:val="auto"/>
        </w:rPr>
        <w:t>We expect</w:t>
      </w:r>
      <w:r w:rsidR="00463185" w:rsidRPr="00EB59BF">
        <w:rPr>
          <w:color w:val="auto"/>
        </w:rPr>
        <w:t xml:space="preserve"> each of these </w:t>
      </w:r>
      <w:r w:rsidR="004C6408" w:rsidRPr="00EB59BF">
        <w:rPr>
          <w:color w:val="auto"/>
        </w:rPr>
        <w:t>seminars to be at least 9</w:t>
      </w:r>
      <w:r w:rsidRPr="00EB59BF">
        <w:rPr>
          <w:color w:val="auto"/>
        </w:rPr>
        <w:t>0 minutes</w:t>
      </w:r>
      <w:r w:rsidR="00463185" w:rsidRPr="00EB59BF">
        <w:rPr>
          <w:color w:val="auto"/>
        </w:rPr>
        <w:t xml:space="preserve">, </w:t>
      </w:r>
      <w:r w:rsidRPr="00EB59BF">
        <w:rPr>
          <w:color w:val="auto"/>
        </w:rPr>
        <w:t>and for them to supplement, not replace, the</w:t>
      </w:r>
      <w:r w:rsidR="00B72E11" w:rsidRPr="00EB59BF">
        <w:rPr>
          <w:color w:val="auto"/>
        </w:rPr>
        <w:t xml:space="preserve"> mentoring support delivered.  </w:t>
      </w:r>
      <w:r w:rsidR="00463185" w:rsidRPr="00EB59BF">
        <w:rPr>
          <w:color w:val="auto"/>
        </w:rPr>
        <w:t xml:space="preserve">DWP’s expectation is that </w:t>
      </w:r>
      <w:r w:rsidR="00B72E11" w:rsidRPr="00EB59BF">
        <w:rPr>
          <w:color w:val="auto"/>
        </w:rPr>
        <w:t xml:space="preserve">ALL participants </w:t>
      </w:r>
      <w:r w:rsidR="00463185" w:rsidRPr="00EB59BF">
        <w:rPr>
          <w:color w:val="auto"/>
        </w:rPr>
        <w:t xml:space="preserve">will be offered a place on these seminars with the Provider responsible for ensuring a high level of </w:t>
      </w:r>
      <w:r w:rsidR="00B72E11" w:rsidRPr="00EB59BF">
        <w:rPr>
          <w:color w:val="auto"/>
        </w:rPr>
        <w:t>attend</w:t>
      </w:r>
      <w:r w:rsidR="00463185" w:rsidRPr="00EB59BF">
        <w:rPr>
          <w:color w:val="auto"/>
        </w:rPr>
        <w:t xml:space="preserve">ance such that only in </w:t>
      </w:r>
      <w:r w:rsidR="008E0A40" w:rsidRPr="00EB59BF">
        <w:rPr>
          <w:color w:val="auto"/>
        </w:rPr>
        <w:t xml:space="preserve">exceptional </w:t>
      </w:r>
      <w:r w:rsidR="00463185" w:rsidRPr="00EB59BF">
        <w:rPr>
          <w:color w:val="auto"/>
        </w:rPr>
        <w:t xml:space="preserve">and documented </w:t>
      </w:r>
      <w:r w:rsidR="008E0A40" w:rsidRPr="00EB59BF">
        <w:rPr>
          <w:color w:val="auto"/>
        </w:rPr>
        <w:t>circumstances participants could be allowed to opt-out – for example, an accountant need not take part in the financial planning seminar</w:t>
      </w:r>
      <w:r w:rsidRPr="00EB59BF">
        <w:rPr>
          <w:color w:val="auto"/>
        </w:rPr>
        <w:t>.</w:t>
      </w:r>
      <w:r w:rsidR="008E0A40" w:rsidRPr="00EB59BF">
        <w:rPr>
          <w:color w:val="auto"/>
        </w:rPr>
        <w:t xml:space="preserve">  </w:t>
      </w:r>
    </w:p>
    <w:p w:rsidR="00B55201" w:rsidRPr="00EB59BF" w:rsidRDefault="003E3921" w:rsidP="000C5291">
      <w:pPr>
        <w:pStyle w:val="Default"/>
        <w:numPr>
          <w:ilvl w:val="1"/>
          <w:numId w:val="11"/>
        </w:numPr>
        <w:spacing w:after="240"/>
        <w:ind w:hanging="645"/>
        <w:outlineLvl w:val="0"/>
        <w:rPr>
          <w:color w:val="auto"/>
        </w:rPr>
      </w:pPr>
      <w:r w:rsidRPr="00EB59BF">
        <w:rPr>
          <w:color w:val="auto"/>
        </w:rPr>
        <w:t xml:space="preserve">Within a maximum of 12 weeks from the participant’s </w:t>
      </w:r>
      <w:r w:rsidR="00DE538E">
        <w:rPr>
          <w:color w:val="auto"/>
        </w:rPr>
        <w:t>S</w:t>
      </w:r>
      <w:r w:rsidRPr="00EB59BF">
        <w:rPr>
          <w:color w:val="auto"/>
        </w:rPr>
        <w:t xml:space="preserve">tart </w:t>
      </w:r>
      <w:r w:rsidR="00DE538E">
        <w:rPr>
          <w:color w:val="auto"/>
        </w:rPr>
        <w:t>D</w:t>
      </w:r>
      <w:r w:rsidRPr="00EB59BF">
        <w:rPr>
          <w:color w:val="auto"/>
        </w:rPr>
        <w:t>ate, the</w:t>
      </w:r>
      <w:r w:rsidR="008E0A40" w:rsidRPr="00EB59BF">
        <w:rPr>
          <w:color w:val="auto"/>
        </w:rPr>
        <w:t xml:space="preserve"> participant must submit their business plan for the</w:t>
      </w:r>
      <w:r w:rsidRPr="00EB59BF">
        <w:rPr>
          <w:color w:val="auto"/>
        </w:rPr>
        <w:t xml:space="preserve"> Provider </w:t>
      </w:r>
      <w:r w:rsidR="008E0A40" w:rsidRPr="00EB59BF">
        <w:rPr>
          <w:color w:val="auto"/>
        </w:rPr>
        <w:t>to assess</w:t>
      </w:r>
      <w:r w:rsidR="00ED2CFF">
        <w:rPr>
          <w:color w:val="auto"/>
        </w:rPr>
        <w:t xml:space="preserve"> and approve or not approve</w:t>
      </w:r>
      <w:r w:rsidR="008E0A40" w:rsidRPr="00EB59BF">
        <w:rPr>
          <w:color w:val="auto"/>
        </w:rPr>
        <w:t>.  The Provider must</w:t>
      </w:r>
      <w:r w:rsidRPr="00EB59BF">
        <w:rPr>
          <w:color w:val="auto"/>
        </w:rPr>
        <w:t xml:space="preserve"> consider whether </w:t>
      </w:r>
      <w:r w:rsidR="008E0A40" w:rsidRPr="00EB59BF">
        <w:rPr>
          <w:color w:val="auto"/>
        </w:rPr>
        <w:t xml:space="preserve">the business plan meets at least the minimum requirements outlined at paragraph </w:t>
      </w:r>
      <w:r w:rsidR="006F355D" w:rsidRPr="00EB59BF">
        <w:rPr>
          <w:color w:val="auto"/>
        </w:rPr>
        <w:t>2.6</w:t>
      </w:r>
      <w:r w:rsidR="006D53BA">
        <w:rPr>
          <w:color w:val="auto"/>
        </w:rPr>
        <w:t>0</w:t>
      </w:r>
      <w:r w:rsidR="008E0A40" w:rsidRPr="00EB59BF">
        <w:rPr>
          <w:color w:val="auto"/>
        </w:rPr>
        <w:t>, and is</w:t>
      </w:r>
      <w:r w:rsidRPr="00EB59BF">
        <w:rPr>
          <w:color w:val="auto"/>
        </w:rPr>
        <w:t xml:space="preserve"> at a suitable standard for the Participant to move into self-employment.</w:t>
      </w:r>
      <w:r w:rsidR="00981EB1" w:rsidRPr="00EB59BF">
        <w:rPr>
          <w:color w:val="auto"/>
        </w:rPr>
        <w:t xml:space="preserve"> </w:t>
      </w:r>
    </w:p>
    <w:p w:rsidR="00C11830" w:rsidRPr="00EB59BF" w:rsidRDefault="00C11830" w:rsidP="00596F5F">
      <w:pPr>
        <w:pStyle w:val="Default"/>
        <w:numPr>
          <w:ilvl w:val="1"/>
          <w:numId w:val="11"/>
        </w:numPr>
        <w:tabs>
          <w:tab w:val="clear" w:pos="645"/>
        </w:tabs>
        <w:spacing w:after="240"/>
        <w:ind w:left="709" w:hanging="709"/>
        <w:outlineLvl w:val="0"/>
        <w:rPr>
          <w:color w:val="auto"/>
        </w:rPr>
      </w:pPr>
      <w:r w:rsidRPr="00EB59BF">
        <w:rPr>
          <w:color w:val="auto"/>
        </w:rPr>
        <w:lastRenderedPageBreak/>
        <w:t xml:space="preserve">All participants </w:t>
      </w:r>
      <w:r w:rsidRPr="00EB59BF">
        <w:rPr>
          <w:b/>
          <w:color w:val="auto"/>
        </w:rPr>
        <w:t>must</w:t>
      </w:r>
      <w:r w:rsidRPr="00EB59BF">
        <w:rPr>
          <w:color w:val="auto"/>
        </w:rPr>
        <w:t xml:space="preserve"> complete the mentoring phase and submit their business plan for assessment in no longer than 12 weeks</w:t>
      </w:r>
      <w:r w:rsidR="00DE538E">
        <w:rPr>
          <w:color w:val="auto"/>
        </w:rPr>
        <w:t xml:space="preserve"> from the Start Date</w:t>
      </w:r>
      <w:r w:rsidRPr="00EB59BF">
        <w:rPr>
          <w:color w:val="auto"/>
        </w:rPr>
        <w:t xml:space="preserve">.  </w:t>
      </w:r>
      <w:r w:rsidRPr="00EB59BF">
        <w:rPr>
          <w:b/>
          <w:color w:val="auto"/>
        </w:rPr>
        <w:t>There will be no scope for the mentoring phase to be extended beyond this time.</w:t>
      </w:r>
    </w:p>
    <w:p w:rsidR="00320080" w:rsidRPr="00EB59BF" w:rsidRDefault="00320080" w:rsidP="00320080">
      <w:pPr>
        <w:pStyle w:val="Default"/>
        <w:spacing w:after="240"/>
        <w:outlineLvl w:val="0"/>
        <w:rPr>
          <w:color w:val="auto"/>
        </w:rPr>
      </w:pPr>
      <w:r w:rsidRPr="00EB59BF">
        <w:rPr>
          <w:b/>
          <w:color w:val="auto"/>
        </w:rPr>
        <w:t>Business Plan Assessment</w:t>
      </w:r>
    </w:p>
    <w:p w:rsidR="00320080" w:rsidRPr="00EB59BF" w:rsidRDefault="00320080" w:rsidP="00EC0606">
      <w:pPr>
        <w:pStyle w:val="Default"/>
        <w:numPr>
          <w:ilvl w:val="1"/>
          <w:numId w:val="11"/>
        </w:numPr>
        <w:spacing w:after="240"/>
        <w:ind w:hanging="645"/>
        <w:outlineLvl w:val="0"/>
        <w:rPr>
          <w:color w:val="auto"/>
        </w:rPr>
      </w:pPr>
      <w:r w:rsidRPr="00EB59BF">
        <w:rPr>
          <w:color w:val="auto"/>
        </w:rPr>
        <w:t>Provider</w:t>
      </w:r>
      <w:r w:rsidR="00083096">
        <w:rPr>
          <w:color w:val="auto"/>
        </w:rPr>
        <w:t>s</w:t>
      </w:r>
      <w:r w:rsidRPr="00EB59BF">
        <w:rPr>
          <w:color w:val="auto"/>
        </w:rPr>
        <w:t xml:space="preserve"> </w:t>
      </w:r>
      <w:r w:rsidR="00B467C9">
        <w:rPr>
          <w:color w:val="auto"/>
        </w:rPr>
        <w:t xml:space="preserve">are required </w:t>
      </w:r>
      <w:r w:rsidRPr="00EB59BF">
        <w:rPr>
          <w:color w:val="auto"/>
        </w:rPr>
        <w:t>to administer an approval process for Participants business plans</w:t>
      </w:r>
      <w:r w:rsidR="00083096">
        <w:rPr>
          <w:color w:val="auto"/>
        </w:rPr>
        <w:t xml:space="preserve"> which includes notifying the Participant of the assessment outcome</w:t>
      </w:r>
      <w:r w:rsidRPr="00EB59BF">
        <w:rPr>
          <w:color w:val="auto"/>
        </w:rPr>
        <w:t xml:space="preserve">.  Participants can submit their business plan for consideration on more than </w:t>
      </w:r>
      <w:r w:rsidR="00596F5F">
        <w:rPr>
          <w:color w:val="auto"/>
        </w:rPr>
        <w:t xml:space="preserve">one </w:t>
      </w:r>
      <w:r w:rsidRPr="00EB59BF">
        <w:rPr>
          <w:color w:val="auto"/>
        </w:rPr>
        <w:t>occasion, where it is initially declined, at the Provider’s discretion.  However, all business plans must be submitted</w:t>
      </w:r>
      <w:r w:rsidR="00596F5F">
        <w:rPr>
          <w:color w:val="auto"/>
        </w:rPr>
        <w:t xml:space="preserve">, </w:t>
      </w:r>
      <w:r w:rsidR="00981EB1" w:rsidRPr="00EB59BF">
        <w:rPr>
          <w:color w:val="auto"/>
        </w:rPr>
        <w:t xml:space="preserve">assessed </w:t>
      </w:r>
      <w:r w:rsidR="00596F5F">
        <w:rPr>
          <w:color w:val="auto"/>
        </w:rPr>
        <w:t xml:space="preserve">and approved or not approved, </w:t>
      </w:r>
      <w:r w:rsidRPr="00EB59BF">
        <w:rPr>
          <w:color w:val="auto"/>
        </w:rPr>
        <w:t>no later than 12 weeks from the Start Date</w:t>
      </w:r>
      <w:r w:rsidRPr="005C563F">
        <w:rPr>
          <w:b/>
          <w:color w:val="auto"/>
        </w:rPr>
        <w:t>.  Considerations when deciding whether a re-submission should be approved will</w:t>
      </w:r>
      <w:r w:rsidRPr="00EB59BF">
        <w:rPr>
          <w:color w:val="auto"/>
        </w:rPr>
        <w:t xml:space="preserve"> include, but are not limited to;</w:t>
      </w:r>
    </w:p>
    <w:p w:rsidR="008B5AD3" w:rsidRDefault="00320080" w:rsidP="00EC0606">
      <w:pPr>
        <w:pStyle w:val="Default"/>
        <w:numPr>
          <w:ilvl w:val="0"/>
          <w:numId w:val="60"/>
        </w:numPr>
        <w:spacing w:after="240"/>
        <w:outlineLvl w:val="0"/>
        <w:rPr>
          <w:color w:val="auto"/>
        </w:rPr>
      </w:pPr>
      <w:r w:rsidRPr="00EB59BF">
        <w:rPr>
          <w:color w:val="auto"/>
        </w:rPr>
        <w:t>the proportion of the 12-week Period that has passed</w:t>
      </w:r>
      <w:r w:rsidR="008B5AD3">
        <w:rPr>
          <w:color w:val="auto"/>
        </w:rPr>
        <w:t xml:space="preserve"> and;</w:t>
      </w:r>
    </w:p>
    <w:p w:rsidR="00033E57" w:rsidRPr="00EB59BF" w:rsidRDefault="00320080" w:rsidP="00EC0606">
      <w:pPr>
        <w:pStyle w:val="Default"/>
        <w:numPr>
          <w:ilvl w:val="0"/>
          <w:numId w:val="60"/>
        </w:numPr>
        <w:spacing w:after="240"/>
        <w:outlineLvl w:val="0"/>
        <w:rPr>
          <w:color w:val="auto"/>
        </w:rPr>
      </w:pPr>
      <w:proofErr w:type="gramStart"/>
      <w:r w:rsidRPr="00EB59BF">
        <w:rPr>
          <w:color w:val="auto"/>
        </w:rPr>
        <w:t>the</w:t>
      </w:r>
      <w:proofErr w:type="gramEnd"/>
      <w:r w:rsidRPr="00EB59BF">
        <w:rPr>
          <w:color w:val="auto"/>
        </w:rPr>
        <w:t xml:space="preserve"> likelihood that the business plan can be raised to the acceptable standard in the time remainin</w:t>
      </w:r>
      <w:r w:rsidR="00CC119A" w:rsidRPr="00EB59BF">
        <w:rPr>
          <w:color w:val="auto"/>
        </w:rPr>
        <w:t>g.</w:t>
      </w:r>
    </w:p>
    <w:p w:rsidR="00CC119A" w:rsidRPr="00EB59BF" w:rsidRDefault="00CC119A" w:rsidP="00CC119A">
      <w:pPr>
        <w:pStyle w:val="Default"/>
        <w:spacing w:after="240"/>
        <w:ind w:left="1005"/>
        <w:outlineLvl w:val="0"/>
        <w:rPr>
          <w:color w:val="auto"/>
        </w:rPr>
      </w:pPr>
    </w:p>
    <w:p w:rsidR="00A51CD4" w:rsidRPr="00EB59BF" w:rsidRDefault="00CC119A" w:rsidP="00EC0606">
      <w:pPr>
        <w:pStyle w:val="ListParagraph"/>
        <w:numPr>
          <w:ilvl w:val="1"/>
          <w:numId w:val="11"/>
        </w:numPr>
        <w:spacing w:after="240"/>
        <w:ind w:hanging="645"/>
        <w:rPr>
          <w:rFonts w:cs="Arial"/>
          <w:lang w:eastAsia="en-GB"/>
        </w:rPr>
      </w:pPr>
      <w:r w:rsidRPr="00EB59BF">
        <w:rPr>
          <w:rFonts w:cs="Arial"/>
          <w:lang w:eastAsia="en-GB"/>
        </w:rPr>
        <w:t xml:space="preserve">The Provider needs to have a clear approval process for the business plan.  During this approval process the Participant will need to demonstrate that their business plan is viable and that the business </w:t>
      </w:r>
      <w:r w:rsidR="00401FA7">
        <w:rPr>
          <w:rFonts w:cs="Arial"/>
          <w:lang w:eastAsia="en-GB"/>
        </w:rPr>
        <w:t>i</w:t>
      </w:r>
      <w:r w:rsidRPr="00EB59BF">
        <w:rPr>
          <w:rFonts w:cs="Arial"/>
          <w:lang w:eastAsia="en-GB"/>
        </w:rPr>
        <w:t xml:space="preserve">s </w:t>
      </w:r>
      <w:proofErr w:type="gramStart"/>
      <w:r w:rsidRPr="00EB59BF">
        <w:rPr>
          <w:rFonts w:cs="Arial"/>
          <w:lang w:eastAsia="en-GB"/>
        </w:rPr>
        <w:t>sustainab</w:t>
      </w:r>
      <w:r w:rsidR="00401FA7">
        <w:rPr>
          <w:rFonts w:cs="Arial"/>
          <w:lang w:eastAsia="en-GB"/>
        </w:rPr>
        <w:t xml:space="preserve">le </w:t>
      </w:r>
      <w:r w:rsidRPr="00EB59BF">
        <w:rPr>
          <w:rFonts w:cs="Arial"/>
          <w:lang w:eastAsia="en-GB"/>
        </w:rPr>
        <w:t>.</w:t>
      </w:r>
      <w:proofErr w:type="gramEnd"/>
      <w:r w:rsidRPr="00EB59BF">
        <w:rPr>
          <w:rFonts w:cs="Arial"/>
          <w:lang w:eastAsia="en-GB"/>
        </w:rPr>
        <w:t xml:space="preserve">   </w:t>
      </w:r>
    </w:p>
    <w:p w:rsidR="00CC119A" w:rsidRPr="00EB59BF" w:rsidRDefault="00CC119A" w:rsidP="00EC0606">
      <w:pPr>
        <w:pStyle w:val="ListParagraph"/>
        <w:numPr>
          <w:ilvl w:val="1"/>
          <w:numId w:val="11"/>
        </w:numPr>
        <w:spacing w:after="240"/>
        <w:ind w:hanging="645"/>
        <w:rPr>
          <w:rFonts w:cs="Arial"/>
          <w:lang w:eastAsia="en-GB"/>
        </w:rPr>
      </w:pPr>
      <w:r w:rsidRPr="00EB59BF">
        <w:rPr>
          <w:rFonts w:cs="Arial"/>
          <w:lang w:eastAsia="en-GB"/>
        </w:rPr>
        <w:t>The mentors who have supported the development of the Business Plan can make a recommendation on whether or not it is robust enough to be approved, but the final assessment must be carried out by someone who has NOT been directly involved with the participant.</w:t>
      </w:r>
    </w:p>
    <w:p w:rsidR="00B72E11" w:rsidRPr="00EB59BF" w:rsidRDefault="00981EB1" w:rsidP="00981EB1">
      <w:pPr>
        <w:pStyle w:val="Default"/>
        <w:spacing w:after="240"/>
        <w:ind w:left="465" w:hanging="465"/>
        <w:outlineLvl w:val="0"/>
        <w:rPr>
          <w:color w:val="auto"/>
        </w:rPr>
      </w:pPr>
      <w:r w:rsidRPr="00EB59BF">
        <w:rPr>
          <w:b/>
          <w:color w:val="auto"/>
        </w:rPr>
        <w:t>Business D</w:t>
      </w:r>
      <w:r w:rsidR="00B72E11" w:rsidRPr="00EB59BF">
        <w:rPr>
          <w:b/>
          <w:color w:val="auto"/>
        </w:rPr>
        <w:t xml:space="preserve">evelopment </w:t>
      </w:r>
      <w:r w:rsidRPr="00EB59BF">
        <w:rPr>
          <w:b/>
          <w:color w:val="auto"/>
        </w:rPr>
        <w:t>P</w:t>
      </w:r>
      <w:r w:rsidR="00B72E11" w:rsidRPr="00EB59BF">
        <w:rPr>
          <w:b/>
          <w:color w:val="auto"/>
        </w:rPr>
        <w:t>hase</w:t>
      </w:r>
    </w:p>
    <w:p w:rsidR="008E0A40" w:rsidRPr="00EB59BF" w:rsidRDefault="00DE538E" w:rsidP="00EC0606">
      <w:pPr>
        <w:pStyle w:val="ListParagraph"/>
        <w:numPr>
          <w:ilvl w:val="1"/>
          <w:numId w:val="11"/>
        </w:numPr>
        <w:tabs>
          <w:tab w:val="clear" w:pos="645"/>
        </w:tabs>
        <w:spacing w:after="240"/>
        <w:ind w:left="709" w:hanging="709"/>
        <w:rPr>
          <w:rFonts w:cs="Arial"/>
          <w:lang w:eastAsia="en-GB"/>
        </w:rPr>
      </w:pPr>
      <w:r>
        <w:rPr>
          <w:rFonts w:cs="Arial"/>
          <w:lang w:eastAsia="en-GB"/>
        </w:rPr>
        <w:t>P</w:t>
      </w:r>
      <w:r w:rsidR="008E0A40" w:rsidRPr="00EB59BF">
        <w:rPr>
          <w:rFonts w:cs="Arial"/>
          <w:lang w:eastAsia="en-GB"/>
        </w:rPr>
        <w:t xml:space="preserve">articipants whose business plan has been approved but who are not yet ready to commence trading can choose to </w:t>
      </w:r>
      <w:r>
        <w:rPr>
          <w:rFonts w:cs="Arial"/>
          <w:lang w:eastAsia="en-GB"/>
        </w:rPr>
        <w:t>use</w:t>
      </w:r>
      <w:r w:rsidR="008E0A40" w:rsidRPr="00EB59BF">
        <w:rPr>
          <w:rFonts w:cs="Arial"/>
          <w:lang w:eastAsia="en-GB"/>
        </w:rPr>
        <w:t xml:space="preserve"> the Business Development Phase</w:t>
      </w:r>
      <w:r>
        <w:rPr>
          <w:rFonts w:cs="Arial"/>
          <w:lang w:eastAsia="en-GB"/>
        </w:rPr>
        <w:t xml:space="preserve"> to further prepare for business before commencing trading</w:t>
      </w:r>
      <w:r w:rsidR="008E0A40" w:rsidRPr="00EB59BF">
        <w:rPr>
          <w:rFonts w:cs="Arial"/>
          <w:lang w:eastAsia="en-GB"/>
        </w:rPr>
        <w:t>.</w:t>
      </w:r>
    </w:p>
    <w:p w:rsidR="008E0A40" w:rsidRPr="00EB59BF" w:rsidRDefault="008E0A40" w:rsidP="00EC0606">
      <w:pPr>
        <w:pStyle w:val="ListParagraph"/>
        <w:numPr>
          <w:ilvl w:val="1"/>
          <w:numId w:val="11"/>
        </w:numPr>
        <w:tabs>
          <w:tab w:val="clear" w:pos="645"/>
        </w:tabs>
        <w:spacing w:after="240"/>
        <w:ind w:left="709" w:hanging="709"/>
        <w:rPr>
          <w:rFonts w:cs="Arial"/>
          <w:lang w:eastAsia="en-GB"/>
        </w:rPr>
      </w:pPr>
      <w:r w:rsidRPr="00EB59BF">
        <w:rPr>
          <w:rFonts w:cs="Arial"/>
          <w:lang w:eastAsia="en-GB"/>
        </w:rPr>
        <w:t>The Business Development phase allows participants to further develop their business by, for example, undertaking additional market testing or applying for capital support such as a start-up loan. The Business Development Phase</w:t>
      </w:r>
      <w:r w:rsidR="00467F06" w:rsidRPr="00EB59BF">
        <w:rPr>
          <w:rFonts w:cs="Arial"/>
          <w:lang w:eastAsia="en-GB"/>
        </w:rPr>
        <w:t xml:space="preserve"> lasts for up to</w:t>
      </w:r>
      <w:r w:rsidR="00DE538E">
        <w:rPr>
          <w:rFonts w:cs="Arial"/>
          <w:lang w:eastAsia="en-GB"/>
        </w:rPr>
        <w:t>, but no longer than,</w:t>
      </w:r>
      <w:r w:rsidR="00467F06" w:rsidRPr="00EB59BF">
        <w:rPr>
          <w:rFonts w:cs="Arial"/>
          <w:lang w:eastAsia="en-GB"/>
        </w:rPr>
        <w:t xml:space="preserve"> 13 weeks after the Business Plan has been approved.</w:t>
      </w:r>
    </w:p>
    <w:p w:rsidR="00B72E11" w:rsidRPr="00EB59BF" w:rsidRDefault="00B72E11" w:rsidP="00EC0606">
      <w:pPr>
        <w:pStyle w:val="ListParagraph"/>
        <w:numPr>
          <w:ilvl w:val="1"/>
          <w:numId w:val="11"/>
        </w:numPr>
        <w:tabs>
          <w:tab w:val="clear" w:pos="645"/>
        </w:tabs>
        <w:spacing w:after="240"/>
        <w:ind w:left="709" w:hanging="709"/>
        <w:rPr>
          <w:rFonts w:cs="Arial"/>
          <w:lang w:eastAsia="en-GB"/>
        </w:rPr>
      </w:pPr>
      <w:r w:rsidRPr="00EB59BF">
        <w:rPr>
          <w:bCs/>
          <w:szCs w:val="28"/>
        </w:rPr>
        <w:t>This phase is optional for participants, and not all will use it.  For those that do, we expect providers to offer at least one point of contact with a mentor/business adviser.  During this period they will be subject to the normal conditionality of their benefit receipt.</w:t>
      </w:r>
    </w:p>
    <w:p w:rsidR="000C7EE1" w:rsidRPr="00EB59BF" w:rsidRDefault="000C7EE1" w:rsidP="00EC0606">
      <w:pPr>
        <w:pStyle w:val="ListParagraph"/>
        <w:numPr>
          <w:ilvl w:val="1"/>
          <w:numId w:val="11"/>
        </w:numPr>
        <w:tabs>
          <w:tab w:val="clear" w:pos="645"/>
        </w:tabs>
        <w:spacing w:after="240"/>
        <w:ind w:left="709" w:hanging="709"/>
        <w:rPr>
          <w:rFonts w:cs="Arial"/>
          <w:lang w:eastAsia="en-GB"/>
        </w:rPr>
      </w:pPr>
      <w:r w:rsidRPr="00EB59BF">
        <w:rPr>
          <w:bCs/>
          <w:szCs w:val="28"/>
        </w:rPr>
        <w:t>As this phase is optional for participants, there will be no associated payment point.</w:t>
      </w:r>
    </w:p>
    <w:p w:rsidR="000C35B6" w:rsidRPr="00EB59BF" w:rsidRDefault="000C35B6" w:rsidP="00B55201">
      <w:pPr>
        <w:pStyle w:val="Default"/>
        <w:spacing w:after="240"/>
        <w:outlineLvl w:val="0"/>
        <w:rPr>
          <w:b/>
          <w:color w:val="auto"/>
        </w:rPr>
      </w:pPr>
      <w:r w:rsidRPr="00EB59BF">
        <w:rPr>
          <w:b/>
          <w:color w:val="auto"/>
        </w:rPr>
        <w:t>Post</w:t>
      </w:r>
      <w:r w:rsidR="005C563F">
        <w:rPr>
          <w:b/>
          <w:color w:val="auto"/>
        </w:rPr>
        <w:t xml:space="preserve"> commencement of </w:t>
      </w:r>
      <w:r w:rsidRPr="00EB59BF">
        <w:rPr>
          <w:b/>
          <w:color w:val="auto"/>
        </w:rPr>
        <w:t>trading support</w:t>
      </w:r>
    </w:p>
    <w:p w:rsidR="007366AA" w:rsidRPr="00EB59BF" w:rsidRDefault="00A42CD9" w:rsidP="00EC0606">
      <w:pPr>
        <w:pStyle w:val="ListParagraph"/>
        <w:numPr>
          <w:ilvl w:val="1"/>
          <w:numId w:val="11"/>
        </w:numPr>
        <w:tabs>
          <w:tab w:val="clear" w:pos="645"/>
        </w:tabs>
        <w:spacing w:after="240"/>
        <w:ind w:left="709" w:hanging="709"/>
        <w:rPr>
          <w:rFonts w:cs="Arial"/>
          <w:lang w:eastAsia="en-GB"/>
        </w:rPr>
      </w:pPr>
      <w:r w:rsidRPr="00EB59BF">
        <w:rPr>
          <w:rFonts w:cs="Arial"/>
          <w:lang w:eastAsia="en-GB"/>
        </w:rPr>
        <w:lastRenderedPageBreak/>
        <w:t>Support needs to be available to all</w:t>
      </w:r>
      <w:r w:rsidR="007366AA" w:rsidRPr="00EB59BF">
        <w:rPr>
          <w:rFonts w:cs="Arial"/>
          <w:lang w:eastAsia="en-GB"/>
        </w:rPr>
        <w:t xml:space="preserve"> Participants who successfully submit their business plan and start trading</w:t>
      </w:r>
      <w:r w:rsidRPr="00EB59BF">
        <w:rPr>
          <w:rFonts w:cs="Arial"/>
          <w:lang w:eastAsia="en-GB"/>
        </w:rPr>
        <w:t xml:space="preserve">. </w:t>
      </w:r>
      <w:r w:rsidR="007366AA" w:rsidRPr="00EB59BF">
        <w:rPr>
          <w:rFonts w:cs="Arial"/>
          <w:lang w:eastAsia="en-GB"/>
        </w:rPr>
        <w:t>Providers must offer access to Mentoring support</w:t>
      </w:r>
      <w:r w:rsidRPr="00EB59BF">
        <w:rPr>
          <w:rFonts w:cs="Arial"/>
          <w:lang w:eastAsia="en-GB"/>
        </w:rPr>
        <w:t xml:space="preserve"> at appropriate intervals, tailored to individual needs,</w:t>
      </w:r>
      <w:r w:rsidR="007366AA" w:rsidRPr="00EB59BF">
        <w:rPr>
          <w:rFonts w:cs="Arial"/>
          <w:lang w:eastAsia="en-GB"/>
        </w:rPr>
        <w:t xml:space="preserve"> </w:t>
      </w:r>
      <w:r w:rsidR="00432D24" w:rsidRPr="00EB59BF">
        <w:rPr>
          <w:rFonts w:cs="Arial"/>
          <w:lang w:eastAsia="en-GB"/>
        </w:rPr>
        <w:t>over</w:t>
      </w:r>
      <w:r w:rsidR="00F62878" w:rsidRPr="00EB59BF">
        <w:rPr>
          <w:rFonts w:cs="Arial"/>
          <w:lang w:eastAsia="en-GB"/>
        </w:rPr>
        <w:t xml:space="preserve"> 1</w:t>
      </w:r>
      <w:r w:rsidR="007366AA" w:rsidRPr="00EB59BF">
        <w:rPr>
          <w:rFonts w:cs="Arial"/>
          <w:lang w:eastAsia="en-GB"/>
        </w:rPr>
        <w:t>2</w:t>
      </w:r>
      <w:r w:rsidR="00F62878" w:rsidRPr="00EB59BF">
        <w:rPr>
          <w:rFonts w:cs="Arial"/>
          <w:lang w:eastAsia="en-GB"/>
        </w:rPr>
        <w:t xml:space="preserve"> months</w:t>
      </w:r>
      <w:r w:rsidR="007366AA" w:rsidRPr="00EB59BF">
        <w:rPr>
          <w:rFonts w:cs="Arial"/>
          <w:lang w:eastAsia="en-GB"/>
        </w:rPr>
        <w:t xml:space="preserve"> </w:t>
      </w:r>
      <w:r w:rsidR="006339F2">
        <w:rPr>
          <w:rFonts w:cs="Arial"/>
          <w:lang w:eastAsia="en-GB"/>
        </w:rPr>
        <w:t xml:space="preserve">/ 52 weeks </w:t>
      </w:r>
      <w:r w:rsidR="007366AA" w:rsidRPr="00EB59BF">
        <w:rPr>
          <w:rFonts w:cs="Arial"/>
          <w:lang w:eastAsia="en-GB"/>
        </w:rPr>
        <w:t xml:space="preserve">from the commencement of trading. </w:t>
      </w:r>
      <w:r w:rsidR="007366AA" w:rsidRPr="00EB59BF">
        <w:rPr>
          <w:rFonts w:cs="Arial"/>
          <w:b/>
          <w:lang w:eastAsia="en-GB"/>
        </w:rPr>
        <w:t xml:space="preserve">The minimum requirement is for the Provider to offer four </w:t>
      </w:r>
      <w:r w:rsidR="00B63BEC" w:rsidRPr="00EB59BF">
        <w:rPr>
          <w:rFonts w:cs="Arial"/>
          <w:b/>
          <w:lang w:eastAsia="en-GB"/>
        </w:rPr>
        <w:t xml:space="preserve">mentor </w:t>
      </w:r>
      <w:r w:rsidR="007366AA" w:rsidRPr="00EB59BF">
        <w:rPr>
          <w:rFonts w:cs="Arial"/>
          <w:b/>
          <w:lang w:eastAsia="en-GB"/>
        </w:rPr>
        <w:t xml:space="preserve">meetings </w:t>
      </w:r>
      <w:r w:rsidR="000A35CA">
        <w:rPr>
          <w:rFonts w:cs="Arial"/>
          <w:b/>
          <w:lang w:eastAsia="en-GB"/>
        </w:rPr>
        <w:t xml:space="preserve">at </w:t>
      </w:r>
      <w:r w:rsidR="00DE538E">
        <w:rPr>
          <w:rFonts w:cs="Arial"/>
          <w:b/>
          <w:lang w:eastAsia="en-GB"/>
        </w:rPr>
        <w:t xml:space="preserve">appropriate </w:t>
      </w:r>
      <w:r w:rsidR="000A35CA">
        <w:rPr>
          <w:rFonts w:cs="Arial"/>
          <w:b/>
          <w:lang w:eastAsia="en-GB"/>
        </w:rPr>
        <w:t xml:space="preserve">intervals based on the participants needs </w:t>
      </w:r>
      <w:r w:rsidR="00DE538E">
        <w:rPr>
          <w:rFonts w:cs="Arial"/>
          <w:b/>
          <w:lang w:eastAsia="en-GB"/>
        </w:rPr>
        <w:t>over the 12 month</w:t>
      </w:r>
      <w:r w:rsidR="006339F2">
        <w:rPr>
          <w:rFonts w:cs="Arial"/>
          <w:b/>
          <w:lang w:eastAsia="en-GB"/>
        </w:rPr>
        <w:t xml:space="preserve"> / 52 weeks</w:t>
      </w:r>
      <w:r w:rsidR="00DE538E">
        <w:rPr>
          <w:rFonts w:cs="Arial"/>
          <w:b/>
          <w:lang w:eastAsia="en-GB"/>
        </w:rPr>
        <w:t xml:space="preserve"> </w:t>
      </w:r>
      <w:proofErr w:type="gramStart"/>
      <w:r w:rsidR="00DE538E">
        <w:rPr>
          <w:rFonts w:cs="Arial"/>
          <w:b/>
          <w:lang w:eastAsia="en-GB"/>
        </w:rPr>
        <w:t>period</w:t>
      </w:r>
      <w:r w:rsidR="000A35CA">
        <w:rPr>
          <w:rFonts w:cs="Arial"/>
          <w:b/>
          <w:lang w:eastAsia="en-GB"/>
        </w:rPr>
        <w:t xml:space="preserve"> </w:t>
      </w:r>
      <w:r w:rsidR="007366AA" w:rsidRPr="00EB59BF">
        <w:rPr>
          <w:rFonts w:cs="Arial"/>
          <w:b/>
          <w:lang w:eastAsia="en-GB"/>
        </w:rPr>
        <w:t>.</w:t>
      </w:r>
      <w:proofErr w:type="gramEnd"/>
      <w:r w:rsidR="007366AA" w:rsidRPr="00EB59BF">
        <w:rPr>
          <w:rFonts w:cs="Arial"/>
          <w:lang w:eastAsia="en-GB"/>
        </w:rPr>
        <w:t xml:space="preserve"> </w:t>
      </w:r>
    </w:p>
    <w:p w:rsidR="004C6408" w:rsidRPr="005C563F" w:rsidRDefault="004C6408" w:rsidP="004C6408">
      <w:pPr>
        <w:pStyle w:val="Default"/>
        <w:spacing w:after="240"/>
        <w:outlineLvl w:val="0"/>
        <w:rPr>
          <w:b/>
          <w:color w:val="auto"/>
          <w:sz w:val="28"/>
          <w:szCs w:val="28"/>
          <w:u w:val="single"/>
        </w:rPr>
      </w:pPr>
      <w:r w:rsidRPr="005C563F">
        <w:rPr>
          <w:b/>
          <w:color w:val="auto"/>
          <w:sz w:val="28"/>
          <w:szCs w:val="28"/>
          <w:u w:val="single"/>
        </w:rPr>
        <w:t>UC claimants with existing businesses</w:t>
      </w:r>
    </w:p>
    <w:p w:rsidR="004C6408" w:rsidRPr="00EB59BF" w:rsidRDefault="004C6408" w:rsidP="00EC0606">
      <w:pPr>
        <w:pStyle w:val="ListParagraph"/>
        <w:numPr>
          <w:ilvl w:val="1"/>
          <w:numId w:val="11"/>
        </w:numPr>
        <w:tabs>
          <w:tab w:val="clear" w:pos="645"/>
        </w:tabs>
        <w:spacing w:after="240"/>
        <w:ind w:left="709" w:hanging="709"/>
        <w:rPr>
          <w:rFonts w:cs="Arial"/>
          <w:lang w:eastAsia="en-GB"/>
        </w:rPr>
      </w:pPr>
      <w:r w:rsidRPr="00EB59BF">
        <w:rPr>
          <w:rFonts w:cs="Arial"/>
          <w:lang w:eastAsia="en-GB"/>
        </w:rPr>
        <w:t xml:space="preserve">NEA </w:t>
      </w:r>
      <w:r w:rsidR="0045766F" w:rsidRPr="00EB59BF">
        <w:rPr>
          <w:rFonts w:cs="Arial"/>
          <w:lang w:eastAsia="en-GB"/>
        </w:rPr>
        <w:t>Phase 2</w:t>
      </w:r>
      <w:r w:rsidRPr="00EB59BF">
        <w:rPr>
          <w:rFonts w:cs="Arial"/>
          <w:lang w:eastAsia="en-GB"/>
        </w:rPr>
        <w:t xml:space="preserve"> will also be available to UC claimants with existing businesses whose income falls below the Minimum Income Floor (MIF).  The eligibility criteria is:  </w:t>
      </w:r>
    </w:p>
    <w:p w:rsidR="004C6408" w:rsidRPr="00EB59BF" w:rsidRDefault="004C6408" w:rsidP="00EC0606">
      <w:pPr>
        <w:pStyle w:val="ListParagraph"/>
        <w:numPr>
          <w:ilvl w:val="1"/>
          <w:numId w:val="59"/>
        </w:numPr>
        <w:spacing w:after="240"/>
        <w:rPr>
          <w:rFonts w:cs="Arial"/>
          <w:lang w:eastAsia="en-GB"/>
        </w:rPr>
      </w:pPr>
      <w:r w:rsidRPr="00EB59BF">
        <w:rPr>
          <w:rFonts w:cs="Arial"/>
          <w:lang w:eastAsia="en-GB"/>
        </w:rPr>
        <w:t>UC claimants with an existing business</w:t>
      </w:r>
      <w:r w:rsidR="009D009B">
        <w:rPr>
          <w:rFonts w:cs="Arial"/>
          <w:lang w:eastAsia="en-GB"/>
        </w:rPr>
        <w:t xml:space="preserve"> who are deemed to be gainfully </w:t>
      </w:r>
      <w:proofErr w:type="spellStart"/>
      <w:r w:rsidR="009D009B">
        <w:rPr>
          <w:rFonts w:cs="Arial"/>
          <w:lang w:eastAsia="en-GB"/>
        </w:rPr>
        <w:t>self employed</w:t>
      </w:r>
      <w:proofErr w:type="spellEnd"/>
      <w:r w:rsidRPr="00EB59BF">
        <w:rPr>
          <w:rFonts w:cs="Arial"/>
          <w:lang w:eastAsia="en-GB"/>
        </w:rPr>
        <w:t xml:space="preserve">; </w:t>
      </w:r>
      <w:r w:rsidRPr="00EB59BF">
        <w:rPr>
          <w:rFonts w:cs="Arial"/>
          <w:b/>
          <w:lang w:eastAsia="en-GB"/>
        </w:rPr>
        <w:t xml:space="preserve">and </w:t>
      </w:r>
    </w:p>
    <w:p w:rsidR="004C6408" w:rsidRPr="00EB59BF" w:rsidRDefault="004C6408" w:rsidP="00EC0606">
      <w:pPr>
        <w:pStyle w:val="ListParagraph"/>
        <w:numPr>
          <w:ilvl w:val="1"/>
          <w:numId w:val="59"/>
        </w:numPr>
        <w:spacing w:after="240"/>
        <w:rPr>
          <w:rFonts w:cs="Arial"/>
          <w:lang w:eastAsia="en-GB"/>
        </w:rPr>
      </w:pPr>
      <w:proofErr w:type="gramStart"/>
      <w:r w:rsidRPr="00EB59BF">
        <w:rPr>
          <w:rFonts w:cs="Arial"/>
          <w:lang w:eastAsia="en-GB"/>
        </w:rPr>
        <w:t>the</w:t>
      </w:r>
      <w:proofErr w:type="gramEnd"/>
      <w:r w:rsidRPr="00EB59BF">
        <w:rPr>
          <w:rFonts w:cs="Arial"/>
          <w:lang w:eastAsia="en-GB"/>
        </w:rPr>
        <w:t xml:space="preserve"> MIF applies or the UC claimant is at risk of having the MIF applied.  </w:t>
      </w:r>
    </w:p>
    <w:p w:rsidR="004C6408" w:rsidRPr="00EB59BF" w:rsidRDefault="004C6408" w:rsidP="004C6408">
      <w:pPr>
        <w:spacing w:after="240"/>
        <w:ind w:left="180"/>
        <w:outlineLvl w:val="0"/>
        <w:rPr>
          <w:b/>
          <w:i/>
        </w:rPr>
      </w:pPr>
      <w:r w:rsidRPr="00EB59BF">
        <w:rPr>
          <w:rFonts w:cs="Arial"/>
          <w:b/>
          <w:i/>
          <w:lang w:eastAsia="en-GB"/>
        </w:rPr>
        <w:t>NB – if the participant is in the first 12 months</w:t>
      </w:r>
      <w:r w:rsidR="006339F2">
        <w:rPr>
          <w:rFonts w:cs="Arial"/>
          <w:b/>
          <w:i/>
          <w:lang w:eastAsia="en-GB"/>
        </w:rPr>
        <w:t xml:space="preserve"> </w:t>
      </w:r>
      <w:r w:rsidRPr="00EB59BF">
        <w:rPr>
          <w:rFonts w:cs="Arial"/>
          <w:b/>
          <w:i/>
          <w:lang w:eastAsia="en-GB"/>
        </w:rPr>
        <w:t xml:space="preserve">of business </w:t>
      </w:r>
      <w:proofErr w:type="spellStart"/>
      <w:r w:rsidRPr="00EB59BF">
        <w:rPr>
          <w:rFonts w:cs="Arial"/>
          <w:b/>
          <w:i/>
          <w:lang w:eastAsia="en-GB"/>
        </w:rPr>
        <w:t>start up</w:t>
      </w:r>
      <w:proofErr w:type="spellEnd"/>
      <w:r w:rsidRPr="00EB59BF">
        <w:rPr>
          <w:rFonts w:cs="Arial"/>
          <w:b/>
          <w:i/>
          <w:lang w:eastAsia="en-GB"/>
        </w:rPr>
        <w:t xml:space="preserve"> they must have not already </w:t>
      </w:r>
      <w:r w:rsidR="00CC119A" w:rsidRPr="00EB59BF">
        <w:rPr>
          <w:rFonts w:cs="Arial"/>
          <w:b/>
          <w:i/>
          <w:lang w:eastAsia="en-GB"/>
        </w:rPr>
        <w:t>participated in</w:t>
      </w:r>
      <w:r w:rsidRPr="00EB59BF">
        <w:rPr>
          <w:rFonts w:cs="Arial"/>
          <w:b/>
          <w:i/>
          <w:lang w:eastAsia="en-GB"/>
        </w:rPr>
        <w:t xml:space="preserve"> </w:t>
      </w:r>
      <w:r w:rsidR="00CE1735">
        <w:rPr>
          <w:rFonts w:cs="Arial"/>
          <w:b/>
          <w:i/>
          <w:lang w:eastAsia="en-GB"/>
        </w:rPr>
        <w:t xml:space="preserve">any </w:t>
      </w:r>
      <w:r w:rsidRPr="00EB59BF">
        <w:rPr>
          <w:rFonts w:cs="Arial"/>
          <w:b/>
          <w:i/>
          <w:lang w:eastAsia="en-GB"/>
        </w:rPr>
        <w:t>NEA</w:t>
      </w:r>
      <w:r w:rsidR="00CE1735">
        <w:rPr>
          <w:rFonts w:cs="Arial"/>
          <w:b/>
          <w:i/>
          <w:lang w:eastAsia="en-GB"/>
        </w:rPr>
        <w:t xml:space="preserve"> provision (Phase 1 or Phase 2</w:t>
      </w:r>
      <w:proofErr w:type="gramStart"/>
      <w:r w:rsidR="00CE1735">
        <w:rPr>
          <w:rFonts w:cs="Arial"/>
          <w:b/>
          <w:i/>
          <w:lang w:eastAsia="en-GB"/>
        </w:rPr>
        <w:t xml:space="preserve">) </w:t>
      </w:r>
      <w:r w:rsidR="00CC119A" w:rsidRPr="00EB59BF">
        <w:rPr>
          <w:rFonts w:cs="Arial"/>
          <w:b/>
          <w:i/>
          <w:lang w:eastAsia="en-GB"/>
        </w:rPr>
        <w:t xml:space="preserve"> in</w:t>
      </w:r>
      <w:proofErr w:type="gramEnd"/>
      <w:r w:rsidR="00CC119A" w:rsidRPr="00EB59BF">
        <w:rPr>
          <w:rFonts w:cs="Arial"/>
          <w:b/>
          <w:i/>
          <w:lang w:eastAsia="en-GB"/>
        </w:rPr>
        <w:t xml:space="preserve"> those 12 months</w:t>
      </w:r>
      <w:r w:rsidR="006339F2">
        <w:rPr>
          <w:rFonts w:cs="Arial"/>
          <w:b/>
          <w:i/>
          <w:lang w:eastAsia="en-GB"/>
        </w:rPr>
        <w:t xml:space="preserve"> / 52 weeks</w:t>
      </w:r>
      <w:r w:rsidRPr="00EB59BF">
        <w:rPr>
          <w:rFonts w:cs="Arial"/>
          <w:b/>
          <w:i/>
          <w:lang w:eastAsia="en-GB"/>
        </w:rPr>
        <w:t xml:space="preserve">.   </w:t>
      </w:r>
    </w:p>
    <w:p w:rsidR="004C6408" w:rsidRPr="00EB59BF" w:rsidRDefault="004C6408" w:rsidP="004C6408">
      <w:pPr>
        <w:pStyle w:val="Default"/>
        <w:spacing w:after="240"/>
        <w:outlineLvl w:val="0"/>
        <w:rPr>
          <w:b/>
          <w:color w:val="auto"/>
        </w:rPr>
      </w:pPr>
      <w:r w:rsidRPr="00EB59BF">
        <w:rPr>
          <w:b/>
          <w:color w:val="auto"/>
        </w:rPr>
        <w:t>Referrals</w:t>
      </w:r>
    </w:p>
    <w:p w:rsidR="004C6408" w:rsidRPr="00F46FA4" w:rsidRDefault="004C6408" w:rsidP="00EC0606">
      <w:pPr>
        <w:pStyle w:val="ListParagraph"/>
        <w:numPr>
          <w:ilvl w:val="1"/>
          <w:numId w:val="11"/>
        </w:numPr>
        <w:ind w:left="709" w:hanging="709"/>
      </w:pPr>
      <w:r w:rsidRPr="00EB59BF">
        <w:t xml:space="preserve">Eligible and suitable claimants will be referred to the Initial Assessment by Jobcentre Plus.  The provision is voluntary.  </w:t>
      </w:r>
      <w:r w:rsidRPr="00EB59BF">
        <w:rPr>
          <w:rFonts w:cs="Arial"/>
          <w:lang w:eastAsia="en-GB"/>
        </w:rPr>
        <w:t xml:space="preserve">This group will not participate in the </w:t>
      </w:r>
      <w:r w:rsidR="00137652" w:rsidRPr="00EB59BF">
        <w:t xml:space="preserve">Link </w:t>
      </w:r>
      <w:proofErr w:type="gramStart"/>
      <w:r w:rsidR="00137652" w:rsidRPr="00EB59BF">
        <w:t>Up :</w:t>
      </w:r>
      <w:proofErr w:type="gramEnd"/>
      <w:r w:rsidR="00137652" w:rsidRPr="00EB59BF">
        <w:t xml:space="preserve"> Start Up</w:t>
      </w:r>
      <w:r w:rsidRPr="00EB59BF">
        <w:rPr>
          <w:rFonts w:cs="Arial"/>
          <w:lang w:eastAsia="en-GB"/>
        </w:rPr>
        <w:t xml:space="preserve"> Workshops.  </w:t>
      </w:r>
    </w:p>
    <w:p w:rsidR="00F46FA4" w:rsidRPr="00DC5694" w:rsidRDefault="00F46FA4" w:rsidP="00F46FA4">
      <w:pPr>
        <w:pStyle w:val="ListParagraph"/>
        <w:ind w:left="709"/>
      </w:pPr>
    </w:p>
    <w:p w:rsidR="00FE3CF2" w:rsidRPr="00FE3CF2" w:rsidRDefault="00F46FA4" w:rsidP="00F46FA4">
      <w:pPr>
        <w:pStyle w:val="ListParagraph"/>
        <w:numPr>
          <w:ilvl w:val="1"/>
          <w:numId w:val="11"/>
        </w:numPr>
        <w:ind w:hanging="645"/>
      </w:pPr>
      <w:r w:rsidRPr="00F46FA4">
        <w:rPr>
          <w:rFonts w:cs="Arial"/>
          <w:lang w:eastAsia="en-GB"/>
        </w:rPr>
        <w:t xml:space="preserve">Referrals for the UC Existing Self Employed cohort will be dependent on the </w:t>
      </w:r>
      <w:proofErr w:type="spellStart"/>
      <w:r w:rsidRPr="00F46FA4">
        <w:rPr>
          <w:rFonts w:cs="Arial"/>
          <w:lang w:eastAsia="en-GB"/>
        </w:rPr>
        <w:t>on going</w:t>
      </w:r>
      <w:proofErr w:type="spellEnd"/>
      <w:r w:rsidRPr="00F46FA4">
        <w:rPr>
          <w:rFonts w:cs="Arial"/>
          <w:lang w:eastAsia="en-GB"/>
        </w:rPr>
        <w:t xml:space="preserve"> roll out of UC. The Department will continue its successful rollout of five jobcentres a month to June 2017, expanding to 30 jobcentres a month in July 2017. Following a break over the summer the Department will scale up to 55 jobcentres per month between October and December 2017. From February 2018 this will increase to 65 per month, finishing with the final 57 jobcentres in September 2018.</w:t>
      </w:r>
      <w:r w:rsidR="006D53BA">
        <w:rPr>
          <w:rFonts w:cs="Arial"/>
          <w:lang w:eastAsia="en-GB"/>
        </w:rPr>
        <w:t xml:space="preserve"> L</w:t>
      </w:r>
      <w:r w:rsidR="00DC5694" w:rsidRPr="00A317C5">
        <w:rPr>
          <w:rFonts w:cs="Arial"/>
          <w:lang w:eastAsia="en-GB"/>
        </w:rPr>
        <w:t xml:space="preserve">evels for the UC existing </w:t>
      </w:r>
      <w:proofErr w:type="spellStart"/>
      <w:r w:rsidR="00DC5694" w:rsidRPr="00A317C5">
        <w:rPr>
          <w:rFonts w:cs="Arial"/>
          <w:lang w:eastAsia="en-GB"/>
        </w:rPr>
        <w:t>self employed</w:t>
      </w:r>
      <w:proofErr w:type="spellEnd"/>
      <w:r w:rsidR="00DC5694" w:rsidRPr="00A317C5">
        <w:rPr>
          <w:rFonts w:cs="Arial"/>
          <w:lang w:eastAsia="en-GB"/>
        </w:rPr>
        <w:t xml:space="preserve"> customers will be dependent on the on</w:t>
      </w:r>
      <w:r w:rsidR="00A317C5">
        <w:rPr>
          <w:rFonts w:cs="Arial"/>
          <w:lang w:eastAsia="en-GB"/>
        </w:rPr>
        <w:t>-</w:t>
      </w:r>
      <w:r w:rsidR="00DC5694" w:rsidRPr="00A317C5">
        <w:rPr>
          <w:rFonts w:cs="Arial"/>
          <w:lang w:eastAsia="en-GB"/>
        </w:rPr>
        <w:t>going roll out of UC services.</w:t>
      </w:r>
    </w:p>
    <w:p w:rsidR="004C6408" w:rsidRPr="00EB59BF" w:rsidRDefault="004C6408" w:rsidP="00FE3CF2">
      <w:pPr>
        <w:pStyle w:val="ListParagraph"/>
        <w:ind w:left="645"/>
      </w:pPr>
      <w:r w:rsidRPr="00EB59BF">
        <w:t xml:space="preserve">  </w:t>
      </w:r>
    </w:p>
    <w:p w:rsidR="004C6408" w:rsidRPr="00EB59BF" w:rsidRDefault="004C6408" w:rsidP="004C6408">
      <w:pPr>
        <w:pStyle w:val="Default"/>
        <w:spacing w:after="240"/>
        <w:outlineLvl w:val="0"/>
        <w:rPr>
          <w:b/>
          <w:color w:val="auto"/>
        </w:rPr>
      </w:pPr>
      <w:r w:rsidRPr="00EB59BF">
        <w:rPr>
          <w:b/>
          <w:color w:val="auto"/>
        </w:rPr>
        <w:t>Initial Assessment</w:t>
      </w:r>
    </w:p>
    <w:p w:rsidR="004C6408" w:rsidRPr="00EB59BF" w:rsidRDefault="004C6408" w:rsidP="00EC0606">
      <w:pPr>
        <w:pStyle w:val="ListParagraph"/>
        <w:numPr>
          <w:ilvl w:val="1"/>
          <w:numId w:val="11"/>
        </w:numPr>
        <w:tabs>
          <w:tab w:val="clear" w:pos="645"/>
        </w:tabs>
        <w:spacing w:after="240"/>
        <w:ind w:left="709" w:hanging="709"/>
        <w:rPr>
          <w:rFonts w:cs="Arial"/>
          <w:lang w:eastAsia="en-GB"/>
        </w:rPr>
      </w:pPr>
      <w:r w:rsidRPr="00EB59BF">
        <w:rPr>
          <w:rFonts w:cs="Arial"/>
          <w:lang w:eastAsia="en-GB"/>
        </w:rPr>
        <w:t xml:space="preserve">Providers will undertake an Initial Assessment of </w:t>
      </w:r>
      <w:r w:rsidR="00CE1735">
        <w:rPr>
          <w:rFonts w:cs="Arial"/>
          <w:lang w:eastAsia="en-GB"/>
        </w:rPr>
        <w:t xml:space="preserve">all </w:t>
      </w:r>
      <w:r w:rsidRPr="00EB59BF">
        <w:rPr>
          <w:rFonts w:cs="Arial"/>
          <w:lang w:eastAsia="en-GB"/>
        </w:rPr>
        <w:t>eligible individuals.  As a minimum this will include an assessment of:</w:t>
      </w:r>
    </w:p>
    <w:p w:rsidR="004C6408" w:rsidRPr="00EB59BF" w:rsidRDefault="004C6408" w:rsidP="00EC0606">
      <w:pPr>
        <w:pStyle w:val="ListParagraph"/>
        <w:numPr>
          <w:ilvl w:val="1"/>
          <w:numId w:val="38"/>
        </w:numPr>
        <w:tabs>
          <w:tab w:val="clear" w:pos="645"/>
        </w:tabs>
        <w:ind w:left="1276" w:hanging="567"/>
        <w:rPr>
          <w:rFonts w:cs="Arial"/>
          <w:lang w:eastAsia="en-GB"/>
        </w:rPr>
      </w:pPr>
      <w:r w:rsidRPr="00EB59BF">
        <w:rPr>
          <w:rFonts w:cs="Arial"/>
          <w:lang w:eastAsia="en-GB"/>
        </w:rPr>
        <w:t xml:space="preserve">the individual’s business including their financial </w:t>
      </w:r>
      <w:r w:rsidR="00CE1735">
        <w:rPr>
          <w:rFonts w:cs="Arial"/>
          <w:lang w:eastAsia="en-GB"/>
        </w:rPr>
        <w:t xml:space="preserve">position </w:t>
      </w:r>
      <w:r w:rsidRPr="00EB59BF">
        <w:rPr>
          <w:rFonts w:cs="Arial"/>
          <w:lang w:eastAsia="en-GB"/>
        </w:rPr>
        <w:t>and marketing activities;</w:t>
      </w:r>
    </w:p>
    <w:p w:rsidR="004C6408" w:rsidRPr="00EB59BF" w:rsidRDefault="004C6408" w:rsidP="00EC0606">
      <w:pPr>
        <w:pStyle w:val="ListParagraph"/>
        <w:numPr>
          <w:ilvl w:val="1"/>
          <w:numId w:val="38"/>
        </w:numPr>
        <w:tabs>
          <w:tab w:val="clear" w:pos="645"/>
        </w:tabs>
        <w:ind w:left="1276" w:hanging="567"/>
        <w:rPr>
          <w:rFonts w:cs="Arial"/>
          <w:lang w:eastAsia="en-GB"/>
        </w:rPr>
      </w:pPr>
      <w:r w:rsidRPr="00EB59BF">
        <w:rPr>
          <w:rFonts w:cs="Arial"/>
          <w:lang w:eastAsia="en-GB"/>
        </w:rPr>
        <w:t xml:space="preserve">the future potential of the business in the current market; and </w:t>
      </w:r>
    </w:p>
    <w:p w:rsidR="004C6408" w:rsidRPr="00EB59BF" w:rsidRDefault="004C6408" w:rsidP="00EC0606">
      <w:pPr>
        <w:pStyle w:val="ListParagraph"/>
        <w:numPr>
          <w:ilvl w:val="1"/>
          <w:numId w:val="38"/>
        </w:numPr>
        <w:tabs>
          <w:tab w:val="clear" w:pos="645"/>
        </w:tabs>
        <w:spacing w:after="240"/>
        <w:ind w:left="1276" w:hanging="567"/>
        <w:rPr>
          <w:rFonts w:cs="Arial"/>
          <w:lang w:eastAsia="en-GB"/>
        </w:rPr>
      </w:pPr>
      <w:proofErr w:type="gramStart"/>
      <w:r w:rsidRPr="00EB59BF">
        <w:rPr>
          <w:rFonts w:cs="Arial"/>
          <w:lang w:eastAsia="en-GB"/>
        </w:rPr>
        <w:t>whether</w:t>
      </w:r>
      <w:proofErr w:type="gramEnd"/>
      <w:r w:rsidRPr="00EB59BF">
        <w:rPr>
          <w:rFonts w:cs="Arial"/>
          <w:lang w:eastAsia="en-GB"/>
        </w:rPr>
        <w:t xml:space="preserve"> the support offered by the NEA </w:t>
      </w:r>
      <w:r w:rsidR="0045766F" w:rsidRPr="00EB59BF">
        <w:rPr>
          <w:rFonts w:cs="Arial"/>
          <w:lang w:eastAsia="en-GB"/>
        </w:rPr>
        <w:t xml:space="preserve">Phase 2 </w:t>
      </w:r>
      <w:r w:rsidRPr="00EB59BF">
        <w:rPr>
          <w:rFonts w:cs="Arial"/>
          <w:lang w:eastAsia="en-GB"/>
        </w:rPr>
        <w:t xml:space="preserve">will help them improve their earnings from the business. </w:t>
      </w:r>
    </w:p>
    <w:p w:rsidR="004C6408" w:rsidRPr="00EB59BF" w:rsidRDefault="004C6408" w:rsidP="00EC0606">
      <w:pPr>
        <w:pStyle w:val="Default"/>
        <w:numPr>
          <w:ilvl w:val="1"/>
          <w:numId w:val="11"/>
        </w:numPr>
        <w:tabs>
          <w:tab w:val="clear" w:pos="645"/>
        </w:tabs>
        <w:spacing w:after="240"/>
        <w:ind w:left="720" w:hanging="720"/>
        <w:outlineLvl w:val="0"/>
        <w:rPr>
          <w:color w:val="auto"/>
        </w:rPr>
      </w:pPr>
      <w:r w:rsidRPr="00EB59BF">
        <w:rPr>
          <w:color w:val="auto"/>
        </w:rPr>
        <w:t>Providers will only accept people on to the programme who will benefit from the support of the NEA</w:t>
      </w:r>
      <w:r w:rsidR="0045766F" w:rsidRPr="00EB59BF">
        <w:rPr>
          <w:color w:val="auto"/>
        </w:rPr>
        <w:t xml:space="preserve"> Phase 2</w:t>
      </w:r>
      <w:r w:rsidRPr="00EB59BF">
        <w:rPr>
          <w:color w:val="auto"/>
        </w:rPr>
        <w:t xml:space="preserve">, where the business and the participant have the potential to grow.  Providers will report back to Jobcentre Plus, informing them of the outcome of the Initial </w:t>
      </w:r>
      <w:r w:rsidRPr="00EB59BF">
        <w:rPr>
          <w:color w:val="auto"/>
        </w:rPr>
        <w:lastRenderedPageBreak/>
        <w:t>Assessment</w:t>
      </w:r>
      <w:r w:rsidR="000A35CA">
        <w:rPr>
          <w:color w:val="auto"/>
        </w:rPr>
        <w:t xml:space="preserve"> including providing reasons why NEA is not suitable for them</w:t>
      </w:r>
      <w:r w:rsidRPr="00EB59BF">
        <w:rPr>
          <w:color w:val="auto"/>
        </w:rPr>
        <w:t>.  For those whose businesses could be successfully supported by the provision, the 12 week Mentoring Phase begins on the date of this Initial Assessment.  This will become the Start Date.</w:t>
      </w:r>
    </w:p>
    <w:p w:rsidR="004C6408" w:rsidRPr="00EB59BF" w:rsidRDefault="004C6408" w:rsidP="004C6408">
      <w:pPr>
        <w:pStyle w:val="Default"/>
        <w:spacing w:after="240"/>
        <w:outlineLvl w:val="0"/>
        <w:rPr>
          <w:b/>
          <w:color w:val="auto"/>
        </w:rPr>
      </w:pPr>
      <w:r w:rsidRPr="00EB59BF">
        <w:rPr>
          <w:b/>
          <w:color w:val="auto"/>
        </w:rPr>
        <w:t>Mentoring phase</w:t>
      </w: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 xml:space="preserve">From a Participant’s </w:t>
      </w:r>
      <w:r w:rsidR="00CE1735">
        <w:rPr>
          <w:color w:val="auto"/>
        </w:rPr>
        <w:t>S</w:t>
      </w:r>
      <w:r w:rsidRPr="00EB59BF">
        <w:rPr>
          <w:color w:val="auto"/>
        </w:rPr>
        <w:t xml:space="preserve">tart </w:t>
      </w:r>
      <w:r w:rsidR="00CE1735">
        <w:rPr>
          <w:color w:val="auto"/>
        </w:rPr>
        <w:t>D</w:t>
      </w:r>
      <w:r w:rsidRPr="00EB59BF">
        <w:rPr>
          <w:color w:val="auto"/>
        </w:rPr>
        <w:t xml:space="preserve">ate on the scheme, the Provider must provide mentoring support to the Participant to develop their Business </w:t>
      </w:r>
      <w:r w:rsidR="006D53BA" w:rsidRPr="00EB59BF">
        <w:rPr>
          <w:color w:val="auto"/>
        </w:rPr>
        <w:t xml:space="preserve">Development </w:t>
      </w:r>
      <w:r w:rsidR="006D53BA">
        <w:rPr>
          <w:color w:val="auto"/>
        </w:rPr>
        <w:t xml:space="preserve">and </w:t>
      </w:r>
      <w:r w:rsidRPr="00EB59BF">
        <w:rPr>
          <w:color w:val="auto"/>
        </w:rPr>
        <w:t xml:space="preserve">Growth Plan. The Provider may use a range of Mentoring support and business advice through the duration of the Participant’s time on the scheme. </w:t>
      </w: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 xml:space="preserve">As a minimum providers </w:t>
      </w:r>
      <w:r w:rsidR="00596F5F">
        <w:rPr>
          <w:color w:val="auto"/>
        </w:rPr>
        <w:t xml:space="preserve">must </w:t>
      </w:r>
      <w:r w:rsidRPr="00EB59BF">
        <w:rPr>
          <w:color w:val="auto"/>
        </w:rPr>
        <w:t xml:space="preserve">provide advice, support and guidance for the duration of the Participant’s time on the scheme. This must include at least three </w:t>
      </w:r>
      <w:r w:rsidR="0091050F">
        <w:rPr>
          <w:color w:val="auto"/>
        </w:rPr>
        <w:t>one to one</w:t>
      </w:r>
      <w:r w:rsidRPr="00EB59BF">
        <w:rPr>
          <w:color w:val="auto"/>
        </w:rPr>
        <w:t xml:space="preserve"> meetings (in addition to the Initial Assessment for self-employment participants) between the Mentor and the Participant.  </w:t>
      </w:r>
      <w:r w:rsidR="0091050F">
        <w:rPr>
          <w:color w:val="auto"/>
        </w:rPr>
        <w:t>As this group of participants will already be actively working in their businesses, these</w:t>
      </w:r>
      <w:r w:rsidRPr="00EB59BF">
        <w:rPr>
          <w:color w:val="auto"/>
        </w:rPr>
        <w:t xml:space="preserve"> mentor meetings </w:t>
      </w:r>
      <w:r w:rsidR="004054D7">
        <w:rPr>
          <w:color w:val="auto"/>
        </w:rPr>
        <w:t>may</w:t>
      </w:r>
      <w:r w:rsidR="004054D7" w:rsidRPr="00EB59BF">
        <w:rPr>
          <w:color w:val="auto"/>
        </w:rPr>
        <w:t xml:space="preserve"> </w:t>
      </w:r>
      <w:r w:rsidRPr="00EB59BF">
        <w:rPr>
          <w:color w:val="auto"/>
        </w:rPr>
        <w:t>be</w:t>
      </w:r>
      <w:r w:rsidR="004054D7">
        <w:rPr>
          <w:color w:val="auto"/>
        </w:rPr>
        <w:t xml:space="preserve"> </w:t>
      </w:r>
      <w:r w:rsidRPr="00EB59BF">
        <w:rPr>
          <w:color w:val="auto"/>
        </w:rPr>
        <w:t>conducted via other methods (</w:t>
      </w:r>
      <w:proofErr w:type="spellStart"/>
      <w:r w:rsidRPr="00EB59BF">
        <w:rPr>
          <w:color w:val="auto"/>
        </w:rPr>
        <w:t>eg</w:t>
      </w:r>
      <w:proofErr w:type="spellEnd"/>
      <w:r w:rsidRPr="00EB59BF">
        <w:rPr>
          <w:color w:val="auto"/>
        </w:rPr>
        <w:t xml:space="preserve"> virtual methods, telephone).</w:t>
      </w:r>
      <w:r w:rsidRPr="00EB59BF">
        <w:rPr>
          <w:b/>
          <w:color w:val="auto"/>
        </w:rPr>
        <w:t xml:space="preserve">  </w:t>
      </w:r>
      <w:r w:rsidR="004054D7">
        <w:rPr>
          <w:color w:val="auto"/>
        </w:rPr>
        <w:t>W</w:t>
      </w:r>
      <w:r w:rsidRPr="00EB59BF">
        <w:rPr>
          <w:color w:val="auto"/>
        </w:rPr>
        <w:t xml:space="preserve">e </w:t>
      </w:r>
      <w:r w:rsidR="004054D7">
        <w:rPr>
          <w:color w:val="auto"/>
        </w:rPr>
        <w:t>recommend that at least one</w:t>
      </w:r>
      <w:r w:rsidR="004054D7" w:rsidRPr="00EB59BF">
        <w:rPr>
          <w:color w:val="auto"/>
        </w:rPr>
        <w:t xml:space="preserve"> </w:t>
      </w:r>
      <w:r w:rsidRPr="00EB59BF">
        <w:rPr>
          <w:color w:val="auto"/>
        </w:rPr>
        <w:t xml:space="preserve">mentor meeting </w:t>
      </w:r>
      <w:r w:rsidR="004054D7">
        <w:rPr>
          <w:color w:val="auto"/>
        </w:rPr>
        <w:t>is</w:t>
      </w:r>
      <w:r w:rsidRPr="00EB59BF">
        <w:rPr>
          <w:color w:val="auto"/>
        </w:rPr>
        <w:t xml:space="preserve"> conducted face to face. Any agreement to conduct mentoring sessions other than face to face must be with the agreement of the participant</w:t>
      </w:r>
      <w:r w:rsidR="00083096">
        <w:rPr>
          <w:color w:val="auto"/>
        </w:rPr>
        <w:t xml:space="preserve"> and recorded in writing</w:t>
      </w:r>
      <w:r w:rsidRPr="00EB59BF">
        <w:rPr>
          <w:color w:val="auto"/>
        </w:rPr>
        <w:t>.  Given that this group of participants will already be trading, we expect providers to allow mentoring sessions to happen outside routine office hours, again only with the agreement of the Participant</w:t>
      </w:r>
      <w:r w:rsidR="005C563F">
        <w:rPr>
          <w:color w:val="auto"/>
        </w:rPr>
        <w:t xml:space="preserve"> and recorded in writing</w:t>
      </w:r>
      <w:r w:rsidRPr="00EB59BF">
        <w:rPr>
          <w:color w:val="auto"/>
        </w:rPr>
        <w:t>.</w:t>
      </w:r>
      <w:r w:rsidR="00DA4F43" w:rsidRPr="00EB59BF">
        <w:rPr>
          <w:color w:val="auto"/>
        </w:rPr>
        <w:t xml:space="preserve"> </w:t>
      </w:r>
    </w:p>
    <w:p w:rsidR="004C6408" w:rsidRPr="00EB59BF" w:rsidRDefault="004C6408" w:rsidP="00EC0606">
      <w:pPr>
        <w:pStyle w:val="Default"/>
        <w:numPr>
          <w:ilvl w:val="1"/>
          <w:numId w:val="11"/>
        </w:numPr>
        <w:tabs>
          <w:tab w:val="clear" w:pos="645"/>
        </w:tabs>
        <w:spacing w:after="120"/>
        <w:ind w:left="709" w:hanging="709"/>
        <w:outlineLvl w:val="0"/>
        <w:rPr>
          <w:color w:val="auto"/>
        </w:rPr>
      </w:pPr>
      <w:r w:rsidRPr="00EB59BF">
        <w:rPr>
          <w:color w:val="auto"/>
        </w:rPr>
        <w:t xml:space="preserve">Providers </w:t>
      </w:r>
      <w:r w:rsidR="003B4BB2">
        <w:rPr>
          <w:color w:val="auto"/>
        </w:rPr>
        <w:t>must sup</w:t>
      </w:r>
      <w:r w:rsidRPr="00EB59BF">
        <w:rPr>
          <w:color w:val="auto"/>
        </w:rPr>
        <w:t>plement the mentoring support with the delivery of additional seminars focused on particular aspects of self-employment.  As a minimum we expect these seminars to cover:</w:t>
      </w:r>
    </w:p>
    <w:p w:rsidR="004C6408" w:rsidRPr="00EB59BF" w:rsidRDefault="004C6408" w:rsidP="00EC0606">
      <w:pPr>
        <w:pStyle w:val="Default"/>
        <w:numPr>
          <w:ilvl w:val="1"/>
          <w:numId w:val="39"/>
        </w:numPr>
        <w:tabs>
          <w:tab w:val="clear" w:pos="645"/>
        </w:tabs>
        <w:ind w:left="1276"/>
        <w:outlineLvl w:val="0"/>
        <w:rPr>
          <w:color w:val="auto"/>
        </w:rPr>
      </w:pPr>
      <w:r w:rsidRPr="00EB59BF">
        <w:rPr>
          <w:color w:val="auto"/>
        </w:rPr>
        <w:t>Financial Planning, including:</w:t>
      </w:r>
    </w:p>
    <w:p w:rsidR="004C6408" w:rsidRPr="00EB59BF" w:rsidRDefault="004C6408" w:rsidP="00EC0606">
      <w:pPr>
        <w:pStyle w:val="Default"/>
        <w:numPr>
          <w:ilvl w:val="2"/>
          <w:numId w:val="40"/>
        </w:numPr>
        <w:ind w:left="2268" w:hanging="468"/>
        <w:outlineLvl w:val="0"/>
        <w:rPr>
          <w:color w:val="auto"/>
        </w:rPr>
      </w:pPr>
      <w:r w:rsidRPr="00EB59BF">
        <w:rPr>
          <w:color w:val="auto"/>
        </w:rPr>
        <w:t xml:space="preserve">an overview of business accounts, invoicing; </w:t>
      </w:r>
    </w:p>
    <w:p w:rsidR="004C6408" w:rsidRPr="00EB59BF" w:rsidRDefault="004C6408" w:rsidP="00EC0606">
      <w:pPr>
        <w:pStyle w:val="Default"/>
        <w:numPr>
          <w:ilvl w:val="1"/>
          <w:numId w:val="40"/>
        </w:numPr>
        <w:ind w:left="2268" w:hanging="468"/>
        <w:outlineLvl w:val="0"/>
        <w:rPr>
          <w:color w:val="auto"/>
        </w:rPr>
      </w:pPr>
      <w:r w:rsidRPr="00EB59BF">
        <w:rPr>
          <w:color w:val="auto"/>
        </w:rPr>
        <w:t>forecasting of incomings, outgoings, overheads;</w:t>
      </w:r>
    </w:p>
    <w:p w:rsidR="004C6408" w:rsidRPr="00EB59BF" w:rsidRDefault="004C6408" w:rsidP="00EC0606">
      <w:pPr>
        <w:pStyle w:val="Default"/>
        <w:numPr>
          <w:ilvl w:val="1"/>
          <w:numId w:val="40"/>
        </w:numPr>
        <w:ind w:left="2268" w:hanging="468"/>
        <w:outlineLvl w:val="0"/>
        <w:rPr>
          <w:color w:val="auto"/>
        </w:rPr>
      </w:pPr>
      <w:r w:rsidRPr="00EB59BF">
        <w:rPr>
          <w:color w:val="auto"/>
        </w:rPr>
        <w:t xml:space="preserve">personal income; </w:t>
      </w:r>
    </w:p>
    <w:p w:rsidR="004C6408" w:rsidRPr="00EB59BF" w:rsidRDefault="004C6408" w:rsidP="00EC0606">
      <w:pPr>
        <w:pStyle w:val="Default"/>
        <w:numPr>
          <w:ilvl w:val="1"/>
          <w:numId w:val="40"/>
        </w:numPr>
        <w:ind w:left="2268" w:hanging="468"/>
        <w:outlineLvl w:val="0"/>
        <w:rPr>
          <w:color w:val="auto"/>
        </w:rPr>
      </w:pPr>
      <w:r w:rsidRPr="00EB59BF">
        <w:rPr>
          <w:color w:val="auto"/>
        </w:rPr>
        <w:t>re-investment of earnings into business; and</w:t>
      </w:r>
    </w:p>
    <w:p w:rsidR="004C6408" w:rsidRPr="00EB59BF" w:rsidRDefault="004C6408" w:rsidP="00EC0606">
      <w:pPr>
        <w:pStyle w:val="Default"/>
        <w:numPr>
          <w:ilvl w:val="1"/>
          <w:numId w:val="40"/>
        </w:numPr>
        <w:spacing w:after="240"/>
        <w:ind w:left="2268" w:hanging="468"/>
        <w:outlineLvl w:val="0"/>
        <w:rPr>
          <w:color w:val="auto"/>
        </w:rPr>
      </w:pPr>
      <w:proofErr w:type="gramStart"/>
      <w:r w:rsidRPr="00EB59BF">
        <w:rPr>
          <w:color w:val="auto"/>
        </w:rPr>
        <w:t>start-up</w:t>
      </w:r>
      <w:proofErr w:type="gramEnd"/>
      <w:r w:rsidRPr="00EB59BF">
        <w:rPr>
          <w:color w:val="auto"/>
        </w:rPr>
        <w:t xml:space="preserve"> funding or loans – and managing repayments.  </w:t>
      </w:r>
    </w:p>
    <w:p w:rsidR="004C6408" w:rsidRPr="00EB59BF" w:rsidRDefault="004C6408" w:rsidP="00EC0606">
      <w:pPr>
        <w:pStyle w:val="Default"/>
        <w:numPr>
          <w:ilvl w:val="1"/>
          <w:numId w:val="39"/>
        </w:numPr>
        <w:tabs>
          <w:tab w:val="clear" w:pos="645"/>
        </w:tabs>
        <w:ind w:left="1276"/>
        <w:outlineLvl w:val="0"/>
        <w:rPr>
          <w:color w:val="auto"/>
        </w:rPr>
      </w:pPr>
      <w:r w:rsidRPr="00EB59BF">
        <w:rPr>
          <w:color w:val="auto"/>
        </w:rPr>
        <w:t xml:space="preserve"> Marketing, including:</w:t>
      </w:r>
    </w:p>
    <w:p w:rsidR="004C6408" w:rsidRPr="00EB59BF" w:rsidRDefault="004C6408" w:rsidP="00EC0606">
      <w:pPr>
        <w:pStyle w:val="Default"/>
        <w:numPr>
          <w:ilvl w:val="1"/>
          <w:numId w:val="41"/>
        </w:numPr>
        <w:tabs>
          <w:tab w:val="clear" w:pos="645"/>
        </w:tabs>
        <w:ind w:left="2268" w:hanging="425"/>
        <w:outlineLvl w:val="0"/>
        <w:rPr>
          <w:color w:val="auto"/>
        </w:rPr>
      </w:pPr>
      <w:r w:rsidRPr="00EB59BF">
        <w:rPr>
          <w:color w:val="auto"/>
        </w:rPr>
        <w:t>developing an online presence including social media;</w:t>
      </w:r>
    </w:p>
    <w:p w:rsidR="004C6408" w:rsidRPr="00EB59BF" w:rsidRDefault="004C6408" w:rsidP="00EC0606">
      <w:pPr>
        <w:pStyle w:val="Default"/>
        <w:numPr>
          <w:ilvl w:val="1"/>
          <w:numId w:val="41"/>
        </w:numPr>
        <w:tabs>
          <w:tab w:val="clear" w:pos="645"/>
        </w:tabs>
        <w:ind w:left="2268" w:hanging="425"/>
        <w:outlineLvl w:val="0"/>
        <w:rPr>
          <w:color w:val="auto"/>
        </w:rPr>
      </w:pPr>
      <w:r w:rsidRPr="00EB59BF">
        <w:rPr>
          <w:color w:val="auto"/>
        </w:rPr>
        <w:t>use of local media;</w:t>
      </w:r>
      <w:r w:rsidR="006D53BA">
        <w:rPr>
          <w:color w:val="auto"/>
        </w:rPr>
        <w:t xml:space="preserve"> and</w:t>
      </w:r>
    </w:p>
    <w:p w:rsidR="004C6408" w:rsidRPr="00EB59BF" w:rsidRDefault="004C6408" w:rsidP="00EC0606">
      <w:pPr>
        <w:pStyle w:val="Default"/>
        <w:numPr>
          <w:ilvl w:val="1"/>
          <w:numId w:val="41"/>
        </w:numPr>
        <w:tabs>
          <w:tab w:val="clear" w:pos="645"/>
        </w:tabs>
        <w:spacing w:after="240"/>
        <w:ind w:left="2268" w:hanging="425"/>
        <w:outlineLvl w:val="0"/>
        <w:rPr>
          <w:color w:val="auto"/>
        </w:rPr>
      </w:pPr>
      <w:proofErr w:type="gramStart"/>
      <w:r w:rsidRPr="00EB59BF">
        <w:rPr>
          <w:color w:val="auto"/>
        </w:rPr>
        <w:t>advertising</w:t>
      </w:r>
      <w:proofErr w:type="gramEnd"/>
      <w:r w:rsidRPr="00EB59BF">
        <w:rPr>
          <w:color w:val="auto"/>
        </w:rPr>
        <w:t>.</w:t>
      </w:r>
    </w:p>
    <w:p w:rsidR="004C6408" w:rsidRPr="00EB59BF" w:rsidRDefault="005C563F" w:rsidP="005C563F">
      <w:pPr>
        <w:pStyle w:val="Default"/>
        <w:numPr>
          <w:ilvl w:val="1"/>
          <w:numId w:val="11"/>
        </w:numPr>
        <w:tabs>
          <w:tab w:val="clear" w:pos="645"/>
          <w:tab w:val="num" w:pos="709"/>
        </w:tabs>
        <w:spacing w:after="240"/>
        <w:outlineLvl w:val="0"/>
        <w:rPr>
          <w:color w:val="auto"/>
        </w:rPr>
      </w:pPr>
      <w:r w:rsidRPr="005C563F">
        <w:rPr>
          <w:color w:val="auto"/>
        </w:rPr>
        <w:t>We expect each of these seminars to be at least 90 minutes, and for them to supplement, not replace, the mentoring support delivered.  DWP’s expectation is that ALL participants will be offered a place on these seminars with the Provider responsible for ensuring a high level of attendance such that only in exceptional and documented circumstances participants could be allowed to opt-out – for example, an accountant need not take part in the financial planning seminar.</w:t>
      </w: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 xml:space="preserve">Providers will support existing self-employed participants to increase their earnings from the business by developing a Business Development and Growth Plan (BDGP).  The BDGP will consist of a range of activities specifically tailored to each business and </w:t>
      </w:r>
      <w:r w:rsidRPr="00EB59BF">
        <w:rPr>
          <w:color w:val="auto"/>
        </w:rPr>
        <w:lastRenderedPageBreak/>
        <w:t xml:space="preserve">include short, medium and longer term goals.  These activities will include, but not </w:t>
      </w:r>
      <w:r w:rsidR="008B5AD3">
        <w:rPr>
          <w:color w:val="auto"/>
        </w:rPr>
        <w:t>limited to</w:t>
      </w:r>
      <w:r w:rsidRPr="00EB59BF">
        <w:rPr>
          <w:color w:val="auto"/>
        </w:rPr>
        <w:t>:</w:t>
      </w:r>
    </w:p>
    <w:p w:rsidR="004C6408" w:rsidRPr="00EB59BF" w:rsidRDefault="004C6408" w:rsidP="00EC0606">
      <w:pPr>
        <w:pStyle w:val="Default"/>
        <w:numPr>
          <w:ilvl w:val="1"/>
          <w:numId w:val="45"/>
        </w:numPr>
        <w:outlineLvl w:val="0"/>
        <w:rPr>
          <w:color w:val="auto"/>
        </w:rPr>
      </w:pPr>
      <w:r w:rsidRPr="00EB59BF">
        <w:rPr>
          <w:color w:val="auto"/>
        </w:rPr>
        <w:t>developing a marketing plan;</w:t>
      </w:r>
    </w:p>
    <w:p w:rsidR="004C6408" w:rsidRPr="00EB59BF" w:rsidRDefault="004C6408" w:rsidP="00EC0606">
      <w:pPr>
        <w:pStyle w:val="Default"/>
        <w:numPr>
          <w:ilvl w:val="1"/>
          <w:numId w:val="45"/>
        </w:numPr>
        <w:ind w:left="1560" w:hanging="480"/>
        <w:outlineLvl w:val="0"/>
        <w:rPr>
          <w:color w:val="auto"/>
        </w:rPr>
      </w:pPr>
      <w:r w:rsidRPr="00EB59BF">
        <w:rPr>
          <w:color w:val="auto"/>
        </w:rPr>
        <w:t>using social media;</w:t>
      </w:r>
    </w:p>
    <w:p w:rsidR="004C6408" w:rsidRPr="00EB59BF" w:rsidRDefault="004C6408" w:rsidP="00EC0606">
      <w:pPr>
        <w:pStyle w:val="Default"/>
        <w:numPr>
          <w:ilvl w:val="1"/>
          <w:numId w:val="45"/>
        </w:numPr>
        <w:ind w:left="1560" w:hanging="480"/>
        <w:outlineLvl w:val="0"/>
        <w:rPr>
          <w:color w:val="auto"/>
        </w:rPr>
      </w:pPr>
      <w:proofErr w:type="gramStart"/>
      <w:r w:rsidRPr="00EB59BF">
        <w:rPr>
          <w:color w:val="auto"/>
        </w:rPr>
        <w:t>mapping</w:t>
      </w:r>
      <w:proofErr w:type="gramEnd"/>
      <w:r w:rsidRPr="00EB59BF">
        <w:rPr>
          <w:color w:val="auto"/>
        </w:rPr>
        <w:t xml:space="preserve"> the competition – what sets this business apart?;</w:t>
      </w:r>
    </w:p>
    <w:p w:rsidR="004C6408" w:rsidRPr="00EB59BF" w:rsidRDefault="004C6408" w:rsidP="00EC0606">
      <w:pPr>
        <w:pStyle w:val="Default"/>
        <w:numPr>
          <w:ilvl w:val="1"/>
          <w:numId w:val="45"/>
        </w:numPr>
        <w:ind w:left="1560" w:hanging="480"/>
        <w:outlineLvl w:val="0"/>
        <w:rPr>
          <w:color w:val="auto"/>
        </w:rPr>
      </w:pPr>
      <w:r w:rsidRPr="00EB59BF">
        <w:rPr>
          <w:color w:val="auto"/>
        </w:rPr>
        <w:t>market research;</w:t>
      </w:r>
    </w:p>
    <w:p w:rsidR="004C6408" w:rsidRPr="00EB59BF" w:rsidRDefault="004C6408" w:rsidP="00EC0606">
      <w:pPr>
        <w:pStyle w:val="Default"/>
        <w:numPr>
          <w:ilvl w:val="1"/>
          <w:numId w:val="45"/>
        </w:numPr>
        <w:ind w:left="1560" w:hanging="480"/>
        <w:outlineLvl w:val="0"/>
        <w:rPr>
          <w:color w:val="auto"/>
        </w:rPr>
      </w:pPr>
      <w:r w:rsidRPr="00EB59BF">
        <w:rPr>
          <w:color w:val="auto"/>
        </w:rPr>
        <w:t>developing their customer base;</w:t>
      </w:r>
    </w:p>
    <w:p w:rsidR="004C6408" w:rsidRPr="00EB59BF" w:rsidRDefault="004C6408" w:rsidP="00EC0606">
      <w:pPr>
        <w:pStyle w:val="Default"/>
        <w:numPr>
          <w:ilvl w:val="1"/>
          <w:numId w:val="45"/>
        </w:numPr>
        <w:ind w:left="1560" w:hanging="480"/>
        <w:outlineLvl w:val="0"/>
        <w:rPr>
          <w:color w:val="auto"/>
        </w:rPr>
      </w:pPr>
      <w:r w:rsidRPr="00EB59BF">
        <w:rPr>
          <w:color w:val="auto"/>
        </w:rPr>
        <w:t>keeping accurate accounting records;</w:t>
      </w:r>
    </w:p>
    <w:p w:rsidR="004C6408" w:rsidRPr="00EB59BF" w:rsidRDefault="004C6408" w:rsidP="00EC0606">
      <w:pPr>
        <w:pStyle w:val="Default"/>
        <w:numPr>
          <w:ilvl w:val="1"/>
          <w:numId w:val="45"/>
        </w:numPr>
        <w:ind w:left="1560" w:hanging="480"/>
        <w:outlineLvl w:val="0"/>
        <w:rPr>
          <w:color w:val="auto"/>
        </w:rPr>
      </w:pPr>
      <w:r w:rsidRPr="00EB59BF">
        <w:rPr>
          <w:color w:val="auto"/>
        </w:rPr>
        <w:t>reinvesting in the business;</w:t>
      </w:r>
    </w:p>
    <w:p w:rsidR="00CC119A" w:rsidRPr="00EB59BF" w:rsidRDefault="00CC119A" w:rsidP="00EC0606">
      <w:pPr>
        <w:pStyle w:val="Default"/>
        <w:numPr>
          <w:ilvl w:val="1"/>
          <w:numId w:val="45"/>
        </w:numPr>
        <w:outlineLvl w:val="0"/>
        <w:rPr>
          <w:color w:val="auto"/>
        </w:rPr>
      </w:pPr>
      <w:r w:rsidRPr="00EB59BF">
        <w:rPr>
          <w:color w:val="auto"/>
        </w:rPr>
        <w:t xml:space="preserve">  personal budgeting plans</w:t>
      </w:r>
    </w:p>
    <w:p w:rsidR="004C6408" w:rsidRPr="00EB59BF" w:rsidRDefault="004C6408" w:rsidP="00EC0606">
      <w:pPr>
        <w:pStyle w:val="Default"/>
        <w:numPr>
          <w:ilvl w:val="1"/>
          <w:numId w:val="45"/>
        </w:numPr>
        <w:ind w:left="1560" w:hanging="480"/>
        <w:outlineLvl w:val="0"/>
        <w:rPr>
          <w:color w:val="auto"/>
        </w:rPr>
      </w:pPr>
      <w:r w:rsidRPr="00EB59BF">
        <w:rPr>
          <w:color w:val="auto"/>
        </w:rPr>
        <w:t>ways to reduce overheads/business expenses; and</w:t>
      </w:r>
    </w:p>
    <w:p w:rsidR="00CC119A" w:rsidRPr="00EB59BF" w:rsidRDefault="004C6408" w:rsidP="00EC0606">
      <w:pPr>
        <w:pStyle w:val="Default"/>
        <w:numPr>
          <w:ilvl w:val="0"/>
          <w:numId w:val="44"/>
        </w:numPr>
        <w:spacing w:after="240"/>
        <w:outlineLvl w:val="0"/>
        <w:rPr>
          <w:color w:val="auto"/>
        </w:rPr>
      </w:pPr>
      <w:r w:rsidRPr="00EB59BF">
        <w:rPr>
          <w:color w:val="auto"/>
        </w:rPr>
        <w:t>developing links to other businesses in the area</w:t>
      </w:r>
    </w:p>
    <w:p w:rsidR="00CC119A" w:rsidRPr="00EB59BF" w:rsidRDefault="00CC119A" w:rsidP="00CC119A">
      <w:pPr>
        <w:pStyle w:val="Default"/>
        <w:spacing w:after="240"/>
        <w:ind w:left="1560"/>
        <w:outlineLvl w:val="0"/>
        <w:rPr>
          <w:color w:val="auto"/>
        </w:rPr>
      </w:pP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 xml:space="preserve">BDGP must include short, medium and long term goals for increasing earnings from the business.  These should cover six month, 12 month and beyond 12 month timescales.  </w:t>
      </w: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 xml:space="preserve">Within a maximum of 12 weeks from the participant’s </w:t>
      </w:r>
      <w:r w:rsidR="003C422E">
        <w:rPr>
          <w:color w:val="auto"/>
        </w:rPr>
        <w:t>S</w:t>
      </w:r>
      <w:r w:rsidRPr="00EB59BF">
        <w:rPr>
          <w:color w:val="auto"/>
        </w:rPr>
        <w:t xml:space="preserve">tart </w:t>
      </w:r>
      <w:r w:rsidR="003C422E">
        <w:rPr>
          <w:color w:val="auto"/>
        </w:rPr>
        <w:t>D</w:t>
      </w:r>
      <w:r w:rsidRPr="00EB59BF">
        <w:rPr>
          <w:color w:val="auto"/>
        </w:rPr>
        <w:t xml:space="preserve">ate, the participant must submit their </w:t>
      </w:r>
      <w:r w:rsidR="00725712" w:rsidRPr="00EB59BF">
        <w:rPr>
          <w:color w:val="auto"/>
        </w:rPr>
        <w:t xml:space="preserve">BDGP </w:t>
      </w:r>
      <w:r w:rsidRPr="00EB59BF">
        <w:rPr>
          <w:color w:val="auto"/>
        </w:rPr>
        <w:t>for the Provider to assess</w:t>
      </w:r>
      <w:r w:rsidR="00CD4C80">
        <w:rPr>
          <w:color w:val="auto"/>
        </w:rPr>
        <w:t xml:space="preserve"> and approve or not approve</w:t>
      </w:r>
      <w:r w:rsidRPr="00EB59BF">
        <w:rPr>
          <w:color w:val="auto"/>
        </w:rPr>
        <w:t xml:space="preserve">.  The Provider must consider whether the BDGP meets at least the minimum requirements outlined at paragraph </w:t>
      </w:r>
      <w:r w:rsidR="00CC119A" w:rsidRPr="00EB59BF">
        <w:rPr>
          <w:color w:val="auto"/>
        </w:rPr>
        <w:t>2.6</w:t>
      </w:r>
      <w:r w:rsidR="006D53BA">
        <w:rPr>
          <w:color w:val="auto"/>
        </w:rPr>
        <w:t>0</w:t>
      </w:r>
      <w:r w:rsidRPr="00EB59BF">
        <w:rPr>
          <w:color w:val="auto"/>
        </w:rPr>
        <w:t xml:space="preserve">, and is </w:t>
      </w:r>
      <w:r w:rsidR="003C422E">
        <w:rPr>
          <w:color w:val="auto"/>
        </w:rPr>
        <w:t>of</w:t>
      </w:r>
      <w:r w:rsidRPr="00EB59BF">
        <w:rPr>
          <w:color w:val="auto"/>
        </w:rPr>
        <w:t xml:space="preserve"> a suitable standard for the participant to increase their business earnings.</w:t>
      </w:r>
    </w:p>
    <w:p w:rsidR="004C6408" w:rsidRPr="00EB59BF" w:rsidRDefault="004C6408" w:rsidP="004C6408">
      <w:pPr>
        <w:pStyle w:val="Default"/>
        <w:spacing w:after="240"/>
        <w:outlineLvl w:val="0"/>
        <w:rPr>
          <w:b/>
          <w:color w:val="auto"/>
        </w:rPr>
      </w:pPr>
      <w:r w:rsidRPr="00EB59BF">
        <w:rPr>
          <w:b/>
          <w:color w:val="auto"/>
        </w:rPr>
        <w:t>Business Development and Growth Plan assessment</w:t>
      </w:r>
    </w:p>
    <w:p w:rsidR="004C6408" w:rsidRPr="00EB59BF" w:rsidRDefault="004C6408" w:rsidP="00EC0606">
      <w:pPr>
        <w:pStyle w:val="Default"/>
        <w:numPr>
          <w:ilvl w:val="1"/>
          <w:numId w:val="11"/>
        </w:numPr>
        <w:tabs>
          <w:tab w:val="clear" w:pos="645"/>
        </w:tabs>
        <w:spacing w:after="240"/>
        <w:ind w:left="709" w:hanging="709"/>
        <w:outlineLvl w:val="0"/>
        <w:rPr>
          <w:color w:val="auto"/>
        </w:rPr>
      </w:pPr>
      <w:r w:rsidRPr="00EB59BF">
        <w:rPr>
          <w:color w:val="auto"/>
        </w:rPr>
        <w:t>Providers must administer an approval process for Participant’s Business Development and Growth Plans (BDGP).</w:t>
      </w:r>
    </w:p>
    <w:p w:rsidR="002356A7" w:rsidRDefault="004C6408" w:rsidP="002356A7">
      <w:pPr>
        <w:pStyle w:val="Default"/>
        <w:numPr>
          <w:ilvl w:val="1"/>
          <w:numId w:val="11"/>
        </w:numPr>
        <w:tabs>
          <w:tab w:val="clear" w:pos="645"/>
          <w:tab w:val="num" w:pos="709"/>
        </w:tabs>
        <w:spacing w:after="240"/>
        <w:ind w:hanging="645"/>
        <w:outlineLvl w:val="0"/>
        <w:rPr>
          <w:color w:val="auto"/>
        </w:rPr>
      </w:pPr>
      <w:r w:rsidRPr="00EB59BF">
        <w:rPr>
          <w:color w:val="auto"/>
        </w:rPr>
        <w:t xml:space="preserve">Participants can, at the Provider’s discretion, submit their BDGP for consideration on more than </w:t>
      </w:r>
      <w:r w:rsidR="005C563F">
        <w:rPr>
          <w:color w:val="auto"/>
        </w:rPr>
        <w:t xml:space="preserve">one </w:t>
      </w:r>
      <w:r w:rsidRPr="00EB59BF">
        <w:rPr>
          <w:color w:val="auto"/>
        </w:rPr>
        <w:t>occasion if it is initially declined.  However, all plans must be submitted</w:t>
      </w:r>
      <w:r w:rsidR="003B4BB2">
        <w:rPr>
          <w:color w:val="auto"/>
        </w:rPr>
        <w:t>,</w:t>
      </w:r>
      <w:r w:rsidR="00CC119A" w:rsidRPr="00EB59BF">
        <w:rPr>
          <w:color w:val="auto"/>
        </w:rPr>
        <w:t xml:space="preserve"> assessed </w:t>
      </w:r>
      <w:r w:rsidR="003B4BB2">
        <w:rPr>
          <w:color w:val="auto"/>
        </w:rPr>
        <w:t xml:space="preserve">and approved or not approved, </w:t>
      </w:r>
      <w:r w:rsidRPr="00EB59BF">
        <w:rPr>
          <w:color w:val="auto"/>
        </w:rPr>
        <w:t>no later than 12 weeks from the Start Date.</w:t>
      </w:r>
      <w:r w:rsidR="00725712" w:rsidRPr="00EB59BF">
        <w:rPr>
          <w:color w:val="auto"/>
        </w:rPr>
        <w:t xml:space="preserve"> </w:t>
      </w:r>
      <w:r w:rsidR="002356A7" w:rsidRPr="002356A7">
        <w:rPr>
          <w:color w:val="auto"/>
        </w:rPr>
        <w:t>Considerations when deciding whether a re-submission should be approved will include, but are not limited to;</w:t>
      </w:r>
    </w:p>
    <w:p w:rsidR="002356A7" w:rsidRDefault="002356A7" w:rsidP="002356A7">
      <w:pPr>
        <w:pStyle w:val="Default"/>
        <w:numPr>
          <w:ilvl w:val="0"/>
          <w:numId w:val="60"/>
        </w:numPr>
        <w:spacing w:after="240"/>
        <w:outlineLvl w:val="0"/>
        <w:rPr>
          <w:color w:val="auto"/>
        </w:rPr>
      </w:pPr>
      <w:r w:rsidRPr="002356A7">
        <w:rPr>
          <w:color w:val="auto"/>
        </w:rPr>
        <w:t xml:space="preserve">the proportion of the 12-week Pre Start-up Period that has passed ;the likelihood that the </w:t>
      </w:r>
      <w:r>
        <w:rPr>
          <w:color w:val="auto"/>
        </w:rPr>
        <w:t>BDGP</w:t>
      </w:r>
      <w:r w:rsidRPr="002356A7">
        <w:rPr>
          <w:color w:val="auto"/>
        </w:rPr>
        <w:t xml:space="preserve"> can be raised to the acceptable standard in the time remaining</w:t>
      </w:r>
    </w:p>
    <w:p w:rsidR="002356A7" w:rsidRDefault="002356A7" w:rsidP="002356A7">
      <w:pPr>
        <w:pStyle w:val="ListParagraph"/>
        <w:numPr>
          <w:ilvl w:val="1"/>
          <w:numId w:val="11"/>
        </w:numPr>
        <w:ind w:hanging="645"/>
        <w:rPr>
          <w:rFonts w:cs="Arial"/>
          <w:lang w:eastAsia="en-GB"/>
        </w:rPr>
      </w:pPr>
      <w:r w:rsidRPr="002356A7">
        <w:rPr>
          <w:rFonts w:cs="Arial"/>
          <w:lang w:eastAsia="en-GB"/>
        </w:rPr>
        <w:t xml:space="preserve">The Provider needs to have a </w:t>
      </w:r>
      <w:r>
        <w:rPr>
          <w:rFonts w:cs="Arial"/>
          <w:lang w:eastAsia="en-GB"/>
        </w:rPr>
        <w:t>clear approval process for the BDGP</w:t>
      </w:r>
      <w:r w:rsidR="00083096" w:rsidRPr="00083096">
        <w:t xml:space="preserve"> </w:t>
      </w:r>
      <w:r w:rsidR="00083096">
        <w:t>which includes notifying the Participant of the assessment outcome</w:t>
      </w:r>
      <w:r w:rsidRPr="002356A7">
        <w:rPr>
          <w:rFonts w:cs="Arial"/>
          <w:lang w:eastAsia="en-GB"/>
        </w:rPr>
        <w:t xml:space="preserve">.  During this approval process the Participant will need to demonstrate that their business plan is viable and that the business has sustainability potential.   </w:t>
      </w:r>
    </w:p>
    <w:p w:rsidR="00083096" w:rsidRPr="002356A7" w:rsidRDefault="00083096" w:rsidP="002E64F8">
      <w:pPr>
        <w:pStyle w:val="ListParagraph"/>
        <w:ind w:left="645"/>
        <w:rPr>
          <w:rFonts w:cs="Arial"/>
          <w:lang w:eastAsia="en-GB"/>
        </w:rPr>
      </w:pPr>
    </w:p>
    <w:p w:rsidR="004C6408" w:rsidRPr="00EB59BF" w:rsidRDefault="004C6408" w:rsidP="00EC0606">
      <w:pPr>
        <w:pStyle w:val="ListParagraph"/>
        <w:numPr>
          <w:ilvl w:val="1"/>
          <w:numId w:val="11"/>
        </w:numPr>
        <w:tabs>
          <w:tab w:val="clear" w:pos="645"/>
        </w:tabs>
        <w:spacing w:after="240"/>
        <w:ind w:left="709" w:hanging="709"/>
        <w:rPr>
          <w:rFonts w:cs="Arial"/>
          <w:lang w:eastAsia="en-GB"/>
        </w:rPr>
      </w:pPr>
      <w:r w:rsidRPr="00EB59BF">
        <w:rPr>
          <w:rFonts w:cs="Arial"/>
          <w:lang w:eastAsia="en-GB"/>
        </w:rPr>
        <w:t>The mentors who have supported the development of the BDGP can make a recommendation on whether or not it is robust enough to be approved, but the final assessment must be carried out by someone who has NOT been directly involved with the participant during the mentoring phase.</w:t>
      </w:r>
    </w:p>
    <w:p w:rsidR="004C6408" w:rsidRPr="00EB59BF" w:rsidRDefault="004C6408" w:rsidP="004C6408">
      <w:pPr>
        <w:pStyle w:val="Default"/>
        <w:spacing w:after="240"/>
        <w:outlineLvl w:val="0"/>
        <w:rPr>
          <w:b/>
          <w:color w:val="auto"/>
        </w:rPr>
      </w:pPr>
      <w:r w:rsidRPr="00EB59BF">
        <w:rPr>
          <w:b/>
          <w:color w:val="auto"/>
        </w:rPr>
        <w:lastRenderedPageBreak/>
        <w:t>Post mentoring support</w:t>
      </w:r>
    </w:p>
    <w:p w:rsidR="00EC0606" w:rsidRPr="002356A7" w:rsidRDefault="004C6408" w:rsidP="008873C7">
      <w:pPr>
        <w:pStyle w:val="ListParagraph"/>
        <w:numPr>
          <w:ilvl w:val="1"/>
          <w:numId w:val="11"/>
        </w:numPr>
        <w:spacing w:after="240"/>
        <w:ind w:hanging="645"/>
        <w:rPr>
          <w:rFonts w:cs="Arial"/>
          <w:lang w:eastAsia="en-GB"/>
        </w:rPr>
      </w:pPr>
      <w:r w:rsidRPr="00EB59BF">
        <w:rPr>
          <w:rFonts w:cs="Arial"/>
          <w:lang w:eastAsia="en-GB"/>
        </w:rPr>
        <w:t>Providers must continue to offer access to Mentoring support for one year from the date the BDGP was assessed. The minimum requirement is for the Provider to offer four mentor meetings during this period</w:t>
      </w:r>
      <w:r w:rsidR="00EC0606">
        <w:rPr>
          <w:rFonts w:cs="Arial"/>
          <w:lang w:eastAsia="en-GB"/>
        </w:rPr>
        <w:t>. A</w:t>
      </w:r>
      <w:r w:rsidR="00EC0606" w:rsidRPr="00EB59BF">
        <w:rPr>
          <w:rFonts w:cs="Arial"/>
          <w:lang w:eastAsia="en-GB"/>
        </w:rPr>
        <w:t xml:space="preserve">ccess to Mentoring support </w:t>
      </w:r>
      <w:r w:rsidR="00EC0606">
        <w:rPr>
          <w:rFonts w:cs="Arial"/>
          <w:lang w:eastAsia="en-GB"/>
        </w:rPr>
        <w:t xml:space="preserve">should be </w:t>
      </w:r>
      <w:r w:rsidR="00EC0606" w:rsidRPr="00EB59BF">
        <w:rPr>
          <w:rFonts w:cs="Arial"/>
          <w:lang w:eastAsia="en-GB"/>
        </w:rPr>
        <w:t xml:space="preserve">at </w:t>
      </w:r>
      <w:r w:rsidR="00EC0606" w:rsidRPr="002356A7">
        <w:rPr>
          <w:rFonts w:cs="Arial"/>
          <w:lang w:eastAsia="en-GB"/>
        </w:rPr>
        <w:t xml:space="preserve">appropriate intervals, tailored to individual needs, over 12 months from the commencement of trading. </w:t>
      </w:r>
    </w:p>
    <w:p w:rsidR="0071250D" w:rsidRPr="002356A7" w:rsidRDefault="0071250D" w:rsidP="00EC0606">
      <w:pPr>
        <w:pStyle w:val="ListParagraph"/>
        <w:numPr>
          <w:ilvl w:val="1"/>
          <w:numId w:val="11"/>
        </w:numPr>
        <w:tabs>
          <w:tab w:val="clear" w:pos="645"/>
          <w:tab w:val="num" w:pos="709"/>
        </w:tabs>
        <w:ind w:hanging="645"/>
        <w:rPr>
          <w:rFonts w:cs="Arial"/>
          <w:lang w:eastAsia="en-GB"/>
        </w:rPr>
      </w:pPr>
      <w:r w:rsidRPr="002356A7">
        <w:rPr>
          <w:rFonts w:cs="Arial"/>
          <w:lang w:eastAsia="en-GB"/>
        </w:rPr>
        <w:t xml:space="preserve">Following the approval of the </w:t>
      </w:r>
      <w:r w:rsidR="00EC0606" w:rsidRPr="002356A7">
        <w:rPr>
          <w:rFonts w:cs="Arial"/>
          <w:lang w:eastAsia="en-GB"/>
        </w:rPr>
        <w:t>B</w:t>
      </w:r>
      <w:r w:rsidRPr="002356A7">
        <w:rPr>
          <w:rFonts w:cs="Arial"/>
          <w:lang w:eastAsia="en-GB"/>
        </w:rPr>
        <w:t xml:space="preserve">DGP we expect to see an increase in earnings to equal to or </w:t>
      </w:r>
      <w:r w:rsidRPr="00EB59BF">
        <w:rPr>
          <w:rFonts w:cs="Arial"/>
          <w:lang w:eastAsia="en-GB"/>
        </w:rPr>
        <w:t xml:space="preserve">above the MIF at </w:t>
      </w:r>
      <w:r w:rsidR="006339F2">
        <w:rPr>
          <w:rFonts w:cs="Arial"/>
          <w:lang w:eastAsia="en-GB"/>
        </w:rPr>
        <w:t>6</w:t>
      </w:r>
      <w:r w:rsidRPr="00EB59BF">
        <w:rPr>
          <w:rFonts w:cs="Arial"/>
          <w:lang w:eastAsia="en-GB"/>
        </w:rPr>
        <w:t xml:space="preserve"> months and 12 months.  </w:t>
      </w:r>
      <w:r w:rsidR="003C422E" w:rsidRPr="002356A7">
        <w:rPr>
          <w:rFonts w:cs="Arial"/>
          <w:lang w:eastAsia="en-GB"/>
        </w:rPr>
        <w:t>Recognising that earni</w:t>
      </w:r>
      <w:r w:rsidR="00C02509" w:rsidRPr="002356A7">
        <w:rPr>
          <w:rFonts w:cs="Arial"/>
          <w:lang w:eastAsia="en-GB"/>
        </w:rPr>
        <w:t>n</w:t>
      </w:r>
      <w:r w:rsidR="003C422E" w:rsidRPr="002356A7">
        <w:rPr>
          <w:rFonts w:cs="Arial"/>
          <w:lang w:eastAsia="en-GB"/>
        </w:rPr>
        <w:t xml:space="preserve">gs from </w:t>
      </w:r>
      <w:proofErr w:type="spellStart"/>
      <w:r w:rsidR="003C422E" w:rsidRPr="002356A7">
        <w:rPr>
          <w:rFonts w:cs="Arial"/>
          <w:lang w:eastAsia="en-GB"/>
        </w:rPr>
        <w:t>self employment</w:t>
      </w:r>
      <w:proofErr w:type="spellEnd"/>
      <w:r w:rsidR="003C422E" w:rsidRPr="002356A7">
        <w:rPr>
          <w:rFonts w:cs="Arial"/>
          <w:lang w:eastAsia="en-GB"/>
        </w:rPr>
        <w:t xml:space="preserve"> can be irregular, t</w:t>
      </w:r>
      <w:r w:rsidRPr="002356A7">
        <w:rPr>
          <w:rFonts w:cs="Arial"/>
          <w:lang w:eastAsia="en-GB"/>
        </w:rPr>
        <w:t xml:space="preserve">his will be assessed by calculating the average earnings over months 0 – </w:t>
      </w:r>
      <w:r w:rsidR="00C36093">
        <w:rPr>
          <w:rFonts w:cs="Arial"/>
          <w:lang w:eastAsia="en-GB"/>
        </w:rPr>
        <w:t>6 months</w:t>
      </w:r>
      <w:r w:rsidRPr="002356A7">
        <w:rPr>
          <w:rFonts w:cs="Arial"/>
          <w:lang w:eastAsia="en-GB"/>
        </w:rPr>
        <w:t xml:space="preserve"> and again by calculating the average earnings over months 7 - 12.  </w:t>
      </w:r>
    </w:p>
    <w:p w:rsidR="000C35B6" w:rsidRPr="00EB59BF" w:rsidRDefault="002356A7" w:rsidP="001F045A">
      <w:pPr>
        <w:pStyle w:val="Default"/>
        <w:spacing w:before="600" w:after="240"/>
        <w:outlineLvl w:val="0"/>
        <w:rPr>
          <w:b/>
          <w:color w:val="auto"/>
          <w:sz w:val="28"/>
          <w:szCs w:val="28"/>
        </w:rPr>
      </w:pPr>
      <w:r>
        <w:rPr>
          <w:b/>
          <w:color w:val="auto"/>
          <w:sz w:val="28"/>
          <w:szCs w:val="28"/>
        </w:rPr>
        <w:t>G</w:t>
      </w:r>
      <w:r w:rsidR="00AC538F" w:rsidRPr="00EB59BF">
        <w:rPr>
          <w:b/>
          <w:color w:val="auto"/>
          <w:sz w:val="28"/>
          <w:szCs w:val="28"/>
        </w:rPr>
        <w:t xml:space="preserve">eneric </w:t>
      </w:r>
      <w:r w:rsidR="00CD09BB" w:rsidRPr="00EB59BF">
        <w:rPr>
          <w:b/>
          <w:color w:val="auto"/>
          <w:sz w:val="28"/>
          <w:szCs w:val="28"/>
        </w:rPr>
        <w:t>Provider</w:t>
      </w:r>
      <w:r w:rsidR="00B63BEC" w:rsidRPr="00EB59BF">
        <w:rPr>
          <w:b/>
          <w:color w:val="auto"/>
          <w:sz w:val="28"/>
          <w:szCs w:val="28"/>
        </w:rPr>
        <w:t xml:space="preserve"> Requirements</w:t>
      </w:r>
      <w:r w:rsidR="005433D5" w:rsidRPr="00EB59BF">
        <w:rPr>
          <w:b/>
          <w:color w:val="auto"/>
          <w:sz w:val="28"/>
          <w:szCs w:val="28"/>
        </w:rPr>
        <w:t xml:space="preserve"> </w:t>
      </w:r>
    </w:p>
    <w:p w:rsidR="00CD09BB" w:rsidRPr="00EB59BF" w:rsidRDefault="00CD09BB" w:rsidP="00EC0606">
      <w:pPr>
        <w:widowControl w:val="0"/>
        <w:numPr>
          <w:ilvl w:val="1"/>
          <w:numId w:val="11"/>
        </w:numPr>
        <w:tabs>
          <w:tab w:val="clear" w:pos="645"/>
        </w:tabs>
        <w:autoSpaceDE w:val="0"/>
        <w:autoSpaceDN w:val="0"/>
        <w:adjustRightInd w:val="0"/>
        <w:spacing w:after="240"/>
        <w:ind w:left="709" w:hanging="709"/>
        <w:rPr>
          <w:rFonts w:cs="Arial"/>
          <w:szCs w:val="28"/>
        </w:rPr>
      </w:pPr>
      <w:r w:rsidRPr="00EB59BF">
        <w:rPr>
          <w:rFonts w:cs="Arial"/>
          <w:szCs w:val="28"/>
        </w:rPr>
        <w:t xml:space="preserve">The Provider, and partners as appropriate, will deliver the NEA Minimum Requirements and Participant support set out in their bid and supporting information.  In particular, this will include support to develop the business idea, match the Participant with a Business Mentor and a move to Trading.  The </w:t>
      </w:r>
      <w:r w:rsidRPr="00EB59BF">
        <w:rPr>
          <w:szCs w:val="28"/>
        </w:rPr>
        <w:t>Provider</w:t>
      </w:r>
      <w:r w:rsidRPr="00EB59BF">
        <w:rPr>
          <w:rFonts w:cs="Arial"/>
          <w:szCs w:val="28"/>
        </w:rPr>
        <w:t xml:space="preserve"> will also ensure that there are adequate procedures in place to deal with complaints or disputes raised by individuals at any point during their participation on NEA </w:t>
      </w:r>
      <w:r w:rsidR="0045766F" w:rsidRPr="00EB59BF">
        <w:rPr>
          <w:rFonts w:cs="Arial"/>
          <w:lang w:eastAsia="en-GB"/>
        </w:rPr>
        <w:t xml:space="preserve">Phase 2 </w:t>
      </w:r>
      <w:r w:rsidRPr="00EB59BF">
        <w:rPr>
          <w:rFonts w:cs="Arial"/>
          <w:szCs w:val="28"/>
        </w:rPr>
        <w:t>Mentoring.</w:t>
      </w:r>
    </w:p>
    <w:p w:rsidR="00B63BEC" w:rsidRPr="00EB59BF" w:rsidRDefault="00CD09BB" w:rsidP="00EC0606">
      <w:pPr>
        <w:pStyle w:val="Default"/>
        <w:numPr>
          <w:ilvl w:val="1"/>
          <w:numId w:val="11"/>
        </w:numPr>
        <w:tabs>
          <w:tab w:val="clear" w:pos="645"/>
        </w:tabs>
        <w:spacing w:after="240"/>
        <w:ind w:left="720" w:hanging="720"/>
        <w:outlineLvl w:val="0"/>
        <w:rPr>
          <w:color w:val="auto"/>
        </w:rPr>
      </w:pPr>
      <w:r w:rsidRPr="00EB59BF">
        <w:rPr>
          <w:color w:val="auto"/>
        </w:rPr>
        <w:t xml:space="preserve">The Provider must source appropriately experienced Business Mentors to work with NEA </w:t>
      </w:r>
      <w:r w:rsidR="0045766F" w:rsidRPr="00EB59BF">
        <w:rPr>
          <w:color w:val="auto"/>
        </w:rPr>
        <w:t xml:space="preserve">Phase 2 </w:t>
      </w:r>
      <w:r w:rsidRPr="00EB59BF">
        <w:rPr>
          <w:color w:val="auto"/>
        </w:rPr>
        <w:t>Participants. They must ensure there are sufficient Business Mentors to work with NEA</w:t>
      </w:r>
      <w:r w:rsidR="0045766F" w:rsidRPr="00EB59BF">
        <w:rPr>
          <w:color w:val="auto"/>
        </w:rPr>
        <w:t xml:space="preserve"> Phase 2</w:t>
      </w:r>
      <w:r w:rsidRPr="00EB59BF">
        <w:rPr>
          <w:color w:val="auto"/>
        </w:rPr>
        <w:t xml:space="preserve"> Participants. </w:t>
      </w:r>
    </w:p>
    <w:p w:rsidR="000C7EE1" w:rsidRPr="00EB59BF" w:rsidRDefault="000C7EE1" w:rsidP="000C7EE1">
      <w:pPr>
        <w:pStyle w:val="Default"/>
        <w:spacing w:after="240"/>
        <w:outlineLvl w:val="0"/>
        <w:rPr>
          <w:color w:val="auto"/>
        </w:rPr>
      </w:pPr>
      <w:r w:rsidRPr="00EB59BF">
        <w:rPr>
          <w:b/>
          <w:color w:val="auto"/>
        </w:rPr>
        <w:t>Mentoring Standards</w:t>
      </w:r>
    </w:p>
    <w:p w:rsidR="000C7EE1" w:rsidRPr="00EB59BF" w:rsidRDefault="000C7EE1" w:rsidP="00EC0606">
      <w:pPr>
        <w:pStyle w:val="Default"/>
        <w:numPr>
          <w:ilvl w:val="1"/>
          <w:numId w:val="11"/>
        </w:numPr>
        <w:tabs>
          <w:tab w:val="clear" w:pos="645"/>
        </w:tabs>
        <w:spacing w:after="240"/>
        <w:ind w:left="720" w:hanging="720"/>
        <w:outlineLvl w:val="0"/>
        <w:rPr>
          <w:color w:val="auto"/>
        </w:rPr>
      </w:pPr>
      <w:r w:rsidRPr="00EB59BF">
        <w:rPr>
          <w:color w:val="auto"/>
        </w:rPr>
        <w:t>Providers must ensure that Business Mentors have the business experience and skills needed to support Participants to prepare for self-employment and develop a viable business plan that demonstrates the business’s sustainability</w:t>
      </w:r>
      <w:r w:rsidR="00074AD9">
        <w:rPr>
          <w:color w:val="auto"/>
        </w:rPr>
        <w:t xml:space="preserve"> and growth</w:t>
      </w:r>
      <w:r w:rsidRPr="00EB59BF">
        <w:rPr>
          <w:color w:val="auto"/>
        </w:rPr>
        <w:t xml:space="preserve"> potential.  Business Mentors will be expected to understand the local business landscape and be candid with Participants, but at the same time have the ability to listen and empathise.</w:t>
      </w:r>
    </w:p>
    <w:p w:rsidR="00A73232" w:rsidRPr="00EB59BF" w:rsidRDefault="00A73232" w:rsidP="00EC0606">
      <w:pPr>
        <w:pStyle w:val="Default"/>
        <w:numPr>
          <w:ilvl w:val="1"/>
          <w:numId w:val="11"/>
        </w:numPr>
        <w:tabs>
          <w:tab w:val="clear" w:pos="645"/>
        </w:tabs>
        <w:spacing w:after="240"/>
        <w:ind w:left="720" w:hanging="720"/>
        <w:outlineLvl w:val="0"/>
        <w:rPr>
          <w:color w:val="auto"/>
        </w:rPr>
      </w:pPr>
      <w:r w:rsidRPr="00EB59BF">
        <w:rPr>
          <w:color w:val="auto"/>
        </w:rPr>
        <w:t>Providers are expected to assess the skills and experiences of the mentors, and match those to participants’ needs.  We also expect providers to monitor the quality of mentoring support delivered, and in particular we expect Providers to encourage written feedback on the mentoring support from participants.</w:t>
      </w:r>
    </w:p>
    <w:p w:rsidR="008873C7" w:rsidRDefault="008873C7" w:rsidP="00A36FB1">
      <w:pPr>
        <w:pStyle w:val="Default"/>
        <w:spacing w:after="240"/>
        <w:outlineLvl w:val="0"/>
        <w:rPr>
          <w:b/>
          <w:color w:val="auto"/>
        </w:rPr>
      </w:pPr>
    </w:p>
    <w:p w:rsidR="00A36FB1" w:rsidRPr="00EB59BF" w:rsidRDefault="00A36FB1" w:rsidP="00A36FB1">
      <w:pPr>
        <w:pStyle w:val="Default"/>
        <w:spacing w:after="240"/>
        <w:outlineLvl w:val="0"/>
        <w:rPr>
          <w:b/>
          <w:color w:val="auto"/>
        </w:rPr>
      </w:pPr>
      <w:r w:rsidRPr="00EB59BF">
        <w:rPr>
          <w:b/>
          <w:color w:val="auto"/>
        </w:rPr>
        <w:t>Management Information / Reporting</w:t>
      </w:r>
    </w:p>
    <w:p w:rsidR="000C7EE1" w:rsidRPr="00EB59BF" w:rsidRDefault="000C7EE1" w:rsidP="00EC0606">
      <w:pPr>
        <w:pStyle w:val="Default"/>
        <w:numPr>
          <w:ilvl w:val="1"/>
          <w:numId w:val="11"/>
        </w:numPr>
        <w:tabs>
          <w:tab w:val="clear" w:pos="645"/>
        </w:tabs>
        <w:spacing w:after="240"/>
        <w:ind w:left="720" w:hanging="720"/>
        <w:outlineLvl w:val="0"/>
        <w:rPr>
          <w:color w:val="auto"/>
        </w:rPr>
      </w:pPr>
      <w:r w:rsidRPr="00EB59BF">
        <w:rPr>
          <w:color w:val="auto"/>
          <w:szCs w:val="28"/>
        </w:rPr>
        <w:t>The Provider is required to inform DWP / Jobcentre Plus of Participants</w:t>
      </w:r>
      <w:r w:rsidR="001E1B68">
        <w:rPr>
          <w:color w:val="auto"/>
          <w:szCs w:val="28"/>
        </w:rPr>
        <w:t>’</w:t>
      </w:r>
      <w:r w:rsidRPr="00EB59BF">
        <w:rPr>
          <w:color w:val="auto"/>
          <w:szCs w:val="28"/>
        </w:rPr>
        <w:t xml:space="preserve"> progress on the NEA </w:t>
      </w:r>
      <w:r w:rsidR="008873C7">
        <w:rPr>
          <w:color w:val="auto"/>
        </w:rPr>
        <w:t>Phase 2</w:t>
      </w:r>
      <w:r w:rsidRPr="00EB59BF">
        <w:rPr>
          <w:color w:val="auto"/>
          <w:szCs w:val="28"/>
        </w:rPr>
        <w:t xml:space="preserve">; </w:t>
      </w:r>
      <w:proofErr w:type="gramStart"/>
      <w:r w:rsidR="005433D5" w:rsidRPr="00EB59BF">
        <w:rPr>
          <w:color w:val="auto"/>
          <w:szCs w:val="28"/>
        </w:rPr>
        <w:t>This</w:t>
      </w:r>
      <w:proofErr w:type="gramEnd"/>
      <w:r w:rsidR="005433D5" w:rsidRPr="00EB59BF">
        <w:rPr>
          <w:color w:val="auto"/>
          <w:szCs w:val="28"/>
        </w:rPr>
        <w:t xml:space="preserve"> is currently the NEA 1 form and associated process </w:t>
      </w:r>
      <w:r w:rsidRPr="00EB59BF">
        <w:rPr>
          <w:color w:val="auto"/>
          <w:szCs w:val="28"/>
        </w:rPr>
        <w:t xml:space="preserve">DWP will provide details of </w:t>
      </w:r>
      <w:r w:rsidR="005433D5" w:rsidRPr="00EB59BF">
        <w:rPr>
          <w:color w:val="auto"/>
          <w:szCs w:val="28"/>
        </w:rPr>
        <w:t>any updated process in Provider Guidance.</w:t>
      </w:r>
      <w:r w:rsidRPr="00EB59BF">
        <w:rPr>
          <w:color w:val="auto"/>
          <w:szCs w:val="28"/>
        </w:rPr>
        <w:t xml:space="preserve">  </w:t>
      </w:r>
      <w:r w:rsidR="00A73232" w:rsidRPr="00EB59BF">
        <w:rPr>
          <w:color w:val="auto"/>
          <w:szCs w:val="28"/>
        </w:rPr>
        <w:t>For new business starts, t</w:t>
      </w:r>
      <w:r w:rsidRPr="00EB59BF">
        <w:rPr>
          <w:color w:val="auto"/>
          <w:szCs w:val="28"/>
        </w:rPr>
        <w:t>he Provider is required to report against the following key events for each Participant:</w:t>
      </w:r>
    </w:p>
    <w:p w:rsidR="00A73232" w:rsidRPr="002913A9" w:rsidRDefault="00A73232" w:rsidP="00EC0606">
      <w:pPr>
        <w:pStyle w:val="Default"/>
        <w:numPr>
          <w:ilvl w:val="1"/>
          <w:numId w:val="46"/>
        </w:numPr>
        <w:tabs>
          <w:tab w:val="clear" w:pos="645"/>
        </w:tabs>
        <w:ind w:left="1560"/>
        <w:outlineLvl w:val="0"/>
        <w:rPr>
          <w:color w:val="auto"/>
          <w:szCs w:val="28"/>
        </w:rPr>
      </w:pPr>
      <w:r w:rsidRPr="002913A9">
        <w:rPr>
          <w:color w:val="auto"/>
          <w:szCs w:val="28"/>
        </w:rPr>
        <w:lastRenderedPageBreak/>
        <w:t xml:space="preserve">attendance at </w:t>
      </w:r>
      <w:r>
        <w:rPr>
          <w:color w:val="auto"/>
          <w:szCs w:val="28"/>
        </w:rPr>
        <w:t xml:space="preserve">the </w:t>
      </w:r>
      <w:r w:rsidR="00137652">
        <w:rPr>
          <w:color w:val="auto"/>
        </w:rPr>
        <w:t>Link Up : Start Up</w:t>
      </w:r>
      <w:r w:rsidR="00137652">
        <w:rPr>
          <w:color w:val="auto"/>
          <w:szCs w:val="28"/>
        </w:rPr>
        <w:t xml:space="preserve"> </w:t>
      </w:r>
      <w:r>
        <w:rPr>
          <w:color w:val="auto"/>
          <w:szCs w:val="28"/>
        </w:rPr>
        <w:t>workshop;</w:t>
      </w:r>
    </w:p>
    <w:p w:rsidR="00A73232" w:rsidRPr="002913A9" w:rsidRDefault="00A73232" w:rsidP="00EC0606">
      <w:pPr>
        <w:pStyle w:val="Default"/>
        <w:numPr>
          <w:ilvl w:val="1"/>
          <w:numId w:val="46"/>
        </w:numPr>
        <w:tabs>
          <w:tab w:val="clear" w:pos="645"/>
        </w:tabs>
        <w:ind w:left="1560"/>
        <w:outlineLvl w:val="0"/>
        <w:rPr>
          <w:color w:val="auto"/>
          <w:szCs w:val="28"/>
        </w:rPr>
      </w:pPr>
      <w:r>
        <w:rPr>
          <w:color w:val="auto"/>
          <w:szCs w:val="28"/>
        </w:rPr>
        <w:t>r</w:t>
      </w:r>
      <w:r w:rsidRPr="002913A9">
        <w:rPr>
          <w:color w:val="auto"/>
          <w:szCs w:val="28"/>
        </w:rPr>
        <w:t>esult of the Initial Assessment</w:t>
      </w:r>
      <w:r>
        <w:rPr>
          <w:color w:val="auto"/>
          <w:szCs w:val="28"/>
        </w:rPr>
        <w:t>;</w:t>
      </w:r>
    </w:p>
    <w:p w:rsidR="00A73232" w:rsidRPr="002913A9" w:rsidRDefault="00A73232" w:rsidP="00EC0606">
      <w:pPr>
        <w:pStyle w:val="Default"/>
        <w:numPr>
          <w:ilvl w:val="1"/>
          <w:numId w:val="46"/>
        </w:numPr>
        <w:tabs>
          <w:tab w:val="clear" w:pos="645"/>
        </w:tabs>
        <w:ind w:left="1560"/>
        <w:outlineLvl w:val="0"/>
        <w:rPr>
          <w:color w:val="auto"/>
          <w:szCs w:val="28"/>
        </w:rPr>
      </w:pPr>
      <w:r>
        <w:rPr>
          <w:color w:val="auto"/>
          <w:szCs w:val="28"/>
        </w:rPr>
        <w:t xml:space="preserve">start on NEA </w:t>
      </w:r>
      <w:r w:rsidR="008873C7">
        <w:rPr>
          <w:color w:val="auto"/>
          <w:szCs w:val="28"/>
        </w:rPr>
        <w:t>Phase 2</w:t>
      </w:r>
      <w:r>
        <w:rPr>
          <w:color w:val="auto"/>
          <w:szCs w:val="28"/>
        </w:rPr>
        <w:t>;</w:t>
      </w:r>
    </w:p>
    <w:p w:rsidR="00A73232" w:rsidRPr="002913A9" w:rsidRDefault="00A73232" w:rsidP="00EC0606">
      <w:pPr>
        <w:pStyle w:val="Default"/>
        <w:numPr>
          <w:ilvl w:val="1"/>
          <w:numId w:val="46"/>
        </w:numPr>
        <w:tabs>
          <w:tab w:val="clear" w:pos="645"/>
        </w:tabs>
        <w:ind w:left="1560"/>
        <w:outlineLvl w:val="0"/>
        <w:rPr>
          <w:color w:val="auto"/>
          <w:szCs w:val="28"/>
        </w:rPr>
      </w:pPr>
      <w:r w:rsidRPr="002913A9">
        <w:rPr>
          <w:color w:val="auto"/>
          <w:szCs w:val="28"/>
        </w:rPr>
        <w:t xml:space="preserve">completed the mentoring phase of the </w:t>
      </w:r>
      <w:r w:rsidR="002356A7">
        <w:rPr>
          <w:color w:val="auto"/>
          <w:szCs w:val="28"/>
        </w:rPr>
        <w:t xml:space="preserve">programme </w:t>
      </w:r>
      <w:r w:rsidRPr="002913A9">
        <w:rPr>
          <w:color w:val="auto"/>
          <w:szCs w:val="28"/>
        </w:rPr>
        <w:t xml:space="preserve">and submitted a business plan; </w:t>
      </w:r>
    </w:p>
    <w:p w:rsidR="00A73232" w:rsidRDefault="00A73232" w:rsidP="00EC0606">
      <w:pPr>
        <w:pStyle w:val="Default"/>
        <w:numPr>
          <w:ilvl w:val="1"/>
          <w:numId w:val="46"/>
        </w:numPr>
        <w:tabs>
          <w:tab w:val="clear" w:pos="645"/>
        </w:tabs>
        <w:ind w:left="1560"/>
        <w:outlineLvl w:val="0"/>
        <w:rPr>
          <w:color w:val="auto"/>
          <w:szCs w:val="28"/>
        </w:rPr>
      </w:pPr>
      <w:r w:rsidRPr="002913A9">
        <w:rPr>
          <w:color w:val="auto"/>
          <w:szCs w:val="28"/>
        </w:rPr>
        <w:t xml:space="preserve">commenced trading; </w:t>
      </w:r>
    </w:p>
    <w:p w:rsidR="00A36FB1" w:rsidRPr="002913A9" w:rsidRDefault="00A36FB1" w:rsidP="00EC0606">
      <w:pPr>
        <w:pStyle w:val="Default"/>
        <w:numPr>
          <w:ilvl w:val="1"/>
          <w:numId w:val="46"/>
        </w:numPr>
        <w:tabs>
          <w:tab w:val="clear" w:pos="645"/>
        </w:tabs>
        <w:ind w:left="1560"/>
        <w:outlineLvl w:val="0"/>
        <w:rPr>
          <w:color w:val="auto"/>
          <w:szCs w:val="28"/>
        </w:rPr>
      </w:pPr>
      <w:r>
        <w:rPr>
          <w:color w:val="auto"/>
          <w:szCs w:val="28"/>
        </w:rPr>
        <w:t xml:space="preserve">completed </w:t>
      </w:r>
      <w:r w:rsidR="00C36093">
        <w:rPr>
          <w:color w:val="auto"/>
          <w:szCs w:val="28"/>
        </w:rPr>
        <w:t>6 months / 26 weeks</w:t>
      </w:r>
      <w:r>
        <w:rPr>
          <w:color w:val="auto"/>
          <w:szCs w:val="28"/>
        </w:rPr>
        <w:t xml:space="preserve"> of trading</w:t>
      </w:r>
      <w:r w:rsidR="001E1B68">
        <w:rPr>
          <w:color w:val="auto"/>
          <w:szCs w:val="28"/>
        </w:rPr>
        <w:t>;</w:t>
      </w:r>
      <w:r w:rsidR="001E1B68" w:rsidRPr="001E1B68">
        <w:rPr>
          <w:color w:val="auto"/>
          <w:szCs w:val="28"/>
        </w:rPr>
        <w:t xml:space="preserve"> </w:t>
      </w:r>
      <w:r w:rsidR="001E1B68" w:rsidRPr="002913A9">
        <w:rPr>
          <w:color w:val="auto"/>
          <w:szCs w:val="28"/>
        </w:rPr>
        <w:t>and</w:t>
      </w:r>
    </w:p>
    <w:p w:rsidR="00A73232" w:rsidRPr="00A73232" w:rsidRDefault="00A73232" w:rsidP="00EC0606">
      <w:pPr>
        <w:pStyle w:val="Default"/>
        <w:numPr>
          <w:ilvl w:val="1"/>
          <w:numId w:val="46"/>
        </w:numPr>
        <w:tabs>
          <w:tab w:val="clear" w:pos="645"/>
        </w:tabs>
        <w:spacing w:after="240"/>
        <w:ind w:left="1560"/>
        <w:outlineLvl w:val="0"/>
        <w:rPr>
          <w:color w:val="auto"/>
          <w:szCs w:val="28"/>
        </w:rPr>
      </w:pPr>
      <w:proofErr w:type="gramStart"/>
      <w:r w:rsidRPr="002913A9">
        <w:rPr>
          <w:color w:val="auto"/>
          <w:szCs w:val="28"/>
        </w:rPr>
        <w:t>completed</w:t>
      </w:r>
      <w:proofErr w:type="gramEnd"/>
      <w:r w:rsidRPr="002913A9">
        <w:rPr>
          <w:color w:val="auto"/>
          <w:szCs w:val="28"/>
        </w:rPr>
        <w:t xml:space="preserve"> </w:t>
      </w:r>
      <w:r w:rsidR="00F62878">
        <w:rPr>
          <w:color w:val="auto"/>
          <w:szCs w:val="28"/>
        </w:rPr>
        <w:t>1</w:t>
      </w:r>
      <w:r w:rsidRPr="002913A9">
        <w:rPr>
          <w:color w:val="auto"/>
          <w:szCs w:val="28"/>
        </w:rPr>
        <w:t>2</w:t>
      </w:r>
      <w:r w:rsidR="00F62878">
        <w:rPr>
          <w:color w:val="auto"/>
          <w:szCs w:val="28"/>
        </w:rPr>
        <w:t xml:space="preserve"> months</w:t>
      </w:r>
      <w:r w:rsidR="006339F2">
        <w:rPr>
          <w:color w:val="auto"/>
          <w:szCs w:val="28"/>
        </w:rPr>
        <w:t xml:space="preserve"> / 52 weeks</w:t>
      </w:r>
      <w:r w:rsidR="00F62878">
        <w:rPr>
          <w:color w:val="auto"/>
          <w:szCs w:val="28"/>
        </w:rPr>
        <w:t xml:space="preserve"> of </w:t>
      </w:r>
      <w:r w:rsidRPr="002913A9">
        <w:rPr>
          <w:color w:val="auto"/>
          <w:szCs w:val="28"/>
        </w:rPr>
        <w:t xml:space="preserve"> trading</w:t>
      </w:r>
      <w:r>
        <w:rPr>
          <w:color w:val="auto"/>
          <w:szCs w:val="28"/>
        </w:rPr>
        <w:t>.</w:t>
      </w:r>
    </w:p>
    <w:p w:rsidR="00A73232" w:rsidRPr="00A73232" w:rsidRDefault="00A73232" w:rsidP="00EC0606">
      <w:pPr>
        <w:pStyle w:val="Default"/>
        <w:numPr>
          <w:ilvl w:val="1"/>
          <w:numId w:val="11"/>
        </w:numPr>
        <w:tabs>
          <w:tab w:val="clear" w:pos="645"/>
        </w:tabs>
        <w:spacing w:after="240"/>
        <w:ind w:left="720" w:hanging="720"/>
        <w:outlineLvl w:val="0"/>
        <w:rPr>
          <w:color w:val="auto"/>
        </w:rPr>
      </w:pPr>
      <w:r>
        <w:rPr>
          <w:color w:val="auto"/>
          <w:szCs w:val="28"/>
        </w:rPr>
        <w:t>For existing self-employed t</w:t>
      </w:r>
      <w:r w:rsidRPr="002913A9">
        <w:rPr>
          <w:color w:val="auto"/>
          <w:szCs w:val="28"/>
        </w:rPr>
        <w:t>he Provider is required to report against the following key events for each Participant:</w:t>
      </w:r>
    </w:p>
    <w:p w:rsidR="00A73232" w:rsidRPr="002913A9" w:rsidRDefault="00A73232" w:rsidP="00EC0606">
      <w:pPr>
        <w:pStyle w:val="Default"/>
        <w:numPr>
          <w:ilvl w:val="1"/>
          <w:numId w:val="46"/>
        </w:numPr>
        <w:tabs>
          <w:tab w:val="clear" w:pos="645"/>
        </w:tabs>
        <w:ind w:left="1560"/>
        <w:outlineLvl w:val="0"/>
        <w:rPr>
          <w:color w:val="auto"/>
          <w:szCs w:val="28"/>
        </w:rPr>
      </w:pPr>
      <w:r>
        <w:rPr>
          <w:color w:val="auto"/>
          <w:szCs w:val="28"/>
        </w:rPr>
        <w:t>r</w:t>
      </w:r>
      <w:r w:rsidRPr="002913A9">
        <w:rPr>
          <w:color w:val="auto"/>
          <w:szCs w:val="28"/>
        </w:rPr>
        <w:t>esult of the Initial Assessment</w:t>
      </w:r>
      <w:r>
        <w:rPr>
          <w:color w:val="auto"/>
          <w:szCs w:val="28"/>
        </w:rPr>
        <w:t>;</w:t>
      </w:r>
    </w:p>
    <w:p w:rsidR="00A73232" w:rsidRPr="002913A9" w:rsidRDefault="00A73232" w:rsidP="00EC0606">
      <w:pPr>
        <w:pStyle w:val="Default"/>
        <w:numPr>
          <w:ilvl w:val="1"/>
          <w:numId w:val="46"/>
        </w:numPr>
        <w:tabs>
          <w:tab w:val="clear" w:pos="645"/>
        </w:tabs>
        <w:ind w:left="1560"/>
        <w:outlineLvl w:val="0"/>
        <w:rPr>
          <w:color w:val="auto"/>
          <w:szCs w:val="28"/>
        </w:rPr>
      </w:pPr>
      <w:r>
        <w:rPr>
          <w:color w:val="auto"/>
          <w:szCs w:val="28"/>
        </w:rPr>
        <w:t xml:space="preserve">start on NEA </w:t>
      </w:r>
      <w:r w:rsidR="008873C7">
        <w:t>Phase 2</w:t>
      </w:r>
      <w:r>
        <w:rPr>
          <w:color w:val="auto"/>
          <w:szCs w:val="28"/>
        </w:rPr>
        <w:t>;</w:t>
      </w:r>
    </w:p>
    <w:p w:rsidR="00A73232" w:rsidRPr="002913A9" w:rsidRDefault="00A73232" w:rsidP="00EC0606">
      <w:pPr>
        <w:pStyle w:val="Default"/>
        <w:numPr>
          <w:ilvl w:val="1"/>
          <w:numId w:val="46"/>
        </w:numPr>
        <w:tabs>
          <w:tab w:val="clear" w:pos="645"/>
        </w:tabs>
        <w:ind w:left="1560"/>
        <w:outlineLvl w:val="0"/>
        <w:rPr>
          <w:color w:val="auto"/>
          <w:szCs w:val="28"/>
        </w:rPr>
      </w:pPr>
      <w:r w:rsidRPr="002913A9">
        <w:rPr>
          <w:color w:val="auto"/>
          <w:szCs w:val="28"/>
        </w:rPr>
        <w:t xml:space="preserve">completed the mentoring phase of the </w:t>
      </w:r>
      <w:r w:rsidR="002356A7">
        <w:rPr>
          <w:color w:val="auto"/>
          <w:szCs w:val="28"/>
        </w:rPr>
        <w:t>programme</w:t>
      </w:r>
      <w:r w:rsidRPr="002913A9">
        <w:rPr>
          <w:color w:val="auto"/>
          <w:szCs w:val="28"/>
        </w:rPr>
        <w:t xml:space="preserve"> and submitted a </w:t>
      </w:r>
      <w:r>
        <w:rPr>
          <w:color w:val="auto"/>
          <w:szCs w:val="28"/>
        </w:rPr>
        <w:t>Business Development and Growth P</w:t>
      </w:r>
      <w:r w:rsidRPr="002913A9">
        <w:rPr>
          <w:color w:val="auto"/>
          <w:szCs w:val="28"/>
        </w:rPr>
        <w:t xml:space="preserve">lan; </w:t>
      </w:r>
    </w:p>
    <w:p w:rsidR="00A73232" w:rsidRPr="002913A9" w:rsidRDefault="00A73232" w:rsidP="00EC0606">
      <w:pPr>
        <w:pStyle w:val="Default"/>
        <w:numPr>
          <w:ilvl w:val="1"/>
          <w:numId w:val="46"/>
        </w:numPr>
        <w:tabs>
          <w:tab w:val="clear" w:pos="645"/>
        </w:tabs>
        <w:ind w:left="1560"/>
        <w:outlineLvl w:val="0"/>
        <w:rPr>
          <w:color w:val="auto"/>
          <w:szCs w:val="28"/>
        </w:rPr>
      </w:pPr>
      <w:r>
        <w:rPr>
          <w:color w:val="auto"/>
          <w:szCs w:val="28"/>
        </w:rPr>
        <w:t>sees an average increase in earnings from the</w:t>
      </w:r>
      <w:r w:rsidR="002356A7">
        <w:rPr>
          <w:color w:val="auto"/>
          <w:szCs w:val="28"/>
        </w:rPr>
        <w:t>ir</w:t>
      </w:r>
      <w:r>
        <w:rPr>
          <w:color w:val="auto"/>
          <w:szCs w:val="28"/>
        </w:rPr>
        <w:t xml:space="preserve"> business for the </w:t>
      </w:r>
      <w:r w:rsidR="00C36093">
        <w:rPr>
          <w:color w:val="auto"/>
          <w:szCs w:val="28"/>
        </w:rPr>
        <w:t>6 months / 26 weeks</w:t>
      </w:r>
      <w:r>
        <w:rPr>
          <w:color w:val="auto"/>
          <w:szCs w:val="28"/>
        </w:rPr>
        <w:t xml:space="preserve"> after the BDGP a</w:t>
      </w:r>
      <w:r w:rsidR="00C52E59">
        <w:rPr>
          <w:color w:val="auto"/>
          <w:szCs w:val="28"/>
        </w:rPr>
        <w:t>pproval</w:t>
      </w:r>
      <w:r w:rsidRPr="002913A9">
        <w:rPr>
          <w:color w:val="auto"/>
          <w:szCs w:val="28"/>
        </w:rPr>
        <w:t>; and</w:t>
      </w:r>
    </w:p>
    <w:p w:rsidR="00A73232" w:rsidRPr="002356A7" w:rsidRDefault="002356A7" w:rsidP="002356A7">
      <w:pPr>
        <w:pStyle w:val="ListParagraph"/>
        <w:numPr>
          <w:ilvl w:val="1"/>
          <w:numId w:val="46"/>
        </w:numPr>
        <w:spacing w:after="240"/>
        <w:ind w:left="1560"/>
        <w:outlineLvl w:val="0"/>
        <w:rPr>
          <w:szCs w:val="28"/>
        </w:rPr>
      </w:pPr>
      <w:proofErr w:type="gramStart"/>
      <w:r w:rsidRPr="002356A7">
        <w:rPr>
          <w:rFonts w:cs="Arial"/>
          <w:szCs w:val="28"/>
          <w:lang w:eastAsia="en-GB"/>
        </w:rPr>
        <w:t>sees</w:t>
      </w:r>
      <w:proofErr w:type="gramEnd"/>
      <w:r w:rsidRPr="002356A7">
        <w:rPr>
          <w:rFonts w:cs="Arial"/>
          <w:szCs w:val="28"/>
          <w:lang w:eastAsia="en-GB"/>
        </w:rPr>
        <w:t xml:space="preserve"> an average increase in earnings from their business for the months </w:t>
      </w:r>
      <w:r>
        <w:rPr>
          <w:rFonts w:cs="Arial"/>
          <w:szCs w:val="28"/>
          <w:lang w:eastAsia="en-GB"/>
        </w:rPr>
        <w:t xml:space="preserve">7 to 12 </w:t>
      </w:r>
      <w:r w:rsidRPr="002356A7">
        <w:rPr>
          <w:rFonts w:cs="Arial"/>
          <w:szCs w:val="28"/>
          <w:lang w:eastAsia="en-GB"/>
        </w:rPr>
        <w:t>after the BDGP approval</w:t>
      </w:r>
      <w:r w:rsidR="001E1B68">
        <w:rPr>
          <w:rFonts w:cs="Arial"/>
          <w:szCs w:val="28"/>
          <w:lang w:eastAsia="en-GB"/>
        </w:rPr>
        <w:t>.</w:t>
      </w:r>
    </w:p>
    <w:p w:rsidR="003876C1" w:rsidRPr="00E06FC5" w:rsidRDefault="003876C1" w:rsidP="003876C1">
      <w:pPr>
        <w:pStyle w:val="Heading2"/>
        <w:spacing w:after="240"/>
        <w:jc w:val="both"/>
        <w:rPr>
          <w:b w:val="0"/>
          <w:szCs w:val="24"/>
        </w:rPr>
      </w:pPr>
      <w:r w:rsidRPr="00E3467B">
        <w:rPr>
          <w:szCs w:val="24"/>
        </w:rPr>
        <w:t>Referrals</w:t>
      </w:r>
      <w:r>
        <w:rPr>
          <w:szCs w:val="24"/>
        </w:rPr>
        <w:t xml:space="preserve"> </w:t>
      </w:r>
    </w:p>
    <w:p w:rsidR="003876C1" w:rsidRPr="003876C1" w:rsidRDefault="00F071A3" w:rsidP="00EC0606">
      <w:pPr>
        <w:pStyle w:val="Default"/>
        <w:numPr>
          <w:ilvl w:val="1"/>
          <w:numId w:val="11"/>
        </w:numPr>
        <w:tabs>
          <w:tab w:val="clear" w:pos="645"/>
        </w:tabs>
        <w:spacing w:after="240"/>
        <w:ind w:hanging="645"/>
        <w:outlineLvl w:val="0"/>
        <w:rPr>
          <w:color w:val="auto"/>
        </w:rPr>
      </w:pPr>
      <w:r>
        <w:t>F</w:t>
      </w:r>
      <w:r w:rsidR="003876C1" w:rsidRPr="003876C1">
        <w:t>or new business starts:</w:t>
      </w:r>
    </w:p>
    <w:p w:rsidR="003876C1" w:rsidRPr="00E3467B" w:rsidRDefault="003876C1" w:rsidP="00EC0606">
      <w:pPr>
        <w:pStyle w:val="Heading2"/>
        <w:numPr>
          <w:ilvl w:val="0"/>
          <w:numId w:val="48"/>
        </w:numPr>
        <w:spacing w:after="240"/>
        <w:jc w:val="both"/>
        <w:rPr>
          <w:b w:val="0"/>
          <w:bCs w:val="0"/>
        </w:rPr>
      </w:pPr>
      <w:r>
        <w:rPr>
          <w:b w:val="0"/>
          <w:bCs w:val="0"/>
        </w:rPr>
        <w:t>J</w:t>
      </w:r>
      <w:r w:rsidRPr="00E3467B">
        <w:rPr>
          <w:b w:val="0"/>
          <w:bCs w:val="0"/>
        </w:rPr>
        <w:t xml:space="preserve">obcentre Plus (JCP) will refer eligible people to the </w:t>
      </w:r>
      <w:r w:rsidR="00137652" w:rsidRPr="00137652">
        <w:rPr>
          <w:b w:val="0"/>
        </w:rPr>
        <w:t xml:space="preserve">Link </w:t>
      </w:r>
      <w:proofErr w:type="gramStart"/>
      <w:r w:rsidR="00137652" w:rsidRPr="00137652">
        <w:rPr>
          <w:b w:val="0"/>
        </w:rPr>
        <w:t>Up :</w:t>
      </w:r>
      <w:proofErr w:type="gramEnd"/>
      <w:r w:rsidR="00137652" w:rsidRPr="00137652">
        <w:rPr>
          <w:b w:val="0"/>
        </w:rPr>
        <w:t xml:space="preserve"> Start Up</w:t>
      </w:r>
      <w:r w:rsidR="00137652" w:rsidRPr="00E3467B">
        <w:rPr>
          <w:b w:val="0"/>
          <w:bCs w:val="0"/>
        </w:rPr>
        <w:t xml:space="preserve"> </w:t>
      </w:r>
      <w:r w:rsidRPr="00E3467B">
        <w:rPr>
          <w:b w:val="0"/>
          <w:bCs w:val="0"/>
        </w:rPr>
        <w:t>Workshops by contacting the Provider by phone before submitting the referral on the Provider Referral and Payment (</w:t>
      </w:r>
      <w:proofErr w:type="spellStart"/>
      <w:r w:rsidRPr="00E3467B">
        <w:rPr>
          <w:b w:val="0"/>
        </w:rPr>
        <w:t>PRaP</w:t>
      </w:r>
      <w:proofErr w:type="spellEnd"/>
      <w:r w:rsidRPr="00E3467B">
        <w:rPr>
          <w:b w:val="0"/>
        </w:rPr>
        <w:t xml:space="preserve">) </w:t>
      </w:r>
      <w:r w:rsidRPr="00E3467B">
        <w:rPr>
          <w:b w:val="0"/>
          <w:bCs w:val="0"/>
        </w:rPr>
        <w:t>system.</w:t>
      </w:r>
    </w:p>
    <w:p w:rsidR="003876C1" w:rsidRPr="003876C1" w:rsidRDefault="003876C1" w:rsidP="00EC0606">
      <w:pPr>
        <w:pStyle w:val="Default"/>
        <w:numPr>
          <w:ilvl w:val="0"/>
          <w:numId w:val="48"/>
        </w:numPr>
        <w:spacing w:after="240"/>
        <w:outlineLvl w:val="0"/>
        <w:rPr>
          <w:color w:val="auto"/>
        </w:rPr>
      </w:pPr>
      <w:r w:rsidRPr="000414CA">
        <w:rPr>
          <w:bCs/>
        </w:rPr>
        <w:t xml:space="preserve">JCP will also refer those who have attended the </w:t>
      </w:r>
      <w:r w:rsidR="00137652">
        <w:rPr>
          <w:color w:val="auto"/>
        </w:rPr>
        <w:t xml:space="preserve">Link </w:t>
      </w:r>
      <w:proofErr w:type="gramStart"/>
      <w:r w:rsidR="00137652">
        <w:rPr>
          <w:color w:val="auto"/>
        </w:rPr>
        <w:t>Up :</w:t>
      </w:r>
      <w:proofErr w:type="gramEnd"/>
      <w:r w:rsidR="00137652">
        <w:rPr>
          <w:color w:val="auto"/>
        </w:rPr>
        <w:t xml:space="preserve"> Start Up</w:t>
      </w:r>
      <w:r w:rsidRPr="000414CA">
        <w:rPr>
          <w:bCs/>
        </w:rPr>
        <w:t xml:space="preserve"> Workshop who still want to explore their self-employment options, by contacting the Provider</w:t>
      </w:r>
      <w:r w:rsidR="00022BB4">
        <w:rPr>
          <w:bCs/>
        </w:rPr>
        <w:t xml:space="preserve"> via phone,</w:t>
      </w:r>
      <w:r w:rsidR="00DB781E">
        <w:rPr>
          <w:bCs/>
        </w:rPr>
        <w:t xml:space="preserve"> </w:t>
      </w:r>
      <w:r w:rsidRPr="000414CA">
        <w:rPr>
          <w:bCs/>
        </w:rPr>
        <w:t>arranging a one-to-one, face-to-face Initial Assessment</w:t>
      </w:r>
      <w:r w:rsidR="00022BB4">
        <w:rPr>
          <w:bCs/>
        </w:rPr>
        <w:t xml:space="preserve"> and submitting the referral on </w:t>
      </w:r>
      <w:proofErr w:type="spellStart"/>
      <w:r w:rsidR="00022BB4">
        <w:rPr>
          <w:bCs/>
        </w:rPr>
        <w:t>PRaP</w:t>
      </w:r>
      <w:proofErr w:type="spellEnd"/>
      <w:r w:rsidRPr="000414CA">
        <w:rPr>
          <w:bCs/>
        </w:rPr>
        <w:t>. Providers must have a designated point of contact to field and manage phone calls to book these appointments.</w:t>
      </w:r>
    </w:p>
    <w:p w:rsidR="003876C1" w:rsidRPr="003876C1" w:rsidRDefault="00F071A3" w:rsidP="00EC0606">
      <w:pPr>
        <w:pStyle w:val="Default"/>
        <w:numPr>
          <w:ilvl w:val="1"/>
          <w:numId w:val="11"/>
        </w:numPr>
        <w:tabs>
          <w:tab w:val="clear" w:pos="645"/>
        </w:tabs>
        <w:spacing w:after="240"/>
        <w:ind w:hanging="645"/>
        <w:outlineLvl w:val="0"/>
        <w:rPr>
          <w:color w:val="auto"/>
        </w:rPr>
      </w:pPr>
      <w:r>
        <w:t>F</w:t>
      </w:r>
      <w:r w:rsidR="003876C1" w:rsidRPr="003876C1">
        <w:t xml:space="preserve">or </w:t>
      </w:r>
      <w:r w:rsidR="00DE7A1D">
        <w:t xml:space="preserve">UC </w:t>
      </w:r>
      <w:r w:rsidR="003876C1" w:rsidRPr="003876C1">
        <w:t xml:space="preserve">existing </w:t>
      </w:r>
      <w:proofErr w:type="spellStart"/>
      <w:r w:rsidR="00DE7A1D">
        <w:t>self employed</w:t>
      </w:r>
      <w:proofErr w:type="spellEnd"/>
      <w:r w:rsidR="00DE7A1D">
        <w:t xml:space="preserve"> </w:t>
      </w:r>
      <w:r w:rsidR="003876C1" w:rsidRPr="003876C1">
        <w:t>starts:</w:t>
      </w:r>
    </w:p>
    <w:p w:rsidR="003876C1" w:rsidRDefault="003876C1" w:rsidP="00EC0606">
      <w:pPr>
        <w:pStyle w:val="Default"/>
        <w:numPr>
          <w:ilvl w:val="0"/>
          <w:numId w:val="49"/>
        </w:numPr>
        <w:spacing w:after="240"/>
        <w:ind w:left="709"/>
        <w:outlineLvl w:val="0"/>
        <w:rPr>
          <w:color w:val="auto"/>
        </w:rPr>
      </w:pPr>
      <w:r w:rsidRPr="000414CA">
        <w:rPr>
          <w:bCs/>
        </w:rPr>
        <w:t xml:space="preserve">Jobcentre </w:t>
      </w:r>
      <w:proofErr w:type="gramStart"/>
      <w:r w:rsidRPr="000414CA">
        <w:rPr>
          <w:bCs/>
        </w:rPr>
        <w:t>Plus</w:t>
      </w:r>
      <w:proofErr w:type="gramEnd"/>
      <w:r w:rsidRPr="000414CA">
        <w:rPr>
          <w:bCs/>
        </w:rPr>
        <w:t xml:space="preserve"> (JCP) will refer eligible people to an Initial Assessment by contacting the Provider by phone before submitting the referral on the Provider Referral and Payment (</w:t>
      </w:r>
      <w:proofErr w:type="spellStart"/>
      <w:r w:rsidRPr="000414CA">
        <w:t>PRaP</w:t>
      </w:r>
      <w:proofErr w:type="spellEnd"/>
      <w:r w:rsidRPr="000414CA">
        <w:t xml:space="preserve">) </w:t>
      </w:r>
      <w:r w:rsidRPr="000414CA">
        <w:rPr>
          <w:bCs/>
        </w:rPr>
        <w:t>system.</w:t>
      </w:r>
    </w:p>
    <w:p w:rsidR="003876C1" w:rsidRDefault="003876C1" w:rsidP="00EC0606">
      <w:pPr>
        <w:pStyle w:val="Default"/>
        <w:numPr>
          <w:ilvl w:val="1"/>
          <w:numId w:val="11"/>
        </w:numPr>
        <w:tabs>
          <w:tab w:val="clear" w:pos="645"/>
        </w:tabs>
        <w:spacing w:after="240"/>
        <w:ind w:hanging="645"/>
        <w:outlineLvl w:val="0"/>
        <w:rPr>
          <w:color w:val="auto"/>
        </w:rPr>
      </w:pPr>
      <w:r w:rsidRPr="00E3467B">
        <w:rPr>
          <w:color w:val="auto"/>
        </w:rPr>
        <w:t xml:space="preserve">The JCP </w:t>
      </w:r>
      <w:r w:rsidR="00725712">
        <w:rPr>
          <w:color w:val="auto"/>
        </w:rPr>
        <w:t xml:space="preserve">Work </w:t>
      </w:r>
      <w:proofErr w:type="gramStart"/>
      <w:r w:rsidR="00725712">
        <w:rPr>
          <w:color w:val="auto"/>
        </w:rPr>
        <w:t xml:space="preserve">Coach </w:t>
      </w:r>
      <w:r w:rsidRPr="00E3467B">
        <w:rPr>
          <w:color w:val="auto"/>
        </w:rPr>
        <w:t xml:space="preserve"> will</w:t>
      </w:r>
      <w:proofErr w:type="gramEnd"/>
      <w:r w:rsidRPr="00E3467B">
        <w:rPr>
          <w:color w:val="auto"/>
        </w:rPr>
        <w:t xml:space="preserve"> make the Participant referral which will create a referral in the </w:t>
      </w:r>
      <w:proofErr w:type="spellStart"/>
      <w:r w:rsidRPr="00E3467B">
        <w:rPr>
          <w:color w:val="auto"/>
        </w:rPr>
        <w:t>PRaP</w:t>
      </w:r>
      <w:proofErr w:type="spellEnd"/>
      <w:r w:rsidRPr="00E3467B">
        <w:rPr>
          <w:color w:val="auto"/>
        </w:rPr>
        <w:t xml:space="preserve"> system. The referral information sent as part of the referral will include:</w:t>
      </w:r>
    </w:p>
    <w:p w:rsidR="003876C1" w:rsidRPr="00E3467B" w:rsidRDefault="003876C1" w:rsidP="00EC0606">
      <w:pPr>
        <w:numPr>
          <w:ilvl w:val="0"/>
          <w:numId w:val="50"/>
        </w:numPr>
        <w:autoSpaceDE w:val="0"/>
        <w:autoSpaceDN w:val="0"/>
        <w:adjustRightInd w:val="0"/>
        <w:ind w:left="1134"/>
        <w:rPr>
          <w:rFonts w:cs="Arial"/>
        </w:rPr>
      </w:pPr>
      <w:r w:rsidRPr="00E3467B">
        <w:rPr>
          <w:rFonts w:cs="Arial"/>
        </w:rPr>
        <w:t>Full name (including title) and National Insurance Number;</w:t>
      </w:r>
    </w:p>
    <w:p w:rsidR="003876C1" w:rsidRPr="00E3467B" w:rsidRDefault="003876C1" w:rsidP="00EC0606">
      <w:pPr>
        <w:numPr>
          <w:ilvl w:val="0"/>
          <w:numId w:val="50"/>
        </w:numPr>
        <w:autoSpaceDE w:val="0"/>
        <w:autoSpaceDN w:val="0"/>
        <w:adjustRightInd w:val="0"/>
        <w:ind w:left="1134"/>
        <w:rPr>
          <w:rFonts w:cs="Arial"/>
        </w:rPr>
      </w:pPr>
      <w:r w:rsidRPr="00E3467B">
        <w:rPr>
          <w:rFonts w:cs="Arial"/>
        </w:rPr>
        <w:t>Address and (where available) a contact telephone number;</w:t>
      </w:r>
    </w:p>
    <w:p w:rsidR="003876C1" w:rsidRPr="00E3467B" w:rsidRDefault="003876C1" w:rsidP="00EC0606">
      <w:pPr>
        <w:numPr>
          <w:ilvl w:val="0"/>
          <w:numId w:val="50"/>
        </w:numPr>
        <w:autoSpaceDE w:val="0"/>
        <w:autoSpaceDN w:val="0"/>
        <w:adjustRightInd w:val="0"/>
        <w:ind w:left="1134"/>
        <w:rPr>
          <w:rFonts w:cs="Arial"/>
        </w:rPr>
      </w:pPr>
      <w:r w:rsidRPr="00E3467B">
        <w:rPr>
          <w:rFonts w:cs="Arial"/>
        </w:rPr>
        <w:t>If a Participant has informed JCP that they have a health condition;</w:t>
      </w:r>
    </w:p>
    <w:p w:rsidR="003876C1" w:rsidRPr="00E3467B" w:rsidRDefault="003876C1" w:rsidP="00EC0606">
      <w:pPr>
        <w:numPr>
          <w:ilvl w:val="0"/>
          <w:numId w:val="50"/>
        </w:numPr>
        <w:autoSpaceDE w:val="0"/>
        <w:autoSpaceDN w:val="0"/>
        <w:adjustRightInd w:val="0"/>
        <w:ind w:left="1134"/>
        <w:rPr>
          <w:rFonts w:cs="Arial"/>
        </w:rPr>
      </w:pPr>
      <w:r w:rsidRPr="00E3467B">
        <w:rPr>
          <w:rFonts w:cs="Arial"/>
        </w:rPr>
        <w:t xml:space="preserve">The Participant’s attendance arrangements; </w:t>
      </w:r>
    </w:p>
    <w:p w:rsidR="003876C1" w:rsidRPr="00C02509" w:rsidRDefault="003876C1" w:rsidP="00EC0606">
      <w:pPr>
        <w:pStyle w:val="Default"/>
        <w:numPr>
          <w:ilvl w:val="0"/>
          <w:numId w:val="50"/>
        </w:numPr>
        <w:spacing w:after="240"/>
        <w:ind w:left="1134"/>
        <w:outlineLvl w:val="0"/>
        <w:rPr>
          <w:color w:val="auto"/>
        </w:rPr>
      </w:pPr>
      <w:r w:rsidRPr="00E3467B">
        <w:t>Activities already undertaken and details of qualifications (where available)</w:t>
      </w:r>
      <w:r w:rsidR="001E1B68">
        <w:t>;</w:t>
      </w:r>
      <w:r w:rsidR="001E1B68" w:rsidRPr="001E1B68">
        <w:t xml:space="preserve"> </w:t>
      </w:r>
      <w:r w:rsidR="001E1B68" w:rsidRPr="00E3467B">
        <w:t>and</w:t>
      </w:r>
    </w:p>
    <w:p w:rsidR="00F071A3" w:rsidRDefault="00F071A3" w:rsidP="00EC0606">
      <w:pPr>
        <w:pStyle w:val="Default"/>
        <w:numPr>
          <w:ilvl w:val="0"/>
          <w:numId w:val="50"/>
        </w:numPr>
        <w:spacing w:after="240"/>
        <w:ind w:left="1134"/>
        <w:outlineLvl w:val="0"/>
        <w:rPr>
          <w:color w:val="auto"/>
        </w:rPr>
      </w:pPr>
      <w:r>
        <w:lastRenderedPageBreak/>
        <w:t xml:space="preserve">For those already </w:t>
      </w:r>
      <w:proofErr w:type="spellStart"/>
      <w:r>
        <w:t>self employed</w:t>
      </w:r>
      <w:proofErr w:type="spellEnd"/>
      <w:r>
        <w:t>, length of time trading and nature of the business</w:t>
      </w:r>
      <w:r w:rsidR="001E1B68">
        <w:t>.</w:t>
      </w:r>
    </w:p>
    <w:p w:rsidR="00DE7A1D" w:rsidRPr="00DE7A1D" w:rsidRDefault="003876C1" w:rsidP="001B6F4A">
      <w:pPr>
        <w:pStyle w:val="Default"/>
        <w:numPr>
          <w:ilvl w:val="1"/>
          <w:numId w:val="11"/>
        </w:numPr>
        <w:spacing w:after="240"/>
        <w:ind w:hanging="645"/>
        <w:outlineLvl w:val="0"/>
        <w:rPr>
          <w:color w:val="auto"/>
        </w:rPr>
      </w:pPr>
      <w:r w:rsidRPr="00DE7A1D">
        <w:rPr>
          <w:b/>
          <w:bCs/>
          <w:color w:val="auto"/>
        </w:rPr>
        <w:t>Please Note</w:t>
      </w:r>
      <w:r w:rsidRPr="00DE7A1D">
        <w:rPr>
          <w:bCs/>
          <w:color w:val="auto"/>
        </w:rPr>
        <w:t xml:space="preserve">: </w:t>
      </w:r>
      <w:r w:rsidRPr="00DE7A1D">
        <w:rPr>
          <w:color w:val="auto"/>
        </w:rPr>
        <w:t xml:space="preserve">The referral will not be available to the Provider in </w:t>
      </w:r>
      <w:proofErr w:type="spellStart"/>
      <w:r w:rsidRPr="00DE7A1D">
        <w:rPr>
          <w:color w:val="auto"/>
        </w:rPr>
        <w:t>PRaP</w:t>
      </w:r>
      <w:proofErr w:type="spellEnd"/>
      <w:r w:rsidRPr="00DE7A1D">
        <w:rPr>
          <w:color w:val="auto"/>
        </w:rPr>
        <w:t xml:space="preserve"> until the day following JCP telephone referral.</w:t>
      </w:r>
      <w:r w:rsidRPr="00DE7A1D">
        <w:rPr>
          <w:bCs/>
          <w:color w:val="auto"/>
        </w:rPr>
        <w:t xml:space="preserve"> It should also be noted that while the vast majority of referrals will be made through </w:t>
      </w:r>
      <w:proofErr w:type="spellStart"/>
      <w:r w:rsidRPr="00DE7A1D">
        <w:rPr>
          <w:bCs/>
          <w:color w:val="auto"/>
        </w:rPr>
        <w:t>PRaP</w:t>
      </w:r>
      <w:proofErr w:type="spellEnd"/>
      <w:r w:rsidRPr="00DE7A1D">
        <w:rPr>
          <w:bCs/>
          <w:color w:val="auto"/>
        </w:rPr>
        <w:t xml:space="preserve">, there may be a very small number of referrals made clerically, not through </w:t>
      </w:r>
      <w:proofErr w:type="spellStart"/>
      <w:r w:rsidRPr="00DE7A1D">
        <w:rPr>
          <w:bCs/>
          <w:color w:val="auto"/>
        </w:rPr>
        <w:t>PRaP</w:t>
      </w:r>
      <w:proofErr w:type="spellEnd"/>
      <w:r w:rsidRPr="00DE7A1D">
        <w:rPr>
          <w:bCs/>
          <w:color w:val="auto"/>
        </w:rPr>
        <w:t xml:space="preserve"> e.g. Special Customer Records (SCR) </w:t>
      </w:r>
      <w:r w:rsidRPr="00DE7A1D">
        <w:rPr>
          <w:color w:val="auto"/>
        </w:rPr>
        <w:t>(further information regarding SCRs is available in Chapter 2 of DWP Generic Provider Guidance</w:t>
      </w:r>
      <w:r w:rsidR="001E1B68">
        <w:rPr>
          <w:color w:val="auto"/>
        </w:rPr>
        <w:t>)</w:t>
      </w:r>
      <w:r w:rsidRPr="00DE7A1D">
        <w:rPr>
          <w:color w:val="auto"/>
        </w:rPr>
        <w:t xml:space="preserve"> </w:t>
      </w:r>
      <w:hyperlink r:id="rId11" w:history="1">
        <w:r w:rsidRPr="00DE7A1D">
          <w:rPr>
            <w:rStyle w:val="Hyperlink"/>
            <w:color w:val="auto"/>
          </w:rPr>
          <w:t>https://www.gov.uk/government/uploads/system/uploads/attachment_data/file/278159/pg-chapter-2.pdf</w:t>
        </w:r>
      </w:hyperlink>
      <w:r w:rsidRPr="00DE7A1D">
        <w:rPr>
          <w:bCs/>
          <w:color w:val="auto"/>
        </w:rPr>
        <w:t>.</w:t>
      </w:r>
      <w:r w:rsidR="00DE7A1D" w:rsidRPr="00DE7A1D">
        <w:t xml:space="preserve"> </w:t>
      </w:r>
    </w:p>
    <w:p w:rsidR="00A36FB1" w:rsidRDefault="00A36FB1" w:rsidP="00EC0606">
      <w:pPr>
        <w:pStyle w:val="Default"/>
        <w:numPr>
          <w:ilvl w:val="1"/>
          <w:numId w:val="11"/>
        </w:numPr>
        <w:tabs>
          <w:tab w:val="clear" w:pos="645"/>
        </w:tabs>
        <w:spacing w:after="240"/>
        <w:ind w:hanging="645"/>
        <w:outlineLvl w:val="0"/>
        <w:rPr>
          <w:color w:val="auto"/>
        </w:rPr>
      </w:pPr>
      <w:r w:rsidRPr="00E3467B">
        <w:rPr>
          <w:color w:val="auto"/>
        </w:rPr>
        <w:t xml:space="preserve">Although new referrals </w:t>
      </w:r>
      <w:r w:rsidR="002E00D1">
        <w:rPr>
          <w:color w:val="auto"/>
        </w:rPr>
        <w:t xml:space="preserve">for initial assessments </w:t>
      </w:r>
      <w:r w:rsidRPr="00E3467B">
        <w:rPr>
          <w:color w:val="auto"/>
        </w:rPr>
        <w:t xml:space="preserve">will cease </w:t>
      </w:r>
      <w:r w:rsidR="00F071A3">
        <w:rPr>
          <w:color w:val="auto"/>
        </w:rPr>
        <w:t>on</w:t>
      </w:r>
      <w:r w:rsidRPr="00E3467B">
        <w:rPr>
          <w:color w:val="auto"/>
        </w:rPr>
        <w:t xml:space="preserve"> </w:t>
      </w:r>
      <w:proofErr w:type="gramStart"/>
      <w:r w:rsidR="002E00D1">
        <w:rPr>
          <w:color w:val="auto"/>
        </w:rPr>
        <w:t>29</w:t>
      </w:r>
      <w:r w:rsidR="002E00D1" w:rsidRPr="002E64F8">
        <w:rPr>
          <w:color w:val="auto"/>
          <w:vertAlign w:val="superscript"/>
        </w:rPr>
        <w:t>th</w:t>
      </w:r>
      <w:r w:rsidR="00786F37">
        <w:rPr>
          <w:color w:val="auto"/>
        </w:rPr>
        <w:t xml:space="preserve"> </w:t>
      </w:r>
      <w:r w:rsidRPr="00E3467B">
        <w:rPr>
          <w:color w:val="auto"/>
        </w:rPr>
        <w:t xml:space="preserve"> March</w:t>
      </w:r>
      <w:proofErr w:type="gramEnd"/>
      <w:r w:rsidRPr="00E3467B">
        <w:rPr>
          <w:color w:val="auto"/>
        </w:rPr>
        <w:t xml:space="preserve"> 2019, there will be continued activity after that date. </w:t>
      </w:r>
      <w:r w:rsidR="004212A4" w:rsidRPr="006B5B9B">
        <w:rPr>
          <w:color w:val="auto"/>
        </w:rPr>
        <w:t xml:space="preserve">Providers will need to schedule </w:t>
      </w:r>
      <w:r w:rsidR="00137652">
        <w:rPr>
          <w:color w:val="auto"/>
        </w:rPr>
        <w:t xml:space="preserve">Link </w:t>
      </w:r>
      <w:proofErr w:type="gramStart"/>
      <w:r w:rsidR="00137652">
        <w:rPr>
          <w:color w:val="auto"/>
        </w:rPr>
        <w:t>Up :</w:t>
      </w:r>
      <w:proofErr w:type="gramEnd"/>
      <w:r w:rsidR="00137652">
        <w:rPr>
          <w:color w:val="auto"/>
        </w:rPr>
        <w:t xml:space="preserve"> Start Up</w:t>
      </w:r>
      <w:r w:rsidR="004212A4" w:rsidRPr="006B5B9B">
        <w:rPr>
          <w:color w:val="auto"/>
        </w:rPr>
        <w:t xml:space="preserve"> Workshops to ensure NEA</w:t>
      </w:r>
      <w:r w:rsidR="0045766F" w:rsidRPr="006B5B9B">
        <w:rPr>
          <w:color w:val="auto"/>
        </w:rPr>
        <w:t xml:space="preserve"> Phase 2</w:t>
      </w:r>
      <w:r w:rsidR="004212A4" w:rsidRPr="006B5B9B">
        <w:rPr>
          <w:color w:val="auto"/>
        </w:rPr>
        <w:t xml:space="preserve"> starts can take place during March 2019. Activ</w:t>
      </w:r>
      <w:r w:rsidR="00784CF7" w:rsidRPr="006B5B9B">
        <w:rPr>
          <w:color w:val="auto"/>
        </w:rPr>
        <w:t>iti</w:t>
      </w:r>
      <w:r w:rsidR="004212A4" w:rsidRPr="006B5B9B">
        <w:rPr>
          <w:color w:val="auto"/>
        </w:rPr>
        <w:t xml:space="preserve">es that will take place beyond </w:t>
      </w:r>
      <w:r w:rsidR="00786F37">
        <w:rPr>
          <w:color w:val="auto"/>
        </w:rPr>
        <w:t>29</w:t>
      </w:r>
      <w:r w:rsidR="00786F37">
        <w:rPr>
          <w:color w:val="auto"/>
          <w:vertAlign w:val="superscript"/>
        </w:rPr>
        <w:t>th</w:t>
      </w:r>
      <w:r w:rsidR="004212A4" w:rsidRPr="006B5B9B">
        <w:rPr>
          <w:color w:val="auto"/>
        </w:rPr>
        <w:t xml:space="preserve"> March 2019</w:t>
      </w:r>
      <w:r w:rsidRPr="006B5B9B">
        <w:rPr>
          <w:color w:val="auto"/>
        </w:rPr>
        <w:t xml:space="preserve"> </w:t>
      </w:r>
      <w:r w:rsidRPr="00E3467B">
        <w:rPr>
          <w:color w:val="auto"/>
        </w:rPr>
        <w:t>will include, but not exclusively;</w:t>
      </w:r>
    </w:p>
    <w:p w:rsidR="00A36FB1" w:rsidRPr="00E3467B" w:rsidRDefault="00A36FB1" w:rsidP="00EC0606">
      <w:pPr>
        <w:pStyle w:val="Default"/>
        <w:numPr>
          <w:ilvl w:val="0"/>
          <w:numId w:val="47"/>
        </w:numPr>
        <w:ind w:left="1560" w:hanging="426"/>
        <w:outlineLvl w:val="0"/>
        <w:rPr>
          <w:color w:val="auto"/>
        </w:rPr>
      </w:pPr>
      <w:r w:rsidRPr="00E3467B">
        <w:rPr>
          <w:color w:val="auto"/>
        </w:rPr>
        <w:t>Conducting the Initial Assessment;</w:t>
      </w:r>
    </w:p>
    <w:p w:rsidR="00A36FB1" w:rsidRPr="00E3467B" w:rsidRDefault="00A36FB1" w:rsidP="00EC0606">
      <w:pPr>
        <w:pStyle w:val="Default"/>
        <w:numPr>
          <w:ilvl w:val="0"/>
          <w:numId w:val="47"/>
        </w:numPr>
        <w:ind w:left="1560" w:hanging="426"/>
        <w:outlineLvl w:val="0"/>
        <w:rPr>
          <w:color w:val="auto"/>
        </w:rPr>
      </w:pPr>
      <w:r w:rsidRPr="00E3467B">
        <w:rPr>
          <w:color w:val="auto"/>
        </w:rPr>
        <w:t>Pre Start-up Mentoring;</w:t>
      </w:r>
    </w:p>
    <w:p w:rsidR="00A36FB1" w:rsidRPr="00E3467B" w:rsidRDefault="00A36FB1" w:rsidP="00EC0606">
      <w:pPr>
        <w:pStyle w:val="Default"/>
        <w:numPr>
          <w:ilvl w:val="0"/>
          <w:numId w:val="47"/>
        </w:numPr>
        <w:ind w:left="1560" w:hanging="426"/>
        <w:outlineLvl w:val="0"/>
        <w:rPr>
          <w:color w:val="auto"/>
        </w:rPr>
      </w:pPr>
      <w:r w:rsidRPr="00E3467B">
        <w:rPr>
          <w:color w:val="auto"/>
        </w:rPr>
        <w:t>Assessment of Business Plans; and</w:t>
      </w:r>
    </w:p>
    <w:p w:rsidR="00A36FB1" w:rsidRPr="00E3467B" w:rsidRDefault="00A36FB1" w:rsidP="00EC0606">
      <w:pPr>
        <w:pStyle w:val="Default"/>
        <w:numPr>
          <w:ilvl w:val="0"/>
          <w:numId w:val="47"/>
        </w:numPr>
        <w:spacing w:after="240"/>
        <w:ind w:left="1560" w:hanging="426"/>
        <w:outlineLvl w:val="0"/>
        <w:rPr>
          <w:color w:val="auto"/>
        </w:rPr>
      </w:pPr>
      <w:r w:rsidRPr="00E3467B">
        <w:rPr>
          <w:color w:val="auto"/>
        </w:rPr>
        <w:t xml:space="preserve">Post Start-up Mentoring support for Participants who are referred </w:t>
      </w:r>
      <w:r w:rsidR="00236E81" w:rsidRPr="00230D75">
        <w:rPr>
          <w:color w:val="1F497D" w:themeColor="text2"/>
        </w:rPr>
        <w:t>(</w:t>
      </w:r>
      <w:r w:rsidR="00236E81" w:rsidRPr="006B5B9B">
        <w:rPr>
          <w:color w:val="auto"/>
        </w:rPr>
        <w:t xml:space="preserve">to start / </w:t>
      </w:r>
      <w:r w:rsidR="00230D75" w:rsidRPr="006B5B9B">
        <w:rPr>
          <w:color w:val="auto"/>
        </w:rPr>
        <w:t>i</w:t>
      </w:r>
      <w:r w:rsidR="00236E81" w:rsidRPr="006B5B9B">
        <w:rPr>
          <w:color w:val="auto"/>
        </w:rPr>
        <w:t>niti</w:t>
      </w:r>
      <w:r w:rsidR="00230D75" w:rsidRPr="006B5B9B">
        <w:rPr>
          <w:color w:val="auto"/>
        </w:rPr>
        <w:t>al assessment)</w:t>
      </w:r>
      <w:r w:rsidR="00236E81">
        <w:rPr>
          <w:color w:val="auto"/>
        </w:rPr>
        <w:t xml:space="preserve"> </w:t>
      </w:r>
      <w:r w:rsidRPr="00E3467B">
        <w:rPr>
          <w:color w:val="auto"/>
        </w:rPr>
        <w:t xml:space="preserve">on or before </w:t>
      </w:r>
      <w:r w:rsidR="00786F37">
        <w:rPr>
          <w:color w:val="auto"/>
        </w:rPr>
        <w:t>29th</w:t>
      </w:r>
      <w:r w:rsidRPr="00E3467B">
        <w:rPr>
          <w:color w:val="auto"/>
        </w:rPr>
        <w:t xml:space="preserve"> March 2019, who have had their business plan approved and are either in the Business Development Phase, or Trading</w:t>
      </w:r>
      <w:r w:rsidR="004212A4">
        <w:rPr>
          <w:color w:val="auto"/>
        </w:rPr>
        <w:t>.</w:t>
      </w:r>
    </w:p>
    <w:p w:rsidR="003876C1" w:rsidRPr="003876C1" w:rsidRDefault="003876C1" w:rsidP="003876C1">
      <w:pPr>
        <w:pStyle w:val="Default"/>
        <w:spacing w:after="240"/>
        <w:outlineLvl w:val="0"/>
        <w:rPr>
          <w:b/>
          <w:color w:val="auto"/>
        </w:rPr>
      </w:pPr>
      <w:r w:rsidRPr="003876C1">
        <w:rPr>
          <w:b/>
        </w:rPr>
        <w:t xml:space="preserve">Provider-Participant </w:t>
      </w:r>
      <w:r w:rsidR="00137652" w:rsidRPr="00137652">
        <w:rPr>
          <w:b/>
          <w:color w:val="auto"/>
        </w:rPr>
        <w:t xml:space="preserve">Link </w:t>
      </w:r>
      <w:proofErr w:type="gramStart"/>
      <w:r w:rsidR="00137652" w:rsidRPr="00137652">
        <w:rPr>
          <w:b/>
          <w:color w:val="auto"/>
        </w:rPr>
        <w:t>Up :</w:t>
      </w:r>
      <w:proofErr w:type="gramEnd"/>
      <w:r w:rsidR="00137652" w:rsidRPr="00137652">
        <w:rPr>
          <w:b/>
          <w:color w:val="auto"/>
        </w:rPr>
        <w:t xml:space="preserve"> Start Up</w:t>
      </w:r>
      <w:r w:rsidR="00137652" w:rsidRPr="00137652">
        <w:rPr>
          <w:b/>
        </w:rPr>
        <w:t xml:space="preserve"> </w:t>
      </w:r>
      <w:r w:rsidRPr="003876C1">
        <w:rPr>
          <w:b/>
        </w:rPr>
        <w:t>Workshop and Initial Assessment Meeting</w:t>
      </w:r>
    </w:p>
    <w:p w:rsidR="003876C1" w:rsidRDefault="003876C1" w:rsidP="00EC0606">
      <w:pPr>
        <w:pStyle w:val="Default"/>
        <w:numPr>
          <w:ilvl w:val="1"/>
          <w:numId w:val="11"/>
        </w:numPr>
        <w:tabs>
          <w:tab w:val="clear" w:pos="645"/>
        </w:tabs>
        <w:spacing w:after="240"/>
        <w:ind w:hanging="645"/>
        <w:outlineLvl w:val="0"/>
        <w:rPr>
          <w:color w:val="auto"/>
        </w:rPr>
      </w:pPr>
      <w:r w:rsidRPr="00B03974">
        <w:rPr>
          <w:color w:val="auto"/>
        </w:rPr>
        <w:t xml:space="preserve">Where a Participant fails to attend </w:t>
      </w:r>
      <w:r>
        <w:rPr>
          <w:color w:val="auto"/>
        </w:rPr>
        <w:t xml:space="preserve">either the </w:t>
      </w:r>
      <w:r w:rsidR="00137652">
        <w:rPr>
          <w:color w:val="auto"/>
        </w:rPr>
        <w:t xml:space="preserve">Link Up : Start Up </w:t>
      </w:r>
      <w:r>
        <w:rPr>
          <w:color w:val="auto"/>
        </w:rPr>
        <w:t>Workshop or their I</w:t>
      </w:r>
      <w:r w:rsidRPr="00B03974">
        <w:rPr>
          <w:color w:val="auto"/>
        </w:rPr>
        <w:t xml:space="preserve">nitial </w:t>
      </w:r>
      <w:r>
        <w:rPr>
          <w:color w:val="auto"/>
        </w:rPr>
        <w:t>A</w:t>
      </w:r>
      <w:r w:rsidRPr="00B03974">
        <w:rPr>
          <w:color w:val="auto"/>
        </w:rPr>
        <w:t xml:space="preserve">ssessment meeting Providers </w:t>
      </w:r>
      <w:r w:rsidRPr="00B03974">
        <w:rPr>
          <w:bCs/>
          <w:color w:val="auto"/>
        </w:rPr>
        <w:t xml:space="preserve">must </w:t>
      </w:r>
      <w:r w:rsidRPr="00B03974">
        <w:rPr>
          <w:color w:val="auto"/>
        </w:rPr>
        <w:t xml:space="preserve">update </w:t>
      </w:r>
      <w:proofErr w:type="spellStart"/>
      <w:r w:rsidRPr="00B03974">
        <w:rPr>
          <w:color w:val="auto"/>
        </w:rPr>
        <w:t>PRaP</w:t>
      </w:r>
      <w:proofErr w:type="spellEnd"/>
      <w:r w:rsidRPr="00B03974">
        <w:rPr>
          <w:color w:val="auto"/>
        </w:rPr>
        <w:t xml:space="preserve"> </w:t>
      </w:r>
      <w:r w:rsidR="00CF751E">
        <w:rPr>
          <w:color w:val="auto"/>
        </w:rPr>
        <w:t>(</w:t>
      </w:r>
      <w:r w:rsidR="00CF751E" w:rsidRPr="00B03974">
        <w:rPr>
          <w:color w:val="auto"/>
        </w:rPr>
        <w:t xml:space="preserve">of the failure to attend) </w:t>
      </w:r>
      <w:r w:rsidRPr="00B03974">
        <w:rPr>
          <w:color w:val="auto"/>
        </w:rPr>
        <w:t xml:space="preserve">within </w:t>
      </w:r>
      <w:r w:rsidR="00DD2187">
        <w:rPr>
          <w:color w:val="auto"/>
        </w:rPr>
        <w:t>20</w:t>
      </w:r>
      <w:r w:rsidRPr="00B03974">
        <w:rPr>
          <w:color w:val="auto"/>
        </w:rPr>
        <w:t xml:space="preserve"> working days </w:t>
      </w:r>
      <w:r w:rsidR="00CF751E">
        <w:rPr>
          <w:color w:val="auto"/>
        </w:rPr>
        <w:t>of the</w:t>
      </w:r>
      <w:r w:rsidR="00DD2187" w:rsidRPr="00DD2187">
        <w:rPr>
          <w:color w:val="auto"/>
        </w:rPr>
        <w:t xml:space="preserve"> </w:t>
      </w:r>
      <w:r w:rsidR="00DD2187">
        <w:rPr>
          <w:color w:val="auto"/>
        </w:rPr>
        <w:t>Link Up : Start Up Workshop</w:t>
      </w:r>
      <w:r w:rsidR="00CF751E">
        <w:rPr>
          <w:color w:val="auto"/>
        </w:rPr>
        <w:t xml:space="preserve"> referral</w:t>
      </w:r>
      <w:r w:rsidR="00DD2187">
        <w:rPr>
          <w:color w:val="auto"/>
        </w:rPr>
        <w:t xml:space="preserve"> and </w:t>
      </w:r>
      <w:r w:rsidR="00DD2187" w:rsidRPr="00B03974">
        <w:rPr>
          <w:color w:val="auto"/>
        </w:rPr>
        <w:t xml:space="preserve">within </w:t>
      </w:r>
      <w:r w:rsidR="00DD2187">
        <w:rPr>
          <w:color w:val="auto"/>
        </w:rPr>
        <w:t>15</w:t>
      </w:r>
      <w:r w:rsidR="00DD2187" w:rsidRPr="00B03974">
        <w:rPr>
          <w:color w:val="auto"/>
        </w:rPr>
        <w:t xml:space="preserve"> working days </w:t>
      </w:r>
      <w:r w:rsidR="00DD2187">
        <w:rPr>
          <w:color w:val="auto"/>
        </w:rPr>
        <w:t>of the</w:t>
      </w:r>
      <w:r w:rsidR="00DD2187" w:rsidRPr="00DD2187">
        <w:rPr>
          <w:color w:val="auto"/>
        </w:rPr>
        <w:t xml:space="preserve"> </w:t>
      </w:r>
      <w:r w:rsidR="00DD2187">
        <w:rPr>
          <w:color w:val="auto"/>
        </w:rPr>
        <w:t>I</w:t>
      </w:r>
      <w:r w:rsidR="00DD2187" w:rsidRPr="00B03974">
        <w:rPr>
          <w:color w:val="auto"/>
        </w:rPr>
        <w:t xml:space="preserve">nitial </w:t>
      </w:r>
      <w:r w:rsidR="00DD2187">
        <w:rPr>
          <w:color w:val="auto"/>
        </w:rPr>
        <w:t>A</w:t>
      </w:r>
      <w:r w:rsidR="00DD2187" w:rsidRPr="00B03974">
        <w:rPr>
          <w:color w:val="auto"/>
        </w:rPr>
        <w:t xml:space="preserve">ssessment </w:t>
      </w:r>
      <w:r w:rsidR="00DD2187">
        <w:rPr>
          <w:color w:val="auto"/>
        </w:rPr>
        <w:t>referral</w:t>
      </w:r>
      <w:r w:rsidR="00CF751E">
        <w:rPr>
          <w:color w:val="auto"/>
        </w:rPr>
        <w:t xml:space="preserve">, </w:t>
      </w:r>
      <w:r w:rsidRPr="00B03974">
        <w:rPr>
          <w:color w:val="auto"/>
        </w:rPr>
        <w:t>detailing the Participant has failed to attend.</w:t>
      </w:r>
    </w:p>
    <w:p w:rsidR="003876C1" w:rsidRPr="006B5B9B" w:rsidRDefault="003876C1" w:rsidP="003876C1">
      <w:pPr>
        <w:pStyle w:val="Default"/>
        <w:spacing w:after="240"/>
        <w:outlineLvl w:val="0"/>
        <w:rPr>
          <w:b/>
          <w:color w:val="auto"/>
        </w:rPr>
      </w:pPr>
      <w:r w:rsidRPr="003876C1">
        <w:rPr>
          <w:b/>
        </w:rPr>
        <w:t xml:space="preserve">Business Plans </w:t>
      </w:r>
      <w:r w:rsidR="00017C7D" w:rsidRPr="006B5B9B">
        <w:rPr>
          <w:b/>
          <w:color w:val="auto"/>
        </w:rPr>
        <w:t>/ Business Development and Growth Plans</w:t>
      </w:r>
    </w:p>
    <w:p w:rsidR="003876C1" w:rsidRPr="006B5B9B" w:rsidRDefault="003876C1" w:rsidP="00EC0606">
      <w:pPr>
        <w:pStyle w:val="Default"/>
        <w:numPr>
          <w:ilvl w:val="1"/>
          <w:numId w:val="11"/>
        </w:numPr>
        <w:tabs>
          <w:tab w:val="clear" w:pos="645"/>
        </w:tabs>
        <w:spacing w:after="240"/>
        <w:ind w:hanging="645"/>
        <w:outlineLvl w:val="0"/>
        <w:rPr>
          <w:color w:val="auto"/>
        </w:rPr>
      </w:pPr>
      <w:r w:rsidRPr="006B5B9B">
        <w:rPr>
          <w:color w:val="auto"/>
        </w:rPr>
        <w:t xml:space="preserve">The content of business plans </w:t>
      </w:r>
      <w:r w:rsidR="00017C7D" w:rsidRPr="006B5B9B">
        <w:rPr>
          <w:color w:val="auto"/>
        </w:rPr>
        <w:t xml:space="preserve">/ BDGP </w:t>
      </w:r>
      <w:r w:rsidRPr="006B5B9B">
        <w:rPr>
          <w:color w:val="auto"/>
        </w:rPr>
        <w:t>will differ between individuals; however, each business plan</w:t>
      </w:r>
      <w:r w:rsidR="00017C7D" w:rsidRPr="006B5B9B">
        <w:rPr>
          <w:color w:val="auto"/>
        </w:rPr>
        <w:t xml:space="preserve"> / BDGP</w:t>
      </w:r>
      <w:r w:rsidRPr="006B5B9B">
        <w:rPr>
          <w:color w:val="auto"/>
        </w:rPr>
        <w:t xml:space="preserve"> </w:t>
      </w:r>
      <w:r w:rsidR="008239D7">
        <w:rPr>
          <w:color w:val="auto"/>
        </w:rPr>
        <w:t xml:space="preserve">must </w:t>
      </w:r>
      <w:r w:rsidRPr="006B5B9B">
        <w:rPr>
          <w:color w:val="auto"/>
        </w:rPr>
        <w:t xml:space="preserve">include sufficient information to demonstrate the viability of the </w:t>
      </w:r>
      <w:r w:rsidR="00017C7D" w:rsidRPr="006B5B9B">
        <w:rPr>
          <w:color w:val="auto"/>
        </w:rPr>
        <w:t xml:space="preserve">business / </w:t>
      </w:r>
      <w:r w:rsidRPr="006B5B9B">
        <w:rPr>
          <w:color w:val="auto"/>
        </w:rPr>
        <w:t xml:space="preserve">business idea.  </w:t>
      </w:r>
      <w:r w:rsidR="008239D7">
        <w:rPr>
          <w:color w:val="auto"/>
        </w:rPr>
        <w:t>E</w:t>
      </w:r>
      <w:r w:rsidRPr="006B5B9B">
        <w:rPr>
          <w:color w:val="auto"/>
        </w:rPr>
        <w:t xml:space="preserve">ach plan </w:t>
      </w:r>
      <w:r w:rsidR="008239D7">
        <w:rPr>
          <w:color w:val="auto"/>
        </w:rPr>
        <w:t>must</w:t>
      </w:r>
      <w:r w:rsidRPr="006B5B9B">
        <w:rPr>
          <w:color w:val="auto"/>
        </w:rPr>
        <w:t xml:space="preserve"> include the following </w:t>
      </w:r>
      <w:r w:rsidRPr="0033083A">
        <w:rPr>
          <w:color w:val="auto"/>
          <w:u w:val="single"/>
        </w:rPr>
        <w:t>as a minimum:</w:t>
      </w:r>
    </w:p>
    <w:p w:rsidR="003876C1" w:rsidRDefault="003876C1" w:rsidP="00EC0606">
      <w:pPr>
        <w:pStyle w:val="Default"/>
        <w:numPr>
          <w:ilvl w:val="1"/>
          <w:numId w:val="51"/>
        </w:numPr>
        <w:tabs>
          <w:tab w:val="clear" w:pos="645"/>
        </w:tabs>
        <w:spacing w:after="240"/>
        <w:ind w:left="1134"/>
        <w:outlineLvl w:val="0"/>
        <w:rPr>
          <w:color w:val="auto"/>
        </w:rPr>
      </w:pPr>
      <w:r w:rsidRPr="006B5B9B">
        <w:rPr>
          <w:color w:val="auto"/>
        </w:rPr>
        <w:t xml:space="preserve">A summary of the individual and the </w:t>
      </w:r>
      <w:r w:rsidR="00017C7D" w:rsidRPr="006B5B9B">
        <w:rPr>
          <w:color w:val="auto"/>
        </w:rPr>
        <w:t xml:space="preserve">business / </w:t>
      </w:r>
      <w:r w:rsidRPr="006B5B9B">
        <w:rPr>
          <w:color w:val="auto"/>
        </w:rPr>
        <w:t xml:space="preserve">business idea including both the participant and the business name, </w:t>
      </w:r>
      <w:proofErr w:type="gramStart"/>
      <w:r w:rsidRPr="006B5B9B">
        <w:rPr>
          <w:color w:val="auto"/>
        </w:rPr>
        <w:t>address(</w:t>
      </w:r>
      <w:proofErr w:type="spellStart"/>
      <w:proofErr w:type="gramEnd"/>
      <w:r w:rsidRPr="006B5B9B">
        <w:rPr>
          <w:color w:val="auto"/>
        </w:rPr>
        <w:t>es</w:t>
      </w:r>
      <w:proofErr w:type="spellEnd"/>
      <w:r>
        <w:rPr>
          <w:color w:val="auto"/>
        </w:rPr>
        <w:t>) and contact details, including website</w:t>
      </w:r>
      <w:r w:rsidR="00AA36E4">
        <w:rPr>
          <w:color w:val="auto"/>
        </w:rPr>
        <w:t xml:space="preserve"> details if applicable, and the expected date of the business launch</w:t>
      </w:r>
      <w:r w:rsidR="00F071A3">
        <w:rPr>
          <w:color w:val="auto"/>
        </w:rPr>
        <w:t xml:space="preserve"> or length of time trading</w:t>
      </w:r>
      <w:r w:rsidR="00AA36E4">
        <w:rPr>
          <w:color w:val="auto"/>
        </w:rPr>
        <w:t>.</w:t>
      </w:r>
    </w:p>
    <w:p w:rsidR="00AA36E4" w:rsidRDefault="00AA36E4" w:rsidP="00EC0606">
      <w:pPr>
        <w:pStyle w:val="Default"/>
        <w:numPr>
          <w:ilvl w:val="1"/>
          <w:numId w:val="51"/>
        </w:numPr>
        <w:tabs>
          <w:tab w:val="clear" w:pos="645"/>
        </w:tabs>
        <w:ind w:left="1134"/>
        <w:outlineLvl w:val="0"/>
        <w:rPr>
          <w:color w:val="auto"/>
        </w:rPr>
      </w:pPr>
      <w:r>
        <w:rPr>
          <w:color w:val="auto"/>
        </w:rPr>
        <w:t>A detailed description of the business covering:</w:t>
      </w:r>
    </w:p>
    <w:p w:rsidR="00AA36E4" w:rsidRDefault="00AA36E4" w:rsidP="00EC0606">
      <w:pPr>
        <w:pStyle w:val="Default"/>
        <w:numPr>
          <w:ilvl w:val="1"/>
          <w:numId w:val="52"/>
        </w:numPr>
        <w:tabs>
          <w:tab w:val="clear" w:pos="645"/>
        </w:tabs>
        <w:ind w:left="1560" w:hanging="426"/>
        <w:outlineLvl w:val="0"/>
        <w:rPr>
          <w:color w:val="auto"/>
        </w:rPr>
      </w:pPr>
      <w:r>
        <w:rPr>
          <w:color w:val="auto"/>
        </w:rPr>
        <w:t xml:space="preserve">the products/service </w:t>
      </w:r>
      <w:r w:rsidR="00CD4C80">
        <w:rPr>
          <w:color w:val="auto"/>
        </w:rPr>
        <w:t xml:space="preserve">delivered/sold or </w:t>
      </w:r>
      <w:r>
        <w:rPr>
          <w:color w:val="auto"/>
        </w:rPr>
        <w:t>to be delivered/sold;</w:t>
      </w:r>
    </w:p>
    <w:p w:rsidR="00AA36E4" w:rsidRDefault="00AA36E4" w:rsidP="00EC0606">
      <w:pPr>
        <w:pStyle w:val="Default"/>
        <w:numPr>
          <w:ilvl w:val="1"/>
          <w:numId w:val="52"/>
        </w:numPr>
        <w:tabs>
          <w:tab w:val="clear" w:pos="645"/>
        </w:tabs>
        <w:ind w:left="1560" w:hanging="426"/>
        <w:outlineLvl w:val="0"/>
        <w:rPr>
          <w:color w:val="auto"/>
        </w:rPr>
      </w:pPr>
      <w:r>
        <w:rPr>
          <w:color w:val="auto"/>
        </w:rPr>
        <w:t xml:space="preserve">how </w:t>
      </w:r>
      <w:r w:rsidR="00CD4C80">
        <w:rPr>
          <w:color w:val="auto"/>
        </w:rPr>
        <w:t xml:space="preserve">the products /services are delivered/sold or how </w:t>
      </w:r>
      <w:r>
        <w:rPr>
          <w:color w:val="auto"/>
        </w:rPr>
        <w:t>and when the products/services will be delivered/sold;</w:t>
      </w:r>
    </w:p>
    <w:p w:rsidR="00FC11AC" w:rsidRDefault="00AA36E4" w:rsidP="00EC0606">
      <w:pPr>
        <w:pStyle w:val="Default"/>
        <w:numPr>
          <w:ilvl w:val="1"/>
          <w:numId w:val="52"/>
        </w:numPr>
        <w:tabs>
          <w:tab w:val="clear" w:pos="645"/>
        </w:tabs>
        <w:ind w:left="1560" w:hanging="426"/>
        <w:outlineLvl w:val="0"/>
        <w:rPr>
          <w:color w:val="auto"/>
        </w:rPr>
      </w:pPr>
      <w:r>
        <w:rPr>
          <w:color w:val="auto"/>
        </w:rPr>
        <w:t xml:space="preserve">what </w:t>
      </w:r>
      <w:r w:rsidR="00CD4C80">
        <w:rPr>
          <w:color w:val="auto"/>
        </w:rPr>
        <w:t xml:space="preserve">makes the business different or </w:t>
      </w:r>
      <w:r>
        <w:rPr>
          <w:color w:val="auto"/>
        </w:rPr>
        <w:t>will make this business different to competing businesses in the area,</w:t>
      </w:r>
    </w:p>
    <w:p w:rsidR="00AA36E4" w:rsidRDefault="00FC11AC" w:rsidP="00EC0606">
      <w:pPr>
        <w:pStyle w:val="Default"/>
        <w:numPr>
          <w:ilvl w:val="1"/>
          <w:numId w:val="52"/>
        </w:numPr>
        <w:tabs>
          <w:tab w:val="clear" w:pos="645"/>
        </w:tabs>
        <w:ind w:left="1560" w:hanging="426"/>
        <w:outlineLvl w:val="0"/>
        <w:rPr>
          <w:color w:val="auto"/>
        </w:rPr>
      </w:pPr>
      <w:r>
        <w:rPr>
          <w:color w:val="auto"/>
        </w:rPr>
        <w:t xml:space="preserve">where appropriate, identification of the limiting factors that have not allowed the business to develop and grow </w:t>
      </w:r>
      <w:r w:rsidR="00AA36E4">
        <w:rPr>
          <w:color w:val="auto"/>
        </w:rPr>
        <w:t xml:space="preserve"> and </w:t>
      </w:r>
    </w:p>
    <w:p w:rsidR="00AA36E4" w:rsidRDefault="00AA36E4" w:rsidP="00EC0606">
      <w:pPr>
        <w:pStyle w:val="Default"/>
        <w:numPr>
          <w:ilvl w:val="1"/>
          <w:numId w:val="52"/>
        </w:numPr>
        <w:tabs>
          <w:tab w:val="clear" w:pos="645"/>
        </w:tabs>
        <w:spacing w:after="240"/>
        <w:ind w:left="1560" w:hanging="426"/>
        <w:outlineLvl w:val="0"/>
        <w:rPr>
          <w:color w:val="auto"/>
        </w:rPr>
      </w:pPr>
      <w:proofErr w:type="gramStart"/>
      <w:r>
        <w:rPr>
          <w:color w:val="auto"/>
        </w:rPr>
        <w:lastRenderedPageBreak/>
        <w:t>a</w:t>
      </w:r>
      <w:proofErr w:type="gramEnd"/>
      <w:r>
        <w:rPr>
          <w:color w:val="auto"/>
        </w:rPr>
        <w:t xml:space="preserve"> description of the participant’s short, medium and longer term vision for the business. </w:t>
      </w:r>
    </w:p>
    <w:p w:rsidR="006B4C0E" w:rsidRDefault="006B4C0E" w:rsidP="006B4C0E">
      <w:pPr>
        <w:pStyle w:val="Default"/>
        <w:spacing w:after="240"/>
        <w:ind w:left="1560"/>
        <w:outlineLvl w:val="0"/>
        <w:rPr>
          <w:color w:val="auto"/>
        </w:rPr>
      </w:pPr>
    </w:p>
    <w:p w:rsidR="00AA36E4" w:rsidRDefault="00AA36E4" w:rsidP="00EC0606">
      <w:pPr>
        <w:pStyle w:val="Default"/>
        <w:numPr>
          <w:ilvl w:val="1"/>
          <w:numId w:val="51"/>
        </w:numPr>
        <w:tabs>
          <w:tab w:val="clear" w:pos="645"/>
        </w:tabs>
        <w:ind w:left="1134"/>
        <w:outlineLvl w:val="0"/>
        <w:rPr>
          <w:color w:val="auto"/>
        </w:rPr>
      </w:pPr>
      <w:r>
        <w:rPr>
          <w:color w:val="auto"/>
        </w:rPr>
        <w:t>Personal information about the participant including:</w:t>
      </w:r>
    </w:p>
    <w:p w:rsidR="00AA36E4" w:rsidRDefault="00CD4C80" w:rsidP="00EC0606">
      <w:pPr>
        <w:pStyle w:val="Default"/>
        <w:numPr>
          <w:ilvl w:val="1"/>
          <w:numId w:val="53"/>
        </w:numPr>
        <w:tabs>
          <w:tab w:val="clear" w:pos="645"/>
        </w:tabs>
        <w:ind w:left="1560" w:hanging="426"/>
        <w:outlineLvl w:val="0"/>
        <w:rPr>
          <w:color w:val="auto"/>
        </w:rPr>
      </w:pPr>
      <w:r>
        <w:rPr>
          <w:color w:val="auto"/>
        </w:rPr>
        <w:t xml:space="preserve">Where appropriate, </w:t>
      </w:r>
      <w:r w:rsidR="00AA36E4">
        <w:rPr>
          <w:color w:val="auto"/>
        </w:rPr>
        <w:t>why they are interested in self-employment</w:t>
      </w:r>
      <w:r w:rsidR="001E1B68">
        <w:rPr>
          <w:color w:val="auto"/>
        </w:rPr>
        <w:t>;</w:t>
      </w:r>
    </w:p>
    <w:p w:rsidR="00AA36E4" w:rsidRDefault="00AA36E4" w:rsidP="00EC0606">
      <w:pPr>
        <w:pStyle w:val="Default"/>
        <w:numPr>
          <w:ilvl w:val="1"/>
          <w:numId w:val="53"/>
        </w:numPr>
        <w:tabs>
          <w:tab w:val="clear" w:pos="645"/>
        </w:tabs>
        <w:ind w:left="1560" w:hanging="426"/>
        <w:outlineLvl w:val="0"/>
        <w:rPr>
          <w:color w:val="auto"/>
        </w:rPr>
      </w:pPr>
      <w:r>
        <w:rPr>
          <w:color w:val="auto"/>
        </w:rPr>
        <w:t>their work experience and educational qualifications; and</w:t>
      </w:r>
    </w:p>
    <w:p w:rsidR="00AA36E4" w:rsidRDefault="00AA36E4" w:rsidP="00EC0606">
      <w:pPr>
        <w:pStyle w:val="Default"/>
        <w:numPr>
          <w:ilvl w:val="1"/>
          <w:numId w:val="53"/>
        </w:numPr>
        <w:tabs>
          <w:tab w:val="clear" w:pos="645"/>
        </w:tabs>
        <w:spacing w:after="240"/>
        <w:ind w:left="1560" w:hanging="426"/>
        <w:outlineLvl w:val="0"/>
        <w:rPr>
          <w:color w:val="auto"/>
        </w:rPr>
      </w:pPr>
      <w:proofErr w:type="gramStart"/>
      <w:r>
        <w:rPr>
          <w:color w:val="auto"/>
        </w:rPr>
        <w:t>the</w:t>
      </w:r>
      <w:proofErr w:type="gramEnd"/>
      <w:r>
        <w:rPr>
          <w:color w:val="auto"/>
        </w:rPr>
        <w:t xml:space="preserve"> knowledge of the industry/sector</w:t>
      </w:r>
      <w:r w:rsidR="001E1B68">
        <w:rPr>
          <w:color w:val="auto"/>
        </w:rPr>
        <w:t>.</w:t>
      </w:r>
    </w:p>
    <w:p w:rsidR="003A60D4" w:rsidRPr="00EB59BF" w:rsidRDefault="003A60D4" w:rsidP="00EC0606">
      <w:pPr>
        <w:pStyle w:val="Default"/>
        <w:numPr>
          <w:ilvl w:val="1"/>
          <w:numId w:val="51"/>
        </w:numPr>
        <w:tabs>
          <w:tab w:val="clear" w:pos="645"/>
        </w:tabs>
        <w:ind w:left="1134"/>
        <w:outlineLvl w:val="0"/>
        <w:rPr>
          <w:color w:val="auto"/>
        </w:rPr>
      </w:pPr>
      <w:r>
        <w:rPr>
          <w:color w:val="auto"/>
        </w:rPr>
        <w:t>An overview of the products or services to be</w:t>
      </w:r>
      <w:r w:rsidR="00017C7D">
        <w:rPr>
          <w:color w:val="auto"/>
        </w:rPr>
        <w:t xml:space="preserve"> / </w:t>
      </w:r>
      <w:r w:rsidR="00017C7D" w:rsidRPr="00EB59BF">
        <w:rPr>
          <w:color w:val="auto"/>
        </w:rPr>
        <w:t>being</w:t>
      </w:r>
      <w:r w:rsidRPr="00EB59BF">
        <w:rPr>
          <w:color w:val="auto"/>
        </w:rPr>
        <w:t xml:space="preserve"> delivered including:</w:t>
      </w:r>
    </w:p>
    <w:p w:rsidR="00AA36E4" w:rsidRPr="00EB59BF" w:rsidRDefault="003A60D4" w:rsidP="00EC0606">
      <w:pPr>
        <w:pStyle w:val="Default"/>
        <w:numPr>
          <w:ilvl w:val="1"/>
          <w:numId w:val="54"/>
        </w:numPr>
        <w:tabs>
          <w:tab w:val="clear" w:pos="645"/>
        </w:tabs>
        <w:ind w:left="1559"/>
        <w:outlineLvl w:val="0"/>
        <w:rPr>
          <w:color w:val="auto"/>
        </w:rPr>
      </w:pPr>
      <w:r w:rsidRPr="00EB59BF">
        <w:rPr>
          <w:color w:val="auto"/>
        </w:rPr>
        <w:t>what the product/service is, and how it will be delivered or sold;</w:t>
      </w:r>
    </w:p>
    <w:p w:rsidR="003A60D4" w:rsidRPr="00EB59BF" w:rsidRDefault="003A60D4" w:rsidP="00EC0606">
      <w:pPr>
        <w:pStyle w:val="Default"/>
        <w:numPr>
          <w:ilvl w:val="1"/>
          <w:numId w:val="54"/>
        </w:numPr>
        <w:tabs>
          <w:tab w:val="clear" w:pos="645"/>
        </w:tabs>
        <w:ind w:left="1559"/>
        <w:outlineLvl w:val="0"/>
        <w:rPr>
          <w:color w:val="auto"/>
        </w:rPr>
      </w:pPr>
      <w:r w:rsidRPr="00EB59BF">
        <w:rPr>
          <w:color w:val="auto"/>
        </w:rPr>
        <w:t>the production or delivery costs;</w:t>
      </w:r>
    </w:p>
    <w:p w:rsidR="003A60D4" w:rsidRPr="00EB59BF" w:rsidRDefault="003A60D4" w:rsidP="00EC0606">
      <w:pPr>
        <w:pStyle w:val="Default"/>
        <w:numPr>
          <w:ilvl w:val="1"/>
          <w:numId w:val="54"/>
        </w:numPr>
        <w:tabs>
          <w:tab w:val="clear" w:pos="645"/>
        </w:tabs>
        <w:ind w:left="1559"/>
        <w:outlineLvl w:val="0"/>
        <w:rPr>
          <w:color w:val="auto"/>
        </w:rPr>
      </w:pPr>
      <w:r w:rsidRPr="00EB59BF">
        <w:rPr>
          <w:color w:val="auto"/>
        </w:rPr>
        <w:t>the pricing structure for service/product delivery or sales</w:t>
      </w:r>
      <w:r w:rsidR="001E1B68">
        <w:rPr>
          <w:color w:val="auto"/>
        </w:rPr>
        <w:t>;</w:t>
      </w:r>
    </w:p>
    <w:p w:rsidR="003A60D4" w:rsidRPr="00EB59BF" w:rsidRDefault="003A60D4" w:rsidP="00EC0606">
      <w:pPr>
        <w:pStyle w:val="Default"/>
        <w:numPr>
          <w:ilvl w:val="1"/>
          <w:numId w:val="54"/>
        </w:numPr>
        <w:tabs>
          <w:tab w:val="clear" w:pos="645"/>
        </w:tabs>
        <w:ind w:left="1559"/>
        <w:outlineLvl w:val="0"/>
        <w:rPr>
          <w:color w:val="auto"/>
        </w:rPr>
      </w:pPr>
      <w:r w:rsidRPr="00EB59BF">
        <w:rPr>
          <w:color w:val="auto"/>
        </w:rPr>
        <w:t xml:space="preserve">legal requirements such as certification or health and safety compliance; </w:t>
      </w:r>
    </w:p>
    <w:p w:rsidR="003A60D4" w:rsidRPr="00EB59BF" w:rsidRDefault="003A60D4" w:rsidP="00EC0606">
      <w:pPr>
        <w:pStyle w:val="Default"/>
        <w:numPr>
          <w:ilvl w:val="1"/>
          <w:numId w:val="54"/>
        </w:numPr>
        <w:tabs>
          <w:tab w:val="clear" w:pos="645"/>
        </w:tabs>
        <w:ind w:left="1559"/>
        <w:outlineLvl w:val="0"/>
        <w:rPr>
          <w:color w:val="auto"/>
        </w:rPr>
      </w:pPr>
      <w:r w:rsidRPr="00EB59BF">
        <w:rPr>
          <w:color w:val="auto"/>
        </w:rPr>
        <w:t xml:space="preserve">insurance requirements and costs; </w:t>
      </w:r>
    </w:p>
    <w:p w:rsidR="003A60D4" w:rsidRPr="00EB59BF" w:rsidRDefault="009D009B" w:rsidP="00EC0606">
      <w:pPr>
        <w:pStyle w:val="Default"/>
        <w:numPr>
          <w:ilvl w:val="1"/>
          <w:numId w:val="54"/>
        </w:numPr>
        <w:tabs>
          <w:tab w:val="clear" w:pos="645"/>
        </w:tabs>
        <w:ind w:left="1559"/>
        <w:outlineLvl w:val="0"/>
        <w:rPr>
          <w:color w:val="auto"/>
        </w:rPr>
      </w:pPr>
      <w:r>
        <w:rPr>
          <w:color w:val="auto"/>
        </w:rPr>
        <w:t xml:space="preserve">realistic </w:t>
      </w:r>
      <w:r w:rsidR="003A60D4" w:rsidRPr="00EB59BF">
        <w:rPr>
          <w:color w:val="auto"/>
        </w:rPr>
        <w:t>forecasted business growth;</w:t>
      </w:r>
    </w:p>
    <w:p w:rsidR="003A60D4" w:rsidRPr="00EB59BF" w:rsidRDefault="003A60D4" w:rsidP="00EC0606">
      <w:pPr>
        <w:pStyle w:val="Default"/>
        <w:numPr>
          <w:ilvl w:val="1"/>
          <w:numId w:val="54"/>
        </w:numPr>
        <w:tabs>
          <w:tab w:val="clear" w:pos="645"/>
        </w:tabs>
        <w:ind w:left="1559"/>
        <w:outlineLvl w:val="0"/>
        <w:rPr>
          <w:color w:val="auto"/>
        </w:rPr>
      </w:pPr>
      <w:r w:rsidRPr="00EB59BF">
        <w:rPr>
          <w:color w:val="auto"/>
        </w:rPr>
        <w:t>who will buy the products/services;</w:t>
      </w:r>
    </w:p>
    <w:p w:rsidR="003A60D4" w:rsidRPr="00EB59BF" w:rsidRDefault="003A60D4" w:rsidP="00EC0606">
      <w:pPr>
        <w:pStyle w:val="Default"/>
        <w:numPr>
          <w:ilvl w:val="1"/>
          <w:numId w:val="54"/>
        </w:numPr>
        <w:tabs>
          <w:tab w:val="clear" w:pos="645"/>
        </w:tabs>
        <w:ind w:left="1559"/>
        <w:outlineLvl w:val="0"/>
        <w:rPr>
          <w:color w:val="auto"/>
        </w:rPr>
      </w:pPr>
      <w:proofErr w:type="gramStart"/>
      <w:r w:rsidRPr="00EB59BF">
        <w:rPr>
          <w:color w:val="auto"/>
        </w:rPr>
        <w:t>why</w:t>
      </w:r>
      <w:proofErr w:type="gramEnd"/>
      <w:r w:rsidRPr="00EB59BF">
        <w:rPr>
          <w:color w:val="auto"/>
        </w:rPr>
        <w:t xml:space="preserve"> would they choose this business over competing/existing businesses?</w:t>
      </w:r>
    </w:p>
    <w:p w:rsidR="003A60D4" w:rsidRDefault="003A60D4" w:rsidP="00EC0606">
      <w:pPr>
        <w:pStyle w:val="Default"/>
        <w:numPr>
          <w:ilvl w:val="1"/>
          <w:numId w:val="54"/>
        </w:numPr>
        <w:tabs>
          <w:tab w:val="clear" w:pos="645"/>
        </w:tabs>
        <w:ind w:left="1559"/>
        <w:outlineLvl w:val="0"/>
        <w:rPr>
          <w:color w:val="auto"/>
        </w:rPr>
      </w:pPr>
      <w:proofErr w:type="gramStart"/>
      <w:r w:rsidRPr="00EB59BF">
        <w:rPr>
          <w:color w:val="auto"/>
        </w:rPr>
        <w:t>does</w:t>
      </w:r>
      <w:proofErr w:type="gramEnd"/>
      <w:r w:rsidRPr="00EB59BF">
        <w:rPr>
          <w:color w:val="auto"/>
        </w:rPr>
        <w:t xml:space="preserve"> this business already have a customer base?</w:t>
      </w:r>
      <w:r w:rsidR="001E1B68">
        <w:rPr>
          <w:color w:val="auto"/>
        </w:rPr>
        <w:t xml:space="preserve"> and</w:t>
      </w:r>
    </w:p>
    <w:p w:rsidR="00FC11AC" w:rsidRDefault="001E1B68" w:rsidP="00EC0606">
      <w:pPr>
        <w:pStyle w:val="Default"/>
        <w:numPr>
          <w:ilvl w:val="1"/>
          <w:numId w:val="54"/>
        </w:numPr>
        <w:tabs>
          <w:tab w:val="clear" w:pos="645"/>
        </w:tabs>
        <w:ind w:left="1559"/>
        <w:outlineLvl w:val="0"/>
        <w:rPr>
          <w:color w:val="auto"/>
        </w:rPr>
      </w:pPr>
      <w:r>
        <w:rPr>
          <w:color w:val="auto"/>
        </w:rPr>
        <w:t>h</w:t>
      </w:r>
      <w:r w:rsidR="00FC11AC">
        <w:rPr>
          <w:color w:val="auto"/>
        </w:rPr>
        <w:t>ow limiting factors/barriers to business growth will be overcome</w:t>
      </w:r>
    </w:p>
    <w:p w:rsidR="008239D7" w:rsidRPr="00EB59BF" w:rsidRDefault="008239D7" w:rsidP="008239D7">
      <w:pPr>
        <w:pStyle w:val="Default"/>
        <w:ind w:left="1559"/>
        <w:outlineLvl w:val="0"/>
        <w:rPr>
          <w:color w:val="auto"/>
        </w:rPr>
      </w:pPr>
    </w:p>
    <w:p w:rsidR="003A60D4" w:rsidRPr="00EB59BF" w:rsidRDefault="003A60D4" w:rsidP="00EC0606">
      <w:pPr>
        <w:pStyle w:val="Default"/>
        <w:numPr>
          <w:ilvl w:val="0"/>
          <w:numId w:val="55"/>
        </w:numPr>
        <w:tabs>
          <w:tab w:val="clear" w:pos="465"/>
        </w:tabs>
        <w:spacing w:after="240"/>
        <w:ind w:left="1134"/>
        <w:outlineLvl w:val="0"/>
        <w:rPr>
          <w:color w:val="auto"/>
        </w:rPr>
      </w:pPr>
      <w:r w:rsidRPr="00EB59BF">
        <w:rPr>
          <w:color w:val="auto"/>
        </w:rPr>
        <w:t>A full breakdown of start-up costs</w:t>
      </w:r>
      <w:r w:rsidR="00017C7D" w:rsidRPr="00EB59BF">
        <w:rPr>
          <w:color w:val="auto"/>
        </w:rPr>
        <w:t xml:space="preserve"> / on-going costs</w:t>
      </w:r>
    </w:p>
    <w:p w:rsidR="003A60D4" w:rsidRPr="00EB59BF" w:rsidRDefault="003A60D4" w:rsidP="00EC0606">
      <w:pPr>
        <w:pStyle w:val="Default"/>
        <w:numPr>
          <w:ilvl w:val="0"/>
          <w:numId w:val="55"/>
        </w:numPr>
        <w:tabs>
          <w:tab w:val="clear" w:pos="465"/>
        </w:tabs>
        <w:spacing w:after="240"/>
        <w:ind w:left="1134"/>
        <w:outlineLvl w:val="0"/>
        <w:rPr>
          <w:color w:val="auto"/>
        </w:rPr>
      </w:pPr>
      <w:r w:rsidRPr="00EB59BF">
        <w:rPr>
          <w:color w:val="auto"/>
        </w:rPr>
        <w:t>An analysis of the competition</w:t>
      </w:r>
    </w:p>
    <w:p w:rsidR="003A60D4" w:rsidRPr="00EB59BF" w:rsidRDefault="003A60D4" w:rsidP="00EC0606">
      <w:pPr>
        <w:pStyle w:val="Default"/>
        <w:numPr>
          <w:ilvl w:val="0"/>
          <w:numId w:val="55"/>
        </w:numPr>
        <w:tabs>
          <w:tab w:val="clear" w:pos="465"/>
        </w:tabs>
        <w:spacing w:after="240"/>
        <w:ind w:left="1134"/>
        <w:outlineLvl w:val="0"/>
        <w:rPr>
          <w:color w:val="auto"/>
        </w:rPr>
      </w:pPr>
      <w:r w:rsidRPr="00EB59BF">
        <w:rPr>
          <w:color w:val="auto"/>
        </w:rPr>
        <w:t>Marketing plan</w:t>
      </w:r>
    </w:p>
    <w:p w:rsidR="003A60D4" w:rsidRPr="00EB59BF" w:rsidRDefault="003A60D4" w:rsidP="00EC0606">
      <w:pPr>
        <w:numPr>
          <w:ilvl w:val="0"/>
          <w:numId w:val="27"/>
        </w:numPr>
        <w:tabs>
          <w:tab w:val="clear" w:pos="1080"/>
        </w:tabs>
        <w:ind w:hanging="357"/>
        <w:rPr>
          <w:u w:val="single"/>
        </w:rPr>
      </w:pPr>
      <w:r w:rsidRPr="00EB59BF">
        <w:rPr>
          <w:u w:val="single"/>
        </w:rPr>
        <w:t>Business Financial Planning</w:t>
      </w:r>
    </w:p>
    <w:p w:rsidR="003A60D4" w:rsidRPr="00EB59BF" w:rsidRDefault="003A60D4" w:rsidP="006B4C0E">
      <w:pPr>
        <w:pStyle w:val="ListParagraph"/>
        <w:numPr>
          <w:ilvl w:val="0"/>
          <w:numId w:val="27"/>
        </w:numPr>
        <w:ind w:firstLine="54"/>
      </w:pPr>
      <w:r w:rsidRPr="00EB59BF">
        <w:t>Business cash-flow:</w:t>
      </w:r>
    </w:p>
    <w:p w:rsidR="003A60D4" w:rsidRPr="00EB59BF" w:rsidRDefault="003A60D4" w:rsidP="006B4C0E">
      <w:pPr>
        <w:pStyle w:val="ListParagraph"/>
        <w:numPr>
          <w:ilvl w:val="0"/>
          <w:numId w:val="27"/>
        </w:numPr>
        <w:ind w:firstLine="54"/>
      </w:pPr>
      <w:r w:rsidRPr="00EB59BF">
        <w:t>Incomings</w:t>
      </w:r>
    </w:p>
    <w:p w:rsidR="003A60D4" w:rsidRPr="00EB59BF" w:rsidRDefault="003A60D4" w:rsidP="006B4C0E">
      <w:pPr>
        <w:pStyle w:val="ListParagraph"/>
        <w:numPr>
          <w:ilvl w:val="0"/>
          <w:numId w:val="27"/>
        </w:numPr>
        <w:ind w:firstLine="54"/>
      </w:pPr>
      <w:r w:rsidRPr="00EB59BF">
        <w:t>Outgoings</w:t>
      </w:r>
    </w:p>
    <w:p w:rsidR="003A60D4" w:rsidRPr="00EB59BF" w:rsidRDefault="003A60D4" w:rsidP="00EC0606">
      <w:pPr>
        <w:numPr>
          <w:ilvl w:val="2"/>
          <w:numId w:val="26"/>
        </w:numPr>
        <w:tabs>
          <w:tab w:val="clear" w:pos="2160"/>
        </w:tabs>
        <w:spacing w:after="240"/>
      </w:pPr>
      <w:r w:rsidRPr="00EB59BF">
        <w:t>Overheads such as insurance, rent, business rates, stock/equipment costs etc.</w:t>
      </w:r>
    </w:p>
    <w:p w:rsidR="003A60D4" w:rsidRPr="00EB59BF" w:rsidRDefault="003A60D4" w:rsidP="00EC0606">
      <w:pPr>
        <w:pStyle w:val="Default"/>
        <w:numPr>
          <w:ilvl w:val="0"/>
          <w:numId w:val="55"/>
        </w:numPr>
        <w:tabs>
          <w:tab w:val="clear" w:pos="465"/>
        </w:tabs>
        <w:spacing w:after="240"/>
        <w:ind w:left="1134"/>
        <w:outlineLvl w:val="0"/>
        <w:rPr>
          <w:color w:val="auto"/>
        </w:rPr>
      </w:pPr>
      <w:r w:rsidRPr="00EB59BF">
        <w:rPr>
          <w:color w:val="auto"/>
          <w:u w:val="single"/>
        </w:rPr>
        <w:t>Personal budget plan</w:t>
      </w:r>
      <w:r w:rsidRPr="00EB59BF">
        <w:rPr>
          <w:color w:val="auto"/>
        </w:rPr>
        <w:t xml:space="preserve"> – how will you manage financially whilst your business develops?  What will your income be?  How will you make loan repayments etc.?  This will help individuals ensure they can manage financially on what might be a low income when they first start trading.</w:t>
      </w:r>
    </w:p>
    <w:p w:rsidR="002356A7" w:rsidRDefault="002356A7" w:rsidP="003A60D4">
      <w:pPr>
        <w:pStyle w:val="Default"/>
        <w:spacing w:after="240"/>
        <w:outlineLvl w:val="0"/>
        <w:rPr>
          <w:b/>
          <w:color w:val="auto"/>
        </w:rPr>
      </w:pPr>
    </w:p>
    <w:p w:rsidR="003A60D4" w:rsidRPr="00EB59BF" w:rsidRDefault="003A60D4" w:rsidP="003A60D4">
      <w:pPr>
        <w:pStyle w:val="Default"/>
        <w:spacing w:after="240"/>
        <w:outlineLvl w:val="0"/>
        <w:rPr>
          <w:color w:val="auto"/>
        </w:rPr>
      </w:pPr>
      <w:r w:rsidRPr="00EB59BF">
        <w:rPr>
          <w:b/>
          <w:color w:val="auto"/>
        </w:rPr>
        <w:t xml:space="preserve">Re-referring new start-up customers who fail to attend the </w:t>
      </w:r>
      <w:r w:rsidR="00137652" w:rsidRPr="00EB59BF">
        <w:rPr>
          <w:b/>
          <w:color w:val="auto"/>
        </w:rPr>
        <w:t xml:space="preserve">Link </w:t>
      </w:r>
      <w:proofErr w:type="gramStart"/>
      <w:r w:rsidR="00137652" w:rsidRPr="00EB59BF">
        <w:rPr>
          <w:b/>
          <w:color w:val="auto"/>
        </w:rPr>
        <w:t>Up :</w:t>
      </w:r>
      <w:proofErr w:type="gramEnd"/>
      <w:r w:rsidR="00137652" w:rsidRPr="00EB59BF">
        <w:rPr>
          <w:b/>
          <w:color w:val="auto"/>
        </w:rPr>
        <w:t xml:space="preserve"> Start Up </w:t>
      </w:r>
      <w:r w:rsidRPr="00EB59BF">
        <w:rPr>
          <w:b/>
          <w:color w:val="auto"/>
        </w:rPr>
        <w:t>Workshop</w:t>
      </w:r>
    </w:p>
    <w:p w:rsidR="003876C1" w:rsidRPr="00EB59BF" w:rsidRDefault="003A60D4" w:rsidP="00EC0606">
      <w:pPr>
        <w:pStyle w:val="Default"/>
        <w:numPr>
          <w:ilvl w:val="1"/>
          <w:numId w:val="11"/>
        </w:numPr>
        <w:tabs>
          <w:tab w:val="clear" w:pos="645"/>
        </w:tabs>
        <w:spacing w:after="240"/>
        <w:ind w:hanging="645"/>
        <w:outlineLvl w:val="0"/>
        <w:rPr>
          <w:color w:val="auto"/>
        </w:rPr>
      </w:pPr>
      <w:r w:rsidRPr="00EB59BF">
        <w:rPr>
          <w:bCs/>
          <w:color w:val="auto"/>
        </w:rPr>
        <w:t xml:space="preserve">The Provider will notify JCP via </w:t>
      </w:r>
      <w:proofErr w:type="spellStart"/>
      <w:r w:rsidRPr="00EB59BF">
        <w:rPr>
          <w:bCs/>
          <w:color w:val="auto"/>
        </w:rPr>
        <w:t>PRaP</w:t>
      </w:r>
      <w:proofErr w:type="spellEnd"/>
      <w:r w:rsidRPr="00EB59BF">
        <w:rPr>
          <w:bCs/>
          <w:color w:val="auto"/>
        </w:rPr>
        <w:t xml:space="preserve"> when a Participant fails to attend their </w:t>
      </w:r>
      <w:r w:rsidR="00137652" w:rsidRPr="00EB59BF">
        <w:rPr>
          <w:color w:val="auto"/>
        </w:rPr>
        <w:t xml:space="preserve">Link </w:t>
      </w:r>
      <w:proofErr w:type="gramStart"/>
      <w:r w:rsidR="00137652" w:rsidRPr="00EB59BF">
        <w:rPr>
          <w:color w:val="auto"/>
        </w:rPr>
        <w:t>Up :</w:t>
      </w:r>
      <w:proofErr w:type="gramEnd"/>
      <w:r w:rsidR="00137652" w:rsidRPr="00EB59BF">
        <w:rPr>
          <w:color w:val="auto"/>
        </w:rPr>
        <w:t xml:space="preserve"> Start Up</w:t>
      </w:r>
      <w:r w:rsidRPr="00EB59BF">
        <w:rPr>
          <w:bCs/>
          <w:color w:val="auto"/>
        </w:rPr>
        <w:t xml:space="preserve"> Workshop.  JCP will then discuss with Participants to establish if NEA remains appropriate. If it is still the right choice, JCP will make a new referral, following the same process in which the original referral was made (</w:t>
      </w:r>
      <w:r w:rsidR="005623CF">
        <w:rPr>
          <w:bCs/>
          <w:color w:val="auto"/>
        </w:rPr>
        <w:t>telephoning</w:t>
      </w:r>
      <w:r w:rsidRPr="00EB59BF">
        <w:rPr>
          <w:bCs/>
          <w:color w:val="auto"/>
        </w:rPr>
        <w:t xml:space="preserve"> the Provider, booking a </w:t>
      </w:r>
      <w:r w:rsidRPr="00EB59BF">
        <w:rPr>
          <w:bCs/>
          <w:color w:val="auto"/>
        </w:rPr>
        <w:lastRenderedPageBreak/>
        <w:t xml:space="preserve">place at the next </w:t>
      </w:r>
      <w:r w:rsidR="00137652" w:rsidRPr="00EB59BF">
        <w:rPr>
          <w:color w:val="auto"/>
        </w:rPr>
        <w:t xml:space="preserve">Link </w:t>
      </w:r>
      <w:proofErr w:type="gramStart"/>
      <w:r w:rsidR="00137652" w:rsidRPr="00EB59BF">
        <w:rPr>
          <w:color w:val="auto"/>
        </w:rPr>
        <w:t>Up :</w:t>
      </w:r>
      <w:proofErr w:type="gramEnd"/>
      <w:r w:rsidR="00137652" w:rsidRPr="00EB59BF">
        <w:rPr>
          <w:color w:val="auto"/>
        </w:rPr>
        <w:t xml:space="preserve"> Start Up</w:t>
      </w:r>
      <w:r w:rsidR="00137652" w:rsidRPr="00EB59BF">
        <w:rPr>
          <w:bCs/>
          <w:color w:val="auto"/>
        </w:rPr>
        <w:t xml:space="preserve"> </w:t>
      </w:r>
      <w:r w:rsidRPr="00EB59BF">
        <w:rPr>
          <w:bCs/>
          <w:color w:val="auto"/>
        </w:rPr>
        <w:t xml:space="preserve">Workshop and making a new electronic referral through </w:t>
      </w:r>
      <w:proofErr w:type="spellStart"/>
      <w:r w:rsidRPr="00EB59BF">
        <w:rPr>
          <w:bCs/>
          <w:color w:val="auto"/>
        </w:rPr>
        <w:t>PRaP</w:t>
      </w:r>
      <w:proofErr w:type="spellEnd"/>
      <w:r w:rsidRPr="00EB59BF">
        <w:rPr>
          <w:bCs/>
          <w:color w:val="auto"/>
        </w:rPr>
        <w:t>).</w:t>
      </w:r>
    </w:p>
    <w:p w:rsidR="003A60D4" w:rsidRDefault="003A60D4" w:rsidP="003A60D4">
      <w:pPr>
        <w:pStyle w:val="Default"/>
        <w:spacing w:after="240"/>
        <w:outlineLvl w:val="0"/>
        <w:rPr>
          <w:color w:val="auto"/>
        </w:rPr>
      </w:pPr>
      <w:r>
        <w:rPr>
          <w:color w:val="auto"/>
        </w:rPr>
        <w:t xml:space="preserve"> </w:t>
      </w:r>
      <w:r w:rsidRPr="00F56A9E">
        <w:rPr>
          <w:b/>
        </w:rPr>
        <w:t xml:space="preserve">Re-referring </w:t>
      </w:r>
      <w:r>
        <w:rPr>
          <w:b/>
        </w:rPr>
        <w:t>new start-up</w:t>
      </w:r>
      <w:r w:rsidR="00725712">
        <w:rPr>
          <w:b/>
        </w:rPr>
        <w:t xml:space="preserve"> customers / UC </w:t>
      </w:r>
      <w:r w:rsidRPr="00F56A9E">
        <w:rPr>
          <w:b/>
        </w:rPr>
        <w:t>customers</w:t>
      </w:r>
      <w:r w:rsidR="00725712">
        <w:rPr>
          <w:b/>
        </w:rPr>
        <w:t xml:space="preserve"> already in </w:t>
      </w:r>
      <w:proofErr w:type="spellStart"/>
      <w:r w:rsidR="00725712">
        <w:rPr>
          <w:b/>
        </w:rPr>
        <w:t>self employment</w:t>
      </w:r>
      <w:proofErr w:type="spellEnd"/>
      <w:r w:rsidRPr="00F56A9E">
        <w:rPr>
          <w:b/>
        </w:rPr>
        <w:t xml:space="preserve"> who fail to attend the Initial Assessment</w:t>
      </w:r>
    </w:p>
    <w:p w:rsidR="003A60D4" w:rsidRPr="005854A3" w:rsidRDefault="005854A3" w:rsidP="00EC0606">
      <w:pPr>
        <w:pStyle w:val="Default"/>
        <w:numPr>
          <w:ilvl w:val="1"/>
          <w:numId w:val="11"/>
        </w:numPr>
        <w:tabs>
          <w:tab w:val="clear" w:pos="645"/>
        </w:tabs>
        <w:spacing w:after="240"/>
        <w:ind w:hanging="645"/>
        <w:outlineLvl w:val="0"/>
        <w:rPr>
          <w:color w:val="auto"/>
        </w:rPr>
      </w:pPr>
      <w:r w:rsidRPr="00F56A9E">
        <w:rPr>
          <w:bCs/>
          <w:color w:val="auto"/>
        </w:rPr>
        <w:t xml:space="preserve">Where a Participant has failed to attend their initial assessment meeting, JCP will be notified via the action the Provider takes in </w:t>
      </w:r>
      <w:proofErr w:type="spellStart"/>
      <w:r w:rsidRPr="00F56A9E">
        <w:rPr>
          <w:bCs/>
          <w:color w:val="auto"/>
        </w:rPr>
        <w:t>PRaP</w:t>
      </w:r>
      <w:proofErr w:type="spellEnd"/>
      <w:r w:rsidRPr="00F56A9E">
        <w:rPr>
          <w:bCs/>
          <w:color w:val="auto"/>
        </w:rPr>
        <w:t xml:space="preserve"> (recording the failure to attend or failure to start - which will close the referral).</w:t>
      </w:r>
    </w:p>
    <w:p w:rsidR="005854A3" w:rsidRPr="005854A3" w:rsidRDefault="005854A3" w:rsidP="00EC0606">
      <w:pPr>
        <w:pStyle w:val="Default"/>
        <w:numPr>
          <w:ilvl w:val="1"/>
          <w:numId w:val="11"/>
        </w:numPr>
        <w:tabs>
          <w:tab w:val="clear" w:pos="645"/>
        </w:tabs>
        <w:spacing w:after="240"/>
        <w:ind w:hanging="645"/>
        <w:outlineLvl w:val="0"/>
        <w:rPr>
          <w:color w:val="auto"/>
        </w:rPr>
      </w:pPr>
      <w:r w:rsidRPr="00F56A9E">
        <w:rPr>
          <w:bCs/>
          <w:color w:val="auto"/>
        </w:rPr>
        <w:t xml:space="preserve">JCP will then establish the reasons why Participants may have failed to attend/ start and will establish if NEA remains appropriate. Where JCP establish that NEA remains appropriate for a Participant they will make a new referral, following the same process in which the original referral was made (ringing the Provider, booking a further initial assessment meeting and making a new electronic referral through </w:t>
      </w:r>
      <w:proofErr w:type="spellStart"/>
      <w:r w:rsidRPr="00F56A9E">
        <w:rPr>
          <w:bCs/>
          <w:color w:val="auto"/>
        </w:rPr>
        <w:t>PRaP</w:t>
      </w:r>
      <w:proofErr w:type="spellEnd"/>
      <w:r w:rsidRPr="00F56A9E">
        <w:rPr>
          <w:bCs/>
          <w:color w:val="auto"/>
        </w:rPr>
        <w:t>).</w:t>
      </w:r>
    </w:p>
    <w:p w:rsidR="005854A3" w:rsidRPr="005854A3" w:rsidRDefault="005854A3" w:rsidP="005854A3">
      <w:pPr>
        <w:spacing w:after="240"/>
        <w:rPr>
          <w:b/>
          <w:bCs/>
        </w:rPr>
      </w:pPr>
      <w:r w:rsidRPr="005854A3">
        <w:rPr>
          <w:b/>
          <w:bCs/>
        </w:rPr>
        <w:t xml:space="preserve">Re-referring </w:t>
      </w:r>
      <w:r w:rsidR="002356A7">
        <w:rPr>
          <w:b/>
        </w:rPr>
        <w:t xml:space="preserve">new start-up customers / UC </w:t>
      </w:r>
      <w:r w:rsidR="002356A7" w:rsidRPr="00F56A9E">
        <w:rPr>
          <w:b/>
        </w:rPr>
        <w:t>customers</w:t>
      </w:r>
      <w:r w:rsidR="002356A7">
        <w:rPr>
          <w:b/>
        </w:rPr>
        <w:t xml:space="preserve"> already in </w:t>
      </w:r>
      <w:proofErr w:type="spellStart"/>
      <w:r w:rsidR="002356A7">
        <w:rPr>
          <w:b/>
        </w:rPr>
        <w:t>self employment</w:t>
      </w:r>
      <w:proofErr w:type="spellEnd"/>
      <w:r w:rsidR="002356A7" w:rsidRPr="00F56A9E">
        <w:rPr>
          <w:b/>
        </w:rPr>
        <w:t xml:space="preserve"> </w:t>
      </w:r>
      <w:r w:rsidRPr="005854A3">
        <w:rPr>
          <w:b/>
          <w:bCs/>
        </w:rPr>
        <w:t>who had previously dropped out</w:t>
      </w:r>
    </w:p>
    <w:p w:rsidR="005854A3" w:rsidRPr="00A241CE" w:rsidRDefault="005854A3" w:rsidP="00EC0606">
      <w:pPr>
        <w:numPr>
          <w:ilvl w:val="1"/>
          <w:numId w:val="11"/>
        </w:numPr>
        <w:tabs>
          <w:tab w:val="clear" w:pos="645"/>
        </w:tabs>
        <w:autoSpaceDE w:val="0"/>
        <w:autoSpaceDN w:val="0"/>
        <w:adjustRightInd w:val="0"/>
        <w:spacing w:after="240"/>
        <w:ind w:hanging="645"/>
      </w:pPr>
      <w:r w:rsidRPr="00A241CE">
        <w:t xml:space="preserve">If a Participant who previously dropped-out of NEA </w:t>
      </w:r>
      <w:r w:rsidR="00074AD9">
        <w:t xml:space="preserve">Phase 2 </w:t>
      </w:r>
      <w:r w:rsidRPr="00A241CE">
        <w:t xml:space="preserve">during the Mentoring stage enquires about returning to the </w:t>
      </w:r>
      <w:r>
        <w:t>scheme</w:t>
      </w:r>
      <w:r w:rsidRPr="00A241CE">
        <w:t xml:space="preserve">, assuming they are eligible, Jobcentre Plus </w:t>
      </w:r>
      <w:r>
        <w:t>work coaches</w:t>
      </w:r>
      <w:r w:rsidRPr="00A241CE">
        <w:t xml:space="preserve"> </w:t>
      </w:r>
      <w:r>
        <w:t>will decide</w:t>
      </w:r>
      <w:r w:rsidRPr="00A241CE">
        <w:t xml:space="preserve"> whether or not re-referral is appropriate.</w:t>
      </w:r>
    </w:p>
    <w:p w:rsidR="005854A3" w:rsidRPr="00A241CE" w:rsidRDefault="005854A3" w:rsidP="00EC0606">
      <w:pPr>
        <w:pStyle w:val="number"/>
        <w:numPr>
          <w:ilvl w:val="1"/>
          <w:numId w:val="11"/>
        </w:numPr>
        <w:tabs>
          <w:tab w:val="clear" w:pos="645"/>
        </w:tabs>
        <w:spacing w:after="240" w:afterAutospacing="0"/>
        <w:ind w:hanging="645"/>
      </w:pPr>
      <w:r w:rsidRPr="00A241CE">
        <w:t xml:space="preserve">If re-referral is considered appropriate and the claimant wishes to develop a different business idea from their previous one, the Participant will be treated as a </w:t>
      </w:r>
      <w:r w:rsidRPr="00A241CE">
        <w:rPr>
          <w:u w:val="single"/>
        </w:rPr>
        <w:t>new</w:t>
      </w:r>
      <w:r w:rsidRPr="00A241CE">
        <w:t xml:space="preserve"> referral to the Provider and the standard processes will apply to all aspects of the programme.</w:t>
      </w:r>
    </w:p>
    <w:p w:rsidR="005854A3" w:rsidRPr="005854A3" w:rsidRDefault="005854A3" w:rsidP="00EC0606">
      <w:pPr>
        <w:pStyle w:val="Default"/>
        <w:numPr>
          <w:ilvl w:val="1"/>
          <w:numId w:val="11"/>
        </w:numPr>
        <w:tabs>
          <w:tab w:val="clear" w:pos="645"/>
        </w:tabs>
        <w:spacing w:after="240"/>
        <w:ind w:hanging="645"/>
        <w:outlineLvl w:val="0"/>
        <w:rPr>
          <w:color w:val="auto"/>
        </w:rPr>
      </w:pPr>
      <w:r w:rsidRPr="00A241CE">
        <w:t>If a Participant wishes to pursue the same business idea</w:t>
      </w:r>
      <w:r>
        <w:t xml:space="preserve">, </w:t>
      </w:r>
      <w:r w:rsidRPr="00A241CE">
        <w:t xml:space="preserve">the Jobcentre </w:t>
      </w:r>
      <w:proofErr w:type="gramStart"/>
      <w:r w:rsidRPr="00A241CE">
        <w:t>Plus</w:t>
      </w:r>
      <w:proofErr w:type="gramEnd"/>
      <w:r w:rsidRPr="00A241CE">
        <w:t xml:space="preserve"> </w:t>
      </w:r>
      <w:r w:rsidR="005623CF">
        <w:t>W</w:t>
      </w:r>
      <w:r>
        <w:t xml:space="preserve">ork </w:t>
      </w:r>
      <w:r w:rsidR="005623CF">
        <w:t>C</w:t>
      </w:r>
      <w:r>
        <w:t xml:space="preserve">oach </w:t>
      </w:r>
      <w:r w:rsidRPr="00A241CE">
        <w:t xml:space="preserve">must </w:t>
      </w:r>
      <w:r w:rsidR="005623CF">
        <w:t>telephone</w:t>
      </w:r>
      <w:r w:rsidRPr="00A241CE">
        <w:t xml:space="preserve"> the Provider to explain the circumstances of the case and discuss the feasibility of the claimant resuming the Mentoring relationship at the point they left.  If the Provider agrees, the Participant can then re-start the scheme</w:t>
      </w:r>
      <w:r w:rsidR="0008103E">
        <w:t xml:space="preserve"> for the balance of time remaining</w:t>
      </w:r>
      <w:r w:rsidRPr="00A241CE">
        <w:t xml:space="preserve">, but this will </w:t>
      </w:r>
      <w:r w:rsidRPr="00A241CE">
        <w:rPr>
          <w:u w:val="single"/>
        </w:rPr>
        <w:t>not</w:t>
      </w:r>
      <w:r w:rsidRPr="00A241CE">
        <w:t xml:space="preserve"> count as a new referral.</w:t>
      </w:r>
    </w:p>
    <w:p w:rsidR="005854A3" w:rsidRDefault="00347E5F" w:rsidP="00347E5F">
      <w:pPr>
        <w:pStyle w:val="Default"/>
        <w:spacing w:after="240"/>
        <w:outlineLvl w:val="0"/>
        <w:rPr>
          <w:color w:val="auto"/>
        </w:rPr>
      </w:pPr>
      <w:r w:rsidRPr="000414CA">
        <w:rPr>
          <w:b/>
          <w:bCs/>
        </w:rPr>
        <w:t>Conditionality while participating on NEA</w:t>
      </w:r>
    </w:p>
    <w:p w:rsidR="00347E5F" w:rsidRPr="000414CA" w:rsidRDefault="00347E5F" w:rsidP="00EC0606">
      <w:pPr>
        <w:numPr>
          <w:ilvl w:val="1"/>
          <w:numId w:val="11"/>
        </w:numPr>
        <w:tabs>
          <w:tab w:val="clear" w:pos="645"/>
        </w:tabs>
        <w:spacing w:before="100" w:beforeAutospacing="1" w:after="240"/>
        <w:ind w:hanging="645"/>
        <w:rPr>
          <w:lang w:eastAsia="en-GB"/>
        </w:rPr>
      </w:pPr>
      <w:r w:rsidRPr="000414CA">
        <w:rPr>
          <w:lang w:eastAsia="en-GB"/>
        </w:rPr>
        <w:t xml:space="preserve">Conditionality will only apply to </w:t>
      </w:r>
      <w:r w:rsidR="009D009B">
        <w:rPr>
          <w:lang w:eastAsia="en-GB"/>
        </w:rPr>
        <w:t xml:space="preserve">some of </w:t>
      </w:r>
      <w:r w:rsidRPr="000414CA">
        <w:rPr>
          <w:lang w:eastAsia="en-GB"/>
        </w:rPr>
        <w:t>the new start-up participants of NEA</w:t>
      </w:r>
      <w:r w:rsidR="0045766F" w:rsidRPr="0045766F">
        <w:rPr>
          <w:rFonts w:cs="Arial"/>
          <w:lang w:eastAsia="en-GB"/>
        </w:rPr>
        <w:t xml:space="preserve"> </w:t>
      </w:r>
      <w:r w:rsidR="0045766F">
        <w:rPr>
          <w:rFonts w:cs="Arial"/>
          <w:lang w:eastAsia="en-GB"/>
        </w:rPr>
        <w:t>Phase 2</w:t>
      </w:r>
      <w:r w:rsidRPr="000414CA">
        <w:rPr>
          <w:lang w:eastAsia="en-GB"/>
        </w:rPr>
        <w:t>.  UC claimants who are already self-employed will be deemed to be “Gainfully Self-Employed” for UC purposes and therefore will not be subject to conditionality.</w:t>
      </w:r>
    </w:p>
    <w:p w:rsidR="00347E5F" w:rsidRPr="000414CA" w:rsidRDefault="00347E5F" w:rsidP="00EC0606">
      <w:pPr>
        <w:numPr>
          <w:ilvl w:val="1"/>
          <w:numId w:val="11"/>
        </w:numPr>
        <w:tabs>
          <w:tab w:val="clear" w:pos="645"/>
        </w:tabs>
        <w:spacing w:before="100" w:beforeAutospacing="1" w:after="240"/>
        <w:ind w:hanging="645"/>
        <w:rPr>
          <w:lang w:eastAsia="en-GB"/>
        </w:rPr>
      </w:pPr>
      <w:r w:rsidRPr="000414CA">
        <w:rPr>
          <w:lang w:eastAsia="en-GB"/>
        </w:rPr>
        <w:t xml:space="preserve">All start-up Participants in the NEA </w:t>
      </w:r>
      <w:r w:rsidR="0045766F">
        <w:rPr>
          <w:rFonts w:cs="Arial"/>
          <w:lang w:eastAsia="en-GB"/>
        </w:rPr>
        <w:t xml:space="preserve">Phase 2 </w:t>
      </w:r>
      <w:r w:rsidRPr="000414CA">
        <w:rPr>
          <w:lang w:eastAsia="en-GB"/>
        </w:rPr>
        <w:t xml:space="preserve">are expected to engage fully in the scheme and complete the NEA </w:t>
      </w:r>
      <w:r w:rsidR="0045766F">
        <w:rPr>
          <w:rFonts w:cs="Arial"/>
          <w:lang w:eastAsia="en-GB"/>
        </w:rPr>
        <w:t>Phase 2</w:t>
      </w:r>
      <w:r w:rsidRPr="000414CA">
        <w:rPr>
          <w:lang w:eastAsia="en-GB"/>
        </w:rPr>
        <w:t xml:space="preserve"> </w:t>
      </w:r>
      <w:r w:rsidR="00FC11AC">
        <w:rPr>
          <w:lang w:eastAsia="en-GB"/>
        </w:rPr>
        <w:t xml:space="preserve">mentoring phase </w:t>
      </w:r>
      <w:r w:rsidRPr="000414CA">
        <w:rPr>
          <w:lang w:eastAsia="en-GB"/>
        </w:rPr>
        <w:t xml:space="preserve">within 12 weeks.  This </w:t>
      </w:r>
      <w:r w:rsidRPr="000414CA">
        <w:rPr>
          <w:u w:val="single"/>
          <w:lang w:eastAsia="en-GB"/>
        </w:rPr>
        <w:t>cannot</w:t>
      </w:r>
      <w:r w:rsidRPr="000414CA">
        <w:rPr>
          <w:lang w:eastAsia="en-GB"/>
        </w:rPr>
        <w:t xml:space="preserve"> be extended further.</w:t>
      </w:r>
    </w:p>
    <w:p w:rsidR="00347E5F" w:rsidRPr="00347E5F" w:rsidRDefault="00347E5F" w:rsidP="00EC0606">
      <w:pPr>
        <w:pStyle w:val="Default"/>
        <w:numPr>
          <w:ilvl w:val="1"/>
          <w:numId w:val="11"/>
        </w:numPr>
        <w:tabs>
          <w:tab w:val="clear" w:pos="645"/>
        </w:tabs>
        <w:spacing w:after="240"/>
        <w:ind w:hanging="645"/>
        <w:outlineLvl w:val="0"/>
        <w:rPr>
          <w:color w:val="auto"/>
        </w:rPr>
      </w:pPr>
      <w:r w:rsidRPr="000414CA">
        <w:t>These Participants remain subject to the conditionality associated with their benefit receipt.  For JSA Participants the condition to be ‘actively seeking paid employment’ is replaced by a requirement to participate fully in the Mentoring phase of the NEA</w:t>
      </w:r>
      <w:r w:rsidR="0045766F" w:rsidRPr="0045766F">
        <w:t xml:space="preserve"> </w:t>
      </w:r>
      <w:r w:rsidR="0045766F">
        <w:t>Phase 2</w:t>
      </w:r>
      <w:r w:rsidRPr="000414CA">
        <w:t>.  This will mean (but is not restricted to)</w:t>
      </w:r>
      <w:r w:rsidRPr="000414CA">
        <w:rPr>
          <w:lang w:bidi="ks-Deva"/>
        </w:rPr>
        <w:t>:</w:t>
      </w:r>
    </w:p>
    <w:p w:rsidR="00347E5F" w:rsidRPr="00347E5F" w:rsidRDefault="00347E5F" w:rsidP="00EC0606">
      <w:pPr>
        <w:pStyle w:val="Default"/>
        <w:numPr>
          <w:ilvl w:val="0"/>
          <w:numId w:val="56"/>
        </w:numPr>
        <w:ind w:left="1361" w:hanging="357"/>
        <w:outlineLvl w:val="0"/>
        <w:rPr>
          <w:color w:val="auto"/>
        </w:rPr>
      </w:pPr>
      <w:r w:rsidRPr="00347E5F">
        <w:rPr>
          <w:color w:val="auto"/>
        </w:rPr>
        <w:lastRenderedPageBreak/>
        <w:t xml:space="preserve">Attending all appointments with Mentor / Mentoring Provider organisation (or their representative) where given at least 24 </w:t>
      </w:r>
      <w:proofErr w:type="spellStart"/>
      <w:r w:rsidRPr="00347E5F">
        <w:rPr>
          <w:color w:val="auto"/>
        </w:rPr>
        <w:t>hours notice</w:t>
      </w:r>
      <w:proofErr w:type="spellEnd"/>
      <w:r w:rsidRPr="00347E5F">
        <w:rPr>
          <w:color w:val="auto"/>
        </w:rPr>
        <w:t xml:space="preserve"> of the appointment</w:t>
      </w:r>
      <w:r w:rsidR="001E1B68">
        <w:rPr>
          <w:color w:val="auto"/>
        </w:rPr>
        <w:t>;</w:t>
      </w:r>
      <w:r w:rsidRPr="00347E5F">
        <w:rPr>
          <w:color w:val="auto"/>
        </w:rPr>
        <w:t xml:space="preserve"> </w:t>
      </w:r>
    </w:p>
    <w:p w:rsidR="00347E5F" w:rsidRPr="00347E5F" w:rsidRDefault="00347E5F" w:rsidP="00EC0606">
      <w:pPr>
        <w:pStyle w:val="Default"/>
        <w:numPr>
          <w:ilvl w:val="0"/>
          <w:numId w:val="56"/>
        </w:numPr>
        <w:ind w:left="1361" w:hanging="357"/>
        <w:outlineLvl w:val="0"/>
        <w:rPr>
          <w:color w:val="auto"/>
        </w:rPr>
      </w:pPr>
      <w:r w:rsidRPr="00347E5F">
        <w:rPr>
          <w:color w:val="auto"/>
        </w:rPr>
        <w:t>Doing things each week to develop the business proposal</w:t>
      </w:r>
      <w:r w:rsidR="001E1B68">
        <w:rPr>
          <w:color w:val="auto"/>
        </w:rPr>
        <w:t>; and</w:t>
      </w:r>
      <w:r w:rsidRPr="00347E5F">
        <w:rPr>
          <w:color w:val="auto"/>
        </w:rPr>
        <w:t xml:space="preserve"> </w:t>
      </w:r>
    </w:p>
    <w:p w:rsidR="00347E5F" w:rsidRPr="00347E5F" w:rsidRDefault="005623CF" w:rsidP="00EC0606">
      <w:pPr>
        <w:pStyle w:val="Default"/>
        <w:numPr>
          <w:ilvl w:val="0"/>
          <w:numId w:val="56"/>
        </w:numPr>
        <w:spacing w:after="240"/>
        <w:outlineLvl w:val="0"/>
        <w:rPr>
          <w:color w:val="auto"/>
        </w:rPr>
      </w:pPr>
      <w:r>
        <w:rPr>
          <w:color w:val="auto"/>
        </w:rPr>
        <w:t xml:space="preserve">Informing </w:t>
      </w:r>
      <w:r w:rsidR="00347E5F" w:rsidRPr="00347E5F">
        <w:rPr>
          <w:color w:val="auto"/>
        </w:rPr>
        <w:t>Jobcentre Plus within 2 working days if the business idea is no longer being pursued and/or the Mentoring relationship ends.</w:t>
      </w:r>
    </w:p>
    <w:p w:rsidR="00347E5F" w:rsidRPr="00347E5F" w:rsidRDefault="00347E5F" w:rsidP="00EC0606">
      <w:pPr>
        <w:pStyle w:val="Default"/>
        <w:numPr>
          <w:ilvl w:val="1"/>
          <w:numId w:val="11"/>
        </w:numPr>
        <w:tabs>
          <w:tab w:val="clear" w:pos="645"/>
        </w:tabs>
        <w:spacing w:after="240"/>
        <w:ind w:hanging="645"/>
        <w:outlineLvl w:val="0"/>
        <w:rPr>
          <w:color w:val="auto"/>
        </w:rPr>
      </w:pPr>
      <w:r w:rsidRPr="000414CA">
        <w:rPr>
          <w:lang w:bidi="ks-Deva"/>
        </w:rPr>
        <w:t xml:space="preserve">Participants in receipt of other benefits, such as Income Support or the Employment and Support Allowance, remain subject to their usual benefit conditionality whilst they are participating in the NEA </w:t>
      </w:r>
      <w:r w:rsidR="0045766F">
        <w:t>Phase 2</w:t>
      </w:r>
      <w:r w:rsidRPr="000414CA">
        <w:rPr>
          <w:lang w:bidi="ks-Deva"/>
        </w:rPr>
        <w:t xml:space="preserve">.  However, they are expected to complete the NEA phase within the same </w:t>
      </w:r>
      <w:r>
        <w:rPr>
          <w:lang w:bidi="ks-Deva"/>
        </w:rPr>
        <w:t>1</w:t>
      </w:r>
      <w:r w:rsidRPr="000414CA">
        <w:rPr>
          <w:lang w:bidi="ks-Deva"/>
        </w:rPr>
        <w:t>2 weeks as JSA claimants.</w:t>
      </w:r>
    </w:p>
    <w:p w:rsidR="00347E5F" w:rsidRPr="00347E5F" w:rsidRDefault="00347E5F" w:rsidP="00EC0606">
      <w:pPr>
        <w:pStyle w:val="Default"/>
        <w:numPr>
          <w:ilvl w:val="1"/>
          <w:numId w:val="11"/>
        </w:numPr>
        <w:tabs>
          <w:tab w:val="clear" w:pos="645"/>
        </w:tabs>
        <w:spacing w:after="240"/>
        <w:ind w:hanging="645"/>
        <w:outlineLvl w:val="0"/>
        <w:rPr>
          <w:color w:val="auto"/>
        </w:rPr>
      </w:pPr>
      <w:r>
        <w:rPr>
          <w:lang w:bidi="ks-Deva"/>
        </w:rPr>
        <w:t xml:space="preserve">Participants in start-up who are claiming UC may be subject to conditionality depending upon their individual circumstances.  For example, some UC claimants may be subject to a work search requirement that means they should spend </w:t>
      </w:r>
      <w:r w:rsidR="009F5E8A">
        <w:rPr>
          <w:lang w:bidi="ks-Deva"/>
        </w:rPr>
        <w:t xml:space="preserve">up to </w:t>
      </w:r>
      <w:r>
        <w:rPr>
          <w:lang w:bidi="ks-Deva"/>
        </w:rPr>
        <w:t xml:space="preserve">35 hours per week looking for employment.  Whilst on the mentoring phase of NEA </w:t>
      </w:r>
      <w:r w:rsidR="0045766F">
        <w:t xml:space="preserve">Phase 2 </w:t>
      </w:r>
      <w:r>
        <w:rPr>
          <w:lang w:bidi="ks-Deva"/>
        </w:rPr>
        <w:t>any business preparation activity a participant undertakes – including working on their business plan – can be counted toward their work search requirement.</w:t>
      </w:r>
    </w:p>
    <w:p w:rsidR="00347E5F" w:rsidRPr="009F5E8A" w:rsidRDefault="00347E5F" w:rsidP="00EC0606">
      <w:pPr>
        <w:pStyle w:val="Default"/>
        <w:numPr>
          <w:ilvl w:val="1"/>
          <w:numId w:val="11"/>
        </w:numPr>
        <w:tabs>
          <w:tab w:val="clear" w:pos="645"/>
        </w:tabs>
        <w:spacing w:after="240"/>
        <w:ind w:hanging="645"/>
        <w:outlineLvl w:val="0"/>
        <w:rPr>
          <w:color w:val="auto"/>
        </w:rPr>
      </w:pPr>
      <w:r w:rsidRPr="00ED633C">
        <w:rPr>
          <w:lang w:bidi="ks-Deva"/>
        </w:rPr>
        <w:t xml:space="preserve">NEA </w:t>
      </w:r>
      <w:r w:rsidR="0045766F">
        <w:t xml:space="preserve">Phase 2 </w:t>
      </w:r>
      <w:r w:rsidRPr="00ED633C">
        <w:rPr>
          <w:lang w:bidi="ks-Deva"/>
        </w:rPr>
        <w:t xml:space="preserve">participation is voluntary for all eligible groups, and Participants can leave the scheme at any time without threat of a benefit sanction.  However, JSA claimants must inform Jobcentre </w:t>
      </w:r>
      <w:proofErr w:type="gramStart"/>
      <w:r w:rsidRPr="00ED633C">
        <w:rPr>
          <w:lang w:bidi="ks-Deva"/>
        </w:rPr>
        <w:t>Plus</w:t>
      </w:r>
      <w:proofErr w:type="gramEnd"/>
      <w:r w:rsidRPr="00ED633C">
        <w:rPr>
          <w:lang w:bidi="ks-Deva"/>
        </w:rPr>
        <w:t xml:space="preserve"> within two work</w:t>
      </w:r>
      <w:r w:rsidR="009D009B">
        <w:rPr>
          <w:lang w:bidi="ks-Deva"/>
        </w:rPr>
        <w:t>ing</w:t>
      </w:r>
      <w:r w:rsidRPr="00ED633C">
        <w:rPr>
          <w:lang w:bidi="ks-Deva"/>
        </w:rPr>
        <w:t xml:space="preserve"> days of their decision to leave the scheme otherwise they may incur a sanction.</w:t>
      </w:r>
      <w:r w:rsidR="009F5E8A">
        <w:rPr>
          <w:lang w:bidi="ks-Deva"/>
        </w:rPr>
        <w:t xml:space="preserve"> This may also be the case for some UC customers.</w:t>
      </w:r>
    </w:p>
    <w:p w:rsidR="009F5E8A" w:rsidRPr="009F5E8A" w:rsidRDefault="009F5E8A" w:rsidP="009F5E8A">
      <w:pPr>
        <w:pStyle w:val="Default"/>
        <w:spacing w:after="240"/>
        <w:outlineLvl w:val="0"/>
        <w:rPr>
          <w:b/>
          <w:color w:val="auto"/>
        </w:rPr>
      </w:pPr>
      <w:proofErr w:type="spellStart"/>
      <w:r w:rsidRPr="009F5E8A">
        <w:rPr>
          <w:b/>
          <w:color w:val="auto"/>
        </w:rPr>
        <w:t>PRaP</w:t>
      </w:r>
      <w:proofErr w:type="spellEnd"/>
      <w:r w:rsidRPr="009F5E8A">
        <w:rPr>
          <w:b/>
          <w:color w:val="auto"/>
        </w:rPr>
        <w:t xml:space="preserve"> Actions</w:t>
      </w:r>
    </w:p>
    <w:p w:rsidR="009F5E8A" w:rsidRPr="00347E5F" w:rsidRDefault="009F5E8A" w:rsidP="009F5E8A">
      <w:pPr>
        <w:pStyle w:val="Default"/>
        <w:numPr>
          <w:ilvl w:val="1"/>
          <w:numId w:val="11"/>
        </w:numPr>
        <w:spacing w:after="240"/>
        <w:ind w:hanging="645"/>
        <w:outlineLvl w:val="0"/>
        <w:rPr>
          <w:color w:val="auto"/>
        </w:rPr>
      </w:pPr>
      <w:r w:rsidRPr="009F5E8A">
        <w:rPr>
          <w:color w:val="auto"/>
        </w:rPr>
        <w:t>There are points within NEA where Providers must ensure they update NEA Phase 2 referrals on the Provider Referrals and Payments (</w:t>
      </w:r>
      <w:proofErr w:type="spellStart"/>
      <w:r w:rsidRPr="009F5E8A">
        <w:rPr>
          <w:color w:val="auto"/>
        </w:rPr>
        <w:t>PRaP</w:t>
      </w:r>
      <w:proofErr w:type="spellEnd"/>
      <w:r w:rsidRPr="009F5E8A">
        <w:rPr>
          <w:color w:val="auto"/>
        </w:rPr>
        <w:t>) system. The below are the key actions required:</w:t>
      </w:r>
    </w:p>
    <w:p w:rsidR="00347E5F" w:rsidRPr="00542C2E" w:rsidRDefault="00347E5F" w:rsidP="00EC0606">
      <w:pPr>
        <w:numPr>
          <w:ilvl w:val="0"/>
          <w:numId w:val="57"/>
        </w:numPr>
        <w:ind w:left="1134"/>
        <w:rPr>
          <w:rFonts w:cs="Arial"/>
        </w:rPr>
      </w:pPr>
      <w:r w:rsidRPr="00542C2E">
        <w:rPr>
          <w:rFonts w:cs="Arial"/>
        </w:rPr>
        <w:t xml:space="preserve">Acknowledge each </w:t>
      </w:r>
      <w:r w:rsidR="00137652">
        <w:t>Link Up : Start Up</w:t>
      </w:r>
      <w:r w:rsidR="00137652" w:rsidRPr="00542C2E">
        <w:rPr>
          <w:rFonts w:cs="Arial"/>
        </w:rPr>
        <w:t xml:space="preserve"> </w:t>
      </w:r>
      <w:r w:rsidRPr="00542C2E">
        <w:rPr>
          <w:rFonts w:cs="Arial"/>
        </w:rPr>
        <w:t>Workshop referra</w:t>
      </w:r>
      <w:r w:rsidR="00993D4A">
        <w:rPr>
          <w:rFonts w:cs="Arial"/>
        </w:rPr>
        <w:t>l;</w:t>
      </w:r>
    </w:p>
    <w:p w:rsidR="00347E5F" w:rsidRPr="00542C2E" w:rsidRDefault="00347E5F" w:rsidP="00EC0606">
      <w:pPr>
        <w:numPr>
          <w:ilvl w:val="0"/>
          <w:numId w:val="57"/>
        </w:numPr>
        <w:ind w:left="1134"/>
        <w:rPr>
          <w:rFonts w:cs="Arial"/>
        </w:rPr>
      </w:pPr>
      <w:r w:rsidRPr="00542C2E">
        <w:rPr>
          <w:rFonts w:cs="Arial"/>
        </w:rPr>
        <w:t xml:space="preserve">Record attendance at the </w:t>
      </w:r>
      <w:r w:rsidR="00137652">
        <w:t>Link Up : Start Up</w:t>
      </w:r>
      <w:r w:rsidR="00137652" w:rsidRPr="00542C2E">
        <w:rPr>
          <w:rFonts w:cs="Arial"/>
        </w:rPr>
        <w:t xml:space="preserve"> </w:t>
      </w:r>
      <w:r w:rsidRPr="00542C2E">
        <w:rPr>
          <w:rFonts w:cs="Arial"/>
        </w:rPr>
        <w:t>Workshop</w:t>
      </w:r>
      <w:r w:rsidR="001E1B68">
        <w:rPr>
          <w:rFonts w:cs="Arial"/>
        </w:rPr>
        <w:t>;</w:t>
      </w:r>
      <w:r w:rsidRPr="00542C2E">
        <w:rPr>
          <w:rFonts w:cs="Arial"/>
        </w:rPr>
        <w:t xml:space="preserve"> </w:t>
      </w:r>
    </w:p>
    <w:p w:rsidR="00347E5F" w:rsidRPr="00542C2E" w:rsidRDefault="00347E5F" w:rsidP="00EC0606">
      <w:pPr>
        <w:numPr>
          <w:ilvl w:val="0"/>
          <w:numId w:val="57"/>
        </w:numPr>
        <w:ind w:left="1134"/>
        <w:rPr>
          <w:rFonts w:cs="Arial"/>
        </w:rPr>
      </w:pPr>
      <w:r w:rsidRPr="00542C2E">
        <w:rPr>
          <w:rFonts w:cs="Arial"/>
        </w:rPr>
        <w:t xml:space="preserve">Acknowledge each NEA </w:t>
      </w:r>
      <w:r w:rsidR="0045766F">
        <w:rPr>
          <w:rFonts w:cs="Arial"/>
          <w:lang w:eastAsia="en-GB"/>
        </w:rPr>
        <w:t>Phase 2</w:t>
      </w:r>
      <w:r w:rsidR="0045766F">
        <w:rPr>
          <w:rFonts w:cs="Arial"/>
        </w:rPr>
        <w:t xml:space="preserve"> </w:t>
      </w:r>
      <w:r w:rsidRPr="00542C2E">
        <w:rPr>
          <w:rFonts w:cs="Arial"/>
        </w:rPr>
        <w:t>referral</w:t>
      </w:r>
      <w:r w:rsidR="001E1B68">
        <w:rPr>
          <w:rFonts w:cs="Arial"/>
        </w:rPr>
        <w:t>;</w:t>
      </w:r>
      <w:r w:rsidRPr="00542C2E">
        <w:rPr>
          <w:rFonts w:cs="Arial"/>
        </w:rPr>
        <w:t xml:space="preserve"> </w:t>
      </w:r>
    </w:p>
    <w:p w:rsidR="00347E5F" w:rsidRPr="00542C2E" w:rsidRDefault="00347E5F" w:rsidP="00EC0606">
      <w:pPr>
        <w:numPr>
          <w:ilvl w:val="0"/>
          <w:numId w:val="57"/>
        </w:numPr>
        <w:ind w:left="1134"/>
        <w:rPr>
          <w:rFonts w:cs="Arial"/>
        </w:rPr>
      </w:pPr>
      <w:r w:rsidRPr="00542C2E">
        <w:rPr>
          <w:rFonts w:cs="Arial"/>
        </w:rPr>
        <w:t xml:space="preserve">Record a NEA </w:t>
      </w:r>
      <w:r w:rsidR="0045766F">
        <w:rPr>
          <w:rFonts w:cs="Arial"/>
          <w:lang w:eastAsia="en-GB"/>
        </w:rPr>
        <w:t xml:space="preserve">Phase 2 </w:t>
      </w:r>
      <w:r w:rsidR="00022BB4">
        <w:rPr>
          <w:rFonts w:cs="Arial"/>
          <w:lang w:eastAsia="en-GB"/>
        </w:rPr>
        <w:t>initial assessment result (</w:t>
      </w:r>
      <w:r w:rsidRPr="00542C2E">
        <w:rPr>
          <w:rFonts w:cs="Arial"/>
        </w:rPr>
        <w:t>start</w:t>
      </w:r>
      <w:r w:rsidR="00022BB4">
        <w:rPr>
          <w:rFonts w:cs="Arial"/>
        </w:rPr>
        <w:t>, fail to attend, did not start)</w:t>
      </w:r>
      <w:r w:rsidRPr="00542C2E">
        <w:rPr>
          <w:rFonts w:cs="Arial"/>
        </w:rPr>
        <w:t xml:space="preserve"> for each Participant</w:t>
      </w:r>
      <w:r w:rsidR="001E1B68">
        <w:rPr>
          <w:rFonts w:cs="Arial"/>
        </w:rPr>
        <w:t>;</w:t>
      </w:r>
      <w:r w:rsidRPr="00542C2E">
        <w:rPr>
          <w:rFonts w:cs="Arial"/>
        </w:rPr>
        <w:t xml:space="preserve"> </w:t>
      </w:r>
    </w:p>
    <w:p w:rsidR="00347E5F" w:rsidRPr="00542C2E" w:rsidRDefault="00347E5F" w:rsidP="00EC0606">
      <w:pPr>
        <w:numPr>
          <w:ilvl w:val="0"/>
          <w:numId w:val="57"/>
        </w:numPr>
        <w:ind w:left="1134"/>
        <w:rPr>
          <w:rFonts w:cs="Arial"/>
        </w:rPr>
      </w:pPr>
      <w:r w:rsidRPr="00542C2E">
        <w:rPr>
          <w:rFonts w:cs="Arial"/>
        </w:rPr>
        <w:t>Re</w:t>
      </w:r>
      <w:r w:rsidR="009F5E8A">
        <w:rPr>
          <w:rFonts w:cs="Arial"/>
        </w:rPr>
        <w:t>cord where Participants complete</w:t>
      </w:r>
      <w:r w:rsidRPr="00542C2E">
        <w:rPr>
          <w:rFonts w:cs="Arial"/>
        </w:rPr>
        <w:t xml:space="preserve"> pre </w:t>
      </w:r>
      <w:proofErr w:type="spellStart"/>
      <w:r w:rsidRPr="00542C2E">
        <w:rPr>
          <w:rFonts w:cs="Arial"/>
        </w:rPr>
        <w:t>start up</w:t>
      </w:r>
      <w:proofErr w:type="spellEnd"/>
      <w:r w:rsidRPr="00542C2E">
        <w:rPr>
          <w:rFonts w:cs="Arial"/>
        </w:rPr>
        <w:t xml:space="preserve"> period</w:t>
      </w:r>
      <w:r w:rsidR="001E1B68">
        <w:rPr>
          <w:rFonts w:cs="Arial"/>
        </w:rPr>
        <w:t>; and</w:t>
      </w:r>
    </w:p>
    <w:p w:rsidR="00D91638" w:rsidRPr="00E95B0F" w:rsidRDefault="00347E5F" w:rsidP="002E64F8">
      <w:pPr>
        <w:numPr>
          <w:ilvl w:val="0"/>
          <w:numId w:val="57"/>
        </w:numPr>
        <w:autoSpaceDE w:val="0"/>
        <w:autoSpaceDN w:val="0"/>
        <w:spacing w:after="120"/>
        <w:ind w:left="1134"/>
        <w:rPr>
          <w:szCs w:val="28"/>
        </w:rPr>
      </w:pPr>
      <w:r w:rsidRPr="00542C2E">
        <w:t xml:space="preserve">Where making outcome claims, record all details in relation to the outcomes i.e. start, </w:t>
      </w:r>
      <w:r w:rsidRPr="00D91638">
        <w:rPr>
          <w:rFonts w:cs="Arial"/>
        </w:rPr>
        <w:t xml:space="preserve">completing pre </w:t>
      </w:r>
      <w:proofErr w:type="spellStart"/>
      <w:r w:rsidRPr="00D91638">
        <w:rPr>
          <w:rFonts w:cs="Arial"/>
        </w:rPr>
        <w:t>start up</w:t>
      </w:r>
      <w:proofErr w:type="spellEnd"/>
      <w:r w:rsidRPr="00D91638">
        <w:rPr>
          <w:rFonts w:cs="Arial"/>
        </w:rPr>
        <w:t xml:space="preserve"> period, start </w:t>
      </w:r>
      <w:r w:rsidRPr="00542C2E">
        <w:t xml:space="preserve">trading and completion of </w:t>
      </w:r>
      <w:r w:rsidR="00C36093">
        <w:t>6 months / 26 weeks</w:t>
      </w:r>
      <w:r w:rsidR="00F62878">
        <w:t xml:space="preserve"> of</w:t>
      </w:r>
      <w:r w:rsidRPr="00542C2E">
        <w:t xml:space="preserve"> trading in the Job Details screen, prior to the claims.</w:t>
      </w:r>
      <w:r w:rsidR="00CF751E">
        <w:t xml:space="preserve"> </w:t>
      </w:r>
      <w:r w:rsidR="002356A7">
        <w:t xml:space="preserve">Record the </w:t>
      </w:r>
      <w:r w:rsidRPr="00542C2E">
        <w:t xml:space="preserve"> </w:t>
      </w:r>
      <w:r w:rsidR="00D91638">
        <w:t xml:space="preserve">details of completion of 12 months </w:t>
      </w:r>
      <w:r w:rsidR="006339F2">
        <w:t xml:space="preserve">/ 52 weeks </w:t>
      </w:r>
      <w:r w:rsidR="00D91638">
        <w:t xml:space="preserve">of trading / UC existing </w:t>
      </w:r>
      <w:proofErr w:type="spellStart"/>
      <w:r w:rsidR="00D91638">
        <w:t>self employed</w:t>
      </w:r>
      <w:proofErr w:type="spellEnd"/>
      <w:r w:rsidR="00D91638">
        <w:t xml:space="preserve"> </w:t>
      </w:r>
      <w:r w:rsidR="00D91638" w:rsidRPr="00AE7269">
        <w:rPr>
          <w:rFonts w:cs="Arial"/>
          <w:szCs w:val="28"/>
          <w:lang w:eastAsia="en-GB"/>
        </w:rPr>
        <w:t xml:space="preserve">sees an average increase in earnings from their business for the months </w:t>
      </w:r>
      <w:r w:rsidR="00D91638" w:rsidRPr="006A5DB0">
        <w:rPr>
          <w:rFonts w:cs="Arial"/>
          <w:szCs w:val="28"/>
          <w:lang w:eastAsia="en-GB"/>
        </w:rPr>
        <w:t>7 to 12 after the BDGP approval;</w:t>
      </w:r>
    </w:p>
    <w:p w:rsidR="00347E5F" w:rsidRPr="00527634" w:rsidRDefault="00527634" w:rsidP="00527634">
      <w:pPr>
        <w:autoSpaceDE w:val="0"/>
        <w:autoSpaceDN w:val="0"/>
        <w:spacing w:after="120"/>
        <w:ind w:left="709"/>
        <w:rPr>
          <w:i/>
        </w:rPr>
      </w:pPr>
      <w:r w:rsidRPr="00527634">
        <w:rPr>
          <w:i/>
        </w:rPr>
        <w:t>See also sections covering Minimum Performance Levels and Customer Service Standards</w:t>
      </w:r>
    </w:p>
    <w:p w:rsidR="00347E5F" w:rsidRPr="00347E5F" w:rsidRDefault="00347E5F" w:rsidP="00347E5F">
      <w:pPr>
        <w:pStyle w:val="Default"/>
        <w:spacing w:after="240"/>
        <w:ind w:left="709"/>
        <w:outlineLvl w:val="0"/>
        <w:rPr>
          <w:color w:val="auto"/>
        </w:rPr>
      </w:pPr>
      <w:r w:rsidRPr="00542C2E">
        <w:rPr>
          <w:i/>
          <w:color w:val="auto"/>
        </w:rPr>
        <w:t xml:space="preserve">Further information regarding </w:t>
      </w:r>
      <w:proofErr w:type="spellStart"/>
      <w:r w:rsidRPr="00542C2E">
        <w:rPr>
          <w:i/>
          <w:color w:val="auto"/>
        </w:rPr>
        <w:t>PRaP</w:t>
      </w:r>
      <w:proofErr w:type="spellEnd"/>
      <w:r w:rsidRPr="00542C2E">
        <w:rPr>
          <w:i/>
          <w:color w:val="auto"/>
        </w:rPr>
        <w:t xml:space="preserve"> actions will be detailed in NEA </w:t>
      </w:r>
      <w:r w:rsidR="0045766F" w:rsidRPr="0045766F">
        <w:rPr>
          <w:i/>
        </w:rPr>
        <w:t>Phase 2</w:t>
      </w:r>
      <w:r w:rsidR="0045766F">
        <w:rPr>
          <w:i/>
          <w:color w:val="auto"/>
        </w:rPr>
        <w:t xml:space="preserve"> </w:t>
      </w:r>
      <w:r w:rsidRPr="00542C2E">
        <w:rPr>
          <w:i/>
          <w:color w:val="auto"/>
        </w:rPr>
        <w:t>Provider guidance.</w:t>
      </w:r>
    </w:p>
    <w:p w:rsidR="00347E5F" w:rsidRDefault="00347E5F" w:rsidP="00EC0606">
      <w:pPr>
        <w:pStyle w:val="Default"/>
        <w:numPr>
          <w:ilvl w:val="1"/>
          <w:numId w:val="11"/>
        </w:numPr>
        <w:tabs>
          <w:tab w:val="clear" w:pos="645"/>
        </w:tabs>
        <w:spacing w:after="240"/>
        <w:ind w:hanging="645"/>
        <w:outlineLvl w:val="0"/>
        <w:rPr>
          <w:color w:val="auto"/>
        </w:rPr>
      </w:pPr>
      <w:r w:rsidRPr="00542C2E">
        <w:rPr>
          <w:color w:val="auto"/>
        </w:rPr>
        <w:lastRenderedPageBreak/>
        <w:t xml:space="preserve">DWP will use Management Information (MI) presented by </w:t>
      </w:r>
      <w:proofErr w:type="spellStart"/>
      <w:r w:rsidRPr="00542C2E">
        <w:rPr>
          <w:color w:val="auto"/>
        </w:rPr>
        <w:t>PRaP</w:t>
      </w:r>
      <w:proofErr w:type="spellEnd"/>
      <w:r w:rsidRPr="00542C2E">
        <w:rPr>
          <w:color w:val="auto"/>
        </w:rPr>
        <w:t xml:space="preserve"> for the on</w:t>
      </w:r>
      <w:r>
        <w:rPr>
          <w:color w:val="auto"/>
        </w:rPr>
        <w:t>-</w:t>
      </w:r>
      <w:r w:rsidRPr="00542C2E">
        <w:rPr>
          <w:color w:val="auto"/>
        </w:rPr>
        <w:t>going management of the provision and for discussion</w:t>
      </w:r>
      <w:r w:rsidR="006E66B9">
        <w:rPr>
          <w:color w:val="auto"/>
        </w:rPr>
        <w:t>s regarding performance</w:t>
      </w:r>
      <w:r w:rsidRPr="00542C2E">
        <w:rPr>
          <w:color w:val="auto"/>
        </w:rPr>
        <w:t xml:space="preserve"> with individual Providers.</w:t>
      </w:r>
    </w:p>
    <w:p w:rsidR="005B43A9" w:rsidRPr="00542C2E" w:rsidRDefault="005B43A9" w:rsidP="00347E5F">
      <w:pPr>
        <w:spacing w:after="240"/>
        <w:ind w:left="709"/>
        <w:rPr>
          <w:b/>
          <w:bCs/>
          <w:iCs/>
        </w:rPr>
      </w:pPr>
      <w:r w:rsidRPr="00542C2E">
        <w:rPr>
          <w:i/>
        </w:rPr>
        <w:t xml:space="preserve">For further information regarding performance please see </w:t>
      </w:r>
      <w:hyperlink w:anchor="_5.__QUALITY,_1" w:history="1">
        <w:r w:rsidRPr="00542C2E">
          <w:rPr>
            <w:rStyle w:val="Hyperlink"/>
            <w:i/>
            <w:color w:val="auto"/>
          </w:rPr>
          <w:t>Section 5</w:t>
        </w:r>
      </w:hyperlink>
      <w:r w:rsidRPr="00542C2E">
        <w:rPr>
          <w:i/>
        </w:rPr>
        <w:t>.</w:t>
      </w:r>
      <w:r w:rsidR="00331B87" w:rsidRPr="00542C2E" w:rsidDel="00037271">
        <w:rPr>
          <w:b/>
          <w:bCs/>
          <w:iCs/>
        </w:rPr>
        <w:t xml:space="preserve"> </w:t>
      </w:r>
    </w:p>
    <w:p w:rsidR="00890530" w:rsidRPr="00542C2E" w:rsidRDefault="00890530" w:rsidP="00690E9E">
      <w:pPr>
        <w:pStyle w:val="Heading1"/>
        <w:tabs>
          <w:tab w:val="clear" w:pos="432"/>
        </w:tabs>
        <w:spacing w:after="240"/>
        <w:ind w:left="360" w:hanging="360"/>
        <w:rPr>
          <w:sz w:val="28"/>
          <w:szCs w:val="28"/>
        </w:rPr>
        <w:sectPr w:rsidR="00890530" w:rsidRPr="00542C2E" w:rsidSect="00033E57">
          <w:headerReference w:type="default" r:id="rId12"/>
          <w:footerReference w:type="default" r:id="rId13"/>
          <w:pgSz w:w="12240" w:h="15840" w:code="1"/>
          <w:pgMar w:top="1304" w:right="1041" w:bottom="1134" w:left="1134" w:header="720" w:footer="720" w:gutter="0"/>
          <w:cols w:space="720"/>
          <w:noEndnote/>
        </w:sectPr>
      </w:pPr>
    </w:p>
    <w:p w:rsidR="00CB2FBE" w:rsidRPr="00966A75" w:rsidRDefault="00323CC0" w:rsidP="00690E9E">
      <w:pPr>
        <w:pStyle w:val="Heading1"/>
        <w:tabs>
          <w:tab w:val="clear" w:pos="432"/>
        </w:tabs>
        <w:spacing w:after="240"/>
        <w:ind w:left="360" w:hanging="360"/>
        <w:rPr>
          <w:sz w:val="28"/>
          <w:szCs w:val="28"/>
        </w:rPr>
      </w:pPr>
      <w:bookmarkStart w:id="2" w:name="_3._PERFORMANCE_AND"/>
      <w:bookmarkEnd w:id="2"/>
      <w:r w:rsidRPr="00966A75">
        <w:rPr>
          <w:sz w:val="28"/>
          <w:szCs w:val="28"/>
        </w:rPr>
        <w:lastRenderedPageBreak/>
        <w:t>3.</w:t>
      </w:r>
      <w:r w:rsidRPr="00966A75">
        <w:rPr>
          <w:sz w:val="28"/>
          <w:szCs w:val="28"/>
        </w:rPr>
        <w:tab/>
      </w:r>
      <w:r w:rsidR="008C775C" w:rsidRPr="00966A75">
        <w:rPr>
          <w:sz w:val="28"/>
          <w:szCs w:val="28"/>
          <w:u w:val="single"/>
        </w:rPr>
        <w:t xml:space="preserve">PERFORMANCE AND </w:t>
      </w:r>
      <w:r w:rsidR="00F73329" w:rsidRPr="00966A75">
        <w:rPr>
          <w:sz w:val="28"/>
          <w:szCs w:val="28"/>
          <w:u w:val="single"/>
        </w:rPr>
        <w:t>PAYMENT MODEL</w:t>
      </w:r>
      <w:r w:rsidR="00F73329" w:rsidRPr="00966A75">
        <w:rPr>
          <w:sz w:val="28"/>
          <w:szCs w:val="28"/>
        </w:rPr>
        <w:t xml:space="preserve"> </w:t>
      </w:r>
    </w:p>
    <w:p w:rsidR="00211CE2" w:rsidRPr="00966A75" w:rsidRDefault="00211CE2" w:rsidP="00690E9E">
      <w:pPr>
        <w:pStyle w:val="Default"/>
        <w:spacing w:before="600" w:after="240"/>
        <w:rPr>
          <w:b/>
          <w:bCs/>
          <w:color w:val="auto"/>
          <w:sz w:val="28"/>
          <w:szCs w:val="28"/>
        </w:rPr>
      </w:pPr>
      <w:r w:rsidRPr="00966A75">
        <w:rPr>
          <w:b/>
          <w:bCs/>
          <w:color w:val="auto"/>
          <w:sz w:val="28"/>
          <w:szCs w:val="28"/>
        </w:rPr>
        <w:t>Contract Packages, including indicative budgets and volumes</w:t>
      </w:r>
    </w:p>
    <w:p w:rsidR="00F72C01" w:rsidRDefault="00B32D75" w:rsidP="00EC0606">
      <w:pPr>
        <w:numPr>
          <w:ilvl w:val="1"/>
          <w:numId w:val="12"/>
        </w:numPr>
        <w:tabs>
          <w:tab w:val="clear" w:pos="465"/>
        </w:tabs>
        <w:spacing w:after="120"/>
        <w:ind w:left="720" w:hanging="720"/>
        <w:rPr>
          <w:rFonts w:cs="Arial"/>
        </w:rPr>
      </w:pPr>
      <w:r w:rsidRPr="00966A75">
        <w:rPr>
          <w:rFonts w:cs="Arial"/>
        </w:rPr>
        <w:t>For information regarding detail</w:t>
      </w:r>
      <w:r w:rsidR="005421E7" w:rsidRPr="00966A75">
        <w:rPr>
          <w:rFonts w:cs="Arial"/>
        </w:rPr>
        <w:t xml:space="preserve">s of </w:t>
      </w:r>
      <w:r w:rsidR="00375DF7" w:rsidRPr="00966A75">
        <w:rPr>
          <w:rFonts w:cs="Arial"/>
        </w:rPr>
        <w:t>the</w:t>
      </w:r>
      <w:r w:rsidR="009E7836" w:rsidRPr="00966A75">
        <w:rPr>
          <w:rFonts w:cs="Arial"/>
        </w:rPr>
        <w:t xml:space="preserve"> Contract Package Area</w:t>
      </w:r>
      <w:r w:rsidR="00375DF7" w:rsidRPr="00966A75">
        <w:rPr>
          <w:rFonts w:cs="Arial"/>
        </w:rPr>
        <w:t xml:space="preserve"> </w:t>
      </w:r>
      <w:r w:rsidR="009E7836" w:rsidRPr="00966A75">
        <w:rPr>
          <w:rFonts w:cs="Arial"/>
        </w:rPr>
        <w:t>(</w:t>
      </w:r>
      <w:r w:rsidR="005421E7" w:rsidRPr="00966A75">
        <w:rPr>
          <w:rFonts w:cs="Arial"/>
        </w:rPr>
        <w:t>CPA</w:t>
      </w:r>
      <w:r w:rsidR="009E7836" w:rsidRPr="00966A75">
        <w:rPr>
          <w:rFonts w:cs="Arial"/>
        </w:rPr>
        <w:t>)</w:t>
      </w:r>
      <w:r w:rsidR="00375DF7" w:rsidRPr="00966A75">
        <w:rPr>
          <w:rFonts w:cs="Arial"/>
        </w:rPr>
        <w:t>, includ</w:t>
      </w:r>
      <w:r w:rsidR="005421E7" w:rsidRPr="00966A75">
        <w:rPr>
          <w:rFonts w:cs="Arial"/>
        </w:rPr>
        <w:t>ing</w:t>
      </w:r>
      <w:r w:rsidR="00593A5E" w:rsidRPr="00966A75">
        <w:rPr>
          <w:rFonts w:cs="Arial"/>
        </w:rPr>
        <w:t xml:space="preserve"> </w:t>
      </w:r>
      <w:r w:rsidR="00FD369F" w:rsidRPr="00966A75">
        <w:rPr>
          <w:rFonts w:cs="Arial"/>
        </w:rPr>
        <w:t>indicative volumes</w:t>
      </w:r>
      <w:r w:rsidR="001F1BC1" w:rsidRPr="00966A75">
        <w:rPr>
          <w:rFonts w:cs="Arial"/>
        </w:rPr>
        <w:t>, budgets</w:t>
      </w:r>
      <w:r w:rsidR="00FD369F" w:rsidRPr="00966A75">
        <w:rPr>
          <w:rFonts w:cs="Arial"/>
        </w:rPr>
        <w:t xml:space="preserve"> </w:t>
      </w:r>
      <w:r w:rsidR="00593A5E" w:rsidRPr="00966A75">
        <w:rPr>
          <w:rFonts w:cs="Arial"/>
        </w:rPr>
        <w:t>and competition parameters</w:t>
      </w:r>
      <w:r w:rsidR="00375DF7" w:rsidRPr="00966A75">
        <w:rPr>
          <w:rFonts w:cs="Arial"/>
        </w:rPr>
        <w:t xml:space="preserve"> for </w:t>
      </w:r>
      <w:r w:rsidR="00F27515" w:rsidRPr="00966A75">
        <w:rPr>
          <w:rFonts w:cs="Arial"/>
        </w:rPr>
        <w:t xml:space="preserve">the </w:t>
      </w:r>
      <w:r w:rsidR="005421E7" w:rsidRPr="00966A75">
        <w:rPr>
          <w:rFonts w:cs="Arial"/>
        </w:rPr>
        <w:t>CPA</w:t>
      </w:r>
      <w:r w:rsidRPr="00966A75">
        <w:rPr>
          <w:rFonts w:cs="Arial"/>
        </w:rPr>
        <w:t xml:space="preserve"> please see </w:t>
      </w:r>
      <w:r w:rsidR="00993D4A">
        <w:rPr>
          <w:rFonts w:cs="Arial"/>
        </w:rPr>
        <w:t>Annex 2</w:t>
      </w:r>
      <w:r w:rsidRPr="00966A75">
        <w:rPr>
          <w:rFonts w:cs="Arial"/>
        </w:rPr>
        <w:t>.</w:t>
      </w:r>
      <w:r w:rsidR="00A7634F" w:rsidRPr="00A7634F">
        <w:rPr>
          <w:rFonts w:cs="Arial"/>
        </w:rPr>
        <w:t xml:space="preserve"> </w:t>
      </w:r>
      <w:r w:rsidR="00A7634F">
        <w:rPr>
          <w:rFonts w:cs="Arial"/>
        </w:rPr>
        <w:t>Within Annex 2 there are a number of assumptions, based on DWP experience of delivering NEA, regarding the flow of participants through the NEA journey. These assumptions have been used to inform the maximum unit costs for each element of NEA Phase 2 and to help Providers in assessing realistic cohort profiles in their bids.</w:t>
      </w:r>
    </w:p>
    <w:p w:rsidR="00A7634F" w:rsidRPr="00966A75" w:rsidRDefault="00A7634F" w:rsidP="00A7634F">
      <w:pPr>
        <w:spacing w:after="120"/>
        <w:ind w:left="720"/>
        <w:rPr>
          <w:rFonts w:cs="Arial"/>
        </w:rPr>
      </w:pPr>
    </w:p>
    <w:p w:rsidR="00F35301" w:rsidRPr="00966A75" w:rsidRDefault="00375DF7" w:rsidP="00690E9E">
      <w:pPr>
        <w:spacing w:after="120"/>
        <w:rPr>
          <w:rFonts w:cs="Arial"/>
          <w:b/>
          <w:bCs/>
          <w:sz w:val="28"/>
          <w:szCs w:val="28"/>
        </w:rPr>
      </w:pPr>
      <w:r w:rsidRPr="00966A75">
        <w:rPr>
          <w:rFonts w:cs="Arial"/>
          <w:b/>
          <w:bCs/>
          <w:sz w:val="28"/>
          <w:szCs w:val="28"/>
        </w:rPr>
        <w:t>Payment Model</w:t>
      </w:r>
      <w:r w:rsidR="00137D73" w:rsidRPr="00966A75">
        <w:rPr>
          <w:rFonts w:cs="Arial"/>
          <w:b/>
          <w:bCs/>
          <w:sz w:val="28"/>
          <w:szCs w:val="28"/>
        </w:rPr>
        <w:t xml:space="preserve"> </w:t>
      </w:r>
    </w:p>
    <w:p w:rsidR="00923846" w:rsidRPr="00966A75" w:rsidRDefault="00923846" w:rsidP="00EC0606">
      <w:pPr>
        <w:numPr>
          <w:ilvl w:val="1"/>
          <w:numId w:val="12"/>
        </w:numPr>
        <w:tabs>
          <w:tab w:val="clear" w:pos="465"/>
        </w:tabs>
        <w:spacing w:after="240"/>
        <w:ind w:left="720" w:hanging="720"/>
      </w:pPr>
      <w:bookmarkStart w:id="3" w:name="_GoBack"/>
      <w:r w:rsidRPr="00966A75">
        <w:t>The</w:t>
      </w:r>
      <w:r w:rsidR="00845E70" w:rsidRPr="00966A75">
        <w:t xml:space="preserve">re will be different </w:t>
      </w:r>
      <w:r w:rsidRPr="00966A75">
        <w:t>payment model</w:t>
      </w:r>
      <w:r w:rsidR="00845E70" w:rsidRPr="00966A75">
        <w:t xml:space="preserve">s for the Unemployed new business </w:t>
      </w:r>
      <w:proofErr w:type="spellStart"/>
      <w:r w:rsidR="00845E70" w:rsidRPr="00966A75">
        <w:t>start ups</w:t>
      </w:r>
      <w:proofErr w:type="spellEnd"/>
      <w:r w:rsidR="00845E70" w:rsidRPr="00966A75">
        <w:t xml:space="preserve"> and the support for </w:t>
      </w:r>
      <w:r w:rsidR="00AD524F" w:rsidRPr="00966A75">
        <w:t xml:space="preserve">UC </w:t>
      </w:r>
      <w:r w:rsidR="00845E70" w:rsidRPr="00966A75">
        <w:t xml:space="preserve">existing Self Employed </w:t>
      </w:r>
      <w:r w:rsidR="00966A75" w:rsidRPr="00966A75">
        <w:t>participants</w:t>
      </w:r>
      <w:r w:rsidR="006E66B9">
        <w:t xml:space="preserve">. </w:t>
      </w:r>
      <w:r w:rsidR="00041112">
        <w:t>The stages of the programme are summarised below:</w:t>
      </w:r>
      <w:r w:rsidR="008530B6">
        <w:t xml:space="preserve"> These must be claimed in order with necessary criteria being met.</w:t>
      </w:r>
    </w:p>
    <w:p w:rsidR="00966A75" w:rsidRPr="00966A75" w:rsidRDefault="00966A75" w:rsidP="00EC0606">
      <w:pPr>
        <w:numPr>
          <w:ilvl w:val="1"/>
          <w:numId w:val="12"/>
        </w:numPr>
        <w:spacing w:after="240"/>
      </w:pPr>
      <w:r w:rsidRPr="00966A75">
        <w:t>Unemployed new business start ups</w:t>
      </w:r>
    </w:p>
    <w:p w:rsidR="0052535F" w:rsidRPr="00966A75" w:rsidRDefault="00966A75" w:rsidP="00EC0606">
      <w:pPr>
        <w:pStyle w:val="ListParagraph"/>
        <w:numPr>
          <w:ilvl w:val="0"/>
          <w:numId w:val="60"/>
        </w:numPr>
        <w:spacing w:after="240"/>
      </w:pPr>
      <w:r w:rsidRPr="00966A75">
        <w:t>Link Up : Start Up</w:t>
      </w:r>
    </w:p>
    <w:p w:rsidR="00966A75" w:rsidRPr="00966A75" w:rsidRDefault="00966A75" w:rsidP="00EC0606">
      <w:pPr>
        <w:pStyle w:val="ListParagraph"/>
        <w:numPr>
          <w:ilvl w:val="0"/>
          <w:numId w:val="60"/>
        </w:numPr>
        <w:spacing w:after="240"/>
      </w:pPr>
      <w:r w:rsidRPr="00966A75">
        <w:t xml:space="preserve">NEA </w:t>
      </w:r>
      <w:r w:rsidR="0045766F">
        <w:rPr>
          <w:rFonts w:cs="Arial"/>
          <w:lang w:eastAsia="en-GB"/>
        </w:rPr>
        <w:t xml:space="preserve">Phase 2 </w:t>
      </w:r>
      <w:r w:rsidRPr="00966A75">
        <w:t xml:space="preserve">Programme Start / Initial </w:t>
      </w:r>
      <w:r w:rsidR="006E66B9">
        <w:t xml:space="preserve"> Assessment</w:t>
      </w:r>
    </w:p>
    <w:p w:rsidR="00966A75" w:rsidRPr="00966A75" w:rsidRDefault="00966A75" w:rsidP="00EC0606">
      <w:pPr>
        <w:pStyle w:val="ListParagraph"/>
        <w:numPr>
          <w:ilvl w:val="0"/>
          <w:numId w:val="60"/>
        </w:numPr>
        <w:spacing w:after="240"/>
      </w:pPr>
      <w:r w:rsidRPr="00966A75">
        <w:t>Mentoring Phase / Business Plan Assessment</w:t>
      </w:r>
    </w:p>
    <w:p w:rsidR="00966A75" w:rsidRPr="00966A75" w:rsidRDefault="00966A75" w:rsidP="00EC0606">
      <w:pPr>
        <w:pStyle w:val="ListParagraph"/>
        <w:numPr>
          <w:ilvl w:val="0"/>
          <w:numId w:val="60"/>
        </w:numPr>
        <w:spacing w:after="240"/>
      </w:pPr>
      <w:r w:rsidRPr="00966A75">
        <w:t>Start of Trading</w:t>
      </w:r>
    </w:p>
    <w:p w:rsidR="00966A75" w:rsidRPr="00966A75" w:rsidRDefault="00C36093" w:rsidP="00EC0606">
      <w:pPr>
        <w:pStyle w:val="ListParagraph"/>
        <w:numPr>
          <w:ilvl w:val="0"/>
          <w:numId w:val="60"/>
        </w:numPr>
        <w:spacing w:after="240"/>
      </w:pPr>
      <w:r>
        <w:t>6 months / 26 weeks</w:t>
      </w:r>
      <w:r w:rsidR="00966A75" w:rsidRPr="00966A75">
        <w:t xml:space="preserve"> sustained </w:t>
      </w:r>
      <w:r w:rsidR="00966A75">
        <w:t>Business</w:t>
      </w:r>
      <w:r w:rsidR="00966A75" w:rsidRPr="00966A75">
        <w:t xml:space="preserve"> </w:t>
      </w:r>
    </w:p>
    <w:p w:rsidR="00966A75" w:rsidRPr="00966A75" w:rsidRDefault="00966A75" w:rsidP="00EC0606">
      <w:pPr>
        <w:pStyle w:val="ListParagraph"/>
        <w:numPr>
          <w:ilvl w:val="0"/>
          <w:numId w:val="60"/>
        </w:numPr>
        <w:spacing w:after="240"/>
      </w:pPr>
      <w:r w:rsidRPr="00966A75">
        <w:t xml:space="preserve">12 months </w:t>
      </w:r>
      <w:r w:rsidR="006339F2">
        <w:t xml:space="preserve">/ 52 weeks </w:t>
      </w:r>
      <w:r w:rsidRPr="00966A75">
        <w:t xml:space="preserve">sustained Business </w:t>
      </w:r>
    </w:p>
    <w:p w:rsidR="00AD524F" w:rsidRDefault="00041112" w:rsidP="00EC0606">
      <w:pPr>
        <w:pStyle w:val="ListParagraph"/>
        <w:numPr>
          <w:ilvl w:val="1"/>
          <w:numId w:val="12"/>
        </w:numPr>
        <w:tabs>
          <w:tab w:val="clear" w:pos="465"/>
          <w:tab w:val="num" w:pos="709"/>
        </w:tabs>
        <w:ind w:left="709" w:hanging="709"/>
        <w:rPr>
          <w:rFonts w:cs="Arial"/>
          <w:color w:val="FF0000"/>
        </w:rPr>
      </w:pPr>
      <w:r>
        <w:rPr>
          <w:rFonts w:cs="Arial"/>
        </w:rPr>
        <w:t>A</w:t>
      </w:r>
      <w:r w:rsidR="00966A75" w:rsidRPr="00AD524F">
        <w:rPr>
          <w:rFonts w:cs="Arial"/>
        </w:rPr>
        <w:t xml:space="preserve"> Delivery Fee equivalent to </w:t>
      </w:r>
      <w:r w:rsidR="00966A75" w:rsidRPr="00A317C5">
        <w:rPr>
          <w:rFonts w:cs="Arial"/>
          <w:b/>
        </w:rPr>
        <w:t>40%</w:t>
      </w:r>
      <w:r w:rsidR="00966A75" w:rsidRPr="00AD524F">
        <w:rPr>
          <w:rFonts w:cs="Arial"/>
        </w:rPr>
        <w:t xml:space="preserve"> of the </w:t>
      </w:r>
      <w:r w:rsidR="006E66B9">
        <w:rPr>
          <w:rFonts w:cs="Arial"/>
        </w:rPr>
        <w:t xml:space="preserve">final agreed </w:t>
      </w:r>
      <w:r>
        <w:rPr>
          <w:rFonts w:cs="Arial"/>
        </w:rPr>
        <w:t xml:space="preserve">contract value will be paid, </w:t>
      </w:r>
      <w:r w:rsidR="00966A75" w:rsidRPr="00AD524F">
        <w:rPr>
          <w:rFonts w:cs="Arial"/>
        </w:rPr>
        <w:t xml:space="preserve">with the remainder paid as individual outcomes. </w:t>
      </w:r>
      <w:r w:rsidR="009F5E8A">
        <w:rPr>
          <w:rFonts w:cs="Arial"/>
        </w:rPr>
        <w:t>Trading Starts</w:t>
      </w:r>
      <w:r w:rsidR="00966A75" w:rsidRPr="00AD524F">
        <w:rPr>
          <w:rFonts w:cs="Arial"/>
        </w:rPr>
        <w:t xml:space="preserve"> </w:t>
      </w:r>
      <w:r w:rsidR="00271FD0">
        <w:rPr>
          <w:rFonts w:cs="Arial"/>
        </w:rPr>
        <w:t xml:space="preserve">equivalent </w:t>
      </w:r>
      <w:r w:rsidR="00271FD0" w:rsidRPr="00A317C5">
        <w:rPr>
          <w:rFonts w:cs="Arial"/>
        </w:rPr>
        <w:t xml:space="preserve">to </w:t>
      </w:r>
      <w:r w:rsidR="00271FD0" w:rsidRPr="00A317C5">
        <w:rPr>
          <w:rFonts w:cs="Arial"/>
          <w:b/>
        </w:rPr>
        <w:t>20%</w:t>
      </w:r>
      <w:r w:rsidR="00271FD0" w:rsidRPr="00A317C5">
        <w:rPr>
          <w:rFonts w:cs="Arial"/>
        </w:rPr>
        <w:t xml:space="preserve"> </w:t>
      </w:r>
      <w:r w:rsidR="00AD524F" w:rsidRPr="00A317C5">
        <w:rPr>
          <w:rFonts w:cs="Arial"/>
        </w:rPr>
        <w:t>of the contract value</w:t>
      </w:r>
      <w:r w:rsidR="00966A75" w:rsidRPr="00A317C5">
        <w:rPr>
          <w:rFonts w:cs="Arial"/>
        </w:rPr>
        <w:t>, 6 month</w:t>
      </w:r>
      <w:r w:rsidR="006339F2" w:rsidRPr="00A317C5">
        <w:rPr>
          <w:rFonts w:cs="Arial"/>
        </w:rPr>
        <w:t xml:space="preserve"> / 26 week</w:t>
      </w:r>
      <w:r w:rsidR="00966A75" w:rsidRPr="00A317C5">
        <w:rPr>
          <w:rFonts w:cs="Arial"/>
        </w:rPr>
        <w:t xml:space="preserve"> sustained Business </w:t>
      </w:r>
      <w:r w:rsidR="00271FD0" w:rsidRPr="00A317C5">
        <w:rPr>
          <w:rFonts w:cs="Arial"/>
        </w:rPr>
        <w:t xml:space="preserve">equivalent to </w:t>
      </w:r>
      <w:r w:rsidR="00271FD0" w:rsidRPr="00A317C5">
        <w:rPr>
          <w:rFonts w:cs="Arial"/>
          <w:b/>
        </w:rPr>
        <w:t>40%</w:t>
      </w:r>
      <w:r w:rsidR="00271FD0" w:rsidRPr="00A317C5">
        <w:rPr>
          <w:rFonts w:cs="Arial"/>
        </w:rPr>
        <w:t xml:space="preserve"> </w:t>
      </w:r>
      <w:r w:rsidR="00966A75" w:rsidRPr="00AD524F">
        <w:rPr>
          <w:rFonts w:cs="Arial"/>
        </w:rPr>
        <w:t>of the contract value</w:t>
      </w:r>
      <w:r w:rsidR="00226BDF">
        <w:rPr>
          <w:rFonts w:cs="Arial"/>
        </w:rPr>
        <w:t xml:space="preserve">. </w:t>
      </w:r>
      <w:r w:rsidR="00226BDF" w:rsidRPr="002B3C82">
        <w:rPr>
          <w:b/>
        </w:rPr>
        <w:t>NB for clarity the percentages relate only to the element of the final contract value that applies for new business starts</w:t>
      </w:r>
      <w:r w:rsidRPr="00271FD0">
        <w:rPr>
          <w:rFonts w:cs="Arial"/>
        </w:rPr>
        <w:t xml:space="preserve">. </w:t>
      </w:r>
      <w:r w:rsidRPr="00041112">
        <w:rPr>
          <w:rFonts w:cs="Arial"/>
        </w:rPr>
        <w:t xml:space="preserve">No outcome payment </w:t>
      </w:r>
      <w:r>
        <w:rPr>
          <w:rFonts w:cs="Arial"/>
        </w:rPr>
        <w:t xml:space="preserve">will be attached to the </w:t>
      </w:r>
      <w:r w:rsidR="00AD524F" w:rsidRPr="00AD524F">
        <w:rPr>
          <w:rFonts w:cs="Arial"/>
        </w:rPr>
        <w:t xml:space="preserve">12 months </w:t>
      </w:r>
      <w:r w:rsidR="006339F2">
        <w:rPr>
          <w:rFonts w:cs="Arial"/>
        </w:rPr>
        <w:t xml:space="preserve">/ 52 week </w:t>
      </w:r>
      <w:r w:rsidR="00AD524F" w:rsidRPr="00AD524F">
        <w:rPr>
          <w:rFonts w:cs="Arial"/>
        </w:rPr>
        <w:t xml:space="preserve">sustained Business </w:t>
      </w:r>
      <w:r>
        <w:rPr>
          <w:rFonts w:cs="Arial"/>
        </w:rPr>
        <w:t>measure, however performance against this will be measured an</w:t>
      </w:r>
      <w:r w:rsidR="005F0211">
        <w:rPr>
          <w:rFonts w:cs="Arial"/>
        </w:rPr>
        <w:t>d</w:t>
      </w:r>
      <w:r w:rsidR="00A9094F">
        <w:rPr>
          <w:rFonts w:cs="Arial"/>
        </w:rPr>
        <w:t xml:space="preserve"> be part of the </w:t>
      </w:r>
      <w:r w:rsidR="00136F80">
        <w:rPr>
          <w:rFonts w:cs="Arial"/>
        </w:rPr>
        <w:t>Minimum Performance Levels</w:t>
      </w:r>
      <w:r>
        <w:rPr>
          <w:rFonts w:cs="Arial"/>
        </w:rPr>
        <w:t>.</w:t>
      </w:r>
    </w:p>
    <w:p w:rsidR="009D317C" w:rsidRDefault="009D317C" w:rsidP="009D317C">
      <w:pPr>
        <w:pStyle w:val="ListParagraph"/>
        <w:ind w:left="709"/>
        <w:rPr>
          <w:rFonts w:cs="Arial"/>
          <w:color w:val="FF0000"/>
        </w:rPr>
      </w:pPr>
    </w:p>
    <w:p w:rsidR="00966A75" w:rsidRPr="009D317C" w:rsidRDefault="009D317C" w:rsidP="00AD524F">
      <w:pPr>
        <w:pStyle w:val="ListParagraph"/>
        <w:numPr>
          <w:ilvl w:val="1"/>
          <w:numId w:val="12"/>
        </w:numPr>
        <w:tabs>
          <w:tab w:val="clear" w:pos="465"/>
          <w:tab w:val="num" w:pos="709"/>
        </w:tabs>
        <w:spacing w:after="240"/>
        <w:ind w:left="720" w:hanging="709"/>
        <w:rPr>
          <w:rFonts w:cs="Arial"/>
          <w:b/>
        </w:rPr>
      </w:pPr>
      <w:r w:rsidRPr="009D317C">
        <w:rPr>
          <w:rFonts w:cs="Arial"/>
        </w:rPr>
        <w:t>The Delivery Fee will be paid over 28 months, in equal amounts</w:t>
      </w:r>
      <w:r w:rsidR="005F0211">
        <w:rPr>
          <w:rFonts w:cs="Arial"/>
        </w:rPr>
        <w:t xml:space="preserve"> from the commencement date</w:t>
      </w:r>
      <w:r w:rsidRPr="009D317C">
        <w:rPr>
          <w:rFonts w:cs="Arial"/>
        </w:rPr>
        <w:t>.</w:t>
      </w:r>
      <w:r w:rsidR="005F0211">
        <w:rPr>
          <w:rFonts w:cs="Arial"/>
        </w:rPr>
        <w:t xml:space="preserve"> </w:t>
      </w:r>
      <w:r w:rsidRPr="009D317C">
        <w:rPr>
          <w:rFonts w:cs="Arial"/>
        </w:rPr>
        <w:t xml:space="preserve">The 28 months </w:t>
      </w:r>
      <w:r w:rsidR="005F0211">
        <w:rPr>
          <w:rFonts w:cs="Arial"/>
        </w:rPr>
        <w:t xml:space="preserve">represents the period of time that the first three elements of the programme covers </w:t>
      </w:r>
      <w:r w:rsidRPr="009D317C">
        <w:rPr>
          <w:rFonts w:cs="Arial"/>
        </w:rPr>
        <w:t xml:space="preserve">i.e. </w:t>
      </w:r>
      <w:r w:rsidR="005F0211">
        <w:rPr>
          <w:rFonts w:cs="Arial"/>
        </w:rPr>
        <w:t xml:space="preserve">to </w:t>
      </w:r>
      <w:r w:rsidRPr="009D317C">
        <w:rPr>
          <w:rFonts w:cs="Arial"/>
        </w:rPr>
        <w:t>the end of the mentoring phase for the last participants.</w:t>
      </w:r>
      <w:r w:rsidR="005F0211">
        <w:rPr>
          <w:rFonts w:cs="Arial"/>
        </w:rPr>
        <w:t xml:space="preserve">  The Delivery Fee nominally covers Link </w:t>
      </w:r>
      <w:proofErr w:type="gramStart"/>
      <w:r w:rsidR="005F0211">
        <w:rPr>
          <w:rFonts w:cs="Arial"/>
        </w:rPr>
        <w:t>Up :</w:t>
      </w:r>
      <w:proofErr w:type="gramEnd"/>
      <w:r w:rsidR="005F0211">
        <w:rPr>
          <w:rFonts w:cs="Arial"/>
        </w:rPr>
        <w:t xml:space="preserve"> Start Up workshops,</w:t>
      </w:r>
      <w:r w:rsidR="005F0211" w:rsidRPr="005F0211">
        <w:rPr>
          <w:rFonts w:cs="Arial"/>
        </w:rPr>
        <w:t xml:space="preserve"> </w:t>
      </w:r>
      <w:r w:rsidR="005F0211">
        <w:rPr>
          <w:rFonts w:cs="Arial"/>
        </w:rPr>
        <w:t xml:space="preserve">Initial </w:t>
      </w:r>
      <w:r w:rsidR="005F0211">
        <w:rPr>
          <w:rFonts w:cs="Arial"/>
        </w:rPr>
        <w:lastRenderedPageBreak/>
        <w:t>assessment and Mentoring Business Plan Assessment  stages of the programme, DWP acknowledge that the</w:t>
      </w:r>
      <w:r w:rsidR="00A9094F">
        <w:rPr>
          <w:rFonts w:cs="Arial"/>
        </w:rPr>
        <w:t xml:space="preserve">se stages </w:t>
      </w:r>
      <w:r w:rsidR="00146039">
        <w:rPr>
          <w:rFonts w:cs="Arial"/>
        </w:rPr>
        <w:t>are unlikely to</w:t>
      </w:r>
      <w:r w:rsidR="00A9094F">
        <w:rPr>
          <w:rFonts w:cs="Arial"/>
        </w:rPr>
        <w:t xml:space="preserve"> equate to </w:t>
      </w:r>
      <w:r w:rsidR="005F0211">
        <w:rPr>
          <w:rFonts w:cs="Arial"/>
        </w:rPr>
        <w:t>40%</w:t>
      </w:r>
      <w:r w:rsidR="00A9094F">
        <w:rPr>
          <w:rFonts w:cs="Arial"/>
        </w:rPr>
        <w:t xml:space="preserve"> of the Provider costs in delivering the programme.</w:t>
      </w:r>
    </w:p>
    <w:bookmarkEnd w:id="3"/>
    <w:p w:rsidR="00784CF7" w:rsidRPr="00A9094F" w:rsidRDefault="00BE6CE6" w:rsidP="00EC0606">
      <w:pPr>
        <w:numPr>
          <w:ilvl w:val="1"/>
          <w:numId w:val="12"/>
        </w:numPr>
        <w:tabs>
          <w:tab w:val="clear" w:pos="465"/>
        </w:tabs>
        <w:spacing w:after="240"/>
        <w:ind w:left="720" w:hanging="720"/>
        <w:rPr>
          <w:rFonts w:cs="Arial"/>
          <w:b/>
        </w:rPr>
      </w:pPr>
      <w:r w:rsidRPr="00966A75">
        <w:rPr>
          <w:rFonts w:cs="Arial"/>
        </w:rPr>
        <w:t xml:space="preserve">Contract values are fixed and further information in relation to indicative volumes and budget is provided in </w:t>
      </w:r>
      <w:hyperlink w:anchor="_CONTRACT_PACKAGES,_INDICATIVE" w:history="1">
        <w:r w:rsidRPr="00966A75">
          <w:rPr>
            <w:rStyle w:val="Hyperlink"/>
            <w:rFonts w:cs="Arial"/>
            <w:color w:val="auto"/>
          </w:rPr>
          <w:t xml:space="preserve">Annex </w:t>
        </w:r>
        <w:r w:rsidR="001E1B68">
          <w:rPr>
            <w:rStyle w:val="Hyperlink"/>
            <w:rFonts w:cs="Arial"/>
            <w:color w:val="auto"/>
          </w:rPr>
          <w:t>2</w:t>
        </w:r>
      </w:hyperlink>
      <w:r w:rsidRPr="00966A75">
        <w:rPr>
          <w:rFonts w:cs="Arial"/>
        </w:rPr>
        <w:t xml:space="preserve">. Information in relation to </w:t>
      </w:r>
      <w:r w:rsidRPr="00966A75">
        <w:rPr>
          <w:rFonts w:cs="Arial"/>
          <w:lang w:eastAsia="en-GB"/>
        </w:rPr>
        <w:t>the tender evaluation process is outlined in the Instructions to Potential Suppliers.</w:t>
      </w:r>
    </w:p>
    <w:p w:rsidR="00A9094F" w:rsidRPr="00094558" w:rsidRDefault="00A9094F" w:rsidP="00A9094F">
      <w:pPr>
        <w:spacing w:after="240"/>
        <w:ind w:left="720"/>
        <w:rPr>
          <w:rFonts w:cs="Arial"/>
          <w:b/>
        </w:rPr>
      </w:pPr>
    </w:p>
    <w:p w:rsidR="00094558" w:rsidRDefault="00094558" w:rsidP="00094558">
      <w:pPr>
        <w:spacing w:after="240"/>
        <w:rPr>
          <w:rFonts w:cs="Arial"/>
          <w:b/>
          <w:lang w:eastAsia="en-GB"/>
        </w:rPr>
      </w:pPr>
      <w:r w:rsidRPr="00094558">
        <w:rPr>
          <w:rFonts w:cs="Arial"/>
          <w:b/>
          <w:lang w:eastAsia="en-GB"/>
        </w:rPr>
        <w:t xml:space="preserve">Link </w:t>
      </w:r>
      <w:proofErr w:type="gramStart"/>
      <w:r w:rsidRPr="00094558">
        <w:rPr>
          <w:rFonts w:cs="Arial"/>
          <w:b/>
          <w:lang w:eastAsia="en-GB"/>
        </w:rPr>
        <w:t>Up :</w:t>
      </w:r>
      <w:proofErr w:type="gramEnd"/>
      <w:r w:rsidRPr="00094558">
        <w:rPr>
          <w:rFonts w:cs="Arial"/>
          <w:b/>
          <w:lang w:eastAsia="en-GB"/>
        </w:rPr>
        <w:t xml:space="preserve"> Start Up</w:t>
      </w:r>
    </w:p>
    <w:p w:rsidR="00A9094F" w:rsidRPr="00094558" w:rsidRDefault="00A9094F" w:rsidP="00094558">
      <w:pPr>
        <w:spacing w:after="240"/>
        <w:rPr>
          <w:rFonts w:cs="Arial"/>
          <w:b/>
        </w:rPr>
      </w:pPr>
    </w:p>
    <w:p w:rsidR="00BF6FC1" w:rsidRPr="00A7634F" w:rsidRDefault="00094558" w:rsidP="00690E9E">
      <w:pPr>
        <w:numPr>
          <w:ilvl w:val="1"/>
          <w:numId w:val="12"/>
        </w:numPr>
        <w:tabs>
          <w:tab w:val="clear" w:pos="465"/>
        </w:tabs>
        <w:spacing w:after="240"/>
        <w:ind w:left="720" w:hanging="720"/>
        <w:rPr>
          <w:rFonts w:cs="Arial"/>
          <w:b/>
          <w:bCs/>
        </w:rPr>
      </w:pPr>
      <w:r w:rsidRPr="00A7634F">
        <w:rPr>
          <w:rFonts w:cs="Arial"/>
        </w:rPr>
        <w:t xml:space="preserve">Funding for the Link </w:t>
      </w:r>
      <w:proofErr w:type="gramStart"/>
      <w:r w:rsidRPr="00A7634F">
        <w:rPr>
          <w:rFonts w:cs="Arial"/>
        </w:rPr>
        <w:t>Up :</w:t>
      </w:r>
      <w:proofErr w:type="gramEnd"/>
      <w:r w:rsidRPr="00A7634F">
        <w:rPr>
          <w:rFonts w:cs="Arial"/>
        </w:rPr>
        <w:t xml:space="preserve"> Start Up workshops will be </w:t>
      </w:r>
      <w:r w:rsidR="00A9094F" w:rsidRPr="00A7634F">
        <w:rPr>
          <w:rFonts w:cs="Arial"/>
        </w:rPr>
        <w:t xml:space="preserve">nominally </w:t>
      </w:r>
      <w:r w:rsidRPr="00A7634F">
        <w:rPr>
          <w:rFonts w:cs="Arial"/>
        </w:rPr>
        <w:t xml:space="preserve">included in the Delivery Fee. The planning assumption for the volume of the places required can be found in Annex </w:t>
      </w:r>
      <w:r w:rsidR="00BF6FC1" w:rsidRPr="00A7634F">
        <w:rPr>
          <w:rFonts w:cs="Arial"/>
        </w:rPr>
        <w:t>2</w:t>
      </w:r>
      <w:r w:rsidRPr="00A7634F">
        <w:rPr>
          <w:rFonts w:cs="Arial"/>
        </w:rPr>
        <w:t xml:space="preserve">. </w:t>
      </w:r>
    </w:p>
    <w:p w:rsidR="0039447F" w:rsidRPr="00966A75" w:rsidRDefault="00CE2CA0" w:rsidP="00690E9E">
      <w:pPr>
        <w:spacing w:after="240"/>
        <w:rPr>
          <w:rFonts w:cs="Arial"/>
          <w:b/>
          <w:bCs/>
        </w:rPr>
      </w:pPr>
      <w:r w:rsidRPr="00966A75">
        <w:rPr>
          <w:rFonts w:cs="Arial"/>
          <w:b/>
          <w:bCs/>
        </w:rPr>
        <w:t>NEA</w:t>
      </w:r>
      <w:r w:rsidR="00213037" w:rsidRPr="00966A75">
        <w:rPr>
          <w:rFonts w:cs="Arial"/>
          <w:b/>
          <w:bCs/>
        </w:rPr>
        <w:t xml:space="preserve"> </w:t>
      </w:r>
      <w:r w:rsidR="0039447F" w:rsidRPr="00966A75">
        <w:rPr>
          <w:rFonts w:cs="Arial"/>
          <w:b/>
          <w:bCs/>
        </w:rPr>
        <w:t xml:space="preserve">Start </w:t>
      </w:r>
      <w:r w:rsidR="00094558">
        <w:rPr>
          <w:rFonts w:cs="Arial"/>
          <w:b/>
          <w:bCs/>
        </w:rPr>
        <w:t xml:space="preserve">/ Initial </w:t>
      </w:r>
      <w:r w:rsidR="00003FA5">
        <w:rPr>
          <w:rFonts w:cs="Arial"/>
          <w:b/>
          <w:bCs/>
        </w:rPr>
        <w:t>assessment</w:t>
      </w:r>
      <w:r w:rsidR="00094558">
        <w:rPr>
          <w:rFonts w:cs="Arial"/>
          <w:b/>
          <w:bCs/>
        </w:rPr>
        <w:t xml:space="preserve"> </w:t>
      </w:r>
    </w:p>
    <w:p w:rsidR="00F56964" w:rsidRPr="00966A75" w:rsidRDefault="00094558" w:rsidP="00EC0606">
      <w:pPr>
        <w:numPr>
          <w:ilvl w:val="1"/>
          <w:numId w:val="12"/>
        </w:numPr>
        <w:tabs>
          <w:tab w:val="clear" w:pos="465"/>
        </w:tabs>
        <w:spacing w:after="240"/>
        <w:ind w:left="720" w:hanging="720"/>
        <w:rPr>
          <w:rFonts w:cs="Arial"/>
        </w:rPr>
      </w:pPr>
      <w:r>
        <w:rPr>
          <w:rFonts w:cs="Arial"/>
        </w:rPr>
        <w:t>Funding for the S</w:t>
      </w:r>
      <w:r w:rsidR="005F0211">
        <w:rPr>
          <w:rFonts w:cs="Arial"/>
        </w:rPr>
        <w:t xml:space="preserve">tart </w:t>
      </w:r>
      <w:r>
        <w:rPr>
          <w:rFonts w:cs="Arial"/>
        </w:rPr>
        <w:t xml:space="preserve">/ Initial </w:t>
      </w:r>
      <w:r w:rsidR="00003FA5">
        <w:rPr>
          <w:rFonts w:cs="Arial"/>
        </w:rPr>
        <w:t>assessment</w:t>
      </w:r>
      <w:r>
        <w:rPr>
          <w:rFonts w:cs="Arial"/>
        </w:rPr>
        <w:t xml:space="preserve"> will be </w:t>
      </w:r>
      <w:r w:rsidR="00A9094F">
        <w:rPr>
          <w:rFonts w:cs="Arial"/>
        </w:rPr>
        <w:t xml:space="preserve">nominally </w:t>
      </w:r>
      <w:r>
        <w:rPr>
          <w:rFonts w:cs="Arial"/>
        </w:rPr>
        <w:t>included in the Delivery Fee.</w:t>
      </w:r>
      <w:r w:rsidR="00050E1B" w:rsidRPr="00966A75">
        <w:rPr>
          <w:rFonts w:cs="Arial"/>
        </w:rPr>
        <w:t xml:space="preserve"> In order to record</w:t>
      </w:r>
      <w:r w:rsidR="001D7DE0" w:rsidRPr="00966A75">
        <w:rPr>
          <w:rFonts w:cs="Arial"/>
          <w:bCs/>
        </w:rPr>
        <w:t xml:space="preserve"> a</w:t>
      </w:r>
      <w:r w:rsidR="00907395" w:rsidRPr="00966A75">
        <w:rPr>
          <w:rFonts w:cs="Arial"/>
          <w:bCs/>
        </w:rPr>
        <w:t xml:space="preserve"> </w:t>
      </w:r>
      <w:r w:rsidR="00CE2CA0" w:rsidRPr="00966A75">
        <w:rPr>
          <w:rFonts w:cs="Arial"/>
          <w:bCs/>
        </w:rPr>
        <w:t>NEA</w:t>
      </w:r>
      <w:r w:rsidR="00D06D68" w:rsidRPr="00966A75">
        <w:rPr>
          <w:rFonts w:cs="Arial"/>
          <w:bCs/>
        </w:rPr>
        <w:t xml:space="preserve"> </w:t>
      </w:r>
      <w:r w:rsidR="0045766F">
        <w:rPr>
          <w:rFonts w:cs="Arial"/>
          <w:lang w:eastAsia="en-GB"/>
        </w:rPr>
        <w:t xml:space="preserve">Phase 2 </w:t>
      </w:r>
      <w:r w:rsidR="002A4EB1" w:rsidRPr="00966A75">
        <w:rPr>
          <w:rFonts w:cs="Arial"/>
          <w:bCs/>
        </w:rPr>
        <w:t>S</w:t>
      </w:r>
      <w:r w:rsidR="00DF3B92" w:rsidRPr="00966A75">
        <w:rPr>
          <w:rFonts w:cs="Arial"/>
          <w:bCs/>
        </w:rPr>
        <w:t>tart</w:t>
      </w:r>
      <w:r w:rsidR="001D7DE0" w:rsidRPr="00966A75">
        <w:rPr>
          <w:rFonts w:cs="Arial"/>
          <w:bCs/>
        </w:rPr>
        <w:t xml:space="preserve"> </w:t>
      </w:r>
      <w:r w:rsidR="002A4EB1" w:rsidRPr="00966A75">
        <w:t xml:space="preserve">a </w:t>
      </w:r>
      <w:r w:rsidR="008A45C0" w:rsidRPr="00966A75">
        <w:t>Provider</w:t>
      </w:r>
      <w:r w:rsidR="00265B47" w:rsidRPr="00966A75">
        <w:t xml:space="preserve"> must</w:t>
      </w:r>
      <w:r w:rsidR="00050E1B" w:rsidRPr="00966A75">
        <w:t xml:space="preserve"> ensure a </w:t>
      </w:r>
      <w:r w:rsidR="008A45C0" w:rsidRPr="00966A75">
        <w:t>Participant</w:t>
      </w:r>
      <w:r w:rsidR="00265B47" w:rsidRPr="00966A75">
        <w:t xml:space="preserve"> has</w:t>
      </w:r>
      <w:r w:rsidR="002A4EB1" w:rsidRPr="00966A75">
        <w:t xml:space="preserve"> </w:t>
      </w:r>
      <w:r>
        <w:t xml:space="preserve">attended a Link Up : Start Up workshop and </w:t>
      </w:r>
      <w:r w:rsidR="002A4EB1" w:rsidRPr="00966A75">
        <w:t xml:space="preserve">participated in an </w:t>
      </w:r>
      <w:r w:rsidR="004F0D7D">
        <w:t>I</w:t>
      </w:r>
      <w:r w:rsidR="002A4EB1" w:rsidRPr="00966A75">
        <w:t xml:space="preserve">nitial </w:t>
      </w:r>
      <w:r w:rsidR="004F0D7D">
        <w:t>A</w:t>
      </w:r>
      <w:r w:rsidR="00CE2CA0" w:rsidRPr="00966A75">
        <w:t xml:space="preserve">ssessment </w:t>
      </w:r>
      <w:r w:rsidR="002A4EB1" w:rsidRPr="00966A75">
        <w:t xml:space="preserve">meeting </w:t>
      </w:r>
      <w:r w:rsidR="00CE2CA0" w:rsidRPr="00966A75">
        <w:t>and</w:t>
      </w:r>
      <w:r w:rsidR="00D521A8" w:rsidRPr="00966A75">
        <w:rPr>
          <w:b/>
        </w:rPr>
        <w:t xml:space="preserve"> </w:t>
      </w:r>
      <w:r w:rsidR="00D521A8" w:rsidRPr="00966A75">
        <w:rPr>
          <w:bCs/>
        </w:rPr>
        <w:t xml:space="preserve">have been accepted onto the NEA </w:t>
      </w:r>
      <w:r w:rsidR="0045766F">
        <w:rPr>
          <w:rFonts w:cs="Arial"/>
          <w:lang w:eastAsia="en-GB"/>
        </w:rPr>
        <w:t xml:space="preserve">Phase 2 </w:t>
      </w:r>
      <w:r w:rsidR="00D521A8" w:rsidRPr="00966A75">
        <w:rPr>
          <w:bCs/>
        </w:rPr>
        <w:t xml:space="preserve">scheme by the </w:t>
      </w:r>
      <w:r w:rsidR="008A45C0" w:rsidRPr="00966A75">
        <w:rPr>
          <w:bCs/>
        </w:rPr>
        <w:t>Provider</w:t>
      </w:r>
      <w:r w:rsidR="00D36D53" w:rsidRPr="00966A75">
        <w:rPr>
          <w:bCs/>
        </w:rPr>
        <w:t>.</w:t>
      </w:r>
    </w:p>
    <w:p w:rsidR="0039447F" w:rsidRPr="00966A75" w:rsidRDefault="00003FA5" w:rsidP="00690E9E">
      <w:pPr>
        <w:spacing w:after="240"/>
        <w:rPr>
          <w:rFonts w:cs="Arial"/>
          <w:b/>
        </w:rPr>
      </w:pPr>
      <w:r>
        <w:rPr>
          <w:rFonts w:cs="Arial"/>
          <w:b/>
        </w:rPr>
        <w:t>Mentoring / Business Plan Assessment</w:t>
      </w:r>
      <w:r w:rsidR="0039447F" w:rsidRPr="00966A75">
        <w:rPr>
          <w:rFonts w:cs="Arial"/>
          <w:b/>
        </w:rPr>
        <w:t>:</w:t>
      </w:r>
    </w:p>
    <w:p w:rsidR="00050E1B" w:rsidRPr="00E410E6" w:rsidRDefault="00003FA5" w:rsidP="00EC0606">
      <w:pPr>
        <w:numPr>
          <w:ilvl w:val="1"/>
          <w:numId w:val="12"/>
        </w:numPr>
        <w:tabs>
          <w:tab w:val="clear" w:pos="465"/>
          <w:tab w:val="num" w:pos="709"/>
        </w:tabs>
        <w:spacing w:after="240"/>
        <w:ind w:left="709" w:hanging="709"/>
        <w:rPr>
          <w:rFonts w:cs="Arial"/>
        </w:rPr>
      </w:pPr>
      <w:r w:rsidRPr="00003FA5">
        <w:rPr>
          <w:rFonts w:cs="Arial"/>
        </w:rPr>
        <w:t xml:space="preserve">Funding for the </w:t>
      </w:r>
      <w:r>
        <w:rPr>
          <w:rFonts w:cs="Arial"/>
        </w:rPr>
        <w:t xml:space="preserve">Mentoring Business Plan Assessment </w:t>
      </w:r>
      <w:r w:rsidRPr="00E410E6">
        <w:rPr>
          <w:rFonts w:cs="Arial"/>
        </w:rPr>
        <w:t>will be</w:t>
      </w:r>
      <w:r w:rsidR="00A9094F">
        <w:rPr>
          <w:rFonts w:cs="Arial"/>
        </w:rPr>
        <w:t xml:space="preserve"> nominally </w:t>
      </w:r>
      <w:r w:rsidRPr="00E410E6">
        <w:rPr>
          <w:rFonts w:cs="Arial"/>
        </w:rPr>
        <w:t>included in the Delivery Fee. Participants must have</w:t>
      </w:r>
      <w:r w:rsidR="00050E1B" w:rsidRPr="00E410E6">
        <w:rPr>
          <w:rFonts w:cs="Arial"/>
        </w:rPr>
        <w:t>;</w:t>
      </w:r>
    </w:p>
    <w:p w:rsidR="00003FA5" w:rsidRDefault="00003FA5" w:rsidP="00EC0606">
      <w:pPr>
        <w:numPr>
          <w:ilvl w:val="0"/>
          <w:numId w:val="20"/>
        </w:numPr>
        <w:tabs>
          <w:tab w:val="clear" w:pos="720"/>
        </w:tabs>
        <w:ind w:left="1077" w:hanging="357"/>
        <w:rPr>
          <w:rFonts w:cs="Arial"/>
          <w:bCs/>
        </w:rPr>
      </w:pPr>
      <w:proofErr w:type="gramStart"/>
      <w:r>
        <w:t>attended</w:t>
      </w:r>
      <w:proofErr w:type="gramEnd"/>
      <w:r>
        <w:t xml:space="preserve"> a Link Up : Start Up workshop.</w:t>
      </w:r>
    </w:p>
    <w:p w:rsidR="00D521A8" w:rsidRPr="00966A75" w:rsidRDefault="00D521A8" w:rsidP="00EC0606">
      <w:pPr>
        <w:numPr>
          <w:ilvl w:val="0"/>
          <w:numId w:val="20"/>
        </w:numPr>
        <w:tabs>
          <w:tab w:val="clear" w:pos="720"/>
        </w:tabs>
        <w:ind w:left="1077" w:hanging="357"/>
        <w:rPr>
          <w:rFonts w:cs="Arial"/>
          <w:bCs/>
        </w:rPr>
      </w:pPr>
      <w:r w:rsidRPr="00966A75">
        <w:rPr>
          <w:rFonts w:cs="Arial"/>
          <w:bCs/>
        </w:rPr>
        <w:t xml:space="preserve">Attended the initial assessment meeting and been accepted onto the NEA </w:t>
      </w:r>
      <w:r w:rsidR="0045766F">
        <w:rPr>
          <w:rFonts w:cs="Arial"/>
          <w:lang w:eastAsia="en-GB"/>
        </w:rPr>
        <w:t xml:space="preserve">Phase 2 </w:t>
      </w:r>
      <w:r w:rsidRPr="00966A75">
        <w:rPr>
          <w:rFonts w:cs="Arial"/>
          <w:bCs/>
        </w:rPr>
        <w:t xml:space="preserve">scheme by the </w:t>
      </w:r>
      <w:r w:rsidR="008A45C0" w:rsidRPr="00966A75">
        <w:rPr>
          <w:rFonts w:cs="Arial"/>
          <w:bCs/>
        </w:rPr>
        <w:t>Provider</w:t>
      </w:r>
      <w:r w:rsidR="00785DA0" w:rsidRPr="00966A75">
        <w:rPr>
          <w:rFonts w:cs="Arial"/>
          <w:bCs/>
        </w:rPr>
        <w:t>.</w:t>
      </w:r>
    </w:p>
    <w:p w:rsidR="00D521A8" w:rsidRPr="00966A75" w:rsidRDefault="00D521A8" w:rsidP="00EC0606">
      <w:pPr>
        <w:numPr>
          <w:ilvl w:val="0"/>
          <w:numId w:val="20"/>
        </w:numPr>
        <w:tabs>
          <w:tab w:val="clear" w:pos="720"/>
        </w:tabs>
        <w:spacing w:after="240"/>
        <w:ind w:left="1080"/>
        <w:rPr>
          <w:rFonts w:cs="Arial"/>
          <w:bCs/>
        </w:rPr>
      </w:pPr>
      <w:r w:rsidRPr="00966A75">
        <w:rPr>
          <w:rFonts w:cs="Arial"/>
          <w:bCs/>
        </w:rPr>
        <w:t xml:space="preserve">Undertaken the </w:t>
      </w:r>
      <w:r w:rsidR="00027671" w:rsidRPr="00966A75">
        <w:rPr>
          <w:rFonts w:cs="Arial"/>
          <w:bCs/>
        </w:rPr>
        <w:t>Pre Start-up Period</w:t>
      </w:r>
      <w:r w:rsidRPr="00966A75">
        <w:rPr>
          <w:rFonts w:cs="Arial"/>
          <w:bCs/>
        </w:rPr>
        <w:t xml:space="preserve"> of the NEA </w:t>
      </w:r>
      <w:r w:rsidR="0045766F">
        <w:rPr>
          <w:rFonts w:cs="Arial"/>
          <w:lang w:eastAsia="en-GB"/>
        </w:rPr>
        <w:t xml:space="preserve">Phase 2 </w:t>
      </w:r>
      <w:r w:rsidRPr="00966A75">
        <w:rPr>
          <w:rFonts w:cs="Arial"/>
          <w:bCs/>
        </w:rPr>
        <w:t xml:space="preserve">and worked with the </w:t>
      </w:r>
      <w:r w:rsidR="009516C1" w:rsidRPr="00966A75">
        <w:rPr>
          <w:rFonts w:cs="Arial"/>
          <w:bCs/>
        </w:rPr>
        <w:t>Business Mentor</w:t>
      </w:r>
      <w:r w:rsidRPr="00966A75">
        <w:rPr>
          <w:rFonts w:cs="Arial"/>
          <w:bCs/>
        </w:rPr>
        <w:t xml:space="preserve"> </w:t>
      </w:r>
      <w:r w:rsidR="003A68CE" w:rsidRPr="00966A75">
        <w:rPr>
          <w:rFonts w:cs="Arial"/>
          <w:bCs/>
        </w:rPr>
        <w:t xml:space="preserve">or Advisor </w:t>
      </w:r>
      <w:r w:rsidRPr="00966A75">
        <w:rPr>
          <w:rFonts w:cs="Arial"/>
          <w:bCs/>
        </w:rPr>
        <w:t xml:space="preserve">assigned by the </w:t>
      </w:r>
      <w:r w:rsidR="008A45C0" w:rsidRPr="00966A75">
        <w:rPr>
          <w:rFonts w:cs="Arial"/>
          <w:bCs/>
        </w:rPr>
        <w:t>Provider</w:t>
      </w:r>
      <w:r w:rsidRPr="00966A75">
        <w:rPr>
          <w:rFonts w:cs="Arial"/>
          <w:bCs/>
        </w:rPr>
        <w:t xml:space="preserve">; prepared a business plan and had this </w:t>
      </w:r>
      <w:r w:rsidR="00F7012E" w:rsidRPr="00966A75">
        <w:rPr>
          <w:rFonts w:cs="Arial"/>
          <w:bCs/>
        </w:rPr>
        <w:t>assessed</w:t>
      </w:r>
      <w:r w:rsidR="009D317C">
        <w:rPr>
          <w:rFonts w:cs="Arial"/>
          <w:bCs/>
        </w:rPr>
        <w:t xml:space="preserve"> </w:t>
      </w:r>
      <w:r w:rsidRPr="00966A75">
        <w:rPr>
          <w:rFonts w:cs="Arial"/>
          <w:bCs/>
        </w:rPr>
        <w:t xml:space="preserve">by the </w:t>
      </w:r>
      <w:r w:rsidR="008A45C0" w:rsidRPr="00966A75">
        <w:rPr>
          <w:rFonts w:cs="Arial"/>
          <w:bCs/>
        </w:rPr>
        <w:t>Provider</w:t>
      </w:r>
      <w:r w:rsidR="00785DA0" w:rsidRPr="00966A75">
        <w:rPr>
          <w:rFonts w:cs="Arial"/>
          <w:bCs/>
        </w:rPr>
        <w:t>.</w:t>
      </w:r>
    </w:p>
    <w:p w:rsidR="0039447F" w:rsidRPr="00966A75" w:rsidRDefault="005623CF" w:rsidP="00690E9E">
      <w:pPr>
        <w:spacing w:after="240"/>
        <w:rPr>
          <w:rFonts w:cs="Arial"/>
          <w:b/>
        </w:rPr>
      </w:pPr>
      <w:r>
        <w:rPr>
          <w:rFonts w:cs="Arial"/>
          <w:b/>
        </w:rPr>
        <w:t>Commencement of Trading F</w:t>
      </w:r>
      <w:r w:rsidR="005472AA" w:rsidRPr="00966A75">
        <w:rPr>
          <w:rFonts w:cs="Arial"/>
          <w:b/>
        </w:rPr>
        <w:t>ee</w:t>
      </w:r>
      <w:r w:rsidR="0039447F" w:rsidRPr="00966A75">
        <w:rPr>
          <w:rFonts w:cs="Arial"/>
          <w:b/>
        </w:rPr>
        <w:t>:</w:t>
      </w:r>
    </w:p>
    <w:p w:rsidR="00CA28EA" w:rsidRDefault="00027671" w:rsidP="00EC0606">
      <w:pPr>
        <w:numPr>
          <w:ilvl w:val="1"/>
          <w:numId w:val="12"/>
        </w:numPr>
        <w:tabs>
          <w:tab w:val="clear" w:pos="465"/>
        </w:tabs>
        <w:spacing w:after="240"/>
        <w:ind w:left="720" w:hanging="720"/>
        <w:rPr>
          <w:rFonts w:cs="Arial"/>
        </w:rPr>
      </w:pPr>
      <w:r w:rsidRPr="00966A75">
        <w:rPr>
          <w:rFonts w:cs="Arial"/>
        </w:rPr>
        <w:t xml:space="preserve">Providers </w:t>
      </w:r>
      <w:r w:rsidR="00CA28EA" w:rsidRPr="00966A75">
        <w:rPr>
          <w:rFonts w:cs="Arial"/>
        </w:rPr>
        <w:t xml:space="preserve">will be </w:t>
      </w:r>
      <w:r w:rsidR="008530B6">
        <w:rPr>
          <w:rFonts w:cs="Arial"/>
        </w:rPr>
        <w:t xml:space="preserve">able </w:t>
      </w:r>
      <w:r w:rsidR="00CA28EA" w:rsidRPr="00966A75">
        <w:rPr>
          <w:rFonts w:cs="Arial"/>
        </w:rPr>
        <w:t xml:space="preserve">to claim a </w:t>
      </w:r>
      <w:r w:rsidR="005623CF">
        <w:rPr>
          <w:rFonts w:cs="Arial"/>
        </w:rPr>
        <w:t>Commencement of Trading F</w:t>
      </w:r>
      <w:r w:rsidR="005472AA" w:rsidRPr="00966A75">
        <w:rPr>
          <w:rFonts w:cs="Arial"/>
        </w:rPr>
        <w:t>ee when</w:t>
      </w:r>
      <w:r w:rsidR="007464F8" w:rsidRPr="00966A75">
        <w:rPr>
          <w:rFonts w:cs="Arial"/>
        </w:rPr>
        <w:t xml:space="preserve"> the </w:t>
      </w:r>
      <w:r w:rsidR="008A45C0" w:rsidRPr="00966A75">
        <w:rPr>
          <w:rFonts w:cs="Arial"/>
        </w:rPr>
        <w:t>Participant</w:t>
      </w:r>
      <w:r w:rsidR="007464F8" w:rsidRPr="00966A75">
        <w:rPr>
          <w:rFonts w:cs="Arial"/>
        </w:rPr>
        <w:t xml:space="preserve"> has</w:t>
      </w:r>
      <w:r w:rsidR="004F3E69" w:rsidRPr="00966A75">
        <w:rPr>
          <w:rFonts w:cs="Arial"/>
        </w:rPr>
        <w:t>:</w:t>
      </w:r>
    </w:p>
    <w:p w:rsidR="00003FA5" w:rsidRPr="00003FA5" w:rsidRDefault="00003FA5" w:rsidP="00EC0606">
      <w:pPr>
        <w:pStyle w:val="ListParagraph"/>
        <w:numPr>
          <w:ilvl w:val="0"/>
          <w:numId w:val="8"/>
        </w:numPr>
        <w:rPr>
          <w:rFonts w:cs="Arial"/>
          <w:bCs/>
        </w:rPr>
      </w:pPr>
      <w:r>
        <w:rPr>
          <w:rFonts w:cs="Arial"/>
          <w:bCs/>
        </w:rPr>
        <w:t>A</w:t>
      </w:r>
      <w:r w:rsidRPr="00003FA5">
        <w:rPr>
          <w:rFonts w:cs="Arial"/>
          <w:bCs/>
        </w:rPr>
        <w:t>ttended a Link Up : Start Up workshop</w:t>
      </w:r>
      <w:r w:rsidR="001E1B68">
        <w:rPr>
          <w:rFonts w:cs="Arial"/>
          <w:bCs/>
        </w:rPr>
        <w:t>;</w:t>
      </w:r>
    </w:p>
    <w:p w:rsidR="00003FA5" w:rsidRPr="00966A75" w:rsidRDefault="00003FA5" w:rsidP="00EC0606">
      <w:pPr>
        <w:numPr>
          <w:ilvl w:val="0"/>
          <w:numId w:val="8"/>
        </w:numPr>
        <w:tabs>
          <w:tab w:val="clear" w:pos="1080"/>
        </w:tabs>
        <w:ind w:left="1077" w:hanging="357"/>
        <w:rPr>
          <w:rFonts w:cs="Arial"/>
          <w:bCs/>
        </w:rPr>
      </w:pPr>
      <w:r w:rsidRPr="00966A75">
        <w:rPr>
          <w:rFonts w:cs="Arial"/>
          <w:bCs/>
        </w:rPr>
        <w:t xml:space="preserve">Attended the initial assessment and been accepted onto the NEA </w:t>
      </w:r>
      <w:r w:rsidR="00C83B24">
        <w:rPr>
          <w:rFonts w:cs="Arial"/>
          <w:lang w:eastAsia="en-GB"/>
        </w:rPr>
        <w:t xml:space="preserve">Phase 2 </w:t>
      </w:r>
      <w:r w:rsidRPr="00966A75">
        <w:rPr>
          <w:rFonts w:cs="Arial"/>
          <w:bCs/>
        </w:rPr>
        <w:t>scheme by the Provider</w:t>
      </w:r>
      <w:r w:rsidR="001E1B68">
        <w:rPr>
          <w:rFonts w:cs="Arial"/>
          <w:bCs/>
        </w:rPr>
        <w:t>;</w:t>
      </w:r>
    </w:p>
    <w:p w:rsidR="00003FA5" w:rsidRPr="00966A75" w:rsidRDefault="00003FA5" w:rsidP="00EC0606">
      <w:pPr>
        <w:numPr>
          <w:ilvl w:val="0"/>
          <w:numId w:val="8"/>
        </w:numPr>
        <w:tabs>
          <w:tab w:val="clear" w:pos="1080"/>
        </w:tabs>
        <w:ind w:left="1077" w:hanging="357"/>
        <w:rPr>
          <w:rFonts w:cs="Arial"/>
          <w:bCs/>
        </w:rPr>
      </w:pPr>
      <w:r w:rsidRPr="00966A75">
        <w:rPr>
          <w:rFonts w:cs="Arial"/>
          <w:bCs/>
        </w:rPr>
        <w:t xml:space="preserve">Undertaken the Pre Start-up Period of the NEA </w:t>
      </w:r>
      <w:r w:rsidR="00C83B24">
        <w:rPr>
          <w:rFonts w:cs="Arial"/>
          <w:lang w:eastAsia="en-GB"/>
        </w:rPr>
        <w:t xml:space="preserve">Phase 2 </w:t>
      </w:r>
      <w:r w:rsidRPr="00966A75">
        <w:rPr>
          <w:rFonts w:cs="Arial"/>
          <w:bCs/>
        </w:rPr>
        <w:t>and worked with the Business Mentor or Advisor assigned by the Provider; prepared a business plan</w:t>
      </w:r>
      <w:r w:rsidR="001E1B68">
        <w:rPr>
          <w:rFonts w:cs="Arial"/>
          <w:bCs/>
        </w:rPr>
        <w:t>;</w:t>
      </w:r>
    </w:p>
    <w:p w:rsidR="00003FA5" w:rsidRPr="00966A75" w:rsidRDefault="00003FA5" w:rsidP="00EC0606">
      <w:pPr>
        <w:numPr>
          <w:ilvl w:val="0"/>
          <w:numId w:val="8"/>
        </w:numPr>
        <w:tabs>
          <w:tab w:val="clear" w:pos="1080"/>
        </w:tabs>
        <w:ind w:left="1077" w:hanging="357"/>
        <w:rPr>
          <w:bCs/>
          <w:lang w:val="en-AU"/>
        </w:rPr>
      </w:pPr>
      <w:r w:rsidRPr="00966A75">
        <w:rPr>
          <w:bCs/>
          <w:lang w:val="en-AU"/>
        </w:rPr>
        <w:t xml:space="preserve">Submitted the </w:t>
      </w:r>
      <w:r w:rsidR="00271FD0">
        <w:rPr>
          <w:bCs/>
          <w:lang w:val="en-AU"/>
        </w:rPr>
        <w:t xml:space="preserve">business </w:t>
      </w:r>
      <w:r w:rsidRPr="00966A75">
        <w:rPr>
          <w:bCs/>
          <w:lang w:val="en-AU"/>
        </w:rPr>
        <w:t>plan to the Provider, and had the business plan assessed</w:t>
      </w:r>
      <w:r w:rsidR="00682994">
        <w:rPr>
          <w:bCs/>
          <w:lang w:val="en-AU"/>
        </w:rPr>
        <w:t xml:space="preserve"> and approved</w:t>
      </w:r>
      <w:r w:rsidRPr="00966A75">
        <w:rPr>
          <w:bCs/>
          <w:lang w:val="en-AU"/>
        </w:rPr>
        <w:t>, according to the process set out by the Provider</w:t>
      </w:r>
      <w:r w:rsidR="001E1B68">
        <w:rPr>
          <w:bCs/>
          <w:lang w:val="en-AU"/>
        </w:rPr>
        <w:t>;</w:t>
      </w:r>
    </w:p>
    <w:p w:rsidR="00003FA5" w:rsidRPr="00966A75" w:rsidRDefault="00003FA5" w:rsidP="00EC0606">
      <w:pPr>
        <w:numPr>
          <w:ilvl w:val="0"/>
          <w:numId w:val="31"/>
        </w:numPr>
        <w:tabs>
          <w:tab w:val="clear" w:pos="720"/>
        </w:tabs>
        <w:ind w:left="1077" w:hanging="357"/>
        <w:rPr>
          <w:bCs/>
          <w:lang w:val="en-AU"/>
        </w:rPr>
      </w:pPr>
      <w:r w:rsidRPr="00966A75">
        <w:rPr>
          <w:bCs/>
          <w:lang w:val="en-AU"/>
        </w:rPr>
        <w:lastRenderedPageBreak/>
        <w:t xml:space="preserve">Terminated their </w:t>
      </w:r>
      <w:r w:rsidR="008B5AD3">
        <w:rPr>
          <w:bCs/>
          <w:lang w:val="en-AU"/>
        </w:rPr>
        <w:t>and their dependant partners</w:t>
      </w:r>
      <w:r w:rsidR="008B5AD3" w:rsidRPr="00966A75">
        <w:rPr>
          <w:bCs/>
          <w:lang w:val="en-AU"/>
        </w:rPr>
        <w:t xml:space="preserve"> </w:t>
      </w:r>
      <w:r w:rsidRPr="00966A75">
        <w:rPr>
          <w:bCs/>
          <w:lang w:val="en-AU"/>
        </w:rPr>
        <w:t>claim to JSA/ESA/IS</w:t>
      </w:r>
      <w:r w:rsidR="008B5AD3">
        <w:rPr>
          <w:bCs/>
          <w:lang w:val="en-AU"/>
        </w:rPr>
        <w:t xml:space="preserve"> </w:t>
      </w:r>
      <w:r w:rsidRPr="00966A75">
        <w:rPr>
          <w:bCs/>
          <w:lang w:val="en-AU"/>
        </w:rPr>
        <w:t xml:space="preserve">and started trading and or </w:t>
      </w:r>
      <w:r w:rsidR="008530B6">
        <w:rPr>
          <w:bCs/>
          <w:lang w:val="en-AU"/>
        </w:rPr>
        <w:t xml:space="preserve">when continuing to claim UC, </w:t>
      </w:r>
      <w:r w:rsidRPr="00966A75">
        <w:rPr>
          <w:bCs/>
          <w:lang w:val="en-AU"/>
        </w:rPr>
        <w:t>reported a change of circumstances</w:t>
      </w:r>
      <w:r w:rsidRPr="00966A75">
        <w:rPr>
          <w:rFonts w:cs="Arial"/>
          <w:bCs/>
        </w:rPr>
        <w:t xml:space="preserve"> to register a trading star</w:t>
      </w:r>
    </w:p>
    <w:p w:rsidR="00A9094F" w:rsidRDefault="00A9094F" w:rsidP="00003FA5">
      <w:pPr>
        <w:spacing w:after="240"/>
        <w:rPr>
          <w:rFonts w:cs="Arial"/>
          <w:b/>
        </w:rPr>
      </w:pPr>
    </w:p>
    <w:p w:rsidR="00003FA5" w:rsidRPr="00003FA5" w:rsidRDefault="00003FA5" w:rsidP="00003FA5">
      <w:pPr>
        <w:spacing w:after="240"/>
        <w:rPr>
          <w:rFonts w:cs="Arial"/>
          <w:b/>
        </w:rPr>
      </w:pPr>
      <w:r w:rsidRPr="00003FA5">
        <w:rPr>
          <w:rFonts w:cs="Arial"/>
          <w:b/>
        </w:rPr>
        <w:t xml:space="preserve">Completion of </w:t>
      </w:r>
      <w:r w:rsidR="00C36093">
        <w:rPr>
          <w:rFonts w:cs="Arial"/>
          <w:b/>
        </w:rPr>
        <w:t>6 months / 26 weeks</w:t>
      </w:r>
      <w:r w:rsidRPr="00003FA5">
        <w:rPr>
          <w:rFonts w:cs="Arial"/>
          <w:b/>
        </w:rPr>
        <w:t xml:space="preserve"> of </w:t>
      </w:r>
      <w:r w:rsidR="005623CF">
        <w:rPr>
          <w:rFonts w:cs="Arial"/>
          <w:b/>
        </w:rPr>
        <w:t>T</w:t>
      </w:r>
      <w:r w:rsidRPr="00003FA5">
        <w:rPr>
          <w:rFonts w:cs="Arial"/>
          <w:b/>
        </w:rPr>
        <w:t xml:space="preserve">rading </w:t>
      </w:r>
      <w:r w:rsidR="005623CF">
        <w:rPr>
          <w:rFonts w:cs="Arial"/>
          <w:b/>
        </w:rPr>
        <w:t>F</w:t>
      </w:r>
      <w:r w:rsidRPr="00003FA5">
        <w:rPr>
          <w:rFonts w:cs="Arial"/>
          <w:b/>
        </w:rPr>
        <w:t>ee:</w:t>
      </w:r>
    </w:p>
    <w:p w:rsidR="00003FA5" w:rsidRPr="007113B0" w:rsidRDefault="0000248D" w:rsidP="00EC0606">
      <w:pPr>
        <w:numPr>
          <w:ilvl w:val="1"/>
          <w:numId w:val="12"/>
        </w:numPr>
        <w:tabs>
          <w:tab w:val="clear" w:pos="465"/>
          <w:tab w:val="num" w:pos="709"/>
        </w:tabs>
        <w:spacing w:after="240"/>
        <w:ind w:left="709" w:hanging="709"/>
        <w:rPr>
          <w:rFonts w:cs="Arial"/>
        </w:rPr>
      </w:pPr>
      <w:r w:rsidRPr="0000248D">
        <w:rPr>
          <w:rFonts w:cs="Arial"/>
        </w:rPr>
        <w:t xml:space="preserve">Providers will be eligible to claim a Completion of </w:t>
      </w:r>
      <w:r w:rsidR="00C36093">
        <w:rPr>
          <w:rFonts w:cs="Arial"/>
        </w:rPr>
        <w:t>6 months / 26 weeks</w:t>
      </w:r>
      <w:r w:rsidR="005623CF">
        <w:rPr>
          <w:rFonts w:cs="Arial"/>
        </w:rPr>
        <w:t xml:space="preserve"> of T</w:t>
      </w:r>
      <w:r w:rsidRPr="0000248D">
        <w:rPr>
          <w:rFonts w:cs="Arial"/>
        </w:rPr>
        <w:t xml:space="preserve">rading </w:t>
      </w:r>
      <w:r w:rsidR="005623CF">
        <w:rPr>
          <w:rFonts w:cs="Arial"/>
        </w:rPr>
        <w:t>F</w:t>
      </w:r>
      <w:r w:rsidRPr="0000248D">
        <w:rPr>
          <w:rFonts w:cs="Arial"/>
        </w:rPr>
        <w:t xml:space="preserve">ee where a </w:t>
      </w:r>
      <w:r w:rsidR="00F20110">
        <w:rPr>
          <w:rFonts w:cs="Arial"/>
        </w:rPr>
        <w:t xml:space="preserve">new business starter </w:t>
      </w:r>
      <w:r w:rsidRPr="0000248D">
        <w:rPr>
          <w:rFonts w:cs="Arial"/>
        </w:rPr>
        <w:t xml:space="preserve">has been trading in a self-employed capacity </w:t>
      </w:r>
      <w:r w:rsidR="00D97F23">
        <w:rPr>
          <w:rFonts w:cs="Arial"/>
        </w:rPr>
        <w:t xml:space="preserve">and off </w:t>
      </w:r>
      <w:proofErr w:type="gramStart"/>
      <w:r w:rsidR="00D97F23">
        <w:rPr>
          <w:rFonts w:cs="Arial"/>
        </w:rPr>
        <w:t xml:space="preserve">benefit </w:t>
      </w:r>
      <w:r w:rsidR="008530B6">
        <w:rPr>
          <w:rFonts w:cs="Arial"/>
        </w:rPr>
        <w:t xml:space="preserve"> or</w:t>
      </w:r>
      <w:proofErr w:type="gramEnd"/>
      <w:r w:rsidR="008530B6">
        <w:rPr>
          <w:rFonts w:cs="Arial"/>
        </w:rPr>
        <w:t xml:space="preserve"> where continuing to receive UC has reported / maintained the change of circumstances for 6 months / 26 weeks, </w:t>
      </w:r>
      <w:r w:rsidRPr="0000248D">
        <w:rPr>
          <w:rFonts w:cs="Arial"/>
        </w:rPr>
        <w:t xml:space="preserve">for a cumulative period of </w:t>
      </w:r>
      <w:r w:rsidR="00C36093">
        <w:rPr>
          <w:rFonts w:cs="Arial"/>
        </w:rPr>
        <w:t>6 months / 26 weeks</w:t>
      </w:r>
      <w:r w:rsidRPr="0000248D">
        <w:rPr>
          <w:rFonts w:cs="Arial"/>
        </w:rPr>
        <w:t xml:space="preserve">, where periods of self-employment begin on or after the Start Date </w:t>
      </w:r>
      <w:r w:rsidRPr="007113B0">
        <w:rPr>
          <w:rFonts w:cs="Arial"/>
        </w:rPr>
        <w:t xml:space="preserve">and within the maximum </w:t>
      </w:r>
      <w:r w:rsidR="00AB2543" w:rsidRPr="007113B0">
        <w:rPr>
          <w:rFonts w:cs="Arial"/>
        </w:rPr>
        <w:t>9</w:t>
      </w:r>
      <w:r w:rsidR="00C07D1C">
        <w:rPr>
          <w:rFonts w:cs="Arial"/>
        </w:rPr>
        <w:t>2</w:t>
      </w:r>
      <w:r w:rsidRPr="007113B0">
        <w:rPr>
          <w:rFonts w:cs="Arial"/>
        </w:rPr>
        <w:t xml:space="preserve"> week allotted time</w:t>
      </w:r>
      <w:r w:rsidR="008530B6">
        <w:rPr>
          <w:rFonts w:cs="Arial"/>
        </w:rPr>
        <w:t>.</w:t>
      </w:r>
    </w:p>
    <w:p w:rsidR="00E410E6" w:rsidRDefault="00E410E6" w:rsidP="007113B0">
      <w:pPr>
        <w:autoSpaceDE w:val="0"/>
        <w:autoSpaceDN w:val="0"/>
        <w:adjustRightInd w:val="0"/>
        <w:spacing w:after="240"/>
        <w:ind w:firstLine="709"/>
        <w:rPr>
          <w:rFonts w:cs="Arial"/>
          <w:i/>
        </w:rPr>
      </w:pPr>
      <w:r w:rsidRPr="00966A75">
        <w:rPr>
          <w:rFonts w:cs="Arial"/>
          <w:i/>
        </w:rPr>
        <w:t xml:space="preserve">For further information regarding definitions please see </w:t>
      </w:r>
      <w:hyperlink w:anchor="_DEFINITIONS" w:history="1">
        <w:r w:rsidRPr="00966A75">
          <w:rPr>
            <w:rStyle w:val="Hyperlink"/>
            <w:rFonts w:cs="Arial"/>
            <w:i/>
            <w:color w:val="auto"/>
          </w:rPr>
          <w:t xml:space="preserve">Annex </w:t>
        </w:r>
        <w:r w:rsidR="001E1B68">
          <w:rPr>
            <w:rStyle w:val="Hyperlink"/>
            <w:rFonts w:cs="Arial"/>
            <w:i/>
            <w:color w:val="auto"/>
          </w:rPr>
          <w:t>3</w:t>
        </w:r>
        <w:r w:rsidRPr="00966A75">
          <w:rPr>
            <w:rStyle w:val="Hyperlink"/>
            <w:rFonts w:cs="Arial"/>
            <w:i/>
            <w:color w:val="auto"/>
          </w:rPr>
          <w:t xml:space="preserve"> - Definitions</w:t>
        </w:r>
      </w:hyperlink>
      <w:r w:rsidRPr="00966A75">
        <w:rPr>
          <w:rFonts w:cs="Arial"/>
          <w:i/>
        </w:rPr>
        <w:t xml:space="preserve"> </w:t>
      </w:r>
    </w:p>
    <w:p w:rsidR="008530B6" w:rsidRDefault="00A46817" w:rsidP="008530B6">
      <w:pPr>
        <w:spacing w:after="240"/>
        <w:ind w:left="720" w:hanging="720"/>
        <w:rPr>
          <w:rFonts w:cs="Arial"/>
          <w:b/>
        </w:rPr>
      </w:pPr>
      <w:r w:rsidRPr="004A6648">
        <w:rPr>
          <w:b/>
        </w:rPr>
        <w:t>UC existing Self Employed</w:t>
      </w:r>
      <w:r w:rsidR="008530B6" w:rsidRPr="008530B6">
        <w:rPr>
          <w:rFonts w:cs="Arial"/>
          <w:b/>
        </w:rPr>
        <w:tab/>
      </w:r>
    </w:p>
    <w:p w:rsidR="00A46817" w:rsidRPr="008530B6" w:rsidRDefault="008530B6" w:rsidP="008530B6">
      <w:pPr>
        <w:numPr>
          <w:ilvl w:val="1"/>
          <w:numId w:val="12"/>
        </w:numPr>
        <w:tabs>
          <w:tab w:val="clear" w:pos="465"/>
          <w:tab w:val="num" w:pos="709"/>
        </w:tabs>
        <w:spacing w:after="240"/>
        <w:ind w:left="709" w:hanging="709"/>
        <w:rPr>
          <w:rFonts w:cs="Arial"/>
        </w:rPr>
      </w:pPr>
      <w:r w:rsidRPr="008530B6">
        <w:rPr>
          <w:rFonts w:cs="Arial"/>
        </w:rPr>
        <w:t>There will be different payment model for UC existing Self Employed and the support for participants. The stages of the programme are summarised below:  These must be claimed in order with necessary criteria having been met.</w:t>
      </w:r>
    </w:p>
    <w:p w:rsidR="00E410E6" w:rsidRPr="00966A75" w:rsidRDefault="00E410E6" w:rsidP="00EC0606">
      <w:pPr>
        <w:pStyle w:val="ListParagraph"/>
        <w:numPr>
          <w:ilvl w:val="0"/>
          <w:numId w:val="61"/>
        </w:numPr>
        <w:spacing w:after="240"/>
      </w:pPr>
      <w:r w:rsidRPr="00966A75">
        <w:t xml:space="preserve">NEA </w:t>
      </w:r>
      <w:r>
        <w:rPr>
          <w:rFonts w:cs="Arial"/>
          <w:lang w:eastAsia="en-GB"/>
        </w:rPr>
        <w:t xml:space="preserve">Phase 2 </w:t>
      </w:r>
      <w:r w:rsidRPr="00966A75">
        <w:t xml:space="preserve">Programme Start / Initial </w:t>
      </w:r>
      <w:r w:rsidR="00271FD0">
        <w:t>Assessment</w:t>
      </w:r>
    </w:p>
    <w:p w:rsidR="00E410E6" w:rsidRPr="00966A75" w:rsidRDefault="00E410E6" w:rsidP="00EC0606">
      <w:pPr>
        <w:pStyle w:val="ListParagraph"/>
        <w:numPr>
          <w:ilvl w:val="0"/>
          <w:numId w:val="61"/>
        </w:numPr>
        <w:spacing w:after="240"/>
      </w:pPr>
      <w:r w:rsidRPr="00966A75">
        <w:t xml:space="preserve">Mentoring Phase / Business </w:t>
      </w:r>
      <w:r>
        <w:t xml:space="preserve">Development and Growth </w:t>
      </w:r>
      <w:r w:rsidRPr="00966A75">
        <w:t>Plan Assessment</w:t>
      </w:r>
    </w:p>
    <w:p w:rsidR="00E410E6" w:rsidRDefault="00E410E6" w:rsidP="00EC0606">
      <w:pPr>
        <w:pStyle w:val="ListParagraph"/>
        <w:numPr>
          <w:ilvl w:val="0"/>
          <w:numId w:val="61"/>
        </w:numPr>
        <w:spacing w:after="240"/>
        <w:rPr>
          <w:rFonts w:cs="Arial"/>
        </w:rPr>
      </w:pPr>
      <w:r>
        <w:rPr>
          <w:rFonts w:cs="Arial"/>
        </w:rPr>
        <w:t>A</w:t>
      </w:r>
      <w:r w:rsidRPr="00094558">
        <w:rPr>
          <w:rFonts w:cs="Arial"/>
        </w:rPr>
        <w:t>verage earnings increased to at least the participants MIF on average over months 0 to 6.</w:t>
      </w:r>
    </w:p>
    <w:p w:rsidR="00E410E6" w:rsidRDefault="00E410E6" w:rsidP="00EC0606">
      <w:pPr>
        <w:pStyle w:val="ListParagraph"/>
        <w:numPr>
          <w:ilvl w:val="0"/>
          <w:numId w:val="61"/>
        </w:numPr>
        <w:spacing w:after="240"/>
        <w:rPr>
          <w:rFonts w:cs="Arial"/>
        </w:rPr>
      </w:pPr>
      <w:r>
        <w:rPr>
          <w:rFonts w:cs="Arial"/>
        </w:rPr>
        <w:t>A</w:t>
      </w:r>
      <w:r w:rsidRPr="00094558">
        <w:rPr>
          <w:rFonts w:cs="Arial"/>
        </w:rPr>
        <w:t xml:space="preserve">verage earnings increased to at least the participants MIF on average over months </w:t>
      </w:r>
      <w:r>
        <w:rPr>
          <w:rFonts w:cs="Arial"/>
        </w:rPr>
        <w:t>7</w:t>
      </w:r>
      <w:r w:rsidRPr="00094558">
        <w:rPr>
          <w:rFonts w:cs="Arial"/>
        </w:rPr>
        <w:t xml:space="preserve"> to </w:t>
      </w:r>
      <w:r>
        <w:rPr>
          <w:rFonts w:cs="Arial"/>
        </w:rPr>
        <w:t>12</w:t>
      </w:r>
      <w:r w:rsidRPr="00094558">
        <w:rPr>
          <w:rFonts w:cs="Arial"/>
        </w:rPr>
        <w:t>.</w:t>
      </w:r>
    </w:p>
    <w:p w:rsidR="005623CF" w:rsidRPr="005623CF" w:rsidRDefault="004F0D7D" w:rsidP="00A9094F">
      <w:pPr>
        <w:pStyle w:val="ListParagraph"/>
        <w:numPr>
          <w:ilvl w:val="1"/>
          <w:numId w:val="12"/>
        </w:numPr>
        <w:tabs>
          <w:tab w:val="clear" w:pos="465"/>
          <w:tab w:val="num" w:pos="709"/>
        </w:tabs>
        <w:ind w:left="709" w:hanging="709"/>
        <w:rPr>
          <w:rFonts w:cs="Arial"/>
          <w:color w:val="FF0000"/>
        </w:rPr>
      </w:pPr>
      <w:r w:rsidRPr="00A9094F">
        <w:rPr>
          <w:rFonts w:cs="Arial"/>
        </w:rPr>
        <w:t>All</w:t>
      </w:r>
      <w:r w:rsidR="00E410E6" w:rsidRPr="00A9094F">
        <w:rPr>
          <w:rFonts w:cs="Arial"/>
        </w:rPr>
        <w:t xml:space="preserve"> outcomes will be paid via individual outcome </w:t>
      </w:r>
      <w:proofErr w:type="gramStart"/>
      <w:r w:rsidR="00E410E6" w:rsidRPr="00A9094F">
        <w:rPr>
          <w:rFonts w:cs="Arial"/>
        </w:rPr>
        <w:t>fees .</w:t>
      </w:r>
      <w:proofErr w:type="gramEnd"/>
      <w:r w:rsidR="00E410E6" w:rsidRPr="00A9094F">
        <w:rPr>
          <w:rFonts w:cs="Arial"/>
        </w:rPr>
        <w:t xml:space="preserve"> </w:t>
      </w:r>
    </w:p>
    <w:p w:rsidR="005623CF" w:rsidRPr="005F0353" w:rsidRDefault="00E410E6" w:rsidP="005623CF">
      <w:pPr>
        <w:pStyle w:val="ListParagraph"/>
        <w:numPr>
          <w:ilvl w:val="0"/>
          <w:numId w:val="77"/>
        </w:numPr>
        <w:rPr>
          <w:rFonts w:cs="Arial"/>
        </w:rPr>
      </w:pPr>
      <w:r w:rsidRPr="005F0353">
        <w:rPr>
          <w:rFonts w:cs="Arial"/>
        </w:rPr>
        <w:t xml:space="preserve">NEA Phase 2 Programme Start / Initial </w:t>
      </w:r>
      <w:r w:rsidR="00271FD0" w:rsidRPr="005F0353">
        <w:rPr>
          <w:rFonts w:cs="Arial"/>
        </w:rPr>
        <w:t>Assessment</w:t>
      </w:r>
      <w:r w:rsidRPr="005F0353">
        <w:rPr>
          <w:rFonts w:cs="Arial"/>
        </w:rPr>
        <w:t xml:space="preserve"> </w:t>
      </w:r>
      <w:r w:rsidR="00271FD0" w:rsidRPr="005F0353">
        <w:rPr>
          <w:rFonts w:cs="Arial"/>
        </w:rPr>
        <w:t xml:space="preserve">equivalent to </w:t>
      </w:r>
      <w:r w:rsidRPr="005F0353">
        <w:rPr>
          <w:rFonts w:cs="Arial"/>
          <w:b/>
        </w:rPr>
        <w:t>20%</w:t>
      </w:r>
      <w:r w:rsidRPr="005F0353">
        <w:rPr>
          <w:rFonts w:cs="Arial"/>
        </w:rPr>
        <w:t xml:space="preserve"> of the contract value, </w:t>
      </w:r>
    </w:p>
    <w:p w:rsidR="005623CF" w:rsidRPr="005F0353" w:rsidRDefault="00E410E6" w:rsidP="005623CF">
      <w:pPr>
        <w:pStyle w:val="ListParagraph"/>
        <w:numPr>
          <w:ilvl w:val="0"/>
          <w:numId w:val="77"/>
        </w:numPr>
        <w:rPr>
          <w:rFonts w:cs="Arial"/>
        </w:rPr>
      </w:pPr>
      <w:r w:rsidRPr="005F0353">
        <w:rPr>
          <w:rFonts w:cs="Arial"/>
        </w:rPr>
        <w:t xml:space="preserve">the mentoring / BDGP development and assessment phase </w:t>
      </w:r>
      <w:r w:rsidR="00271FD0" w:rsidRPr="005F0353">
        <w:rPr>
          <w:rFonts w:cs="Arial"/>
        </w:rPr>
        <w:t>equivalent to</w:t>
      </w:r>
      <w:r w:rsidRPr="005F0353">
        <w:rPr>
          <w:rFonts w:cs="Arial"/>
        </w:rPr>
        <w:t xml:space="preserve"> </w:t>
      </w:r>
      <w:r w:rsidRPr="005F0353">
        <w:rPr>
          <w:rFonts w:cs="Arial"/>
          <w:b/>
        </w:rPr>
        <w:t>40%</w:t>
      </w:r>
      <w:r w:rsidRPr="005F0353">
        <w:rPr>
          <w:rFonts w:cs="Arial"/>
        </w:rPr>
        <w:t xml:space="preserve"> of the contract </w:t>
      </w:r>
      <w:r w:rsidR="00271FD0" w:rsidRPr="005F0353">
        <w:rPr>
          <w:rFonts w:cs="Arial"/>
        </w:rPr>
        <w:t>v</w:t>
      </w:r>
      <w:r w:rsidRPr="005F0353">
        <w:rPr>
          <w:rFonts w:cs="Arial"/>
        </w:rPr>
        <w:t xml:space="preserve">alue, </w:t>
      </w:r>
    </w:p>
    <w:p w:rsidR="005623CF" w:rsidRPr="002B3C82" w:rsidRDefault="00E410E6" w:rsidP="005623CF">
      <w:pPr>
        <w:pStyle w:val="ListParagraph"/>
        <w:numPr>
          <w:ilvl w:val="0"/>
          <w:numId w:val="77"/>
        </w:numPr>
        <w:rPr>
          <w:rFonts w:cs="Arial"/>
        </w:rPr>
      </w:pPr>
      <w:proofErr w:type="gramStart"/>
      <w:r w:rsidRPr="002B3C82">
        <w:rPr>
          <w:rFonts w:cs="Arial"/>
        </w:rPr>
        <w:t>average</w:t>
      </w:r>
      <w:proofErr w:type="gramEnd"/>
      <w:r w:rsidRPr="002B3C82">
        <w:rPr>
          <w:rFonts w:cs="Arial"/>
        </w:rPr>
        <w:t xml:space="preserve"> earnings increased to the MIF during 0 - </w:t>
      </w:r>
      <w:r w:rsidR="00C36093" w:rsidRPr="002B3C82">
        <w:rPr>
          <w:rFonts w:cs="Arial"/>
        </w:rPr>
        <w:t xml:space="preserve">6 months </w:t>
      </w:r>
      <w:r w:rsidR="00271FD0" w:rsidRPr="002B3C82">
        <w:rPr>
          <w:rFonts w:cs="Arial"/>
        </w:rPr>
        <w:t xml:space="preserve">equivalent to </w:t>
      </w:r>
      <w:r w:rsidR="00A9094F" w:rsidRPr="002B3C82">
        <w:rPr>
          <w:rFonts w:cs="Arial"/>
          <w:b/>
        </w:rPr>
        <w:t>40</w:t>
      </w:r>
      <w:r w:rsidRPr="002B3C82">
        <w:rPr>
          <w:rFonts w:cs="Arial"/>
          <w:b/>
        </w:rPr>
        <w:t>%</w:t>
      </w:r>
      <w:r w:rsidRPr="002B3C82">
        <w:rPr>
          <w:rFonts w:cs="Arial"/>
        </w:rPr>
        <w:t xml:space="preserve"> of the contract</w:t>
      </w:r>
      <w:r w:rsidR="00271FD0" w:rsidRPr="002B3C82">
        <w:rPr>
          <w:rFonts w:cs="Arial"/>
        </w:rPr>
        <w:t xml:space="preserve"> value</w:t>
      </w:r>
      <w:r w:rsidR="00A9094F" w:rsidRPr="002B3C82">
        <w:rPr>
          <w:rFonts w:cs="Arial"/>
        </w:rPr>
        <w:t>.</w:t>
      </w:r>
      <w:r w:rsidR="00226BDF" w:rsidRPr="002B3C82">
        <w:rPr>
          <w:b/>
        </w:rPr>
        <w:t xml:space="preserve"> NB for clarity this </w:t>
      </w:r>
      <w:proofErr w:type="gramStart"/>
      <w:r w:rsidR="00226BDF" w:rsidRPr="002B3C82">
        <w:rPr>
          <w:b/>
        </w:rPr>
        <w:t>is  the</w:t>
      </w:r>
      <w:proofErr w:type="gramEnd"/>
      <w:r w:rsidR="00226BDF" w:rsidRPr="002B3C82">
        <w:rPr>
          <w:b/>
        </w:rPr>
        <w:t xml:space="preserve"> element of the final contract value that applies for UC existing </w:t>
      </w:r>
      <w:proofErr w:type="spellStart"/>
      <w:r w:rsidR="00226BDF" w:rsidRPr="002B3C82">
        <w:rPr>
          <w:b/>
        </w:rPr>
        <w:t>self employed</w:t>
      </w:r>
      <w:proofErr w:type="spellEnd"/>
      <w:r w:rsidR="00226BDF" w:rsidRPr="002B3C82">
        <w:rPr>
          <w:b/>
        </w:rPr>
        <w:t>.</w:t>
      </w:r>
    </w:p>
    <w:p w:rsidR="005623CF" w:rsidRPr="005F0353" w:rsidRDefault="00A9094F" w:rsidP="005623CF">
      <w:pPr>
        <w:pStyle w:val="ListParagraph"/>
        <w:ind w:left="1429"/>
        <w:rPr>
          <w:rFonts w:cs="Arial"/>
        </w:rPr>
      </w:pPr>
      <w:r w:rsidRPr="005F0353">
        <w:rPr>
          <w:rFonts w:cs="Arial"/>
        </w:rPr>
        <w:t xml:space="preserve"> </w:t>
      </w:r>
    </w:p>
    <w:p w:rsidR="00A9094F" w:rsidRPr="005623CF" w:rsidRDefault="00A9094F" w:rsidP="005623CF">
      <w:pPr>
        <w:ind w:left="1429" w:firstLine="11"/>
        <w:rPr>
          <w:rFonts w:cs="Arial"/>
          <w:color w:val="FF0000"/>
        </w:rPr>
      </w:pPr>
      <w:r w:rsidRPr="005623CF">
        <w:rPr>
          <w:rFonts w:cs="Arial"/>
        </w:rPr>
        <w:t xml:space="preserve">No outcome payment will be attached to the increase in earnings to the average of at least their Minimum Income Floor level over months 7 to 12, however performance against this will be measured and be part of the </w:t>
      </w:r>
      <w:r w:rsidR="004C609F" w:rsidRPr="005623CF">
        <w:rPr>
          <w:rFonts w:cs="Arial"/>
        </w:rPr>
        <w:t>Customer</w:t>
      </w:r>
      <w:r w:rsidRPr="005623CF">
        <w:rPr>
          <w:rFonts w:cs="Arial"/>
        </w:rPr>
        <w:t xml:space="preserve"> Service Standards.</w:t>
      </w:r>
    </w:p>
    <w:p w:rsidR="00A9094F" w:rsidRPr="00A9094F" w:rsidRDefault="00A9094F" w:rsidP="00A9094F">
      <w:pPr>
        <w:pStyle w:val="ListParagraph"/>
        <w:spacing w:after="240"/>
        <w:ind w:left="709"/>
        <w:rPr>
          <w:rFonts w:cs="Arial"/>
          <w:b/>
        </w:rPr>
      </w:pPr>
    </w:p>
    <w:p w:rsidR="0083377F" w:rsidRPr="00A9094F" w:rsidRDefault="0083377F" w:rsidP="00A9094F">
      <w:pPr>
        <w:spacing w:after="240"/>
        <w:rPr>
          <w:rFonts w:cs="Arial"/>
          <w:b/>
        </w:rPr>
      </w:pPr>
      <w:r w:rsidRPr="00A9094F">
        <w:rPr>
          <w:rFonts w:cs="Arial"/>
          <w:b/>
        </w:rPr>
        <w:t xml:space="preserve">Programme Start / Initial </w:t>
      </w:r>
      <w:r w:rsidR="00271FD0">
        <w:rPr>
          <w:rFonts w:cs="Arial"/>
          <w:b/>
        </w:rPr>
        <w:t>assessment</w:t>
      </w:r>
      <w:r w:rsidRPr="00A9094F">
        <w:rPr>
          <w:rFonts w:cs="Arial"/>
          <w:b/>
        </w:rPr>
        <w:t xml:space="preserve"> fee:</w:t>
      </w:r>
    </w:p>
    <w:p w:rsidR="0083377F" w:rsidRPr="00966A75" w:rsidRDefault="0083377F" w:rsidP="00EC0606">
      <w:pPr>
        <w:numPr>
          <w:ilvl w:val="1"/>
          <w:numId w:val="12"/>
        </w:numPr>
        <w:tabs>
          <w:tab w:val="clear" w:pos="465"/>
          <w:tab w:val="num" w:pos="709"/>
        </w:tabs>
        <w:spacing w:after="240"/>
        <w:ind w:left="709" w:hanging="709"/>
        <w:rPr>
          <w:rFonts w:cs="Arial"/>
        </w:rPr>
      </w:pPr>
      <w:r w:rsidRPr="00966A75">
        <w:rPr>
          <w:rFonts w:cs="Arial"/>
        </w:rPr>
        <w:lastRenderedPageBreak/>
        <w:t xml:space="preserve">Providers will be eligible to claim a </w:t>
      </w:r>
      <w:r>
        <w:rPr>
          <w:rFonts w:cs="Arial"/>
        </w:rPr>
        <w:t xml:space="preserve">Programme Start / Initial </w:t>
      </w:r>
      <w:r w:rsidR="00271FD0">
        <w:rPr>
          <w:rFonts w:cs="Arial"/>
        </w:rPr>
        <w:t>assessment</w:t>
      </w:r>
      <w:r>
        <w:rPr>
          <w:rFonts w:cs="Arial"/>
        </w:rPr>
        <w:t xml:space="preserve"> fee</w:t>
      </w:r>
      <w:r w:rsidR="004F0D7D">
        <w:rPr>
          <w:rFonts w:cs="Arial"/>
        </w:rPr>
        <w:t xml:space="preserve"> </w:t>
      </w:r>
      <w:r w:rsidRPr="00966A75">
        <w:rPr>
          <w:rFonts w:cs="Arial"/>
        </w:rPr>
        <w:t>when the Participant has</w:t>
      </w:r>
      <w:r>
        <w:rPr>
          <w:rFonts w:cs="Arial"/>
        </w:rPr>
        <w:t xml:space="preserve"> </w:t>
      </w:r>
      <w:r w:rsidRPr="00966A75">
        <w:t xml:space="preserve">participated in an </w:t>
      </w:r>
      <w:r w:rsidR="00E55674">
        <w:t>I</w:t>
      </w:r>
      <w:r w:rsidRPr="00966A75">
        <w:t xml:space="preserve">nitial </w:t>
      </w:r>
      <w:r w:rsidR="00E55674">
        <w:t>A</w:t>
      </w:r>
      <w:r w:rsidRPr="00966A75">
        <w:t>ssessment meeting and</w:t>
      </w:r>
      <w:r w:rsidRPr="00966A75">
        <w:rPr>
          <w:b/>
        </w:rPr>
        <w:t xml:space="preserve"> </w:t>
      </w:r>
      <w:r w:rsidRPr="00966A75">
        <w:rPr>
          <w:bCs/>
        </w:rPr>
        <w:t xml:space="preserve">have been accepted onto the NEA </w:t>
      </w:r>
      <w:r>
        <w:rPr>
          <w:rFonts w:cs="Arial"/>
          <w:lang w:eastAsia="en-GB"/>
        </w:rPr>
        <w:t xml:space="preserve">Phase 2 </w:t>
      </w:r>
      <w:r w:rsidRPr="00966A75">
        <w:rPr>
          <w:bCs/>
        </w:rPr>
        <w:t>scheme by the Provider.</w:t>
      </w:r>
    </w:p>
    <w:p w:rsidR="0083377F" w:rsidRPr="0083377F" w:rsidRDefault="0083377F" w:rsidP="0083377F">
      <w:pPr>
        <w:spacing w:after="240"/>
        <w:rPr>
          <w:rFonts w:cs="Arial"/>
          <w:b/>
        </w:rPr>
      </w:pPr>
      <w:r w:rsidRPr="0083377F">
        <w:rPr>
          <w:rFonts w:cs="Arial"/>
          <w:b/>
        </w:rPr>
        <w:t xml:space="preserve">Mentoring / Business </w:t>
      </w:r>
      <w:r w:rsidR="00005AB1">
        <w:rPr>
          <w:rFonts w:cs="Arial"/>
          <w:b/>
        </w:rPr>
        <w:t xml:space="preserve">Development and Growth </w:t>
      </w:r>
      <w:r w:rsidRPr="0083377F">
        <w:rPr>
          <w:rFonts w:cs="Arial"/>
          <w:b/>
        </w:rPr>
        <w:t>Plan Assessment</w:t>
      </w:r>
      <w:r>
        <w:rPr>
          <w:rFonts w:cs="Arial"/>
          <w:b/>
        </w:rPr>
        <w:t xml:space="preserve"> fee</w:t>
      </w:r>
      <w:r w:rsidRPr="0083377F">
        <w:rPr>
          <w:rFonts w:cs="Arial"/>
          <w:b/>
        </w:rPr>
        <w:t>:</w:t>
      </w:r>
    </w:p>
    <w:p w:rsidR="0083377F" w:rsidRPr="00E410E6" w:rsidRDefault="0083377F" w:rsidP="00EC0606">
      <w:pPr>
        <w:numPr>
          <w:ilvl w:val="1"/>
          <w:numId w:val="12"/>
        </w:numPr>
        <w:tabs>
          <w:tab w:val="clear" w:pos="465"/>
          <w:tab w:val="num" w:pos="709"/>
        </w:tabs>
        <w:spacing w:after="240"/>
        <w:ind w:left="709" w:hanging="709"/>
        <w:rPr>
          <w:rFonts w:cs="Arial"/>
        </w:rPr>
      </w:pPr>
      <w:r>
        <w:rPr>
          <w:rFonts w:cs="Arial"/>
        </w:rPr>
        <w:t xml:space="preserve">For </w:t>
      </w:r>
      <w:r w:rsidRPr="00966A75">
        <w:rPr>
          <w:rFonts w:cs="Arial"/>
        </w:rPr>
        <w:t xml:space="preserve">Providers </w:t>
      </w:r>
      <w:r>
        <w:rPr>
          <w:rFonts w:cs="Arial"/>
        </w:rPr>
        <w:t xml:space="preserve">to </w:t>
      </w:r>
      <w:r w:rsidRPr="00966A75">
        <w:rPr>
          <w:rFonts w:cs="Arial"/>
        </w:rPr>
        <w:t>be eligible to claim a</w:t>
      </w:r>
      <w:r w:rsidRPr="00003FA5">
        <w:rPr>
          <w:rFonts w:cs="Arial"/>
        </w:rPr>
        <w:t xml:space="preserve"> </w:t>
      </w:r>
      <w:r>
        <w:rPr>
          <w:rFonts w:cs="Arial"/>
        </w:rPr>
        <w:t xml:space="preserve">Mentoring Business Plan </w:t>
      </w:r>
      <w:r w:rsidR="00271FD0" w:rsidRPr="0083377F">
        <w:rPr>
          <w:rFonts w:cs="Arial"/>
          <w:b/>
        </w:rPr>
        <w:t xml:space="preserve">/ </w:t>
      </w:r>
      <w:r w:rsidR="00271FD0" w:rsidRPr="00271FD0">
        <w:rPr>
          <w:rFonts w:cs="Arial"/>
        </w:rPr>
        <w:t>Business Development and Growth Plan</w:t>
      </w:r>
      <w:r w:rsidR="00271FD0" w:rsidRPr="0083377F">
        <w:rPr>
          <w:rFonts w:cs="Arial"/>
          <w:b/>
        </w:rPr>
        <w:t xml:space="preserve"> </w:t>
      </w:r>
      <w:r>
        <w:rPr>
          <w:rFonts w:cs="Arial"/>
        </w:rPr>
        <w:t xml:space="preserve">Assessment </w:t>
      </w:r>
      <w:r w:rsidRPr="00E410E6">
        <w:rPr>
          <w:rFonts w:cs="Arial"/>
        </w:rPr>
        <w:t>Fee. Participants must have;</w:t>
      </w:r>
    </w:p>
    <w:p w:rsidR="0083377F" w:rsidRPr="00966A75" w:rsidRDefault="0083377F" w:rsidP="00EC0606">
      <w:pPr>
        <w:numPr>
          <w:ilvl w:val="0"/>
          <w:numId w:val="20"/>
        </w:numPr>
        <w:tabs>
          <w:tab w:val="clear" w:pos="720"/>
        </w:tabs>
        <w:ind w:left="1077" w:hanging="357"/>
        <w:rPr>
          <w:rFonts w:cs="Arial"/>
          <w:bCs/>
        </w:rPr>
      </w:pPr>
      <w:r w:rsidRPr="00966A75">
        <w:rPr>
          <w:rFonts w:cs="Arial"/>
          <w:bCs/>
        </w:rPr>
        <w:t xml:space="preserve">Attended the </w:t>
      </w:r>
      <w:r w:rsidR="00E55674">
        <w:rPr>
          <w:rFonts w:cs="Arial"/>
          <w:bCs/>
        </w:rPr>
        <w:t>I</w:t>
      </w:r>
      <w:r w:rsidRPr="00966A75">
        <w:rPr>
          <w:rFonts w:cs="Arial"/>
          <w:bCs/>
        </w:rPr>
        <w:t xml:space="preserve">nitial </w:t>
      </w:r>
      <w:r w:rsidR="00E55674">
        <w:rPr>
          <w:rFonts w:cs="Arial"/>
          <w:bCs/>
        </w:rPr>
        <w:t>A</w:t>
      </w:r>
      <w:r w:rsidRPr="00966A75">
        <w:rPr>
          <w:rFonts w:cs="Arial"/>
          <w:bCs/>
        </w:rPr>
        <w:t xml:space="preserve">ssessment meeting and been accepted onto the NEA </w:t>
      </w:r>
      <w:r>
        <w:rPr>
          <w:rFonts w:cs="Arial"/>
          <w:lang w:eastAsia="en-GB"/>
        </w:rPr>
        <w:t xml:space="preserve">Phase 2 </w:t>
      </w:r>
      <w:r w:rsidR="00271FD0">
        <w:rPr>
          <w:rFonts w:cs="Arial"/>
          <w:lang w:eastAsia="en-GB"/>
        </w:rPr>
        <w:t>programme</w:t>
      </w:r>
      <w:r w:rsidRPr="00966A75">
        <w:rPr>
          <w:rFonts w:cs="Arial"/>
          <w:bCs/>
        </w:rPr>
        <w:t xml:space="preserve"> by the Provider.</w:t>
      </w:r>
    </w:p>
    <w:p w:rsidR="0083377F" w:rsidRPr="00966A75" w:rsidRDefault="0083377F" w:rsidP="00EC0606">
      <w:pPr>
        <w:numPr>
          <w:ilvl w:val="0"/>
          <w:numId w:val="20"/>
        </w:numPr>
        <w:tabs>
          <w:tab w:val="clear" w:pos="720"/>
        </w:tabs>
        <w:spacing w:after="240"/>
        <w:ind w:left="1080"/>
        <w:rPr>
          <w:rFonts w:cs="Arial"/>
          <w:bCs/>
        </w:rPr>
      </w:pPr>
      <w:r w:rsidRPr="00966A75">
        <w:rPr>
          <w:rFonts w:cs="Arial"/>
          <w:bCs/>
        </w:rPr>
        <w:t xml:space="preserve">Undertaken the </w:t>
      </w:r>
      <w:r w:rsidR="00E55674">
        <w:rPr>
          <w:rFonts w:cs="Arial"/>
          <w:bCs/>
        </w:rPr>
        <w:t>Mentoring Phase</w:t>
      </w:r>
      <w:r w:rsidRPr="00966A75">
        <w:rPr>
          <w:rFonts w:cs="Arial"/>
          <w:bCs/>
        </w:rPr>
        <w:t xml:space="preserve"> of the NEA </w:t>
      </w:r>
      <w:r>
        <w:rPr>
          <w:rFonts w:cs="Arial"/>
          <w:lang w:eastAsia="en-GB"/>
        </w:rPr>
        <w:t xml:space="preserve">Phase 2 </w:t>
      </w:r>
      <w:r w:rsidRPr="00966A75">
        <w:rPr>
          <w:rFonts w:cs="Arial"/>
          <w:bCs/>
        </w:rPr>
        <w:t xml:space="preserve">and worked with the Business Mentor or Advisor assigned by the Provider; prepared a </w:t>
      </w:r>
      <w:r>
        <w:rPr>
          <w:rFonts w:cs="Arial"/>
          <w:bCs/>
        </w:rPr>
        <w:t>B</w:t>
      </w:r>
      <w:r w:rsidRPr="00966A75">
        <w:rPr>
          <w:rFonts w:cs="Arial"/>
          <w:bCs/>
        </w:rPr>
        <w:t xml:space="preserve">usiness </w:t>
      </w:r>
      <w:r>
        <w:rPr>
          <w:rFonts w:cs="Arial"/>
          <w:bCs/>
        </w:rPr>
        <w:t>Development and Growth P</w:t>
      </w:r>
      <w:r w:rsidRPr="00966A75">
        <w:rPr>
          <w:rFonts w:cs="Arial"/>
          <w:bCs/>
        </w:rPr>
        <w:t>lan and had this assessed by the Provider.</w:t>
      </w:r>
    </w:p>
    <w:p w:rsidR="0083377F" w:rsidRPr="00005AB1" w:rsidRDefault="00005AB1" w:rsidP="00005AB1">
      <w:pPr>
        <w:spacing w:after="240"/>
        <w:rPr>
          <w:rFonts w:cs="Arial"/>
        </w:rPr>
      </w:pPr>
      <w:r w:rsidRPr="00005AB1">
        <w:rPr>
          <w:rFonts w:cs="Arial"/>
          <w:b/>
        </w:rPr>
        <w:t xml:space="preserve">Completion of </w:t>
      </w:r>
      <w:r w:rsidR="00B920BA">
        <w:rPr>
          <w:rFonts w:cs="Arial"/>
          <w:b/>
        </w:rPr>
        <w:t xml:space="preserve">0 - </w:t>
      </w:r>
      <w:r w:rsidR="00C36093">
        <w:rPr>
          <w:rFonts w:cs="Arial"/>
          <w:b/>
        </w:rPr>
        <w:t xml:space="preserve">6 months </w:t>
      </w:r>
      <w:r w:rsidR="00B920BA">
        <w:rPr>
          <w:rFonts w:cs="Arial"/>
          <w:b/>
        </w:rPr>
        <w:t>increased earnings fee</w:t>
      </w:r>
      <w:r w:rsidRPr="00005AB1">
        <w:rPr>
          <w:rFonts w:cs="Arial"/>
          <w:b/>
        </w:rPr>
        <w:t>:</w:t>
      </w:r>
    </w:p>
    <w:p w:rsidR="007113B0" w:rsidRPr="00271FD0" w:rsidRDefault="007113B0" w:rsidP="00005AB1">
      <w:pPr>
        <w:numPr>
          <w:ilvl w:val="1"/>
          <w:numId w:val="12"/>
        </w:numPr>
        <w:tabs>
          <w:tab w:val="clear" w:pos="465"/>
          <w:tab w:val="num" w:pos="709"/>
        </w:tabs>
        <w:spacing w:after="240"/>
        <w:ind w:left="709" w:hanging="709"/>
        <w:rPr>
          <w:rFonts w:cs="Arial"/>
          <w:b/>
        </w:rPr>
      </w:pPr>
      <w:r w:rsidRPr="00271FD0">
        <w:rPr>
          <w:rFonts w:cs="Arial"/>
        </w:rPr>
        <w:t xml:space="preserve">Providers will be eligible to claim a Completion of </w:t>
      </w:r>
      <w:r w:rsidR="00C36093">
        <w:rPr>
          <w:rFonts w:cs="Arial"/>
        </w:rPr>
        <w:t>6 months</w:t>
      </w:r>
      <w:r w:rsidRPr="00271FD0">
        <w:rPr>
          <w:rFonts w:cs="Arial"/>
        </w:rPr>
        <w:t xml:space="preserve"> of increased earnings fee where a UC claimant with an existing business has </w:t>
      </w:r>
      <w:r w:rsidR="003C367F" w:rsidRPr="00271FD0">
        <w:rPr>
          <w:rFonts w:cs="Arial"/>
        </w:rPr>
        <w:t xml:space="preserve">achieved an increase in earnings to the average </w:t>
      </w:r>
      <w:r w:rsidR="001461A4" w:rsidRPr="00271FD0">
        <w:rPr>
          <w:rFonts w:cs="Arial"/>
        </w:rPr>
        <w:t xml:space="preserve">of </w:t>
      </w:r>
      <w:r w:rsidR="003C367F" w:rsidRPr="00271FD0">
        <w:rPr>
          <w:rFonts w:cs="Arial"/>
        </w:rPr>
        <w:t>at least their Minimum Income Floor level</w:t>
      </w:r>
      <w:r w:rsidRPr="00271FD0">
        <w:rPr>
          <w:rFonts w:cs="Arial"/>
        </w:rPr>
        <w:t xml:space="preserve"> </w:t>
      </w:r>
      <w:r w:rsidR="003C367F" w:rsidRPr="00271FD0">
        <w:rPr>
          <w:rFonts w:cs="Arial"/>
        </w:rPr>
        <w:t xml:space="preserve">over the </w:t>
      </w:r>
      <w:r w:rsidR="00C36093">
        <w:rPr>
          <w:rFonts w:cs="Arial"/>
        </w:rPr>
        <w:t>6 months</w:t>
      </w:r>
      <w:r w:rsidR="006339F2">
        <w:rPr>
          <w:rFonts w:cs="Arial"/>
        </w:rPr>
        <w:t xml:space="preserve"> </w:t>
      </w:r>
      <w:r w:rsidRPr="00271FD0">
        <w:rPr>
          <w:rFonts w:cs="Arial"/>
        </w:rPr>
        <w:t xml:space="preserve">following the signoff of the Business </w:t>
      </w:r>
      <w:r w:rsidR="001E1B68" w:rsidRPr="00271FD0">
        <w:rPr>
          <w:rFonts w:cs="Arial"/>
        </w:rPr>
        <w:t xml:space="preserve">Development </w:t>
      </w:r>
      <w:r w:rsidR="001E1B68">
        <w:rPr>
          <w:rFonts w:cs="Arial"/>
        </w:rPr>
        <w:t xml:space="preserve">and </w:t>
      </w:r>
      <w:r w:rsidRPr="00271FD0">
        <w:rPr>
          <w:rFonts w:cs="Arial"/>
        </w:rPr>
        <w:t>Growth Plan</w:t>
      </w:r>
      <w:r w:rsidR="003C367F" w:rsidRPr="00271FD0">
        <w:rPr>
          <w:rFonts w:cs="Arial"/>
        </w:rPr>
        <w:t>.</w:t>
      </w:r>
    </w:p>
    <w:p w:rsidR="00E410E6" w:rsidRPr="00094558" w:rsidRDefault="00E410E6" w:rsidP="00EC0606">
      <w:pPr>
        <w:numPr>
          <w:ilvl w:val="1"/>
          <w:numId w:val="12"/>
        </w:numPr>
        <w:tabs>
          <w:tab w:val="clear" w:pos="465"/>
          <w:tab w:val="num" w:pos="709"/>
        </w:tabs>
        <w:spacing w:after="240"/>
        <w:ind w:left="709" w:hanging="709"/>
        <w:rPr>
          <w:rFonts w:cs="Arial"/>
          <w:b/>
        </w:rPr>
      </w:pPr>
      <w:r w:rsidRPr="00966A75">
        <w:rPr>
          <w:rFonts w:cs="Arial"/>
        </w:rPr>
        <w:t xml:space="preserve">Contract values </w:t>
      </w:r>
      <w:r w:rsidR="002963AD">
        <w:rPr>
          <w:rFonts w:cs="Arial"/>
        </w:rPr>
        <w:t>will be</w:t>
      </w:r>
      <w:r w:rsidRPr="00966A75">
        <w:rPr>
          <w:rFonts w:cs="Arial"/>
        </w:rPr>
        <w:t xml:space="preserve"> fixed and further information in relation to indicative volumes and </w:t>
      </w:r>
      <w:r w:rsidR="002963AD">
        <w:rPr>
          <w:rFonts w:cs="Arial"/>
        </w:rPr>
        <w:t xml:space="preserve">indicative </w:t>
      </w:r>
      <w:r w:rsidRPr="00966A75">
        <w:rPr>
          <w:rFonts w:cs="Arial"/>
        </w:rPr>
        <w:t xml:space="preserve">budget is provided in </w:t>
      </w:r>
      <w:hyperlink w:anchor="_CONTRACT_PACKAGES,_INDICATIVE" w:history="1">
        <w:r w:rsidRPr="00966A75">
          <w:rPr>
            <w:rStyle w:val="Hyperlink"/>
            <w:rFonts w:cs="Arial"/>
            <w:color w:val="auto"/>
          </w:rPr>
          <w:t xml:space="preserve">Annex </w:t>
        </w:r>
      </w:hyperlink>
      <w:r w:rsidR="00194871">
        <w:rPr>
          <w:rStyle w:val="Hyperlink"/>
          <w:rFonts w:cs="Arial"/>
          <w:color w:val="auto"/>
        </w:rPr>
        <w:t>2</w:t>
      </w:r>
      <w:r w:rsidRPr="00966A75">
        <w:rPr>
          <w:rFonts w:cs="Arial"/>
        </w:rPr>
        <w:t xml:space="preserve">. Information in relation to </w:t>
      </w:r>
      <w:r w:rsidRPr="00966A75">
        <w:rPr>
          <w:rFonts w:cs="Arial"/>
          <w:lang w:eastAsia="en-GB"/>
        </w:rPr>
        <w:t>the tender evaluation process is outlined in the Instructions to Potential Suppliers.</w:t>
      </w:r>
    </w:p>
    <w:p w:rsidR="00003FA5" w:rsidRDefault="0000248D" w:rsidP="0000248D">
      <w:pPr>
        <w:spacing w:after="240"/>
        <w:ind w:left="465" w:firstLine="244"/>
        <w:rPr>
          <w:rFonts w:cs="Arial"/>
        </w:rPr>
      </w:pPr>
      <w:r w:rsidRPr="0000248D">
        <w:rPr>
          <w:rFonts w:cs="Arial"/>
        </w:rPr>
        <w:t xml:space="preserve">For further information regarding definitions please see Annex </w:t>
      </w:r>
      <w:r w:rsidR="00553D30">
        <w:rPr>
          <w:rFonts w:cs="Arial"/>
        </w:rPr>
        <w:t>3</w:t>
      </w:r>
      <w:r w:rsidRPr="0000248D">
        <w:rPr>
          <w:rFonts w:cs="Arial"/>
        </w:rPr>
        <w:t xml:space="preserve"> - Definitions.</w:t>
      </w:r>
    </w:p>
    <w:p w:rsidR="00AC1151" w:rsidRDefault="00AC1151" w:rsidP="0000248D">
      <w:pPr>
        <w:spacing w:after="240"/>
        <w:ind w:left="465" w:firstLine="244"/>
        <w:rPr>
          <w:rFonts w:cs="Arial"/>
        </w:rPr>
      </w:pPr>
    </w:p>
    <w:p w:rsidR="0000248D" w:rsidRDefault="0000248D" w:rsidP="0000248D">
      <w:pPr>
        <w:autoSpaceDE w:val="0"/>
        <w:autoSpaceDN w:val="0"/>
        <w:adjustRightInd w:val="0"/>
        <w:spacing w:after="240"/>
        <w:jc w:val="both"/>
        <w:rPr>
          <w:rFonts w:cs="Arial"/>
          <w:b/>
          <w:bCs/>
          <w:color w:val="FF0000"/>
        </w:rPr>
      </w:pPr>
      <w:r w:rsidRPr="00966A75">
        <w:rPr>
          <w:rFonts w:cs="Arial"/>
          <w:b/>
          <w:bCs/>
        </w:rPr>
        <w:t>Minimum Performance Levels</w:t>
      </w:r>
      <w:r w:rsidR="00BE6CE6">
        <w:rPr>
          <w:rFonts w:cs="Arial"/>
          <w:b/>
          <w:bCs/>
        </w:rPr>
        <w:t xml:space="preserve"> </w:t>
      </w:r>
    </w:p>
    <w:p w:rsidR="00B920BA" w:rsidRPr="00B920BA" w:rsidRDefault="00B920BA" w:rsidP="0000248D">
      <w:pPr>
        <w:autoSpaceDE w:val="0"/>
        <w:autoSpaceDN w:val="0"/>
        <w:adjustRightInd w:val="0"/>
        <w:spacing w:after="240"/>
        <w:jc w:val="both"/>
        <w:rPr>
          <w:rFonts w:cs="Arial"/>
          <w:b/>
          <w:bCs/>
        </w:rPr>
      </w:pPr>
      <w:r w:rsidRPr="00B920BA">
        <w:rPr>
          <w:rFonts w:cs="Arial"/>
          <w:b/>
          <w:bCs/>
        </w:rPr>
        <w:t>New Business Start ups</w:t>
      </w:r>
    </w:p>
    <w:p w:rsidR="005C2024" w:rsidRPr="005F0353" w:rsidRDefault="005C2024" w:rsidP="002F0A04">
      <w:pPr>
        <w:pStyle w:val="ListParagraph"/>
        <w:numPr>
          <w:ilvl w:val="1"/>
          <w:numId w:val="12"/>
        </w:numPr>
        <w:tabs>
          <w:tab w:val="clear" w:pos="465"/>
          <w:tab w:val="num" w:pos="709"/>
        </w:tabs>
        <w:ind w:left="709" w:hanging="709"/>
        <w:rPr>
          <w:rFonts w:cs="Arial"/>
        </w:rPr>
      </w:pPr>
      <w:r w:rsidRPr="005F0353">
        <w:rPr>
          <w:rFonts w:cs="Arial"/>
        </w:rPr>
        <w:t xml:space="preserve">Following attendance at a Link Up : Start Up workshop and subsequent referral to NEA mentoring, 100% of Initial Assessments will be held within 10 working days of the referral date and the outcome (start, DNA or DNS) will be recorded in </w:t>
      </w:r>
      <w:proofErr w:type="spellStart"/>
      <w:r w:rsidRPr="005F0353">
        <w:rPr>
          <w:rFonts w:cs="Arial"/>
        </w:rPr>
        <w:t>PRaP</w:t>
      </w:r>
      <w:proofErr w:type="spellEnd"/>
      <w:r w:rsidRPr="005F0353">
        <w:rPr>
          <w:rFonts w:cs="Arial"/>
        </w:rPr>
        <w:t xml:space="preserve"> within 15 working days for each monthly referral cohort;  </w:t>
      </w:r>
    </w:p>
    <w:p w:rsidR="005C2024" w:rsidRDefault="005C2024" w:rsidP="005C2024">
      <w:pPr>
        <w:pStyle w:val="ListParagraph"/>
        <w:ind w:left="465"/>
        <w:rPr>
          <w:rFonts w:cs="Arial"/>
        </w:rPr>
      </w:pPr>
    </w:p>
    <w:p w:rsidR="005C2024" w:rsidRPr="002B3C82" w:rsidRDefault="003E249C" w:rsidP="003E249C">
      <w:pPr>
        <w:pStyle w:val="ListParagraph"/>
        <w:numPr>
          <w:ilvl w:val="1"/>
          <w:numId w:val="12"/>
        </w:numPr>
        <w:ind w:left="709" w:hanging="709"/>
        <w:rPr>
          <w:rFonts w:cs="Arial"/>
          <w:b/>
        </w:rPr>
      </w:pPr>
      <w:r w:rsidRPr="002B3C82">
        <w:rPr>
          <w:rFonts w:cs="Arial"/>
          <w:b/>
        </w:rPr>
        <w:t xml:space="preserve">After attendance at a Link </w:t>
      </w:r>
      <w:proofErr w:type="gramStart"/>
      <w:r w:rsidRPr="002B3C82">
        <w:rPr>
          <w:rFonts w:cs="Arial"/>
          <w:b/>
        </w:rPr>
        <w:t>Up :</w:t>
      </w:r>
      <w:proofErr w:type="gramEnd"/>
      <w:r w:rsidRPr="002B3C82">
        <w:rPr>
          <w:rFonts w:cs="Arial"/>
          <w:b/>
        </w:rPr>
        <w:t xml:space="preserve"> Start Up workshop all claimants/customers who want to continue to pursue S/E will be referred for initial assessment. A minimum of 85% of these </w:t>
      </w:r>
      <w:r w:rsidR="00277211" w:rsidRPr="002B3C82">
        <w:rPr>
          <w:rFonts w:cs="Arial"/>
          <w:b/>
        </w:rPr>
        <w:t xml:space="preserve">initial assessment </w:t>
      </w:r>
      <w:r w:rsidRPr="002B3C82">
        <w:rPr>
          <w:rFonts w:cs="Arial"/>
          <w:b/>
        </w:rPr>
        <w:t>referrals should start the programme.</w:t>
      </w:r>
    </w:p>
    <w:p w:rsidR="002F0A04" w:rsidRPr="002F0A04" w:rsidRDefault="002F0A04" w:rsidP="002F0A04">
      <w:pPr>
        <w:pStyle w:val="ListParagraph"/>
        <w:rPr>
          <w:rFonts w:cs="Arial"/>
        </w:rPr>
      </w:pPr>
    </w:p>
    <w:p w:rsidR="002F0A04" w:rsidRPr="002F0A04" w:rsidRDefault="002F0A04" w:rsidP="00CF751E">
      <w:pPr>
        <w:pStyle w:val="ListParagraph"/>
        <w:numPr>
          <w:ilvl w:val="1"/>
          <w:numId w:val="12"/>
        </w:numPr>
        <w:tabs>
          <w:tab w:val="clear" w:pos="465"/>
          <w:tab w:val="num" w:pos="709"/>
        </w:tabs>
        <w:ind w:left="709" w:hanging="709"/>
        <w:rPr>
          <w:rFonts w:cs="Arial"/>
        </w:rPr>
      </w:pPr>
      <w:r w:rsidRPr="002F0A04">
        <w:rPr>
          <w:rFonts w:cs="Arial"/>
        </w:rPr>
        <w:t>Following attendance at a Link Up : Start Up workshop and subsequent referral to start NEA no more than 4% of referrals  will be in backlog;</w:t>
      </w:r>
    </w:p>
    <w:p w:rsidR="00385952" w:rsidRDefault="00385952" w:rsidP="00385952">
      <w:pPr>
        <w:pStyle w:val="ListParagraph"/>
        <w:ind w:left="465"/>
        <w:rPr>
          <w:rFonts w:cs="Arial"/>
        </w:rPr>
      </w:pPr>
    </w:p>
    <w:p w:rsidR="005C2024" w:rsidRDefault="005C2024" w:rsidP="00CF751E">
      <w:pPr>
        <w:pStyle w:val="ListParagraph"/>
        <w:numPr>
          <w:ilvl w:val="1"/>
          <w:numId w:val="12"/>
        </w:numPr>
        <w:tabs>
          <w:tab w:val="clear" w:pos="465"/>
          <w:tab w:val="num" w:pos="709"/>
        </w:tabs>
        <w:ind w:left="709" w:hanging="709"/>
        <w:rPr>
          <w:rFonts w:cs="Arial"/>
        </w:rPr>
      </w:pPr>
      <w:r w:rsidRPr="005C2024">
        <w:rPr>
          <w:rFonts w:cs="Arial"/>
        </w:rPr>
        <w:t>Following attendance at a Link Up : Start Up workshop and subsequent referral to start NEA, 0% of referrals will be in backlog for over 25 working days from the date of referral;</w:t>
      </w:r>
    </w:p>
    <w:p w:rsidR="005C2024" w:rsidRPr="005C2024" w:rsidRDefault="005C2024" w:rsidP="002F0A04">
      <w:pPr>
        <w:pStyle w:val="ListParagraph"/>
        <w:ind w:left="465"/>
        <w:rPr>
          <w:rFonts w:cs="Arial"/>
        </w:rPr>
      </w:pPr>
    </w:p>
    <w:p w:rsidR="005C2024" w:rsidRDefault="005C2024" w:rsidP="003B041E">
      <w:pPr>
        <w:pStyle w:val="ListParagraph"/>
        <w:numPr>
          <w:ilvl w:val="1"/>
          <w:numId w:val="12"/>
        </w:numPr>
        <w:tabs>
          <w:tab w:val="clear" w:pos="465"/>
          <w:tab w:val="num" w:pos="709"/>
        </w:tabs>
        <w:ind w:left="709" w:hanging="709"/>
        <w:rPr>
          <w:rFonts w:cs="Arial"/>
        </w:rPr>
      </w:pPr>
      <w:r w:rsidRPr="005C2024">
        <w:rPr>
          <w:rFonts w:cs="Arial"/>
        </w:rPr>
        <w:t>X% of Participant starts will commence trading. This will be the contractor specified expected ‘trading starts’ rate as part of the tender; these are expressed as a single percentage for each monthly cohort of Participant starts. Each monthly cohort will have been profiled by the contractor and each cohort profile is a Minimum Performance Level;</w:t>
      </w:r>
    </w:p>
    <w:p w:rsidR="002F0A04" w:rsidRPr="005C2024" w:rsidRDefault="002F0A04" w:rsidP="002F0A04">
      <w:pPr>
        <w:pStyle w:val="ListParagraph"/>
        <w:ind w:left="465"/>
        <w:rPr>
          <w:rFonts w:cs="Arial"/>
        </w:rPr>
      </w:pPr>
    </w:p>
    <w:p w:rsidR="002F0A04" w:rsidRDefault="002F0A04" w:rsidP="002F0A04">
      <w:pPr>
        <w:pStyle w:val="ListParagraph"/>
        <w:numPr>
          <w:ilvl w:val="1"/>
          <w:numId w:val="12"/>
        </w:numPr>
        <w:rPr>
          <w:rFonts w:cs="Arial"/>
        </w:rPr>
      </w:pPr>
      <w:r w:rsidRPr="002F0A04">
        <w:rPr>
          <w:rFonts w:cs="Arial"/>
        </w:rPr>
        <w:t xml:space="preserve">‘Trading starts’ will </w:t>
      </w:r>
      <w:r w:rsidR="00031ADF">
        <w:rPr>
          <w:rFonts w:cs="Arial"/>
        </w:rPr>
        <w:t xml:space="preserve">always </w:t>
      </w:r>
      <w:r w:rsidRPr="002F0A04">
        <w:rPr>
          <w:rFonts w:cs="Arial"/>
        </w:rPr>
        <w:t>be 100% of the cumulative profiled cohort expectation;</w:t>
      </w:r>
    </w:p>
    <w:p w:rsidR="002F0A04" w:rsidRPr="002F0A04" w:rsidRDefault="002F0A04" w:rsidP="002F0A04">
      <w:pPr>
        <w:pStyle w:val="ListParagraph"/>
        <w:rPr>
          <w:rFonts w:cs="Arial"/>
        </w:rPr>
      </w:pPr>
    </w:p>
    <w:p w:rsidR="002F0A04" w:rsidRPr="002F0A04" w:rsidRDefault="002F0A04" w:rsidP="002F0A04">
      <w:pPr>
        <w:pStyle w:val="ListParagraph"/>
        <w:ind w:left="465"/>
        <w:rPr>
          <w:rFonts w:cs="Arial"/>
        </w:rPr>
      </w:pPr>
      <w:r w:rsidRPr="002F0A04">
        <w:rPr>
          <w:rFonts w:cs="Arial"/>
        </w:rPr>
        <w:t xml:space="preserve"> </w:t>
      </w:r>
    </w:p>
    <w:p w:rsidR="002F0A04" w:rsidRDefault="002F0A04" w:rsidP="00594362">
      <w:pPr>
        <w:pStyle w:val="ListParagraph"/>
        <w:numPr>
          <w:ilvl w:val="1"/>
          <w:numId w:val="12"/>
        </w:numPr>
        <w:tabs>
          <w:tab w:val="clear" w:pos="465"/>
          <w:tab w:val="num" w:pos="709"/>
        </w:tabs>
        <w:ind w:left="709" w:hanging="709"/>
        <w:rPr>
          <w:rFonts w:cs="Arial"/>
        </w:rPr>
      </w:pPr>
      <w:r w:rsidRPr="002F0A04">
        <w:rPr>
          <w:rFonts w:cs="Arial"/>
        </w:rPr>
        <w:t>X% of Participant starts will reach 26 weeks trading.  This will be the contractor specified ’26 weeks trading’ rate as part of their tender; these are expressed as a single percentage for each monthly cohort of Participant starts. Each cohort will have been profiled by the contractor and each cohort profile is a Minimum Performance Level;</w:t>
      </w:r>
    </w:p>
    <w:p w:rsidR="002F0A04" w:rsidRPr="002F0A04" w:rsidRDefault="002F0A04" w:rsidP="002F0A04">
      <w:pPr>
        <w:pStyle w:val="ListParagraph"/>
        <w:ind w:left="465"/>
        <w:rPr>
          <w:rFonts w:cs="Arial"/>
        </w:rPr>
      </w:pPr>
    </w:p>
    <w:p w:rsidR="002F0A04" w:rsidRDefault="002F0A04" w:rsidP="00594362">
      <w:pPr>
        <w:pStyle w:val="ListParagraph"/>
        <w:numPr>
          <w:ilvl w:val="1"/>
          <w:numId w:val="12"/>
        </w:numPr>
        <w:tabs>
          <w:tab w:val="clear" w:pos="465"/>
          <w:tab w:val="num" w:pos="709"/>
        </w:tabs>
        <w:ind w:left="709" w:hanging="709"/>
        <w:rPr>
          <w:rFonts w:cs="Arial"/>
        </w:rPr>
      </w:pPr>
      <w:r w:rsidRPr="002F0A04">
        <w:rPr>
          <w:rFonts w:cs="Arial"/>
        </w:rPr>
        <w:t>X% of Participant starts will reach 52 weeks trading.  This will be the contractor specified ’52 weeks trading’ rate as part of their tender; these are expressed as a single percentage for each monthly cohort of Participant starts. Each cohort will have been profiled by the contractor and each cohort profile is a Minimum Performance Level;</w:t>
      </w:r>
    </w:p>
    <w:p w:rsidR="002F0A04" w:rsidRPr="002F0A04" w:rsidRDefault="002F0A04" w:rsidP="002F0A04">
      <w:pPr>
        <w:pStyle w:val="ListParagraph"/>
        <w:rPr>
          <w:rFonts w:cs="Arial"/>
        </w:rPr>
      </w:pPr>
    </w:p>
    <w:p w:rsidR="002F0A04" w:rsidRPr="002F0A04" w:rsidRDefault="002F0A04" w:rsidP="002F0A04">
      <w:pPr>
        <w:pStyle w:val="ListParagraph"/>
        <w:ind w:left="465"/>
        <w:rPr>
          <w:rFonts w:cs="Arial"/>
        </w:rPr>
      </w:pPr>
    </w:p>
    <w:p w:rsidR="002F0A04" w:rsidRDefault="002F0A04" w:rsidP="00594362">
      <w:pPr>
        <w:pStyle w:val="ListParagraph"/>
        <w:numPr>
          <w:ilvl w:val="1"/>
          <w:numId w:val="12"/>
        </w:numPr>
        <w:tabs>
          <w:tab w:val="clear" w:pos="465"/>
          <w:tab w:val="num" w:pos="709"/>
        </w:tabs>
        <w:ind w:left="709" w:hanging="709"/>
        <w:rPr>
          <w:rFonts w:cs="Arial"/>
        </w:rPr>
      </w:pPr>
      <w:r w:rsidRPr="002F0A04">
        <w:rPr>
          <w:rFonts w:cs="Arial"/>
        </w:rPr>
        <w:t xml:space="preserve">26-week and 52-week Trading outcomes will </w:t>
      </w:r>
      <w:r w:rsidR="00031ADF">
        <w:rPr>
          <w:rFonts w:cs="Arial"/>
        </w:rPr>
        <w:t xml:space="preserve">always </w:t>
      </w:r>
      <w:r w:rsidRPr="002F0A04">
        <w:rPr>
          <w:rFonts w:cs="Arial"/>
        </w:rPr>
        <w:t xml:space="preserve">be 100% of the cumulative profiled cohort expectation; </w:t>
      </w:r>
    </w:p>
    <w:p w:rsidR="002F0A04" w:rsidRPr="002F0A04" w:rsidRDefault="002F0A04" w:rsidP="002F0A04">
      <w:pPr>
        <w:pStyle w:val="ListParagraph"/>
        <w:ind w:left="465"/>
        <w:rPr>
          <w:rFonts w:cs="Arial"/>
        </w:rPr>
      </w:pPr>
    </w:p>
    <w:p w:rsidR="002F0A04" w:rsidRPr="002F0A04" w:rsidRDefault="002F0A04" w:rsidP="00594362">
      <w:pPr>
        <w:pStyle w:val="ListParagraph"/>
        <w:numPr>
          <w:ilvl w:val="1"/>
          <w:numId w:val="12"/>
        </w:numPr>
        <w:tabs>
          <w:tab w:val="clear" w:pos="465"/>
          <w:tab w:val="num" w:pos="709"/>
        </w:tabs>
        <w:ind w:left="709" w:hanging="709"/>
        <w:rPr>
          <w:rFonts w:cs="Arial"/>
        </w:rPr>
      </w:pPr>
      <w:r w:rsidRPr="002F0A04">
        <w:rPr>
          <w:rFonts w:cs="Arial"/>
        </w:rPr>
        <w:t xml:space="preserve">All ‘trading start’, 26 and 52 weeks trading outcome performance measures will be measured both on an in-month basis and a cumulative basis from day one of the contract; </w:t>
      </w:r>
    </w:p>
    <w:p w:rsidR="00385952" w:rsidRPr="00385952" w:rsidRDefault="00385952" w:rsidP="002F0A04">
      <w:pPr>
        <w:pStyle w:val="ListParagraph"/>
        <w:ind w:left="709"/>
        <w:rPr>
          <w:rFonts w:cs="Arial"/>
        </w:rPr>
      </w:pPr>
    </w:p>
    <w:p w:rsidR="00574AFE" w:rsidRDefault="00574AFE" w:rsidP="00574AFE">
      <w:pPr>
        <w:pStyle w:val="ListParagraph"/>
        <w:ind w:left="465"/>
        <w:rPr>
          <w:rFonts w:cs="Arial"/>
        </w:rPr>
      </w:pPr>
    </w:p>
    <w:p w:rsidR="0000248D" w:rsidRPr="0000248D" w:rsidRDefault="0000248D" w:rsidP="0000248D">
      <w:pPr>
        <w:rPr>
          <w:rFonts w:cs="Arial"/>
          <w:b/>
          <w:bCs/>
        </w:rPr>
      </w:pPr>
      <w:r w:rsidRPr="0000248D">
        <w:rPr>
          <w:rFonts w:cs="Arial"/>
          <w:b/>
          <w:bCs/>
        </w:rPr>
        <w:t>Validation</w:t>
      </w:r>
    </w:p>
    <w:p w:rsidR="0000248D" w:rsidRDefault="0000248D" w:rsidP="0000248D">
      <w:pPr>
        <w:pStyle w:val="ListParagraph"/>
        <w:rPr>
          <w:rFonts w:cs="Arial"/>
        </w:rPr>
      </w:pPr>
    </w:p>
    <w:p w:rsidR="0000248D" w:rsidRPr="00271FD0" w:rsidRDefault="007F3368" w:rsidP="00EC0606">
      <w:pPr>
        <w:numPr>
          <w:ilvl w:val="1"/>
          <w:numId w:val="12"/>
        </w:numPr>
        <w:tabs>
          <w:tab w:val="clear" w:pos="465"/>
          <w:tab w:val="num" w:pos="709"/>
        </w:tabs>
        <w:spacing w:after="240"/>
        <w:ind w:left="709" w:hanging="709"/>
        <w:rPr>
          <w:rFonts w:cs="Arial"/>
        </w:rPr>
      </w:pPr>
      <w:r w:rsidRPr="00271FD0">
        <w:rPr>
          <w:rFonts w:cs="Arial"/>
        </w:rPr>
        <w:t>DWP (or its representative) will validate payments on a regular basis by conducting a series of pre and post payment checks</w:t>
      </w:r>
      <w:r w:rsidR="009F4B89">
        <w:rPr>
          <w:rFonts w:cs="Arial"/>
        </w:rPr>
        <w:t xml:space="preserve"> using independent evidence (DWP / HMRC systems and/ or directly</w:t>
      </w:r>
      <w:r w:rsidR="00031ADF">
        <w:rPr>
          <w:rFonts w:cs="Arial"/>
        </w:rPr>
        <w:t xml:space="preserve"> </w:t>
      </w:r>
      <w:r w:rsidR="009F4B89">
        <w:rPr>
          <w:rFonts w:cs="Arial"/>
        </w:rPr>
        <w:t>from the participant)</w:t>
      </w:r>
      <w:r w:rsidRPr="00271FD0">
        <w:rPr>
          <w:rFonts w:cs="Arial"/>
        </w:rPr>
        <w:t>.</w:t>
      </w:r>
    </w:p>
    <w:p w:rsidR="0000248D" w:rsidRDefault="007F3368" w:rsidP="007F3368">
      <w:pPr>
        <w:spacing w:after="240"/>
        <w:ind w:left="709"/>
        <w:rPr>
          <w:rFonts w:cs="Arial"/>
          <w:i/>
        </w:rPr>
      </w:pPr>
      <w:r w:rsidRPr="007F3368">
        <w:rPr>
          <w:rFonts w:cs="Arial"/>
          <w:i/>
        </w:rPr>
        <w:t xml:space="preserve">For further information please see </w:t>
      </w:r>
      <w:r w:rsidRPr="007F3368">
        <w:rPr>
          <w:rFonts w:cs="Arial"/>
          <w:i/>
          <w:u w:val="single"/>
        </w:rPr>
        <w:t xml:space="preserve">Annex </w:t>
      </w:r>
      <w:r w:rsidR="00C3504C">
        <w:rPr>
          <w:rFonts w:cs="Arial"/>
          <w:i/>
          <w:u w:val="single"/>
        </w:rPr>
        <w:t xml:space="preserve">5 – Additional </w:t>
      </w:r>
      <w:r w:rsidRPr="007F3368">
        <w:rPr>
          <w:rFonts w:cs="Arial"/>
          <w:i/>
          <w:u w:val="single"/>
        </w:rPr>
        <w:t>Information</w:t>
      </w:r>
      <w:r w:rsidRPr="007F3368">
        <w:rPr>
          <w:rFonts w:cs="Arial"/>
          <w:i/>
        </w:rPr>
        <w:t>.</w:t>
      </w:r>
    </w:p>
    <w:p w:rsidR="007F3368" w:rsidRPr="00340F35" w:rsidRDefault="007F3368" w:rsidP="007F3368">
      <w:pPr>
        <w:spacing w:after="240"/>
        <w:rPr>
          <w:b/>
          <w:bCs/>
          <w:color w:val="FF0000"/>
        </w:rPr>
      </w:pPr>
      <w:r w:rsidRPr="007764B2">
        <w:rPr>
          <w:b/>
          <w:bCs/>
        </w:rPr>
        <w:t>Payments to Suppliers</w:t>
      </w:r>
      <w:r w:rsidRPr="00966A75">
        <w:rPr>
          <w:b/>
          <w:bCs/>
        </w:rPr>
        <w:t xml:space="preserve"> </w:t>
      </w:r>
    </w:p>
    <w:p w:rsidR="00CF1025" w:rsidRPr="007764B2" w:rsidRDefault="00B71FE4" w:rsidP="00EC0606">
      <w:pPr>
        <w:numPr>
          <w:ilvl w:val="1"/>
          <w:numId w:val="12"/>
        </w:numPr>
        <w:tabs>
          <w:tab w:val="clear" w:pos="465"/>
        </w:tabs>
        <w:spacing w:after="240"/>
        <w:ind w:left="720" w:hanging="720"/>
        <w:rPr>
          <w:rFonts w:cs="Arial"/>
          <w:lang w:eastAsia="en-GB"/>
        </w:rPr>
      </w:pPr>
      <w:r w:rsidRPr="007764B2">
        <w:rPr>
          <w:rFonts w:cs="Arial"/>
          <w:lang w:eastAsia="en-GB"/>
        </w:rPr>
        <w:t>A</w:t>
      </w:r>
      <w:r w:rsidR="00211CE2" w:rsidRPr="007764B2">
        <w:rPr>
          <w:rFonts w:cs="Arial"/>
          <w:lang w:eastAsia="en-GB"/>
        </w:rPr>
        <w:t xml:space="preserve">ll payments will be made via </w:t>
      </w:r>
      <w:proofErr w:type="spellStart"/>
      <w:r w:rsidR="0039400D" w:rsidRPr="007764B2">
        <w:rPr>
          <w:rFonts w:cs="Arial"/>
          <w:lang w:eastAsia="en-GB"/>
        </w:rPr>
        <w:t>PRaP</w:t>
      </w:r>
      <w:proofErr w:type="spellEnd"/>
      <w:r w:rsidR="00211CE2" w:rsidRPr="007764B2">
        <w:rPr>
          <w:rFonts w:cs="Arial"/>
          <w:lang w:eastAsia="en-GB"/>
        </w:rPr>
        <w:t>. Please note</w:t>
      </w:r>
      <w:r w:rsidR="00EF1B61" w:rsidRPr="007764B2">
        <w:rPr>
          <w:rFonts w:cs="Arial"/>
          <w:lang w:eastAsia="en-GB"/>
        </w:rPr>
        <w:t>,</w:t>
      </w:r>
      <w:r w:rsidR="00211CE2" w:rsidRPr="007764B2">
        <w:rPr>
          <w:rFonts w:cs="Arial"/>
          <w:lang w:eastAsia="en-GB"/>
        </w:rPr>
        <w:t xml:space="preserve"> that DWP can only make direct payments to U</w:t>
      </w:r>
      <w:r w:rsidR="003272A6" w:rsidRPr="007764B2">
        <w:rPr>
          <w:rFonts w:cs="Arial"/>
          <w:lang w:eastAsia="en-GB"/>
        </w:rPr>
        <w:t xml:space="preserve">nited </w:t>
      </w:r>
      <w:r w:rsidR="00211CE2" w:rsidRPr="007764B2">
        <w:rPr>
          <w:rFonts w:cs="Arial"/>
          <w:lang w:eastAsia="en-GB"/>
        </w:rPr>
        <w:t>K</w:t>
      </w:r>
      <w:r w:rsidR="003272A6" w:rsidRPr="007764B2">
        <w:rPr>
          <w:rFonts w:cs="Arial"/>
          <w:lang w:eastAsia="en-GB"/>
        </w:rPr>
        <w:t xml:space="preserve">ingdom </w:t>
      </w:r>
      <w:r w:rsidR="00211CE2" w:rsidRPr="007764B2">
        <w:rPr>
          <w:rFonts w:cs="Arial"/>
          <w:lang w:eastAsia="en-GB"/>
        </w:rPr>
        <w:t>and N</w:t>
      </w:r>
      <w:r w:rsidR="003272A6" w:rsidRPr="007764B2">
        <w:rPr>
          <w:rFonts w:cs="Arial"/>
          <w:lang w:eastAsia="en-GB"/>
        </w:rPr>
        <w:t xml:space="preserve">orthern </w:t>
      </w:r>
      <w:r w:rsidR="00211CE2" w:rsidRPr="007764B2">
        <w:rPr>
          <w:rFonts w:cs="Arial"/>
          <w:lang w:eastAsia="en-GB"/>
        </w:rPr>
        <w:t>I</w:t>
      </w:r>
      <w:r w:rsidR="003272A6" w:rsidRPr="007764B2">
        <w:rPr>
          <w:rFonts w:cs="Arial"/>
          <w:lang w:eastAsia="en-GB"/>
        </w:rPr>
        <w:t>reland</w:t>
      </w:r>
      <w:r w:rsidR="00211CE2" w:rsidRPr="007764B2">
        <w:rPr>
          <w:rFonts w:cs="Arial"/>
          <w:lang w:eastAsia="en-GB"/>
        </w:rPr>
        <w:t xml:space="preserve"> bank accounts.</w:t>
      </w:r>
      <w:bookmarkStart w:id="4" w:name="_Contract_Targets_–"/>
      <w:bookmarkEnd w:id="4"/>
    </w:p>
    <w:p w:rsidR="00444D8D" w:rsidRPr="007764B2" w:rsidRDefault="002963AD" w:rsidP="00EC0606">
      <w:pPr>
        <w:numPr>
          <w:ilvl w:val="1"/>
          <w:numId w:val="12"/>
        </w:numPr>
        <w:tabs>
          <w:tab w:val="clear" w:pos="465"/>
          <w:tab w:val="num" w:pos="709"/>
        </w:tabs>
        <w:spacing w:after="240"/>
        <w:ind w:left="709" w:hanging="709"/>
        <w:rPr>
          <w:rFonts w:cs="Arial"/>
          <w:lang w:eastAsia="en-GB"/>
        </w:rPr>
      </w:pPr>
      <w:r w:rsidRPr="007764B2">
        <w:rPr>
          <w:rFonts w:cs="Arial"/>
          <w:lang w:eastAsia="en-GB"/>
        </w:rPr>
        <w:t>The indicative c</w:t>
      </w:r>
      <w:r w:rsidR="00444D8D" w:rsidRPr="007764B2">
        <w:rPr>
          <w:rFonts w:cs="Arial"/>
          <w:lang w:eastAsia="en-GB"/>
        </w:rPr>
        <w:t xml:space="preserve">ontract values quoted at Annex </w:t>
      </w:r>
      <w:r w:rsidR="00194871">
        <w:rPr>
          <w:rFonts w:cs="Arial"/>
          <w:lang w:eastAsia="en-GB"/>
        </w:rPr>
        <w:t>2</w:t>
      </w:r>
      <w:r w:rsidR="00444D8D" w:rsidRPr="007764B2">
        <w:rPr>
          <w:rFonts w:cs="Arial"/>
          <w:lang w:eastAsia="en-GB"/>
        </w:rPr>
        <w:t xml:space="preserve"> – Contract Packages give figures based on the total expected number of starts multiplied by the maximum unit cost. Therefore this presumes all outcomes will be achieved. Also there are figures that </w:t>
      </w:r>
      <w:r w:rsidR="00444D8D" w:rsidRPr="007764B2">
        <w:rPr>
          <w:rFonts w:cs="Arial"/>
          <w:lang w:eastAsia="en-GB"/>
        </w:rPr>
        <w:lastRenderedPageBreak/>
        <w:t xml:space="preserve">provide an estimated contract value based on the assumption that the minimum performance levels will be achieved for the volumes stated. </w:t>
      </w:r>
    </w:p>
    <w:p w:rsidR="00E37A75" w:rsidRDefault="00E22742" w:rsidP="00EC0606">
      <w:pPr>
        <w:numPr>
          <w:ilvl w:val="1"/>
          <w:numId w:val="12"/>
        </w:numPr>
        <w:spacing w:after="240"/>
        <w:ind w:left="720" w:hanging="720"/>
        <w:rPr>
          <w:rFonts w:cs="Arial"/>
          <w:lang w:eastAsia="en-GB"/>
        </w:rPr>
      </w:pPr>
      <w:r w:rsidRPr="00444D8D">
        <w:rPr>
          <w:rFonts w:cs="Arial"/>
          <w:lang w:eastAsia="en-GB"/>
        </w:rPr>
        <w:t>The actual contract valu</w:t>
      </w:r>
      <w:r w:rsidR="00C72D34" w:rsidRPr="00444D8D">
        <w:rPr>
          <w:rFonts w:cs="Arial"/>
          <w:lang w:eastAsia="en-GB"/>
        </w:rPr>
        <w:t xml:space="preserve">es will be </w:t>
      </w:r>
      <w:r w:rsidR="002963AD" w:rsidRPr="00444D8D">
        <w:rPr>
          <w:rFonts w:cs="Arial"/>
          <w:lang w:eastAsia="en-GB"/>
        </w:rPr>
        <w:t>dependent</w:t>
      </w:r>
      <w:r w:rsidR="00C72D34" w:rsidRPr="00444D8D">
        <w:rPr>
          <w:rFonts w:cs="Arial"/>
          <w:lang w:eastAsia="en-GB"/>
        </w:rPr>
        <w:t xml:space="preserve"> on the </w:t>
      </w:r>
      <w:r w:rsidR="008F2A47" w:rsidRPr="00444D8D">
        <w:rPr>
          <w:rFonts w:cs="Arial"/>
          <w:lang w:eastAsia="en-GB"/>
        </w:rPr>
        <w:t xml:space="preserve">unit cost agreed for each CPA following the </w:t>
      </w:r>
      <w:r w:rsidR="007512E7" w:rsidRPr="00444D8D">
        <w:rPr>
          <w:rFonts w:cs="Arial"/>
          <w:lang w:eastAsia="en-GB"/>
        </w:rPr>
        <w:t>procurement process.</w:t>
      </w:r>
    </w:p>
    <w:p w:rsidR="00AA5DF2" w:rsidRDefault="00AA5DF2" w:rsidP="00AA5DF2">
      <w:pPr>
        <w:spacing w:after="240"/>
        <w:ind w:left="720"/>
        <w:rPr>
          <w:rFonts w:cs="Arial"/>
          <w:lang w:eastAsia="en-GB"/>
        </w:rPr>
      </w:pPr>
    </w:p>
    <w:p w:rsidR="00594362" w:rsidRDefault="00594362" w:rsidP="00444D8D">
      <w:pPr>
        <w:spacing w:after="240"/>
        <w:rPr>
          <w:rFonts w:cs="Arial"/>
          <w:b/>
          <w:sz w:val="28"/>
          <w:szCs w:val="28"/>
          <w:lang w:eastAsia="en-GB"/>
        </w:rPr>
      </w:pPr>
    </w:p>
    <w:p w:rsidR="00444D8D" w:rsidRPr="00444D8D" w:rsidRDefault="00444D8D" w:rsidP="00444D8D">
      <w:pPr>
        <w:spacing w:after="240"/>
        <w:rPr>
          <w:rFonts w:cs="Arial"/>
          <w:b/>
          <w:sz w:val="28"/>
          <w:szCs w:val="28"/>
          <w:lang w:eastAsia="en-GB"/>
        </w:rPr>
      </w:pPr>
      <w:r w:rsidRPr="00444D8D">
        <w:rPr>
          <w:rFonts w:cs="Arial"/>
          <w:b/>
          <w:sz w:val="28"/>
          <w:szCs w:val="28"/>
          <w:lang w:eastAsia="en-GB"/>
        </w:rPr>
        <w:t>Making claims for payment</w:t>
      </w:r>
    </w:p>
    <w:p w:rsidR="00444D8D" w:rsidRDefault="00444D8D" w:rsidP="00EC0606">
      <w:pPr>
        <w:pStyle w:val="ListParagraph"/>
        <w:numPr>
          <w:ilvl w:val="1"/>
          <w:numId w:val="12"/>
        </w:numPr>
        <w:tabs>
          <w:tab w:val="clear" w:pos="465"/>
          <w:tab w:val="num" w:pos="709"/>
        </w:tabs>
        <w:ind w:left="709" w:hanging="709"/>
        <w:rPr>
          <w:rFonts w:cs="Arial"/>
          <w:lang w:eastAsia="en-GB"/>
        </w:rPr>
      </w:pPr>
      <w:r w:rsidRPr="00444D8D">
        <w:rPr>
          <w:rFonts w:cs="Arial"/>
          <w:lang w:eastAsia="en-GB"/>
        </w:rPr>
        <w:t>Before submitting any claim, Providers will need to assure themselves that they only submit claims for payment to which they are entitled. Providers will be expected to make a declaration to this effect.</w:t>
      </w:r>
    </w:p>
    <w:p w:rsidR="00444D8D" w:rsidRPr="00444D8D" w:rsidRDefault="00444D8D" w:rsidP="00444D8D">
      <w:pPr>
        <w:pStyle w:val="ListParagraph"/>
        <w:ind w:left="709"/>
        <w:rPr>
          <w:rFonts w:cs="Arial"/>
          <w:lang w:eastAsia="en-GB"/>
        </w:rPr>
      </w:pPr>
    </w:p>
    <w:p w:rsidR="00444D8D" w:rsidRDefault="00444D8D" w:rsidP="00EC0606">
      <w:pPr>
        <w:pStyle w:val="ListParagraph"/>
        <w:numPr>
          <w:ilvl w:val="1"/>
          <w:numId w:val="12"/>
        </w:numPr>
        <w:tabs>
          <w:tab w:val="clear" w:pos="465"/>
        </w:tabs>
        <w:ind w:left="709" w:hanging="709"/>
        <w:rPr>
          <w:rFonts w:cs="Arial"/>
          <w:lang w:eastAsia="en-GB"/>
        </w:rPr>
      </w:pPr>
      <w:r w:rsidRPr="00444D8D">
        <w:rPr>
          <w:rFonts w:cs="Arial"/>
          <w:lang w:eastAsia="en-GB"/>
        </w:rPr>
        <w:t xml:space="preserve">To do this, Providers will be expected to maintain a robust system of internal control which must include appropriate checks, monitoring arrangements and adequate records to demonstrate that they are entitled to make the claim. </w:t>
      </w:r>
    </w:p>
    <w:p w:rsidR="00444D8D" w:rsidRPr="00444D8D" w:rsidRDefault="00444D8D" w:rsidP="00444D8D">
      <w:pPr>
        <w:pStyle w:val="ListParagraph"/>
        <w:rPr>
          <w:rFonts w:cs="Arial"/>
          <w:lang w:eastAsia="en-GB"/>
        </w:rPr>
      </w:pPr>
    </w:p>
    <w:p w:rsidR="00444D8D" w:rsidRPr="00444D8D" w:rsidRDefault="00444D8D" w:rsidP="00444D8D">
      <w:pPr>
        <w:pStyle w:val="ListParagraph"/>
        <w:ind w:left="465"/>
        <w:rPr>
          <w:rFonts w:cs="Arial"/>
          <w:lang w:eastAsia="en-GB"/>
        </w:rPr>
      </w:pPr>
    </w:p>
    <w:p w:rsidR="00444D8D" w:rsidRDefault="00444D8D" w:rsidP="00EC0606">
      <w:pPr>
        <w:pStyle w:val="ListParagraph"/>
        <w:numPr>
          <w:ilvl w:val="1"/>
          <w:numId w:val="12"/>
        </w:numPr>
        <w:tabs>
          <w:tab w:val="clear" w:pos="465"/>
          <w:tab w:val="num" w:pos="709"/>
        </w:tabs>
        <w:ind w:left="709" w:hanging="709"/>
        <w:rPr>
          <w:rFonts w:cs="Arial"/>
          <w:lang w:eastAsia="en-GB"/>
        </w:rPr>
      </w:pPr>
      <w:r w:rsidRPr="00444D8D">
        <w:rPr>
          <w:rFonts w:cs="Arial"/>
          <w:lang w:eastAsia="en-GB"/>
        </w:rPr>
        <w:t xml:space="preserve">The records maintained need to be sufficient not only to support any claims but also to allow internal management checks and independent validation, for example by DWP and other external bodies. The records maintained should document how and when the self-employment information was obtained and be made available to test by DWP and other external bodies. </w:t>
      </w:r>
    </w:p>
    <w:p w:rsidR="00C3504C" w:rsidRDefault="00C3504C" w:rsidP="00C3504C">
      <w:pPr>
        <w:pStyle w:val="ListParagraph"/>
        <w:ind w:left="709"/>
        <w:rPr>
          <w:rFonts w:cs="Arial"/>
          <w:lang w:eastAsia="en-GB"/>
        </w:rPr>
      </w:pPr>
    </w:p>
    <w:p w:rsidR="00C3504C" w:rsidRPr="00C3504C" w:rsidRDefault="00C3504C" w:rsidP="00C3504C">
      <w:pPr>
        <w:pStyle w:val="ListParagraph"/>
        <w:numPr>
          <w:ilvl w:val="1"/>
          <w:numId w:val="12"/>
        </w:numPr>
        <w:tabs>
          <w:tab w:val="clear" w:pos="465"/>
          <w:tab w:val="num" w:pos="709"/>
        </w:tabs>
        <w:ind w:left="709" w:hanging="709"/>
        <w:rPr>
          <w:rFonts w:cs="Arial"/>
          <w:lang w:eastAsia="en-GB"/>
        </w:rPr>
      </w:pPr>
      <w:r w:rsidRPr="00C3504C">
        <w:rPr>
          <w:rFonts w:cs="Arial"/>
          <w:lang w:eastAsia="en-GB"/>
        </w:rPr>
        <w:t>For each participant the Provider must retain a copy of the Business Plan / BDGP and evidence of their assessment of the plan.  They must also record confirmation of attendance at the seminars and confirm full participation in the mentoring process.</w:t>
      </w:r>
    </w:p>
    <w:p w:rsidR="00C3504C" w:rsidRDefault="00C3504C" w:rsidP="00C3504C">
      <w:pPr>
        <w:pStyle w:val="ListParagraph"/>
        <w:ind w:left="709"/>
        <w:rPr>
          <w:rFonts w:cs="Arial"/>
          <w:lang w:eastAsia="en-GB"/>
        </w:rPr>
      </w:pPr>
    </w:p>
    <w:p w:rsidR="00C3504C" w:rsidRDefault="00C3504C" w:rsidP="00C3504C">
      <w:pPr>
        <w:pStyle w:val="ListParagraph"/>
        <w:ind w:left="465"/>
        <w:rPr>
          <w:rFonts w:cs="Arial"/>
          <w:lang w:eastAsia="en-GB"/>
        </w:rPr>
      </w:pPr>
    </w:p>
    <w:p w:rsidR="00444D8D" w:rsidRPr="002E0375" w:rsidRDefault="00444D8D" w:rsidP="00444D8D">
      <w:pPr>
        <w:spacing w:after="240"/>
        <w:rPr>
          <w:b/>
        </w:rPr>
      </w:pPr>
      <w:r w:rsidRPr="002E0375">
        <w:rPr>
          <w:b/>
          <w:sz w:val="28"/>
          <w:szCs w:val="28"/>
        </w:rPr>
        <w:t xml:space="preserve">Outcome fees </w:t>
      </w:r>
    </w:p>
    <w:p w:rsidR="00444D8D" w:rsidRPr="00444D8D" w:rsidRDefault="00074AD9" w:rsidP="00074AD9">
      <w:pPr>
        <w:pStyle w:val="ListParagraph"/>
        <w:tabs>
          <w:tab w:val="left" w:pos="8753"/>
        </w:tabs>
        <w:ind w:left="709"/>
        <w:rPr>
          <w:rFonts w:cs="Arial"/>
          <w:lang w:eastAsia="en-GB"/>
        </w:rPr>
      </w:pPr>
      <w:r>
        <w:rPr>
          <w:rFonts w:cs="Arial"/>
          <w:lang w:eastAsia="en-GB"/>
        </w:rPr>
        <w:tab/>
      </w:r>
    </w:p>
    <w:p w:rsidR="00444D8D" w:rsidRDefault="00444D8D" w:rsidP="00EC0606">
      <w:pPr>
        <w:pStyle w:val="ListParagraph"/>
        <w:numPr>
          <w:ilvl w:val="1"/>
          <w:numId w:val="12"/>
        </w:numPr>
        <w:tabs>
          <w:tab w:val="clear" w:pos="465"/>
          <w:tab w:val="num" w:pos="709"/>
        </w:tabs>
        <w:ind w:left="709" w:hanging="709"/>
        <w:rPr>
          <w:rFonts w:cs="Arial"/>
          <w:lang w:eastAsia="en-GB"/>
        </w:rPr>
      </w:pPr>
      <w:r w:rsidRPr="00444D8D">
        <w:rPr>
          <w:rFonts w:cs="Arial"/>
          <w:lang w:eastAsia="en-GB"/>
        </w:rPr>
        <w:t xml:space="preserve">DWP will validate outcome payments on a regular basis by conducting a series of </w:t>
      </w:r>
      <w:r w:rsidR="009F7160">
        <w:rPr>
          <w:rFonts w:cs="Arial"/>
          <w:lang w:eastAsia="en-GB"/>
        </w:rPr>
        <w:t xml:space="preserve">pre and </w:t>
      </w:r>
      <w:r w:rsidRPr="00444D8D">
        <w:rPr>
          <w:rFonts w:cs="Arial"/>
          <w:lang w:eastAsia="en-GB"/>
        </w:rPr>
        <w:t xml:space="preserve">post payment checks. These checks will be performed at the optimum time to allow DWP systems to be updated. Further details will be provided </w:t>
      </w:r>
      <w:r w:rsidR="00031ADF">
        <w:rPr>
          <w:rFonts w:cs="Arial"/>
          <w:lang w:eastAsia="en-GB"/>
        </w:rPr>
        <w:t>in NEA Phase 2 Provider G</w:t>
      </w:r>
      <w:r w:rsidRPr="00444D8D">
        <w:rPr>
          <w:rFonts w:cs="Arial"/>
          <w:lang w:eastAsia="en-GB"/>
        </w:rPr>
        <w:t xml:space="preserve">uidance. </w:t>
      </w:r>
    </w:p>
    <w:p w:rsidR="00444D8D" w:rsidRPr="00444D8D" w:rsidRDefault="00444D8D" w:rsidP="00444D8D">
      <w:pPr>
        <w:pStyle w:val="ListParagraph"/>
        <w:ind w:left="465"/>
        <w:rPr>
          <w:rFonts w:cs="Arial"/>
          <w:lang w:eastAsia="en-GB"/>
        </w:rPr>
      </w:pPr>
    </w:p>
    <w:p w:rsidR="00E37A75" w:rsidRPr="00A7634F" w:rsidRDefault="00444D8D" w:rsidP="00690E9E">
      <w:pPr>
        <w:numPr>
          <w:ilvl w:val="1"/>
          <w:numId w:val="12"/>
        </w:numPr>
        <w:tabs>
          <w:tab w:val="clear" w:pos="465"/>
          <w:tab w:val="num" w:pos="709"/>
        </w:tabs>
        <w:spacing w:after="240"/>
        <w:ind w:left="709" w:hanging="709"/>
        <w:rPr>
          <w:rFonts w:cs="Arial"/>
          <w:color w:val="FF0000"/>
          <w:lang w:eastAsia="en-GB"/>
        </w:rPr>
      </w:pPr>
      <w:r w:rsidRPr="00A7634F">
        <w:rPr>
          <w:rFonts w:cs="Arial"/>
          <w:lang w:eastAsia="en-GB"/>
        </w:rPr>
        <w:t>As part of the post-payment validation process, where DWP identifies erroneous outcomes, not only will these be recovered, but also the error rate will inform extrapolation calculation across the total population of paid claims for the sample period concerned. In order to perform this adjustment a statistically valid sample will be used that is representative across the total paid claim population.</w:t>
      </w:r>
      <w:bookmarkStart w:id="5" w:name="_Contract_Targets_–_1"/>
      <w:bookmarkEnd w:id="5"/>
    </w:p>
    <w:p w:rsidR="00444D8D" w:rsidRPr="00402D61" w:rsidRDefault="00444D8D" w:rsidP="00690E9E">
      <w:pPr>
        <w:spacing w:after="240"/>
        <w:rPr>
          <w:rFonts w:cs="Arial"/>
          <w:color w:val="FF0000"/>
          <w:lang w:eastAsia="en-GB"/>
        </w:rPr>
        <w:sectPr w:rsidR="00444D8D" w:rsidRPr="00402D61" w:rsidSect="00F45B13">
          <w:pgSz w:w="12240" w:h="15840" w:code="1"/>
          <w:pgMar w:top="1304" w:right="1134" w:bottom="1304" w:left="1134" w:header="720" w:footer="720" w:gutter="0"/>
          <w:cols w:space="720"/>
          <w:noEndnote/>
        </w:sectPr>
      </w:pPr>
    </w:p>
    <w:p w:rsidR="00211CE2" w:rsidRPr="0052535F" w:rsidRDefault="00323CC0" w:rsidP="00690E9E">
      <w:pPr>
        <w:pStyle w:val="Heading1"/>
        <w:tabs>
          <w:tab w:val="clear" w:pos="432"/>
        </w:tabs>
        <w:spacing w:after="240"/>
        <w:ind w:left="360" w:hanging="360"/>
        <w:rPr>
          <w:sz w:val="28"/>
          <w:szCs w:val="28"/>
        </w:rPr>
      </w:pPr>
      <w:bookmarkStart w:id="6" w:name="_4._ADDITIONAL_INFORMATION"/>
      <w:bookmarkEnd w:id="6"/>
      <w:r w:rsidRPr="0052535F">
        <w:rPr>
          <w:sz w:val="28"/>
          <w:szCs w:val="28"/>
        </w:rPr>
        <w:lastRenderedPageBreak/>
        <w:t>4.</w:t>
      </w:r>
      <w:r w:rsidRPr="0052535F">
        <w:rPr>
          <w:sz w:val="28"/>
          <w:szCs w:val="28"/>
        </w:rPr>
        <w:tab/>
      </w:r>
      <w:r w:rsidR="00211CE2" w:rsidRPr="0052535F">
        <w:rPr>
          <w:sz w:val="28"/>
          <w:szCs w:val="28"/>
          <w:u w:val="single"/>
        </w:rPr>
        <w:t xml:space="preserve">ADDITIONAL INFORMATION AND DELIVERY </w:t>
      </w:r>
      <w:r w:rsidR="00685EB2" w:rsidRPr="0052535F">
        <w:rPr>
          <w:sz w:val="28"/>
          <w:szCs w:val="28"/>
          <w:u w:val="single"/>
        </w:rPr>
        <w:t>REQUIREMENTS</w:t>
      </w:r>
    </w:p>
    <w:p w:rsidR="00211CE2" w:rsidRPr="0052535F" w:rsidRDefault="00211CE2" w:rsidP="00EC0606">
      <w:pPr>
        <w:numPr>
          <w:ilvl w:val="1"/>
          <w:numId w:val="13"/>
        </w:numPr>
        <w:tabs>
          <w:tab w:val="clear" w:pos="465"/>
        </w:tabs>
        <w:spacing w:after="240"/>
        <w:ind w:left="720" w:hanging="720"/>
      </w:pPr>
      <w:r w:rsidRPr="0052535F">
        <w:t xml:space="preserve">This section provides additional information </w:t>
      </w:r>
      <w:r w:rsidR="008A45C0" w:rsidRPr="0052535F">
        <w:t>Provider</w:t>
      </w:r>
      <w:r w:rsidRPr="0052535F">
        <w:t xml:space="preserve">s may wish to consider when setting out their </w:t>
      </w:r>
      <w:r w:rsidR="00256274" w:rsidRPr="0052535F">
        <w:t>tender</w:t>
      </w:r>
      <w:r w:rsidRPr="0052535F">
        <w:t>, and expected delivery standards.</w:t>
      </w:r>
    </w:p>
    <w:p w:rsidR="00211CE2" w:rsidRPr="0052535F" w:rsidRDefault="00211CE2" w:rsidP="00690E9E">
      <w:pPr>
        <w:pStyle w:val="Default"/>
        <w:spacing w:before="480" w:after="240"/>
        <w:rPr>
          <w:b/>
          <w:color w:val="auto"/>
        </w:rPr>
      </w:pPr>
      <w:r w:rsidRPr="0052535F">
        <w:rPr>
          <w:b/>
          <w:color w:val="auto"/>
          <w:sz w:val="28"/>
          <w:szCs w:val="28"/>
        </w:rPr>
        <w:t>Partnership Working</w:t>
      </w:r>
      <w:r w:rsidR="00E24D7C" w:rsidRPr="0052535F">
        <w:rPr>
          <w:b/>
          <w:color w:val="auto"/>
        </w:rPr>
        <w:t xml:space="preserve">  </w:t>
      </w:r>
    </w:p>
    <w:p w:rsidR="00012D7E" w:rsidRPr="0052535F" w:rsidRDefault="00211CE2" w:rsidP="00690E9E">
      <w:pPr>
        <w:spacing w:after="240"/>
      </w:pPr>
      <w:r w:rsidRPr="0052535F">
        <w:rPr>
          <w:b/>
        </w:rPr>
        <w:t>Working with Government, DWP</w:t>
      </w:r>
      <w:r w:rsidR="00DB7AA0" w:rsidRPr="0052535F">
        <w:rPr>
          <w:b/>
        </w:rPr>
        <w:t>,</w:t>
      </w:r>
      <w:r w:rsidRPr="0052535F">
        <w:rPr>
          <w:b/>
        </w:rPr>
        <w:t xml:space="preserve"> </w:t>
      </w:r>
      <w:r w:rsidR="00213037" w:rsidRPr="0052535F">
        <w:rPr>
          <w:b/>
        </w:rPr>
        <w:t>JCP</w:t>
      </w:r>
      <w:r w:rsidR="00DB7AA0" w:rsidRPr="0052535F">
        <w:rPr>
          <w:b/>
        </w:rPr>
        <w:t xml:space="preserve"> and B</w:t>
      </w:r>
      <w:r w:rsidR="002E64F8">
        <w:rPr>
          <w:b/>
        </w:rPr>
        <w:t>E</w:t>
      </w:r>
      <w:r w:rsidR="00DB7AA0" w:rsidRPr="0052535F">
        <w:rPr>
          <w:b/>
        </w:rPr>
        <w:t>IS</w:t>
      </w:r>
      <w:r w:rsidR="00420E5F" w:rsidRPr="0052535F">
        <w:rPr>
          <w:b/>
        </w:rPr>
        <w:t xml:space="preserve"> (Start</w:t>
      </w:r>
      <w:r w:rsidR="0085435E" w:rsidRPr="0052535F">
        <w:rPr>
          <w:b/>
        </w:rPr>
        <w:t>-</w:t>
      </w:r>
      <w:r w:rsidR="00420E5F" w:rsidRPr="0052535F">
        <w:rPr>
          <w:b/>
        </w:rPr>
        <w:t>up Loans Company)</w:t>
      </w:r>
      <w:r w:rsidR="00DB7AA0" w:rsidRPr="0052535F">
        <w:rPr>
          <w:b/>
        </w:rPr>
        <w:t>.</w:t>
      </w:r>
      <w:r w:rsidRPr="0052535F">
        <w:t xml:space="preserve"> </w:t>
      </w:r>
    </w:p>
    <w:p w:rsidR="00B42E20" w:rsidRPr="0052535F" w:rsidRDefault="00211CE2" w:rsidP="00EC0606">
      <w:pPr>
        <w:numPr>
          <w:ilvl w:val="1"/>
          <w:numId w:val="13"/>
        </w:numPr>
        <w:tabs>
          <w:tab w:val="clear" w:pos="465"/>
        </w:tabs>
        <w:spacing w:after="240"/>
        <w:ind w:left="720" w:hanging="720"/>
        <w:rPr>
          <w:rFonts w:cs="Arial"/>
          <w:bCs/>
          <w:lang w:eastAsia="en-GB"/>
        </w:rPr>
      </w:pPr>
      <w:r w:rsidRPr="0052535F">
        <w:t xml:space="preserve">During the lifetime of the contracts, there will be regular interactions between </w:t>
      </w:r>
      <w:r w:rsidR="008A45C0" w:rsidRPr="0052535F">
        <w:t>Provider</w:t>
      </w:r>
      <w:r w:rsidRPr="0052535F">
        <w:t>s and</w:t>
      </w:r>
      <w:r w:rsidR="00907395" w:rsidRPr="0052535F">
        <w:t xml:space="preserve"> JCP</w:t>
      </w:r>
      <w:r w:rsidRPr="0052535F">
        <w:t xml:space="preserve"> staff to ensure the effective delivery of provision and services to </w:t>
      </w:r>
      <w:r w:rsidR="008A45C0" w:rsidRPr="0052535F">
        <w:t>Participant</w:t>
      </w:r>
      <w:r w:rsidRPr="0052535F">
        <w:t xml:space="preserve">s. </w:t>
      </w:r>
      <w:r w:rsidR="00B42E20" w:rsidRPr="0052535F">
        <w:t>DWP expects that local agreements will be put in place for regular contact between providers and JCP districts. Performance managers will set the timing for these discussions and providers will be required to attend.</w:t>
      </w:r>
    </w:p>
    <w:p w:rsidR="00347E5F" w:rsidRPr="00053A12" w:rsidRDefault="00347E5F" w:rsidP="00EC0606">
      <w:pPr>
        <w:numPr>
          <w:ilvl w:val="1"/>
          <w:numId w:val="13"/>
        </w:numPr>
        <w:tabs>
          <w:tab w:val="clear" w:pos="465"/>
        </w:tabs>
        <w:spacing w:after="240"/>
        <w:ind w:left="720" w:hanging="720"/>
        <w:rPr>
          <w:rFonts w:cs="Arial"/>
          <w:bCs/>
          <w:lang w:eastAsia="en-GB"/>
        </w:rPr>
      </w:pPr>
      <w:r w:rsidRPr="00053A12">
        <w:t xml:space="preserve">Providers must </w:t>
      </w:r>
      <w:r w:rsidRPr="00053A12">
        <w:rPr>
          <w:b/>
        </w:rPr>
        <w:t>not</w:t>
      </w:r>
      <w:r w:rsidRPr="00053A12">
        <w:t xml:space="preserve"> accept payments or bonuses from external organisations for referring NEA </w:t>
      </w:r>
      <w:r w:rsidR="00C83B24" w:rsidRPr="00053A12">
        <w:rPr>
          <w:rFonts w:cs="Arial"/>
          <w:lang w:eastAsia="en-GB"/>
        </w:rPr>
        <w:t xml:space="preserve">Phase 2 </w:t>
      </w:r>
      <w:r w:rsidRPr="00053A12">
        <w:t>participants to start-up funding.</w:t>
      </w:r>
    </w:p>
    <w:p w:rsidR="00012D7E" w:rsidRPr="0052535F" w:rsidRDefault="00211CE2" w:rsidP="00690E9E">
      <w:pPr>
        <w:spacing w:after="240"/>
      </w:pPr>
      <w:r w:rsidRPr="0052535F">
        <w:rPr>
          <w:b/>
          <w:bCs/>
        </w:rPr>
        <w:t>Working wi</w:t>
      </w:r>
      <w:r w:rsidR="00012D7E" w:rsidRPr="0052535F">
        <w:rPr>
          <w:b/>
          <w:bCs/>
        </w:rPr>
        <w:t xml:space="preserve">th strategic and local </w:t>
      </w:r>
      <w:r w:rsidR="0073487E" w:rsidRPr="0052535F">
        <w:rPr>
          <w:b/>
          <w:bCs/>
        </w:rPr>
        <w:t>p</w:t>
      </w:r>
      <w:r w:rsidR="00012D7E" w:rsidRPr="0052535F">
        <w:rPr>
          <w:b/>
          <w:bCs/>
        </w:rPr>
        <w:t>artners</w:t>
      </w:r>
      <w:r w:rsidRPr="0052535F">
        <w:rPr>
          <w:b/>
          <w:bCs/>
        </w:rPr>
        <w:t xml:space="preserve"> </w:t>
      </w:r>
    </w:p>
    <w:p w:rsidR="00211CE2" w:rsidRPr="0052535F" w:rsidRDefault="00211CE2" w:rsidP="00EC0606">
      <w:pPr>
        <w:numPr>
          <w:ilvl w:val="1"/>
          <w:numId w:val="13"/>
        </w:numPr>
        <w:tabs>
          <w:tab w:val="clear" w:pos="465"/>
        </w:tabs>
        <w:spacing w:after="240"/>
        <w:ind w:left="720" w:hanging="720"/>
      </w:pPr>
      <w:r w:rsidRPr="0052535F">
        <w:t xml:space="preserve">Partnerships are central to the delivery of DWP objectives and statutory duties and DWP believes that effective partnership working will be </w:t>
      </w:r>
      <w:r w:rsidR="00202852" w:rsidRPr="0052535F">
        <w:t xml:space="preserve">the </w:t>
      </w:r>
      <w:r w:rsidRPr="0052535F">
        <w:t xml:space="preserve">key to </w:t>
      </w:r>
      <w:r w:rsidR="00CF7FD6" w:rsidRPr="0052535F">
        <w:t>the</w:t>
      </w:r>
      <w:r w:rsidRPr="0052535F">
        <w:t xml:space="preserve"> delivery of </w:t>
      </w:r>
      <w:r w:rsidR="004C2898" w:rsidRPr="0052535F">
        <w:t>the programme</w:t>
      </w:r>
      <w:r w:rsidR="00B42E20" w:rsidRPr="0052535F">
        <w:t xml:space="preserve">. Providers will be expected to engage with, and where appropriate signpost participants to additional business support that may be available locally or nationally. For example, schemes available through the Department for Business, </w:t>
      </w:r>
      <w:r w:rsidR="008B5AD3">
        <w:t>Energy and Industrial Strategy</w:t>
      </w:r>
      <w:r w:rsidR="00B42E20" w:rsidRPr="0052535F">
        <w:t>, including the Start-up loans scheme.</w:t>
      </w:r>
    </w:p>
    <w:p w:rsidR="009D009B" w:rsidRPr="009D009B" w:rsidRDefault="00542C2E" w:rsidP="00EC0606">
      <w:pPr>
        <w:pStyle w:val="Default"/>
        <w:numPr>
          <w:ilvl w:val="1"/>
          <w:numId w:val="13"/>
        </w:numPr>
        <w:tabs>
          <w:tab w:val="clear" w:pos="465"/>
        </w:tabs>
        <w:spacing w:after="240"/>
        <w:ind w:left="709" w:hanging="709"/>
        <w:outlineLvl w:val="0"/>
        <w:rPr>
          <w:b/>
          <w:color w:val="auto"/>
        </w:rPr>
      </w:pPr>
      <w:r w:rsidRPr="00E157DE">
        <w:rPr>
          <w:color w:val="auto"/>
        </w:rPr>
        <w:t xml:space="preserve">Jobcentre Plus will inform eligible individuals about the NEA Scheme.  Eligible Individuals will be referred by Jobcentre Plus. The Provider </w:t>
      </w:r>
      <w:r w:rsidRPr="00E157DE">
        <w:rPr>
          <w:color w:val="auto"/>
          <w:szCs w:val="28"/>
        </w:rPr>
        <w:t>(or other members of the partnership as identified by the Provider and agreed wi</w:t>
      </w:r>
      <w:r w:rsidRPr="00C02509">
        <w:rPr>
          <w:color w:val="auto"/>
          <w:szCs w:val="28"/>
        </w:rPr>
        <w:t xml:space="preserve">th DWP / Jobcentre Plus), </w:t>
      </w:r>
      <w:r w:rsidRPr="00C02509">
        <w:rPr>
          <w:color w:val="auto"/>
        </w:rPr>
        <w:t xml:space="preserve">will maintain </w:t>
      </w:r>
      <w:r w:rsidR="00375289" w:rsidRPr="00C02509">
        <w:rPr>
          <w:color w:val="auto"/>
          <w:szCs w:val="28"/>
        </w:rPr>
        <w:t>on-going</w:t>
      </w:r>
      <w:r w:rsidRPr="00C02509">
        <w:rPr>
          <w:color w:val="auto"/>
          <w:szCs w:val="28"/>
        </w:rPr>
        <w:t xml:space="preserve"> communication with DWP / Jobcentre Plus, to discuss progress</w:t>
      </w:r>
      <w:r w:rsidRPr="00E157DE">
        <w:rPr>
          <w:color w:val="auto"/>
          <w:szCs w:val="28"/>
        </w:rPr>
        <w:t>.</w:t>
      </w:r>
    </w:p>
    <w:p w:rsidR="001F045A" w:rsidRPr="00E157DE" w:rsidRDefault="001F045A" w:rsidP="009D009B">
      <w:pPr>
        <w:pStyle w:val="Default"/>
        <w:spacing w:after="240"/>
        <w:outlineLvl w:val="0"/>
        <w:rPr>
          <w:b/>
          <w:color w:val="auto"/>
        </w:rPr>
      </w:pPr>
      <w:r w:rsidRPr="00E157DE">
        <w:rPr>
          <w:b/>
          <w:color w:val="auto"/>
        </w:rPr>
        <w:t>Relationship management</w:t>
      </w:r>
    </w:p>
    <w:p w:rsidR="001F045A" w:rsidRPr="001F045A" w:rsidRDefault="001F045A" w:rsidP="00EC0606">
      <w:pPr>
        <w:pStyle w:val="Default"/>
        <w:numPr>
          <w:ilvl w:val="1"/>
          <w:numId w:val="13"/>
        </w:numPr>
        <w:tabs>
          <w:tab w:val="clear" w:pos="465"/>
        </w:tabs>
        <w:spacing w:after="240"/>
        <w:ind w:left="709" w:hanging="709"/>
        <w:outlineLvl w:val="0"/>
        <w:rPr>
          <w:color w:val="auto"/>
        </w:rPr>
      </w:pPr>
      <w:r w:rsidRPr="001F045A">
        <w:rPr>
          <w:color w:val="auto"/>
        </w:rPr>
        <w:t>Providers must manage relationships effectively, including working with DWP / Jobcentre Plus, managing the referral process, Mentoring timescales and communications, ensuring Participants are working with their Mentors during the Pre Start-up</w:t>
      </w:r>
      <w:r w:rsidR="0066562A">
        <w:rPr>
          <w:color w:val="auto"/>
        </w:rPr>
        <w:t>/Mentoring</w:t>
      </w:r>
      <w:r w:rsidRPr="001F045A">
        <w:rPr>
          <w:color w:val="auto"/>
        </w:rPr>
        <w:t xml:space="preserve"> Phase and providing timely notifications at each stage of the process, in particular when business plans</w:t>
      </w:r>
      <w:r w:rsidR="0066562A">
        <w:rPr>
          <w:color w:val="auto"/>
        </w:rPr>
        <w:t>/B</w:t>
      </w:r>
      <w:r w:rsidR="008A7A1C">
        <w:rPr>
          <w:color w:val="auto"/>
        </w:rPr>
        <w:t>DG</w:t>
      </w:r>
      <w:r w:rsidR="0066562A">
        <w:rPr>
          <w:color w:val="auto"/>
        </w:rPr>
        <w:t>P</w:t>
      </w:r>
      <w:r w:rsidRPr="001F045A">
        <w:rPr>
          <w:color w:val="auto"/>
        </w:rPr>
        <w:t xml:space="preserve"> are approved.</w:t>
      </w:r>
    </w:p>
    <w:p w:rsidR="001F045A" w:rsidRPr="001F045A" w:rsidRDefault="001F045A" w:rsidP="00EC0606">
      <w:pPr>
        <w:pStyle w:val="Default"/>
        <w:numPr>
          <w:ilvl w:val="1"/>
          <w:numId w:val="13"/>
        </w:numPr>
        <w:tabs>
          <w:tab w:val="clear" w:pos="465"/>
        </w:tabs>
        <w:spacing w:after="240"/>
        <w:ind w:left="709" w:hanging="709"/>
        <w:outlineLvl w:val="0"/>
        <w:rPr>
          <w:color w:val="auto"/>
        </w:rPr>
      </w:pPr>
      <w:r w:rsidRPr="001F045A">
        <w:rPr>
          <w:color w:val="auto"/>
        </w:rPr>
        <w:t xml:space="preserve">Providers must ensure that the Management Information is provided in the format required by DWP / Jobcentre Plus and that its storage and transfer complies with the requirements of the Data Protection Act 1998; For further information see </w:t>
      </w:r>
      <w:hyperlink w:anchor="_ADDITIONAL_INFORMATION" w:history="1">
        <w:r w:rsidRPr="001F045A">
          <w:rPr>
            <w:rStyle w:val="Hyperlink"/>
            <w:color w:val="auto"/>
          </w:rPr>
          <w:t xml:space="preserve">Annex </w:t>
        </w:r>
        <w:r w:rsidR="00194871">
          <w:rPr>
            <w:rStyle w:val="Hyperlink"/>
            <w:color w:val="auto"/>
          </w:rPr>
          <w:t>5</w:t>
        </w:r>
        <w:r w:rsidRPr="001F045A">
          <w:rPr>
            <w:rStyle w:val="Hyperlink"/>
            <w:color w:val="auto"/>
          </w:rPr>
          <w:t xml:space="preserve"> – Additional Information</w:t>
        </w:r>
      </w:hyperlink>
    </w:p>
    <w:p w:rsidR="001F045A" w:rsidRPr="0052535F" w:rsidRDefault="001F045A" w:rsidP="00EC0606">
      <w:pPr>
        <w:pStyle w:val="Default"/>
        <w:numPr>
          <w:ilvl w:val="1"/>
          <w:numId w:val="13"/>
        </w:numPr>
        <w:tabs>
          <w:tab w:val="clear" w:pos="465"/>
        </w:tabs>
        <w:spacing w:after="240"/>
        <w:ind w:left="709" w:hanging="709"/>
        <w:outlineLvl w:val="0"/>
        <w:rPr>
          <w:color w:val="auto"/>
        </w:rPr>
      </w:pPr>
      <w:r w:rsidRPr="001F045A">
        <w:rPr>
          <w:color w:val="auto"/>
        </w:rPr>
        <w:t xml:space="preserve">Where Participants have an approved business plan, Providers should signpost / notify participants of companies which </w:t>
      </w:r>
      <w:proofErr w:type="gramStart"/>
      <w:r w:rsidRPr="001F045A">
        <w:rPr>
          <w:color w:val="auto"/>
        </w:rPr>
        <w:t>provide  start</w:t>
      </w:r>
      <w:proofErr w:type="gramEnd"/>
      <w:r w:rsidRPr="001F045A">
        <w:rPr>
          <w:color w:val="auto"/>
        </w:rPr>
        <w:t xml:space="preserve"> up loans.</w:t>
      </w:r>
      <w:r w:rsidRPr="001F045A">
        <w:rPr>
          <w:b/>
          <w:color w:val="auto"/>
        </w:rPr>
        <w:t xml:space="preserve"> </w:t>
      </w:r>
    </w:p>
    <w:p w:rsidR="00053A12" w:rsidRDefault="00053A12" w:rsidP="00690E9E">
      <w:pPr>
        <w:pStyle w:val="Default"/>
        <w:spacing w:after="240"/>
        <w:rPr>
          <w:b/>
          <w:bCs/>
          <w:color w:val="auto"/>
        </w:rPr>
      </w:pPr>
    </w:p>
    <w:p w:rsidR="00211CE2" w:rsidRPr="00AC1151" w:rsidRDefault="00211CE2" w:rsidP="00690E9E">
      <w:pPr>
        <w:pStyle w:val="Default"/>
        <w:spacing w:after="240"/>
        <w:rPr>
          <w:b/>
          <w:bCs/>
          <w:color w:val="auto"/>
        </w:rPr>
      </w:pPr>
      <w:r w:rsidRPr="00AC1151">
        <w:rPr>
          <w:b/>
          <w:bCs/>
          <w:color w:val="auto"/>
        </w:rPr>
        <w:t xml:space="preserve">Referrals and payment system </w:t>
      </w:r>
      <w:r w:rsidR="00AC1151" w:rsidRPr="00AC1151">
        <w:rPr>
          <w:b/>
          <w:bCs/>
          <w:color w:val="auto"/>
        </w:rPr>
        <w:t xml:space="preserve"> </w:t>
      </w:r>
    </w:p>
    <w:p w:rsidR="00522DF7" w:rsidRPr="00AC1151" w:rsidRDefault="008A45C0" w:rsidP="00EC0606">
      <w:pPr>
        <w:numPr>
          <w:ilvl w:val="1"/>
          <w:numId w:val="13"/>
        </w:numPr>
        <w:tabs>
          <w:tab w:val="clear" w:pos="465"/>
        </w:tabs>
        <w:spacing w:after="240"/>
        <w:ind w:left="720" w:hanging="720"/>
        <w:rPr>
          <w:rFonts w:cs="Arial"/>
        </w:rPr>
      </w:pPr>
      <w:r w:rsidRPr="00AC1151">
        <w:t>Provider</w:t>
      </w:r>
      <w:r w:rsidR="00211CE2" w:rsidRPr="00AC1151">
        <w:t xml:space="preserve">s will use the </w:t>
      </w:r>
      <w:r w:rsidRPr="00AC1151">
        <w:t>Provider</w:t>
      </w:r>
      <w:r w:rsidR="00CD2E8A" w:rsidRPr="00AC1151">
        <w:t xml:space="preserve"> Referrals and Payments</w:t>
      </w:r>
      <w:r w:rsidR="0026523D" w:rsidRPr="00AC1151">
        <w:t xml:space="preserve"> (</w:t>
      </w:r>
      <w:proofErr w:type="spellStart"/>
      <w:r w:rsidR="0026523D" w:rsidRPr="00AC1151">
        <w:t>PRaP</w:t>
      </w:r>
      <w:proofErr w:type="spellEnd"/>
      <w:r w:rsidR="0026523D" w:rsidRPr="00AC1151">
        <w:t xml:space="preserve">) </w:t>
      </w:r>
      <w:r w:rsidR="00C94E0E" w:rsidRPr="00AC1151">
        <w:t xml:space="preserve">system </w:t>
      </w:r>
      <w:r w:rsidR="00211CE2" w:rsidRPr="00AC1151">
        <w:t>to receive their referrals</w:t>
      </w:r>
      <w:r w:rsidR="00EB31CE" w:rsidRPr="00AC1151">
        <w:t xml:space="preserve"> and to record </w:t>
      </w:r>
      <w:r w:rsidRPr="00AC1151">
        <w:t>Participant</w:t>
      </w:r>
      <w:r w:rsidR="000249F3" w:rsidRPr="00AC1151">
        <w:t xml:space="preserve"> </w:t>
      </w:r>
      <w:r w:rsidR="00EB31CE" w:rsidRPr="00AC1151">
        <w:t>activity</w:t>
      </w:r>
      <w:r w:rsidR="002702B0" w:rsidRPr="00AC1151">
        <w:t>.</w:t>
      </w:r>
      <w:r w:rsidR="00EB31CE" w:rsidRPr="00AC1151">
        <w:t xml:space="preserve"> </w:t>
      </w:r>
      <w:r w:rsidR="00464F25" w:rsidRPr="00AC1151">
        <w:t>W</w:t>
      </w:r>
      <w:r w:rsidR="00BE44B6" w:rsidRPr="00AC1151">
        <w:t xml:space="preserve">hen </w:t>
      </w:r>
      <w:r w:rsidR="001A28C2" w:rsidRPr="00AC1151">
        <w:t>a</w:t>
      </w:r>
      <w:r w:rsidR="00907395" w:rsidRPr="00AC1151">
        <w:t xml:space="preserve"> </w:t>
      </w:r>
      <w:r w:rsidR="00E61028" w:rsidRPr="00AC1151">
        <w:t xml:space="preserve">NEA </w:t>
      </w:r>
      <w:r w:rsidR="00D06D68" w:rsidRPr="00AC1151">
        <w:t>S</w:t>
      </w:r>
      <w:r w:rsidR="00DF3B92" w:rsidRPr="00AC1151">
        <w:t>tart</w:t>
      </w:r>
      <w:r w:rsidR="006041C5" w:rsidRPr="00AC1151">
        <w:t xml:space="preserve"> date</w:t>
      </w:r>
      <w:r w:rsidR="00CF67CA" w:rsidRPr="00AC1151">
        <w:t xml:space="preserve">, </w:t>
      </w:r>
      <w:r w:rsidR="00031ADF">
        <w:t>c</w:t>
      </w:r>
      <w:r w:rsidR="00E61028" w:rsidRPr="00AC1151">
        <w:t xml:space="preserve">ompletion of pre </w:t>
      </w:r>
      <w:proofErr w:type="spellStart"/>
      <w:r w:rsidR="00E61028" w:rsidRPr="00AC1151">
        <w:t>start up</w:t>
      </w:r>
      <w:proofErr w:type="spellEnd"/>
      <w:r w:rsidR="00E61028" w:rsidRPr="00AC1151">
        <w:t xml:space="preserve"> period</w:t>
      </w:r>
      <w:r w:rsidR="0066562A">
        <w:t>/mentoring phase</w:t>
      </w:r>
      <w:r w:rsidR="00E61028" w:rsidRPr="00AC1151">
        <w:t xml:space="preserve"> </w:t>
      </w:r>
      <w:r w:rsidR="00CF67CA" w:rsidRPr="00AC1151">
        <w:t>date</w:t>
      </w:r>
      <w:r w:rsidR="00383C91" w:rsidRPr="00AC1151">
        <w:t xml:space="preserve">, </w:t>
      </w:r>
      <w:r w:rsidR="00E61028" w:rsidRPr="00AC1151">
        <w:t xml:space="preserve">Starting Trading </w:t>
      </w:r>
      <w:r w:rsidR="00383C91" w:rsidRPr="00AC1151">
        <w:t>Date</w:t>
      </w:r>
      <w:r w:rsidR="00CF67CA" w:rsidRPr="00AC1151">
        <w:t xml:space="preserve"> </w:t>
      </w:r>
      <w:r w:rsidR="006041C5" w:rsidRPr="00AC1151">
        <w:t xml:space="preserve">or </w:t>
      </w:r>
      <w:r w:rsidR="00E61028" w:rsidRPr="00AC1151">
        <w:t xml:space="preserve">completion of </w:t>
      </w:r>
      <w:r w:rsidR="00AC1151" w:rsidRPr="00AC1151">
        <w:t xml:space="preserve">6 </w:t>
      </w:r>
      <w:r w:rsidR="006339F2">
        <w:t xml:space="preserve">months / 26 weeks </w:t>
      </w:r>
      <w:r w:rsidR="00E61028" w:rsidRPr="00AC1151">
        <w:t>Trading</w:t>
      </w:r>
      <w:r w:rsidR="0066562A">
        <w:t>/increased earnings</w:t>
      </w:r>
      <w:r w:rsidR="00E61028" w:rsidRPr="00AC1151">
        <w:t xml:space="preserve"> date</w:t>
      </w:r>
      <w:r w:rsidR="006041C5" w:rsidRPr="00AC1151">
        <w:t xml:space="preserve"> are entered </w:t>
      </w:r>
      <w:r w:rsidR="00BE44B6" w:rsidRPr="00AC1151">
        <w:t xml:space="preserve">into </w:t>
      </w:r>
      <w:proofErr w:type="spellStart"/>
      <w:r w:rsidR="0039400D" w:rsidRPr="00AC1151">
        <w:t>PRaP</w:t>
      </w:r>
      <w:proofErr w:type="spellEnd"/>
      <w:r w:rsidR="00C94E0E" w:rsidRPr="00AC1151">
        <w:t xml:space="preserve"> </w:t>
      </w:r>
      <w:r w:rsidR="00AC1151" w:rsidRPr="00AC1151">
        <w:t xml:space="preserve">where appropriate </w:t>
      </w:r>
      <w:r w:rsidR="00464F25" w:rsidRPr="00AC1151">
        <w:t>it will prompt the system to release a payment</w:t>
      </w:r>
      <w:r w:rsidR="006041C5" w:rsidRPr="00AC1151">
        <w:t>,</w:t>
      </w:r>
      <w:r w:rsidR="000627C5" w:rsidRPr="00AC1151">
        <w:t xml:space="preserve"> </w:t>
      </w:r>
      <w:r w:rsidR="006041C5" w:rsidRPr="00AC1151">
        <w:t>subject to</w:t>
      </w:r>
      <w:r w:rsidR="00E75EAA" w:rsidRPr="00AC1151">
        <w:t xml:space="preserve"> validation</w:t>
      </w:r>
      <w:r w:rsidR="006041C5" w:rsidRPr="00AC1151">
        <w:t xml:space="preserve"> by DWP</w:t>
      </w:r>
      <w:r w:rsidR="004C2898" w:rsidRPr="00AC1151">
        <w:t xml:space="preserve"> </w:t>
      </w:r>
      <w:hyperlink w:anchor="_EVIDENCE_REQUIREMENTS" w:history="1">
        <w:r w:rsidR="004C2898" w:rsidRPr="00AC1151">
          <w:rPr>
            <w:rStyle w:val="Hyperlink"/>
            <w:color w:val="auto"/>
          </w:rPr>
          <w:t>(</w:t>
        </w:r>
        <w:r w:rsidR="0037031C" w:rsidRPr="00AC1151">
          <w:rPr>
            <w:rStyle w:val="Hyperlink"/>
            <w:i/>
            <w:color w:val="auto"/>
          </w:rPr>
          <w:t xml:space="preserve">See Annex </w:t>
        </w:r>
        <w:r w:rsidR="00BF6FC1">
          <w:rPr>
            <w:rStyle w:val="Hyperlink"/>
            <w:i/>
            <w:color w:val="auto"/>
          </w:rPr>
          <w:t>6</w:t>
        </w:r>
        <w:r w:rsidR="00D468D5" w:rsidRPr="00AC1151">
          <w:rPr>
            <w:rStyle w:val="Hyperlink"/>
            <w:i/>
            <w:color w:val="auto"/>
          </w:rPr>
          <w:t xml:space="preserve"> – Evidence Requirements</w:t>
        </w:r>
      </w:hyperlink>
      <w:r w:rsidR="0037031C" w:rsidRPr="00AC1151">
        <w:t xml:space="preserve"> for further information on making claims for payments</w:t>
      </w:r>
      <w:r w:rsidR="004C2898" w:rsidRPr="00AC1151">
        <w:t>)</w:t>
      </w:r>
      <w:r w:rsidR="00592EDD" w:rsidRPr="00AC1151">
        <w:t>.</w:t>
      </w:r>
      <w:r w:rsidR="00E75EAA" w:rsidRPr="00AC1151">
        <w:t xml:space="preserve"> </w:t>
      </w:r>
      <w:r w:rsidR="00EB31CE" w:rsidRPr="00AC1151">
        <w:t xml:space="preserve"> </w:t>
      </w:r>
    </w:p>
    <w:p w:rsidR="00211CE2" w:rsidRPr="00AC1151" w:rsidRDefault="008A45C0" w:rsidP="00EC0606">
      <w:pPr>
        <w:numPr>
          <w:ilvl w:val="1"/>
          <w:numId w:val="13"/>
        </w:numPr>
        <w:tabs>
          <w:tab w:val="clear" w:pos="465"/>
        </w:tabs>
        <w:spacing w:after="240"/>
        <w:ind w:left="720" w:hanging="720"/>
        <w:rPr>
          <w:rFonts w:cs="Arial"/>
        </w:rPr>
      </w:pPr>
      <w:r w:rsidRPr="00AC1151">
        <w:t>Provider</w:t>
      </w:r>
      <w:r w:rsidR="00211CE2" w:rsidRPr="00AC1151">
        <w:t>s will therefore need to have met relevant security requirements when contracts go live</w:t>
      </w:r>
      <w:r w:rsidR="00211CE2" w:rsidRPr="00AC1151">
        <w:rPr>
          <w:rFonts w:cs="Arial"/>
        </w:rPr>
        <w:t xml:space="preserve">. More information on </w:t>
      </w:r>
      <w:r w:rsidR="00C94E0E" w:rsidRPr="00AC1151">
        <w:rPr>
          <w:rFonts w:cs="Arial"/>
        </w:rPr>
        <w:t xml:space="preserve">the </w:t>
      </w:r>
      <w:proofErr w:type="spellStart"/>
      <w:r w:rsidR="00211CE2" w:rsidRPr="00AC1151">
        <w:rPr>
          <w:rFonts w:cs="Arial"/>
        </w:rPr>
        <w:t>PRaP</w:t>
      </w:r>
      <w:proofErr w:type="spellEnd"/>
      <w:r w:rsidR="00211CE2" w:rsidRPr="00AC1151">
        <w:rPr>
          <w:rFonts w:cs="Arial"/>
        </w:rPr>
        <w:t xml:space="preserve"> </w:t>
      </w:r>
      <w:r w:rsidR="003A40DB" w:rsidRPr="00AC1151">
        <w:rPr>
          <w:rFonts w:cs="Arial"/>
        </w:rPr>
        <w:t xml:space="preserve">system </w:t>
      </w:r>
      <w:r w:rsidR="00211CE2" w:rsidRPr="00AC1151">
        <w:rPr>
          <w:rFonts w:cs="Arial"/>
        </w:rPr>
        <w:t>can be found at:</w:t>
      </w:r>
      <w:r w:rsidR="00FD7FC4" w:rsidRPr="00AC1151">
        <w:rPr>
          <w:rFonts w:cs="Arial"/>
        </w:rPr>
        <w:t xml:space="preserve"> </w:t>
      </w:r>
    </w:p>
    <w:p w:rsidR="005C6A09" w:rsidRPr="00AC1151" w:rsidRDefault="00566ACC" w:rsidP="00690E9E">
      <w:pPr>
        <w:spacing w:after="240"/>
        <w:ind w:left="720"/>
      </w:pPr>
      <w:hyperlink r:id="rId14" w:history="1">
        <w:r w:rsidR="00E407BA" w:rsidRPr="00AC1151">
          <w:rPr>
            <w:rStyle w:val="Hyperlink"/>
            <w:rFonts w:cs="Arial"/>
            <w:color w:val="auto"/>
          </w:rPr>
          <w:t>https://www.gov.uk/government/publications/</w:t>
        </w:r>
        <w:r w:rsidR="008A45C0" w:rsidRPr="00AC1151">
          <w:rPr>
            <w:rStyle w:val="Hyperlink"/>
            <w:rFonts w:cs="Arial"/>
            <w:color w:val="auto"/>
          </w:rPr>
          <w:t>Provider</w:t>
        </w:r>
        <w:r w:rsidR="00E407BA" w:rsidRPr="00AC1151">
          <w:rPr>
            <w:rStyle w:val="Hyperlink"/>
            <w:rFonts w:cs="Arial"/>
            <w:color w:val="auto"/>
          </w:rPr>
          <w:t>-referrals-and-payments-prap-system-for-dwp</w:t>
        </w:r>
      </w:hyperlink>
      <w:r w:rsidR="00E407BA" w:rsidRPr="00AC1151">
        <w:rPr>
          <w:rFonts w:cs="Arial"/>
        </w:rPr>
        <w:t xml:space="preserve"> </w:t>
      </w:r>
    </w:p>
    <w:p w:rsidR="00756997" w:rsidRPr="00AC1151" w:rsidRDefault="005C6A09" w:rsidP="00EC0606">
      <w:pPr>
        <w:numPr>
          <w:ilvl w:val="1"/>
          <w:numId w:val="13"/>
        </w:numPr>
        <w:tabs>
          <w:tab w:val="clear" w:pos="465"/>
        </w:tabs>
        <w:spacing w:after="240"/>
        <w:ind w:left="720" w:hanging="720"/>
        <w:rPr>
          <w:rFonts w:cs="Arial"/>
          <w:iCs/>
          <w:lang w:eastAsia="en-GB"/>
        </w:rPr>
      </w:pPr>
      <w:r w:rsidRPr="00AC1151">
        <w:t xml:space="preserve">It should be noted that while the vast majority of referrals will be made through </w:t>
      </w:r>
      <w:proofErr w:type="spellStart"/>
      <w:r w:rsidRPr="00AC1151">
        <w:t>PRaP</w:t>
      </w:r>
      <w:proofErr w:type="spellEnd"/>
      <w:r w:rsidRPr="00AC1151">
        <w:t>, the</w:t>
      </w:r>
      <w:r w:rsidR="0073487E" w:rsidRPr="00AC1151">
        <w:t>re</w:t>
      </w:r>
      <w:r w:rsidRPr="00AC1151">
        <w:t xml:space="preserve"> may</w:t>
      </w:r>
      <w:r w:rsidR="001325E8" w:rsidRPr="00AC1151">
        <w:t xml:space="preserve"> </w:t>
      </w:r>
      <w:r w:rsidRPr="00AC1151">
        <w:t xml:space="preserve">be a very small number of referrals made clerically, not through </w:t>
      </w:r>
      <w:proofErr w:type="spellStart"/>
      <w:r w:rsidRPr="00AC1151">
        <w:t>PRaP</w:t>
      </w:r>
      <w:proofErr w:type="spellEnd"/>
      <w:r w:rsidRPr="00AC1151">
        <w:t>. These are cases where</w:t>
      </w:r>
      <w:r w:rsidR="00907395" w:rsidRPr="00AC1151">
        <w:t xml:space="preserve"> JCP</w:t>
      </w:r>
      <w:r w:rsidRPr="00AC1151">
        <w:t xml:space="preserve"> ha</w:t>
      </w:r>
      <w:r w:rsidR="006E4161" w:rsidRPr="00AC1151">
        <w:t>s</w:t>
      </w:r>
      <w:r w:rsidRPr="00AC1151">
        <w:t xml:space="preserve"> granted the </w:t>
      </w:r>
      <w:r w:rsidR="008A45C0" w:rsidRPr="00AC1151">
        <w:t>Participant</w:t>
      </w:r>
      <w:r w:rsidR="00ED1F6F" w:rsidRPr="00AC1151">
        <w:t xml:space="preserve"> </w:t>
      </w:r>
      <w:r w:rsidRPr="00AC1151">
        <w:t xml:space="preserve">'Special </w:t>
      </w:r>
      <w:r w:rsidR="00D468D5" w:rsidRPr="00AC1151">
        <w:t xml:space="preserve">Customer </w:t>
      </w:r>
      <w:r w:rsidR="006E4161" w:rsidRPr="00AC1151">
        <w:t>Record</w:t>
      </w:r>
      <w:r w:rsidRPr="00AC1151">
        <w:t xml:space="preserve"> Status' due to certain personal circumstances </w:t>
      </w:r>
      <w:r w:rsidR="00E2302D" w:rsidRPr="00AC1151">
        <w:t>(</w:t>
      </w:r>
      <w:r w:rsidR="00756997" w:rsidRPr="00AC1151">
        <w:t xml:space="preserve">further information regarding SCRs is </w:t>
      </w:r>
      <w:r w:rsidR="00DD0A2F" w:rsidRPr="00AC1151">
        <w:t>available</w:t>
      </w:r>
      <w:r w:rsidR="00756997" w:rsidRPr="00AC1151">
        <w:t xml:space="preserve"> </w:t>
      </w:r>
      <w:r w:rsidR="00AF1AB3" w:rsidRPr="00AC1151">
        <w:t>at</w:t>
      </w:r>
      <w:r w:rsidR="00D468D5" w:rsidRPr="00AC1151">
        <w:t>;</w:t>
      </w:r>
      <w:r w:rsidR="00756997" w:rsidRPr="00AC1151">
        <w:t xml:space="preserve"> </w:t>
      </w:r>
      <w:hyperlink r:id="rId15" w:history="1">
        <w:r w:rsidR="00E407BA" w:rsidRPr="00AC1151">
          <w:rPr>
            <w:rStyle w:val="Hyperlink"/>
            <w:color w:val="auto"/>
          </w:rPr>
          <w:t>https://www.gov.uk/government/uploads/system/uploads/attachment_data/file/278159/pg-chapter-2.pdf</w:t>
        </w:r>
      </w:hyperlink>
      <w:proofErr w:type="gramStart"/>
      <w:r w:rsidR="00756997" w:rsidRPr="00AC1151">
        <w:t>)</w:t>
      </w:r>
      <w:r w:rsidR="00E407BA" w:rsidRPr="00AC1151">
        <w:t xml:space="preserve"> </w:t>
      </w:r>
      <w:r w:rsidR="00756997" w:rsidRPr="00AC1151">
        <w:t>.</w:t>
      </w:r>
      <w:proofErr w:type="gramEnd"/>
      <w:r w:rsidR="00102D22" w:rsidRPr="00AC1151">
        <w:rPr>
          <w:b/>
        </w:rPr>
        <w:t xml:space="preserve"> </w:t>
      </w:r>
    </w:p>
    <w:p w:rsidR="00C34F2B" w:rsidRPr="00AC1151" w:rsidRDefault="008A18D9" w:rsidP="00EC0606">
      <w:pPr>
        <w:numPr>
          <w:ilvl w:val="1"/>
          <w:numId w:val="13"/>
        </w:numPr>
        <w:tabs>
          <w:tab w:val="clear" w:pos="465"/>
        </w:tabs>
        <w:spacing w:after="240"/>
        <w:ind w:left="720" w:hanging="720"/>
      </w:pPr>
      <w:r w:rsidRPr="00AC1151">
        <w:t>D</w:t>
      </w:r>
      <w:r w:rsidR="008432D6" w:rsidRPr="00AC1151">
        <w:t xml:space="preserve">irect access to </w:t>
      </w:r>
      <w:proofErr w:type="spellStart"/>
      <w:r w:rsidR="008432D6" w:rsidRPr="00AC1151">
        <w:t>PRaP</w:t>
      </w:r>
      <w:proofErr w:type="spellEnd"/>
      <w:r w:rsidR="008432D6" w:rsidRPr="00AC1151">
        <w:t xml:space="preserve"> will be limited to</w:t>
      </w:r>
      <w:r w:rsidR="00907395" w:rsidRPr="00AC1151">
        <w:t xml:space="preserve"> </w:t>
      </w:r>
      <w:r w:rsidR="00E61028" w:rsidRPr="00AC1151">
        <w:t xml:space="preserve">NEA </w:t>
      </w:r>
      <w:r w:rsidR="00C83B24" w:rsidRPr="00AC1151">
        <w:rPr>
          <w:rFonts w:cs="Arial"/>
          <w:lang w:eastAsia="en-GB"/>
        </w:rPr>
        <w:t>Phase 2</w:t>
      </w:r>
      <w:r w:rsidR="00C83B24" w:rsidRPr="00AC1151">
        <w:t xml:space="preserve"> </w:t>
      </w:r>
      <w:r w:rsidR="003A40DB" w:rsidRPr="00AC1151">
        <w:t>P</w:t>
      </w:r>
      <w:r w:rsidR="008432D6" w:rsidRPr="00AC1151">
        <w:t xml:space="preserve">rime </w:t>
      </w:r>
      <w:r w:rsidR="008A45C0" w:rsidRPr="00AC1151">
        <w:t>Provider</w:t>
      </w:r>
      <w:r w:rsidR="008432D6" w:rsidRPr="00AC1151">
        <w:t>s</w:t>
      </w:r>
      <w:r w:rsidR="005750DE" w:rsidRPr="00AC1151">
        <w:t xml:space="preserve"> / Contract Holders</w:t>
      </w:r>
      <w:r w:rsidR="00C34F2B" w:rsidRPr="00AC1151">
        <w:t>.</w:t>
      </w:r>
    </w:p>
    <w:p w:rsidR="00C34F2B" w:rsidRPr="0052535F" w:rsidRDefault="00C34F2B" w:rsidP="00C34F2B">
      <w:pPr>
        <w:spacing w:after="240"/>
      </w:pPr>
      <w:r w:rsidRPr="0052535F">
        <w:rPr>
          <w:b/>
          <w:bCs/>
        </w:rPr>
        <w:t>Business Continuity</w:t>
      </w:r>
    </w:p>
    <w:p w:rsidR="00EE0111" w:rsidRDefault="00C34F2B" w:rsidP="00EC0606">
      <w:pPr>
        <w:numPr>
          <w:ilvl w:val="1"/>
          <w:numId w:val="13"/>
        </w:numPr>
        <w:tabs>
          <w:tab w:val="clear" w:pos="465"/>
        </w:tabs>
        <w:spacing w:after="240"/>
        <w:ind w:left="720" w:hanging="720"/>
      </w:pPr>
      <w:r w:rsidRPr="0052535F">
        <w:t xml:space="preserve">As part of the contract start up, Providers will be asked to supply details of how business continuity arrangements will be implemented and how these requirements will be covered. </w:t>
      </w:r>
    </w:p>
    <w:p w:rsidR="008432D6" w:rsidRPr="0052535F" w:rsidRDefault="00C34F2B" w:rsidP="002E64F8">
      <w:pPr>
        <w:spacing w:after="240"/>
      </w:pPr>
      <w:r w:rsidRPr="0052535F">
        <w:t>We expect Providers to:</w:t>
      </w:r>
    </w:p>
    <w:p w:rsidR="00C34F2B" w:rsidRPr="0052535F" w:rsidRDefault="00C34F2B" w:rsidP="00EC0606">
      <w:pPr>
        <w:numPr>
          <w:ilvl w:val="0"/>
          <w:numId w:val="42"/>
        </w:numPr>
        <w:autoSpaceDE w:val="0"/>
        <w:autoSpaceDN w:val="0"/>
        <w:adjustRightInd w:val="0"/>
        <w:rPr>
          <w:rFonts w:cs="Arial"/>
        </w:rPr>
      </w:pPr>
      <w:r w:rsidRPr="0052535F">
        <w:rPr>
          <w:rFonts w:cs="Arial"/>
        </w:rPr>
        <w:t>Provide robust Business Continuity Plans and Disaster Recovery Arrangements for all services;</w:t>
      </w:r>
    </w:p>
    <w:p w:rsidR="00C34F2B" w:rsidRPr="0052535F" w:rsidRDefault="00C34F2B" w:rsidP="00EC0606">
      <w:pPr>
        <w:numPr>
          <w:ilvl w:val="0"/>
          <w:numId w:val="42"/>
        </w:numPr>
        <w:autoSpaceDE w:val="0"/>
        <w:autoSpaceDN w:val="0"/>
        <w:adjustRightInd w:val="0"/>
        <w:rPr>
          <w:rFonts w:cs="Arial"/>
        </w:rPr>
      </w:pPr>
      <w:r w:rsidRPr="0052535F">
        <w:rPr>
          <w:rFonts w:cs="Arial"/>
        </w:rPr>
        <w:t>Provide DWP with sufficient evidence to demonstrate these are in place;</w:t>
      </w:r>
    </w:p>
    <w:p w:rsidR="00C34F2B" w:rsidRPr="0052535F" w:rsidRDefault="00C34F2B" w:rsidP="00EC0606">
      <w:pPr>
        <w:numPr>
          <w:ilvl w:val="0"/>
          <w:numId w:val="42"/>
        </w:numPr>
        <w:autoSpaceDE w:val="0"/>
        <w:autoSpaceDN w:val="0"/>
        <w:adjustRightInd w:val="0"/>
        <w:rPr>
          <w:rFonts w:cs="Arial"/>
        </w:rPr>
      </w:pPr>
      <w:r w:rsidRPr="0052535F">
        <w:rPr>
          <w:rFonts w:cs="Arial"/>
        </w:rPr>
        <w:t>Regularly test all contingency arrangements, providing relevant evidence and outcomes of tests to DWP via Category Managers; and</w:t>
      </w:r>
    </w:p>
    <w:p w:rsidR="00C34F2B" w:rsidRPr="0052535F" w:rsidRDefault="00C34F2B" w:rsidP="00EC0606">
      <w:pPr>
        <w:numPr>
          <w:ilvl w:val="0"/>
          <w:numId w:val="42"/>
        </w:numPr>
        <w:spacing w:after="240"/>
      </w:pPr>
      <w:r w:rsidRPr="0052535F">
        <w:rPr>
          <w:rFonts w:cs="Arial"/>
        </w:rPr>
        <w:t>Immediately notify DWP in the event of a business continuity incident or a significant disaster</w:t>
      </w:r>
    </w:p>
    <w:p w:rsidR="0052535F" w:rsidRDefault="0052535F" w:rsidP="0052535F">
      <w:pPr>
        <w:spacing w:after="240"/>
        <w:rPr>
          <w:rFonts w:cs="Arial"/>
          <w:color w:val="FF0000"/>
        </w:rPr>
      </w:pPr>
    </w:p>
    <w:p w:rsidR="0052535F" w:rsidRDefault="0052535F" w:rsidP="0052535F">
      <w:pPr>
        <w:spacing w:after="240"/>
        <w:rPr>
          <w:color w:val="FF0000"/>
        </w:rPr>
      </w:pPr>
    </w:p>
    <w:p w:rsidR="007523F9" w:rsidRDefault="007523F9" w:rsidP="0052535F">
      <w:pPr>
        <w:spacing w:after="240"/>
        <w:rPr>
          <w:color w:val="FF0000"/>
        </w:rPr>
      </w:pPr>
    </w:p>
    <w:p w:rsidR="00053A12" w:rsidRPr="00402D61" w:rsidRDefault="00053A12" w:rsidP="0052535F">
      <w:pPr>
        <w:spacing w:after="240"/>
        <w:rPr>
          <w:color w:val="FF0000"/>
        </w:rPr>
      </w:pPr>
    </w:p>
    <w:p w:rsidR="00356DA6" w:rsidRDefault="00356DA6" w:rsidP="001E0F31">
      <w:pPr>
        <w:spacing w:after="240"/>
        <w:rPr>
          <w:b/>
        </w:rPr>
      </w:pPr>
    </w:p>
    <w:p w:rsidR="001E0F31" w:rsidRPr="0052535F" w:rsidRDefault="001E0F31" w:rsidP="001E0F31">
      <w:pPr>
        <w:spacing w:after="240"/>
        <w:rPr>
          <w:b/>
        </w:rPr>
      </w:pPr>
      <w:r w:rsidRPr="0052535F">
        <w:rPr>
          <w:b/>
        </w:rPr>
        <w:t>Maintaining and Improving Quality</w:t>
      </w:r>
    </w:p>
    <w:p w:rsidR="00C34F2B" w:rsidRPr="0052535F" w:rsidRDefault="00C34F2B" w:rsidP="00EC0606">
      <w:pPr>
        <w:numPr>
          <w:ilvl w:val="1"/>
          <w:numId w:val="13"/>
        </w:numPr>
        <w:tabs>
          <w:tab w:val="clear" w:pos="465"/>
        </w:tabs>
        <w:spacing w:after="240"/>
        <w:ind w:left="720" w:hanging="720"/>
      </w:pPr>
      <w:r w:rsidRPr="0052535F">
        <w:t xml:space="preserve">Providers </w:t>
      </w:r>
      <w:r w:rsidR="00C71AFC">
        <w:t>must</w:t>
      </w:r>
      <w:r w:rsidRPr="0052535F">
        <w:t xml:space="preserve"> be able to demonstrate continuous improvement of mentoring standards and the quality of mentoring provided to all participants.  They will also need to demonstrate that the information given during the </w:t>
      </w:r>
      <w:r w:rsidR="00137652">
        <w:t xml:space="preserve">Link </w:t>
      </w:r>
      <w:proofErr w:type="gramStart"/>
      <w:r w:rsidR="00137652">
        <w:t>Up :</w:t>
      </w:r>
      <w:proofErr w:type="gramEnd"/>
      <w:r w:rsidR="00137652">
        <w:t xml:space="preserve"> Start Up</w:t>
      </w:r>
      <w:r w:rsidR="00137652" w:rsidRPr="0052535F">
        <w:t xml:space="preserve"> </w:t>
      </w:r>
      <w:r w:rsidRPr="0052535F">
        <w:t>Workshops and during the seminars of the mentoring phase is high quality, up to date and relevant to the needs of the audience.</w:t>
      </w:r>
    </w:p>
    <w:p w:rsidR="001E0F31" w:rsidRPr="0052535F" w:rsidRDefault="001E0F31" w:rsidP="001E0F31">
      <w:pPr>
        <w:pStyle w:val="Default"/>
        <w:spacing w:after="240"/>
        <w:rPr>
          <w:b/>
          <w:bCs/>
          <w:color w:val="auto"/>
        </w:rPr>
      </w:pPr>
      <w:r w:rsidRPr="0052535F">
        <w:rPr>
          <w:b/>
          <w:bCs/>
          <w:color w:val="auto"/>
        </w:rPr>
        <w:t>Participant feedback and complaints handling</w:t>
      </w:r>
    </w:p>
    <w:p w:rsidR="00DF129C" w:rsidRPr="0052535F" w:rsidRDefault="008A45C0" w:rsidP="00EC0606">
      <w:pPr>
        <w:numPr>
          <w:ilvl w:val="1"/>
          <w:numId w:val="13"/>
        </w:numPr>
        <w:tabs>
          <w:tab w:val="clear" w:pos="465"/>
        </w:tabs>
        <w:spacing w:after="240"/>
        <w:ind w:left="720" w:hanging="720"/>
      </w:pPr>
      <w:r w:rsidRPr="0052535F">
        <w:t>Provider</w:t>
      </w:r>
      <w:r w:rsidR="00DF129C" w:rsidRPr="0052535F">
        <w:t xml:space="preserve">s must have an appropriate complaints process across the whole supply chain to attempt to resolve </w:t>
      </w:r>
      <w:r w:rsidRPr="0052535F">
        <w:t>Participant</w:t>
      </w:r>
      <w:r w:rsidR="00DF129C" w:rsidRPr="0052535F">
        <w:t xml:space="preserve">s’ complaints. Where complaints cannot be resolved, a </w:t>
      </w:r>
      <w:r w:rsidRPr="0052535F">
        <w:t>Participant</w:t>
      </w:r>
      <w:r w:rsidR="000249F3" w:rsidRPr="0052535F">
        <w:t xml:space="preserve"> </w:t>
      </w:r>
      <w:r w:rsidR="00DF129C" w:rsidRPr="0052535F">
        <w:t xml:space="preserve">can complain to the Independent Case Examiner (ICE). ICE will mediate between the </w:t>
      </w:r>
      <w:r w:rsidR="00135713" w:rsidRPr="0052535F">
        <w:t>p</w:t>
      </w:r>
      <w:r w:rsidR="00DF129C" w:rsidRPr="0052535F">
        <w:t xml:space="preserve">rime </w:t>
      </w:r>
      <w:r w:rsidRPr="0052535F">
        <w:t>Provider</w:t>
      </w:r>
      <w:r w:rsidR="00DF129C" w:rsidRPr="0052535F">
        <w:t xml:space="preserve"> and </w:t>
      </w:r>
      <w:r w:rsidRPr="0052535F">
        <w:t>Participant</w:t>
      </w:r>
      <w:r w:rsidR="000249F3" w:rsidRPr="0052535F">
        <w:t xml:space="preserve"> </w:t>
      </w:r>
      <w:r w:rsidR="00DF129C" w:rsidRPr="0052535F">
        <w:t xml:space="preserve">to attempt to broker a resolution. </w:t>
      </w:r>
    </w:p>
    <w:p w:rsidR="00DF129C" w:rsidRPr="0052535F" w:rsidRDefault="00DF129C" w:rsidP="00EC0606">
      <w:pPr>
        <w:numPr>
          <w:ilvl w:val="1"/>
          <w:numId w:val="13"/>
        </w:numPr>
        <w:tabs>
          <w:tab w:val="clear" w:pos="465"/>
        </w:tabs>
        <w:spacing w:after="240"/>
        <w:ind w:left="720" w:hanging="720"/>
      </w:pPr>
      <w:r w:rsidRPr="0052535F">
        <w:t xml:space="preserve">If a resolution cannot be agreed between either party, ICE will undertake a full investigation of the complaint. If the complaint is upheld at this stage, in part or in full, then the </w:t>
      </w:r>
      <w:r w:rsidR="008A45C0" w:rsidRPr="0052535F">
        <w:t>Provider</w:t>
      </w:r>
      <w:r w:rsidRPr="0052535F">
        <w:t xml:space="preserve"> will be charged a fee of £5,000 and will also be liable for any financial redress recommended by ICE. In the event that the complaint against the </w:t>
      </w:r>
      <w:r w:rsidR="00135713" w:rsidRPr="0052535F">
        <w:t>p</w:t>
      </w:r>
      <w:r w:rsidRPr="0052535F">
        <w:t xml:space="preserve">rime </w:t>
      </w:r>
      <w:r w:rsidR="00135713" w:rsidRPr="0052535F">
        <w:t>c</w:t>
      </w:r>
      <w:r w:rsidRPr="0052535F">
        <w:t xml:space="preserve">ontractor or </w:t>
      </w:r>
      <w:r w:rsidR="00135713" w:rsidRPr="0052535F">
        <w:t>s</w:t>
      </w:r>
      <w:r w:rsidRPr="0052535F">
        <w:t xml:space="preserve">ub-contractor is dismissed, no fee shall be payable. Any fees in respect of complaints that have been upheld against the </w:t>
      </w:r>
      <w:r w:rsidR="00135713" w:rsidRPr="0052535F">
        <w:t>p</w:t>
      </w:r>
      <w:r w:rsidRPr="0052535F">
        <w:t xml:space="preserve">rime </w:t>
      </w:r>
      <w:r w:rsidR="00135713" w:rsidRPr="0052535F">
        <w:t>c</w:t>
      </w:r>
      <w:r w:rsidRPr="0052535F">
        <w:t xml:space="preserve">ontractor or the </w:t>
      </w:r>
      <w:r w:rsidR="00135713" w:rsidRPr="0052535F">
        <w:t>s</w:t>
      </w:r>
      <w:r w:rsidRPr="0052535F">
        <w:t xml:space="preserve">ub-contractor and any financial redress due to the </w:t>
      </w:r>
      <w:r w:rsidR="008A45C0" w:rsidRPr="0052535F">
        <w:t>Participant</w:t>
      </w:r>
      <w:r w:rsidR="000249F3" w:rsidRPr="0052535F">
        <w:t xml:space="preserve"> </w:t>
      </w:r>
      <w:r w:rsidRPr="0052535F">
        <w:t>shall be paid within four (4) weeks of the date of the ICE final investigation report.</w:t>
      </w:r>
    </w:p>
    <w:p w:rsidR="00F860F4" w:rsidRPr="00402D61" w:rsidRDefault="00A81469" w:rsidP="00EC0606">
      <w:pPr>
        <w:numPr>
          <w:ilvl w:val="1"/>
          <w:numId w:val="13"/>
        </w:numPr>
        <w:tabs>
          <w:tab w:val="clear" w:pos="465"/>
        </w:tabs>
        <w:spacing w:after="240"/>
        <w:ind w:left="720" w:hanging="720"/>
        <w:rPr>
          <w:rFonts w:cs="Arial"/>
          <w:iCs/>
          <w:color w:val="FF0000"/>
          <w:lang w:eastAsia="en-GB"/>
        </w:rPr>
      </w:pPr>
      <w:r w:rsidRPr="0052535F">
        <w:t>Further information regarding c</w:t>
      </w:r>
      <w:r w:rsidRPr="0052535F">
        <w:rPr>
          <w:rFonts w:eastAsia="MS Mincho"/>
        </w:rPr>
        <w:t xml:space="preserve">omplaint resolution can be found </w:t>
      </w:r>
      <w:r w:rsidR="00AF1AB3" w:rsidRPr="0052535F">
        <w:rPr>
          <w:rFonts w:eastAsia="MS Mincho"/>
        </w:rPr>
        <w:t>at</w:t>
      </w:r>
      <w:r w:rsidRPr="0052535F">
        <w:rPr>
          <w:rFonts w:eastAsia="MS Mincho"/>
        </w:rPr>
        <w:t xml:space="preserve">: </w:t>
      </w:r>
      <w:hyperlink r:id="rId16" w:history="1">
        <w:r w:rsidR="00E407BA" w:rsidRPr="0052535F">
          <w:rPr>
            <w:rStyle w:val="Hyperlink"/>
            <w:rFonts w:eastAsia="MS Mincho"/>
            <w:color w:val="auto"/>
          </w:rPr>
          <w:t>https://www.gov.uk/government/uploads/system/uploads/attachment_data/file/261107/core-briefing-pack-for-</w:t>
        </w:r>
        <w:r w:rsidR="008A45C0" w:rsidRPr="0052535F">
          <w:rPr>
            <w:rStyle w:val="Hyperlink"/>
            <w:rFonts w:eastAsia="MS Mincho"/>
            <w:color w:val="auto"/>
          </w:rPr>
          <w:t>Provider</w:t>
        </w:r>
        <w:r w:rsidR="00E407BA" w:rsidRPr="0052535F">
          <w:rPr>
            <w:rStyle w:val="Hyperlink"/>
            <w:rFonts w:eastAsia="MS Mincho"/>
            <w:color w:val="auto"/>
          </w:rPr>
          <w:t>s-complaints-resolution.pdf</w:t>
        </w:r>
      </w:hyperlink>
      <w:r w:rsidR="00E407BA" w:rsidRPr="00402D61">
        <w:rPr>
          <w:rFonts w:eastAsia="MS Mincho"/>
          <w:color w:val="FF0000"/>
        </w:rPr>
        <w:t xml:space="preserve"> </w:t>
      </w:r>
    </w:p>
    <w:p w:rsidR="00211CE2" w:rsidRPr="0052535F" w:rsidRDefault="00211CE2" w:rsidP="00690E9E">
      <w:pPr>
        <w:pStyle w:val="Default"/>
        <w:spacing w:after="240"/>
        <w:rPr>
          <w:b/>
          <w:bCs/>
          <w:color w:val="auto"/>
        </w:rPr>
      </w:pPr>
      <w:r w:rsidRPr="0052535F">
        <w:rPr>
          <w:b/>
          <w:bCs/>
          <w:color w:val="auto"/>
        </w:rPr>
        <w:t xml:space="preserve">Data Storage and Security </w:t>
      </w:r>
    </w:p>
    <w:p w:rsidR="005538F6" w:rsidRPr="0052535F" w:rsidRDefault="008A45C0" w:rsidP="00EC0606">
      <w:pPr>
        <w:numPr>
          <w:ilvl w:val="1"/>
          <w:numId w:val="13"/>
        </w:numPr>
        <w:tabs>
          <w:tab w:val="clear" w:pos="465"/>
        </w:tabs>
        <w:spacing w:after="240"/>
        <w:ind w:left="720" w:hanging="720"/>
      </w:pPr>
      <w:r w:rsidRPr="0052535F">
        <w:t>Provider</w:t>
      </w:r>
      <w:r w:rsidR="005538F6" w:rsidRPr="0052535F">
        <w:t xml:space="preserve">s will be required to comply with overall DWP data storage and data movement requirements. These obligations are included in the standard Terms &amp; Conditions and </w:t>
      </w:r>
      <w:r w:rsidR="00027671" w:rsidRPr="0052535F">
        <w:t xml:space="preserve">will </w:t>
      </w:r>
      <w:r w:rsidR="005538F6" w:rsidRPr="0052535F">
        <w:t xml:space="preserve">be made </w:t>
      </w:r>
      <w:r w:rsidR="00DD0A2F" w:rsidRPr="0052535F">
        <w:t>available</w:t>
      </w:r>
      <w:r w:rsidR="005538F6" w:rsidRPr="0052535F">
        <w:t xml:space="preserve"> to a </w:t>
      </w:r>
      <w:r w:rsidRPr="0052535F">
        <w:t>Provider</w:t>
      </w:r>
      <w:r w:rsidR="005538F6" w:rsidRPr="0052535F">
        <w:t xml:space="preserve">'s planning and IT departments. </w:t>
      </w:r>
      <w:hyperlink w:anchor="_ADDITIONAL_INFORMATION" w:history="1">
        <w:r w:rsidR="00993D4A">
          <w:rPr>
            <w:rStyle w:val="Hyperlink"/>
            <w:i/>
            <w:color w:val="auto"/>
          </w:rPr>
          <w:t>Annex 5</w:t>
        </w:r>
        <w:r w:rsidR="00D468D5" w:rsidRPr="0052535F">
          <w:rPr>
            <w:rStyle w:val="Hyperlink"/>
            <w:i/>
            <w:color w:val="auto"/>
          </w:rPr>
          <w:t xml:space="preserve"> – </w:t>
        </w:r>
      </w:hyperlink>
      <w:r w:rsidR="00E34648" w:rsidRPr="0052535F">
        <w:rPr>
          <w:i/>
          <w:u w:val="single"/>
        </w:rPr>
        <w:t>Additional Information</w:t>
      </w:r>
      <w:r w:rsidR="005538F6" w:rsidRPr="0052535F">
        <w:t xml:space="preserve"> outlines data protections and security requirements.</w:t>
      </w:r>
    </w:p>
    <w:p w:rsidR="00211CE2" w:rsidRPr="0052535F" w:rsidRDefault="00211CE2" w:rsidP="00690E9E">
      <w:pPr>
        <w:pStyle w:val="Default"/>
        <w:spacing w:after="240"/>
        <w:rPr>
          <w:b/>
          <w:bCs/>
          <w:color w:val="auto"/>
        </w:rPr>
      </w:pPr>
      <w:r w:rsidRPr="0052535F">
        <w:rPr>
          <w:b/>
          <w:bCs/>
          <w:color w:val="auto"/>
        </w:rPr>
        <w:t>Legal Requirements and Minimum Standards</w:t>
      </w:r>
    </w:p>
    <w:p w:rsidR="00211CE2" w:rsidRPr="0052535F" w:rsidRDefault="008A45C0" w:rsidP="00EC0606">
      <w:pPr>
        <w:numPr>
          <w:ilvl w:val="1"/>
          <w:numId w:val="13"/>
        </w:numPr>
        <w:tabs>
          <w:tab w:val="clear" w:pos="465"/>
        </w:tabs>
        <w:spacing w:after="240"/>
        <w:ind w:left="720" w:hanging="720"/>
      </w:pPr>
      <w:r w:rsidRPr="0052535F">
        <w:t>Provider</w:t>
      </w:r>
      <w:r w:rsidR="00592EDD" w:rsidRPr="0052535F">
        <w:t>s</w:t>
      </w:r>
      <w:r w:rsidR="00211CE2" w:rsidRPr="0052535F">
        <w:t xml:space="preserve"> must ensure that they remain compliant with current and future changes in the law, </w:t>
      </w:r>
      <w:r w:rsidR="00351CF3" w:rsidRPr="0052535F">
        <w:rPr>
          <w:rFonts w:cs="Arial"/>
        </w:rPr>
        <w:t>supporting the Secretary of State i</w:t>
      </w:r>
      <w:r w:rsidR="003F2DC4" w:rsidRPr="0052535F">
        <w:rPr>
          <w:rFonts w:cs="Arial"/>
        </w:rPr>
        <w:t>n</w:t>
      </w:r>
      <w:r w:rsidR="00351CF3" w:rsidRPr="0052535F">
        <w:rPr>
          <w:rFonts w:cs="Arial"/>
        </w:rPr>
        <w:t xml:space="preserve"> meeting all obligations under the relevant legislation and principal regulations as set out in the Terms and Conditions, and fraud prevention covered in the contract at Clause A8.</w:t>
      </w:r>
    </w:p>
    <w:p w:rsidR="00211CE2" w:rsidRPr="0052535F" w:rsidRDefault="00211CE2" w:rsidP="00EC0606">
      <w:pPr>
        <w:numPr>
          <w:ilvl w:val="1"/>
          <w:numId w:val="13"/>
        </w:numPr>
        <w:tabs>
          <w:tab w:val="clear" w:pos="465"/>
        </w:tabs>
        <w:spacing w:after="240"/>
        <w:ind w:left="720" w:hanging="720"/>
      </w:pPr>
      <w:r w:rsidRPr="0052535F">
        <w:lastRenderedPageBreak/>
        <w:t xml:space="preserve">Additionally, </w:t>
      </w:r>
      <w:r w:rsidR="008A45C0" w:rsidRPr="0052535F">
        <w:t>Provider</w:t>
      </w:r>
      <w:r w:rsidR="00592EDD" w:rsidRPr="0052535F">
        <w:t>s</w:t>
      </w:r>
      <w:r w:rsidRPr="0052535F">
        <w:t xml:space="preserve"> will need to have met the minimum standards for equality, diversity and equal opportunities including training and diversity pl</w:t>
      </w:r>
      <w:r w:rsidR="00DC65E2" w:rsidRPr="0052535F">
        <w:t xml:space="preserve">ans throughout the supply chain and that </w:t>
      </w:r>
      <w:r w:rsidR="001325E8" w:rsidRPr="0052535F">
        <w:t>partner</w:t>
      </w:r>
      <w:r w:rsidR="00DC65E2" w:rsidRPr="0052535F">
        <w:t xml:space="preserve"> organisations </w:t>
      </w:r>
      <w:r w:rsidR="001325E8" w:rsidRPr="0052535F">
        <w:t xml:space="preserve">and mentors </w:t>
      </w:r>
      <w:r w:rsidR="00DC65E2" w:rsidRPr="0052535F">
        <w:t>also adhere.</w:t>
      </w:r>
    </w:p>
    <w:p w:rsidR="0052535F" w:rsidRDefault="0052535F" w:rsidP="00690E9E">
      <w:pPr>
        <w:pStyle w:val="Default"/>
        <w:spacing w:after="240"/>
        <w:rPr>
          <w:b/>
          <w:bCs/>
          <w:color w:val="auto"/>
        </w:rPr>
      </w:pPr>
    </w:p>
    <w:p w:rsidR="00AC1151" w:rsidRDefault="00AC1151" w:rsidP="00690E9E">
      <w:pPr>
        <w:pStyle w:val="Default"/>
        <w:spacing w:after="240"/>
        <w:rPr>
          <w:b/>
          <w:bCs/>
          <w:color w:val="auto"/>
        </w:rPr>
      </w:pPr>
    </w:p>
    <w:p w:rsidR="00211CE2" w:rsidRPr="0052535F" w:rsidRDefault="00211CE2" w:rsidP="00690E9E">
      <w:pPr>
        <w:pStyle w:val="Default"/>
        <w:spacing w:after="240"/>
        <w:rPr>
          <w:b/>
          <w:bCs/>
          <w:color w:val="auto"/>
        </w:rPr>
      </w:pPr>
      <w:r w:rsidRPr="0052535F">
        <w:rPr>
          <w:b/>
          <w:bCs/>
          <w:color w:val="auto"/>
        </w:rPr>
        <w:t xml:space="preserve">Code of Conduct </w:t>
      </w:r>
      <w:r w:rsidR="00913DB8" w:rsidRPr="0052535F">
        <w:rPr>
          <w:b/>
          <w:bCs/>
          <w:color w:val="auto"/>
        </w:rPr>
        <w:t>and Merlin Standard</w:t>
      </w:r>
    </w:p>
    <w:p w:rsidR="003249D3" w:rsidRPr="0052535F" w:rsidRDefault="008A45C0" w:rsidP="00EC0606">
      <w:pPr>
        <w:numPr>
          <w:ilvl w:val="1"/>
          <w:numId w:val="13"/>
        </w:numPr>
        <w:tabs>
          <w:tab w:val="clear" w:pos="465"/>
        </w:tabs>
        <w:spacing w:after="240"/>
        <w:ind w:left="720" w:hanging="720"/>
        <w:rPr>
          <w:rFonts w:cs="Arial"/>
          <w:lang w:eastAsia="en-GB"/>
        </w:rPr>
      </w:pPr>
      <w:r w:rsidRPr="0052535F">
        <w:rPr>
          <w:rFonts w:cs="Arial"/>
          <w:lang w:eastAsia="en-GB"/>
        </w:rPr>
        <w:t>Provider</w:t>
      </w:r>
      <w:r w:rsidR="00E440FE" w:rsidRPr="0052535F">
        <w:rPr>
          <w:rFonts w:cs="Arial"/>
          <w:lang w:eastAsia="en-GB"/>
        </w:rPr>
        <w:t xml:space="preserve">s must ensure that all sub-contractual relationships adhere to the DWP Code of Conduct and they attain the Merlin Standard. </w:t>
      </w:r>
      <w:r w:rsidRPr="0052535F">
        <w:rPr>
          <w:rFonts w:cs="Arial"/>
          <w:lang w:eastAsia="en-GB"/>
        </w:rPr>
        <w:t>Provider</w:t>
      </w:r>
      <w:r w:rsidR="00E440FE" w:rsidRPr="0052535F">
        <w:rPr>
          <w:rFonts w:cs="Arial"/>
          <w:lang w:eastAsia="en-GB"/>
        </w:rPr>
        <w:t xml:space="preserve">s will be assessed against the Merlin Standard by a third party organisation within a year of contract go live and every two years thereafter. For further information regarding the Merlin Standard, please see: </w:t>
      </w:r>
      <w:hyperlink r:id="rId17" w:history="1">
        <w:r w:rsidR="000E7CC1" w:rsidRPr="0052535F">
          <w:rPr>
            <w:rStyle w:val="Hyperlink"/>
            <w:rFonts w:cs="Arial"/>
            <w:color w:val="auto"/>
            <w:lang w:eastAsia="en-GB"/>
          </w:rPr>
          <w:t>https://www.gov.uk/government/publications/the-merlin-standard-guide-for-dwp-</w:t>
        </w:r>
        <w:r w:rsidRPr="0052535F">
          <w:rPr>
            <w:rStyle w:val="Hyperlink"/>
            <w:rFonts w:cs="Arial"/>
            <w:color w:val="auto"/>
            <w:lang w:eastAsia="en-GB"/>
          </w:rPr>
          <w:t>Provider</w:t>
        </w:r>
        <w:r w:rsidR="000E7CC1" w:rsidRPr="0052535F">
          <w:rPr>
            <w:rStyle w:val="Hyperlink"/>
            <w:rFonts w:cs="Arial"/>
            <w:color w:val="auto"/>
            <w:lang w:eastAsia="en-GB"/>
          </w:rPr>
          <w:t>s</w:t>
        </w:r>
      </w:hyperlink>
      <w:r w:rsidR="000E7CC1" w:rsidRPr="0052535F">
        <w:rPr>
          <w:rFonts w:cs="Arial"/>
          <w:lang w:eastAsia="en-GB"/>
        </w:rPr>
        <w:t xml:space="preserve"> </w:t>
      </w:r>
      <w:r w:rsidR="000E7CC1" w:rsidRPr="0052535F" w:rsidDel="000E7CC1">
        <w:rPr>
          <w:rFonts w:cs="Arial"/>
          <w:lang w:eastAsia="en-GB"/>
        </w:rPr>
        <w:t xml:space="preserve"> </w:t>
      </w:r>
      <w:r w:rsidR="000E7CC1" w:rsidRPr="0052535F">
        <w:rPr>
          <w:rFonts w:cs="Arial"/>
          <w:lang w:eastAsia="en-GB"/>
        </w:rPr>
        <w:t xml:space="preserve"> </w:t>
      </w:r>
    </w:p>
    <w:p w:rsidR="00DF0D32" w:rsidRPr="0052535F" w:rsidRDefault="00DF0D32" w:rsidP="00690E9E">
      <w:pPr>
        <w:spacing w:before="240"/>
        <w:rPr>
          <w:rFonts w:cs="Arial"/>
          <w:b/>
        </w:rPr>
      </w:pPr>
      <w:bookmarkStart w:id="7" w:name="_5.__QUALITY,"/>
      <w:bookmarkEnd w:id="7"/>
      <w:r w:rsidRPr="0052535F">
        <w:rPr>
          <w:rFonts w:cs="Arial"/>
          <w:b/>
        </w:rPr>
        <w:t xml:space="preserve">Transfer </w:t>
      </w:r>
      <w:r w:rsidR="0019308A" w:rsidRPr="0052535F">
        <w:rPr>
          <w:rFonts w:cs="Arial"/>
          <w:b/>
        </w:rPr>
        <w:t>o</w:t>
      </w:r>
      <w:r w:rsidRPr="0052535F">
        <w:rPr>
          <w:rFonts w:cs="Arial"/>
          <w:b/>
        </w:rPr>
        <w:t xml:space="preserve">f Undertakings (Protection </w:t>
      </w:r>
      <w:r w:rsidR="0019308A" w:rsidRPr="0052535F">
        <w:rPr>
          <w:rFonts w:cs="Arial"/>
          <w:b/>
        </w:rPr>
        <w:t>o</w:t>
      </w:r>
      <w:r w:rsidRPr="0052535F">
        <w:rPr>
          <w:rFonts w:cs="Arial"/>
          <w:b/>
        </w:rPr>
        <w:t>f Employment) Regulations 2006 (T</w:t>
      </w:r>
      <w:r w:rsidR="00F22F41" w:rsidRPr="0052535F">
        <w:rPr>
          <w:rFonts w:cs="Arial"/>
          <w:b/>
        </w:rPr>
        <w:t>UPE</w:t>
      </w:r>
      <w:r w:rsidRPr="0052535F">
        <w:rPr>
          <w:rFonts w:cs="Arial"/>
          <w:b/>
        </w:rPr>
        <w:t>)</w:t>
      </w:r>
    </w:p>
    <w:p w:rsidR="00DF0D32" w:rsidRPr="0052535F" w:rsidRDefault="00DF0D32" w:rsidP="00690E9E">
      <w:pPr>
        <w:spacing w:after="240"/>
      </w:pPr>
    </w:p>
    <w:p w:rsidR="00556495" w:rsidRDefault="00DF0D32" w:rsidP="00690E9E">
      <w:pPr>
        <w:spacing w:after="240"/>
        <w:ind w:left="720" w:hanging="720"/>
        <w:rPr>
          <w:rFonts w:cs="Arial"/>
        </w:rPr>
      </w:pPr>
      <w:r w:rsidRPr="0052535F">
        <w:t>4.</w:t>
      </w:r>
      <w:r w:rsidR="00556495">
        <w:t>22</w:t>
      </w:r>
      <w:r w:rsidRPr="0052535F">
        <w:tab/>
      </w:r>
      <w:r w:rsidRPr="0052535F">
        <w:rPr>
          <w:rFonts w:cs="Arial"/>
        </w:rPr>
        <w:t>The purpose of TUPE is to protect employment rights, continuity of employment and the terms and conditions of service of people who are transferred from one employer to another when a business or part of a business (an undertaking) in which they work is transferred.  The new employer takes over all rights, duties and obligations of the former employer.  It is as though the individual’s contract of employment was originally made with the new employer and not the original employer.</w:t>
      </w:r>
    </w:p>
    <w:p w:rsidR="00556495" w:rsidRPr="00556495" w:rsidRDefault="00556495" w:rsidP="00690E9E">
      <w:pPr>
        <w:spacing w:after="240"/>
        <w:ind w:left="720" w:hanging="720"/>
        <w:rPr>
          <w:rFonts w:cs="Arial"/>
          <w:b/>
        </w:rPr>
      </w:pPr>
      <w:r w:rsidRPr="00556495">
        <w:rPr>
          <w:rFonts w:cs="Arial"/>
          <w:b/>
        </w:rPr>
        <w:t>Life Chances</w:t>
      </w:r>
    </w:p>
    <w:p w:rsidR="00556495" w:rsidRPr="00556495" w:rsidRDefault="00556495" w:rsidP="00556495">
      <w:pPr>
        <w:spacing w:before="100" w:beforeAutospacing="1" w:after="100" w:afterAutospacing="1"/>
        <w:ind w:left="720" w:hanging="720"/>
        <w:rPr>
          <w:rFonts w:cs="Arial"/>
          <w:lang w:val="en" w:eastAsia="en-GB"/>
        </w:rPr>
      </w:pPr>
      <w:r w:rsidRPr="00556495">
        <w:rPr>
          <w:rFonts w:cs="Arial"/>
          <w:lang w:val="en" w:eastAsia="en-GB"/>
        </w:rPr>
        <w:t>4.23</w:t>
      </w:r>
      <w:r>
        <w:rPr>
          <w:rFonts w:cs="Arial"/>
          <w:lang w:val="en" w:eastAsia="en-GB"/>
        </w:rPr>
        <w:tab/>
      </w:r>
      <w:r w:rsidRPr="00556495">
        <w:rPr>
          <w:rFonts w:cs="Arial"/>
          <w:lang w:val="en" w:eastAsia="en-GB"/>
        </w:rPr>
        <w:t xml:space="preserve">DWP is required by the Public Services (Social Value) Act 2012 to have regard to economic, social and environmental well-being in connection with public services contracts. Our contracts also include obligations from the </w:t>
      </w:r>
      <w:bookmarkStart w:id="8" w:name="P4_528"/>
      <w:bookmarkEnd w:id="8"/>
      <w:r w:rsidRPr="00556495">
        <w:rPr>
          <w:rFonts w:cs="Arial"/>
          <w:lang w:val="en" w:eastAsia="en-GB"/>
        </w:rPr>
        <w:t>Equality Act 2010.</w:t>
      </w:r>
    </w:p>
    <w:p w:rsidR="00556495" w:rsidRPr="00556495" w:rsidRDefault="00556495" w:rsidP="00556495">
      <w:pPr>
        <w:spacing w:before="100" w:beforeAutospacing="1" w:after="100" w:afterAutospacing="1"/>
        <w:ind w:left="720" w:hanging="720"/>
        <w:rPr>
          <w:rFonts w:cs="Arial"/>
          <w:lang w:val="en" w:eastAsia="en-GB"/>
        </w:rPr>
      </w:pPr>
      <w:r>
        <w:rPr>
          <w:rFonts w:cs="Arial"/>
          <w:lang w:val="en" w:eastAsia="en-GB"/>
        </w:rPr>
        <w:t>4.24</w:t>
      </w:r>
      <w:r>
        <w:rPr>
          <w:rFonts w:cs="Arial"/>
          <w:lang w:val="en" w:eastAsia="en-GB"/>
        </w:rPr>
        <w:tab/>
      </w:r>
      <w:r w:rsidRPr="00556495">
        <w:rPr>
          <w:rFonts w:cs="Arial"/>
          <w:lang w:val="en" w:eastAsia="en-GB"/>
        </w:rPr>
        <w:t>Life Chances</w:t>
      </w:r>
      <w:r w:rsidR="002E5ED8">
        <w:rPr>
          <w:rStyle w:val="FootnoteReference"/>
          <w:rFonts w:cs="Arial"/>
          <w:lang w:val="en" w:eastAsia="en-GB"/>
        </w:rPr>
        <w:footnoteReference w:id="9"/>
      </w:r>
      <w:r w:rsidRPr="00556495">
        <w:rPr>
          <w:rFonts w:cs="Arial"/>
          <w:lang w:val="en" w:eastAsia="en-GB"/>
        </w:rPr>
        <w:t xml:space="preserve"> through Procurement is part of the Department’s response to these obligations and allows Commercial Directorate to make a greater contribution to the objectives of the Department. The Life Chances Schedule in the Standard Terms and Conditions communicates this to our suppliers. The schedule addresses the following DWP Priority Groups:</w:t>
      </w:r>
    </w:p>
    <w:p w:rsidR="00556495" w:rsidRPr="00556495" w:rsidRDefault="00556495" w:rsidP="00EC0606">
      <w:pPr>
        <w:numPr>
          <w:ilvl w:val="0"/>
          <w:numId w:val="66"/>
        </w:numPr>
        <w:spacing w:before="100" w:beforeAutospacing="1" w:after="100" w:afterAutospacing="1"/>
        <w:rPr>
          <w:rFonts w:cs="Arial"/>
          <w:lang w:val="en" w:eastAsia="en-GB"/>
        </w:rPr>
      </w:pPr>
      <w:r w:rsidRPr="00556495">
        <w:rPr>
          <w:rFonts w:cs="Arial"/>
          <w:b/>
          <w:bCs/>
          <w:lang w:val="en" w:eastAsia="en-GB"/>
        </w:rPr>
        <w:t>Disabled People</w:t>
      </w:r>
      <w:r w:rsidRPr="00556495">
        <w:rPr>
          <w:rFonts w:cs="Arial"/>
          <w:lang w:val="en" w:eastAsia="en-GB"/>
        </w:rPr>
        <w:t>: a person is disabled under the Equality Act 2010 if they have a physical or mental impairment that has a substantial and long term negative effect on their ability to do normal daily activities.</w:t>
      </w:r>
    </w:p>
    <w:p w:rsidR="00556495" w:rsidRPr="00556495" w:rsidRDefault="00556495" w:rsidP="00EC0606">
      <w:pPr>
        <w:numPr>
          <w:ilvl w:val="0"/>
          <w:numId w:val="66"/>
        </w:numPr>
        <w:spacing w:before="100" w:beforeAutospacing="1" w:after="100" w:afterAutospacing="1"/>
        <w:rPr>
          <w:rFonts w:cs="Arial"/>
          <w:lang w:val="en" w:eastAsia="en-GB"/>
        </w:rPr>
      </w:pPr>
      <w:r w:rsidRPr="00556495">
        <w:rPr>
          <w:rFonts w:cs="Arial"/>
          <w:b/>
          <w:bCs/>
          <w:lang w:val="en" w:eastAsia="en-GB"/>
        </w:rPr>
        <w:t>Young People</w:t>
      </w:r>
      <w:r w:rsidRPr="00556495">
        <w:rPr>
          <w:rFonts w:cs="Arial"/>
          <w:lang w:val="en" w:eastAsia="en-GB"/>
        </w:rPr>
        <w:t>: people under 25 are under-represented in work and training which affects future life chances and increases social inequality.</w:t>
      </w:r>
    </w:p>
    <w:p w:rsidR="00556495" w:rsidRPr="00556495" w:rsidRDefault="00556495" w:rsidP="00EC0606">
      <w:pPr>
        <w:numPr>
          <w:ilvl w:val="0"/>
          <w:numId w:val="66"/>
        </w:numPr>
        <w:spacing w:before="100" w:beforeAutospacing="1" w:after="100" w:afterAutospacing="1"/>
        <w:rPr>
          <w:rFonts w:cs="Arial"/>
          <w:lang w:val="en" w:eastAsia="en-GB"/>
        </w:rPr>
      </w:pPr>
      <w:r w:rsidRPr="00556495">
        <w:rPr>
          <w:rFonts w:cs="Arial"/>
          <w:b/>
          <w:bCs/>
          <w:lang w:val="en" w:eastAsia="en-GB"/>
        </w:rPr>
        <w:lastRenderedPageBreak/>
        <w:t>Older Workers</w:t>
      </w:r>
      <w:r w:rsidRPr="00556495">
        <w:rPr>
          <w:rFonts w:cs="Arial"/>
          <w:lang w:val="en" w:eastAsia="en-GB"/>
        </w:rPr>
        <w:t>: people over 50 are often overlooked for employment opportunities despite high levels of skill and experience.</w:t>
      </w:r>
    </w:p>
    <w:p w:rsidR="00556495" w:rsidRPr="00556495" w:rsidRDefault="00556495" w:rsidP="00EC0606">
      <w:pPr>
        <w:numPr>
          <w:ilvl w:val="0"/>
          <w:numId w:val="66"/>
        </w:numPr>
        <w:spacing w:before="100" w:beforeAutospacing="1" w:after="100" w:afterAutospacing="1"/>
        <w:rPr>
          <w:rFonts w:cs="Arial"/>
          <w:lang w:val="en" w:eastAsia="en-GB"/>
        </w:rPr>
      </w:pPr>
      <w:r w:rsidRPr="00556495">
        <w:rPr>
          <w:rFonts w:cs="Arial"/>
          <w:b/>
          <w:bCs/>
          <w:lang w:val="en" w:eastAsia="en-GB"/>
        </w:rPr>
        <w:t>Black and Minority Ethnic People:</w:t>
      </w:r>
      <w:r w:rsidRPr="00556495">
        <w:rPr>
          <w:rFonts w:cs="Arial"/>
          <w:lang w:val="en" w:eastAsia="en-GB"/>
        </w:rPr>
        <w:t xml:space="preserve"> a person who identifies themselves as being of </w:t>
      </w:r>
      <w:proofErr w:type="spellStart"/>
      <w:r w:rsidRPr="00556495">
        <w:rPr>
          <w:rFonts w:cs="Arial"/>
          <w:lang w:val="en" w:eastAsia="en-GB"/>
        </w:rPr>
        <w:t>non white</w:t>
      </w:r>
      <w:proofErr w:type="spellEnd"/>
      <w:r w:rsidRPr="00556495">
        <w:rPr>
          <w:rFonts w:cs="Arial"/>
          <w:lang w:val="en" w:eastAsia="en-GB"/>
        </w:rPr>
        <w:t xml:space="preserve"> descent. </w:t>
      </w:r>
    </w:p>
    <w:p w:rsidR="00556495" w:rsidRPr="00556495" w:rsidRDefault="00556495" w:rsidP="00EC0606">
      <w:pPr>
        <w:numPr>
          <w:ilvl w:val="0"/>
          <w:numId w:val="66"/>
        </w:numPr>
        <w:spacing w:before="100" w:beforeAutospacing="1" w:after="100" w:afterAutospacing="1"/>
        <w:rPr>
          <w:rFonts w:cs="Arial"/>
          <w:lang w:val="en" w:eastAsia="en-GB"/>
        </w:rPr>
      </w:pPr>
      <w:r w:rsidRPr="00556495">
        <w:rPr>
          <w:rFonts w:cs="Arial"/>
          <w:b/>
          <w:bCs/>
          <w:lang w:val="en" w:eastAsia="en-GB"/>
        </w:rPr>
        <w:t>Ex-Offenders</w:t>
      </w:r>
      <w:r w:rsidRPr="00556495">
        <w:rPr>
          <w:rFonts w:cs="Arial"/>
          <w:lang w:val="en" w:eastAsia="en-GB"/>
        </w:rPr>
        <w:t>: people with unspent convictions who often face discrimination resulting in difficulty securing employment.</w:t>
      </w:r>
    </w:p>
    <w:p w:rsidR="00556495" w:rsidRPr="00556495" w:rsidRDefault="00556495" w:rsidP="00556495">
      <w:pPr>
        <w:spacing w:before="100" w:beforeAutospacing="1" w:after="100" w:afterAutospacing="1"/>
        <w:ind w:firstLine="720"/>
        <w:rPr>
          <w:rFonts w:cs="Arial"/>
          <w:lang w:val="en" w:eastAsia="en-GB"/>
        </w:rPr>
      </w:pPr>
      <w:r w:rsidRPr="00556495">
        <w:rPr>
          <w:rFonts w:cs="Arial"/>
          <w:lang w:val="en" w:eastAsia="en-GB"/>
        </w:rPr>
        <w:t>And to champion the provision of:</w:t>
      </w:r>
    </w:p>
    <w:p w:rsidR="00556495" w:rsidRPr="00556495" w:rsidRDefault="00556495" w:rsidP="00EC0606">
      <w:pPr>
        <w:numPr>
          <w:ilvl w:val="0"/>
          <w:numId w:val="67"/>
        </w:numPr>
        <w:spacing w:before="100" w:beforeAutospacing="1" w:after="100" w:afterAutospacing="1"/>
        <w:rPr>
          <w:rFonts w:cs="Arial"/>
          <w:lang w:val="en" w:eastAsia="en-GB"/>
        </w:rPr>
      </w:pPr>
      <w:r w:rsidRPr="00556495">
        <w:rPr>
          <w:rFonts w:cs="Arial"/>
          <w:b/>
          <w:bCs/>
          <w:lang w:val="en" w:eastAsia="en-GB"/>
        </w:rPr>
        <w:t>Apprenticeships:</w:t>
      </w:r>
      <w:r w:rsidRPr="00556495">
        <w:rPr>
          <w:rFonts w:cs="Arial"/>
          <w:lang w:val="en" w:eastAsia="en-GB"/>
        </w:rPr>
        <w:t xml:space="preserve"> providing work and practical training with study for people from all walks of life.</w:t>
      </w:r>
    </w:p>
    <w:p w:rsidR="00556495" w:rsidRPr="00556495" w:rsidRDefault="00556495" w:rsidP="00556495">
      <w:pPr>
        <w:spacing w:before="100" w:beforeAutospacing="1" w:after="100" w:afterAutospacing="1"/>
        <w:ind w:left="720" w:hanging="720"/>
        <w:rPr>
          <w:rFonts w:cs="Arial"/>
          <w:lang w:val="en" w:eastAsia="en-GB"/>
        </w:rPr>
      </w:pPr>
      <w:r>
        <w:rPr>
          <w:rFonts w:cs="Arial"/>
          <w:lang w:val="en" w:eastAsia="en-GB"/>
        </w:rPr>
        <w:t>4.25</w:t>
      </w:r>
      <w:r>
        <w:rPr>
          <w:rFonts w:cs="Arial"/>
          <w:lang w:val="en" w:eastAsia="en-GB"/>
        </w:rPr>
        <w:tab/>
        <w:t xml:space="preserve">It is mandatory </w:t>
      </w:r>
      <w:r w:rsidRPr="00556495">
        <w:rPr>
          <w:rFonts w:cs="Arial"/>
          <w:lang w:val="en" w:eastAsia="en-GB"/>
        </w:rPr>
        <w:t>to include the Life Chances Schedule</w:t>
      </w:r>
      <w:r>
        <w:rPr>
          <w:rFonts w:cs="Arial"/>
          <w:lang w:val="en" w:eastAsia="en-GB"/>
        </w:rPr>
        <w:t xml:space="preserve"> in DWP contracts where the contracts duration is more than 12 months</w:t>
      </w:r>
    </w:p>
    <w:p w:rsidR="00556495" w:rsidRPr="00556495" w:rsidRDefault="00556495" w:rsidP="00690E9E">
      <w:pPr>
        <w:spacing w:after="240"/>
        <w:ind w:left="720" w:hanging="720"/>
        <w:rPr>
          <w:rFonts w:cs="Arial"/>
        </w:rPr>
      </w:pPr>
    </w:p>
    <w:p w:rsidR="00556495" w:rsidRDefault="00556495" w:rsidP="00690E9E">
      <w:pPr>
        <w:spacing w:after="240"/>
        <w:ind w:left="720" w:hanging="720"/>
        <w:rPr>
          <w:rFonts w:cs="Arial"/>
        </w:rPr>
      </w:pPr>
    </w:p>
    <w:p w:rsidR="00DF0D32" w:rsidRDefault="00DF0D32" w:rsidP="00690E9E">
      <w:pPr>
        <w:spacing w:after="240"/>
        <w:ind w:left="720" w:hanging="720"/>
        <w:rPr>
          <w:rFonts w:cs="Arial"/>
        </w:rPr>
      </w:pPr>
      <w:r w:rsidRPr="0052535F">
        <w:rPr>
          <w:rFonts w:cs="Arial"/>
        </w:rPr>
        <w:t xml:space="preserve"> </w:t>
      </w:r>
    </w:p>
    <w:p w:rsidR="00556495" w:rsidRPr="0052535F" w:rsidRDefault="00556495" w:rsidP="00690E9E">
      <w:pPr>
        <w:spacing w:after="240"/>
        <w:ind w:left="720" w:hanging="720"/>
      </w:pPr>
    </w:p>
    <w:p w:rsidR="001B0F5D" w:rsidRPr="00402D61" w:rsidRDefault="001B0F5D" w:rsidP="00690E9E">
      <w:pPr>
        <w:spacing w:after="240"/>
        <w:rPr>
          <w:bCs/>
          <w:color w:val="FF0000"/>
        </w:rPr>
        <w:sectPr w:rsidR="001B0F5D" w:rsidRPr="00402D61" w:rsidSect="00F45B13">
          <w:pgSz w:w="12240" w:h="15840" w:code="1"/>
          <w:pgMar w:top="1304" w:right="1134" w:bottom="1304" w:left="1134" w:header="720" w:footer="720" w:gutter="0"/>
          <w:cols w:space="720"/>
          <w:noEndnote/>
        </w:sectPr>
      </w:pPr>
    </w:p>
    <w:p w:rsidR="00E616C9" w:rsidRPr="009E25CF" w:rsidRDefault="00E616C9" w:rsidP="00E616C9">
      <w:pPr>
        <w:pStyle w:val="Heading1"/>
        <w:tabs>
          <w:tab w:val="clear" w:pos="432"/>
        </w:tabs>
        <w:spacing w:after="240"/>
        <w:ind w:left="360" w:hanging="360"/>
        <w:rPr>
          <w:b w:val="0"/>
          <w:sz w:val="28"/>
          <w:szCs w:val="28"/>
        </w:rPr>
      </w:pPr>
      <w:bookmarkStart w:id="9" w:name="_5.__QUALITY,_1"/>
      <w:bookmarkEnd w:id="9"/>
      <w:r w:rsidRPr="009E25CF">
        <w:rPr>
          <w:sz w:val="28"/>
          <w:szCs w:val="28"/>
        </w:rPr>
        <w:lastRenderedPageBreak/>
        <w:t xml:space="preserve">5. </w:t>
      </w:r>
      <w:r w:rsidRPr="009E25CF">
        <w:rPr>
          <w:sz w:val="28"/>
          <w:szCs w:val="28"/>
        </w:rPr>
        <w:tab/>
      </w:r>
      <w:r w:rsidRPr="009E25CF">
        <w:rPr>
          <w:sz w:val="28"/>
          <w:szCs w:val="28"/>
          <w:u w:val="single"/>
          <w:lang w:eastAsia="en-GB"/>
        </w:rPr>
        <w:t>QUALITY, EVALUATION, CATEGORY AND PERFORMANCE</w:t>
      </w:r>
      <w:r w:rsidRPr="009E25CF">
        <w:rPr>
          <w:sz w:val="28"/>
          <w:szCs w:val="28"/>
          <w:u w:val="single"/>
        </w:rPr>
        <w:t xml:space="preserve"> MANAGEMENT</w:t>
      </w:r>
      <w:r w:rsidRPr="009E25CF">
        <w:rPr>
          <w:b w:val="0"/>
          <w:sz w:val="28"/>
          <w:szCs w:val="28"/>
        </w:rPr>
        <w:t xml:space="preserve"> </w:t>
      </w:r>
    </w:p>
    <w:p w:rsidR="00E616C9" w:rsidRDefault="00E616C9" w:rsidP="00F36AFB">
      <w:pPr>
        <w:pStyle w:val="Default"/>
        <w:numPr>
          <w:ilvl w:val="1"/>
          <w:numId w:val="14"/>
        </w:numPr>
        <w:tabs>
          <w:tab w:val="clear" w:pos="465"/>
          <w:tab w:val="num" w:pos="709"/>
        </w:tabs>
        <w:spacing w:after="240"/>
        <w:ind w:left="709" w:hanging="709"/>
        <w:rPr>
          <w:color w:val="auto"/>
        </w:rPr>
      </w:pPr>
      <w:r w:rsidRPr="00E616C9">
        <w:rPr>
          <w:color w:val="auto"/>
        </w:rPr>
        <w:t>This section provides a summary of the information requirements to meet contractual obligations relating to quality, evaluation, performance and contract management (Further details will be set out in Provider guidance).</w:t>
      </w:r>
    </w:p>
    <w:p w:rsidR="00E616C9" w:rsidRPr="009E25CF" w:rsidRDefault="00E616C9" w:rsidP="00EC0606">
      <w:pPr>
        <w:pStyle w:val="Default"/>
        <w:numPr>
          <w:ilvl w:val="1"/>
          <w:numId w:val="14"/>
        </w:numPr>
        <w:tabs>
          <w:tab w:val="clear" w:pos="465"/>
        </w:tabs>
        <w:spacing w:after="240"/>
        <w:ind w:left="720" w:hanging="720"/>
        <w:rPr>
          <w:color w:val="auto"/>
        </w:rPr>
      </w:pPr>
      <w:r w:rsidRPr="009E25CF">
        <w:rPr>
          <w:color w:val="auto"/>
        </w:rPr>
        <w:t>DWP is committed to raising the standards of its contracted provision making continuous improvement an integral part of its contracting arrangements.</w:t>
      </w:r>
    </w:p>
    <w:p w:rsidR="00E616C9" w:rsidRPr="009E25CF" w:rsidRDefault="00E616C9" w:rsidP="00E616C9">
      <w:pPr>
        <w:autoSpaceDE w:val="0"/>
        <w:autoSpaceDN w:val="0"/>
        <w:adjustRightInd w:val="0"/>
        <w:spacing w:before="480" w:after="240"/>
        <w:rPr>
          <w:rFonts w:cs="Arial"/>
          <w:bCs/>
          <w:sz w:val="28"/>
          <w:szCs w:val="28"/>
          <w:lang w:eastAsia="en-GB"/>
        </w:rPr>
      </w:pPr>
      <w:r w:rsidRPr="009E25CF">
        <w:rPr>
          <w:rFonts w:cs="Arial"/>
          <w:bCs/>
          <w:sz w:val="28"/>
          <w:szCs w:val="28"/>
          <w:lang w:eastAsia="en-GB"/>
        </w:rPr>
        <w:t xml:space="preserve">Performance Management and Category Management </w:t>
      </w:r>
    </w:p>
    <w:p w:rsidR="00E616C9" w:rsidRPr="009E25CF" w:rsidRDefault="00B85BB7" w:rsidP="00EC0606">
      <w:pPr>
        <w:pStyle w:val="Default"/>
        <w:numPr>
          <w:ilvl w:val="1"/>
          <w:numId w:val="14"/>
        </w:numPr>
        <w:tabs>
          <w:tab w:val="clear" w:pos="465"/>
        </w:tabs>
        <w:spacing w:after="240"/>
        <w:ind w:left="720" w:hanging="720"/>
        <w:rPr>
          <w:color w:val="auto"/>
        </w:rPr>
      </w:pPr>
      <w:r>
        <w:rPr>
          <w:color w:val="auto"/>
        </w:rPr>
        <w:t xml:space="preserve">Performance of the </w:t>
      </w:r>
      <w:r w:rsidR="00E616C9" w:rsidRPr="009E25CF">
        <w:rPr>
          <w:color w:val="auto"/>
        </w:rPr>
        <w:t>NEA Phase 2 contracts will be managed by DWP Performance Managers. Provider performance is based on an assessment of performance priority which considers a range of factors including contract value, compliance with the contract, performance and security.</w:t>
      </w:r>
    </w:p>
    <w:p w:rsidR="00E616C9" w:rsidRPr="009E25CF" w:rsidRDefault="00E616C9" w:rsidP="00EC0606">
      <w:pPr>
        <w:pStyle w:val="Default"/>
        <w:numPr>
          <w:ilvl w:val="1"/>
          <w:numId w:val="14"/>
        </w:numPr>
        <w:tabs>
          <w:tab w:val="clear" w:pos="465"/>
        </w:tabs>
        <w:spacing w:after="240"/>
        <w:ind w:left="720" w:hanging="720"/>
        <w:rPr>
          <w:color w:val="auto"/>
        </w:rPr>
      </w:pPr>
      <w:r w:rsidRPr="009E25CF">
        <w:rPr>
          <w:color w:val="auto"/>
        </w:rPr>
        <w:t>Providers will be responsible for managing the contract, including addressing poor performance, arrangements with partner organisations and mentors and also the performance of their sub-contractors. The Provider will need to ensure that all systems and processes</w:t>
      </w:r>
      <w:r>
        <w:rPr>
          <w:color w:val="auto"/>
        </w:rPr>
        <w:t xml:space="preserve"> (including robust cohort tracking)</w:t>
      </w:r>
      <w:r w:rsidRPr="009E25CF">
        <w:rPr>
          <w:color w:val="auto"/>
        </w:rPr>
        <w:t xml:space="preserve"> used for the monitoring and recording of performance are robust, provide a clear audit trail of evidence, and give confidence to DWP that the Provider and its supply chain are delivering the Programme in accordance with the Provider’s overall contractual obligations. </w:t>
      </w:r>
    </w:p>
    <w:p w:rsidR="00771099" w:rsidRDefault="00771099" w:rsidP="00EC0606">
      <w:pPr>
        <w:pStyle w:val="Default"/>
        <w:numPr>
          <w:ilvl w:val="1"/>
          <w:numId w:val="14"/>
        </w:numPr>
        <w:tabs>
          <w:tab w:val="clear" w:pos="465"/>
        </w:tabs>
        <w:spacing w:after="240"/>
        <w:ind w:left="720" w:hanging="720"/>
        <w:rPr>
          <w:color w:val="auto"/>
        </w:rPr>
      </w:pPr>
      <w:r>
        <w:rPr>
          <w:color w:val="auto"/>
        </w:rPr>
        <w:t>Commercial management of the NEA Phase 2 contracts will be the responsibility of the Contract Manager in the Category Management team.</w:t>
      </w:r>
    </w:p>
    <w:p w:rsidR="00E616C9" w:rsidRPr="009E25CF" w:rsidRDefault="00E616C9" w:rsidP="00EC0606">
      <w:pPr>
        <w:pStyle w:val="Default"/>
        <w:numPr>
          <w:ilvl w:val="1"/>
          <w:numId w:val="14"/>
        </w:numPr>
        <w:tabs>
          <w:tab w:val="clear" w:pos="465"/>
        </w:tabs>
        <w:spacing w:after="240"/>
        <w:ind w:left="720" w:hanging="720"/>
        <w:rPr>
          <w:color w:val="auto"/>
        </w:rPr>
      </w:pPr>
      <w:r w:rsidRPr="009E25CF">
        <w:rPr>
          <w:color w:val="auto"/>
        </w:rPr>
        <w:t>The Provider must appoint appropriate named contacts who will work with the DWP C</w:t>
      </w:r>
      <w:r w:rsidR="00771099">
        <w:rPr>
          <w:color w:val="auto"/>
        </w:rPr>
        <w:t>ontract</w:t>
      </w:r>
      <w:r w:rsidRPr="009E25CF">
        <w:rPr>
          <w:color w:val="auto"/>
        </w:rPr>
        <w:t xml:space="preserve"> Manager and Performance Managers to ensure that NEA Phase 2 is delivered as specified in the contract and that required standards and performance levels are met.</w:t>
      </w:r>
    </w:p>
    <w:p w:rsidR="00E616C9" w:rsidRPr="009E25CF" w:rsidRDefault="00E616C9" w:rsidP="00E616C9">
      <w:pPr>
        <w:pStyle w:val="Default"/>
        <w:spacing w:after="240"/>
        <w:rPr>
          <w:color w:val="auto"/>
        </w:rPr>
      </w:pPr>
      <w:r w:rsidRPr="009E25CF">
        <w:rPr>
          <w:color w:val="auto"/>
        </w:rPr>
        <w:t xml:space="preserve">Performance </w:t>
      </w:r>
    </w:p>
    <w:p w:rsidR="00E616C9" w:rsidRPr="009E25CF" w:rsidRDefault="00E616C9" w:rsidP="00EC0606">
      <w:pPr>
        <w:pStyle w:val="Default"/>
        <w:numPr>
          <w:ilvl w:val="1"/>
          <w:numId w:val="14"/>
        </w:numPr>
        <w:tabs>
          <w:tab w:val="clear" w:pos="465"/>
        </w:tabs>
        <w:spacing w:after="240"/>
        <w:ind w:left="720" w:hanging="720"/>
        <w:rPr>
          <w:color w:val="auto"/>
        </w:rPr>
      </w:pPr>
      <w:r w:rsidRPr="009E25CF">
        <w:rPr>
          <w:color w:val="auto"/>
        </w:rPr>
        <w:t xml:space="preserve">DWP Performance Managers will </w:t>
      </w:r>
      <w:r>
        <w:rPr>
          <w:color w:val="auto"/>
        </w:rPr>
        <w:t xml:space="preserve">be constantly reviewing performance including, </w:t>
      </w:r>
      <w:r w:rsidRPr="009E25CF">
        <w:rPr>
          <w:color w:val="auto"/>
        </w:rPr>
        <w:t>hold</w:t>
      </w:r>
      <w:r>
        <w:rPr>
          <w:color w:val="auto"/>
        </w:rPr>
        <w:t>ing</w:t>
      </w:r>
      <w:r w:rsidRPr="009E25CF">
        <w:rPr>
          <w:color w:val="auto"/>
        </w:rPr>
        <w:t xml:space="preserve"> regular Contract Performance Review (CPR) meetings with Providers which will focus on the achieving contractual performance and service targets (see </w:t>
      </w:r>
      <w:hyperlink w:anchor="_SERVICE_DELIVERY_STANDARDS" w:history="1">
        <w:r w:rsidR="00993D4A">
          <w:rPr>
            <w:rStyle w:val="Hyperlink"/>
            <w:color w:val="auto"/>
          </w:rPr>
          <w:t>Annex 4</w:t>
        </w:r>
        <w:r w:rsidRPr="009E25CF">
          <w:rPr>
            <w:rStyle w:val="Hyperlink"/>
            <w:color w:val="auto"/>
          </w:rPr>
          <w:t xml:space="preserve"> – Service Delivery Standards</w:t>
        </w:r>
      </w:hyperlink>
      <w:r w:rsidRPr="009E25CF">
        <w:rPr>
          <w:color w:val="auto"/>
        </w:rPr>
        <w:t xml:space="preserve">) and improving performance and delivery in line with the Contract. Staff representing JCP districts may also attend these meetings. </w:t>
      </w:r>
    </w:p>
    <w:p w:rsidR="00E616C9" w:rsidRPr="009E25CF" w:rsidRDefault="00E616C9" w:rsidP="00EC0606">
      <w:pPr>
        <w:pStyle w:val="Default"/>
        <w:numPr>
          <w:ilvl w:val="1"/>
          <w:numId w:val="14"/>
        </w:numPr>
        <w:tabs>
          <w:tab w:val="clear" w:pos="465"/>
        </w:tabs>
        <w:spacing w:after="240"/>
        <w:ind w:left="720" w:hanging="720"/>
        <w:rPr>
          <w:bCs/>
          <w:color w:val="auto"/>
        </w:rPr>
      </w:pPr>
      <w:r w:rsidRPr="009E25CF">
        <w:rPr>
          <w:bCs/>
          <w:color w:val="auto"/>
        </w:rPr>
        <w:t xml:space="preserve">DWP will use MI presented by </w:t>
      </w:r>
      <w:proofErr w:type="spellStart"/>
      <w:r w:rsidRPr="009E25CF">
        <w:rPr>
          <w:bCs/>
          <w:color w:val="auto"/>
        </w:rPr>
        <w:t>PRaP</w:t>
      </w:r>
      <w:proofErr w:type="spellEnd"/>
      <w:r w:rsidRPr="009E25CF">
        <w:rPr>
          <w:bCs/>
          <w:color w:val="auto"/>
        </w:rPr>
        <w:t xml:space="preserve"> for the </w:t>
      </w:r>
      <w:proofErr w:type="spellStart"/>
      <w:r w:rsidRPr="009E25CF">
        <w:rPr>
          <w:bCs/>
          <w:color w:val="auto"/>
        </w:rPr>
        <w:t>on</w:t>
      </w:r>
      <w:r w:rsidR="00DB781E">
        <w:rPr>
          <w:bCs/>
          <w:color w:val="auto"/>
        </w:rPr>
        <w:t xml:space="preserve"> </w:t>
      </w:r>
      <w:r w:rsidRPr="009E25CF">
        <w:rPr>
          <w:bCs/>
          <w:color w:val="auto"/>
        </w:rPr>
        <w:t>going</w:t>
      </w:r>
      <w:proofErr w:type="spellEnd"/>
      <w:r w:rsidRPr="009E25CF">
        <w:rPr>
          <w:bCs/>
          <w:color w:val="auto"/>
        </w:rPr>
        <w:t xml:space="preserve"> management of the provision and for discussion with individual Providers. </w:t>
      </w:r>
    </w:p>
    <w:p w:rsidR="00E616C9" w:rsidRPr="009E25CF" w:rsidRDefault="00E616C9" w:rsidP="00EC0606">
      <w:pPr>
        <w:pStyle w:val="Default"/>
        <w:numPr>
          <w:ilvl w:val="1"/>
          <w:numId w:val="17"/>
        </w:numPr>
        <w:tabs>
          <w:tab w:val="clear" w:pos="360"/>
        </w:tabs>
        <w:spacing w:after="240"/>
        <w:ind w:left="720" w:hanging="720"/>
        <w:rPr>
          <w:color w:val="auto"/>
        </w:rPr>
      </w:pPr>
      <w:r w:rsidRPr="009E25CF">
        <w:rPr>
          <w:bCs/>
          <w:color w:val="auto"/>
        </w:rPr>
        <w:t>As DWP is committed to transparency on how its programmes are working, Providers need to be aware that MI may also feed into published</w:t>
      </w:r>
      <w:r w:rsidRPr="009E25CF">
        <w:rPr>
          <w:color w:val="auto"/>
        </w:rPr>
        <w:t xml:space="preserve"> Official Statistics on NEA Phase 2. Consequently Providers must treat information they have access to as restricted, </w:t>
      </w:r>
      <w:r w:rsidRPr="009E25CF">
        <w:rPr>
          <w:color w:val="auto"/>
        </w:rPr>
        <w:lastRenderedPageBreak/>
        <w:t>and for their use only, ahead of formal publication. Official Statistics may also cover performance expectations at Provider level.</w:t>
      </w:r>
    </w:p>
    <w:p w:rsidR="006828C2" w:rsidRPr="006E5951" w:rsidRDefault="003E4F70" w:rsidP="00690E9E">
      <w:pPr>
        <w:autoSpaceDE w:val="0"/>
        <w:autoSpaceDN w:val="0"/>
        <w:adjustRightInd w:val="0"/>
        <w:spacing w:after="240"/>
        <w:rPr>
          <w:rFonts w:cs="Arial"/>
          <w:b/>
          <w:bCs/>
          <w:sz w:val="28"/>
          <w:szCs w:val="28"/>
          <w:lang w:eastAsia="en-GB"/>
        </w:rPr>
      </w:pPr>
      <w:r w:rsidRPr="006E5951">
        <w:rPr>
          <w:rFonts w:cs="Arial"/>
          <w:b/>
          <w:bCs/>
          <w:sz w:val="28"/>
          <w:szCs w:val="28"/>
          <w:lang w:eastAsia="en-GB"/>
        </w:rPr>
        <w:t>Contracted Employment Programme</w:t>
      </w:r>
      <w:r w:rsidR="00942568" w:rsidRPr="006E5951">
        <w:rPr>
          <w:rFonts w:cs="Arial"/>
          <w:b/>
          <w:bCs/>
          <w:sz w:val="28"/>
          <w:szCs w:val="28"/>
          <w:lang w:eastAsia="en-GB"/>
        </w:rPr>
        <w:t>s</w:t>
      </w:r>
      <w:r w:rsidRPr="006E5951">
        <w:rPr>
          <w:rFonts w:cs="Arial"/>
          <w:b/>
          <w:bCs/>
          <w:sz w:val="28"/>
          <w:szCs w:val="28"/>
          <w:lang w:eastAsia="en-GB"/>
        </w:rPr>
        <w:t xml:space="preserve"> (CEP) </w:t>
      </w:r>
      <w:r w:rsidR="008A45C0" w:rsidRPr="006E5951">
        <w:rPr>
          <w:rFonts w:cs="Arial"/>
          <w:b/>
          <w:bCs/>
          <w:sz w:val="28"/>
          <w:szCs w:val="28"/>
          <w:lang w:eastAsia="en-GB"/>
        </w:rPr>
        <w:t>Provider</w:t>
      </w:r>
      <w:r w:rsidRPr="006E5951">
        <w:rPr>
          <w:rFonts w:cs="Arial"/>
          <w:b/>
          <w:bCs/>
          <w:sz w:val="28"/>
          <w:szCs w:val="28"/>
          <w:lang w:eastAsia="en-GB"/>
        </w:rPr>
        <w:t xml:space="preserve"> Assurance Team</w:t>
      </w:r>
      <w:r w:rsidR="00AC1151" w:rsidRPr="006E5951">
        <w:rPr>
          <w:rFonts w:cs="Arial"/>
          <w:b/>
          <w:bCs/>
          <w:sz w:val="28"/>
          <w:szCs w:val="28"/>
          <w:lang w:eastAsia="en-GB"/>
        </w:rPr>
        <w:t xml:space="preserve"> </w:t>
      </w:r>
      <w:r w:rsidRPr="006E5951">
        <w:rPr>
          <w:rFonts w:cs="Arial"/>
          <w:b/>
          <w:bCs/>
          <w:sz w:val="28"/>
          <w:szCs w:val="28"/>
          <w:lang w:eastAsia="en-GB"/>
        </w:rPr>
        <w:t xml:space="preserve"> </w:t>
      </w:r>
    </w:p>
    <w:p w:rsidR="004B68C1" w:rsidRPr="006E5951" w:rsidRDefault="00EB59BF" w:rsidP="00EC0606">
      <w:pPr>
        <w:pStyle w:val="ListParagraph"/>
        <w:numPr>
          <w:ilvl w:val="1"/>
          <w:numId w:val="15"/>
        </w:numPr>
        <w:rPr>
          <w:rFonts w:cs="Arial"/>
          <w:lang w:eastAsia="en-GB"/>
        </w:rPr>
      </w:pPr>
      <w:r w:rsidRPr="006E5951">
        <w:t>The primary purpose of the (CEP) Provider Assurance Team is to provide the DWP CEP Director with an assurance that provider systems of internal control are such that payments made to providers are in accordance with DWP and Treasury requirements.</w:t>
      </w:r>
      <w:r w:rsidR="004B68C1" w:rsidRPr="006E5951">
        <w:t xml:space="preserve"> PAT </w:t>
      </w:r>
      <w:r w:rsidR="004B68C1" w:rsidRPr="006E5951">
        <w:rPr>
          <w:rFonts w:cs="Arial"/>
          <w:lang w:eastAsia="en-GB"/>
        </w:rPr>
        <w:t>reviews and tests providers’ systems of internal control to establish how effective they are at managing risk to DWP in relation to CEP expenditure, service delivery and data security, including the arrangements they have in place for their supply chain.</w:t>
      </w:r>
    </w:p>
    <w:p w:rsidR="004B68C1" w:rsidRPr="006E5951" w:rsidRDefault="004B68C1" w:rsidP="004B68C1">
      <w:pPr>
        <w:pStyle w:val="ListParagraph"/>
        <w:rPr>
          <w:rFonts w:cs="Arial"/>
          <w:lang w:eastAsia="en-GB"/>
        </w:rPr>
      </w:pPr>
    </w:p>
    <w:p w:rsidR="004B68C1" w:rsidRPr="006E5951" w:rsidRDefault="004B68C1" w:rsidP="00EC0606">
      <w:pPr>
        <w:pStyle w:val="ListParagraph"/>
        <w:numPr>
          <w:ilvl w:val="1"/>
          <w:numId w:val="15"/>
        </w:numPr>
        <w:rPr>
          <w:rFonts w:cs="Arial"/>
          <w:lang w:eastAsia="en-GB"/>
        </w:rPr>
      </w:pPr>
      <w:r w:rsidRPr="006E5951">
        <w:rPr>
          <w:rFonts w:cs="Arial"/>
          <w:lang w:eastAsia="en-GB"/>
        </w:rPr>
        <w:t>This work is carried out by the Provider Assurance Team by reviewing Providers’ internal control systems to assess their ability to manage risk across four key areas:</w:t>
      </w:r>
    </w:p>
    <w:p w:rsidR="004B68C1" w:rsidRPr="006E5951" w:rsidRDefault="004B68C1" w:rsidP="004B68C1">
      <w:pPr>
        <w:pStyle w:val="ListParagraph"/>
        <w:ind w:left="851"/>
        <w:jc w:val="both"/>
        <w:rPr>
          <w:rFonts w:cs="Arial"/>
        </w:rPr>
      </w:pPr>
    </w:p>
    <w:p w:rsidR="00EB59BF" w:rsidRPr="006E5951" w:rsidRDefault="00EB59BF" w:rsidP="00EC0606">
      <w:pPr>
        <w:pStyle w:val="ListParagraph"/>
        <w:numPr>
          <w:ilvl w:val="0"/>
          <w:numId w:val="64"/>
        </w:numPr>
        <w:ind w:left="851" w:hanging="284"/>
        <w:jc w:val="both"/>
        <w:rPr>
          <w:rFonts w:cs="Arial"/>
        </w:rPr>
      </w:pPr>
      <w:r w:rsidRPr="006E5951">
        <w:rPr>
          <w:rFonts w:cs="Arial"/>
          <w:b/>
        </w:rPr>
        <w:t>Governance Arrangements</w:t>
      </w:r>
      <w:r w:rsidRPr="006E5951">
        <w:rPr>
          <w:rFonts w:cs="Arial"/>
        </w:rPr>
        <w:t xml:space="preserve"> – covering the Provider’s governance arrangements, systems for tracking and reporting performance and their anti-fraud measures;</w:t>
      </w:r>
    </w:p>
    <w:p w:rsidR="006E5951" w:rsidRPr="006E5951" w:rsidRDefault="006E5951" w:rsidP="006E5951">
      <w:pPr>
        <w:pStyle w:val="ListParagraph"/>
        <w:ind w:left="851"/>
        <w:jc w:val="both"/>
        <w:rPr>
          <w:rFonts w:cs="Arial"/>
        </w:rPr>
      </w:pPr>
    </w:p>
    <w:p w:rsidR="00EB59BF" w:rsidRPr="006E5951" w:rsidRDefault="00EB59BF" w:rsidP="00EC0606">
      <w:pPr>
        <w:numPr>
          <w:ilvl w:val="0"/>
          <w:numId w:val="64"/>
        </w:numPr>
        <w:ind w:left="851" w:hanging="284"/>
        <w:jc w:val="both"/>
        <w:rPr>
          <w:rFonts w:cs="Arial"/>
        </w:rPr>
      </w:pPr>
      <w:r w:rsidRPr="006E5951">
        <w:rPr>
          <w:rFonts w:cs="Arial"/>
          <w:b/>
        </w:rPr>
        <w:t>Service Delivery</w:t>
      </w:r>
      <w:r w:rsidRPr="006E5951">
        <w:rPr>
          <w:rFonts w:cs="Arial"/>
        </w:rPr>
        <w:t xml:space="preserve"> – includes the Provider’s systems for starting, ending and moving Participants through Provision and generally looks to ensure that DWP is getting the service it is paying for. This section also covers management of the supply chain;</w:t>
      </w:r>
    </w:p>
    <w:p w:rsidR="006E5951" w:rsidRPr="006E5951" w:rsidRDefault="006E5951" w:rsidP="006E5951">
      <w:pPr>
        <w:ind w:left="851"/>
        <w:jc w:val="both"/>
        <w:rPr>
          <w:rFonts w:cs="Arial"/>
        </w:rPr>
      </w:pPr>
    </w:p>
    <w:p w:rsidR="00EB59BF" w:rsidRPr="006E5951" w:rsidRDefault="00EB59BF" w:rsidP="00EC0606">
      <w:pPr>
        <w:numPr>
          <w:ilvl w:val="0"/>
          <w:numId w:val="64"/>
        </w:numPr>
        <w:ind w:left="851" w:hanging="284"/>
        <w:jc w:val="both"/>
        <w:rPr>
          <w:rFonts w:cs="Arial"/>
        </w:rPr>
      </w:pPr>
      <w:r w:rsidRPr="006E5951">
        <w:rPr>
          <w:rFonts w:cs="Arial"/>
          <w:b/>
        </w:rPr>
        <w:t>Claim Procedures and Payments</w:t>
      </w:r>
      <w:r w:rsidRPr="006E5951">
        <w:rPr>
          <w:rFonts w:cs="Arial"/>
        </w:rPr>
        <w:t xml:space="preserve"> – looks to ensure that Providers have in place effective systems to support their claims for payment, including appropriate segregation of duties; and</w:t>
      </w:r>
    </w:p>
    <w:p w:rsidR="006E5951" w:rsidRPr="006E5951" w:rsidRDefault="006E5951" w:rsidP="006E5951">
      <w:pPr>
        <w:ind w:left="851"/>
        <w:jc w:val="both"/>
        <w:rPr>
          <w:rFonts w:cs="Arial"/>
        </w:rPr>
      </w:pPr>
    </w:p>
    <w:p w:rsidR="00EB59BF" w:rsidRPr="006E5951" w:rsidRDefault="00EB59BF" w:rsidP="00EC0606">
      <w:pPr>
        <w:numPr>
          <w:ilvl w:val="0"/>
          <w:numId w:val="64"/>
        </w:numPr>
        <w:ind w:left="851" w:hanging="284"/>
        <w:jc w:val="both"/>
        <w:rPr>
          <w:rFonts w:cs="Arial"/>
        </w:rPr>
      </w:pPr>
      <w:r w:rsidRPr="006E5951">
        <w:rPr>
          <w:rFonts w:cs="Arial"/>
          <w:b/>
        </w:rPr>
        <w:t>Data Security</w:t>
      </w:r>
      <w:r w:rsidRPr="006E5951">
        <w:rPr>
          <w:rFonts w:cs="Arial"/>
        </w:rPr>
        <w:t xml:space="preserve"> – looks to ensure that Providers have in place adequate systems to safeguard DWP data whilst it is being stored and/or transmitted around their organisations. This scope area is assured by DWP’s Supplier Security Team as part of each PAT review.</w:t>
      </w:r>
    </w:p>
    <w:p w:rsidR="006E5951" w:rsidRPr="006E5951" w:rsidRDefault="006E5951" w:rsidP="006E5951">
      <w:pPr>
        <w:ind w:left="851"/>
        <w:jc w:val="both"/>
        <w:rPr>
          <w:rFonts w:cs="Arial"/>
        </w:rPr>
      </w:pPr>
    </w:p>
    <w:p w:rsidR="00EB59BF" w:rsidRPr="006E5951" w:rsidRDefault="00EB59BF" w:rsidP="00EC0606">
      <w:pPr>
        <w:pStyle w:val="ListParagraph"/>
        <w:numPr>
          <w:ilvl w:val="1"/>
          <w:numId w:val="15"/>
        </w:numPr>
        <w:rPr>
          <w:rFonts w:cs="Arial"/>
          <w:lang w:eastAsia="en-GB"/>
        </w:rPr>
      </w:pPr>
      <w:r w:rsidRPr="006E5951">
        <w:rPr>
          <w:rFonts w:cs="Arial"/>
          <w:lang w:eastAsia="en-GB"/>
        </w:rPr>
        <w:t>The Provider Assurance Team operates at a national level enabling it to present CEP Providers operating across regions with a single view of the effectiveness of their systems; each Provider will have a nominated Senior Provider Assurance Manager and therefore a single point of contact within DWP for management of assurance related issues / concerns.</w:t>
      </w:r>
    </w:p>
    <w:p w:rsidR="00EB59BF" w:rsidRPr="006E5951" w:rsidRDefault="00EB59BF" w:rsidP="00EB59BF">
      <w:pPr>
        <w:pStyle w:val="ListParagraph"/>
        <w:rPr>
          <w:rFonts w:cs="Arial"/>
          <w:lang w:eastAsia="en-GB"/>
        </w:rPr>
      </w:pPr>
    </w:p>
    <w:p w:rsidR="00EB59BF" w:rsidRPr="006E5951" w:rsidRDefault="00EB59BF" w:rsidP="00EC0606">
      <w:pPr>
        <w:pStyle w:val="Default"/>
        <w:numPr>
          <w:ilvl w:val="1"/>
          <w:numId w:val="15"/>
        </w:numPr>
        <w:spacing w:after="240"/>
        <w:rPr>
          <w:color w:val="auto"/>
        </w:rPr>
      </w:pPr>
      <w:r w:rsidRPr="006E5951">
        <w:rPr>
          <w:color w:val="auto"/>
        </w:rPr>
        <w:t>On completion of each review, Providers are awarded an assurance rating from the following four categories – weak, limited, reasonable and strong. They are also sent a formal report which details the review findings including key strengths and areas for improvement; where weaknesses have been identified they are asked to complete an action plan setting out appropriate steps for improvement and this is followed up at an agreed point.</w:t>
      </w:r>
    </w:p>
    <w:p w:rsidR="00EB59BF" w:rsidRPr="006E5951" w:rsidRDefault="00EB59BF" w:rsidP="00EC0606">
      <w:pPr>
        <w:pStyle w:val="Default"/>
        <w:numPr>
          <w:ilvl w:val="1"/>
          <w:numId w:val="15"/>
        </w:numPr>
        <w:spacing w:after="240"/>
        <w:rPr>
          <w:color w:val="auto"/>
        </w:rPr>
      </w:pPr>
      <w:r w:rsidRPr="006E5951">
        <w:rPr>
          <w:color w:val="auto"/>
        </w:rPr>
        <w:t xml:space="preserve">The timescale for a subsequent review is determined by several risk factors; these include the Provider’s current assurance rating, the contract value and intelligence from internal stakeholders. Provider reviews are conducted over a period of up to 20 </w:t>
      </w:r>
      <w:r w:rsidRPr="006E5951">
        <w:rPr>
          <w:color w:val="auto"/>
        </w:rPr>
        <w:lastRenderedPageBreak/>
        <w:t>weeks. The resource allocated to each review depends on the complexity of the contract delivery.</w:t>
      </w:r>
    </w:p>
    <w:p w:rsidR="00EB59BF" w:rsidRPr="006E5951" w:rsidRDefault="00EB59BF" w:rsidP="00EC0606">
      <w:pPr>
        <w:pStyle w:val="Default"/>
        <w:numPr>
          <w:ilvl w:val="1"/>
          <w:numId w:val="15"/>
        </w:numPr>
        <w:spacing w:after="240"/>
        <w:ind w:left="709" w:hanging="709"/>
        <w:contextualSpacing/>
        <w:jc w:val="both"/>
        <w:rPr>
          <w:color w:val="auto"/>
        </w:rPr>
      </w:pPr>
      <w:r w:rsidRPr="006E5951">
        <w:rPr>
          <w:color w:val="auto"/>
        </w:rPr>
        <w:t>Findings from each review are routinely reported to the relevant category managers/supplier managers and other DWP stakeholders. Remedial actions may  be taken in the following circumstances:</w:t>
      </w:r>
    </w:p>
    <w:p w:rsidR="006E5951" w:rsidRPr="006E5951" w:rsidRDefault="006E5951" w:rsidP="006E5951">
      <w:pPr>
        <w:pStyle w:val="Default"/>
        <w:spacing w:after="240"/>
        <w:ind w:left="709"/>
        <w:contextualSpacing/>
        <w:jc w:val="both"/>
        <w:rPr>
          <w:color w:val="auto"/>
        </w:rPr>
      </w:pPr>
    </w:p>
    <w:p w:rsidR="006E5951" w:rsidRPr="006E5951" w:rsidRDefault="006E5951" w:rsidP="00EC0606">
      <w:pPr>
        <w:numPr>
          <w:ilvl w:val="0"/>
          <w:numId w:val="62"/>
        </w:numPr>
        <w:ind w:left="993" w:hanging="426"/>
        <w:jc w:val="both"/>
        <w:rPr>
          <w:rFonts w:cs="Arial"/>
        </w:rPr>
      </w:pPr>
      <w:r w:rsidRPr="006E5951">
        <w:rPr>
          <w:rFonts w:cs="Arial"/>
        </w:rPr>
        <w:t>if following a Weak or Limited Assurance level from the Provider Assurance Team and / or an equivalent rating from the Security and Business Continuity Team, the Provider’s subsequent assurance level is the same or worse for the same reasons, or the Provider is awarded a consecutive third weak or limited assurance, regardless of the reasons;</w:t>
      </w:r>
    </w:p>
    <w:p w:rsidR="006E5951" w:rsidRPr="006E5951" w:rsidRDefault="006E5951" w:rsidP="006E5951">
      <w:pPr>
        <w:jc w:val="both"/>
        <w:rPr>
          <w:rFonts w:cs="Arial"/>
        </w:rPr>
      </w:pPr>
    </w:p>
    <w:p w:rsidR="006E5951" w:rsidRPr="006E5951" w:rsidRDefault="006E5951" w:rsidP="00EC0606">
      <w:pPr>
        <w:pStyle w:val="ListParagraph"/>
        <w:numPr>
          <w:ilvl w:val="0"/>
          <w:numId w:val="63"/>
        </w:numPr>
        <w:ind w:hanging="153"/>
        <w:contextualSpacing/>
        <w:jc w:val="both"/>
        <w:rPr>
          <w:rFonts w:cs="Arial"/>
        </w:rPr>
      </w:pPr>
      <w:r w:rsidRPr="006E5951">
        <w:rPr>
          <w:rFonts w:cs="Arial"/>
        </w:rPr>
        <w:t xml:space="preserve">    following a review, if the provider fails to submit and/or implement the</w:t>
      </w:r>
    </w:p>
    <w:p w:rsidR="006E5951" w:rsidRPr="006E5951" w:rsidRDefault="006E5951" w:rsidP="006E5951">
      <w:pPr>
        <w:pStyle w:val="ListParagraph"/>
        <w:jc w:val="both"/>
        <w:rPr>
          <w:rFonts w:cs="Arial"/>
        </w:rPr>
      </w:pPr>
      <w:r w:rsidRPr="006E5951">
        <w:rPr>
          <w:rFonts w:cs="Arial"/>
        </w:rPr>
        <w:t xml:space="preserve">    Action Plan within the agreed timescale;</w:t>
      </w:r>
    </w:p>
    <w:p w:rsidR="006E5951" w:rsidRPr="006E5951" w:rsidRDefault="006E5951" w:rsidP="006E5951">
      <w:pPr>
        <w:ind w:left="993"/>
        <w:jc w:val="both"/>
        <w:rPr>
          <w:rFonts w:cs="Arial"/>
        </w:rPr>
      </w:pPr>
    </w:p>
    <w:p w:rsidR="006E5951" w:rsidRPr="006E5951" w:rsidRDefault="006E5951" w:rsidP="00EC0606">
      <w:pPr>
        <w:numPr>
          <w:ilvl w:val="0"/>
          <w:numId w:val="62"/>
        </w:numPr>
        <w:ind w:left="993" w:hanging="426"/>
        <w:jc w:val="both"/>
        <w:rPr>
          <w:rFonts w:cs="Arial"/>
        </w:rPr>
      </w:pPr>
      <w:r w:rsidRPr="006E5951">
        <w:rPr>
          <w:rFonts w:cs="Arial"/>
        </w:rPr>
        <w:t>where there are suspicions that a Provider may be acting inappropriately the team will refer to Internal Investigations as the experts trained in the legalities and techniques required to carry out formal investigations; or</w:t>
      </w:r>
    </w:p>
    <w:p w:rsidR="006E5951" w:rsidRPr="006E5951" w:rsidRDefault="006E5951" w:rsidP="006E5951">
      <w:pPr>
        <w:ind w:left="993"/>
        <w:jc w:val="both"/>
        <w:rPr>
          <w:rFonts w:cs="Arial"/>
        </w:rPr>
      </w:pPr>
    </w:p>
    <w:p w:rsidR="006E5951" w:rsidRPr="006E5951" w:rsidRDefault="006E5951" w:rsidP="00EC0606">
      <w:pPr>
        <w:numPr>
          <w:ilvl w:val="0"/>
          <w:numId w:val="62"/>
        </w:numPr>
        <w:ind w:left="993" w:hanging="426"/>
        <w:jc w:val="both"/>
        <w:rPr>
          <w:rFonts w:cs="Arial"/>
        </w:rPr>
      </w:pPr>
      <w:proofErr w:type="gramStart"/>
      <w:r w:rsidRPr="006E5951">
        <w:rPr>
          <w:rFonts w:cs="Arial"/>
        </w:rPr>
        <w:t>where</w:t>
      </w:r>
      <w:proofErr w:type="gramEnd"/>
      <w:r w:rsidRPr="006E5951">
        <w:rPr>
          <w:rFonts w:cs="Arial"/>
        </w:rPr>
        <w:t xml:space="preserve"> there are serious concerns around data security these are reported through the respective channels to colleagues in Supply Chain Information Assurance Team.</w:t>
      </w:r>
    </w:p>
    <w:p w:rsidR="006E5951" w:rsidRPr="006E5951" w:rsidRDefault="006E5951" w:rsidP="006E5951">
      <w:pPr>
        <w:pStyle w:val="Default"/>
        <w:spacing w:after="240"/>
        <w:ind w:left="709"/>
        <w:contextualSpacing/>
        <w:jc w:val="both"/>
        <w:rPr>
          <w:color w:val="auto"/>
        </w:rPr>
      </w:pPr>
    </w:p>
    <w:p w:rsidR="006E5951" w:rsidRPr="006E5951" w:rsidRDefault="006E5951" w:rsidP="006E5951">
      <w:pPr>
        <w:pStyle w:val="Default"/>
        <w:spacing w:after="240"/>
        <w:ind w:left="709"/>
        <w:contextualSpacing/>
        <w:jc w:val="both"/>
        <w:rPr>
          <w:color w:val="auto"/>
        </w:rPr>
      </w:pPr>
    </w:p>
    <w:p w:rsidR="006E5951" w:rsidRPr="006E5951" w:rsidRDefault="006E5951" w:rsidP="006E5951">
      <w:pPr>
        <w:pStyle w:val="Default"/>
        <w:spacing w:after="240"/>
        <w:ind w:left="709"/>
        <w:contextualSpacing/>
        <w:jc w:val="both"/>
        <w:rPr>
          <w:color w:val="auto"/>
        </w:rPr>
      </w:pPr>
    </w:p>
    <w:p w:rsidR="006E5951" w:rsidRPr="006E5951" w:rsidRDefault="006E5951" w:rsidP="00EC0606">
      <w:pPr>
        <w:pStyle w:val="Default"/>
        <w:numPr>
          <w:ilvl w:val="1"/>
          <w:numId w:val="15"/>
        </w:numPr>
        <w:spacing w:after="240"/>
        <w:contextualSpacing/>
        <w:jc w:val="both"/>
        <w:rPr>
          <w:color w:val="auto"/>
        </w:rPr>
      </w:pPr>
      <w:r w:rsidRPr="006E5951">
        <w:rPr>
          <w:color w:val="auto"/>
        </w:rPr>
        <w:t xml:space="preserve">DWP </w:t>
      </w:r>
      <w:r w:rsidR="004C609F">
        <w:rPr>
          <w:color w:val="auto"/>
        </w:rPr>
        <w:t>may</w:t>
      </w:r>
      <w:r w:rsidRPr="006E5951">
        <w:rPr>
          <w:color w:val="auto"/>
        </w:rPr>
        <w:t xml:space="preserve"> periodically publish Provider assurance levels and names (note - this will not include reports or supporting information). This is to satisfy a commitment DWP made in response to a Freedom of Information request and to support DWP’s commitment to public transparency.</w:t>
      </w:r>
    </w:p>
    <w:p w:rsidR="006E5951" w:rsidRPr="006E5951" w:rsidRDefault="006E5951" w:rsidP="006E5951">
      <w:pPr>
        <w:pStyle w:val="Default"/>
        <w:spacing w:after="240"/>
        <w:ind w:left="720"/>
        <w:contextualSpacing/>
        <w:jc w:val="both"/>
        <w:rPr>
          <w:color w:val="auto"/>
        </w:rPr>
      </w:pPr>
    </w:p>
    <w:p w:rsidR="006E5951" w:rsidRPr="006E5951" w:rsidRDefault="006E5951" w:rsidP="00EC0606">
      <w:pPr>
        <w:pStyle w:val="Default"/>
        <w:numPr>
          <w:ilvl w:val="1"/>
          <w:numId w:val="15"/>
        </w:numPr>
        <w:spacing w:after="240"/>
        <w:contextualSpacing/>
        <w:jc w:val="both"/>
        <w:rPr>
          <w:color w:val="auto"/>
        </w:rPr>
      </w:pPr>
      <w:r w:rsidRPr="006E5951">
        <w:rPr>
          <w:color w:val="auto"/>
        </w:rPr>
        <w:t>The Provider Assurance Team will work with successful Providers to ensure that they understand what is expected of them and are, therefore, adequately equipped to develop robust systems to support their service delivery model when the Provision goes live.</w:t>
      </w:r>
    </w:p>
    <w:p w:rsidR="006E5951" w:rsidRPr="00EB59BF" w:rsidRDefault="006E5951" w:rsidP="006E5951">
      <w:pPr>
        <w:pStyle w:val="Default"/>
        <w:spacing w:after="240"/>
        <w:ind w:left="720"/>
        <w:contextualSpacing/>
        <w:jc w:val="both"/>
      </w:pPr>
    </w:p>
    <w:p w:rsidR="00211CE2" w:rsidRPr="00FA05AF" w:rsidRDefault="00211CE2" w:rsidP="00690E9E">
      <w:pPr>
        <w:autoSpaceDE w:val="0"/>
        <w:autoSpaceDN w:val="0"/>
        <w:adjustRightInd w:val="0"/>
        <w:spacing w:after="240"/>
        <w:rPr>
          <w:rFonts w:cs="Arial"/>
          <w:b/>
          <w:bCs/>
          <w:sz w:val="28"/>
          <w:szCs w:val="28"/>
          <w:lang w:eastAsia="en-GB"/>
        </w:rPr>
      </w:pPr>
      <w:r w:rsidRPr="00FA05AF">
        <w:rPr>
          <w:rFonts w:cs="Arial"/>
          <w:b/>
          <w:bCs/>
          <w:sz w:val="28"/>
          <w:szCs w:val="28"/>
          <w:lang w:eastAsia="en-GB"/>
        </w:rPr>
        <w:t>Programme Evaluation</w:t>
      </w:r>
      <w:r w:rsidR="00D828B7" w:rsidRPr="00FA05AF">
        <w:rPr>
          <w:rFonts w:cs="Arial"/>
          <w:b/>
          <w:bCs/>
          <w:sz w:val="28"/>
          <w:szCs w:val="28"/>
          <w:lang w:eastAsia="en-GB"/>
        </w:rPr>
        <w:t xml:space="preserve"> </w:t>
      </w:r>
    </w:p>
    <w:p w:rsidR="00521635" w:rsidRPr="00FA05AF" w:rsidRDefault="00374980" w:rsidP="00EC0606">
      <w:pPr>
        <w:pStyle w:val="Default"/>
        <w:numPr>
          <w:ilvl w:val="1"/>
          <w:numId w:val="15"/>
        </w:numPr>
        <w:tabs>
          <w:tab w:val="clear" w:pos="720"/>
        </w:tabs>
        <w:spacing w:after="240"/>
        <w:rPr>
          <w:color w:val="auto"/>
        </w:rPr>
      </w:pPr>
      <w:r w:rsidRPr="00FA05AF">
        <w:rPr>
          <w:color w:val="auto"/>
        </w:rPr>
        <w:t>Evaluation of the programme</w:t>
      </w:r>
      <w:r w:rsidR="005968AF" w:rsidRPr="00FA05AF">
        <w:rPr>
          <w:color w:val="auto"/>
        </w:rPr>
        <w:t xml:space="preserve"> </w:t>
      </w:r>
      <w:r w:rsidR="007867A2" w:rsidRPr="00FA05AF">
        <w:rPr>
          <w:color w:val="auto"/>
        </w:rPr>
        <w:t xml:space="preserve">may </w:t>
      </w:r>
      <w:r w:rsidR="005968AF" w:rsidRPr="00FA05AF">
        <w:rPr>
          <w:color w:val="auto"/>
        </w:rPr>
        <w:t>be required during the contract period</w:t>
      </w:r>
      <w:r w:rsidRPr="00FA05AF">
        <w:rPr>
          <w:color w:val="auto"/>
        </w:rPr>
        <w:t xml:space="preserve">. </w:t>
      </w:r>
      <w:r w:rsidR="005968AF" w:rsidRPr="00FA05AF">
        <w:rPr>
          <w:color w:val="auto"/>
        </w:rPr>
        <w:t xml:space="preserve">Any such </w:t>
      </w:r>
      <w:r w:rsidRPr="00FA05AF">
        <w:rPr>
          <w:color w:val="auto"/>
        </w:rPr>
        <w:t xml:space="preserve">evaluation </w:t>
      </w:r>
      <w:r w:rsidR="005968AF" w:rsidRPr="00FA05AF">
        <w:rPr>
          <w:color w:val="auto"/>
        </w:rPr>
        <w:t xml:space="preserve">may </w:t>
      </w:r>
      <w:r w:rsidRPr="00FA05AF">
        <w:rPr>
          <w:color w:val="auto"/>
        </w:rPr>
        <w:t xml:space="preserve">seek to determine the success of the overall support for the target group and on </w:t>
      </w:r>
      <w:r w:rsidR="008A45C0" w:rsidRPr="00FA05AF">
        <w:rPr>
          <w:color w:val="auto"/>
        </w:rPr>
        <w:t>Participant</w:t>
      </w:r>
      <w:r w:rsidRPr="00FA05AF">
        <w:rPr>
          <w:color w:val="auto"/>
        </w:rPr>
        <w:t xml:space="preserve"> outcomes. DWP </w:t>
      </w:r>
      <w:r w:rsidR="005968AF" w:rsidRPr="00FA05AF">
        <w:rPr>
          <w:color w:val="auto"/>
        </w:rPr>
        <w:t xml:space="preserve">may </w:t>
      </w:r>
      <w:r w:rsidRPr="00FA05AF">
        <w:rPr>
          <w:color w:val="auto"/>
        </w:rPr>
        <w:t xml:space="preserve">conduct a combination of in-house impact assessments which may be supplemented by some externally commissioned research. </w:t>
      </w:r>
    </w:p>
    <w:p w:rsidR="00374980" w:rsidRPr="00FA05AF" w:rsidRDefault="00374980" w:rsidP="007F7FD8">
      <w:pPr>
        <w:pStyle w:val="Default"/>
        <w:numPr>
          <w:ilvl w:val="1"/>
          <w:numId w:val="15"/>
        </w:numPr>
        <w:tabs>
          <w:tab w:val="clear" w:pos="720"/>
          <w:tab w:val="left" w:pos="6521"/>
        </w:tabs>
        <w:spacing w:after="240"/>
        <w:rPr>
          <w:color w:val="auto"/>
        </w:rPr>
      </w:pPr>
      <w:r w:rsidRPr="00FA05AF">
        <w:rPr>
          <w:color w:val="auto"/>
        </w:rPr>
        <w:t xml:space="preserve">Researchers may wish to visit and interview </w:t>
      </w:r>
      <w:r w:rsidR="008A45C0" w:rsidRPr="00FA05AF">
        <w:rPr>
          <w:color w:val="auto"/>
        </w:rPr>
        <w:t>Provider</w:t>
      </w:r>
      <w:r w:rsidRPr="00FA05AF">
        <w:rPr>
          <w:color w:val="auto"/>
        </w:rPr>
        <w:t>s</w:t>
      </w:r>
      <w:r w:rsidR="005968AF" w:rsidRPr="00FA05AF">
        <w:rPr>
          <w:color w:val="auto"/>
        </w:rPr>
        <w:t xml:space="preserve">, </w:t>
      </w:r>
      <w:r w:rsidR="008A45C0" w:rsidRPr="00FA05AF">
        <w:rPr>
          <w:color w:val="auto"/>
        </w:rPr>
        <w:t>Participant</w:t>
      </w:r>
      <w:r w:rsidR="005968AF" w:rsidRPr="00FA05AF">
        <w:rPr>
          <w:color w:val="auto"/>
        </w:rPr>
        <w:t xml:space="preserve">s and Business </w:t>
      </w:r>
      <w:r w:rsidR="008A45C0" w:rsidRPr="00FA05AF">
        <w:rPr>
          <w:color w:val="auto"/>
        </w:rPr>
        <w:t>Mentor</w:t>
      </w:r>
      <w:r w:rsidR="005968AF" w:rsidRPr="00FA05AF">
        <w:rPr>
          <w:color w:val="auto"/>
        </w:rPr>
        <w:t>s /Advisers</w:t>
      </w:r>
      <w:r w:rsidRPr="00FA05AF">
        <w:rPr>
          <w:color w:val="auto"/>
        </w:rPr>
        <w:t xml:space="preserve"> as part of the evaluation. </w:t>
      </w:r>
      <w:r w:rsidR="008A45C0" w:rsidRPr="00FA05AF">
        <w:rPr>
          <w:color w:val="auto"/>
        </w:rPr>
        <w:t>Provider</w:t>
      </w:r>
      <w:r w:rsidRPr="00FA05AF">
        <w:rPr>
          <w:color w:val="auto"/>
        </w:rPr>
        <w:t xml:space="preserve">s will be contacted in advance of </w:t>
      </w:r>
      <w:r w:rsidRPr="00FA05AF">
        <w:rPr>
          <w:color w:val="auto"/>
        </w:rPr>
        <w:lastRenderedPageBreak/>
        <w:t xml:space="preserve">any fieldwork. </w:t>
      </w:r>
      <w:r w:rsidR="008A45C0" w:rsidRPr="00FA05AF">
        <w:rPr>
          <w:color w:val="auto"/>
        </w:rPr>
        <w:t>Provider</w:t>
      </w:r>
      <w:r w:rsidRPr="00FA05AF">
        <w:rPr>
          <w:color w:val="auto"/>
        </w:rPr>
        <w:t xml:space="preserve">s are required to fully co-operate with </w:t>
      </w:r>
      <w:r w:rsidR="00AF1AB3" w:rsidRPr="00FA05AF">
        <w:rPr>
          <w:color w:val="auto"/>
        </w:rPr>
        <w:t xml:space="preserve">any </w:t>
      </w:r>
      <w:r w:rsidRPr="00FA05AF">
        <w:rPr>
          <w:color w:val="auto"/>
        </w:rPr>
        <w:t>programme evaluation activity commissioned by DWP.</w:t>
      </w:r>
    </w:p>
    <w:p w:rsidR="00ED5856" w:rsidRDefault="00ED5856" w:rsidP="00EC0606">
      <w:pPr>
        <w:pStyle w:val="Heading1"/>
        <w:numPr>
          <w:ilvl w:val="0"/>
          <w:numId w:val="15"/>
        </w:numPr>
        <w:spacing w:after="240"/>
        <w:rPr>
          <w:color w:val="FF0000"/>
          <w:sz w:val="28"/>
          <w:szCs w:val="28"/>
          <w:u w:val="single"/>
        </w:rPr>
        <w:sectPr w:rsidR="00ED5856" w:rsidSect="00F45B13">
          <w:headerReference w:type="even" r:id="rId18"/>
          <w:headerReference w:type="default" r:id="rId19"/>
          <w:footerReference w:type="default" r:id="rId20"/>
          <w:headerReference w:type="first" r:id="rId21"/>
          <w:pgSz w:w="12240" w:h="15840" w:code="1"/>
          <w:pgMar w:top="1304" w:right="1134" w:bottom="1304" w:left="1134" w:header="720" w:footer="720" w:gutter="0"/>
          <w:cols w:space="720"/>
          <w:noEndnote/>
        </w:sectPr>
      </w:pPr>
      <w:bookmarkStart w:id="10" w:name="_CONTRACT_PACKAGES,_INDICATIVE"/>
      <w:bookmarkEnd w:id="10"/>
    </w:p>
    <w:p w:rsidR="00353A76" w:rsidRPr="00353A76" w:rsidRDefault="00353A76" w:rsidP="00690E9E">
      <w:pPr>
        <w:pStyle w:val="Heading1"/>
        <w:tabs>
          <w:tab w:val="clear" w:pos="432"/>
        </w:tabs>
        <w:spacing w:after="240"/>
        <w:rPr>
          <w:sz w:val="28"/>
          <w:szCs w:val="28"/>
        </w:rPr>
      </w:pPr>
      <w:r w:rsidRPr="00353A76">
        <w:rPr>
          <w:sz w:val="28"/>
          <w:szCs w:val="28"/>
        </w:rPr>
        <w:lastRenderedPageBreak/>
        <w:t>Annex 1</w:t>
      </w:r>
    </w:p>
    <w:p w:rsidR="00353A76" w:rsidRDefault="001A7831" w:rsidP="00690E9E">
      <w:pPr>
        <w:pStyle w:val="Heading1"/>
        <w:tabs>
          <w:tab w:val="clear" w:pos="432"/>
        </w:tabs>
        <w:spacing w:after="240"/>
        <w:rPr>
          <w:sz w:val="28"/>
          <w:szCs w:val="28"/>
          <w:u w:val="single"/>
        </w:rPr>
      </w:pPr>
      <w:r>
        <w:rPr>
          <w:rFonts w:cs="Arial"/>
          <w:noProof/>
          <w:lang w:eastAsia="en-GB"/>
        </w:rPr>
        <w:drawing>
          <wp:inline distT="0" distB="0" distL="0" distR="0" wp14:anchorId="22777876" wp14:editId="5C551910">
            <wp:extent cx="8402320" cy="5754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02320" cy="5754849"/>
                    </a:xfrm>
                    <a:prstGeom prst="rect">
                      <a:avLst/>
                    </a:prstGeom>
                    <a:noFill/>
                  </pic:spPr>
                </pic:pic>
              </a:graphicData>
            </a:graphic>
          </wp:inline>
        </w:drawing>
      </w:r>
    </w:p>
    <w:p w:rsidR="002706BD" w:rsidRDefault="001A7831" w:rsidP="00690E9E">
      <w:pPr>
        <w:pStyle w:val="Heading1"/>
        <w:tabs>
          <w:tab w:val="clear" w:pos="432"/>
        </w:tabs>
        <w:spacing w:after="240"/>
        <w:rPr>
          <w:sz w:val="28"/>
          <w:szCs w:val="28"/>
          <w:u w:val="single"/>
        </w:rPr>
      </w:pPr>
      <w:r>
        <w:rPr>
          <w:sz w:val="28"/>
          <w:szCs w:val="28"/>
          <w:u w:val="single"/>
        </w:rPr>
        <w:lastRenderedPageBreak/>
        <w:t>A</w:t>
      </w:r>
      <w:r w:rsidR="00ED5856" w:rsidRPr="002D16C2">
        <w:rPr>
          <w:sz w:val="28"/>
          <w:szCs w:val="28"/>
          <w:u w:val="single"/>
        </w:rPr>
        <w:t xml:space="preserve">nnex </w:t>
      </w:r>
      <w:r>
        <w:rPr>
          <w:sz w:val="28"/>
          <w:szCs w:val="28"/>
          <w:u w:val="single"/>
        </w:rPr>
        <w:t>2</w:t>
      </w:r>
      <w:r w:rsidR="00ED5856" w:rsidRPr="002D16C2">
        <w:rPr>
          <w:sz w:val="28"/>
          <w:szCs w:val="28"/>
          <w:u w:val="single"/>
        </w:rPr>
        <w:t xml:space="preserve"> - </w:t>
      </w:r>
      <w:r w:rsidR="002706BD" w:rsidRPr="002D16C2">
        <w:rPr>
          <w:sz w:val="28"/>
          <w:szCs w:val="28"/>
          <w:u w:val="single"/>
        </w:rPr>
        <w:t>CONTRACT PACKAGES,</w:t>
      </w:r>
      <w:r w:rsidR="002706BD" w:rsidRPr="002D16C2">
        <w:rPr>
          <w:i/>
          <w:iCs/>
          <w:sz w:val="28"/>
          <w:szCs w:val="28"/>
          <w:u w:val="single"/>
        </w:rPr>
        <w:t xml:space="preserve"> INDICATIVE</w:t>
      </w:r>
      <w:r w:rsidR="002706BD" w:rsidRPr="002D16C2">
        <w:rPr>
          <w:sz w:val="28"/>
          <w:szCs w:val="28"/>
          <w:u w:val="single"/>
        </w:rPr>
        <w:t xml:space="preserve"> VOLUMES AND </w:t>
      </w:r>
      <w:r w:rsidR="00771099">
        <w:rPr>
          <w:sz w:val="28"/>
          <w:szCs w:val="28"/>
          <w:u w:val="single"/>
        </w:rPr>
        <w:t>Contract Values</w:t>
      </w:r>
      <w:r w:rsidR="008053C3">
        <w:rPr>
          <w:sz w:val="28"/>
          <w:szCs w:val="28"/>
          <w:u w:val="single"/>
        </w:rPr>
        <w:t xml:space="preserve"> – see </w:t>
      </w:r>
      <w:proofErr w:type="gramStart"/>
      <w:r w:rsidR="008053C3">
        <w:rPr>
          <w:sz w:val="28"/>
          <w:szCs w:val="28"/>
          <w:u w:val="single"/>
        </w:rPr>
        <w:t>the  assumptions</w:t>
      </w:r>
      <w:proofErr w:type="gramEnd"/>
      <w:r w:rsidR="008053C3">
        <w:rPr>
          <w:sz w:val="28"/>
          <w:szCs w:val="28"/>
          <w:u w:val="single"/>
        </w:rPr>
        <w:t xml:space="preserve"> that follow the table </w:t>
      </w:r>
      <w:r w:rsidR="002706BD" w:rsidRPr="002D16C2">
        <w:rPr>
          <w:sz w:val="28"/>
          <w:szCs w:val="28"/>
          <w:u w:val="single"/>
        </w:rPr>
        <w:t xml:space="preserve"> </w:t>
      </w:r>
    </w:p>
    <w:tbl>
      <w:tblPr>
        <w:tblW w:w="14620" w:type="dxa"/>
        <w:tblInd w:w="-688" w:type="dxa"/>
        <w:tblLook w:val="04A0" w:firstRow="1" w:lastRow="0" w:firstColumn="1" w:lastColumn="0" w:noHBand="0" w:noVBand="1"/>
      </w:tblPr>
      <w:tblGrid>
        <w:gridCol w:w="1200"/>
        <w:gridCol w:w="3040"/>
        <w:gridCol w:w="3680"/>
        <w:gridCol w:w="1200"/>
        <w:gridCol w:w="1200"/>
        <w:gridCol w:w="1200"/>
        <w:gridCol w:w="1500"/>
        <w:gridCol w:w="1600"/>
      </w:tblGrid>
      <w:tr w:rsidR="00407ABF" w:rsidRPr="00407ABF" w:rsidTr="001E3888">
        <w:trPr>
          <w:trHeight w:val="58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Contract Package Area</w:t>
            </w:r>
          </w:p>
        </w:tc>
        <w:tc>
          <w:tcPr>
            <w:tcW w:w="3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Group</w:t>
            </w:r>
          </w:p>
        </w:tc>
        <w:tc>
          <w:tcPr>
            <w:tcW w:w="3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District</w:t>
            </w:r>
          </w:p>
        </w:tc>
        <w:tc>
          <w:tcPr>
            <w:tcW w:w="24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07ABF" w:rsidRPr="00407ABF" w:rsidRDefault="00407ABF" w:rsidP="00407ABF">
            <w:pPr>
              <w:jc w:val="center"/>
              <w:rPr>
                <w:rFonts w:cs="Arial"/>
                <w:b/>
                <w:bCs/>
                <w:sz w:val="20"/>
                <w:szCs w:val="20"/>
                <w:lang w:eastAsia="en-GB"/>
              </w:rPr>
            </w:pPr>
            <w:r w:rsidRPr="00407ABF">
              <w:rPr>
                <w:rFonts w:cs="Arial"/>
                <w:b/>
                <w:bCs/>
                <w:sz w:val="20"/>
                <w:szCs w:val="20"/>
                <w:lang w:eastAsia="en-GB"/>
              </w:rPr>
              <w:t>New Business Starts</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rsidR="00407ABF" w:rsidRPr="00407ABF" w:rsidRDefault="00407ABF" w:rsidP="00407ABF">
            <w:pPr>
              <w:jc w:val="center"/>
              <w:rPr>
                <w:rFonts w:cs="Arial"/>
                <w:b/>
                <w:bCs/>
                <w:sz w:val="20"/>
                <w:szCs w:val="20"/>
                <w:lang w:eastAsia="en-GB"/>
              </w:rPr>
            </w:pPr>
            <w:r w:rsidRPr="00407ABF">
              <w:rPr>
                <w:rFonts w:cs="Arial"/>
                <w:b/>
                <w:bCs/>
                <w:sz w:val="20"/>
                <w:szCs w:val="20"/>
                <w:lang w:eastAsia="en-GB"/>
              </w:rPr>
              <w:t>U/C Existing S/E</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proofErr w:type="spellStart"/>
            <w:r w:rsidRPr="00407ABF">
              <w:rPr>
                <w:rFonts w:cs="Arial"/>
                <w:b/>
                <w:bCs/>
                <w:sz w:val="18"/>
                <w:szCs w:val="18"/>
                <w:lang w:eastAsia="en-GB"/>
              </w:rPr>
              <w:t>Approx</w:t>
            </w:r>
            <w:proofErr w:type="spellEnd"/>
            <w:r w:rsidRPr="00407ABF">
              <w:rPr>
                <w:rFonts w:cs="Arial"/>
                <w:b/>
                <w:bCs/>
                <w:sz w:val="18"/>
                <w:szCs w:val="18"/>
                <w:lang w:eastAsia="en-GB"/>
              </w:rPr>
              <w:t xml:space="preserve"> contract maximum value ( 2 years starts +payment tail) </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Estimated actual contract value ( 2 years starts + payment Tail)**</w:t>
            </w:r>
          </w:p>
        </w:tc>
      </w:tr>
      <w:tr w:rsidR="00407ABF" w:rsidRPr="00407ABF" w:rsidTr="001E3888">
        <w:trPr>
          <w:trHeight w:val="97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304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368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tcBorders>
              <w:top w:val="nil"/>
              <w:left w:val="nil"/>
              <w:bottom w:val="single" w:sz="8" w:space="0" w:color="auto"/>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 xml:space="preserve">volume of places for Link Up : Start UP </w:t>
            </w:r>
          </w:p>
        </w:tc>
        <w:tc>
          <w:tcPr>
            <w:tcW w:w="1200" w:type="dxa"/>
            <w:tcBorders>
              <w:top w:val="nil"/>
              <w:left w:val="nil"/>
              <w:bottom w:val="single" w:sz="8" w:space="0" w:color="auto"/>
              <w:right w:val="single" w:sz="8" w:space="0" w:color="auto"/>
            </w:tcBorders>
            <w:shd w:val="clear" w:color="auto" w:fill="auto"/>
            <w:vAlign w:val="center"/>
            <w:hideMark/>
          </w:tcPr>
          <w:p w:rsidR="00407ABF" w:rsidRPr="00407ABF" w:rsidRDefault="00407ABF" w:rsidP="00407ABF">
            <w:pPr>
              <w:rPr>
                <w:rFonts w:cs="Arial"/>
                <w:b/>
                <w:bCs/>
                <w:sz w:val="18"/>
                <w:szCs w:val="18"/>
                <w:lang w:eastAsia="en-GB"/>
              </w:rPr>
            </w:pPr>
            <w:r w:rsidRPr="00407ABF">
              <w:rPr>
                <w:rFonts w:cs="Arial"/>
                <w:b/>
                <w:bCs/>
                <w:sz w:val="18"/>
                <w:szCs w:val="18"/>
                <w:lang w:eastAsia="en-GB"/>
              </w:rPr>
              <w:t>volume of starts*</w:t>
            </w:r>
          </w:p>
        </w:tc>
        <w:tc>
          <w:tcPr>
            <w:tcW w:w="1200" w:type="dxa"/>
            <w:tcBorders>
              <w:top w:val="nil"/>
              <w:left w:val="nil"/>
              <w:bottom w:val="single" w:sz="8" w:space="0" w:color="auto"/>
              <w:right w:val="single" w:sz="8" w:space="0" w:color="auto"/>
            </w:tcBorders>
            <w:shd w:val="clear" w:color="auto" w:fill="auto"/>
            <w:vAlign w:val="center"/>
            <w:hideMark/>
          </w:tcPr>
          <w:p w:rsidR="00407ABF" w:rsidRPr="00407ABF" w:rsidRDefault="00407ABF" w:rsidP="00407ABF">
            <w:pPr>
              <w:rPr>
                <w:rFonts w:cs="Arial"/>
                <w:b/>
                <w:bCs/>
                <w:sz w:val="18"/>
                <w:szCs w:val="18"/>
                <w:lang w:eastAsia="en-GB"/>
              </w:rPr>
            </w:pPr>
            <w:r w:rsidRPr="00407ABF">
              <w:rPr>
                <w:rFonts w:cs="Arial"/>
                <w:b/>
                <w:bCs/>
                <w:sz w:val="18"/>
                <w:szCs w:val="18"/>
                <w:lang w:eastAsia="en-GB"/>
              </w:rPr>
              <w:t>volume of starts*</w:t>
            </w: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1</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Central England 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Birmingham and Solihull</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5510</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3581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1535</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£3,688,135</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£2,277,947</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Black Country</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2</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Central England 2</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East Anglia</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5547</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3606</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1545</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£3,713,126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£2,293,382</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Leicestershire and Northamptonshire</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Lincolnshire, Nottinghamshire and Rutland</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3</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Central England 3</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Mercia</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4110</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2671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1145</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£2,750,962</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£1,699,110</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Midland shires</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4</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London and the Home Counties 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Bedfordshire and Hertfordshire</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6156</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4001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1715</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£4,120,676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£2,545,102</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Essex</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Kent</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5</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London and the Home Counties 2</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East London</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7870</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5116</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2192</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£5,268,352</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£3,253,955</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 London</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6</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London and the Home Counties 3</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London</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6328</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4113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1763</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£4,236,020</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£2,616,344</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West London</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7</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East 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Durham and Tees Valley</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4704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3058</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1310</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£3,148,900</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£1,944,893</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nil"/>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Northumberland, Tyne and Wear</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8</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East 2</w:t>
            </w:r>
          </w:p>
        </w:tc>
        <w:tc>
          <w:tcPr>
            <w:tcW w:w="3680" w:type="dxa"/>
            <w:tcBorders>
              <w:top w:val="single" w:sz="8" w:space="0" w:color="auto"/>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 Yorkshire</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9344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6073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2603</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£6,254,546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£3,863,070</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and East Yorkshire and the Humber</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West Yorkshire</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9</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West 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Cumbria and Lancashire</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6175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4013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1720</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£4,133,172</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£2,552,820</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Merseyside</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lastRenderedPageBreak/>
              <w:t>CPA 10</w:t>
            </w:r>
          </w:p>
        </w:tc>
        <w:tc>
          <w:tcPr>
            <w:tcW w:w="3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West 2</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Greater Manchester</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7672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4987</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2137</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£5,135,706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£3,172,028</w:t>
            </w:r>
          </w:p>
        </w:tc>
      </w:tr>
      <w:tr w:rsidR="00407ABF" w:rsidRPr="00407ABF" w:rsidTr="001E3888">
        <w:trPr>
          <w:trHeight w:val="315"/>
        </w:trPr>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Cheshire</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735"/>
        </w:trPr>
        <w:tc>
          <w:tcPr>
            <w:tcW w:w="1200" w:type="dxa"/>
            <w:tcBorders>
              <w:top w:val="nil"/>
              <w:left w:val="single" w:sz="8" w:space="0" w:color="auto"/>
              <w:bottom w:val="nil"/>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11</w:t>
            </w:r>
          </w:p>
        </w:tc>
        <w:tc>
          <w:tcPr>
            <w:tcW w:w="3040" w:type="dxa"/>
            <w:tcBorders>
              <w:top w:val="nil"/>
              <w:left w:val="nil"/>
              <w:bottom w:val="nil"/>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 xml:space="preserve">Scotland </w:t>
            </w:r>
          </w:p>
        </w:tc>
        <w:tc>
          <w:tcPr>
            <w:tcW w:w="3680" w:type="dxa"/>
            <w:tcBorders>
              <w:top w:val="nil"/>
              <w:left w:val="nil"/>
              <w:bottom w:val="single" w:sz="8" w:space="0" w:color="auto"/>
              <w:right w:val="single" w:sz="8" w:space="0" w:color="auto"/>
            </w:tcBorders>
            <w:shd w:val="clear" w:color="auto" w:fill="auto"/>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East and South East Scotland North of Scotland, Glasgow, Lanarkshire and East Dunbartonshire West of Scotland</w:t>
            </w:r>
          </w:p>
        </w:tc>
        <w:tc>
          <w:tcPr>
            <w:tcW w:w="1200" w:type="dxa"/>
            <w:tcBorders>
              <w:top w:val="nil"/>
              <w:left w:val="nil"/>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7745</w:t>
            </w:r>
          </w:p>
        </w:tc>
        <w:tc>
          <w:tcPr>
            <w:tcW w:w="1200" w:type="dxa"/>
            <w:tcBorders>
              <w:top w:val="nil"/>
              <w:left w:val="nil"/>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5034</w:t>
            </w:r>
          </w:p>
        </w:tc>
        <w:tc>
          <w:tcPr>
            <w:tcW w:w="1200" w:type="dxa"/>
            <w:tcBorders>
              <w:top w:val="nil"/>
              <w:left w:val="nil"/>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2158</w:t>
            </w:r>
          </w:p>
        </w:tc>
        <w:tc>
          <w:tcPr>
            <w:tcW w:w="1500" w:type="dxa"/>
            <w:tcBorders>
              <w:top w:val="nil"/>
              <w:left w:val="nil"/>
              <w:bottom w:val="nil"/>
              <w:right w:val="nil"/>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£5,184,555</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£3,202,198</w:t>
            </w:r>
          </w:p>
        </w:tc>
      </w:tr>
      <w:tr w:rsidR="00407ABF" w:rsidRPr="00407ABF" w:rsidTr="001E3888">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12</w:t>
            </w:r>
          </w:p>
        </w:tc>
        <w:tc>
          <w:tcPr>
            <w:tcW w:w="3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Southern England 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Devon, Cornwall and Somerset</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5135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3338</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1430</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£3,437,146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£2,122,926</w:t>
            </w:r>
          </w:p>
        </w:tc>
      </w:tr>
      <w:tr w:rsidR="00407ABF" w:rsidRPr="00407ABF" w:rsidTr="001E388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Avon, Severn, Thames</w:t>
            </w: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nil"/>
              <w:left w:val="single" w:sz="8" w:space="0" w:color="auto"/>
              <w:bottom w:val="nil"/>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13</w:t>
            </w:r>
          </w:p>
        </w:tc>
        <w:tc>
          <w:tcPr>
            <w:tcW w:w="3040" w:type="dxa"/>
            <w:vMerge w:val="restart"/>
            <w:tcBorders>
              <w:top w:val="nil"/>
              <w:left w:val="single" w:sz="8" w:space="0" w:color="auto"/>
              <w:bottom w:val="nil"/>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Southern England 2</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Berkshire, Surrey, Sussex</w:t>
            </w:r>
          </w:p>
        </w:tc>
        <w:tc>
          <w:tcPr>
            <w:tcW w:w="1200" w:type="dxa"/>
            <w:vMerge w:val="restart"/>
            <w:tcBorders>
              <w:top w:val="nil"/>
              <w:left w:val="single" w:sz="8" w:space="0" w:color="auto"/>
              <w:bottom w:val="nil"/>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5135</w:t>
            </w:r>
          </w:p>
        </w:tc>
        <w:tc>
          <w:tcPr>
            <w:tcW w:w="1200" w:type="dxa"/>
            <w:vMerge w:val="restart"/>
            <w:tcBorders>
              <w:top w:val="nil"/>
              <w:left w:val="single" w:sz="8" w:space="0" w:color="auto"/>
              <w:bottom w:val="nil"/>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3338</w:t>
            </w:r>
          </w:p>
        </w:tc>
        <w:tc>
          <w:tcPr>
            <w:tcW w:w="1200" w:type="dxa"/>
            <w:vMerge w:val="restart"/>
            <w:tcBorders>
              <w:top w:val="nil"/>
              <w:left w:val="single" w:sz="8" w:space="0" w:color="auto"/>
              <w:bottom w:val="nil"/>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1430</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£3,437,146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£2,122,926</w:t>
            </w:r>
          </w:p>
        </w:tc>
      </w:tr>
      <w:tr w:rsidR="00407ABF" w:rsidRPr="00407ABF" w:rsidTr="001E3888">
        <w:trPr>
          <w:trHeight w:val="315"/>
        </w:trPr>
        <w:tc>
          <w:tcPr>
            <w:tcW w:w="1200" w:type="dxa"/>
            <w:vMerge/>
            <w:tcBorders>
              <w:top w:val="nil"/>
              <w:left w:val="single" w:sz="8" w:space="0" w:color="auto"/>
              <w:bottom w:val="nil"/>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nil"/>
              <w:left w:val="single" w:sz="8" w:space="0" w:color="auto"/>
              <w:bottom w:val="nil"/>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 xml:space="preserve">Dorset, Wiltshire, Hampshire &amp; IOW </w:t>
            </w:r>
          </w:p>
        </w:tc>
        <w:tc>
          <w:tcPr>
            <w:tcW w:w="1200" w:type="dxa"/>
            <w:vMerge/>
            <w:tcBorders>
              <w:top w:val="nil"/>
              <w:left w:val="single" w:sz="8" w:space="0" w:color="auto"/>
              <w:bottom w:val="nil"/>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nil"/>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nil"/>
              <w:left w:val="single" w:sz="8" w:space="0" w:color="auto"/>
              <w:bottom w:val="nil"/>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CPA 14</w:t>
            </w:r>
          </w:p>
        </w:tc>
        <w:tc>
          <w:tcPr>
            <w:tcW w:w="3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Wales1</w:t>
            </w: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North and Mid Wales</w:t>
            </w:r>
          </w:p>
        </w:tc>
        <w:tc>
          <w:tcPr>
            <w:tcW w:w="1200"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4723</w:t>
            </w:r>
          </w:p>
        </w:tc>
        <w:tc>
          <w:tcPr>
            <w:tcW w:w="1200"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3070</w:t>
            </w:r>
          </w:p>
        </w:tc>
        <w:tc>
          <w:tcPr>
            <w:tcW w:w="1200"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407ABF" w:rsidRPr="00407ABF" w:rsidRDefault="00407ABF" w:rsidP="00407ABF">
            <w:pPr>
              <w:jc w:val="center"/>
              <w:rPr>
                <w:rFonts w:cs="Arial"/>
                <w:b/>
                <w:bCs/>
                <w:sz w:val="18"/>
                <w:szCs w:val="18"/>
                <w:lang w:eastAsia="en-GB"/>
              </w:rPr>
            </w:pPr>
            <w:r w:rsidRPr="00407ABF">
              <w:rPr>
                <w:rFonts w:cs="Arial"/>
                <w:b/>
                <w:bCs/>
                <w:sz w:val="18"/>
                <w:szCs w:val="18"/>
                <w:lang w:eastAsia="en-GB"/>
              </w:rPr>
              <w:t>1316</w:t>
            </w:r>
          </w:p>
        </w:tc>
        <w:tc>
          <w:tcPr>
            <w:tcW w:w="15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£3,161,396</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ABF" w:rsidRPr="00407ABF" w:rsidRDefault="00407ABF" w:rsidP="00407ABF">
            <w:pPr>
              <w:jc w:val="center"/>
              <w:rPr>
                <w:rFonts w:cs="Arial"/>
                <w:b/>
                <w:bCs/>
                <w:color w:val="000000"/>
                <w:sz w:val="20"/>
                <w:szCs w:val="20"/>
                <w:lang w:eastAsia="en-GB"/>
              </w:rPr>
            </w:pPr>
            <w:r w:rsidRPr="00407ABF">
              <w:rPr>
                <w:rFonts w:cs="Arial"/>
                <w:b/>
                <w:bCs/>
                <w:color w:val="000000"/>
                <w:sz w:val="20"/>
                <w:szCs w:val="20"/>
                <w:lang w:eastAsia="en-GB"/>
              </w:rPr>
              <w:t>£1,952,611</w:t>
            </w:r>
          </w:p>
        </w:tc>
      </w:tr>
      <w:tr w:rsidR="00407ABF" w:rsidRPr="00407ABF" w:rsidTr="001E388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 East Wales</w:t>
            </w: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r w:rsidR="00407ABF" w:rsidRPr="00407ABF" w:rsidTr="001E388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040" w:type="dxa"/>
            <w:vMerge/>
            <w:tcBorders>
              <w:top w:val="single" w:sz="8" w:space="0" w:color="auto"/>
              <w:left w:val="single" w:sz="8" w:space="0" w:color="auto"/>
              <w:bottom w:val="single" w:sz="8" w:space="0" w:color="000000"/>
              <w:right w:val="single" w:sz="8" w:space="0" w:color="auto"/>
            </w:tcBorders>
            <w:vAlign w:val="center"/>
            <w:hideMark/>
          </w:tcPr>
          <w:p w:rsidR="00407ABF" w:rsidRPr="00407ABF" w:rsidRDefault="00407ABF" w:rsidP="00407ABF">
            <w:pPr>
              <w:rPr>
                <w:rFonts w:cs="Arial"/>
                <w:sz w:val="18"/>
                <w:szCs w:val="18"/>
                <w:lang w:eastAsia="en-GB"/>
              </w:rPr>
            </w:pPr>
          </w:p>
        </w:tc>
        <w:tc>
          <w:tcPr>
            <w:tcW w:w="3680" w:type="dxa"/>
            <w:tcBorders>
              <w:top w:val="nil"/>
              <w:left w:val="nil"/>
              <w:bottom w:val="single" w:sz="8" w:space="0" w:color="auto"/>
              <w:right w:val="single" w:sz="8" w:space="0" w:color="auto"/>
            </w:tcBorders>
            <w:shd w:val="clear" w:color="auto" w:fill="auto"/>
            <w:noWrap/>
            <w:vAlign w:val="center"/>
            <w:hideMark/>
          </w:tcPr>
          <w:p w:rsidR="00407ABF" w:rsidRPr="00407ABF" w:rsidRDefault="00407ABF" w:rsidP="00407ABF">
            <w:pPr>
              <w:rPr>
                <w:rFonts w:cs="Arial"/>
                <w:sz w:val="18"/>
                <w:szCs w:val="18"/>
                <w:lang w:eastAsia="en-GB"/>
              </w:rPr>
            </w:pPr>
            <w:r w:rsidRPr="00407ABF">
              <w:rPr>
                <w:rFonts w:cs="Arial"/>
                <w:sz w:val="18"/>
                <w:szCs w:val="18"/>
                <w:lang w:eastAsia="en-GB"/>
              </w:rPr>
              <w:t>South West Wales</w:t>
            </w: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200" w:type="dxa"/>
            <w:vMerge/>
            <w:tcBorders>
              <w:top w:val="single" w:sz="8" w:space="0" w:color="000000"/>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sz w:val="18"/>
                <w:szCs w:val="18"/>
                <w:lang w:eastAsia="en-GB"/>
              </w:rPr>
            </w:pPr>
          </w:p>
        </w:tc>
        <w:tc>
          <w:tcPr>
            <w:tcW w:w="15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c>
          <w:tcPr>
            <w:tcW w:w="1600" w:type="dxa"/>
            <w:vMerge/>
            <w:tcBorders>
              <w:top w:val="nil"/>
              <w:left w:val="single" w:sz="8" w:space="0" w:color="auto"/>
              <w:bottom w:val="single" w:sz="8" w:space="0" w:color="000000"/>
              <w:right w:val="single" w:sz="8" w:space="0" w:color="auto"/>
            </w:tcBorders>
            <w:vAlign w:val="center"/>
            <w:hideMark/>
          </w:tcPr>
          <w:p w:rsidR="00407ABF" w:rsidRPr="00407ABF" w:rsidRDefault="00407ABF" w:rsidP="00407ABF">
            <w:pPr>
              <w:rPr>
                <w:rFonts w:cs="Arial"/>
                <w:b/>
                <w:bCs/>
                <w:color w:val="000000"/>
                <w:sz w:val="20"/>
                <w:szCs w:val="20"/>
                <w:lang w:eastAsia="en-GB"/>
              </w:rPr>
            </w:pPr>
          </w:p>
        </w:tc>
      </w:tr>
    </w:tbl>
    <w:p w:rsidR="00805071" w:rsidRPr="00805071" w:rsidRDefault="00805071" w:rsidP="00805071"/>
    <w:p w:rsidR="00771099" w:rsidRDefault="00771099" w:rsidP="00ED5856">
      <w:pPr>
        <w:autoSpaceDE w:val="0"/>
        <w:autoSpaceDN w:val="0"/>
        <w:adjustRightInd w:val="0"/>
        <w:spacing w:after="240"/>
        <w:rPr>
          <w:rFonts w:cs="Arial"/>
          <w:lang w:eastAsia="en-GB"/>
        </w:rPr>
        <w:sectPr w:rsidR="00771099" w:rsidSect="00ED5856">
          <w:headerReference w:type="even" r:id="rId23"/>
          <w:headerReference w:type="default" r:id="rId24"/>
          <w:footerReference w:type="default" r:id="rId25"/>
          <w:headerReference w:type="first" r:id="rId26"/>
          <w:pgSz w:w="15840" w:h="12240" w:orient="landscape" w:code="1"/>
          <w:pgMar w:top="1134" w:right="1304" w:bottom="1134" w:left="1304" w:header="720" w:footer="720" w:gutter="0"/>
          <w:cols w:space="720"/>
          <w:noEndnote/>
        </w:sectPr>
      </w:pPr>
    </w:p>
    <w:p w:rsidR="001432D3" w:rsidRPr="001432D3" w:rsidRDefault="00771099" w:rsidP="008053C3">
      <w:pPr>
        <w:autoSpaceDE w:val="0"/>
        <w:autoSpaceDN w:val="0"/>
        <w:adjustRightInd w:val="0"/>
        <w:spacing w:after="240"/>
        <w:rPr>
          <w:rFonts w:cs="Arial"/>
          <w:b/>
          <w:lang w:eastAsia="en-GB"/>
        </w:rPr>
      </w:pPr>
      <w:r w:rsidRPr="001432D3">
        <w:rPr>
          <w:rFonts w:cs="Arial"/>
          <w:b/>
          <w:lang w:eastAsia="en-GB"/>
        </w:rPr>
        <w:lastRenderedPageBreak/>
        <w:t>DWP assumptions</w:t>
      </w:r>
      <w:r w:rsidR="00053A12" w:rsidRPr="001432D3">
        <w:rPr>
          <w:rFonts w:cs="Arial"/>
          <w:b/>
          <w:lang w:eastAsia="en-GB"/>
        </w:rPr>
        <w:t xml:space="preserve"> </w:t>
      </w:r>
      <w:r w:rsidR="001432D3" w:rsidRPr="001432D3">
        <w:rPr>
          <w:rFonts w:cs="Arial"/>
          <w:b/>
          <w:lang w:eastAsia="en-GB"/>
        </w:rPr>
        <w:t>for new business start ups</w:t>
      </w:r>
    </w:p>
    <w:p w:rsidR="002706BD" w:rsidRPr="00AA5DF2" w:rsidRDefault="00AA452F" w:rsidP="00574AFE">
      <w:pPr>
        <w:spacing w:after="240"/>
        <w:rPr>
          <w:color w:val="FF0000"/>
        </w:rPr>
      </w:pPr>
      <w:r w:rsidRPr="00574AFE">
        <w:rPr>
          <w:rFonts w:cs="Arial"/>
        </w:rPr>
        <w:t xml:space="preserve">Total programme volume of places for Link Up Start Up </w:t>
      </w:r>
      <w:proofErr w:type="gramStart"/>
      <w:r w:rsidRPr="00574AFE">
        <w:rPr>
          <w:rFonts w:cs="Arial"/>
        </w:rPr>
        <w:t>workshops  -</w:t>
      </w:r>
      <w:proofErr w:type="gramEnd"/>
      <w:r w:rsidRPr="00574AFE">
        <w:rPr>
          <w:rFonts w:cs="Arial"/>
        </w:rPr>
        <w:t xml:space="preserve"> </w:t>
      </w:r>
      <w:r w:rsidR="008053C3" w:rsidRPr="00DC0933">
        <w:rPr>
          <w:rFonts w:cs="Arial"/>
        </w:rPr>
        <w:t>86154</w:t>
      </w:r>
    </w:p>
    <w:p w:rsidR="00AA452F" w:rsidRDefault="00AA452F" w:rsidP="00574AFE">
      <w:pPr>
        <w:spacing w:after="240"/>
      </w:pPr>
      <w:r w:rsidRPr="00AA452F">
        <w:t xml:space="preserve">This is </w:t>
      </w:r>
      <w:r w:rsidR="008053C3">
        <w:t xml:space="preserve">DWP’s assumption of </w:t>
      </w:r>
      <w:r w:rsidRPr="00AA452F">
        <w:t xml:space="preserve">the overall volume of Link Up Start Up </w:t>
      </w:r>
      <w:proofErr w:type="gramStart"/>
      <w:r w:rsidRPr="00AA452F">
        <w:t>workshops  that</w:t>
      </w:r>
      <w:proofErr w:type="gramEnd"/>
      <w:r w:rsidRPr="00AA452F">
        <w:t xml:space="preserve"> will be allocated across all CPAs and is based on current usage of NEA starts.  These are indicative breakdowns</w:t>
      </w:r>
    </w:p>
    <w:p w:rsidR="00AA452F" w:rsidRDefault="00AA452F" w:rsidP="00574AFE">
      <w:pPr>
        <w:spacing w:after="240"/>
      </w:pPr>
      <w:r w:rsidRPr="00AA452F">
        <w:t xml:space="preserve">Total programme volume of Initial Assessments / Starts – </w:t>
      </w:r>
      <w:r w:rsidR="008053C3" w:rsidRPr="00DC0933">
        <w:t>5</w:t>
      </w:r>
      <w:r w:rsidRPr="00DC0933">
        <w:t>6000.</w:t>
      </w:r>
    </w:p>
    <w:p w:rsidR="00AA452F" w:rsidRDefault="00AA452F" w:rsidP="00B14350">
      <w:pPr>
        <w:spacing w:after="240"/>
      </w:pPr>
      <w:r w:rsidRPr="00AA452F">
        <w:t xml:space="preserve">This is the overall volume of Initial Assessments / Starts that will be allocated across all CPAs and is based on current usage of NEA starts. </w:t>
      </w:r>
      <w:r w:rsidR="008053C3">
        <w:t>All other figures and assumptions are based on this figure.</w:t>
      </w:r>
      <w:r w:rsidRPr="00AA452F">
        <w:t xml:space="preserve"> These are indicative breakdowns.</w:t>
      </w:r>
    </w:p>
    <w:p w:rsidR="00AA452F" w:rsidRDefault="00AA452F" w:rsidP="00B14350">
      <w:pPr>
        <w:spacing w:after="240"/>
      </w:pPr>
      <w:r>
        <w:t>67% of Initial Assessments / Starts will complete the mentoring phase and have their business plan assessed.</w:t>
      </w:r>
    </w:p>
    <w:p w:rsidR="00AA452F" w:rsidRDefault="00AA452F" w:rsidP="00B14350">
      <w:pPr>
        <w:spacing w:after="240"/>
      </w:pPr>
      <w:r>
        <w:t>55% of Initial Assessments / Starts will Start Trading</w:t>
      </w:r>
    </w:p>
    <w:p w:rsidR="00AA452F" w:rsidRDefault="00AA452F" w:rsidP="00B14350">
      <w:pPr>
        <w:spacing w:after="240"/>
      </w:pPr>
      <w:r>
        <w:t xml:space="preserve">45% of Initial Assessments / Starts will complete </w:t>
      </w:r>
      <w:r w:rsidR="00C36093">
        <w:t>6 months / 26 weeks</w:t>
      </w:r>
      <w:r>
        <w:t xml:space="preserve"> of Trading</w:t>
      </w:r>
    </w:p>
    <w:p w:rsidR="00AA452F" w:rsidRDefault="00AA452F" w:rsidP="00B14350">
      <w:pPr>
        <w:spacing w:after="240"/>
      </w:pPr>
      <w:r>
        <w:t xml:space="preserve">36% of Initial Assessments / Starts will complete 12 months </w:t>
      </w:r>
      <w:r w:rsidR="006339F2">
        <w:t xml:space="preserve">/ 52 weeks </w:t>
      </w:r>
      <w:r>
        <w:t>of Trading</w:t>
      </w:r>
    </w:p>
    <w:p w:rsidR="00A7634F" w:rsidRDefault="00A7634F" w:rsidP="00B14350">
      <w:pPr>
        <w:spacing w:after="240"/>
      </w:pPr>
      <w:r>
        <w:t xml:space="preserve">The maximum unit cost for new business </w:t>
      </w:r>
      <w:proofErr w:type="spellStart"/>
      <w:r>
        <w:t>start ups</w:t>
      </w:r>
      <w:proofErr w:type="spellEnd"/>
      <w:r>
        <w:t xml:space="preserve"> is £756.</w:t>
      </w:r>
    </w:p>
    <w:p w:rsidR="00AA452F" w:rsidRPr="00AA452F" w:rsidRDefault="00AA452F" w:rsidP="00B14350">
      <w:pPr>
        <w:spacing w:after="240"/>
      </w:pPr>
      <w:r w:rsidRPr="00B14350">
        <w:rPr>
          <w:rFonts w:cs="Arial"/>
          <w:b/>
          <w:lang w:eastAsia="en-GB"/>
        </w:rPr>
        <w:t>DWP assumptions for UC Existing Self Employed</w:t>
      </w:r>
    </w:p>
    <w:p w:rsidR="00AA452F" w:rsidRDefault="00AA452F" w:rsidP="00B14350">
      <w:pPr>
        <w:spacing w:after="240"/>
      </w:pPr>
      <w:r w:rsidRPr="00AA452F">
        <w:t>Total programme volume of Initial Assessments / Starts – 2</w:t>
      </w:r>
      <w:r w:rsidR="00194871">
        <w:t>4,</w:t>
      </w:r>
      <w:r w:rsidRPr="00AA452F">
        <w:t>000.</w:t>
      </w:r>
    </w:p>
    <w:p w:rsidR="00AA452F" w:rsidRDefault="00AA452F" w:rsidP="00B14350">
      <w:pPr>
        <w:spacing w:after="240"/>
      </w:pPr>
      <w:r w:rsidRPr="002D16C2">
        <w:rPr>
          <w:rFonts w:cs="Arial"/>
          <w:lang w:eastAsia="en-GB"/>
        </w:rPr>
        <w:t xml:space="preserve">This is the overall volume of </w:t>
      </w:r>
      <w:r w:rsidRPr="001432D3">
        <w:rPr>
          <w:rFonts w:cs="Arial"/>
          <w:lang w:eastAsia="en-GB"/>
        </w:rPr>
        <w:t>Initial Assessments / Starts</w:t>
      </w:r>
      <w:r>
        <w:rPr>
          <w:rFonts w:cs="Arial"/>
          <w:lang w:eastAsia="en-GB"/>
        </w:rPr>
        <w:t xml:space="preserve"> </w:t>
      </w:r>
      <w:r w:rsidRPr="002D16C2">
        <w:rPr>
          <w:rFonts w:cs="Arial"/>
          <w:lang w:eastAsia="en-GB"/>
        </w:rPr>
        <w:t xml:space="preserve">that will be allocated </w:t>
      </w:r>
      <w:r>
        <w:rPr>
          <w:rFonts w:cs="Arial"/>
          <w:lang w:eastAsia="en-GB"/>
        </w:rPr>
        <w:t xml:space="preserve">across all </w:t>
      </w:r>
      <w:r w:rsidRPr="002D16C2">
        <w:rPr>
          <w:rFonts w:cs="Arial"/>
          <w:lang w:eastAsia="en-GB"/>
        </w:rPr>
        <w:t>CPA</w:t>
      </w:r>
      <w:r>
        <w:rPr>
          <w:rFonts w:cs="Arial"/>
          <w:lang w:eastAsia="en-GB"/>
        </w:rPr>
        <w:t>s</w:t>
      </w:r>
      <w:r w:rsidRPr="002D16C2">
        <w:rPr>
          <w:rFonts w:cs="Arial"/>
          <w:lang w:eastAsia="en-GB"/>
        </w:rPr>
        <w:t xml:space="preserve"> and is based on current usage of NEA </w:t>
      </w:r>
      <w:r>
        <w:rPr>
          <w:rFonts w:cs="Arial"/>
          <w:lang w:eastAsia="en-GB"/>
        </w:rPr>
        <w:t>starts</w:t>
      </w:r>
      <w:r w:rsidRPr="002D16C2">
        <w:rPr>
          <w:rFonts w:cs="Arial"/>
          <w:lang w:eastAsia="en-GB"/>
        </w:rPr>
        <w:t>.  These are indicative breakdowns</w:t>
      </w:r>
    </w:p>
    <w:p w:rsidR="00AA452F" w:rsidRDefault="00AA452F" w:rsidP="00B14350">
      <w:pPr>
        <w:spacing w:after="240"/>
      </w:pPr>
      <w:r>
        <w:t xml:space="preserve">75% of Initial Assessments / Starts will complete the mentoring phase and have </w:t>
      </w:r>
      <w:proofErr w:type="gramStart"/>
      <w:r>
        <w:t>a  Business</w:t>
      </w:r>
      <w:proofErr w:type="gramEnd"/>
      <w:r>
        <w:t xml:space="preserve"> Development and Growth Plan assessed.</w:t>
      </w:r>
    </w:p>
    <w:p w:rsidR="00AA452F" w:rsidRDefault="00AA452F" w:rsidP="00B14350">
      <w:pPr>
        <w:spacing w:after="240"/>
      </w:pPr>
      <w:r>
        <w:t xml:space="preserve">50% of Initial Assessments / Starts will increase their earnings over months 0 to 6 equal to at least </w:t>
      </w:r>
      <w:r w:rsidR="00C36093">
        <w:t>6 months / 26 weeks</w:t>
      </w:r>
      <w:r>
        <w:t xml:space="preserve"> of their Minimum Income Floor level.</w:t>
      </w:r>
    </w:p>
    <w:p w:rsidR="00AA452F" w:rsidRDefault="00AA452F" w:rsidP="00B14350">
      <w:pPr>
        <w:spacing w:after="240"/>
      </w:pPr>
      <w:r>
        <w:t xml:space="preserve">40% of Initial Assessments / Starts will increase their earnings over months 7 to 12 equal to at least </w:t>
      </w:r>
      <w:r w:rsidR="00C36093">
        <w:t>6 months / 26 weeks</w:t>
      </w:r>
      <w:r>
        <w:t xml:space="preserve"> of their Minimum Income Floor level.</w:t>
      </w:r>
    </w:p>
    <w:p w:rsidR="00BC3696" w:rsidRDefault="00BC3696" w:rsidP="00BC3696">
      <w:pPr>
        <w:spacing w:after="240"/>
      </w:pPr>
      <w:r>
        <w:t xml:space="preserve">The maximum unit cost for </w:t>
      </w:r>
      <w:r w:rsidRPr="00BC3696">
        <w:rPr>
          <w:rFonts w:cs="Arial"/>
          <w:lang w:eastAsia="en-GB"/>
        </w:rPr>
        <w:t>UC Existing Self Employed</w:t>
      </w:r>
      <w:r w:rsidR="00B26D64">
        <w:t xml:space="preserve"> is £638</w:t>
      </w:r>
      <w:r>
        <w:t>.</w:t>
      </w:r>
    </w:p>
    <w:p w:rsidR="00BC3696" w:rsidRDefault="00BC3696" w:rsidP="00B14350">
      <w:pPr>
        <w:spacing w:after="240"/>
      </w:pPr>
    </w:p>
    <w:p w:rsidR="00A25F9E" w:rsidRPr="00F46FA4" w:rsidRDefault="00F46FA4" w:rsidP="00F46FA4">
      <w:pPr>
        <w:autoSpaceDE w:val="0"/>
        <w:autoSpaceDN w:val="0"/>
        <w:rPr>
          <w:rFonts w:cs="Arial"/>
          <w:bCs/>
          <w:iCs/>
          <w:lang w:eastAsia="en-GB"/>
        </w:rPr>
      </w:pPr>
      <w:r>
        <w:rPr>
          <w:rFonts w:cs="Arial"/>
          <w:bCs/>
          <w:iCs/>
          <w:lang w:eastAsia="en-GB"/>
        </w:rPr>
        <w:t xml:space="preserve">Referrals for the </w:t>
      </w:r>
      <w:r w:rsidRPr="00F46FA4">
        <w:rPr>
          <w:rFonts w:cs="Arial"/>
          <w:lang w:eastAsia="en-GB"/>
        </w:rPr>
        <w:t>UC Existing Self Employed</w:t>
      </w:r>
      <w:r w:rsidRPr="00F46FA4">
        <w:rPr>
          <w:rFonts w:cs="Arial"/>
          <w:bCs/>
          <w:iCs/>
          <w:lang w:eastAsia="en-GB"/>
        </w:rPr>
        <w:t xml:space="preserve"> </w:t>
      </w:r>
      <w:r>
        <w:rPr>
          <w:rFonts w:cs="Arial"/>
          <w:bCs/>
          <w:iCs/>
          <w:lang w:eastAsia="en-GB"/>
        </w:rPr>
        <w:t xml:space="preserve">cohort will be dependent on the </w:t>
      </w:r>
      <w:proofErr w:type="spellStart"/>
      <w:r>
        <w:rPr>
          <w:rFonts w:cs="Arial"/>
          <w:bCs/>
          <w:iCs/>
          <w:lang w:eastAsia="en-GB"/>
        </w:rPr>
        <w:t>on going</w:t>
      </w:r>
      <w:proofErr w:type="spellEnd"/>
      <w:r>
        <w:rPr>
          <w:rFonts w:cs="Arial"/>
          <w:bCs/>
          <w:iCs/>
          <w:lang w:eastAsia="en-GB"/>
        </w:rPr>
        <w:t xml:space="preserve"> roll out of UC. </w:t>
      </w:r>
      <w:r w:rsidR="00A25F9E" w:rsidRPr="00F46FA4">
        <w:rPr>
          <w:rFonts w:cs="Arial"/>
          <w:bCs/>
          <w:iCs/>
          <w:lang w:eastAsia="en-GB"/>
        </w:rPr>
        <w:t>The Department will continue its successful rollout of five jobcentres a month to</w:t>
      </w:r>
      <w:r>
        <w:rPr>
          <w:rFonts w:cs="Arial"/>
          <w:bCs/>
          <w:iCs/>
          <w:lang w:eastAsia="en-GB"/>
        </w:rPr>
        <w:t xml:space="preserve"> </w:t>
      </w:r>
      <w:r w:rsidR="00A25F9E" w:rsidRPr="00F46FA4">
        <w:rPr>
          <w:rFonts w:cs="Arial"/>
          <w:bCs/>
          <w:iCs/>
          <w:lang w:eastAsia="en-GB"/>
        </w:rPr>
        <w:t xml:space="preserve">June 2017, expanding to 30 </w:t>
      </w:r>
      <w:r w:rsidRPr="00F46FA4">
        <w:rPr>
          <w:rFonts w:cs="Arial"/>
          <w:bCs/>
          <w:iCs/>
          <w:lang w:eastAsia="en-GB"/>
        </w:rPr>
        <w:t xml:space="preserve">jobcentres a month </w:t>
      </w:r>
      <w:r w:rsidR="00A25F9E" w:rsidRPr="00F46FA4">
        <w:rPr>
          <w:rFonts w:cs="Arial"/>
          <w:bCs/>
          <w:iCs/>
          <w:lang w:eastAsia="en-GB"/>
        </w:rPr>
        <w:t>in July 2017. Following a break over the summer the Department will</w:t>
      </w:r>
      <w:r>
        <w:rPr>
          <w:rFonts w:cs="Arial"/>
          <w:bCs/>
          <w:iCs/>
          <w:lang w:eastAsia="en-GB"/>
        </w:rPr>
        <w:t xml:space="preserve"> </w:t>
      </w:r>
      <w:r w:rsidR="00A25F9E" w:rsidRPr="00F46FA4">
        <w:rPr>
          <w:rFonts w:cs="Arial"/>
          <w:bCs/>
          <w:iCs/>
          <w:lang w:eastAsia="en-GB"/>
        </w:rPr>
        <w:t xml:space="preserve">scale up to 55 jobcentres per month between October and December </w:t>
      </w:r>
      <w:r w:rsidR="00A25F9E" w:rsidRPr="00F46FA4">
        <w:rPr>
          <w:rFonts w:cs="Arial"/>
          <w:bCs/>
          <w:iCs/>
          <w:lang w:eastAsia="en-GB"/>
        </w:rPr>
        <w:lastRenderedPageBreak/>
        <w:t>2017. From February 2018</w:t>
      </w:r>
      <w:r>
        <w:rPr>
          <w:rFonts w:cs="Arial"/>
          <w:bCs/>
          <w:iCs/>
          <w:lang w:eastAsia="en-GB"/>
        </w:rPr>
        <w:t xml:space="preserve"> </w:t>
      </w:r>
      <w:r w:rsidR="00A25F9E" w:rsidRPr="00F46FA4">
        <w:rPr>
          <w:rFonts w:cs="Arial"/>
          <w:bCs/>
          <w:iCs/>
          <w:lang w:eastAsia="en-GB"/>
        </w:rPr>
        <w:t>this will increase to 65 per month, finishing with the final 57 jobcentres in September 2018</w:t>
      </w:r>
      <w:r>
        <w:rPr>
          <w:rFonts w:cs="Arial"/>
          <w:bCs/>
          <w:iCs/>
          <w:lang w:eastAsia="en-GB"/>
        </w:rPr>
        <w:t>.</w:t>
      </w:r>
    </w:p>
    <w:p w:rsidR="00A25F9E" w:rsidRPr="00A25F9E" w:rsidRDefault="00A25F9E" w:rsidP="00A25F9E">
      <w:pPr>
        <w:rPr>
          <w:rFonts w:cs="Arial"/>
          <w:lang w:eastAsia="en-GB"/>
        </w:rPr>
      </w:pPr>
    </w:p>
    <w:p w:rsidR="003B041E" w:rsidRDefault="003B041E" w:rsidP="00B14350">
      <w:pPr>
        <w:spacing w:after="240"/>
      </w:pPr>
    </w:p>
    <w:p w:rsidR="003B041E" w:rsidRDefault="003B041E" w:rsidP="00B14350">
      <w:pPr>
        <w:spacing w:after="240"/>
      </w:pPr>
    </w:p>
    <w:p w:rsidR="00AA452F" w:rsidRDefault="00AA452F" w:rsidP="00B14350">
      <w:pPr>
        <w:spacing w:after="240"/>
      </w:pPr>
      <w:r>
        <w:t>*</w:t>
      </w:r>
      <w:proofErr w:type="spellStart"/>
      <w:r>
        <w:t>Approx</w:t>
      </w:r>
      <w:proofErr w:type="spellEnd"/>
      <w:r>
        <w:t xml:space="preserve"> contract maximum value </w:t>
      </w:r>
      <w:proofErr w:type="gramStart"/>
      <w:r>
        <w:t>( 2</w:t>
      </w:r>
      <w:proofErr w:type="gramEnd"/>
      <w:r>
        <w:t xml:space="preserve"> years refs </w:t>
      </w:r>
      <w:r w:rsidR="007F7FD8">
        <w:t>+</w:t>
      </w:r>
      <w:r>
        <w:t xml:space="preserve"> payment tail) This is an indicative value that assumes all Link Up : Start Up Volumes are achieved  and all initial assessment / starts achieve al other outcomes. </w:t>
      </w:r>
    </w:p>
    <w:p w:rsidR="00AA452F" w:rsidRDefault="007B443D" w:rsidP="00B14350">
      <w:pPr>
        <w:spacing w:after="240"/>
      </w:pPr>
      <w:r>
        <w:t>**</w:t>
      </w:r>
      <w:r w:rsidR="00AA452F">
        <w:t xml:space="preserve">Estimated actual contract value </w:t>
      </w:r>
      <w:proofErr w:type="gramStart"/>
      <w:r w:rsidR="00AA452F">
        <w:t>( 2</w:t>
      </w:r>
      <w:proofErr w:type="gramEnd"/>
      <w:r w:rsidR="00AA452F">
        <w:t xml:space="preserve"> years refs </w:t>
      </w:r>
      <w:r w:rsidR="007F7FD8">
        <w:t>+</w:t>
      </w:r>
      <w:r w:rsidR="00AA452F">
        <w:t xml:space="preserve"> payment Tail)  This is the estimated contract values are based on the assumptions set out above.  These are based on performance data from the current NEA Programme where </w:t>
      </w:r>
      <w:proofErr w:type="gramStart"/>
      <w:r w:rsidR="00AA452F">
        <w:t>applicable</w:t>
      </w:r>
      <w:r w:rsidR="00AA452F">
        <w:rPr>
          <w:rFonts w:cs="Arial"/>
          <w:color w:val="FF0000"/>
          <w:lang w:eastAsia="en-GB"/>
        </w:rPr>
        <w:t xml:space="preserve"> </w:t>
      </w:r>
      <w:r w:rsidR="00AA452F" w:rsidRPr="002D16C2">
        <w:rPr>
          <w:rFonts w:cs="Arial"/>
          <w:color w:val="FF0000"/>
          <w:lang w:eastAsia="en-GB"/>
        </w:rPr>
        <w:t>.</w:t>
      </w:r>
      <w:proofErr w:type="gramEnd"/>
    </w:p>
    <w:p w:rsidR="001E12FB" w:rsidRDefault="00AA452F" w:rsidP="00B14350">
      <w:pPr>
        <w:spacing w:after="240"/>
        <w:rPr>
          <w:rFonts w:cs="Arial"/>
          <w:b/>
          <w:bCs/>
          <w:iCs/>
          <w:color w:val="FF0000"/>
        </w:rPr>
      </w:pPr>
      <w:r w:rsidRPr="002D16C2">
        <w:rPr>
          <w:rFonts w:cs="Arial"/>
        </w:rPr>
        <w:t xml:space="preserve">Set out above, </w:t>
      </w:r>
      <w:r w:rsidR="003D4963">
        <w:rPr>
          <w:rFonts w:cs="Arial"/>
        </w:rPr>
        <w:t xml:space="preserve">the estimated actual contract value </w:t>
      </w:r>
      <w:r w:rsidRPr="002D16C2">
        <w:rPr>
          <w:rFonts w:cs="Arial"/>
        </w:rPr>
        <w:t xml:space="preserve">is the maximum budget and indicative volumes by CPA. </w:t>
      </w:r>
      <w:r w:rsidRPr="002D16C2">
        <w:t xml:space="preserve">Providers should note that </w:t>
      </w:r>
      <w:r w:rsidRPr="007B443D">
        <w:rPr>
          <w:rFonts w:cs="Arial"/>
          <w:b/>
          <w:bCs/>
          <w:iCs/>
        </w:rPr>
        <w:t>DWP does not guarantee volumes</w:t>
      </w:r>
      <w:r w:rsidRPr="003D4963">
        <w:rPr>
          <w:rFonts w:cs="Arial"/>
          <w:b/>
          <w:bCs/>
          <w:iCs/>
          <w:color w:val="FF0000"/>
        </w:rPr>
        <w:t>.</w:t>
      </w:r>
    </w:p>
    <w:p w:rsidR="00F42381" w:rsidRPr="00611D10" w:rsidRDefault="003D4963" w:rsidP="00B14350">
      <w:pPr>
        <w:spacing w:after="240"/>
        <w:rPr>
          <w:rFonts w:cs="Arial"/>
          <w:bCs/>
          <w:iCs/>
        </w:rPr>
      </w:pPr>
      <w:r w:rsidRPr="00611D10">
        <w:rPr>
          <w:rFonts w:cs="Arial"/>
          <w:bCs/>
          <w:iCs/>
        </w:rPr>
        <w:t>In addition to the contracted provision costs the budget available may be impacted by the participant Allowance payment costs that are inter dependant on the level of trading starts. DWP reserves the right to ma</w:t>
      </w:r>
      <w:r w:rsidR="001E12FB" w:rsidRPr="00611D10">
        <w:rPr>
          <w:rFonts w:cs="Arial"/>
          <w:bCs/>
          <w:iCs/>
        </w:rPr>
        <w:t xml:space="preserve">nage the volumes of referrals and starts in order to ensure the NEA Programme as a whole lives within its allocated budget. </w:t>
      </w:r>
      <w:r w:rsidRPr="00611D10">
        <w:rPr>
          <w:rFonts w:cs="Arial"/>
          <w:bCs/>
          <w:iCs/>
        </w:rPr>
        <w:t xml:space="preserve"> </w:t>
      </w:r>
    </w:p>
    <w:p w:rsidR="00AA452F" w:rsidRPr="00AA452F" w:rsidRDefault="00F42381" w:rsidP="00B14350">
      <w:pPr>
        <w:spacing w:after="240"/>
      </w:pPr>
      <w:r>
        <w:rPr>
          <w:rFonts w:cs="Arial"/>
          <w:bCs/>
          <w:iCs/>
        </w:rPr>
        <w:t xml:space="preserve">DWP reserves the right to flex the volumes between New Business Starts and UC Existing Self Employed, within the contract value, to meet business requirements. </w:t>
      </w:r>
      <w:r w:rsidR="00AA452F" w:rsidRPr="002D16C2">
        <w:rPr>
          <w:rFonts w:cs="Arial"/>
        </w:rPr>
        <w:t xml:space="preserve"> </w:t>
      </w:r>
    </w:p>
    <w:p w:rsidR="002706BD" w:rsidRPr="002D16C2" w:rsidRDefault="002706BD" w:rsidP="00B14350">
      <w:pPr>
        <w:spacing w:after="240"/>
      </w:pPr>
      <w:r w:rsidRPr="002D16C2">
        <w:rPr>
          <w:rFonts w:cs="Arial"/>
        </w:rPr>
        <w:t>These are the maximum volumes per CPA.  DWP</w:t>
      </w:r>
      <w:r w:rsidRPr="002D16C2">
        <w:t xml:space="preserve"> will award up to 1</w:t>
      </w:r>
      <w:r w:rsidR="008D33DB" w:rsidRPr="002D16C2">
        <w:t>4</w:t>
      </w:r>
      <w:r w:rsidRPr="002D16C2">
        <w:t xml:space="preserve"> contracts for NEA </w:t>
      </w:r>
      <w:r w:rsidR="008D33DB" w:rsidRPr="002D16C2">
        <w:t>Phase 2</w:t>
      </w:r>
      <w:r w:rsidRPr="002D16C2">
        <w:t xml:space="preserve">. </w:t>
      </w:r>
    </w:p>
    <w:p w:rsidR="009720D9" w:rsidRDefault="002706BD" w:rsidP="00B14350">
      <w:pPr>
        <w:spacing w:after="240"/>
      </w:pPr>
      <w:r w:rsidRPr="002D16C2">
        <w:t>Providers will be awarded a maximum of 3 CPAs.  DWP will consider provider preferences but will not be bound to award contracts in such preference order.</w:t>
      </w:r>
      <w:r w:rsidR="009720D9" w:rsidRPr="009720D9">
        <w:t xml:space="preserve"> </w:t>
      </w:r>
    </w:p>
    <w:p w:rsidR="00304063" w:rsidRPr="002D16C2" w:rsidRDefault="009720D9" w:rsidP="00B14350">
      <w:pPr>
        <w:spacing w:after="240"/>
      </w:pPr>
      <w:r w:rsidRPr="0094169D">
        <w:t>Should a Bidder have been successful in 3 CPAs, DWP would not expect that Bidder to be a subcontractor in any other individual CPA for more than 25% of the start volumes.</w:t>
      </w:r>
    </w:p>
    <w:p w:rsidR="00003D45" w:rsidRPr="00B14350" w:rsidRDefault="00795C67" w:rsidP="00795C67">
      <w:pPr>
        <w:spacing w:after="240"/>
        <w:ind w:right="72"/>
        <w:rPr>
          <w:rFonts w:cs="Arial"/>
          <w:b/>
          <w:bCs/>
          <w:color w:val="FF0000"/>
        </w:rPr>
      </w:pPr>
      <w:r w:rsidRPr="00DB781E">
        <w:rPr>
          <w:rFonts w:cs="Arial"/>
          <w:b/>
          <w:bCs/>
        </w:rPr>
        <w:t>T</w:t>
      </w:r>
      <w:r w:rsidR="001044C5" w:rsidRPr="00DB781E">
        <w:rPr>
          <w:rFonts w:cs="Arial"/>
          <w:b/>
          <w:bCs/>
        </w:rPr>
        <w:t xml:space="preserve">he </w:t>
      </w:r>
      <w:r w:rsidRPr="00DB781E">
        <w:rPr>
          <w:rFonts w:cs="Arial"/>
          <w:b/>
          <w:bCs/>
        </w:rPr>
        <w:t>Minimum Performance Leve</w:t>
      </w:r>
      <w:r w:rsidR="001E3888" w:rsidRPr="00DB781E">
        <w:rPr>
          <w:rFonts w:cs="Arial"/>
          <w:b/>
          <w:bCs/>
        </w:rPr>
        <w:t xml:space="preserve">ls / Customer Service Standards </w:t>
      </w:r>
      <w:r w:rsidR="001044C5" w:rsidRPr="00DB781E">
        <w:rPr>
          <w:rFonts w:cs="Arial"/>
          <w:b/>
          <w:bCs/>
        </w:rPr>
        <w:t xml:space="preserve">will be the performance levels / conversion rates contained in the Tenders received from bidders. </w:t>
      </w:r>
      <w:r w:rsidR="00611D10">
        <w:rPr>
          <w:rFonts w:cs="Arial"/>
          <w:b/>
          <w:bCs/>
        </w:rPr>
        <w:t xml:space="preserve">The assumptions provided </w:t>
      </w:r>
      <w:r w:rsidR="000B55AD">
        <w:rPr>
          <w:rFonts w:cs="Arial"/>
          <w:b/>
          <w:bCs/>
        </w:rPr>
        <w:t xml:space="preserve">above are for information and guidance only. </w:t>
      </w:r>
      <w:r w:rsidR="001044C5" w:rsidRPr="00DB781E">
        <w:rPr>
          <w:rFonts w:cs="Arial"/>
          <w:b/>
          <w:bCs/>
        </w:rPr>
        <w:t>See</w:t>
      </w:r>
      <w:r w:rsidR="001E3888" w:rsidRPr="00DB781E">
        <w:rPr>
          <w:rFonts w:cs="Arial"/>
          <w:b/>
          <w:bCs/>
        </w:rPr>
        <w:t xml:space="preserve"> </w:t>
      </w:r>
      <w:r w:rsidR="000B55AD">
        <w:rPr>
          <w:rFonts w:cs="Arial"/>
          <w:b/>
          <w:bCs/>
        </w:rPr>
        <w:t>p</w:t>
      </w:r>
      <w:r w:rsidR="001E3888" w:rsidRPr="00DB781E">
        <w:rPr>
          <w:rFonts w:cs="Arial"/>
          <w:b/>
          <w:bCs/>
        </w:rPr>
        <w:t>3.18</w:t>
      </w:r>
      <w:r w:rsidR="00547A6B">
        <w:rPr>
          <w:rFonts w:cs="Arial"/>
          <w:b/>
          <w:bCs/>
        </w:rPr>
        <w:t xml:space="preserve"> (Performance and Payment Model)</w:t>
      </w:r>
      <w:r w:rsidR="001E3888" w:rsidRPr="00DB781E">
        <w:rPr>
          <w:rFonts w:cs="Arial"/>
          <w:b/>
          <w:bCs/>
        </w:rPr>
        <w:t xml:space="preserve"> for information on Minimum Performance Levels and Annex 4 for Customer </w:t>
      </w:r>
      <w:r w:rsidR="008D7E4B" w:rsidRPr="00DB781E">
        <w:rPr>
          <w:rFonts w:cs="Arial"/>
          <w:b/>
          <w:bCs/>
        </w:rPr>
        <w:t>S</w:t>
      </w:r>
      <w:r w:rsidR="001E3888" w:rsidRPr="00DB781E">
        <w:rPr>
          <w:rFonts w:cs="Arial"/>
          <w:b/>
          <w:bCs/>
        </w:rPr>
        <w:t xml:space="preserve">ervice Standards. </w:t>
      </w:r>
      <w:r w:rsidR="001044C5" w:rsidRPr="00DB781E">
        <w:rPr>
          <w:rFonts w:cs="Arial"/>
          <w:b/>
          <w:bCs/>
        </w:rPr>
        <w:t xml:space="preserve">     </w:t>
      </w:r>
      <w:r w:rsidR="00003D45" w:rsidRPr="00B14350">
        <w:rPr>
          <w:rFonts w:cs="Arial"/>
          <w:b/>
          <w:bCs/>
          <w:color w:val="FF0000"/>
        </w:rPr>
        <w:br w:type="page"/>
      </w:r>
    </w:p>
    <w:p w:rsidR="00AE504F" w:rsidRDefault="00AE504F" w:rsidP="00B14350">
      <w:pPr>
        <w:spacing w:after="240"/>
        <w:ind w:right="72"/>
        <w:jc w:val="right"/>
        <w:rPr>
          <w:rFonts w:cs="Arial"/>
          <w:b/>
          <w:bCs/>
          <w:color w:val="FF0000"/>
        </w:rPr>
        <w:sectPr w:rsidR="00AE504F" w:rsidSect="00053A12">
          <w:pgSz w:w="12240" w:h="15840" w:code="1"/>
          <w:pgMar w:top="1304" w:right="1134" w:bottom="1304" w:left="1134" w:header="720" w:footer="720" w:gutter="0"/>
          <w:cols w:space="720"/>
          <w:noEndnote/>
        </w:sectPr>
      </w:pPr>
      <w:bookmarkStart w:id="11" w:name="_Community_Action_Programme"/>
      <w:bookmarkEnd w:id="11"/>
    </w:p>
    <w:p w:rsidR="00383C91" w:rsidRPr="007B443D" w:rsidRDefault="00AE504F" w:rsidP="00690E9E">
      <w:pPr>
        <w:spacing w:after="240"/>
        <w:ind w:right="72"/>
        <w:jc w:val="right"/>
        <w:rPr>
          <w:rFonts w:cs="Arial"/>
          <w:b/>
          <w:bCs/>
        </w:rPr>
      </w:pPr>
      <w:r w:rsidRPr="007B443D">
        <w:rPr>
          <w:rFonts w:cs="Arial"/>
          <w:b/>
          <w:bCs/>
        </w:rPr>
        <w:lastRenderedPageBreak/>
        <w:t>A</w:t>
      </w:r>
      <w:r w:rsidR="00383C91" w:rsidRPr="007B443D">
        <w:rPr>
          <w:rFonts w:cs="Arial"/>
          <w:b/>
          <w:bCs/>
        </w:rPr>
        <w:t xml:space="preserve">nnex </w:t>
      </w:r>
      <w:r w:rsidR="001A7831">
        <w:rPr>
          <w:rFonts w:cs="Arial"/>
          <w:b/>
          <w:bCs/>
        </w:rPr>
        <w:t>3</w:t>
      </w:r>
    </w:p>
    <w:p w:rsidR="00383C91" w:rsidRPr="007B443D" w:rsidRDefault="00383C91" w:rsidP="00690E9E">
      <w:pPr>
        <w:pStyle w:val="Heading1"/>
        <w:tabs>
          <w:tab w:val="clear" w:pos="432"/>
        </w:tabs>
        <w:spacing w:after="240"/>
        <w:rPr>
          <w:sz w:val="28"/>
          <w:szCs w:val="28"/>
          <w:u w:val="single"/>
        </w:rPr>
      </w:pPr>
      <w:bookmarkStart w:id="12" w:name="_DEFINITIONS"/>
      <w:bookmarkEnd w:id="12"/>
      <w:r w:rsidRPr="007B443D">
        <w:rPr>
          <w:sz w:val="28"/>
          <w:szCs w:val="28"/>
          <w:u w:val="single"/>
        </w:rPr>
        <w:t>DEFINITIONS</w:t>
      </w:r>
      <w:r w:rsidR="002D16C2" w:rsidRPr="007B443D">
        <w:rPr>
          <w:sz w:val="28"/>
          <w:szCs w:val="28"/>
          <w:u w:val="single"/>
        </w:rPr>
        <w:t xml:space="preserve"> </w:t>
      </w:r>
    </w:p>
    <w:p w:rsidR="00081246" w:rsidRPr="007B443D" w:rsidRDefault="00081246" w:rsidP="00AA5DF2">
      <w:pPr>
        <w:pStyle w:val="Heading2"/>
        <w:spacing w:after="240"/>
        <w:jc w:val="both"/>
        <w:rPr>
          <w:sz w:val="28"/>
          <w:szCs w:val="28"/>
        </w:rPr>
      </w:pPr>
      <w:r w:rsidRPr="007B443D">
        <w:rPr>
          <w:sz w:val="28"/>
          <w:szCs w:val="28"/>
        </w:rPr>
        <w:t xml:space="preserve">NEA </w:t>
      </w:r>
      <w:r w:rsidRPr="007B443D">
        <w:rPr>
          <w:sz w:val="28"/>
          <w:szCs w:val="28"/>
          <w:lang w:eastAsia="en-GB"/>
        </w:rPr>
        <w:t>Phase 2</w:t>
      </w:r>
      <w:r w:rsidRPr="007B443D">
        <w:rPr>
          <w:lang w:eastAsia="en-GB"/>
        </w:rPr>
        <w:t xml:space="preserve"> </w:t>
      </w:r>
      <w:r w:rsidRPr="007B443D">
        <w:rPr>
          <w:sz w:val="28"/>
          <w:szCs w:val="28"/>
          <w:lang w:eastAsia="en-GB"/>
        </w:rPr>
        <w:t xml:space="preserve">Link </w:t>
      </w:r>
      <w:proofErr w:type="gramStart"/>
      <w:r w:rsidRPr="007B443D">
        <w:rPr>
          <w:sz w:val="28"/>
          <w:szCs w:val="28"/>
          <w:lang w:eastAsia="en-GB"/>
        </w:rPr>
        <w:t>Up :</w:t>
      </w:r>
      <w:proofErr w:type="gramEnd"/>
      <w:r w:rsidRPr="007B443D">
        <w:rPr>
          <w:sz w:val="28"/>
          <w:szCs w:val="28"/>
          <w:lang w:eastAsia="en-GB"/>
        </w:rPr>
        <w:t xml:space="preserve"> Start Up</w:t>
      </w:r>
      <w:r w:rsidRPr="007B443D">
        <w:rPr>
          <w:lang w:eastAsia="en-GB"/>
        </w:rPr>
        <w:t xml:space="preserve"> </w:t>
      </w:r>
      <w:r w:rsidRPr="007B443D">
        <w:rPr>
          <w:sz w:val="28"/>
          <w:szCs w:val="28"/>
        </w:rPr>
        <w:t>Referral</w:t>
      </w:r>
    </w:p>
    <w:p w:rsidR="00246530" w:rsidRPr="007B443D" w:rsidRDefault="00AA5DF2" w:rsidP="00AA5DF2">
      <w:pPr>
        <w:spacing w:after="240"/>
        <w:rPr>
          <w:rFonts w:cs="Arial"/>
        </w:rPr>
      </w:pPr>
      <w:r>
        <w:rPr>
          <w:rFonts w:cs="Arial"/>
        </w:rPr>
        <w:t>A3.1</w:t>
      </w:r>
      <w:r>
        <w:rPr>
          <w:rFonts w:cs="Arial"/>
        </w:rPr>
        <w:tab/>
      </w:r>
      <w:r w:rsidR="00246530" w:rsidRPr="007B443D">
        <w:rPr>
          <w:rFonts w:cs="Arial"/>
        </w:rPr>
        <w:t xml:space="preserve">The date Jobcentre </w:t>
      </w:r>
      <w:proofErr w:type="gramStart"/>
      <w:r w:rsidR="00246530" w:rsidRPr="007B443D">
        <w:rPr>
          <w:rFonts w:cs="Arial"/>
        </w:rPr>
        <w:t>Plus</w:t>
      </w:r>
      <w:proofErr w:type="gramEnd"/>
      <w:r w:rsidR="00246530" w:rsidRPr="007B443D">
        <w:rPr>
          <w:rFonts w:cs="Arial"/>
        </w:rPr>
        <w:t xml:space="preserve"> (JCP):</w:t>
      </w:r>
    </w:p>
    <w:p w:rsidR="00246530" w:rsidRPr="007B443D" w:rsidRDefault="00246530" w:rsidP="00EC0606">
      <w:pPr>
        <w:numPr>
          <w:ilvl w:val="0"/>
          <w:numId w:val="7"/>
        </w:numPr>
        <w:tabs>
          <w:tab w:val="clear" w:pos="1260"/>
        </w:tabs>
        <w:autoSpaceDE w:val="0"/>
        <w:autoSpaceDN w:val="0"/>
        <w:adjustRightInd w:val="0"/>
        <w:ind w:left="1259" w:hanging="357"/>
        <w:rPr>
          <w:rFonts w:cs="Arial"/>
        </w:rPr>
      </w:pPr>
      <w:r w:rsidRPr="007B443D">
        <w:rPr>
          <w:rFonts w:cs="Arial"/>
        </w:rPr>
        <w:t>Contacts the Provider by telephone and arranges the Link Up</w:t>
      </w:r>
      <w:r w:rsidR="00137652" w:rsidRPr="007B443D">
        <w:rPr>
          <w:rFonts w:cs="Arial"/>
        </w:rPr>
        <w:t xml:space="preserve"> :</w:t>
      </w:r>
      <w:r w:rsidRPr="007B443D">
        <w:rPr>
          <w:rFonts w:cs="Arial"/>
        </w:rPr>
        <w:t xml:space="preserve"> Start Up workshop; and,</w:t>
      </w:r>
    </w:p>
    <w:p w:rsidR="00246530" w:rsidRPr="007B443D" w:rsidRDefault="00246530" w:rsidP="00EC0606">
      <w:pPr>
        <w:numPr>
          <w:ilvl w:val="0"/>
          <w:numId w:val="7"/>
        </w:numPr>
        <w:tabs>
          <w:tab w:val="clear" w:pos="1260"/>
        </w:tabs>
        <w:autoSpaceDE w:val="0"/>
        <w:autoSpaceDN w:val="0"/>
        <w:adjustRightInd w:val="0"/>
        <w:spacing w:after="240"/>
        <w:rPr>
          <w:rFonts w:cs="Arial"/>
        </w:rPr>
      </w:pPr>
      <w:r w:rsidRPr="007B443D">
        <w:rPr>
          <w:rFonts w:cs="Arial"/>
        </w:rPr>
        <w:t>Makes the Participant referral through DWP IT systems (</w:t>
      </w:r>
      <w:proofErr w:type="spellStart"/>
      <w:r w:rsidRPr="007B443D">
        <w:rPr>
          <w:rFonts w:cs="Arial"/>
        </w:rPr>
        <w:t>PRaP</w:t>
      </w:r>
      <w:proofErr w:type="spellEnd"/>
      <w:r w:rsidRPr="007B443D">
        <w:rPr>
          <w:rFonts w:cs="Arial"/>
        </w:rPr>
        <w:t xml:space="preserve">). </w:t>
      </w:r>
    </w:p>
    <w:p w:rsidR="00246530" w:rsidRPr="007B443D" w:rsidRDefault="00AA5DF2" w:rsidP="00AA5DF2">
      <w:pPr>
        <w:spacing w:after="240"/>
        <w:ind w:left="720" w:hanging="720"/>
        <w:rPr>
          <w:rFonts w:cs="Arial"/>
        </w:rPr>
      </w:pPr>
      <w:r w:rsidRPr="00AA5DF2">
        <w:rPr>
          <w:rFonts w:cs="Arial"/>
        </w:rPr>
        <w:t>A3.2</w:t>
      </w:r>
      <w:r>
        <w:rPr>
          <w:rFonts w:cs="Arial"/>
          <w:b/>
        </w:rPr>
        <w:tab/>
      </w:r>
      <w:r w:rsidR="00246530" w:rsidRPr="007B443D">
        <w:rPr>
          <w:rFonts w:cs="Arial"/>
          <w:b/>
        </w:rPr>
        <w:t>Please Note</w:t>
      </w:r>
      <w:r w:rsidR="00246530" w:rsidRPr="007B443D">
        <w:rPr>
          <w:rFonts w:cs="Arial"/>
        </w:rPr>
        <w:t>: The referral will not be available to the Provider in the Provider Referrals and Payments (</w:t>
      </w:r>
      <w:proofErr w:type="spellStart"/>
      <w:r w:rsidR="00246530" w:rsidRPr="007B443D">
        <w:rPr>
          <w:rFonts w:cs="Arial"/>
        </w:rPr>
        <w:t>PRaP</w:t>
      </w:r>
      <w:proofErr w:type="spellEnd"/>
      <w:r w:rsidR="00246530" w:rsidRPr="007B443D">
        <w:rPr>
          <w:rFonts w:cs="Arial"/>
        </w:rPr>
        <w:t>) system until the day following JCP referral.</w:t>
      </w:r>
    </w:p>
    <w:p w:rsidR="00081246" w:rsidRPr="007B443D" w:rsidRDefault="00081246" w:rsidP="00690E9E">
      <w:pPr>
        <w:pStyle w:val="Heading2"/>
        <w:spacing w:after="240"/>
        <w:jc w:val="both"/>
        <w:rPr>
          <w:sz w:val="28"/>
          <w:szCs w:val="28"/>
        </w:rPr>
      </w:pPr>
    </w:p>
    <w:p w:rsidR="00383C91" w:rsidRPr="007B443D" w:rsidRDefault="0031406A" w:rsidP="00690E9E">
      <w:pPr>
        <w:pStyle w:val="Heading2"/>
        <w:spacing w:after="240"/>
        <w:jc w:val="both"/>
        <w:rPr>
          <w:sz w:val="28"/>
          <w:szCs w:val="28"/>
        </w:rPr>
      </w:pPr>
      <w:r w:rsidRPr="007B443D">
        <w:rPr>
          <w:sz w:val="28"/>
          <w:szCs w:val="28"/>
        </w:rPr>
        <w:t xml:space="preserve">NEA </w:t>
      </w:r>
      <w:r w:rsidR="004C3437" w:rsidRPr="007B443D">
        <w:rPr>
          <w:sz w:val="28"/>
          <w:szCs w:val="28"/>
          <w:lang w:eastAsia="en-GB"/>
        </w:rPr>
        <w:t>Phase 2</w:t>
      </w:r>
      <w:r w:rsidR="004C3437" w:rsidRPr="007B443D">
        <w:rPr>
          <w:lang w:eastAsia="en-GB"/>
        </w:rPr>
        <w:t xml:space="preserve"> </w:t>
      </w:r>
      <w:r w:rsidR="00265B47" w:rsidRPr="007B443D">
        <w:rPr>
          <w:sz w:val="28"/>
          <w:szCs w:val="28"/>
        </w:rPr>
        <w:t>Referral</w:t>
      </w:r>
    </w:p>
    <w:p w:rsidR="00383C91" w:rsidRPr="007B443D" w:rsidRDefault="00AA5DF2" w:rsidP="00AA5DF2">
      <w:pPr>
        <w:spacing w:after="240"/>
        <w:rPr>
          <w:rFonts w:cs="Arial"/>
        </w:rPr>
      </w:pPr>
      <w:r>
        <w:rPr>
          <w:rFonts w:cs="Arial"/>
        </w:rPr>
        <w:t>A3.4</w:t>
      </w:r>
      <w:r>
        <w:rPr>
          <w:rFonts w:cs="Arial"/>
        </w:rPr>
        <w:tab/>
      </w:r>
      <w:r w:rsidR="00383C91" w:rsidRPr="007B443D">
        <w:rPr>
          <w:rFonts w:cs="Arial"/>
        </w:rPr>
        <w:t xml:space="preserve">The date Jobcentre </w:t>
      </w:r>
      <w:proofErr w:type="gramStart"/>
      <w:r w:rsidR="00383C91" w:rsidRPr="007B443D">
        <w:rPr>
          <w:rFonts w:cs="Arial"/>
        </w:rPr>
        <w:t>Plus</w:t>
      </w:r>
      <w:proofErr w:type="gramEnd"/>
      <w:r w:rsidR="00383C91" w:rsidRPr="007B443D">
        <w:rPr>
          <w:rFonts w:cs="Arial"/>
        </w:rPr>
        <w:t xml:space="preserve"> (</w:t>
      </w:r>
      <w:r w:rsidR="00907395" w:rsidRPr="007B443D">
        <w:rPr>
          <w:rFonts w:cs="Arial"/>
        </w:rPr>
        <w:t>JCP</w:t>
      </w:r>
      <w:r w:rsidR="00383C91" w:rsidRPr="007B443D">
        <w:rPr>
          <w:rFonts w:cs="Arial"/>
        </w:rPr>
        <w:t>):</w:t>
      </w:r>
    </w:p>
    <w:p w:rsidR="00383C91" w:rsidRPr="007B443D" w:rsidRDefault="00383C91" w:rsidP="00EC0606">
      <w:pPr>
        <w:numPr>
          <w:ilvl w:val="0"/>
          <w:numId w:val="7"/>
        </w:numPr>
        <w:tabs>
          <w:tab w:val="clear" w:pos="1260"/>
        </w:tabs>
        <w:autoSpaceDE w:val="0"/>
        <w:autoSpaceDN w:val="0"/>
        <w:adjustRightInd w:val="0"/>
        <w:ind w:left="1259" w:hanging="357"/>
        <w:rPr>
          <w:rFonts w:cs="Arial"/>
        </w:rPr>
      </w:pPr>
      <w:r w:rsidRPr="007B443D">
        <w:rPr>
          <w:rFonts w:cs="Arial"/>
        </w:rPr>
        <w:t xml:space="preserve">Contacts the </w:t>
      </w:r>
      <w:r w:rsidR="008A45C0" w:rsidRPr="007B443D">
        <w:rPr>
          <w:rFonts w:cs="Arial"/>
        </w:rPr>
        <w:t>Provider</w:t>
      </w:r>
      <w:r w:rsidRPr="007B443D">
        <w:rPr>
          <w:rFonts w:cs="Arial"/>
        </w:rPr>
        <w:t xml:space="preserve"> by telephone and arranges </w:t>
      </w:r>
      <w:r w:rsidR="009F16E0" w:rsidRPr="007B443D">
        <w:rPr>
          <w:rFonts w:cs="Arial"/>
        </w:rPr>
        <w:t xml:space="preserve">the </w:t>
      </w:r>
      <w:r w:rsidRPr="007B443D">
        <w:rPr>
          <w:rFonts w:cs="Arial"/>
        </w:rPr>
        <w:t xml:space="preserve">Initial </w:t>
      </w:r>
      <w:r w:rsidR="003E1A93">
        <w:rPr>
          <w:rFonts w:cs="Arial"/>
        </w:rPr>
        <w:t>Assessment</w:t>
      </w:r>
      <w:r w:rsidRPr="007B443D">
        <w:rPr>
          <w:rFonts w:cs="Arial"/>
        </w:rPr>
        <w:t>; and,</w:t>
      </w:r>
    </w:p>
    <w:p w:rsidR="00383C91" w:rsidRPr="007B443D" w:rsidRDefault="00383C91" w:rsidP="00EC0606">
      <w:pPr>
        <w:numPr>
          <w:ilvl w:val="0"/>
          <w:numId w:val="7"/>
        </w:numPr>
        <w:tabs>
          <w:tab w:val="clear" w:pos="1260"/>
        </w:tabs>
        <w:autoSpaceDE w:val="0"/>
        <w:autoSpaceDN w:val="0"/>
        <w:adjustRightInd w:val="0"/>
        <w:spacing w:after="240"/>
        <w:rPr>
          <w:rFonts w:cs="Arial"/>
        </w:rPr>
      </w:pPr>
      <w:r w:rsidRPr="007B443D">
        <w:rPr>
          <w:rFonts w:cs="Arial"/>
        </w:rPr>
        <w:t xml:space="preserve">Makes the </w:t>
      </w:r>
      <w:r w:rsidR="008A45C0" w:rsidRPr="007B443D">
        <w:rPr>
          <w:rFonts w:cs="Arial"/>
        </w:rPr>
        <w:t>Participant</w:t>
      </w:r>
      <w:r w:rsidRPr="007B443D">
        <w:rPr>
          <w:rFonts w:cs="Arial"/>
        </w:rPr>
        <w:t xml:space="preserve"> referral</w:t>
      </w:r>
      <w:r w:rsidR="00E93057" w:rsidRPr="007B443D">
        <w:rPr>
          <w:rFonts w:cs="Arial"/>
        </w:rPr>
        <w:t xml:space="preserve"> through DWP IT systems</w:t>
      </w:r>
      <w:r w:rsidR="00027671" w:rsidRPr="007B443D">
        <w:rPr>
          <w:rFonts w:cs="Arial"/>
        </w:rPr>
        <w:t xml:space="preserve"> (</w:t>
      </w:r>
      <w:proofErr w:type="spellStart"/>
      <w:r w:rsidR="00027671" w:rsidRPr="007B443D">
        <w:rPr>
          <w:rFonts w:cs="Arial"/>
        </w:rPr>
        <w:t>PRaP</w:t>
      </w:r>
      <w:proofErr w:type="spellEnd"/>
      <w:r w:rsidR="00027671" w:rsidRPr="007B443D">
        <w:rPr>
          <w:rFonts w:cs="Arial"/>
        </w:rPr>
        <w:t>)</w:t>
      </w:r>
      <w:r w:rsidR="00E93057" w:rsidRPr="007B443D">
        <w:rPr>
          <w:rFonts w:cs="Arial"/>
        </w:rPr>
        <w:t>.</w:t>
      </w:r>
      <w:r w:rsidRPr="007B443D">
        <w:rPr>
          <w:rFonts w:cs="Arial"/>
        </w:rPr>
        <w:t xml:space="preserve"> </w:t>
      </w:r>
    </w:p>
    <w:p w:rsidR="00146436" w:rsidRPr="007B443D" w:rsidRDefault="00AA5DF2" w:rsidP="00AA5DF2">
      <w:pPr>
        <w:spacing w:after="240"/>
        <w:ind w:left="720" w:hanging="720"/>
        <w:rPr>
          <w:rFonts w:cs="Arial"/>
        </w:rPr>
      </w:pPr>
      <w:r w:rsidRPr="00AA5DF2">
        <w:rPr>
          <w:rFonts w:cs="Arial"/>
        </w:rPr>
        <w:t>A3.5</w:t>
      </w:r>
      <w:r>
        <w:rPr>
          <w:rFonts w:cs="Arial"/>
          <w:b/>
        </w:rPr>
        <w:tab/>
      </w:r>
      <w:r w:rsidR="00146436" w:rsidRPr="007B443D">
        <w:rPr>
          <w:rFonts w:cs="Arial"/>
          <w:b/>
        </w:rPr>
        <w:t>Please Note</w:t>
      </w:r>
      <w:r w:rsidR="00E93057" w:rsidRPr="007B443D">
        <w:rPr>
          <w:rFonts w:cs="Arial"/>
        </w:rPr>
        <w:t xml:space="preserve">: The </w:t>
      </w:r>
      <w:r w:rsidR="00146436" w:rsidRPr="007B443D">
        <w:rPr>
          <w:rFonts w:cs="Arial"/>
        </w:rPr>
        <w:t xml:space="preserve">referral will not be </w:t>
      </w:r>
      <w:r w:rsidR="00DD0A2F" w:rsidRPr="007B443D">
        <w:rPr>
          <w:rFonts w:cs="Arial"/>
        </w:rPr>
        <w:t>available</w:t>
      </w:r>
      <w:r w:rsidR="00146436" w:rsidRPr="007B443D">
        <w:rPr>
          <w:rFonts w:cs="Arial"/>
        </w:rPr>
        <w:t xml:space="preserve"> to the </w:t>
      </w:r>
      <w:r w:rsidR="008A45C0" w:rsidRPr="007B443D">
        <w:rPr>
          <w:rFonts w:cs="Arial"/>
        </w:rPr>
        <w:t>Provider</w:t>
      </w:r>
      <w:r w:rsidR="00146436" w:rsidRPr="007B443D">
        <w:rPr>
          <w:rFonts w:cs="Arial"/>
        </w:rPr>
        <w:t xml:space="preserve"> </w:t>
      </w:r>
      <w:r w:rsidR="00E93057" w:rsidRPr="007B443D">
        <w:rPr>
          <w:rFonts w:cs="Arial"/>
        </w:rPr>
        <w:t xml:space="preserve">in the </w:t>
      </w:r>
      <w:r w:rsidR="008A45C0" w:rsidRPr="007B443D">
        <w:rPr>
          <w:rFonts w:cs="Arial"/>
        </w:rPr>
        <w:t>Provider</w:t>
      </w:r>
      <w:r w:rsidR="00E93057" w:rsidRPr="007B443D">
        <w:rPr>
          <w:rFonts w:cs="Arial"/>
        </w:rPr>
        <w:t xml:space="preserve"> Referral</w:t>
      </w:r>
      <w:r w:rsidR="00CD2E8A" w:rsidRPr="007B443D">
        <w:rPr>
          <w:rFonts w:cs="Arial"/>
        </w:rPr>
        <w:t>s</w:t>
      </w:r>
      <w:r w:rsidR="00E93057" w:rsidRPr="007B443D">
        <w:rPr>
          <w:rFonts w:cs="Arial"/>
        </w:rPr>
        <w:t xml:space="preserve"> and Payments (</w:t>
      </w:r>
      <w:proofErr w:type="spellStart"/>
      <w:r w:rsidR="00E93057" w:rsidRPr="007B443D">
        <w:rPr>
          <w:rFonts w:cs="Arial"/>
        </w:rPr>
        <w:t>PRaP</w:t>
      </w:r>
      <w:proofErr w:type="spellEnd"/>
      <w:r w:rsidR="00E93057" w:rsidRPr="007B443D">
        <w:rPr>
          <w:rFonts w:cs="Arial"/>
        </w:rPr>
        <w:t xml:space="preserve">) system </w:t>
      </w:r>
      <w:r w:rsidR="00146436" w:rsidRPr="007B443D">
        <w:rPr>
          <w:rFonts w:cs="Arial"/>
        </w:rPr>
        <w:t>until the day following</w:t>
      </w:r>
      <w:r w:rsidR="00907395" w:rsidRPr="007B443D">
        <w:rPr>
          <w:rFonts w:cs="Arial"/>
        </w:rPr>
        <w:t xml:space="preserve"> JCP</w:t>
      </w:r>
      <w:r w:rsidR="00146436" w:rsidRPr="007B443D">
        <w:rPr>
          <w:rFonts w:cs="Arial"/>
        </w:rPr>
        <w:t xml:space="preserve"> referral.</w:t>
      </w:r>
    </w:p>
    <w:p w:rsidR="00383C91" w:rsidRPr="007B443D" w:rsidRDefault="00383C91" w:rsidP="00690E9E">
      <w:pPr>
        <w:pStyle w:val="Heading2"/>
        <w:spacing w:after="240"/>
        <w:jc w:val="both"/>
        <w:rPr>
          <w:sz w:val="28"/>
          <w:szCs w:val="28"/>
        </w:rPr>
      </w:pPr>
      <w:bookmarkStart w:id="13" w:name="_Initial_Engagement_Meeting"/>
      <w:bookmarkEnd w:id="13"/>
      <w:r w:rsidRPr="007B443D">
        <w:rPr>
          <w:sz w:val="28"/>
          <w:szCs w:val="28"/>
        </w:rPr>
        <w:t xml:space="preserve">Initial </w:t>
      </w:r>
      <w:r w:rsidR="007F7FD8">
        <w:rPr>
          <w:sz w:val="28"/>
          <w:szCs w:val="28"/>
        </w:rPr>
        <w:t xml:space="preserve">Assessment </w:t>
      </w:r>
      <w:r w:rsidRPr="007B443D">
        <w:rPr>
          <w:sz w:val="28"/>
          <w:szCs w:val="28"/>
        </w:rPr>
        <w:t>Meeting</w:t>
      </w:r>
    </w:p>
    <w:p w:rsidR="00956CD5" w:rsidRPr="007B443D" w:rsidRDefault="00AA5DF2" w:rsidP="00AA5DF2">
      <w:pPr>
        <w:ind w:left="720" w:hanging="720"/>
        <w:rPr>
          <w:rFonts w:cs="Arial"/>
        </w:rPr>
      </w:pPr>
      <w:r>
        <w:rPr>
          <w:rFonts w:cs="Arial"/>
        </w:rPr>
        <w:t>A3.6</w:t>
      </w:r>
      <w:r>
        <w:rPr>
          <w:rFonts w:cs="Arial"/>
        </w:rPr>
        <w:tab/>
      </w:r>
      <w:r w:rsidR="00383C91" w:rsidRPr="007B443D">
        <w:rPr>
          <w:rFonts w:cs="Arial"/>
        </w:rPr>
        <w:t>The initial two-way, face</w:t>
      </w:r>
      <w:r w:rsidR="00692DF9" w:rsidRPr="007B443D">
        <w:rPr>
          <w:rFonts w:cs="Arial"/>
        </w:rPr>
        <w:t xml:space="preserve"> </w:t>
      </w:r>
      <w:r w:rsidR="00383C91" w:rsidRPr="007B443D">
        <w:rPr>
          <w:rFonts w:cs="Arial"/>
        </w:rPr>
        <w:t>to</w:t>
      </w:r>
      <w:r w:rsidR="00692DF9" w:rsidRPr="007B443D">
        <w:rPr>
          <w:rFonts w:cs="Arial"/>
        </w:rPr>
        <w:t xml:space="preserve"> </w:t>
      </w:r>
      <w:r w:rsidR="00383C91" w:rsidRPr="007B443D">
        <w:rPr>
          <w:rFonts w:cs="Arial"/>
        </w:rPr>
        <w:t xml:space="preserve">face, one-to-one meeting between the </w:t>
      </w:r>
      <w:r w:rsidR="008A45C0" w:rsidRPr="007B443D">
        <w:rPr>
          <w:rFonts w:cs="Arial"/>
        </w:rPr>
        <w:t>Participant</w:t>
      </w:r>
      <w:r w:rsidR="00383C91" w:rsidRPr="007B443D">
        <w:rPr>
          <w:rFonts w:cs="Arial"/>
        </w:rPr>
        <w:t xml:space="preserve"> and </w:t>
      </w:r>
      <w:r w:rsidR="008A45C0" w:rsidRPr="007B443D">
        <w:rPr>
          <w:rFonts w:cs="Arial"/>
        </w:rPr>
        <w:t>Provider</w:t>
      </w:r>
      <w:r w:rsidR="00383C91" w:rsidRPr="007B443D">
        <w:rPr>
          <w:rFonts w:cs="Arial"/>
        </w:rPr>
        <w:t xml:space="preserve">. During Initial </w:t>
      </w:r>
      <w:r w:rsidR="003E1A93">
        <w:rPr>
          <w:rFonts w:cs="Arial"/>
        </w:rPr>
        <w:t>Assessment</w:t>
      </w:r>
      <w:r w:rsidR="00383C91" w:rsidRPr="007B443D">
        <w:rPr>
          <w:rFonts w:cs="Arial"/>
        </w:rPr>
        <w:t xml:space="preserve"> </w:t>
      </w:r>
      <w:r w:rsidR="008A45C0" w:rsidRPr="007B443D">
        <w:rPr>
          <w:rFonts w:cs="Arial"/>
        </w:rPr>
        <w:t>Provider</w:t>
      </w:r>
      <w:r w:rsidR="00383C91" w:rsidRPr="007B443D">
        <w:rPr>
          <w:rFonts w:cs="Arial"/>
        </w:rPr>
        <w:t>s must</w:t>
      </w:r>
      <w:r w:rsidR="00292C40" w:rsidRPr="007B443D">
        <w:rPr>
          <w:rFonts w:cs="Arial"/>
        </w:rPr>
        <w:t xml:space="preserve"> consider</w:t>
      </w:r>
      <w:r w:rsidR="00383C91" w:rsidRPr="007B443D">
        <w:rPr>
          <w:rFonts w:cs="Arial"/>
        </w:rPr>
        <w:t>:</w:t>
      </w:r>
    </w:p>
    <w:p w:rsidR="00367F22" w:rsidRPr="007B443D" w:rsidRDefault="00367F22" w:rsidP="00690E9E">
      <w:pPr>
        <w:rPr>
          <w:rFonts w:cs="Arial"/>
        </w:rPr>
      </w:pPr>
    </w:p>
    <w:p w:rsidR="00D521A8" w:rsidRPr="007B443D" w:rsidRDefault="00D521A8" w:rsidP="00EC0606">
      <w:pPr>
        <w:numPr>
          <w:ilvl w:val="0"/>
          <w:numId w:val="7"/>
        </w:numPr>
        <w:tabs>
          <w:tab w:val="clear" w:pos="1260"/>
        </w:tabs>
        <w:autoSpaceDE w:val="0"/>
        <w:autoSpaceDN w:val="0"/>
        <w:adjustRightInd w:val="0"/>
        <w:rPr>
          <w:rFonts w:cs="Arial"/>
        </w:rPr>
      </w:pPr>
      <w:r w:rsidRPr="007B443D">
        <w:rPr>
          <w:rFonts w:cs="Arial"/>
        </w:rPr>
        <w:t xml:space="preserve">the </w:t>
      </w:r>
      <w:r w:rsidR="008A45C0" w:rsidRPr="007B443D">
        <w:rPr>
          <w:rFonts w:cs="Arial"/>
        </w:rPr>
        <w:t>Participant</w:t>
      </w:r>
      <w:r w:rsidRPr="007B443D">
        <w:rPr>
          <w:rFonts w:cs="Arial"/>
        </w:rPr>
        <w:t>s business proposition, and whether their business idea has a reasonable chance of success;</w:t>
      </w:r>
    </w:p>
    <w:p w:rsidR="00D521A8" w:rsidRPr="007B443D" w:rsidRDefault="00D521A8" w:rsidP="00EC0606">
      <w:pPr>
        <w:numPr>
          <w:ilvl w:val="0"/>
          <w:numId w:val="7"/>
        </w:numPr>
        <w:tabs>
          <w:tab w:val="clear" w:pos="1260"/>
        </w:tabs>
        <w:autoSpaceDE w:val="0"/>
        <w:autoSpaceDN w:val="0"/>
        <w:adjustRightInd w:val="0"/>
        <w:rPr>
          <w:rFonts w:cs="Arial"/>
        </w:rPr>
      </w:pPr>
      <w:r w:rsidRPr="007B443D">
        <w:rPr>
          <w:rFonts w:cs="Arial"/>
        </w:rPr>
        <w:t xml:space="preserve">Whether the </w:t>
      </w:r>
      <w:r w:rsidR="008A45C0" w:rsidRPr="007B443D">
        <w:rPr>
          <w:rFonts w:cs="Arial"/>
        </w:rPr>
        <w:t>Participant</w:t>
      </w:r>
      <w:r w:rsidRPr="007B443D">
        <w:rPr>
          <w:rFonts w:cs="Arial"/>
        </w:rPr>
        <w:t xml:space="preserve"> is likely to be able to produce a business plan within </w:t>
      </w:r>
      <w:r w:rsidR="00D85517">
        <w:rPr>
          <w:rFonts w:cs="Arial"/>
        </w:rPr>
        <w:t>12</w:t>
      </w:r>
      <w:r w:rsidRPr="007B443D">
        <w:rPr>
          <w:rFonts w:cs="Arial"/>
        </w:rPr>
        <w:t xml:space="preserve"> weeks;</w:t>
      </w:r>
    </w:p>
    <w:p w:rsidR="00BD36AF" w:rsidRPr="007B443D" w:rsidRDefault="00D521A8" w:rsidP="00EC0606">
      <w:pPr>
        <w:numPr>
          <w:ilvl w:val="0"/>
          <w:numId w:val="7"/>
        </w:numPr>
        <w:tabs>
          <w:tab w:val="clear" w:pos="1260"/>
        </w:tabs>
        <w:autoSpaceDE w:val="0"/>
        <w:autoSpaceDN w:val="0"/>
        <w:adjustRightInd w:val="0"/>
        <w:rPr>
          <w:rFonts w:cs="Arial"/>
        </w:rPr>
      </w:pPr>
      <w:r w:rsidRPr="007B443D">
        <w:rPr>
          <w:rFonts w:cs="Arial"/>
        </w:rPr>
        <w:t xml:space="preserve">Whether the </w:t>
      </w:r>
      <w:r w:rsidR="008A45C0" w:rsidRPr="007B443D">
        <w:rPr>
          <w:rFonts w:cs="Arial"/>
        </w:rPr>
        <w:t>Participant</w:t>
      </w:r>
      <w:r w:rsidRPr="007B443D">
        <w:rPr>
          <w:rFonts w:cs="Arial"/>
        </w:rPr>
        <w:t xml:space="preserve"> has a reasonable chance of succeeding in self-employment;</w:t>
      </w:r>
      <w:r w:rsidR="00BD36AF" w:rsidRPr="007B443D">
        <w:rPr>
          <w:rFonts w:cs="Arial"/>
        </w:rPr>
        <w:t xml:space="preserve"> </w:t>
      </w:r>
    </w:p>
    <w:p w:rsidR="00383C91" w:rsidRPr="007B443D" w:rsidRDefault="00BD36AF" w:rsidP="00EC0606">
      <w:pPr>
        <w:numPr>
          <w:ilvl w:val="0"/>
          <w:numId w:val="7"/>
        </w:numPr>
        <w:tabs>
          <w:tab w:val="clear" w:pos="1260"/>
        </w:tabs>
        <w:autoSpaceDE w:val="0"/>
        <w:autoSpaceDN w:val="0"/>
        <w:adjustRightInd w:val="0"/>
        <w:spacing w:after="480"/>
        <w:ind w:left="1259" w:hanging="357"/>
        <w:rPr>
          <w:rFonts w:cs="Arial"/>
        </w:rPr>
      </w:pPr>
      <w:r w:rsidRPr="007B443D">
        <w:rPr>
          <w:rFonts w:cs="Arial"/>
        </w:rPr>
        <w:t>Start to develop and agree an individually tailored Action Plan.</w:t>
      </w:r>
    </w:p>
    <w:p w:rsidR="00383C91" w:rsidRPr="007B443D" w:rsidRDefault="0031406A" w:rsidP="00690E9E">
      <w:pPr>
        <w:pStyle w:val="Heading2"/>
        <w:spacing w:after="240"/>
        <w:jc w:val="both"/>
        <w:rPr>
          <w:sz w:val="28"/>
          <w:szCs w:val="28"/>
        </w:rPr>
      </w:pPr>
      <w:bookmarkStart w:id="14" w:name="_CAP_Start"/>
      <w:bookmarkEnd w:id="14"/>
      <w:r w:rsidRPr="007B443D">
        <w:rPr>
          <w:sz w:val="28"/>
          <w:szCs w:val="28"/>
        </w:rPr>
        <w:t xml:space="preserve">NEA </w:t>
      </w:r>
      <w:r w:rsidR="00265B47" w:rsidRPr="007B443D">
        <w:rPr>
          <w:sz w:val="28"/>
          <w:szCs w:val="28"/>
        </w:rPr>
        <w:t>Start</w:t>
      </w:r>
    </w:p>
    <w:p w:rsidR="00956CD5" w:rsidRPr="007B443D" w:rsidRDefault="00AA5DF2" w:rsidP="00AA5DF2">
      <w:pPr>
        <w:rPr>
          <w:rFonts w:cs="Arial"/>
        </w:rPr>
      </w:pPr>
      <w:r>
        <w:rPr>
          <w:rFonts w:cs="Arial"/>
        </w:rPr>
        <w:t>A3.7</w:t>
      </w:r>
      <w:r>
        <w:rPr>
          <w:rFonts w:cs="Arial"/>
        </w:rPr>
        <w:tab/>
      </w:r>
      <w:r w:rsidR="00383C91" w:rsidRPr="007B443D">
        <w:rPr>
          <w:rFonts w:cs="Arial"/>
        </w:rPr>
        <w:t xml:space="preserve">A </w:t>
      </w:r>
      <w:r w:rsidR="008A45C0" w:rsidRPr="007B443D">
        <w:rPr>
          <w:rFonts w:cs="Arial"/>
        </w:rPr>
        <w:t>Participant</w:t>
      </w:r>
      <w:r w:rsidR="00383C91" w:rsidRPr="007B443D">
        <w:rPr>
          <w:rFonts w:cs="Arial"/>
        </w:rPr>
        <w:t xml:space="preserve"> will be deemed to have started on </w:t>
      </w:r>
      <w:r w:rsidR="0031406A" w:rsidRPr="007B443D">
        <w:rPr>
          <w:rFonts w:cs="Arial"/>
        </w:rPr>
        <w:t xml:space="preserve">NEA </w:t>
      </w:r>
      <w:r w:rsidR="004C3437" w:rsidRPr="007B443D">
        <w:rPr>
          <w:rFonts w:cs="Arial"/>
          <w:lang w:eastAsia="en-GB"/>
        </w:rPr>
        <w:t xml:space="preserve">Phase 2 </w:t>
      </w:r>
      <w:r w:rsidR="00265B47" w:rsidRPr="007B443D">
        <w:rPr>
          <w:rFonts w:cs="Arial"/>
        </w:rPr>
        <w:t>once</w:t>
      </w:r>
      <w:r w:rsidR="00383C91" w:rsidRPr="007B443D">
        <w:rPr>
          <w:rFonts w:cs="Arial"/>
        </w:rPr>
        <w:t xml:space="preserve"> a </w:t>
      </w:r>
      <w:r w:rsidR="008A45C0" w:rsidRPr="007B443D">
        <w:rPr>
          <w:rFonts w:cs="Arial"/>
        </w:rPr>
        <w:t>Provider</w:t>
      </w:r>
      <w:r w:rsidR="00383C91" w:rsidRPr="007B443D">
        <w:rPr>
          <w:rFonts w:cs="Arial"/>
        </w:rPr>
        <w:t xml:space="preserve"> has:</w:t>
      </w:r>
    </w:p>
    <w:p w:rsidR="00367F22" w:rsidRPr="007B443D" w:rsidRDefault="00367F22" w:rsidP="00690E9E">
      <w:pPr>
        <w:rPr>
          <w:rFonts w:cs="Arial"/>
        </w:rPr>
      </w:pPr>
    </w:p>
    <w:p w:rsidR="00383C91" w:rsidRPr="007B443D" w:rsidRDefault="00383C91" w:rsidP="00EC0606">
      <w:pPr>
        <w:numPr>
          <w:ilvl w:val="0"/>
          <w:numId w:val="7"/>
        </w:numPr>
        <w:tabs>
          <w:tab w:val="clear" w:pos="1260"/>
        </w:tabs>
        <w:autoSpaceDE w:val="0"/>
        <w:autoSpaceDN w:val="0"/>
        <w:adjustRightInd w:val="0"/>
        <w:rPr>
          <w:rFonts w:cs="Arial"/>
          <w:b/>
          <w:bCs/>
        </w:rPr>
      </w:pPr>
      <w:r w:rsidRPr="007B443D">
        <w:rPr>
          <w:rFonts w:cs="Arial"/>
        </w:rPr>
        <w:t xml:space="preserve">Undertaken the </w:t>
      </w:r>
      <w:r w:rsidR="008A45C0" w:rsidRPr="007B443D">
        <w:rPr>
          <w:rFonts w:cs="Arial"/>
        </w:rPr>
        <w:t>Participant</w:t>
      </w:r>
      <w:r w:rsidRPr="007B443D">
        <w:rPr>
          <w:rFonts w:cs="Arial"/>
        </w:rPr>
        <w:t xml:space="preserve"> Initial </w:t>
      </w:r>
      <w:r w:rsidR="00EE1383" w:rsidRPr="007B443D">
        <w:rPr>
          <w:rFonts w:cs="Arial"/>
        </w:rPr>
        <w:t>Assessment Meeting;</w:t>
      </w:r>
      <w:r w:rsidRPr="007B443D">
        <w:rPr>
          <w:rFonts w:cs="Arial"/>
        </w:rPr>
        <w:t xml:space="preserve"> and,</w:t>
      </w:r>
    </w:p>
    <w:p w:rsidR="00F2422D" w:rsidRPr="007B443D" w:rsidRDefault="00DC2836" w:rsidP="00EC0606">
      <w:pPr>
        <w:numPr>
          <w:ilvl w:val="0"/>
          <w:numId w:val="7"/>
        </w:numPr>
        <w:tabs>
          <w:tab w:val="clear" w:pos="1260"/>
        </w:tabs>
        <w:spacing w:after="240"/>
        <w:rPr>
          <w:rFonts w:cs="Arial"/>
        </w:rPr>
      </w:pPr>
      <w:proofErr w:type="gramStart"/>
      <w:r w:rsidRPr="007B443D">
        <w:t>been</w:t>
      </w:r>
      <w:proofErr w:type="gramEnd"/>
      <w:r w:rsidRPr="007B443D">
        <w:t xml:space="preserve"> accepted onto the NEA </w:t>
      </w:r>
      <w:r w:rsidR="004C3437" w:rsidRPr="007B443D">
        <w:rPr>
          <w:rFonts w:cs="Arial"/>
          <w:lang w:eastAsia="en-GB"/>
        </w:rPr>
        <w:t xml:space="preserve">Phase 2 </w:t>
      </w:r>
      <w:r w:rsidRPr="007B443D">
        <w:t xml:space="preserve">scheme by the </w:t>
      </w:r>
      <w:r w:rsidR="008A45C0" w:rsidRPr="007B443D">
        <w:t>Provider</w:t>
      </w:r>
      <w:r w:rsidRPr="007B443D">
        <w:t>.</w:t>
      </w:r>
    </w:p>
    <w:p w:rsidR="00386E94" w:rsidRPr="007B443D" w:rsidRDefault="005F2B5A" w:rsidP="00EC0606">
      <w:pPr>
        <w:numPr>
          <w:ilvl w:val="0"/>
          <w:numId w:val="16"/>
        </w:numPr>
        <w:tabs>
          <w:tab w:val="clear" w:pos="360"/>
        </w:tabs>
        <w:spacing w:after="240"/>
        <w:ind w:left="900" w:hanging="900"/>
        <w:rPr>
          <w:rFonts w:cs="Arial"/>
        </w:rPr>
      </w:pPr>
      <w:r w:rsidRPr="007B443D">
        <w:rPr>
          <w:rFonts w:cs="Arial"/>
        </w:rPr>
        <w:lastRenderedPageBreak/>
        <w:t xml:space="preserve">Once the </w:t>
      </w:r>
      <w:r w:rsidR="008A45C0" w:rsidRPr="007B443D">
        <w:rPr>
          <w:rFonts w:cs="Arial"/>
        </w:rPr>
        <w:t>Participant</w:t>
      </w:r>
      <w:r w:rsidRPr="007B443D">
        <w:rPr>
          <w:rFonts w:cs="Arial"/>
        </w:rPr>
        <w:t xml:space="preserve"> has started, </w:t>
      </w:r>
      <w:r w:rsidR="008A45C0" w:rsidRPr="007B443D">
        <w:rPr>
          <w:rFonts w:cs="Arial"/>
        </w:rPr>
        <w:t>Provider</w:t>
      </w:r>
      <w:r w:rsidR="00383C91" w:rsidRPr="007B443D">
        <w:rPr>
          <w:rFonts w:cs="Arial"/>
        </w:rPr>
        <w:t>s are required to record the</w:t>
      </w:r>
      <w:r w:rsidR="00907395" w:rsidRPr="007B443D">
        <w:rPr>
          <w:rFonts w:cs="Arial"/>
        </w:rPr>
        <w:t xml:space="preserve"> </w:t>
      </w:r>
      <w:r w:rsidR="0031406A" w:rsidRPr="007B443D">
        <w:rPr>
          <w:rFonts w:cs="Arial"/>
        </w:rPr>
        <w:t xml:space="preserve">NEA </w:t>
      </w:r>
      <w:r w:rsidR="004C3437" w:rsidRPr="007B443D">
        <w:rPr>
          <w:rFonts w:cs="Arial"/>
          <w:lang w:eastAsia="en-GB"/>
        </w:rPr>
        <w:t xml:space="preserve">Phase 2 </w:t>
      </w:r>
      <w:r w:rsidR="00265B47" w:rsidRPr="007B443D">
        <w:rPr>
          <w:rFonts w:cs="Arial"/>
        </w:rPr>
        <w:t>Start</w:t>
      </w:r>
      <w:r w:rsidR="00383C91" w:rsidRPr="007B443D">
        <w:rPr>
          <w:rFonts w:cs="Arial"/>
        </w:rPr>
        <w:t xml:space="preserve"> date on </w:t>
      </w:r>
      <w:proofErr w:type="spellStart"/>
      <w:r w:rsidR="00383C91" w:rsidRPr="007B443D">
        <w:rPr>
          <w:rFonts w:cs="Arial"/>
        </w:rPr>
        <w:t>PRaP</w:t>
      </w:r>
      <w:proofErr w:type="spellEnd"/>
      <w:r w:rsidR="00383C91" w:rsidRPr="007B443D">
        <w:rPr>
          <w:rFonts w:cs="Arial"/>
        </w:rPr>
        <w:t>. The</w:t>
      </w:r>
      <w:r w:rsidR="00907395" w:rsidRPr="007B443D">
        <w:rPr>
          <w:rFonts w:cs="Arial"/>
        </w:rPr>
        <w:t xml:space="preserve"> </w:t>
      </w:r>
      <w:r w:rsidR="0031406A" w:rsidRPr="007B443D">
        <w:rPr>
          <w:rFonts w:cs="Arial"/>
        </w:rPr>
        <w:t xml:space="preserve">NEA </w:t>
      </w:r>
      <w:r w:rsidR="004C3437" w:rsidRPr="007B443D">
        <w:rPr>
          <w:rFonts w:cs="Arial"/>
          <w:lang w:eastAsia="en-GB"/>
        </w:rPr>
        <w:t xml:space="preserve">Phase 2 </w:t>
      </w:r>
      <w:r w:rsidR="00265B47" w:rsidRPr="007B443D">
        <w:rPr>
          <w:rFonts w:cs="Arial"/>
        </w:rPr>
        <w:t>start</w:t>
      </w:r>
      <w:r w:rsidR="00383C91" w:rsidRPr="007B443D">
        <w:rPr>
          <w:rFonts w:cs="Arial"/>
        </w:rPr>
        <w:t xml:space="preserve"> date will be the date on which a </w:t>
      </w:r>
      <w:r w:rsidR="008A45C0" w:rsidRPr="007B443D">
        <w:rPr>
          <w:rFonts w:cs="Arial"/>
        </w:rPr>
        <w:t>Participant</w:t>
      </w:r>
      <w:r w:rsidR="00383C91" w:rsidRPr="007B443D">
        <w:rPr>
          <w:rFonts w:cs="Arial"/>
        </w:rPr>
        <w:t xml:space="preserve"> </w:t>
      </w:r>
      <w:r w:rsidR="00DC3F33">
        <w:rPr>
          <w:rFonts w:cs="Arial"/>
        </w:rPr>
        <w:t xml:space="preserve">attended the initial </w:t>
      </w:r>
      <w:proofErr w:type="gramStart"/>
      <w:r w:rsidR="00DC3F33">
        <w:rPr>
          <w:rFonts w:cs="Arial"/>
        </w:rPr>
        <w:t xml:space="preserve">assessment </w:t>
      </w:r>
      <w:r w:rsidR="00383C91" w:rsidRPr="007B443D">
        <w:rPr>
          <w:rFonts w:cs="Arial"/>
        </w:rPr>
        <w:t xml:space="preserve"> (</w:t>
      </w:r>
      <w:proofErr w:type="gramEnd"/>
      <w:r w:rsidR="00E123B0" w:rsidRPr="007B443D">
        <w:rPr>
          <w:rFonts w:cs="Arial"/>
        </w:rPr>
        <w:t>t</w:t>
      </w:r>
      <w:r w:rsidR="00383C91" w:rsidRPr="007B443D">
        <w:rPr>
          <w:rFonts w:cs="Arial"/>
        </w:rPr>
        <w:t>his will trigger the</w:t>
      </w:r>
      <w:r w:rsidR="00907395" w:rsidRPr="007B443D">
        <w:rPr>
          <w:rFonts w:cs="Arial"/>
        </w:rPr>
        <w:t xml:space="preserve"> </w:t>
      </w:r>
      <w:r w:rsidR="0031406A" w:rsidRPr="007B443D">
        <w:rPr>
          <w:rFonts w:cs="Arial"/>
        </w:rPr>
        <w:t>NEA</w:t>
      </w:r>
      <w:r w:rsidR="004C3437" w:rsidRPr="007B443D">
        <w:rPr>
          <w:rFonts w:cs="Arial"/>
          <w:lang w:eastAsia="en-GB"/>
        </w:rPr>
        <w:t xml:space="preserve"> Phase 2</w:t>
      </w:r>
      <w:r w:rsidR="0031406A" w:rsidRPr="007B443D">
        <w:rPr>
          <w:rFonts w:cs="Arial"/>
        </w:rPr>
        <w:t xml:space="preserve"> </w:t>
      </w:r>
      <w:r w:rsidR="00265B47" w:rsidRPr="007B443D">
        <w:rPr>
          <w:rFonts w:cs="Arial"/>
        </w:rPr>
        <w:t>Start</w:t>
      </w:r>
      <w:r w:rsidR="00383C91" w:rsidRPr="007B443D">
        <w:rPr>
          <w:rFonts w:cs="Arial"/>
        </w:rPr>
        <w:t xml:space="preserve"> Fee</w:t>
      </w:r>
      <w:r w:rsidR="00DC3F33">
        <w:rPr>
          <w:rFonts w:cs="Arial"/>
        </w:rPr>
        <w:t>, where applicable</w:t>
      </w:r>
      <w:r w:rsidR="00383C91" w:rsidRPr="007B443D">
        <w:rPr>
          <w:rFonts w:cs="Arial"/>
        </w:rPr>
        <w:t>).</w:t>
      </w:r>
    </w:p>
    <w:p w:rsidR="00383C91" w:rsidRPr="007B443D" w:rsidRDefault="00A77AB9" w:rsidP="00EC0606">
      <w:pPr>
        <w:numPr>
          <w:ilvl w:val="0"/>
          <w:numId w:val="16"/>
        </w:numPr>
        <w:tabs>
          <w:tab w:val="clear" w:pos="360"/>
        </w:tabs>
        <w:spacing w:after="240"/>
        <w:ind w:left="900" w:hanging="900"/>
        <w:rPr>
          <w:rFonts w:cs="Arial"/>
        </w:rPr>
      </w:pPr>
      <w:r w:rsidRPr="007B443D">
        <w:rPr>
          <w:rFonts w:cs="Arial"/>
        </w:rPr>
        <w:t xml:space="preserve">The </w:t>
      </w:r>
      <w:r w:rsidRPr="007B443D">
        <w:t xml:space="preserve">contractual </w:t>
      </w:r>
      <w:r w:rsidRPr="007B443D">
        <w:rPr>
          <w:rFonts w:cs="Arial"/>
        </w:rPr>
        <w:t xml:space="preserve">target for </w:t>
      </w:r>
      <w:r w:rsidRPr="007B443D">
        <w:t>s</w:t>
      </w:r>
      <w:r w:rsidRPr="007B443D">
        <w:rPr>
          <w:rFonts w:cs="Arial"/>
        </w:rPr>
        <w:t>tart</w:t>
      </w:r>
      <w:r w:rsidRPr="007B443D">
        <w:t xml:space="preserve">ing </w:t>
      </w:r>
      <w:r w:rsidR="008A45C0" w:rsidRPr="007B443D">
        <w:t>Participant</w:t>
      </w:r>
      <w:r w:rsidRPr="007B443D">
        <w:t>s</w:t>
      </w:r>
      <w:r w:rsidRPr="007B443D">
        <w:rPr>
          <w:rFonts w:cs="Arial"/>
        </w:rPr>
        <w:t xml:space="preserve"> </w:t>
      </w:r>
      <w:r w:rsidRPr="007B443D">
        <w:t>is for</w:t>
      </w:r>
      <w:r w:rsidR="00907395" w:rsidRPr="007B443D">
        <w:t xml:space="preserve"> </w:t>
      </w:r>
      <w:r w:rsidR="0031406A" w:rsidRPr="007B443D">
        <w:t xml:space="preserve">NEA </w:t>
      </w:r>
      <w:r w:rsidR="004C3437" w:rsidRPr="007B443D">
        <w:rPr>
          <w:rFonts w:cs="Arial"/>
          <w:lang w:eastAsia="en-GB"/>
        </w:rPr>
        <w:t>Phase 2</w:t>
      </w:r>
      <w:r w:rsidR="00741312">
        <w:rPr>
          <w:rFonts w:cs="Arial"/>
          <w:lang w:eastAsia="en-GB"/>
        </w:rPr>
        <w:t xml:space="preserve"> </w:t>
      </w:r>
      <w:r w:rsidR="00265B47" w:rsidRPr="007B443D">
        <w:t>Starts</w:t>
      </w:r>
      <w:r w:rsidRPr="007B443D">
        <w:t xml:space="preserve"> to be</w:t>
      </w:r>
      <w:r w:rsidRPr="007B443D">
        <w:rPr>
          <w:rFonts w:cs="Arial"/>
        </w:rPr>
        <w:t xml:space="preserve"> achieved and recorded in </w:t>
      </w:r>
      <w:proofErr w:type="spellStart"/>
      <w:r w:rsidRPr="007B443D">
        <w:rPr>
          <w:rFonts w:cs="Arial"/>
        </w:rPr>
        <w:t>PRaP</w:t>
      </w:r>
      <w:proofErr w:type="spellEnd"/>
      <w:r w:rsidRPr="007B443D">
        <w:rPr>
          <w:rFonts w:cs="Arial"/>
        </w:rPr>
        <w:t xml:space="preserve"> within </w:t>
      </w:r>
      <w:r w:rsidR="00741312">
        <w:rPr>
          <w:rFonts w:cs="Arial"/>
        </w:rPr>
        <w:t>15</w:t>
      </w:r>
      <w:r w:rsidRPr="007B443D">
        <w:rPr>
          <w:rFonts w:cs="Arial"/>
        </w:rPr>
        <w:t xml:space="preserve"> working days of the </w:t>
      </w:r>
      <w:r w:rsidR="0031406A" w:rsidRPr="007B443D">
        <w:rPr>
          <w:rFonts w:cs="Arial"/>
        </w:rPr>
        <w:t xml:space="preserve">NEA </w:t>
      </w:r>
      <w:r w:rsidR="004C3437" w:rsidRPr="007B443D">
        <w:rPr>
          <w:rFonts w:cs="Arial"/>
          <w:lang w:eastAsia="en-GB"/>
        </w:rPr>
        <w:t xml:space="preserve">Phase 2 </w:t>
      </w:r>
      <w:r w:rsidR="00265B47" w:rsidRPr="007B443D">
        <w:rPr>
          <w:rFonts w:cs="Arial"/>
        </w:rPr>
        <w:t>Referral</w:t>
      </w:r>
      <w:r w:rsidRPr="007B443D">
        <w:rPr>
          <w:rFonts w:cs="Arial"/>
        </w:rPr>
        <w:t>.</w:t>
      </w:r>
    </w:p>
    <w:p w:rsidR="00383C91" w:rsidRPr="007B443D" w:rsidRDefault="00383C91" w:rsidP="00690E9E">
      <w:pPr>
        <w:pStyle w:val="Heading2"/>
        <w:spacing w:after="240"/>
        <w:jc w:val="both"/>
        <w:rPr>
          <w:sz w:val="28"/>
          <w:szCs w:val="28"/>
        </w:rPr>
      </w:pPr>
      <w:bookmarkStart w:id="15" w:name="_Allotted_Time"/>
      <w:bookmarkEnd w:id="15"/>
      <w:r w:rsidRPr="007B443D">
        <w:rPr>
          <w:sz w:val="28"/>
          <w:szCs w:val="28"/>
        </w:rPr>
        <w:t>Allotted Time</w:t>
      </w:r>
      <w:r w:rsidR="005F1F44" w:rsidRPr="007B443D">
        <w:rPr>
          <w:sz w:val="28"/>
          <w:szCs w:val="28"/>
        </w:rPr>
        <w:t xml:space="preserve"> </w:t>
      </w:r>
    </w:p>
    <w:p w:rsidR="00AC1151" w:rsidRPr="007B443D" w:rsidRDefault="00AA5DF2" w:rsidP="00AA5DF2">
      <w:pPr>
        <w:autoSpaceDE w:val="0"/>
        <w:autoSpaceDN w:val="0"/>
        <w:adjustRightInd w:val="0"/>
        <w:spacing w:after="240"/>
        <w:ind w:left="720" w:hanging="720"/>
        <w:rPr>
          <w:rFonts w:cs="Arial"/>
          <w:b/>
          <w:sz w:val="16"/>
          <w:szCs w:val="16"/>
        </w:rPr>
      </w:pPr>
      <w:bookmarkStart w:id="16" w:name="_Short_Completion_Outcome"/>
      <w:bookmarkEnd w:id="16"/>
      <w:r>
        <w:rPr>
          <w:rFonts w:cs="Arial"/>
        </w:rPr>
        <w:t>A3.8</w:t>
      </w:r>
      <w:r>
        <w:rPr>
          <w:rFonts w:cs="Arial"/>
        </w:rPr>
        <w:tab/>
      </w:r>
      <w:r w:rsidR="00AC1151" w:rsidRPr="007B443D">
        <w:rPr>
          <w:rFonts w:cs="Arial"/>
        </w:rPr>
        <w:t xml:space="preserve">The maximum NEA </w:t>
      </w:r>
      <w:r w:rsidR="00AC1151" w:rsidRPr="007B443D">
        <w:rPr>
          <w:rFonts w:cs="Arial"/>
          <w:lang w:eastAsia="en-GB"/>
        </w:rPr>
        <w:t xml:space="preserve">Phase 2 </w:t>
      </w:r>
      <w:r w:rsidR="00AC1151" w:rsidRPr="007B443D">
        <w:rPr>
          <w:rFonts w:cs="Arial"/>
        </w:rPr>
        <w:t xml:space="preserve">Allotted Time period for a new business start participant is </w:t>
      </w:r>
      <w:proofErr w:type="gramStart"/>
      <w:r w:rsidR="00AC1151" w:rsidRPr="007B443D">
        <w:rPr>
          <w:rFonts w:cs="Arial"/>
        </w:rPr>
        <w:t>9</w:t>
      </w:r>
      <w:r w:rsidR="00C07D1C">
        <w:rPr>
          <w:rFonts w:cs="Arial"/>
        </w:rPr>
        <w:t>2</w:t>
      </w:r>
      <w:r w:rsidR="00AC1151" w:rsidRPr="007B443D">
        <w:rPr>
          <w:rFonts w:cs="Arial"/>
        </w:rPr>
        <w:t xml:space="preserve">  weeks</w:t>
      </w:r>
      <w:proofErr w:type="gramEnd"/>
      <w:r w:rsidR="00AC1151" w:rsidRPr="007B443D">
        <w:rPr>
          <w:rFonts w:cs="Arial"/>
        </w:rPr>
        <w:t xml:space="preserve">. Allotted Time is continuous and starts at the point of the NEA </w:t>
      </w:r>
      <w:r w:rsidR="00AC1151" w:rsidRPr="007B443D">
        <w:rPr>
          <w:rFonts w:cs="Arial"/>
          <w:lang w:eastAsia="en-GB"/>
        </w:rPr>
        <w:t xml:space="preserve">Phase 2 </w:t>
      </w:r>
      <w:r w:rsidR="00AC1151" w:rsidRPr="007B443D">
        <w:rPr>
          <w:rFonts w:cs="Arial"/>
        </w:rPr>
        <w:t>assessment. This is the maximum period of time in which all outcomes for a Participant must be achieved</w:t>
      </w:r>
      <w:r w:rsidR="00E95B0F">
        <w:rPr>
          <w:rFonts w:cs="Arial"/>
        </w:rPr>
        <w:t xml:space="preserve"> and claimed</w:t>
      </w:r>
      <w:r w:rsidR="00AC1151" w:rsidRPr="007B443D">
        <w:rPr>
          <w:rFonts w:cs="Arial"/>
        </w:rPr>
        <w:t>.  9</w:t>
      </w:r>
      <w:r w:rsidR="00C07D1C">
        <w:rPr>
          <w:rFonts w:cs="Arial"/>
        </w:rPr>
        <w:t>2</w:t>
      </w:r>
      <w:r w:rsidR="00AC1151" w:rsidRPr="007B443D">
        <w:rPr>
          <w:rFonts w:cs="Arial"/>
        </w:rPr>
        <w:t xml:space="preserve"> weeks will be for exceptional circumstances only and DWP would expect the majority of participants to have completed 12 months </w:t>
      </w:r>
      <w:r w:rsidR="006339F2">
        <w:rPr>
          <w:rFonts w:cs="Arial"/>
        </w:rPr>
        <w:t xml:space="preserve">/ 52 weeks </w:t>
      </w:r>
      <w:r w:rsidR="00AC1151" w:rsidRPr="007B443D">
        <w:rPr>
          <w:rFonts w:cs="Arial"/>
        </w:rPr>
        <w:t xml:space="preserve">of trading by the end of contract period.  </w:t>
      </w:r>
    </w:p>
    <w:p w:rsidR="00AC1151" w:rsidRPr="007B443D" w:rsidRDefault="00AA5DF2" w:rsidP="00AA5DF2">
      <w:pPr>
        <w:autoSpaceDE w:val="0"/>
        <w:autoSpaceDN w:val="0"/>
        <w:adjustRightInd w:val="0"/>
        <w:spacing w:after="240"/>
        <w:ind w:left="720" w:hanging="720"/>
        <w:rPr>
          <w:rFonts w:cs="Arial"/>
          <w:b/>
          <w:sz w:val="16"/>
          <w:szCs w:val="16"/>
        </w:rPr>
      </w:pPr>
      <w:r>
        <w:rPr>
          <w:rFonts w:cs="Arial"/>
        </w:rPr>
        <w:t>A3.9</w:t>
      </w:r>
      <w:r>
        <w:rPr>
          <w:rFonts w:cs="Arial"/>
        </w:rPr>
        <w:tab/>
      </w:r>
      <w:r w:rsidR="00AC1151" w:rsidRPr="007B443D">
        <w:rPr>
          <w:rFonts w:cs="Arial"/>
        </w:rPr>
        <w:t xml:space="preserve">The maximum NEA </w:t>
      </w:r>
      <w:r w:rsidR="00AC1151" w:rsidRPr="007B443D">
        <w:rPr>
          <w:rFonts w:cs="Arial"/>
          <w:lang w:eastAsia="en-GB"/>
        </w:rPr>
        <w:t xml:space="preserve">Phase 2 </w:t>
      </w:r>
      <w:r w:rsidR="00AC1151" w:rsidRPr="007B443D">
        <w:rPr>
          <w:rFonts w:cs="Arial"/>
        </w:rPr>
        <w:t xml:space="preserve">Allotted Time period for a </w:t>
      </w:r>
      <w:r w:rsidR="00AC1151" w:rsidRPr="007B443D">
        <w:rPr>
          <w:sz w:val="23"/>
          <w:szCs w:val="23"/>
        </w:rPr>
        <w:t xml:space="preserve">UC claimant with an existing business </w:t>
      </w:r>
      <w:r w:rsidR="00AC1151" w:rsidRPr="007B443D">
        <w:rPr>
          <w:rFonts w:cs="Arial"/>
        </w:rPr>
        <w:t xml:space="preserve">participant is </w:t>
      </w:r>
      <w:proofErr w:type="gramStart"/>
      <w:r w:rsidR="004A6648">
        <w:rPr>
          <w:rFonts w:cs="Arial"/>
        </w:rPr>
        <w:t>6</w:t>
      </w:r>
      <w:r w:rsidR="00C07D1C">
        <w:rPr>
          <w:rFonts w:cs="Arial"/>
        </w:rPr>
        <w:t>6</w:t>
      </w:r>
      <w:r w:rsidR="00AC1151" w:rsidRPr="007B443D">
        <w:rPr>
          <w:rFonts w:cs="Arial"/>
        </w:rPr>
        <w:t xml:space="preserve">  weeks</w:t>
      </w:r>
      <w:proofErr w:type="gramEnd"/>
      <w:r w:rsidR="00AC1151" w:rsidRPr="007B443D">
        <w:rPr>
          <w:rFonts w:cs="Arial"/>
        </w:rPr>
        <w:t xml:space="preserve">. Allotted Time is continuous and starts at the point of the NEA </w:t>
      </w:r>
      <w:r w:rsidR="00AC1151" w:rsidRPr="007B443D">
        <w:rPr>
          <w:rFonts w:cs="Arial"/>
          <w:lang w:eastAsia="en-GB"/>
        </w:rPr>
        <w:t xml:space="preserve">Phase 2 </w:t>
      </w:r>
      <w:r w:rsidR="00AC1151" w:rsidRPr="007B443D">
        <w:rPr>
          <w:rFonts w:cs="Arial"/>
        </w:rPr>
        <w:t>assessment. This is the maximum period of time in which all outcomes for a Participant must be achieved</w:t>
      </w:r>
      <w:r w:rsidR="00E95B0F">
        <w:rPr>
          <w:rFonts w:cs="Arial"/>
        </w:rPr>
        <w:t xml:space="preserve"> and claimed</w:t>
      </w:r>
      <w:r w:rsidR="00AC1151" w:rsidRPr="007B443D">
        <w:rPr>
          <w:rFonts w:cs="Arial"/>
        </w:rPr>
        <w:t xml:space="preserve">.   </w:t>
      </w:r>
    </w:p>
    <w:p w:rsidR="00383C91" w:rsidRPr="007B443D" w:rsidRDefault="005F1F44" w:rsidP="00690E9E">
      <w:pPr>
        <w:pStyle w:val="Heading2"/>
        <w:spacing w:after="240"/>
        <w:jc w:val="both"/>
        <w:rPr>
          <w:sz w:val="28"/>
          <w:szCs w:val="28"/>
        </w:rPr>
      </w:pPr>
      <w:r w:rsidRPr="007B443D">
        <w:rPr>
          <w:sz w:val="28"/>
          <w:szCs w:val="28"/>
        </w:rPr>
        <w:t xml:space="preserve">Completion of Pre </w:t>
      </w:r>
      <w:proofErr w:type="spellStart"/>
      <w:r w:rsidRPr="007B443D">
        <w:rPr>
          <w:sz w:val="28"/>
          <w:szCs w:val="28"/>
        </w:rPr>
        <w:t>Start up</w:t>
      </w:r>
      <w:proofErr w:type="spellEnd"/>
      <w:r w:rsidRPr="007B443D">
        <w:rPr>
          <w:sz w:val="28"/>
          <w:szCs w:val="28"/>
        </w:rPr>
        <w:t xml:space="preserve"> Period</w:t>
      </w:r>
      <w:r w:rsidR="003F40BC" w:rsidRPr="007B443D">
        <w:rPr>
          <w:sz w:val="28"/>
          <w:szCs w:val="28"/>
        </w:rPr>
        <w:t xml:space="preserve"> </w:t>
      </w:r>
    </w:p>
    <w:p w:rsidR="00DC2836" w:rsidRPr="007B443D" w:rsidRDefault="00AA5DF2" w:rsidP="00AA5DF2">
      <w:pPr>
        <w:spacing w:after="240"/>
        <w:ind w:left="720" w:hanging="720"/>
        <w:rPr>
          <w:rFonts w:cs="Arial"/>
          <w:bCs/>
        </w:rPr>
      </w:pPr>
      <w:r>
        <w:rPr>
          <w:rFonts w:cs="Arial"/>
          <w:bCs/>
        </w:rPr>
        <w:t>A3.10</w:t>
      </w:r>
      <w:r>
        <w:rPr>
          <w:rFonts w:cs="Arial"/>
          <w:bCs/>
        </w:rPr>
        <w:tab/>
      </w:r>
      <w:r w:rsidR="00DC2836" w:rsidRPr="007B443D">
        <w:rPr>
          <w:rFonts w:cs="Arial"/>
          <w:bCs/>
        </w:rPr>
        <w:t xml:space="preserve">Attended the initial assessment meeting and been accepted onto the NEA </w:t>
      </w:r>
      <w:r w:rsidR="004C3437" w:rsidRPr="007B443D">
        <w:rPr>
          <w:rFonts w:cs="Arial"/>
          <w:lang w:eastAsia="en-GB"/>
        </w:rPr>
        <w:t xml:space="preserve">Phase 2 </w:t>
      </w:r>
      <w:r w:rsidR="00DC2836" w:rsidRPr="007B443D">
        <w:rPr>
          <w:rFonts w:cs="Arial"/>
          <w:bCs/>
        </w:rPr>
        <w:t xml:space="preserve">scheme by the </w:t>
      </w:r>
      <w:r w:rsidR="008A45C0" w:rsidRPr="007B443D">
        <w:rPr>
          <w:rFonts w:cs="Arial"/>
          <w:bCs/>
        </w:rPr>
        <w:t>Provider</w:t>
      </w:r>
    </w:p>
    <w:p w:rsidR="00DC2836" w:rsidRPr="007B443D" w:rsidRDefault="00AA5DF2" w:rsidP="00AA5DF2">
      <w:pPr>
        <w:spacing w:after="240"/>
        <w:ind w:left="720" w:hanging="720"/>
        <w:rPr>
          <w:rFonts w:cs="Arial"/>
          <w:bCs/>
        </w:rPr>
      </w:pPr>
      <w:r>
        <w:rPr>
          <w:rFonts w:cs="Arial"/>
          <w:bCs/>
        </w:rPr>
        <w:t>A3.11</w:t>
      </w:r>
      <w:r>
        <w:rPr>
          <w:rFonts w:cs="Arial"/>
          <w:bCs/>
        </w:rPr>
        <w:tab/>
      </w:r>
      <w:r w:rsidR="00DC2836" w:rsidRPr="007B443D">
        <w:rPr>
          <w:rFonts w:cs="Arial"/>
          <w:bCs/>
        </w:rPr>
        <w:t xml:space="preserve">Undertaken the </w:t>
      </w:r>
      <w:r w:rsidR="00027671" w:rsidRPr="007B443D">
        <w:rPr>
          <w:rFonts w:cs="Arial"/>
          <w:bCs/>
        </w:rPr>
        <w:t xml:space="preserve">Pre Start-up Period </w:t>
      </w:r>
      <w:r w:rsidR="00DC2836" w:rsidRPr="007B443D">
        <w:rPr>
          <w:rFonts w:cs="Arial"/>
          <w:bCs/>
        </w:rPr>
        <w:t xml:space="preserve">of the NEA </w:t>
      </w:r>
      <w:r w:rsidR="004C3437" w:rsidRPr="007B443D">
        <w:rPr>
          <w:rFonts w:cs="Arial"/>
          <w:lang w:eastAsia="en-GB"/>
        </w:rPr>
        <w:t xml:space="preserve">Phase 2 </w:t>
      </w:r>
      <w:r w:rsidR="00DC2836" w:rsidRPr="007B443D">
        <w:rPr>
          <w:rFonts w:cs="Arial"/>
          <w:bCs/>
        </w:rPr>
        <w:t xml:space="preserve">and worked with the </w:t>
      </w:r>
      <w:r w:rsidR="009516C1" w:rsidRPr="007B443D">
        <w:rPr>
          <w:rFonts w:cs="Arial"/>
          <w:bCs/>
        </w:rPr>
        <w:t>Business Mentor</w:t>
      </w:r>
      <w:r w:rsidR="00DC2836" w:rsidRPr="007B443D">
        <w:rPr>
          <w:rFonts w:cs="Arial"/>
          <w:bCs/>
        </w:rPr>
        <w:t xml:space="preserve"> </w:t>
      </w:r>
      <w:r w:rsidR="003A68CE" w:rsidRPr="007B443D">
        <w:rPr>
          <w:rFonts w:cs="Arial"/>
          <w:bCs/>
        </w:rPr>
        <w:t xml:space="preserve">or Advisor </w:t>
      </w:r>
      <w:r w:rsidR="00DC2836" w:rsidRPr="007B443D">
        <w:rPr>
          <w:rFonts w:cs="Arial"/>
          <w:bCs/>
        </w:rPr>
        <w:t xml:space="preserve">assigned by the </w:t>
      </w:r>
      <w:r w:rsidR="008A45C0" w:rsidRPr="007B443D">
        <w:rPr>
          <w:rFonts w:cs="Arial"/>
          <w:bCs/>
        </w:rPr>
        <w:t>Provider</w:t>
      </w:r>
      <w:r w:rsidR="00DC2836" w:rsidRPr="007B443D">
        <w:rPr>
          <w:rFonts w:cs="Arial"/>
          <w:bCs/>
        </w:rPr>
        <w:t xml:space="preserve">; prepared </w:t>
      </w:r>
      <w:r w:rsidR="00FE5357" w:rsidRPr="007B443D">
        <w:rPr>
          <w:rFonts w:cs="Arial"/>
          <w:bCs/>
        </w:rPr>
        <w:t xml:space="preserve">and submitted a </w:t>
      </w:r>
      <w:r w:rsidR="00DC2836" w:rsidRPr="007B443D">
        <w:rPr>
          <w:rFonts w:cs="Arial"/>
          <w:bCs/>
        </w:rPr>
        <w:t xml:space="preserve">business plan </w:t>
      </w:r>
      <w:r w:rsidR="00FE5357" w:rsidRPr="007B443D">
        <w:rPr>
          <w:rFonts w:cs="Arial"/>
          <w:bCs/>
        </w:rPr>
        <w:t>to the</w:t>
      </w:r>
      <w:r w:rsidR="00DC2836" w:rsidRPr="007B443D">
        <w:rPr>
          <w:rFonts w:cs="Arial"/>
          <w:bCs/>
        </w:rPr>
        <w:t xml:space="preserve"> </w:t>
      </w:r>
      <w:r w:rsidR="008A45C0" w:rsidRPr="007B443D">
        <w:rPr>
          <w:rFonts w:cs="Arial"/>
          <w:bCs/>
        </w:rPr>
        <w:t>Provider</w:t>
      </w:r>
    </w:p>
    <w:p w:rsidR="00383C91" w:rsidRPr="007B443D" w:rsidRDefault="00996DA3" w:rsidP="00690E9E">
      <w:pPr>
        <w:pStyle w:val="Heading2"/>
        <w:spacing w:after="240"/>
        <w:jc w:val="both"/>
        <w:rPr>
          <w:sz w:val="28"/>
          <w:szCs w:val="28"/>
        </w:rPr>
      </w:pPr>
      <w:r w:rsidRPr="007B443D">
        <w:rPr>
          <w:sz w:val="28"/>
          <w:szCs w:val="28"/>
        </w:rPr>
        <w:t xml:space="preserve">Commencement of </w:t>
      </w:r>
      <w:r w:rsidR="00246530" w:rsidRPr="007B443D">
        <w:rPr>
          <w:sz w:val="28"/>
          <w:szCs w:val="28"/>
        </w:rPr>
        <w:t>T</w:t>
      </w:r>
      <w:r w:rsidRPr="007B443D">
        <w:rPr>
          <w:sz w:val="28"/>
          <w:szCs w:val="28"/>
        </w:rPr>
        <w:t xml:space="preserve">rading </w:t>
      </w:r>
      <w:r w:rsidR="003F40BC" w:rsidRPr="007B443D">
        <w:rPr>
          <w:sz w:val="28"/>
          <w:szCs w:val="28"/>
        </w:rPr>
        <w:t xml:space="preserve">Outcome </w:t>
      </w:r>
      <w:r w:rsidR="00383C91" w:rsidRPr="007B443D">
        <w:rPr>
          <w:sz w:val="28"/>
          <w:szCs w:val="28"/>
        </w:rPr>
        <w:t>Fee</w:t>
      </w:r>
    </w:p>
    <w:p w:rsidR="00634236" w:rsidRPr="007B443D" w:rsidRDefault="00AA5DF2" w:rsidP="00AA5DF2">
      <w:pPr>
        <w:spacing w:after="240"/>
        <w:ind w:left="720" w:hanging="720"/>
        <w:rPr>
          <w:lang w:val="en-AU"/>
        </w:rPr>
      </w:pPr>
      <w:r>
        <w:rPr>
          <w:lang w:val="en-AU"/>
        </w:rPr>
        <w:t>A3.12</w:t>
      </w:r>
      <w:r>
        <w:rPr>
          <w:lang w:val="en-AU"/>
        </w:rPr>
        <w:tab/>
      </w:r>
      <w:r w:rsidR="00634236" w:rsidRPr="007B443D">
        <w:rPr>
          <w:lang w:val="en-AU"/>
        </w:rPr>
        <w:t>Providers will be eligible to claim a commencement of trading fee when the participant has:</w:t>
      </w:r>
    </w:p>
    <w:p w:rsidR="00DC2836" w:rsidRPr="007B443D" w:rsidRDefault="00DC2836" w:rsidP="00EC0606">
      <w:pPr>
        <w:numPr>
          <w:ilvl w:val="0"/>
          <w:numId w:val="8"/>
        </w:numPr>
        <w:tabs>
          <w:tab w:val="clear" w:pos="1080"/>
        </w:tabs>
        <w:spacing w:after="240"/>
        <w:rPr>
          <w:rFonts w:cs="Arial"/>
          <w:bCs/>
        </w:rPr>
      </w:pPr>
      <w:r w:rsidRPr="007B443D">
        <w:rPr>
          <w:rFonts w:cs="Arial"/>
          <w:bCs/>
        </w:rPr>
        <w:t xml:space="preserve">Attended the initial assessment and been accepted onto the NEA </w:t>
      </w:r>
      <w:r w:rsidR="004C3437" w:rsidRPr="007B443D">
        <w:rPr>
          <w:rFonts w:cs="Arial"/>
          <w:lang w:eastAsia="en-GB"/>
        </w:rPr>
        <w:t xml:space="preserve">Phase 2 </w:t>
      </w:r>
      <w:r w:rsidRPr="007B443D">
        <w:rPr>
          <w:rFonts w:cs="Arial"/>
          <w:bCs/>
        </w:rPr>
        <w:t xml:space="preserve">scheme by the </w:t>
      </w:r>
      <w:r w:rsidR="008A45C0" w:rsidRPr="007B443D">
        <w:rPr>
          <w:rFonts w:cs="Arial"/>
          <w:bCs/>
        </w:rPr>
        <w:t>Provider</w:t>
      </w:r>
    </w:p>
    <w:p w:rsidR="00DC2836" w:rsidRPr="007B443D" w:rsidRDefault="00DC2836" w:rsidP="00EC0606">
      <w:pPr>
        <w:numPr>
          <w:ilvl w:val="0"/>
          <w:numId w:val="8"/>
        </w:numPr>
        <w:tabs>
          <w:tab w:val="clear" w:pos="1080"/>
        </w:tabs>
        <w:spacing w:after="240"/>
        <w:rPr>
          <w:rFonts w:cs="Arial"/>
          <w:bCs/>
        </w:rPr>
      </w:pPr>
      <w:r w:rsidRPr="007B443D">
        <w:rPr>
          <w:rFonts w:cs="Arial"/>
          <w:bCs/>
        </w:rPr>
        <w:t xml:space="preserve">Undertaken the </w:t>
      </w:r>
      <w:r w:rsidR="005F3B4C" w:rsidRPr="007B443D">
        <w:rPr>
          <w:rFonts w:cs="Arial"/>
          <w:bCs/>
        </w:rPr>
        <w:t xml:space="preserve">Pre Start-up Period </w:t>
      </w:r>
      <w:r w:rsidRPr="007B443D">
        <w:rPr>
          <w:rFonts w:cs="Arial"/>
          <w:bCs/>
        </w:rPr>
        <w:t xml:space="preserve">of the NEA </w:t>
      </w:r>
      <w:r w:rsidR="004C3437" w:rsidRPr="007B443D">
        <w:rPr>
          <w:rFonts w:cs="Arial"/>
          <w:lang w:eastAsia="en-GB"/>
        </w:rPr>
        <w:t xml:space="preserve">Phase 2 </w:t>
      </w:r>
      <w:r w:rsidRPr="007B443D">
        <w:rPr>
          <w:rFonts w:cs="Arial"/>
          <w:bCs/>
        </w:rPr>
        <w:t xml:space="preserve">and worked with the </w:t>
      </w:r>
      <w:r w:rsidR="009516C1" w:rsidRPr="007B443D">
        <w:rPr>
          <w:rFonts w:cs="Arial"/>
          <w:bCs/>
        </w:rPr>
        <w:t>Business Mentor</w:t>
      </w:r>
      <w:r w:rsidR="003A68CE" w:rsidRPr="007B443D">
        <w:rPr>
          <w:rFonts w:cs="Arial"/>
          <w:bCs/>
        </w:rPr>
        <w:t xml:space="preserve"> or Advisor</w:t>
      </w:r>
      <w:r w:rsidRPr="007B443D">
        <w:rPr>
          <w:rFonts w:cs="Arial"/>
          <w:bCs/>
        </w:rPr>
        <w:t xml:space="preserve"> assigned by the </w:t>
      </w:r>
      <w:r w:rsidR="008A45C0" w:rsidRPr="007B443D">
        <w:rPr>
          <w:rFonts w:cs="Arial"/>
          <w:bCs/>
        </w:rPr>
        <w:t>Provider</w:t>
      </w:r>
      <w:r w:rsidRPr="007B443D">
        <w:rPr>
          <w:rFonts w:cs="Arial"/>
          <w:bCs/>
        </w:rPr>
        <w:t>; prepared a business plan</w:t>
      </w:r>
    </w:p>
    <w:p w:rsidR="00DC2836" w:rsidRPr="007B443D" w:rsidRDefault="00634236" w:rsidP="00EC0606">
      <w:pPr>
        <w:numPr>
          <w:ilvl w:val="0"/>
          <w:numId w:val="8"/>
        </w:numPr>
        <w:tabs>
          <w:tab w:val="clear" w:pos="1080"/>
        </w:tabs>
        <w:spacing w:after="240"/>
        <w:rPr>
          <w:bCs/>
          <w:lang w:val="en-AU"/>
        </w:rPr>
      </w:pPr>
      <w:r w:rsidRPr="007B443D">
        <w:rPr>
          <w:bCs/>
          <w:lang w:val="en-AU"/>
        </w:rPr>
        <w:t>Submitted the plan to the Provider, and had the business plan assessed</w:t>
      </w:r>
      <w:r w:rsidR="00C84B1D">
        <w:rPr>
          <w:bCs/>
          <w:lang w:val="en-AU"/>
        </w:rPr>
        <w:t xml:space="preserve"> and approved</w:t>
      </w:r>
      <w:r w:rsidRPr="007B443D">
        <w:rPr>
          <w:bCs/>
          <w:lang w:val="en-AU"/>
        </w:rPr>
        <w:t>, according to the process set out by the Provider</w:t>
      </w:r>
    </w:p>
    <w:p w:rsidR="00634236" w:rsidRPr="007B443D" w:rsidRDefault="00634236" w:rsidP="00EC0606">
      <w:pPr>
        <w:numPr>
          <w:ilvl w:val="0"/>
          <w:numId w:val="31"/>
        </w:numPr>
        <w:tabs>
          <w:tab w:val="clear" w:pos="720"/>
        </w:tabs>
        <w:spacing w:after="240"/>
        <w:ind w:left="1080"/>
        <w:rPr>
          <w:bCs/>
          <w:lang w:val="en-AU"/>
        </w:rPr>
      </w:pPr>
      <w:r w:rsidRPr="007B443D">
        <w:rPr>
          <w:bCs/>
          <w:lang w:val="en-AU"/>
        </w:rPr>
        <w:t xml:space="preserve">Terminated their claim to JSA/ESA/IS and </w:t>
      </w:r>
      <w:r w:rsidR="00452E84">
        <w:rPr>
          <w:bCs/>
          <w:lang w:val="en-AU"/>
        </w:rPr>
        <w:t xml:space="preserve">commenced </w:t>
      </w:r>
      <w:r w:rsidRPr="007B443D">
        <w:rPr>
          <w:bCs/>
          <w:lang w:val="en-AU"/>
        </w:rPr>
        <w:t>trading and or reported a change of circumstances</w:t>
      </w:r>
      <w:r w:rsidRPr="007B443D">
        <w:rPr>
          <w:rFonts w:cs="Arial"/>
          <w:bCs/>
        </w:rPr>
        <w:t xml:space="preserve"> to register a </w:t>
      </w:r>
      <w:r w:rsidR="00452E84">
        <w:rPr>
          <w:rFonts w:cs="Arial"/>
          <w:bCs/>
        </w:rPr>
        <w:t xml:space="preserve">start of </w:t>
      </w:r>
      <w:r w:rsidRPr="007B443D">
        <w:rPr>
          <w:rFonts w:cs="Arial"/>
          <w:bCs/>
        </w:rPr>
        <w:t>trading if they are claiming UC</w:t>
      </w:r>
    </w:p>
    <w:p w:rsidR="00DC2836" w:rsidRPr="007B443D" w:rsidRDefault="00634236" w:rsidP="00EC0606">
      <w:pPr>
        <w:numPr>
          <w:ilvl w:val="0"/>
          <w:numId w:val="8"/>
        </w:numPr>
        <w:tabs>
          <w:tab w:val="clear" w:pos="1080"/>
        </w:tabs>
        <w:spacing w:after="240"/>
        <w:rPr>
          <w:rFonts w:cs="Arial"/>
          <w:bCs/>
        </w:rPr>
      </w:pPr>
      <w:r w:rsidRPr="007B443D">
        <w:rPr>
          <w:bCs/>
          <w:lang w:val="en-AU"/>
        </w:rPr>
        <w:lastRenderedPageBreak/>
        <w:t xml:space="preserve">Applied to register their business at HMRC or has claimed the NEA </w:t>
      </w:r>
      <w:r w:rsidR="004C3437" w:rsidRPr="007B443D">
        <w:rPr>
          <w:rFonts w:cs="Arial"/>
          <w:lang w:eastAsia="en-GB"/>
        </w:rPr>
        <w:t xml:space="preserve">Phase 2 </w:t>
      </w:r>
      <w:r w:rsidRPr="007B443D">
        <w:rPr>
          <w:bCs/>
          <w:lang w:val="en-AU"/>
        </w:rPr>
        <w:t>weekly allowance</w:t>
      </w:r>
      <w:r w:rsidR="00DC2836" w:rsidRPr="007B443D">
        <w:rPr>
          <w:rFonts w:cs="Arial"/>
          <w:bCs/>
        </w:rPr>
        <w:t>.</w:t>
      </w:r>
    </w:p>
    <w:p w:rsidR="007F7FD8" w:rsidRPr="007B443D" w:rsidRDefault="007F7FD8" w:rsidP="007F7FD8">
      <w:pPr>
        <w:pStyle w:val="Heading2"/>
        <w:spacing w:after="240"/>
        <w:jc w:val="both"/>
        <w:rPr>
          <w:sz w:val="28"/>
          <w:szCs w:val="28"/>
        </w:rPr>
      </w:pPr>
      <w:r w:rsidRPr="007B443D">
        <w:rPr>
          <w:sz w:val="28"/>
          <w:szCs w:val="28"/>
        </w:rPr>
        <w:t xml:space="preserve">Completion of </w:t>
      </w:r>
      <w:r w:rsidR="00C36093">
        <w:rPr>
          <w:sz w:val="28"/>
          <w:szCs w:val="28"/>
        </w:rPr>
        <w:t>6 months / 26 weeks</w:t>
      </w:r>
      <w:r w:rsidRPr="007B443D">
        <w:rPr>
          <w:sz w:val="28"/>
          <w:szCs w:val="28"/>
        </w:rPr>
        <w:t xml:space="preserve"> Trading Outcome Fee </w:t>
      </w:r>
    </w:p>
    <w:p w:rsidR="007F7FD8" w:rsidRPr="007F7FD8" w:rsidRDefault="00AA5DF2" w:rsidP="00AA5DF2">
      <w:pPr>
        <w:spacing w:after="240"/>
        <w:ind w:left="720" w:hanging="720"/>
        <w:rPr>
          <w:rFonts w:cs="Arial"/>
          <w:bCs/>
          <w:sz w:val="12"/>
          <w:szCs w:val="12"/>
        </w:rPr>
      </w:pPr>
      <w:r>
        <w:rPr>
          <w:rFonts w:cs="Arial"/>
          <w:bCs/>
        </w:rPr>
        <w:t>A3.13</w:t>
      </w:r>
      <w:r>
        <w:rPr>
          <w:rFonts w:cs="Arial"/>
          <w:bCs/>
        </w:rPr>
        <w:tab/>
      </w:r>
      <w:r w:rsidR="007F7FD8" w:rsidRPr="007F7FD8">
        <w:rPr>
          <w:rFonts w:cs="Arial"/>
          <w:bCs/>
        </w:rPr>
        <w:t>Providers will be eligible to claim a</w:t>
      </w:r>
      <w:r w:rsidR="007F7FD8" w:rsidRPr="007F7FD8">
        <w:rPr>
          <w:rFonts w:cs="Arial"/>
        </w:rPr>
        <w:t xml:space="preserve"> Completion of </w:t>
      </w:r>
      <w:r w:rsidR="00C36093">
        <w:rPr>
          <w:rFonts w:cs="Arial"/>
        </w:rPr>
        <w:t>6 months / 26 weeks</w:t>
      </w:r>
      <w:r w:rsidR="007F7FD8" w:rsidRPr="007F7FD8">
        <w:rPr>
          <w:rFonts w:cs="Arial"/>
        </w:rPr>
        <w:t xml:space="preserve"> of trading fee </w:t>
      </w:r>
      <w:r w:rsidR="007F7FD8" w:rsidRPr="007F7FD8">
        <w:rPr>
          <w:rFonts w:cs="Arial"/>
          <w:bCs/>
        </w:rPr>
        <w:t>where a</w:t>
      </w:r>
      <w:r w:rsidR="007F7FD8" w:rsidRPr="007F7FD8">
        <w:rPr>
          <w:rFonts w:cs="Arial"/>
        </w:rPr>
        <w:t xml:space="preserve"> Participant has been in trading in a self- employed capacity for a cumulative period of </w:t>
      </w:r>
      <w:r w:rsidR="00C36093">
        <w:rPr>
          <w:rFonts w:cs="Arial"/>
        </w:rPr>
        <w:t>6 months / 26 weeks</w:t>
      </w:r>
      <w:r w:rsidR="007F7FD8" w:rsidRPr="007F7FD8">
        <w:rPr>
          <w:rFonts w:cs="Arial"/>
        </w:rPr>
        <w:t>, where periods of self- employment begin on or after the Start Date and within the 9</w:t>
      </w:r>
      <w:r w:rsidR="00C07D1C">
        <w:rPr>
          <w:rFonts w:cs="Arial"/>
        </w:rPr>
        <w:t>2</w:t>
      </w:r>
      <w:r w:rsidR="007F7FD8" w:rsidRPr="007F7FD8">
        <w:rPr>
          <w:rFonts w:cs="Arial"/>
        </w:rPr>
        <w:t xml:space="preserve"> week allotted time (or within the 2 week tracking period).</w:t>
      </w:r>
      <w:r w:rsidR="007F7FD8" w:rsidRPr="007F7FD8" w:rsidDel="00024993">
        <w:rPr>
          <w:rFonts w:cs="Arial"/>
        </w:rPr>
        <w:t xml:space="preserve"> </w:t>
      </w:r>
    </w:p>
    <w:p w:rsidR="004A6648" w:rsidRPr="004A6648" w:rsidRDefault="004A6648" w:rsidP="004A6648">
      <w:pPr>
        <w:spacing w:after="240"/>
        <w:rPr>
          <w:rFonts w:cs="Arial"/>
          <w:b/>
        </w:rPr>
      </w:pPr>
      <w:r w:rsidRPr="004A6648">
        <w:rPr>
          <w:b/>
        </w:rPr>
        <w:t>UC existing Self Employed</w:t>
      </w:r>
      <w:r w:rsidRPr="004A6648">
        <w:rPr>
          <w:rFonts w:cs="Arial"/>
          <w:b/>
        </w:rPr>
        <w:t xml:space="preserve"> </w:t>
      </w:r>
    </w:p>
    <w:p w:rsidR="004A6648" w:rsidRPr="0083377F" w:rsidRDefault="004A6648" w:rsidP="004A6648">
      <w:pPr>
        <w:spacing w:after="240"/>
        <w:rPr>
          <w:rFonts w:cs="Arial"/>
          <w:b/>
        </w:rPr>
      </w:pPr>
      <w:r w:rsidRPr="0083377F">
        <w:rPr>
          <w:rFonts w:cs="Arial"/>
          <w:b/>
        </w:rPr>
        <w:t>Programme Start / Initial Sift</w:t>
      </w:r>
      <w:r>
        <w:rPr>
          <w:rFonts w:cs="Arial"/>
          <w:b/>
        </w:rPr>
        <w:t xml:space="preserve"> fee:</w:t>
      </w:r>
    </w:p>
    <w:p w:rsidR="004A6648" w:rsidRPr="00966A75" w:rsidRDefault="00AA5DF2" w:rsidP="00AA5DF2">
      <w:pPr>
        <w:spacing w:after="240"/>
        <w:ind w:left="720" w:hanging="720"/>
        <w:rPr>
          <w:rFonts w:cs="Arial"/>
        </w:rPr>
      </w:pPr>
      <w:r>
        <w:rPr>
          <w:rFonts w:cs="Arial"/>
        </w:rPr>
        <w:t>A3.14</w:t>
      </w:r>
      <w:r>
        <w:rPr>
          <w:rFonts w:cs="Arial"/>
        </w:rPr>
        <w:tab/>
      </w:r>
      <w:r w:rsidR="004A6648" w:rsidRPr="00966A75">
        <w:rPr>
          <w:rFonts w:cs="Arial"/>
        </w:rPr>
        <w:t xml:space="preserve">Providers will be eligible to claim a </w:t>
      </w:r>
      <w:r w:rsidR="004A6648">
        <w:rPr>
          <w:rFonts w:cs="Arial"/>
        </w:rPr>
        <w:t xml:space="preserve">Programme Start / Initial sift fee </w:t>
      </w:r>
      <w:r w:rsidR="004A6648" w:rsidRPr="00966A75">
        <w:rPr>
          <w:rFonts w:cs="Arial"/>
        </w:rPr>
        <w:t>when the Participant has</w:t>
      </w:r>
      <w:r w:rsidR="004A6648">
        <w:rPr>
          <w:rFonts w:cs="Arial"/>
        </w:rPr>
        <w:t xml:space="preserve"> </w:t>
      </w:r>
      <w:r w:rsidR="004A6648" w:rsidRPr="00966A75">
        <w:t xml:space="preserve">participated in an </w:t>
      </w:r>
      <w:r w:rsidR="004A6648">
        <w:t>I</w:t>
      </w:r>
      <w:r w:rsidR="004A6648" w:rsidRPr="00966A75">
        <w:t xml:space="preserve">nitial </w:t>
      </w:r>
      <w:r w:rsidR="004A6648">
        <w:t>A</w:t>
      </w:r>
      <w:r w:rsidR="004A6648" w:rsidRPr="00966A75">
        <w:t>ssessment meeting and</w:t>
      </w:r>
      <w:r w:rsidR="004A6648" w:rsidRPr="00966A75">
        <w:rPr>
          <w:b/>
        </w:rPr>
        <w:t xml:space="preserve"> </w:t>
      </w:r>
      <w:r w:rsidR="004A6648" w:rsidRPr="00966A75">
        <w:rPr>
          <w:bCs/>
        </w:rPr>
        <w:t xml:space="preserve">have been accepted onto the NEA </w:t>
      </w:r>
      <w:r w:rsidR="004A6648">
        <w:rPr>
          <w:rFonts w:cs="Arial"/>
          <w:lang w:eastAsia="en-GB"/>
        </w:rPr>
        <w:t xml:space="preserve">Phase 2 </w:t>
      </w:r>
      <w:r w:rsidR="004A6648" w:rsidRPr="00966A75">
        <w:rPr>
          <w:bCs/>
        </w:rPr>
        <w:t>scheme by the Provider.</w:t>
      </w:r>
    </w:p>
    <w:p w:rsidR="004A6648" w:rsidRPr="0083377F" w:rsidRDefault="004A6648" w:rsidP="004A6648">
      <w:pPr>
        <w:spacing w:after="240"/>
        <w:rPr>
          <w:rFonts w:cs="Arial"/>
          <w:b/>
        </w:rPr>
      </w:pPr>
      <w:r w:rsidRPr="0083377F">
        <w:rPr>
          <w:rFonts w:cs="Arial"/>
          <w:b/>
        </w:rPr>
        <w:t xml:space="preserve">Mentoring / Business </w:t>
      </w:r>
      <w:r>
        <w:rPr>
          <w:rFonts w:cs="Arial"/>
          <w:b/>
        </w:rPr>
        <w:t xml:space="preserve">Development and Growth </w:t>
      </w:r>
      <w:r w:rsidRPr="0083377F">
        <w:rPr>
          <w:rFonts w:cs="Arial"/>
          <w:b/>
        </w:rPr>
        <w:t>Plan Assessment</w:t>
      </w:r>
      <w:r>
        <w:rPr>
          <w:rFonts w:cs="Arial"/>
          <w:b/>
        </w:rPr>
        <w:t xml:space="preserve"> fee</w:t>
      </w:r>
      <w:r w:rsidRPr="0083377F">
        <w:rPr>
          <w:rFonts w:cs="Arial"/>
          <w:b/>
        </w:rPr>
        <w:t>:</w:t>
      </w:r>
    </w:p>
    <w:p w:rsidR="004A6648" w:rsidRPr="00E410E6" w:rsidRDefault="00AA5DF2" w:rsidP="00AA5DF2">
      <w:pPr>
        <w:spacing w:after="240"/>
        <w:ind w:left="720" w:hanging="720"/>
        <w:rPr>
          <w:rFonts w:cs="Arial"/>
        </w:rPr>
      </w:pPr>
      <w:r>
        <w:rPr>
          <w:rFonts w:cs="Arial"/>
        </w:rPr>
        <w:t>A3.15</w:t>
      </w:r>
      <w:r>
        <w:rPr>
          <w:rFonts w:cs="Arial"/>
        </w:rPr>
        <w:tab/>
      </w:r>
      <w:r w:rsidR="004A6648">
        <w:rPr>
          <w:rFonts w:cs="Arial"/>
        </w:rPr>
        <w:t xml:space="preserve">For </w:t>
      </w:r>
      <w:r w:rsidR="004A6648" w:rsidRPr="00966A75">
        <w:rPr>
          <w:rFonts w:cs="Arial"/>
        </w:rPr>
        <w:t xml:space="preserve">Providers </w:t>
      </w:r>
      <w:r w:rsidR="004A6648">
        <w:rPr>
          <w:rFonts w:cs="Arial"/>
        </w:rPr>
        <w:t xml:space="preserve">to </w:t>
      </w:r>
      <w:r w:rsidR="004A6648" w:rsidRPr="00966A75">
        <w:rPr>
          <w:rFonts w:cs="Arial"/>
        </w:rPr>
        <w:t>be eligible to claim a</w:t>
      </w:r>
      <w:r w:rsidR="004A6648" w:rsidRPr="00003FA5">
        <w:rPr>
          <w:rFonts w:cs="Arial"/>
        </w:rPr>
        <w:t xml:space="preserve"> </w:t>
      </w:r>
      <w:r w:rsidR="004A6648">
        <w:rPr>
          <w:rFonts w:cs="Arial"/>
        </w:rPr>
        <w:t xml:space="preserve">Mentoring Business Plan Assessment </w:t>
      </w:r>
      <w:r w:rsidR="004A6648" w:rsidRPr="00E410E6">
        <w:rPr>
          <w:rFonts w:cs="Arial"/>
        </w:rPr>
        <w:t>Fee. Participants must have;</w:t>
      </w:r>
    </w:p>
    <w:p w:rsidR="004A6648" w:rsidRPr="00966A75" w:rsidRDefault="004A6648" w:rsidP="00EC0606">
      <w:pPr>
        <w:numPr>
          <w:ilvl w:val="0"/>
          <w:numId w:val="20"/>
        </w:numPr>
        <w:tabs>
          <w:tab w:val="clear" w:pos="720"/>
        </w:tabs>
        <w:ind w:left="1077" w:hanging="357"/>
        <w:rPr>
          <w:rFonts w:cs="Arial"/>
          <w:bCs/>
        </w:rPr>
      </w:pPr>
      <w:r w:rsidRPr="00966A75">
        <w:rPr>
          <w:rFonts w:cs="Arial"/>
          <w:bCs/>
        </w:rPr>
        <w:t xml:space="preserve">Attended the </w:t>
      </w:r>
      <w:r>
        <w:rPr>
          <w:rFonts w:cs="Arial"/>
          <w:bCs/>
        </w:rPr>
        <w:t>I</w:t>
      </w:r>
      <w:r w:rsidRPr="00966A75">
        <w:rPr>
          <w:rFonts w:cs="Arial"/>
          <w:bCs/>
        </w:rPr>
        <w:t xml:space="preserve">nitial </w:t>
      </w:r>
      <w:r>
        <w:rPr>
          <w:rFonts w:cs="Arial"/>
          <w:bCs/>
        </w:rPr>
        <w:t>A</w:t>
      </w:r>
      <w:r w:rsidRPr="00966A75">
        <w:rPr>
          <w:rFonts w:cs="Arial"/>
          <w:bCs/>
        </w:rPr>
        <w:t xml:space="preserve">ssessment meeting and been accepted onto the NEA </w:t>
      </w:r>
      <w:r>
        <w:rPr>
          <w:rFonts w:cs="Arial"/>
          <w:lang w:eastAsia="en-GB"/>
        </w:rPr>
        <w:t xml:space="preserve">Phase 2 </w:t>
      </w:r>
      <w:r w:rsidRPr="00966A75">
        <w:rPr>
          <w:rFonts w:cs="Arial"/>
          <w:bCs/>
        </w:rPr>
        <w:t>scheme by the Provider.</w:t>
      </w:r>
    </w:p>
    <w:p w:rsidR="004A6648" w:rsidRPr="00966A75" w:rsidRDefault="004A6648" w:rsidP="00EC0606">
      <w:pPr>
        <w:numPr>
          <w:ilvl w:val="0"/>
          <w:numId w:val="20"/>
        </w:numPr>
        <w:tabs>
          <w:tab w:val="clear" w:pos="720"/>
        </w:tabs>
        <w:spacing w:after="240"/>
        <w:ind w:left="1080"/>
        <w:rPr>
          <w:rFonts w:cs="Arial"/>
          <w:bCs/>
        </w:rPr>
      </w:pPr>
      <w:r w:rsidRPr="00966A75">
        <w:rPr>
          <w:rFonts w:cs="Arial"/>
          <w:bCs/>
        </w:rPr>
        <w:t xml:space="preserve">Undertaken the </w:t>
      </w:r>
      <w:r>
        <w:rPr>
          <w:rFonts w:cs="Arial"/>
          <w:bCs/>
        </w:rPr>
        <w:t>Mentoring Phase</w:t>
      </w:r>
      <w:r w:rsidRPr="00966A75">
        <w:rPr>
          <w:rFonts w:cs="Arial"/>
          <w:bCs/>
        </w:rPr>
        <w:t xml:space="preserve"> of the NEA </w:t>
      </w:r>
      <w:r>
        <w:rPr>
          <w:rFonts w:cs="Arial"/>
          <w:lang w:eastAsia="en-GB"/>
        </w:rPr>
        <w:t xml:space="preserve">Phase 2 </w:t>
      </w:r>
      <w:r w:rsidRPr="00966A75">
        <w:rPr>
          <w:rFonts w:cs="Arial"/>
          <w:bCs/>
        </w:rPr>
        <w:t xml:space="preserve">and worked with the Business Mentor or Advisor assigned by the Provider; prepared a </w:t>
      </w:r>
      <w:r>
        <w:rPr>
          <w:rFonts w:cs="Arial"/>
          <w:bCs/>
        </w:rPr>
        <w:t>B</w:t>
      </w:r>
      <w:r w:rsidRPr="00966A75">
        <w:rPr>
          <w:rFonts w:cs="Arial"/>
          <w:bCs/>
        </w:rPr>
        <w:t xml:space="preserve">usiness </w:t>
      </w:r>
      <w:r>
        <w:rPr>
          <w:rFonts w:cs="Arial"/>
          <w:bCs/>
        </w:rPr>
        <w:t>Development and Growth P</w:t>
      </w:r>
      <w:r w:rsidRPr="00966A75">
        <w:rPr>
          <w:rFonts w:cs="Arial"/>
          <w:bCs/>
        </w:rPr>
        <w:t>lan and had this assessed by the Provider.</w:t>
      </w:r>
    </w:p>
    <w:p w:rsidR="004A6648" w:rsidRPr="00005AB1" w:rsidRDefault="004A6648" w:rsidP="004A6648">
      <w:pPr>
        <w:spacing w:after="240"/>
        <w:rPr>
          <w:rFonts w:cs="Arial"/>
        </w:rPr>
      </w:pPr>
      <w:r w:rsidRPr="00005AB1">
        <w:rPr>
          <w:rFonts w:cs="Arial"/>
          <w:b/>
        </w:rPr>
        <w:t xml:space="preserve">Completion of </w:t>
      </w:r>
      <w:r>
        <w:rPr>
          <w:rFonts w:cs="Arial"/>
          <w:b/>
        </w:rPr>
        <w:t xml:space="preserve">0 - </w:t>
      </w:r>
      <w:r w:rsidR="00C36093">
        <w:rPr>
          <w:rFonts w:cs="Arial"/>
          <w:b/>
        </w:rPr>
        <w:t>6 months / 26 weeks</w:t>
      </w:r>
      <w:r>
        <w:rPr>
          <w:rFonts w:cs="Arial"/>
          <w:b/>
        </w:rPr>
        <w:t xml:space="preserve"> increased earnings fee</w:t>
      </w:r>
      <w:r w:rsidRPr="00005AB1">
        <w:rPr>
          <w:rFonts w:cs="Arial"/>
          <w:b/>
        </w:rPr>
        <w:t>:</w:t>
      </w:r>
    </w:p>
    <w:p w:rsidR="004A6648" w:rsidRDefault="00AA5DF2" w:rsidP="00AA5DF2">
      <w:pPr>
        <w:spacing w:after="240"/>
        <w:ind w:left="720" w:hanging="720"/>
        <w:rPr>
          <w:rFonts w:cs="Arial"/>
        </w:rPr>
      </w:pPr>
      <w:r>
        <w:rPr>
          <w:rFonts w:cs="Arial"/>
        </w:rPr>
        <w:t>A3.16</w:t>
      </w:r>
      <w:r>
        <w:rPr>
          <w:rFonts w:cs="Arial"/>
        </w:rPr>
        <w:tab/>
      </w:r>
      <w:r w:rsidR="004A6648" w:rsidRPr="007113B0">
        <w:rPr>
          <w:rFonts w:cs="Arial"/>
        </w:rPr>
        <w:t xml:space="preserve">Providers will be eligible to claim a Completion of </w:t>
      </w:r>
      <w:r w:rsidR="00C36093">
        <w:rPr>
          <w:rFonts w:cs="Arial"/>
        </w:rPr>
        <w:t>6 months / 26 weeks</w:t>
      </w:r>
      <w:r w:rsidR="004A6648" w:rsidRPr="007113B0">
        <w:rPr>
          <w:rFonts w:cs="Arial"/>
        </w:rPr>
        <w:t xml:space="preserve"> of </w:t>
      </w:r>
      <w:r w:rsidR="004A6648">
        <w:rPr>
          <w:rFonts w:cs="Arial"/>
        </w:rPr>
        <w:t xml:space="preserve">increased earnings </w:t>
      </w:r>
      <w:r w:rsidR="004A6648" w:rsidRPr="007113B0">
        <w:rPr>
          <w:rFonts w:cs="Arial"/>
        </w:rPr>
        <w:t xml:space="preserve">fee where a UC claimant with an existing business has </w:t>
      </w:r>
      <w:r w:rsidR="004A6648">
        <w:rPr>
          <w:rFonts w:cs="Arial"/>
        </w:rPr>
        <w:t xml:space="preserve">achieved an increase in earnings to the average of </w:t>
      </w:r>
      <w:r w:rsidR="004A6648" w:rsidRPr="007113B0">
        <w:rPr>
          <w:rFonts w:cs="Arial"/>
        </w:rPr>
        <w:t xml:space="preserve">at least their Minimum Income Floor level </w:t>
      </w:r>
      <w:r w:rsidR="004A6648">
        <w:rPr>
          <w:rFonts w:cs="Arial"/>
        </w:rPr>
        <w:t xml:space="preserve">over the </w:t>
      </w:r>
      <w:r w:rsidR="00C36093">
        <w:rPr>
          <w:rFonts w:cs="Arial"/>
        </w:rPr>
        <w:t>6 months / 26 weeks</w:t>
      </w:r>
      <w:r w:rsidR="004A6648">
        <w:rPr>
          <w:rFonts w:cs="Arial"/>
        </w:rPr>
        <w:t xml:space="preserve"> </w:t>
      </w:r>
      <w:r w:rsidR="004A6648" w:rsidRPr="007113B0">
        <w:rPr>
          <w:rFonts w:cs="Arial"/>
        </w:rPr>
        <w:t xml:space="preserve">following the signoff of the Business </w:t>
      </w:r>
      <w:r w:rsidR="00194871" w:rsidRPr="007113B0">
        <w:rPr>
          <w:rFonts w:cs="Arial"/>
        </w:rPr>
        <w:t xml:space="preserve">Development </w:t>
      </w:r>
      <w:r w:rsidR="00194871">
        <w:rPr>
          <w:rFonts w:cs="Arial"/>
        </w:rPr>
        <w:t xml:space="preserve">and </w:t>
      </w:r>
      <w:r w:rsidR="004A6648" w:rsidRPr="007113B0">
        <w:rPr>
          <w:rFonts w:cs="Arial"/>
        </w:rPr>
        <w:t>Growth Plan</w:t>
      </w:r>
      <w:r w:rsidR="004A6648">
        <w:rPr>
          <w:rFonts w:cs="Arial"/>
        </w:rPr>
        <w:t>.</w:t>
      </w:r>
    </w:p>
    <w:p w:rsidR="004C2FAB" w:rsidRPr="004C2FAB" w:rsidRDefault="004C2FAB" w:rsidP="00690E9E">
      <w:pPr>
        <w:spacing w:after="240"/>
        <w:rPr>
          <w:b/>
        </w:rPr>
      </w:pPr>
      <w:r w:rsidRPr="004C2FAB">
        <w:rPr>
          <w:b/>
        </w:rPr>
        <w:t>Minimum Service Levels</w:t>
      </w:r>
    </w:p>
    <w:p w:rsidR="00383C91" w:rsidRPr="006C0DBB" w:rsidRDefault="00874E14" w:rsidP="00874E14">
      <w:pPr>
        <w:spacing w:after="240"/>
        <w:ind w:left="720" w:hanging="720"/>
        <w:rPr>
          <w:color w:val="FF0000"/>
          <w:sz w:val="28"/>
          <w:szCs w:val="28"/>
        </w:rPr>
      </w:pPr>
      <w:r w:rsidRPr="00874E14">
        <w:rPr>
          <w:rFonts w:cs="Arial"/>
        </w:rPr>
        <w:t xml:space="preserve">A3.17 </w:t>
      </w:r>
      <w:r w:rsidR="004C2FAB" w:rsidRPr="00874E14">
        <w:rPr>
          <w:rFonts w:cs="Arial"/>
        </w:rPr>
        <w:t xml:space="preserve">Minimum Service Levels are defined in the Terms &amp; Conditions and means the set of </w:t>
      </w:r>
      <w:r w:rsidRPr="00874E14">
        <w:rPr>
          <w:rFonts w:cs="Arial"/>
        </w:rPr>
        <w:t xml:space="preserve">  </w:t>
      </w:r>
      <w:r w:rsidR="004C2FAB" w:rsidRPr="00874E14">
        <w:rPr>
          <w:rFonts w:cs="Arial"/>
        </w:rPr>
        <w:t xml:space="preserve">service levels to which the Services must be provided as set out in Appendix A to Schedule </w:t>
      </w:r>
      <w:r w:rsidR="00611D10">
        <w:rPr>
          <w:rFonts w:cs="Arial"/>
        </w:rPr>
        <w:t>3</w:t>
      </w:r>
      <w:r w:rsidR="004C2FAB" w:rsidRPr="00874E14">
        <w:rPr>
          <w:rFonts w:cs="Arial"/>
        </w:rPr>
        <w:t xml:space="preserve"> and any other service levels as notified by the Authority to the Contractor from time to time</w:t>
      </w:r>
      <w:r w:rsidR="0085435E" w:rsidRPr="006C0DBB">
        <w:rPr>
          <w:color w:val="FF0000"/>
        </w:rPr>
        <w:br w:type="page"/>
      </w:r>
    </w:p>
    <w:p w:rsidR="00603F64" w:rsidRPr="002E0375" w:rsidRDefault="0094063D" w:rsidP="00690E9E">
      <w:pPr>
        <w:pStyle w:val="Heading2"/>
        <w:spacing w:after="240"/>
        <w:jc w:val="right"/>
      </w:pPr>
      <w:bookmarkStart w:id="17" w:name="_Tracking_Period"/>
      <w:bookmarkStart w:id="18" w:name="_Job_Outcome_Fee"/>
      <w:bookmarkStart w:id="19" w:name="_Job_Outcome_periods"/>
      <w:bookmarkEnd w:id="17"/>
      <w:bookmarkEnd w:id="18"/>
      <w:bookmarkEnd w:id="19"/>
      <w:r w:rsidRPr="002E0375">
        <w:rPr>
          <w:sz w:val="28"/>
          <w:szCs w:val="28"/>
        </w:rPr>
        <w:lastRenderedPageBreak/>
        <w:t xml:space="preserve"> </w:t>
      </w:r>
      <w:bookmarkStart w:id="20" w:name="_Job_Outcome_Eligibility"/>
      <w:bookmarkStart w:id="21" w:name="_Completion_Outcome_Eligibility"/>
      <w:bookmarkStart w:id="22" w:name="_Job_Outcome_Eligibility_1"/>
      <w:bookmarkEnd w:id="20"/>
      <w:bookmarkEnd w:id="21"/>
      <w:bookmarkEnd w:id="22"/>
      <w:r w:rsidR="00CC00EF" w:rsidRPr="002E0375">
        <w:t xml:space="preserve">Annex </w:t>
      </w:r>
      <w:r w:rsidR="001A7831">
        <w:t>4</w:t>
      </w:r>
    </w:p>
    <w:p w:rsidR="00933019" w:rsidRPr="002E0375" w:rsidRDefault="00574AFE" w:rsidP="00690E9E">
      <w:pPr>
        <w:pStyle w:val="Heading1"/>
        <w:tabs>
          <w:tab w:val="clear" w:pos="432"/>
        </w:tabs>
        <w:spacing w:after="240"/>
        <w:rPr>
          <w:sz w:val="28"/>
          <w:szCs w:val="28"/>
          <w:u w:val="single"/>
        </w:rPr>
      </w:pPr>
      <w:bookmarkStart w:id="23" w:name="_SERVICE_DELIVERY_STANDARDS"/>
      <w:bookmarkEnd w:id="23"/>
      <w:r>
        <w:rPr>
          <w:sz w:val="28"/>
          <w:szCs w:val="28"/>
          <w:u w:val="single"/>
        </w:rPr>
        <w:t xml:space="preserve">CUSTOMER </w:t>
      </w:r>
      <w:r w:rsidR="00933019" w:rsidRPr="002E0375">
        <w:rPr>
          <w:sz w:val="28"/>
          <w:szCs w:val="28"/>
          <w:u w:val="single"/>
        </w:rPr>
        <w:t>SERVICE DELIVERY STANDARDS</w:t>
      </w:r>
      <w:r w:rsidR="002D16C2" w:rsidRPr="002E0375">
        <w:rPr>
          <w:sz w:val="28"/>
          <w:szCs w:val="28"/>
          <w:u w:val="single"/>
        </w:rPr>
        <w:t xml:space="preserve"> </w:t>
      </w:r>
    </w:p>
    <w:p w:rsidR="00574AFE" w:rsidRPr="00574AFE" w:rsidRDefault="00574AFE" w:rsidP="00574AFE">
      <w:pPr>
        <w:spacing w:after="200" w:line="276" w:lineRule="auto"/>
        <w:rPr>
          <w:rFonts w:eastAsiaTheme="minorHAnsi" w:cstheme="minorBidi"/>
          <w:b/>
        </w:rPr>
      </w:pPr>
      <w:r w:rsidRPr="00574AFE">
        <w:rPr>
          <w:rFonts w:eastAsiaTheme="minorHAnsi" w:cstheme="minorBidi"/>
          <w:b/>
        </w:rPr>
        <w:t>Ne</w:t>
      </w:r>
      <w:r>
        <w:rPr>
          <w:rFonts w:eastAsiaTheme="minorHAnsi" w:cstheme="minorBidi"/>
          <w:b/>
        </w:rPr>
        <w:t>w Business Starts</w:t>
      </w:r>
    </w:p>
    <w:p w:rsidR="00A956B3" w:rsidRDefault="001044C5" w:rsidP="00795C67">
      <w:pPr>
        <w:spacing w:after="200" w:line="276" w:lineRule="auto"/>
        <w:ind w:left="709" w:hanging="709"/>
        <w:contextualSpacing/>
        <w:rPr>
          <w:rFonts w:eastAsiaTheme="minorHAnsi" w:cstheme="minorBidi"/>
        </w:rPr>
      </w:pPr>
      <w:r>
        <w:rPr>
          <w:rFonts w:eastAsiaTheme="minorHAnsi" w:cstheme="minorBidi"/>
        </w:rPr>
        <w:t>A4.1</w:t>
      </w:r>
      <w:r>
        <w:rPr>
          <w:rFonts w:eastAsiaTheme="minorHAnsi" w:cstheme="minorBidi"/>
        </w:rPr>
        <w:tab/>
      </w:r>
      <w:r w:rsidR="00A956B3" w:rsidRPr="002F0A04">
        <w:rPr>
          <w:rFonts w:eastAsiaTheme="minorHAnsi" w:cstheme="minorBidi"/>
        </w:rPr>
        <w:t xml:space="preserve">Link-up: Start Up workshops must be held at appropriate delivery locations and at a frequency to be agreed with JCP districts. </w:t>
      </w:r>
    </w:p>
    <w:p w:rsidR="002F0A04" w:rsidRPr="002F0A04" w:rsidRDefault="002F0A04" w:rsidP="002F0A04">
      <w:pPr>
        <w:spacing w:after="200" w:line="276" w:lineRule="auto"/>
        <w:ind w:left="720"/>
        <w:contextualSpacing/>
        <w:rPr>
          <w:rFonts w:eastAsiaTheme="minorHAnsi" w:cstheme="minorBidi"/>
        </w:rPr>
      </w:pPr>
    </w:p>
    <w:p w:rsidR="00A956B3" w:rsidRDefault="001044C5" w:rsidP="00795C67">
      <w:pPr>
        <w:spacing w:after="200" w:line="276" w:lineRule="auto"/>
        <w:ind w:left="709" w:hanging="709"/>
        <w:contextualSpacing/>
        <w:rPr>
          <w:rFonts w:eastAsiaTheme="minorHAnsi" w:cstheme="minorBidi"/>
        </w:rPr>
      </w:pPr>
      <w:r>
        <w:rPr>
          <w:rFonts w:eastAsiaTheme="minorHAnsi" w:cstheme="minorBidi"/>
        </w:rPr>
        <w:t>A4.2</w:t>
      </w:r>
      <w:r>
        <w:rPr>
          <w:rFonts w:eastAsiaTheme="minorHAnsi" w:cstheme="minorBidi"/>
        </w:rPr>
        <w:tab/>
      </w:r>
      <w:r w:rsidR="00A956B3" w:rsidRPr="002F0A04">
        <w:rPr>
          <w:rFonts w:eastAsiaTheme="minorHAnsi" w:cstheme="minorBidi"/>
        </w:rPr>
        <w:t xml:space="preserve">100% of referrals to Link-up : Start-up will start, DNA or DNS within 15 working days of referral and this activity will be recorded in </w:t>
      </w:r>
      <w:proofErr w:type="spellStart"/>
      <w:r w:rsidR="00A956B3" w:rsidRPr="002F0A04">
        <w:rPr>
          <w:rFonts w:eastAsiaTheme="minorHAnsi" w:cstheme="minorBidi"/>
        </w:rPr>
        <w:t>PRaP</w:t>
      </w:r>
      <w:proofErr w:type="spellEnd"/>
      <w:r w:rsidR="00A956B3" w:rsidRPr="002F0A04">
        <w:rPr>
          <w:rFonts w:eastAsiaTheme="minorHAnsi" w:cstheme="minorBidi"/>
        </w:rPr>
        <w:t xml:space="preserve"> within 20 working days of referral.</w:t>
      </w:r>
    </w:p>
    <w:p w:rsidR="00A956B3" w:rsidRDefault="00A956B3" w:rsidP="00795C67">
      <w:pPr>
        <w:spacing w:after="200" w:line="276" w:lineRule="auto"/>
        <w:ind w:left="709" w:hanging="709"/>
        <w:contextualSpacing/>
        <w:rPr>
          <w:rFonts w:eastAsiaTheme="minorHAnsi" w:cstheme="minorBidi"/>
        </w:rPr>
      </w:pPr>
    </w:p>
    <w:p w:rsidR="002F0A04" w:rsidRPr="005F0353" w:rsidRDefault="001044C5" w:rsidP="00795C67">
      <w:pPr>
        <w:spacing w:after="200" w:line="276" w:lineRule="auto"/>
        <w:ind w:left="709" w:hanging="709"/>
        <w:contextualSpacing/>
        <w:rPr>
          <w:rFonts w:eastAsiaTheme="minorHAnsi" w:cstheme="minorBidi"/>
        </w:rPr>
      </w:pPr>
      <w:r>
        <w:rPr>
          <w:rFonts w:eastAsiaTheme="minorHAnsi" w:cstheme="minorBidi"/>
        </w:rPr>
        <w:t>A4.3</w:t>
      </w:r>
      <w:r>
        <w:rPr>
          <w:rFonts w:eastAsiaTheme="minorHAnsi" w:cstheme="minorBidi"/>
        </w:rPr>
        <w:tab/>
      </w:r>
      <w:r w:rsidR="00A956B3" w:rsidRPr="005F0353">
        <w:rPr>
          <w:rFonts w:eastAsiaTheme="minorHAnsi" w:cstheme="minorBidi"/>
        </w:rPr>
        <w:t xml:space="preserve">100% of referrals to </w:t>
      </w:r>
      <w:r w:rsidR="000647D9" w:rsidRPr="005F0353">
        <w:rPr>
          <w:rFonts w:eastAsiaTheme="minorHAnsi" w:cstheme="minorBidi"/>
        </w:rPr>
        <w:t>NEA Start / Initial Assessment will start, DNA or DNS wi</w:t>
      </w:r>
      <w:r w:rsidR="00A956B3" w:rsidRPr="005F0353">
        <w:rPr>
          <w:rFonts w:cs="Arial"/>
        </w:rPr>
        <w:t>thin 10 Working Days of referral</w:t>
      </w:r>
      <w:r w:rsidR="000647D9" w:rsidRPr="005F0353">
        <w:rPr>
          <w:rFonts w:cs="Arial"/>
        </w:rPr>
        <w:t xml:space="preserve"> </w:t>
      </w:r>
      <w:r w:rsidR="000647D9" w:rsidRPr="005F0353">
        <w:rPr>
          <w:rFonts w:eastAsiaTheme="minorHAnsi" w:cstheme="minorBidi"/>
        </w:rPr>
        <w:t xml:space="preserve">and this activity will be recorded in </w:t>
      </w:r>
      <w:proofErr w:type="spellStart"/>
      <w:r w:rsidR="000647D9" w:rsidRPr="005F0353">
        <w:rPr>
          <w:rFonts w:eastAsiaTheme="minorHAnsi" w:cstheme="minorBidi"/>
        </w:rPr>
        <w:t>PRaP</w:t>
      </w:r>
      <w:proofErr w:type="spellEnd"/>
      <w:r w:rsidR="000647D9" w:rsidRPr="005F0353">
        <w:rPr>
          <w:rFonts w:eastAsiaTheme="minorHAnsi" w:cstheme="minorBidi"/>
        </w:rPr>
        <w:t xml:space="preserve"> within 15 working days of referral.</w:t>
      </w:r>
    </w:p>
    <w:p w:rsidR="002F0A04" w:rsidRPr="002F0A04" w:rsidRDefault="002F0A04" w:rsidP="002F0A04">
      <w:pPr>
        <w:spacing w:after="200" w:line="276" w:lineRule="auto"/>
        <w:ind w:left="720"/>
        <w:contextualSpacing/>
        <w:rPr>
          <w:rFonts w:eastAsiaTheme="minorHAnsi" w:cstheme="minorBidi"/>
        </w:rPr>
      </w:pPr>
    </w:p>
    <w:p w:rsidR="002F0A04" w:rsidRDefault="001044C5" w:rsidP="00795C67">
      <w:pPr>
        <w:spacing w:after="200" w:line="276" w:lineRule="auto"/>
        <w:ind w:left="709" w:hanging="709"/>
        <w:contextualSpacing/>
        <w:rPr>
          <w:rFonts w:eastAsiaTheme="minorHAnsi" w:cstheme="minorBidi"/>
        </w:rPr>
      </w:pPr>
      <w:r>
        <w:rPr>
          <w:rFonts w:eastAsiaTheme="minorHAnsi" w:cstheme="minorBidi"/>
        </w:rPr>
        <w:t>A4.4</w:t>
      </w:r>
      <w:r>
        <w:rPr>
          <w:rFonts w:eastAsiaTheme="minorHAnsi" w:cstheme="minorBidi"/>
        </w:rPr>
        <w:tab/>
      </w:r>
      <w:r w:rsidR="00A956B3" w:rsidRPr="002F0A04">
        <w:rPr>
          <w:rFonts w:eastAsiaTheme="minorHAnsi" w:cs="Arial"/>
        </w:rPr>
        <w:t>During the 12-week Pre-Start Up period, participants must receive a minimum of 3 one-to-one mentor meetings (in addition to the Initial Assessment).  The first mentor meeting must be face-to-face between the Mentor and the Participant (in exceptional circumstances, the first mentoring meeting may be conducted via other appropriate means (other than face-to-face) in accordance with DWP data-security standards/guidance.)</w:t>
      </w:r>
    </w:p>
    <w:p w:rsidR="00EB5DD5" w:rsidRDefault="00EB5DD5" w:rsidP="00795C67">
      <w:pPr>
        <w:spacing w:after="200" w:line="276" w:lineRule="auto"/>
        <w:ind w:left="709" w:hanging="709"/>
        <w:contextualSpacing/>
        <w:rPr>
          <w:rFonts w:eastAsiaTheme="minorHAnsi" w:cstheme="minorBidi"/>
        </w:rPr>
      </w:pPr>
    </w:p>
    <w:p w:rsidR="00A956B3" w:rsidRPr="002F0A04" w:rsidRDefault="001044C5" w:rsidP="00A956B3">
      <w:pPr>
        <w:spacing w:after="200" w:line="276" w:lineRule="auto"/>
        <w:ind w:left="720" w:hanging="720"/>
        <w:contextualSpacing/>
        <w:rPr>
          <w:rFonts w:eastAsiaTheme="minorHAnsi" w:cstheme="minorBidi"/>
        </w:rPr>
      </w:pPr>
      <w:r>
        <w:rPr>
          <w:rFonts w:eastAsiaTheme="minorHAnsi" w:cs="Arial"/>
        </w:rPr>
        <w:t>A4.5</w:t>
      </w:r>
      <w:r>
        <w:rPr>
          <w:rFonts w:eastAsiaTheme="minorHAnsi" w:cs="Arial"/>
        </w:rPr>
        <w:tab/>
      </w:r>
      <w:r w:rsidR="00A956B3" w:rsidRPr="002F0A04">
        <w:rPr>
          <w:rFonts w:eastAsiaTheme="minorHAnsi" w:cstheme="minorBidi"/>
        </w:rPr>
        <w:t>Where participants choose to utilise the 13 week Business Development Phase, participants must be offered at least one point of contact with a mentor.</w:t>
      </w:r>
    </w:p>
    <w:p w:rsidR="00A956B3" w:rsidRPr="002F0A04" w:rsidRDefault="00A956B3" w:rsidP="00A956B3">
      <w:pPr>
        <w:spacing w:after="200" w:line="276" w:lineRule="auto"/>
        <w:ind w:left="720"/>
        <w:contextualSpacing/>
        <w:rPr>
          <w:rFonts w:eastAsiaTheme="minorHAnsi" w:cstheme="minorBidi"/>
        </w:rPr>
      </w:pPr>
    </w:p>
    <w:p w:rsidR="00A956B3" w:rsidRDefault="001044C5" w:rsidP="00A956B3">
      <w:pPr>
        <w:spacing w:after="200" w:line="276" w:lineRule="auto"/>
        <w:ind w:left="709" w:hanging="709"/>
        <w:contextualSpacing/>
        <w:rPr>
          <w:rFonts w:eastAsiaTheme="minorHAnsi" w:cstheme="minorBidi"/>
        </w:rPr>
      </w:pPr>
      <w:r>
        <w:rPr>
          <w:rFonts w:eastAsiaTheme="minorHAnsi" w:cstheme="minorBidi"/>
        </w:rPr>
        <w:t>A4.6</w:t>
      </w:r>
      <w:r>
        <w:rPr>
          <w:rFonts w:eastAsiaTheme="minorHAnsi" w:cstheme="minorBidi"/>
        </w:rPr>
        <w:tab/>
      </w:r>
      <w:r w:rsidR="00A956B3" w:rsidRPr="002F0A04">
        <w:rPr>
          <w:rFonts w:eastAsiaTheme="minorHAnsi" w:cstheme="minorBidi"/>
        </w:rPr>
        <w:t>100% of business plans must be assessed (including viable and non-viable business plans) and outcome notified to participant within 12 weeks of NEA start-date (i.e. within 12-week Pre-Start Up period);</w:t>
      </w:r>
    </w:p>
    <w:p w:rsidR="00A956B3" w:rsidRDefault="00A956B3" w:rsidP="00A956B3">
      <w:pPr>
        <w:spacing w:after="200" w:line="276" w:lineRule="auto"/>
        <w:ind w:left="709" w:hanging="709"/>
        <w:contextualSpacing/>
        <w:rPr>
          <w:rFonts w:eastAsiaTheme="minorHAnsi" w:cstheme="minorBidi"/>
        </w:rPr>
      </w:pPr>
    </w:p>
    <w:p w:rsidR="00A956B3" w:rsidRDefault="00A956B3" w:rsidP="00A956B3">
      <w:pPr>
        <w:spacing w:after="200" w:line="276" w:lineRule="auto"/>
        <w:ind w:left="709"/>
        <w:contextualSpacing/>
        <w:rPr>
          <w:rFonts w:eastAsiaTheme="minorHAnsi" w:cstheme="minorBidi"/>
        </w:rPr>
      </w:pPr>
      <w:r w:rsidRPr="002F0A04">
        <w:rPr>
          <w:rFonts w:eastAsiaTheme="minorHAnsi" w:cstheme="minorBidi"/>
        </w:rPr>
        <w:t>100% of participants will have an approved/fully signed off business plan before starting trading</w:t>
      </w:r>
    </w:p>
    <w:p w:rsidR="002F0A04" w:rsidRPr="002F0A04" w:rsidRDefault="002F0A04" w:rsidP="00A956B3">
      <w:pPr>
        <w:spacing w:after="200" w:line="276" w:lineRule="auto"/>
        <w:ind w:left="720" w:hanging="720"/>
        <w:contextualSpacing/>
        <w:rPr>
          <w:rFonts w:eastAsiaTheme="minorHAnsi" w:cstheme="minorBidi"/>
        </w:rPr>
      </w:pPr>
    </w:p>
    <w:p w:rsidR="002F0A04" w:rsidRPr="002F0A04" w:rsidRDefault="001044C5" w:rsidP="00795C67">
      <w:pPr>
        <w:spacing w:after="200" w:line="276" w:lineRule="auto"/>
        <w:ind w:left="709" w:hanging="709"/>
        <w:contextualSpacing/>
        <w:rPr>
          <w:rFonts w:eastAsiaTheme="minorHAnsi" w:cstheme="minorBidi"/>
        </w:rPr>
      </w:pPr>
      <w:r>
        <w:rPr>
          <w:rFonts w:eastAsiaTheme="minorHAnsi" w:cstheme="minorBidi"/>
        </w:rPr>
        <w:t>A4.7</w:t>
      </w:r>
      <w:r>
        <w:rPr>
          <w:rFonts w:eastAsiaTheme="minorHAnsi" w:cstheme="minorBidi"/>
        </w:rPr>
        <w:tab/>
      </w:r>
      <w:r w:rsidR="002F0A04" w:rsidRPr="002F0A04">
        <w:rPr>
          <w:rFonts w:eastAsiaTheme="minorHAnsi" w:cstheme="minorBidi"/>
        </w:rPr>
        <w:t>During weeks 1 – 52 of trading period, participants must be offered a minimum of 4 interventions (on a one-to-one basis) with a Business Mentor to review progress/discuss any help needed to sustain/expand the business and to review/update the business plan as appropriate (*where distance or length of time of travel is a factor, these meetings may be conducted via any appropriate means in accordance with DWP data-security standards).</w:t>
      </w:r>
    </w:p>
    <w:p w:rsidR="002F0A04" w:rsidRPr="002F0A04" w:rsidRDefault="002F0A04" w:rsidP="002F0A04">
      <w:pPr>
        <w:spacing w:after="200" w:line="276" w:lineRule="auto"/>
        <w:ind w:left="720"/>
        <w:contextualSpacing/>
        <w:rPr>
          <w:rFonts w:eastAsiaTheme="minorHAnsi" w:cstheme="minorBidi"/>
        </w:rPr>
      </w:pPr>
    </w:p>
    <w:p w:rsidR="002F0A04" w:rsidRPr="002F0A04" w:rsidRDefault="00795C67" w:rsidP="00795C67">
      <w:pPr>
        <w:spacing w:after="200" w:line="276" w:lineRule="auto"/>
        <w:ind w:left="720" w:hanging="720"/>
        <w:contextualSpacing/>
        <w:rPr>
          <w:rFonts w:eastAsiaTheme="minorHAnsi" w:cstheme="minorBidi"/>
        </w:rPr>
      </w:pPr>
      <w:r>
        <w:rPr>
          <w:rFonts w:eastAsiaTheme="minorHAnsi" w:cstheme="minorBidi"/>
        </w:rPr>
        <w:t>A4.8</w:t>
      </w:r>
      <w:r>
        <w:rPr>
          <w:rFonts w:eastAsiaTheme="minorHAnsi" w:cstheme="minorBidi"/>
        </w:rPr>
        <w:tab/>
      </w:r>
      <w:r w:rsidR="002F0A04" w:rsidRPr="002F0A04">
        <w:rPr>
          <w:rFonts w:eastAsiaTheme="minorHAnsi" w:cstheme="minorBidi"/>
        </w:rPr>
        <w:t>Providers must send ‘NEA1 to appropriate DWP/JCP contact within 2 working days of a change of circumstances in accordance with DWP security requirements, including:</w:t>
      </w:r>
    </w:p>
    <w:p w:rsidR="002F0A04" w:rsidRPr="002F0A04" w:rsidRDefault="002F0A04" w:rsidP="002F0A04">
      <w:pPr>
        <w:spacing w:after="200" w:line="276" w:lineRule="auto"/>
        <w:ind w:left="720"/>
        <w:contextualSpacing/>
        <w:rPr>
          <w:rFonts w:eastAsiaTheme="minorHAnsi" w:cstheme="minorBidi"/>
        </w:rPr>
      </w:pPr>
    </w:p>
    <w:p w:rsidR="002F0A04" w:rsidRPr="002F0A04" w:rsidRDefault="002F0A04" w:rsidP="002F0A04">
      <w:pPr>
        <w:numPr>
          <w:ilvl w:val="0"/>
          <w:numId w:val="71"/>
        </w:numPr>
        <w:spacing w:after="200" w:line="276" w:lineRule="auto"/>
        <w:contextualSpacing/>
        <w:rPr>
          <w:rFonts w:eastAsiaTheme="minorHAnsi" w:cstheme="minorBidi"/>
        </w:rPr>
      </w:pPr>
      <w:r w:rsidRPr="002F0A04">
        <w:rPr>
          <w:rFonts w:eastAsiaTheme="minorHAnsi" w:cstheme="minorBidi"/>
        </w:rPr>
        <w:t>Report on the outcome of the Initial Assessment;</w:t>
      </w:r>
    </w:p>
    <w:p w:rsidR="002F0A04" w:rsidRPr="002F0A04" w:rsidRDefault="002F0A04" w:rsidP="002F0A04">
      <w:pPr>
        <w:numPr>
          <w:ilvl w:val="0"/>
          <w:numId w:val="71"/>
        </w:numPr>
        <w:spacing w:after="200" w:line="276" w:lineRule="auto"/>
        <w:contextualSpacing/>
        <w:rPr>
          <w:rFonts w:eastAsiaTheme="minorHAnsi" w:cstheme="minorBidi"/>
        </w:rPr>
      </w:pPr>
      <w:r w:rsidRPr="002F0A04">
        <w:rPr>
          <w:rFonts w:eastAsiaTheme="minorHAnsi" w:cstheme="minorBidi"/>
        </w:rPr>
        <w:t>Confirm date the Business Plan was approved (required to progress claim for NEA Allowance Payments);</w:t>
      </w:r>
    </w:p>
    <w:p w:rsidR="00993D4A" w:rsidRDefault="002F0A04" w:rsidP="00993D4A">
      <w:pPr>
        <w:numPr>
          <w:ilvl w:val="0"/>
          <w:numId w:val="71"/>
        </w:numPr>
        <w:spacing w:after="200" w:line="276" w:lineRule="auto"/>
        <w:contextualSpacing/>
        <w:rPr>
          <w:rFonts w:eastAsiaTheme="minorHAnsi" w:cstheme="minorBidi"/>
        </w:rPr>
      </w:pPr>
      <w:r w:rsidRPr="002F0A04">
        <w:rPr>
          <w:rFonts w:eastAsiaTheme="minorHAnsi" w:cstheme="minorBidi"/>
        </w:rPr>
        <w:t>Report when the participant’s engagement on NEA ends</w:t>
      </w:r>
      <w:r w:rsidR="00194871">
        <w:rPr>
          <w:rFonts w:eastAsiaTheme="minorHAnsi" w:cstheme="minorBidi"/>
        </w:rPr>
        <w:t>; and</w:t>
      </w:r>
    </w:p>
    <w:p w:rsidR="002F0A04" w:rsidRPr="00993D4A" w:rsidRDefault="002F0A04" w:rsidP="00993D4A">
      <w:pPr>
        <w:numPr>
          <w:ilvl w:val="0"/>
          <w:numId w:val="71"/>
        </w:numPr>
        <w:spacing w:after="200" w:line="276" w:lineRule="auto"/>
        <w:contextualSpacing/>
        <w:rPr>
          <w:rFonts w:eastAsiaTheme="minorHAnsi" w:cstheme="minorBidi"/>
        </w:rPr>
      </w:pPr>
      <w:r w:rsidRPr="00993D4A">
        <w:rPr>
          <w:rFonts w:eastAsiaTheme="minorHAnsi" w:cstheme="minorBidi"/>
        </w:rPr>
        <w:t>Any other Customer Service Standards detailed in the provider’s tender.</w:t>
      </w:r>
    </w:p>
    <w:p w:rsidR="00795C67" w:rsidRPr="002F0A04" w:rsidRDefault="00795C67" w:rsidP="00795C67">
      <w:pPr>
        <w:spacing w:after="200" w:line="276" w:lineRule="auto"/>
        <w:ind w:left="720"/>
        <w:contextualSpacing/>
        <w:rPr>
          <w:rFonts w:eastAsiaTheme="minorHAnsi" w:cstheme="minorBidi"/>
        </w:rPr>
      </w:pPr>
    </w:p>
    <w:p w:rsidR="002F0A04" w:rsidRPr="002F0A04" w:rsidRDefault="002F0A04" w:rsidP="002F0A04">
      <w:pPr>
        <w:spacing w:after="200" w:line="276" w:lineRule="auto"/>
        <w:rPr>
          <w:rFonts w:eastAsiaTheme="minorHAnsi" w:cstheme="minorBidi"/>
          <w:b/>
        </w:rPr>
      </w:pPr>
      <w:r w:rsidRPr="002F0A04">
        <w:rPr>
          <w:rFonts w:eastAsiaTheme="minorHAnsi" w:cstheme="minorBidi"/>
          <w:b/>
        </w:rPr>
        <w:t>Customer Service Standards (Universal Credit – Existing Self-employed with Earnings below Minimum Income Floor (MIF))</w:t>
      </w:r>
    </w:p>
    <w:p w:rsidR="002F0A04" w:rsidRPr="002F0A04" w:rsidRDefault="00993D4A" w:rsidP="00795C67">
      <w:pPr>
        <w:autoSpaceDE w:val="0"/>
        <w:autoSpaceDN w:val="0"/>
        <w:adjustRightInd w:val="0"/>
        <w:spacing w:after="240" w:line="276" w:lineRule="auto"/>
        <w:ind w:left="720" w:hanging="720"/>
        <w:outlineLvl w:val="0"/>
        <w:rPr>
          <w:rFonts w:eastAsiaTheme="minorHAnsi" w:cs="Arial"/>
          <w:color w:val="000000"/>
        </w:rPr>
      </w:pPr>
      <w:r>
        <w:rPr>
          <w:rFonts w:eastAsiaTheme="minorHAnsi" w:cs="Arial"/>
        </w:rPr>
        <w:t>A4.9</w:t>
      </w:r>
      <w:r w:rsidR="00795C67">
        <w:rPr>
          <w:rFonts w:eastAsiaTheme="minorHAnsi" w:cs="Arial"/>
        </w:rPr>
        <w:tab/>
      </w:r>
      <w:r w:rsidR="002F0A04" w:rsidRPr="002F0A04">
        <w:rPr>
          <w:rFonts w:eastAsiaTheme="minorHAnsi" w:cs="Arial"/>
        </w:rPr>
        <w:t>During the 12-week Pre-Start Up period, participants must receive a minimum of 3 one-to-one mentor meetings (in addition to the Initial Assessment).  The first mentor meeting must be face-to-face between the Mentor and the Participant (in exceptional circumstances, the first mentoring meeting may be conducted via other appropriate means (other than face-to-face) in accordance with DWP data-security standards/guidance.)</w:t>
      </w:r>
    </w:p>
    <w:p w:rsidR="002F0A04" w:rsidRPr="002F0A04" w:rsidRDefault="00993D4A" w:rsidP="00795C67">
      <w:pPr>
        <w:spacing w:after="200" w:line="276" w:lineRule="auto"/>
        <w:ind w:left="720" w:hanging="720"/>
        <w:contextualSpacing/>
        <w:rPr>
          <w:rFonts w:eastAsiaTheme="minorHAnsi" w:cstheme="minorBidi"/>
        </w:rPr>
      </w:pPr>
      <w:r>
        <w:rPr>
          <w:rFonts w:eastAsiaTheme="minorHAnsi" w:cstheme="minorBidi"/>
        </w:rPr>
        <w:t>A4.10</w:t>
      </w:r>
      <w:r w:rsidR="00795C67">
        <w:rPr>
          <w:rFonts w:eastAsiaTheme="minorHAnsi" w:cstheme="minorBidi"/>
        </w:rPr>
        <w:t xml:space="preserve"> </w:t>
      </w:r>
      <w:r w:rsidR="002F0A04" w:rsidRPr="002F0A04">
        <w:rPr>
          <w:rFonts w:eastAsiaTheme="minorHAnsi" w:cstheme="minorBidi"/>
        </w:rPr>
        <w:t>100% of business growth development plans must be assessed and outcome notified to participant within 12 weeks of NEA start-date;</w:t>
      </w:r>
    </w:p>
    <w:p w:rsidR="002F0A04" w:rsidRPr="002F0A04" w:rsidRDefault="002F0A04" w:rsidP="002F0A04">
      <w:pPr>
        <w:spacing w:after="200" w:line="276" w:lineRule="auto"/>
        <w:ind w:left="720"/>
        <w:contextualSpacing/>
        <w:rPr>
          <w:rFonts w:eastAsiaTheme="minorHAnsi" w:cstheme="minorBidi"/>
        </w:rPr>
      </w:pPr>
    </w:p>
    <w:p w:rsidR="002F0A04" w:rsidRPr="002F0A04" w:rsidRDefault="00993D4A" w:rsidP="00795C67">
      <w:pPr>
        <w:spacing w:after="200" w:line="276" w:lineRule="auto"/>
        <w:ind w:left="720" w:hanging="720"/>
        <w:contextualSpacing/>
        <w:rPr>
          <w:rFonts w:eastAsiaTheme="minorHAnsi" w:cstheme="minorBidi"/>
        </w:rPr>
      </w:pPr>
      <w:r>
        <w:rPr>
          <w:rFonts w:eastAsiaTheme="minorHAnsi" w:cstheme="minorBidi"/>
        </w:rPr>
        <w:t>A4.11</w:t>
      </w:r>
      <w:r w:rsidR="00795C67">
        <w:rPr>
          <w:rFonts w:eastAsiaTheme="minorHAnsi" w:cstheme="minorBidi"/>
        </w:rPr>
        <w:t xml:space="preserve"> </w:t>
      </w:r>
      <w:r w:rsidR="002F0A04" w:rsidRPr="002F0A04">
        <w:rPr>
          <w:rFonts w:eastAsiaTheme="minorHAnsi" w:cstheme="minorBidi"/>
        </w:rPr>
        <w:t xml:space="preserve">During months 1– 12 from the date the BDGP approved, participants must be offered a minimum of 4 interventions (on a one-to-one basis) with a Business Mentor to review progress/discuss help needed to achieve self-employment earnings at or above the MIF and to review/update the Business </w:t>
      </w:r>
      <w:r w:rsidR="00194871" w:rsidRPr="002F0A04">
        <w:rPr>
          <w:rFonts w:eastAsiaTheme="minorHAnsi" w:cstheme="minorBidi"/>
        </w:rPr>
        <w:t xml:space="preserve">Development </w:t>
      </w:r>
      <w:r w:rsidR="00194871">
        <w:rPr>
          <w:rFonts w:eastAsiaTheme="minorHAnsi" w:cstheme="minorBidi"/>
        </w:rPr>
        <w:t xml:space="preserve">and </w:t>
      </w:r>
      <w:r w:rsidR="002F0A04" w:rsidRPr="002F0A04">
        <w:rPr>
          <w:rFonts w:eastAsiaTheme="minorHAnsi" w:cstheme="minorBidi"/>
        </w:rPr>
        <w:t>Growth Plan (*where distance or length of time of travel is a factor, these meetings may be conducted via any appropriate means in accordance with DWP data-security standards).</w:t>
      </w:r>
    </w:p>
    <w:p w:rsidR="002F0A04" w:rsidRPr="002F0A04" w:rsidRDefault="002F0A04" w:rsidP="002F0A04">
      <w:pPr>
        <w:spacing w:after="200" w:line="276" w:lineRule="auto"/>
        <w:ind w:left="720"/>
        <w:contextualSpacing/>
        <w:rPr>
          <w:rFonts w:eastAsiaTheme="minorHAnsi" w:cstheme="minorBidi"/>
        </w:rPr>
      </w:pPr>
    </w:p>
    <w:p w:rsidR="002F0A04" w:rsidRPr="00DB781E" w:rsidRDefault="00993D4A" w:rsidP="00795C67">
      <w:pPr>
        <w:spacing w:after="200" w:line="276" w:lineRule="auto"/>
        <w:ind w:left="720" w:hanging="720"/>
        <w:contextualSpacing/>
        <w:rPr>
          <w:rFonts w:eastAsiaTheme="minorHAnsi" w:cstheme="minorBidi"/>
        </w:rPr>
      </w:pPr>
      <w:r>
        <w:rPr>
          <w:rFonts w:eastAsiaTheme="minorHAnsi" w:cstheme="minorBidi"/>
        </w:rPr>
        <w:t>A4.12</w:t>
      </w:r>
      <w:r w:rsidR="00795C67" w:rsidRPr="00DB781E">
        <w:rPr>
          <w:rFonts w:eastAsiaTheme="minorHAnsi" w:cstheme="minorBidi"/>
        </w:rPr>
        <w:t xml:space="preserve"> </w:t>
      </w:r>
      <w:r w:rsidR="002F0A04" w:rsidRPr="00DB781E">
        <w:rPr>
          <w:rFonts w:eastAsiaTheme="minorHAnsi" w:cstheme="minorBidi"/>
        </w:rPr>
        <w:t xml:space="preserve">All conversion rates submitted by providers for starts and achievement or exceeding the Minimum Income Floor for 0 to 12 months will become Customer Service Standards. </w:t>
      </w:r>
    </w:p>
    <w:p w:rsidR="002F0A04" w:rsidRPr="002F0A04" w:rsidRDefault="002F0A04" w:rsidP="002F0A04">
      <w:pPr>
        <w:spacing w:after="200" w:line="276" w:lineRule="auto"/>
        <w:ind w:left="720"/>
        <w:contextualSpacing/>
        <w:rPr>
          <w:rFonts w:eastAsiaTheme="minorHAnsi" w:cstheme="minorBidi"/>
        </w:rPr>
      </w:pPr>
    </w:p>
    <w:p w:rsidR="002F0A04" w:rsidRPr="002F0A04" w:rsidRDefault="00993D4A" w:rsidP="00795C67">
      <w:pPr>
        <w:spacing w:after="200" w:line="276" w:lineRule="auto"/>
        <w:ind w:left="720" w:hanging="720"/>
        <w:contextualSpacing/>
        <w:rPr>
          <w:rFonts w:eastAsiaTheme="minorHAnsi" w:cstheme="minorBidi"/>
        </w:rPr>
      </w:pPr>
      <w:r>
        <w:rPr>
          <w:rFonts w:eastAsiaTheme="minorHAnsi" w:cstheme="minorBidi"/>
        </w:rPr>
        <w:t>A4.13</w:t>
      </w:r>
      <w:r w:rsidR="00795C67">
        <w:rPr>
          <w:rFonts w:eastAsiaTheme="minorHAnsi" w:cstheme="minorBidi"/>
        </w:rPr>
        <w:t xml:space="preserve"> </w:t>
      </w:r>
      <w:r w:rsidR="002F0A04" w:rsidRPr="002F0A04">
        <w:rPr>
          <w:rFonts w:eastAsiaTheme="minorHAnsi" w:cstheme="minorBidi"/>
        </w:rPr>
        <w:t>Providers must send NEA1 – UC for UC claimants to appropriate DWP/JCP contact within 2 working days of a change of circumstances in accordance with DWP security requirements, including:</w:t>
      </w:r>
    </w:p>
    <w:p w:rsidR="002F0A04" w:rsidRPr="002F0A04" w:rsidRDefault="002F0A04" w:rsidP="002F0A04">
      <w:pPr>
        <w:spacing w:after="200" w:line="276" w:lineRule="auto"/>
        <w:ind w:left="720"/>
        <w:contextualSpacing/>
        <w:rPr>
          <w:rFonts w:eastAsiaTheme="minorHAnsi" w:cstheme="minorBidi"/>
        </w:rPr>
      </w:pPr>
    </w:p>
    <w:p w:rsidR="002F0A04" w:rsidRPr="002F0A04" w:rsidRDefault="002F0A04" w:rsidP="002F0A04">
      <w:pPr>
        <w:numPr>
          <w:ilvl w:val="0"/>
          <w:numId w:val="71"/>
        </w:numPr>
        <w:spacing w:after="200" w:line="276" w:lineRule="auto"/>
        <w:contextualSpacing/>
        <w:rPr>
          <w:rFonts w:eastAsiaTheme="minorHAnsi" w:cstheme="minorBidi"/>
        </w:rPr>
      </w:pPr>
      <w:r w:rsidRPr="002F0A04">
        <w:rPr>
          <w:rFonts w:eastAsiaTheme="minorHAnsi" w:cstheme="minorBidi"/>
        </w:rPr>
        <w:t>Report on the outcome of the Initial Assessment;</w:t>
      </w:r>
    </w:p>
    <w:p w:rsidR="002F0A04" w:rsidRPr="002F0A04" w:rsidRDefault="002F0A04" w:rsidP="002F0A04">
      <w:pPr>
        <w:numPr>
          <w:ilvl w:val="0"/>
          <w:numId w:val="71"/>
        </w:numPr>
        <w:spacing w:after="200" w:line="276" w:lineRule="auto"/>
        <w:contextualSpacing/>
        <w:rPr>
          <w:rFonts w:eastAsiaTheme="minorHAnsi" w:cstheme="minorBidi"/>
        </w:rPr>
      </w:pPr>
      <w:r w:rsidRPr="002F0A04">
        <w:rPr>
          <w:rFonts w:eastAsiaTheme="minorHAnsi" w:cstheme="minorBidi"/>
        </w:rPr>
        <w:t>Confirm date the Business Plan/Action Plan was approved);</w:t>
      </w:r>
      <w:r w:rsidR="00194871">
        <w:rPr>
          <w:rFonts w:eastAsiaTheme="minorHAnsi" w:cstheme="minorBidi"/>
        </w:rPr>
        <w:t xml:space="preserve"> and</w:t>
      </w:r>
    </w:p>
    <w:p w:rsidR="002F0A04" w:rsidRPr="002F0A04" w:rsidRDefault="002F0A04" w:rsidP="002F0A04">
      <w:pPr>
        <w:numPr>
          <w:ilvl w:val="0"/>
          <w:numId w:val="71"/>
        </w:numPr>
        <w:spacing w:after="200" w:line="276" w:lineRule="auto"/>
        <w:contextualSpacing/>
        <w:rPr>
          <w:rFonts w:eastAsiaTheme="minorHAnsi" w:cstheme="minorBidi"/>
        </w:rPr>
      </w:pPr>
      <w:r w:rsidRPr="002F0A04">
        <w:rPr>
          <w:rFonts w:eastAsiaTheme="minorHAnsi" w:cstheme="minorBidi"/>
        </w:rPr>
        <w:t>Report when the participant’s engagement on NEA ends.</w:t>
      </w:r>
    </w:p>
    <w:p w:rsidR="002F0A04" w:rsidRPr="002F0A04" w:rsidRDefault="002F0A04" w:rsidP="002F0A04">
      <w:pPr>
        <w:spacing w:after="200" w:line="276" w:lineRule="auto"/>
        <w:ind w:left="1080"/>
        <w:contextualSpacing/>
        <w:rPr>
          <w:rFonts w:eastAsiaTheme="minorHAnsi" w:cstheme="minorBidi"/>
        </w:rPr>
      </w:pPr>
      <w:r w:rsidRPr="002F0A04">
        <w:rPr>
          <w:rFonts w:eastAsiaTheme="minorHAnsi" w:cstheme="minorBidi"/>
        </w:rPr>
        <w:t xml:space="preserve"> </w:t>
      </w:r>
    </w:p>
    <w:p w:rsidR="00574AFE" w:rsidRPr="00574AFE" w:rsidRDefault="00993D4A" w:rsidP="00E74D69">
      <w:pPr>
        <w:spacing w:after="200" w:line="276" w:lineRule="auto"/>
        <w:contextualSpacing/>
        <w:rPr>
          <w:rFonts w:eastAsiaTheme="minorHAnsi" w:cstheme="minorBidi"/>
        </w:rPr>
      </w:pPr>
      <w:r>
        <w:rPr>
          <w:rFonts w:eastAsiaTheme="minorHAnsi" w:cstheme="minorBidi"/>
        </w:rPr>
        <w:t>A4.14</w:t>
      </w:r>
      <w:r w:rsidR="00795C67">
        <w:rPr>
          <w:rFonts w:eastAsiaTheme="minorHAnsi" w:cstheme="minorBidi"/>
        </w:rPr>
        <w:tab/>
      </w:r>
      <w:r w:rsidR="002F0A04" w:rsidRPr="002F0A04">
        <w:rPr>
          <w:rFonts w:eastAsiaTheme="minorHAnsi" w:cstheme="minorBidi"/>
        </w:rPr>
        <w:t xml:space="preserve">Any other Customer Service Standards detailed in the provider’s </w:t>
      </w:r>
    </w:p>
    <w:p w:rsidR="00574AFE" w:rsidRPr="002E0375" w:rsidRDefault="00574AFE" w:rsidP="00690E9E">
      <w:pPr>
        <w:autoSpaceDE w:val="0"/>
        <w:autoSpaceDN w:val="0"/>
        <w:adjustRightInd w:val="0"/>
        <w:spacing w:after="240"/>
        <w:ind w:left="900" w:hanging="900"/>
        <w:jc w:val="both"/>
        <w:rPr>
          <w:rFonts w:cs="Arial"/>
        </w:rPr>
        <w:sectPr w:rsidR="00574AFE" w:rsidRPr="002E0375" w:rsidSect="00771099">
          <w:pgSz w:w="12240" w:h="15840" w:code="1"/>
          <w:pgMar w:top="1304" w:right="1134" w:bottom="1304" w:left="1134" w:header="720" w:footer="720" w:gutter="0"/>
          <w:cols w:space="720"/>
          <w:noEndnote/>
        </w:sectPr>
      </w:pPr>
    </w:p>
    <w:p w:rsidR="00FA2086" w:rsidRPr="002E0375" w:rsidRDefault="00101F2B" w:rsidP="00690E9E">
      <w:pPr>
        <w:spacing w:after="240"/>
        <w:jc w:val="right"/>
        <w:rPr>
          <w:rFonts w:cs="Arial"/>
          <w:b/>
          <w:bCs/>
        </w:rPr>
      </w:pPr>
      <w:r w:rsidRPr="002E0375">
        <w:rPr>
          <w:rFonts w:cs="Arial"/>
          <w:b/>
          <w:bCs/>
        </w:rPr>
        <w:lastRenderedPageBreak/>
        <w:t xml:space="preserve">Annex </w:t>
      </w:r>
      <w:r w:rsidR="001A7831">
        <w:rPr>
          <w:rFonts w:cs="Arial"/>
          <w:b/>
          <w:bCs/>
        </w:rPr>
        <w:t>5</w:t>
      </w:r>
    </w:p>
    <w:p w:rsidR="00FA2086" w:rsidRPr="002E0375" w:rsidRDefault="00FA2086" w:rsidP="00690E9E">
      <w:pPr>
        <w:pStyle w:val="Heading1"/>
        <w:tabs>
          <w:tab w:val="clear" w:pos="432"/>
        </w:tabs>
        <w:spacing w:after="240"/>
        <w:rPr>
          <w:sz w:val="28"/>
          <w:szCs w:val="28"/>
          <w:u w:val="single"/>
        </w:rPr>
      </w:pPr>
      <w:bookmarkStart w:id="24" w:name="_ADDITIONAL_INFORMATION"/>
      <w:bookmarkEnd w:id="24"/>
      <w:r w:rsidRPr="002E0375">
        <w:rPr>
          <w:sz w:val="28"/>
          <w:szCs w:val="28"/>
          <w:u w:val="single"/>
        </w:rPr>
        <w:t>A</w:t>
      </w:r>
      <w:r w:rsidR="0084305D" w:rsidRPr="002E0375">
        <w:rPr>
          <w:sz w:val="28"/>
          <w:szCs w:val="28"/>
          <w:u w:val="single"/>
        </w:rPr>
        <w:t>DDITIONAL INFORMATION</w:t>
      </w:r>
    </w:p>
    <w:p w:rsidR="00FA2086" w:rsidRPr="002E0375" w:rsidRDefault="009A25D5" w:rsidP="00690E9E">
      <w:pPr>
        <w:autoSpaceDE w:val="0"/>
        <w:autoSpaceDN w:val="0"/>
        <w:adjustRightInd w:val="0"/>
        <w:spacing w:after="240"/>
        <w:ind w:left="1080" w:hanging="1080"/>
        <w:rPr>
          <w:rFonts w:cs="Arial"/>
          <w:b/>
          <w:sz w:val="28"/>
          <w:szCs w:val="28"/>
          <w:lang w:eastAsia="en-GB"/>
        </w:rPr>
      </w:pPr>
      <w:r w:rsidRPr="002E0375">
        <w:rPr>
          <w:rFonts w:cs="Arial"/>
          <w:b/>
          <w:sz w:val="28"/>
          <w:szCs w:val="28"/>
          <w:lang w:eastAsia="en-GB"/>
        </w:rPr>
        <w:t>Travel expenses</w:t>
      </w:r>
      <w:r w:rsidR="00776A79" w:rsidRPr="002E0375">
        <w:rPr>
          <w:rFonts w:cs="Arial"/>
          <w:b/>
          <w:sz w:val="28"/>
          <w:szCs w:val="28"/>
          <w:lang w:eastAsia="en-GB"/>
        </w:rPr>
        <w:t xml:space="preserve"> </w:t>
      </w:r>
    </w:p>
    <w:p w:rsidR="007504DC" w:rsidRPr="00B14350" w:rsidRDefault="00E74D69" w:rsidP="00E74D69">
      <w:pPr>
        <w:autoSpaceDE w:val="0"/>
        <w:autoSpaceDN w:val="0"/>
        <w:adjustRightInd w:val="0"/>
        <w:spacing w:after="240"/>
        <w:ind w:left="720" w:hanging="720"/>
        <w:rPr>
          <w:rFonts w:cs="Arial"/>
          <w:lang w:eastAsia="en-GB"/>
        </w:rPr>
      </w:pPr>
      <w:r>
        <w:rPr>
          <w:rFonts w:cs="Arial"/>
          <w:lang w:eastAsia="en-GB"/>
        </w:rPr>
        <w:t>A5.1</w:t>
      </w:r>
      <w:r>
        <w:rPr>
          <w:rFonts w:cs="Arial"/>
          <w:lang w:eastAsia="en-GB"/>
        </w:rPr>
        <w:tab/>
      </w:r>
      <w:r w:rsidR="007504DC" w:rsidRPr="00B14350">
        <w:rPr>
          <w:rFonts w:cs="Arial"/>
          <w:lang w:eastAsia="en-GB"/>
        </w:rPr>
        <w:t>Local provision is deemed to be essential to the successful delivery of NEA</w:t>
      </w:r>
      <w:r w:rsidR="004C3437" w:rsidRPr="00B14350">
        <w:rPr>
          <w:rFonts w:cs="Arial"/>
          <w:lang w:eastAsia="en-GB"/>
        </w:rPr>
        <w:t xml:space="preserve"> Phase 2</w:t>
      </w:r>
      <w:r w:rsidR="007504DC" w:rsidRPr="00B14350">
        <w:rPr>
          <w:rFonts w:cs="Arial"/>
          <w:lang w:eastAsia="en-GB"/>
        </w:rPr>
        <w:t xml:space="preserve">, as a result </w:t>
      </w:r>
      <w:r w:rsidR="008A45C0" w:rsidRPr="00B14350">
        <w:rPr>
          <w:rFonts w:cs="Arial"/>
          <w:lang w:eastAsia="en-GB"/>
        </w:rPr>
        <w:t>Provider</w:t>
      </w:r>
      <w:r w:rsidR="007504DC" w:rsidRPr="00B14350">
        <w:rPr>
          <w:rFonts w:cs="Arial"/>
          <w:lang w:eastAsia="en-GB"/>
        </w:rPr>
        <w:t xml:space="preserve">s are not expected to provide travel expenses for </w:t>
      </w:r>
      <w:r w:rsidR="008A45C0" w:rsidRPr="00B14350">
        <w:rPr>
          <w:rFonts w:cs="Arial"/>
          <w:lang w:eastAsia="en-GB"/>
        </w:rPr>
        <w:t>Participant</w:t>
      </w:r>
      <w:r w:rsidR="007504DC" w:rsidRPr="00B14350">
        <w:rPr>
          <w:rFonts w:cs="Arial"/>
          <w:lang w:eastAsia="en-GB"/>
        </w:rPr>
        <w:t xml:space="preserve">s. </w:t>
      </w:r>
      <w:r w:rsidR="008A45C0" w:rsidRPr="00B14350">
        <w:rPr>
          <w:rFonts w:cs="Arial"/>
          <w:lang w:eastAsia="en-GB"/>
        </w:rPr>
        <w:t>Participant</w:t>
      </w:r>
      <w:r w:rsidR="007504DC" w:rsidRPr="00B14350">
        <w:rPr>
          <w:rFonts w:cs="Arial"/>
          <w:lang w:eastAsia="en-GB"/>
        </w:rPr>
        <w:t xml:space="preserve">s experiencing issues with travel costs for participation in NEA </w:t>
      </w:r>
      <w:r w:rsidR="004C3437" w:rsidRPr="00B14350">
        <w:rPr>
          <w:rFonts w:cs="Arial"/>
          <w:lang w:eastAsia="en-GB"/>
        </w:rPr>
        <w:t xml:space="preserve">Phase 2 </w:t>
      </w:r>
      <w:r w:rsidR="007504DC" w:rsidRPr="00B14350">
        <w:rPr>
          <w:rFonts w:cs="Arial"/>
          <w:lang w:eastAsia="en-GB"/>
        </w:rPr>
        <w:t xml:space="preserve">need to discuss these with a JCP </w:t>
      </w:r>
      <w:r w:rsidR="00237CDF" w:rsidRPr="00B14350">
        <w:rPr>
          <w:rFonts w:cs="Arial"/>
          <w:lang w:eastAsia="en-GB"/>
        </w:rPr>
        <w:t>A</w:t>
      </w:r>
      <w:r w:rsidR="007504DC" w:rsidRPr="00B14350">
        <w:rPr>
          <w:rFonts w:cs="Arial"/>
          <w:lang w:eastAsia="en-GB"/>
        </w:rPr>
        <w:t>dviser</w:t>
      </w:r>
      <w:r w:rsidR="00237CDF" w:rsidRPr="00B14350">
        <w:rPr>
          <w:rFonts w:cs="Arial"/>
          <w:lang w:eastAsia="en-GB"/>
        </w:rPr>
        <w:t>.</w:t>
      </w:r>
    </w:p>
    <w:p w:rsidR="005A05B1" w:rsidRPr="00B14350" w:rsidRDefault="00E74D69" w:rsidP="00B14350">
      <w:pPr>
        <w:autoSpaceDE w:val="0"/>
        <w:autoSpaceDN w:val="0"/>
        <w:adjustRightInd w:val="0"/>
        <w:spacing w:after="240"/>
        <w:rPr>
          <w:rFonts w:cs="Arial"/>
          <w:lang w:eastAsia="en-GB"/>
        </w:rPr>
      </w:pPr>
      <w:r>
        <w:rPr>
          <w:rFonts w:cs="Arial"/>
          <w:lang w:eastAsia="en-GB"/>
        </w:rPr>
        <w:t>A5.2</w:t>
      </w:r>
      <w:r>
        <w:rPr>
          <w:rFonts w:cs="Arial"/>
          <w:lang w:eastAsia="en-GB"/>
        </w:rPr>
        <w:tab/>
      </w:r>
      <w:r w:rsidR="005A05B1" w:rsidRPr="00B14350">
        <w:rPr>
          <w:rFonts w:cs="Arial"/>
          <w:lang w:eastAsia="en-GB"/>
        </w:rPr>
        <w:t xml:space="preserve">Existing self-employed UC claimants will </w:t>
      </w:r>
      <w:r w:rsidR="005A05B1" w:rsidRPr="00B14350">
        <w:rPr>
          <w:rFonts w:cs="Arial"/>
          <w:b/>
          <w:lang w:eastAsia="en-GB"/>
        </w:rPr>
        <w:t>not</w:t>
      </w:r>
      <w:r w:rsidR="005A05B1" w:rsidRPr="00B14350">
        <w:rPr>
          <w:rFonts w:cs="Arial"/>
          <w:lang w:eastAsia="en-GB"/>
        </w:rPr>
        <w:t xml:space="preserve"> be eligible to claim travel expenses.</w:t>
      </w:r>
    </w:p>
    <w:p w:rsidR="005A05B1" w:rsidRPr="002E0375" w:rsidRDefault="005A05B1" w:rsidP="00B14350">
      <w:pPr>
        <w:autoSpaceDE w:val="0"/>
        <w:autoSpaceDN w:val="0"/>
        <w:adjustRightInd w:val="0"/>
        <w:spacing w:after="240"/>
        <w:rPr>
          <w:rFonts w:cs="Arial"/>
          <w:b/>
          <w:sz w:val="16"/>
          <w:szCs w:val="16"/>
        </w:rPr>
      </w:pPr>
    </w:p>
    <w:p w:rsidR="009A1061" w:rsidRPr="002E0375" w:rsidRDefault="00AA155D" w:rsidP="00B14350">
      <w:pPr>
        <w:spacing w:after="240"/>
        <w:rPr>
          <w:b/>
        </w:rPr>
      </w:pPr>
      <w:r w:rsidRPr="002E0375">
        <w:rPr>
          <w:b/>
          <w:sz w:val="28"/>
          <w:szCs w:val="28"/>
        </w:rPr>
        <w:t>Childcare</w:t>
      </w:r>
      <w:r w:rsidR="00776A79" w:rsidRPr="002E0375">
        <w:rPr>
          <w:b/>
          <w:sz w:val="28"/>
          <w:szCs w:val="28"/>
        </w:rPr>
        <w:t xml:space="preserve"> </w:t>
      </w:r>
    </w:p>
    <w:p w:rsidR="007504DC" w:rsidRPr="00B14350" w:rsidRDefault="00E74D69" w:rsidP="00E74D69">
      <w:pPr>
        <w:autoSpaceDE w:val="0"/>
        <w:autoSpaceDN w:val="0"/>
        <w:adjustRightInd w:val="0"/>
        <w:spacing w:after="240"/>
        <w:ind w:left="720" w:hanging="720"/>
        <w:rPr>
          <w:rFonts w:cs="Arial"/>
          <w:b/>
        </w:rPr>
      </w:pPr>
      <w:r>
        <w:rPr>
          <w:rFonts w:cs="Arial"/>
        </w:rPr>
        <w:t>A5.3</w:t>
      </w:r>
      <w:r>
        <w:rPr>
          <w:rFonts w:cs="Arial"/>
        </w:rPr>
        <w:tab/>
      </w:r>
      <w:r w:rsidR="007504DC" w:rsidRPr="00B14350">
        <w:rPr>
          <w:rFonts w:cs="Arial"/>
        </w:rPr>
        <w:t>C</w:t>
      </w:r>
      <w:r w:rsidR="002B3DDC" w:rsidRPr="00B14350">
        <w:rPr>
          <w:rFonts w:cs="Arial"/>
        </w:rPr>
        <w:t xml:space="preserve">hildcare </w:t>
      </w:r>
      <w:r w:rsidR="007504DC" w:rsidRPr="00B14350">
        <w:rPr>
          <w:rFonts w:cs="Arial"/>
        </w:rPr>
        <w:t xml:space="preserve">costs are not the responsibility of NEA </w:t>
      </w:r>
      <w:r w:rsidR="004C3437" w:rsidRPr="00B14350">
        <w:rPr>
          <w:rFonts w:cs="Arial"/>
          <w:lang w:eastAsia="en-GB"/>
        </w:rPr>
        <w:t xml:space="preserve">Phase 2 </w:t>
      </w:r>
      <w:r w:rsidR="008A45C0" w:rsidRPr="00B14350">
        <w:rPr>
          <w:rFonts w:cs="Arial"/>
        </w:rPr>
        <w:t>Provider</w:t>
      </w:r>
      <w:r w:rsidR="007504DC" w:rsidRPr="00B14350">
        <w:rPr>
          <w:rFonts w:cs="Arial"/>
        </w:rPr>
        <w:t xml:space="preserve">s, however in exceptional circumstances may be covered by a </w:t>
      </w:r>
      <w:r w:rsidR="002B3DDC" w:rsidRPr="00B14350">
        <w:rPr>
          <w:rFonts w:cs="Arial"/>
        </w:rPr>
        <w:t>discretion</w:t>
      </w:r>
      <w:r w:rsidR="007504DC" w:rsidRPr="00B14350">
        <w:rPr>
          <w:rFonts w:cs="Arial"/>
        </w:rPr>
        <w:t>ary</w:t>
      </w:r>
      <w:r w:rsidR="002B3DDC" w:rsidRPr="00B14350">
        <w:rPr>
          <w:rFonts w:cs="Arial"/>
        </w:rPr>
        <w:t xml:space="preserve"> payment </w:t>
      </w:r>
      <w:r w:rsidR="007504DC" w:rsidRPr="00B14350">
        <w:rPr>
          <w:rFonts w:cs="Arial"/>
        </w:rPr>
        <w:t xml:space="preserve">from </w:t>
      </w:r>
      <w:r w:rsidR="002B3DDC" w:rsidRPr="00B14350">
        <w:rPr>
          <w:rFonts w:cs="Arial"/>
        </w:rPr>
        <w:t>JCP</w:t>
      </w:r>
      <w:r w:rsidR="00237CDF" w:rsidRPr="00B14350">
        <w:rPr>
          <w:rFonts w:cs="Arial"/>
        </w:rPr>
        <w:t>.</w:t>
      </w:r>
    </w:p>
    <w:p w:rsidR="005A05B1" w:rsidRPr="00B14350" w:rsidRDefault="00E74D69" w:rsidP="00B14350">
      <w:pPr>
        <w:autoSpaceDE w:val="0"/>
        <w:autoSpaceDN w:val="0"/>
        <w:adjustRightInd w:val="0"/>
        <w:spacing w:after="240"/>
        <w:rPr>
          <w:rFonts w:cs="Arial"/>
          <w:lang w:eastAsia="en-GB"/>
        </w:rPr>
      </w:pPr>
      <w:r>
        <w:rPr>
          <w:rFonts w:cs="Arial"/>
          <w:lang w:eastAsia="en-GB"/>
        </w:rPr>
        <w:t>A5.4</w:t>
      </w:r>
      <w:r>
        <w:rPr>
          <w:rFonts w:cs="Arial"/>
          <w:lang w:eastAsia="en-GB"/>
        </w:rPr>
        <w:tab/>
      </w:r>
      <w:r w:rsidR="005A05B1" w:rsidRPr="00B14350">
        <w:rPr>
          <w:rFonts w:cs="Arial"/>
          <w:lang w:eastAsia="en-GB"/>
        </w:rPr>
        <w:t xml:space="preserve">Existing self-employed UC claimants will </w:t>
      </w:r>
      <w:r w:rsidR="005A05B1" w:rsidRPr="00B14350">
        <w:rPr>
          <w:rFonts w:cs="Arial"/>
          <w:b/>
          <w:lang w:eastAsia="en-GB"/>
        </w:rPr>
        <w:t>not</w:t>
      </w:r>
      <w:r w:rsidR="005A05B1" w:rsidRPr="00B14350">
        <w:rPr>
          <w:rFonts w:cs="Arial"/>
          <w:lang w:eastAsia="en-GB"/>
        </w:rPr>
        <w:t xml:space="preserve"> be eligible to claim childcare expenses.</w:t>
      </w:r>
    </w:p>
    <w:p w:rsidR="00FA2086" w:rsidRPr="002E0375" w:rsidRDefault="00FA2086" w:rsidP="00B14350">
      <w:pPr>
        <w:autoSpaceDE w:val="0"/>
        <w:autoSpaceDN w:val="0"/>
        <w:adjustRightInd w:val="0"/>
        <w:spacing w:after="240"/>
        <w:rPr>
          <w:rFonts w:cs="Arial"/>
          <w:b/>
          <w:bCs/>
          <w:sz w:val="28"/>
          <w:szCs w:val="28"/>
        </w:rPr>
      </w:pPr>
      <w:r w:rsidRPr="002E0375">
        <w:rPr>
          <w:rFonts w:cs="Arial"/>
          <w:b/>
          <w:bCs/>
          <w:sz w:val="28"/>
          <w:szCs w:val="28"/>
        </w:rPr>
        <w:t>Partnerships</w:t>
      </w:r>
      <w:r w:rsidR="00776A79" w:rsidRPr="002E0375">
        <w:rPr>
          <w:rFonts w:cs="Arial"/>
          <w:b/>
          <w:bCs/>
          <w:sz w:val="28"/>
          <w:szCs w:val="28"/>
        </w:rPr>
        <w:t xml:space="preserve"> </w:t>
      </w:r>
    </w:p>
    <w:p w:rsidR="005E6E33" w:rsidRPr="002E0375" w:rsidRDefault="00E74D69" w:rsidP="00E74D69">
      <w:pPr>
        <w:spacing w:after="240"/>
        <w:ind w:left="720" w:hanging="720"/>
      </w:pPr>
      <w:r>
        <w:t>A5.5</w:t>
      </w:r>
      <w:r>
        <w:tab/>
      </w:r>
      <w:r w:rsidR="008A45C0" w:rsidRPr="002E0375">
        <w:t>Provider</w:t>
      </w:r>
      <w:r w:rsidR="00FA2086" w:rsidRPr="002E0375">
        <w:t xml:space="preserve">s are encouraged to work with </w:t>
      </w:r>
      <w:r w:rsidR="009E7836" w:rsidRPr="002E0375">
        <w:t>L</w:t>
      </w:r>
      <w:r w:rsidR="00256DAC" w:rsidRPr="002E0375">
        <w:t xml:space="preserve">ocal </w:t>
      </w:r>
      <w:r w:rsidR="009E7836" w:rsidRPr="002E0375">
        <w:t>A</w:t>
      </w:r>
      <w:r w:rsidR="00256DAC" w:rsidRPr="002E0375">
        <w:t>uthorities (LA)</w:t>
      </w:r>
      <w:r w:rsidR="005E6E33" w:rsidRPr="002E0375">
        <w:t xml:space="preserve"> and </w:t>
      </w:r>
      <w:r w:rsidR="00FA2086" w:rsidRPr="002E0375">
        <w:t xml:space="preserve">local partners to ensure that their proposals reflect the specific needs of </w:t>
      </w:r>
      <w:r w:rsidR="008A45C0" w:rsidRPr="002E0375">
        <w:t>Participant</w:t>
      </w:r>
      <w:r w:rsidR="000249F3" w:rsidRPr="002E0375">
        <w:t xml:space="preserve">s </w:t>
      </w:r>
      <w:r w:rsidR="00FA2086" w:rsidRPr="002E0375">
        <w:t xml:space="preserve">in each CPA and take into account local strategies and services. </w:t>
      </w:r>
      <w:r w:rsidR="008A45C0" w:rsidRPr="002E0375">
        <w:t>Provider</w:t>
      </w:r>
      <w:r w:rsidR="00FA2086" w:rsidRPr="002E0375">
        <w:t xml:space="preserve">s should aim to improve performance and </w:t>
      </w:r>
      <w:r w:rsidR="008A45C0" w:rsidRPr="002E0375">
        <w:t>Participant</w:t>
      </w:r>
      <w:r w:rsidR="000249F3" w:rsidRPr="002E0375">
        <w:t xml:space="preserve"> </w:t>
      </w:r>
      <w:r w:rsidR="00FA2086" w:rsidRPr="002E0375">
        <w:t>service across the piece, reduce duplication wherever possible and improving the holistic use of public funds in a locality/area.</w:t>
      </w:r>
    </w:p>
    <w:p w:rsidR="00FC0004" w:rsidRPr="002E0375" w:rsidRDefault="00E74D69" w:rsidP="00B14350">
      <w:pPr>
        <w:spacing w:after="240"/>
      </w:pPr>
      <w:r>
        <w:t>A5.6</w:t>
      </w:r>
      <w:r>
        <w:tab/>
      </w:r>
      <w:r w:rsidR="00FA2086" w:rsidRPr="002E0375">
        <w:t xml:space="preserve">Local </w:t>
      </w:r>
      <w:r w:rsidR="00F44481" w:rsidRPr="002E0375">
        <w:t>p</w:t>
      </w:r>
      <w:r w:rsidR="00FA2086" w:rsidRPr="002E0375">
        <w:t xml:space="preserve">artners may include, but are not limited to: </w:t>
      </w:r>
    </w:p>
    <w:p w:rsidR="00FA2086" w:rsidRPr="00E74D69" w:rsidRDefault="00FA2086" w:rsidP="00E74D69">
      <w:pPr>
        <w:pStyle w:val="ListParagraph"/>
        <w:numPr>
          <w:ilvl w:val="0"/>
          <w:numId w:val="74"/>
        </w:numPr>
        <w:autoSpaceDE w:val="0"/>
        <w:autoSpaceDN w:val="0"/>
        <w:adjustRightInd w:val="0"/>
        <w:spacing w:after="240"/>
        <w:rPr>
          <w:rFonts w:cs="Arial"/>
        </w:rPr>
      </w:pPr>
      <w:r w:rsidRPr="00E74D69">
        <w:rPr>
          <w:rFonts w:cs="Arial"/>
        </w:rPr>
        <w:t>DWP/</w:t>
      </w:r>
      <w:r w:rsidR="006650A2" w:rsidRPr="00E74D69">
        <w:rPr>
          <w:rFonts w:cs="Arial"/>
        </w:rPr>
        <w:t xml:space="preserve"> </w:t>
      </w:r>
      <w:r w:rsidR="00E76F0F" w:rsidRPr="00E74D69">
        <w:rPr>
          <w:rFonts w:cs="Arial"/>
        </w:rPr>
        <w:t>JCP</w:t>
      </w:r>
      <w:r w:rsidRPr="00E74D69">
        <w:rPr>
          <w:rFonts w:cs="Arial"/>
        </w:rPr>
        <w:t>;</w:t>
      </w:r>
    </w:p>
    <w:p w:rsidR="00D055E5" w:rsidRPr="00E74D69" w:rsidRDefault="00FA2086" w:rsidP="00E74D69">
      <w:pPr>
        <w:pStyle w:val="ListParagraph"/>
        <w:numPr>
          <w:ilvl w:val="0"/>
          <w:numId w:val="74"/>
        </w:numPr>
        <w:autoSpaceDE w:val="0"/>
        <w:autoSpaceDN w:val="0"/>
        <w:adjustRightInd w:val="0"/>
        <w:spacing w:after="240"/>
        <w:rPr>
          <w:rFonts w:cs="Arial"/>
        </w:rPr>
      </w:pPr>
      <w:r w:rsidRPr="00E74D69">
        <w:rPr>
          <w:rFonts w:cs="Arial"/>
        </w:rPr>
        <w:t>City Region and emerging Local Enterprise Partnerships</w:t>
      </w:r>
      <w:r w:rsidR="00194871">
        <w:rPr>
          <w:rFonts w:cs="Arial"/>
        </w:rPr>
        <w:t>; and</w:t>
      </w:r>
    </w:p>
    <w:p w:rsidR="007F0905" w:rsidRPr="00E74D69" w:rsidRDefault="004125F8" w:rsidP="00E74D69">
      <w:pPr>
        <w:pStyle w:val="ListParagraph"/>
        <w:numPr>
          <w:ilvl w:val="0"/>
          <w:numId w:val="74"/>
        </w:numPr>
        <w:autoSpaceDE w:val="0"/>
        <w:autoSpaceDN w:val="0"/>
        <w:adjustRightInd w:val="0"/>
        <w:spacing w:after="240"/>
        <w:rPr>
          <w:rFonts w:cs="Arial"/>
        </w:rPr>
      </w:pPr>
      <w:r>
        <w:rPr>
          <w:rFonts w:cs="Arial"/>
        </w:rPr>
        <w:t>BEIS</w:t>
      </w:r>
      <w:r w:rsidRPr="009E7AE4">
        <w:rPr>
          <w:rFonts w:cs="Arial"/>
        </w:rPr>
        <w:t xml:space="preserve"> (Business, Energy &amp; Industrial Strategy</w:t>
      </w:r>
      <w:r w:rsidR="007F0905" w:rsidRPr="00E74D69">
        <w:rPr>
          <w:rFonts w:cs="Arial"/>
        </w:rPr>
        <w:t>)</w:t>
      </w:r>
      <w:r w:rsidR="00605CBC" w:rsidRPr="00E74D69">
        <w:rPr>
          <w:rFonts w:cs="Arial"/>
        </w:rPr>
        <w:t xml:space="preserve"> Start</w:t>
      </w:r>
      <w:r w:rsidR="000A23F1" w:rsidRPr="00E74D69">
        <w:rPr>
          <w:rFonts w:cs="Arial"/>
        </w:rPr>
        <w:t>-</w:t>
      </w:r>
      <w:r w:rsidR="00605CBC" w:rsidRPr="00E74D69">
        <w:rPr>
          <w:rFonts w:cs="Arial"/>
        </w:rPr>
        <w:t xml:space="preserve">up </w:t>
      </w:r>
      <w:r w:rsidR="000A23F1" w:rsidRPr="00E74D69">
        <w:rPr>
          <w:rFonts w:cs="Arial"/>
        </w:rPr>
        <w:t>L</w:t>
      </w:r>
      <w:r w:rsidR="00605CBC" w:rsidRPr="00E74D69">
        <w:rPr>
          <w:rFonts w:cs="Arial"/>
        </w:rPr>
        <w:t xml:space="preserve">oan </w:t>
      </w:r>
      <w:r w:rsidR="000A23F1" w:rsidRPr="00E74D69">
        <w:rPr>
          <w:rFonts w:cs="Arial"/>
        </w:rPr>
        <w:t>C</w:t>
      </w:r>
      <w:r w:rsidR="00605CBC" w:rsidRPr="00E74D69">
        <w:rPr>
          <w:rFonts w:cs="Arial"/>
        </w:rPr>
        <w:t>ompany</w:t>
      </w:r>
    </w:p>
    <w:p w:rsidR="002D16C2" w:rsidRPr="002E0375" w:rsidRDefault="002D16C2" w:rsidP="00B14350">
      <w:pPr>
        <w:autoSpaceDE w:val="0"/>
        <w:autoSpaceDN w:val="0"/>
        <w:adjustRightInd w:val="0"/>
        <w:spacing w:after="240"/>
        <w:ind w:left="720"/>
        <w:rPr>
          <w:rFonts w:cs="Arial"/>
        </w:rPr>
      </w:pPr>
    </w:p>
    <w:p w:rsidR="00024561" w:rsidRPr="002E0375" w:rsidRDefault="00FA2086" w:rsidP="00B14350">
      <w:pPr>
        <w:spacing w:after="240"/>
        <w:rPr>
          <w:rFonts w:cs="Arial"/>
          <w:b/>
          <w:bCs/>
          <w:sz w:val="28"/>
          <w:szCs w:val="28"/>
        </w:rPr>
      </w:pPr>
      <w:r w:rsidRPr="002E0375">
        <w:rPr>
          <w:rFonts w:cs="Arial"/>
          <w:b/>
          <w:bCs/>
          <w:sz w:val="28"/>
          <w:szCs w:val="28"/>
        </w:rPr>
        <w:t>Data Protection</w:t>
      </w:r>
      <w:r w:rsidR="00776A79" w:rsidRPr="002E0375">
        <w:rPr>
          <w:rFonts w:cs="Arial"/>
          <w:b/>
          <w:bCs/>
          <w:sz w:val="28"/>
          <w:szCs w:val="28"/>
        </w:rPr>
        <w:t xml:space="preserve"> </w:t>
      </w:r>
    </w:p>
    <w:p w:rsidR="00CC3229" w:rsidRPr="00B14350" w:rsidRDefault="00E74D69" w:rsidP="00E74D69">
      <w:pPr>
        <w:spacing w:after="240"/>
        <w:ind w:left="720" w:hanging="720"/>
        <w:rPr>
          <w:i/>
          <w:iCs/>
          <w:lang w:eastAsia="en-GB"/>
        </w:rPr>
      </w:pPr>
      <w:r>
        <w:t>A5.7</w:t>
      </w:r>
      <w:r>
        <w:tab/>
      </w:r>
      <w:r w:rsidR="000B3ABF" w:rsidRPr="002E0375">
        <w:t xml:space="preserve">In order to protect Departmental information appropriately, </w:t>
      </w:r>
      <w:r w:rsidR="008A45C0" w:rsidRPr="002E0375">
        <w:t>Provider</w:t>
      </w:r>
      <w:r w:rsidR="00592EDD" w:rsidRPr="002E0375">
        <w:t>s</w:t>
      </w:r>
      <w:r w:rsidR="000B3ABF" w:rsidRPr="002E0375">
        <w:t xml:space="preserve"> must</w:t>
      </w:r>
      <w:r w:rsidR="0046061A" w:rsidRPr="002E0375">
        <w:t> put</w:t>
      </w:r>
      <w:r w:rsidR="009E7836" w:rsidRPr="002E0375">
        <w:t xml:space="preserve"> in</w:t>
      </w:r>
      <w:r w:rsidR="000B3ABF" w:rsidRPr="002E0375">
        <w:t>to</w:t>
      </w:r>
      <w:r w:rsidR="0046061A" w:rsidRPr="002E0375">
        <w:t> effect</w:t>
      </w:r>
      <w:r w:rsidR="000B3ABF" w:rsidRPr="002E0375">
        <w:t xml:space="preserve"> and maintain the security measures and safeguards appropriate to the nature and use of the information</w:t>
      </w:r>
      <w:r w:rsidR="0046061A" w:rsidRPr="002E0375">
        <w:t> throughout</w:t>
      </w:r>
      <w:r w:rsidR="000B3ABF" w:rsidRPr="002E0375">
        <w:t xml:space="preserve"> their supply chain. All </w:t>
      </w:r>
      <w:r w:rsidR="008A45C0" w:rsidRPr="002E0375">
        <w:t>Provider</w:t>
      </w:r>
      <w:r w:rsidR="00592EDD" w:rsidRPr="002E0375">
        <w:t>s</w:t>
      </w:r>
      <w:r w:rsidR="0046061A" w:rsidRPr="002E0375">
        <w:t xml:space="preserve"> of</w:t>
      </w:r>
      <w:r w:rsidR="000B3ABF" w:rsidRPr="002E0375">
        <w:t xml:space="preserve"> services to DWP must comply, and be able to demonstrate compliance, with the Department’s relevant policies and standards including</w:t>
      </w:r>
      <w:r w:rsidR="0046061A" w:rsidRPr="002E0375">
        <w:t> the</w:t>
      </w:r>
      <w:r w:rsidR="000B3ABF" w:rsidRPr="002E0375">
        <w:t xml:space="preserve"> DWP </w:t>
      </w:r>
      <w:r w:rsidR="00D1570A" w:rsidRPr="002E0375">
        <w:t>(</w:t>
      </w:r>
      <w:r w:rsidR="00D1570A" w:rsidRPr="00B14350">
        <w:rPr>
          <w:rFonts w:cs="Arial"/>
          <w:bCs/>
        </w:rPr>
        <w:t>Authority’s) Security Standards</w:t>
      </w:r>
      <w:r w:rsidR="007913EB" w:rsidRPr="002E0375">
        <w:t>.</w:t>
      </w:r>
      <w:r w:rsidR="000B3ABF" w:rsidRPr="002E0375">
        <w:t xml:space="preserve"> The Standards are based on and follow the same format as International Standard 27001, but with specific reference to the Department’s use. Departmental </w:t>
      </w:r>
      <w:r w:rsidR="000B3ABF" w:rsidRPr="002E0375">
        <w:lastRenderedPageBreak/>
        <w:t xml:space="preserve">information must not be </w:t>
      </w:r>
      <w:r w:rsidR="0046061A" w:rsidRPr="002E0375">
        <w:t>processed</w:t>
      </w:r>
      <w:r w:rsidR="000B3ABF" w:rsidRPr="002E0375">
        <w:t xml:space="preserve"> outside the United Kingdom</w:t>
      </w:r>
      <w:r w:rsidR="0046061A" w:rsidRPr="002E0375">
        <w:t> without</w:t>
      </w:r>
      <w:r w:rsidR="000B3ABF" w:rsidRPr="002E0375">
        <w:t xml:space="preserve"> the express written permission of DWP in line with the DWP </w:t>
      </w:r>
      <w:r w:rsidR="000B3ABF" w:rsidRPr="00B14350">
        <w:rPr>
          <w:szCs w:val="20"/>
        </w:rPr>
        <w:t xml:space="preserve">Security Policy </w:t>
      </w:r>
      <w:r w:rsidR="00265B47" w:rsidRPr="00B14350">
        <w:rPr>
          <w:szCs w:val="20"/>
        </w:rPr>
        <w:t>for</w:t>
      </w:r>
      <w:r w:rsidR="000B3ABF" w:rsidRPr="00B14350">
        <w:rPr>
          <w:szCs w:val="20"/>
        </w:rPr>
        <w:t xml:space="preserve"> Contractors and DWP T</w:t>
      </w:r>
      <w:r w:rsidR="00F57986" w:rsidRPr="00B14350">
        <w:rPr>
          <w:szCs w:val="20"/>
        </w:rPr>
        <w:t xml:space="preserve">erms </w:t>
      </w:r>
      <w:r w:rsidR="000B3ABF" w:rsidRPr="00B14350">
        <w:rPr>
          <w:szCs w:val="20"/>
        </w:rPr>
        <w:t>&amp;</w:t>
      </w:r>
      <w:r w:rsidR="00F57986" w:rsidRPr="00B14350">
        <w:rPr>
          <w:szCs w:val="20"/>
        </w:rPr>
        <w:t xml:space="preserve"> </w:t>
      </w:r>
      <w:r w:rsidR="000B3ABF" w:rsidRPr="00B14350">
        <w:rPr>
          <w:szCs w:val="20"/>
        </w:rPr>
        <w:t>C</w:t>
      </w:r>
      <w:r w:rsidR="00F57986" w:rsidRPr="00B14350">
        <w:rPr>
          <w:szCs w:val="20"/>
        </w:rPr>
        <w:t>onditions</w:t>
      </w:r>
      <w:r w:rsidR="000B3ABF" w:rsidRPr="00B14350">
        <w:rPr>
          <w:szCs w:val="20"/>
        </w:rPr>
        <w:t>.</w:t>
      </w:r>
      <w:r w:rsidR="000B3ABF" w:rsidRPr="00B14350">
        <w:rPr>
          <w:i/>
          <w:iCs/>
          <w:lang w:eastAsia="en-GB"/>
        </w:rPr>
        <w:t xml:space="preserve"> </w:t>
      </w:r>
    </w:p>
    <w:p w:rsidR="00FA2086" w:rsidRPr="002E0375" w:rsidRDefault="00E74D69" w:rsidP="00E74D69">
      <w:pPr>
        <w:spacing w:after="240"/>
        <w:ind w:left="720" w:hanging="720"/>
      </w:pPr>
      <w:r>
        <w:t>A5.8</w:t>
      </w:r>
      <w:r>
        <w:tab/>
      </w:r>
      <w:r w:rsidR="00FA2086" w:rsidRPr="002E0375">
        <w:t xml:space="preserve">Security assurance for </w:t>
      </w:r>
      <w:r w:rsidR="008A45C0" w:rsidRPr="002E0375">
        <w:t>Provider</w:t>
      </w:r>
      <w:r w:rsidR="00592EDD" w:rsidRPr="002E0375">
        <w:t>s</w:t>
      </w:r>
      <w:r w:rsidR="00FA2086" w:rsidRPr="002E0375">
        <w:t xml:space="preserve"> and their supply chain is through completing a </w:t>
      </w:r>
      <w:r w:rsidR="00F57986" w:rsidRPr="002E0375">
        <w:t xml:space="preserve">draft </w:t>
      </w:r>
      <w:r w:rsidR="00FA2086" w:rsidRPr="002E0375">
        <w:t xml:space="preserve">security plan. </w:t>
      </w:r>
      <w:r w:rsidR="008A45C0" w:rsidRPr="002E0375">
        <w:t>Provider</w:t>
      </w:r>
      <w:r w:rsidR="00FA2086" w:rsidRPr="002E0375">
        <w:t xml:space="preserve">s </w:t>
      </w:r>
      <w:r w:rsidR="00BB5BC5" w:rsidRPr="002E0375">
        <w:t xml:space="preserve">will be expected to </w:t>
      </w:r>
      <w:r w:rsidR="00FA2086" w:rsidRPr="002E0375">
        <w:t xml:space="preserve">submit their draft security plans as part of </w:t>
      </w:r>
      <w:r w:rsidR="00BB5BC5" w:rsidRPr="002E0375">
        <w:t>their response to this</w:t>
      </w:r>
      <w:r w:rsidR="00FA2086" w:rsidRPr="002E0375">
        <w:t xml:space="preserve"> competition and </w:t>
      </w:r>
      <w:r w:rsidR="00BB5BC5" w:rsidRPr="002E0375">
        <w:t>a</w:t>
      </w:r>
      <w:r w:rsidR="00FA2086" w:rsidRPr="002E0375">
        <w:t xml:space="preserve">re expected to maintain this. This </w:t>
      </w:r>
      <w:r w:rsidR="00BB5BC5" w:rsidRPr="002E0375">
        <w:t xml:space="preserve">will </w:t>
      </w:r>
      <w:r w:rsidR="00FA2086" w:rsidRPr="002E0375">
        <w:t xml:space="preserve">set out the security measures to be implemented and maintained by the prime </w:t>
      </w:r>
      <w:r w:rsidR="008A45C0" w:rsidRPr="002E0375">
        <w:t>Provider</w:t>
      </w:r>
      <w:r w:rsidR="00FA2086" w:rsidRPr="002E0375">
        <w:t xml:space="preserve"> throughout the entire supply chain in relation to all aspects of the service, including processes associated with delivery. </w:t>
      </w:r>
      <w:r w:rsidR="008A45C0" w:rsidRPr="002E0375">
        <w:t>Provider</w:t>
      </w:r>
      <w:r w:rsidR="00FA2086" w:rsidRPr="002E0375">
        <w:t xml:space="preserve">s must send </w:t>
      </w:r>
      <w:r w:rsidR="00BB5BC5" w:rsidRPr="002E0375">
        <w:t xml:space="preserve">their </w:t>
      </w:r>
      <w:r w:rsidR="00F57986" w:rsidRPr="002E0375">
        <w:t>draft s</w:t>
      </w:r>
      <w:r w:rsidR="00FA2086" w:rsidRPr="002E0375">
        <w:t xml:space="preserve">ecurity </w:t>
      </w:r>
      <w:r w:rsidR="00F57986" w:rsidRPr="002E0375">
        <w:t>p</w:t>
      </w:r>
      <w:r w:rsidR="00FA2086" w:rsidRPr="002E0375">
        <w:t xml:space="preserve">lan as part of their </w:t>
      </w:r>
      <w:r w:rsidR="00256274" w:rsidRPr="002E0375">
        <w:t>tender</w:t>
      </w:r>
      <w:r w:rsidR="00FA2086" w:rsidRPr="002E0375">
        <w:t xml:space="preserve"> for </w:t>
      </w:r>
      <w:r w:rsidR="0031406A" w:rsidRPr="002E0375">
        <w:t xml:space="preserve">NEA </w:t>
      </w:r>
      <w:r w:rsidR="004C3437" w:rsidRPr="00B14350">
        <w:rPr>
          <w:rFonts w:cs="Arial"/>
          <w:lang w:eastAsia="en-GB"/>
        </w:rPr>
        <w:t xml:space="preserve">Phase 2 </w:t>
      </w:r>
      <w:r w:rsidR="00265B47" w:rsidRPr="002E0375">
        <w:t>by</w:t>
      </w:r>
      <w:r w:rsidR="00FA2086" w:rsidRPr="002E0375">
        <w:t xml:space="preserve"> completing and returning the template</w:t>
      </w:r>
      <w:r w:rsidR="008B605F" w:rsidRPr="002E0375">
        <w:t xml:space="preserve">. </w:t>
      </w:r>
      <w:r w:rsidR="006100B9" w:rsidRPr="002E0375">
        <w:t xml:space="preserve"> </w:t>
      </w:r>
      <w:r w:rsidR="00FA2086" w:rsidRPr="002E0375">
        <w:t xml:space="preserve">Further information is </w:t>
      </w:r>
      <w:r w:rsidR="00DD0A2F" w:rsidRPr="002E0375">
        <w:t>available</w:t>
      </w:r>
      <w:r w:rsidR="00FA2086" w:rsidRPr="002E0375">
        <w:t xml:space="preserve"> in the Instructions to </w:t>
      </w:r>
      <w:r w:rsidR="00BB5BC5" w:rsidRPr="002E0375">
        <w:t>Potential Suppliers</w:t>
      </w:r>
      <w:r w:rsidR="008B605F" w:rsidRPr="002E0375">
        <w:t>.</w:t>
      </w:r>
    </w:p>
    <w:p w:rsidR="00FA2086" w:rsidRPr="002E0375" w:rsidRDefault="00E74D69" w:rsidP="00E74D69">
      <w:pPr>
        <w:spacing w:after="240"/>
        <w:ind w:left="720" w:hanging="720"/>
      </w:pPr>
      <w:r>
        <w:t>A5.9</w:t>
      </w:r>
      <w:r>
        <w:tab/>
      </w:r>
      <w:r w:rsidR="00FA2086" w:rsidRPr="002E0375">
        <w:t xml:space="preserve">Data security is one of the areas risk assessed by the </w:t>
      </w:r>
      <w:r w:rsidR="006650A2" w:rsidRPr="002E0375">
        <w:t xml:space="preserve">(CEP) </w:t>
      </w:r>
      <w:r w:rsidR="008A45C0" w:rsidRPr="002E0375">
        <w:t>Provider</w:t>
      </w:r>
      <w:r w:rsidR="00FA2086" w:rsidRPr="002E0375">
        <w:t xml:space="preserve"> Assurance</w:t>
      </w:r>
      <w:r w:rsidR="009E7836" w:rsidRPr="002E0375">
        <w:t xml:space="preserve"> Team</w:t>
      </w:r>
      <w:r w:rsidR="00FA2086" w:rsidRPr="002E0375">
        <w:t>. In addition data security will remain subject to spot checks by the Supply Chain Information Assurance Team (SCIAT). Furthermore, the Head of Compliance will continue to regularly report the number and outcomes of data security checks carried out during the previous quarter to the DWP Permanent Secretary.</w:t>
      </w:r>
    </w:p>
    <w:p w:rsidR="00096776" w:rsidRPr="002E0375" w:rsidRDefault="00E74D69" w:rsidP="00E74D69">
      <w:pPr>
        <w:spacing w:after="240"/>
        <w:ind w:left="720" w:hanging="720"/>
      </w:pPr>
      <w:r>
        <w:t>A5.10</w:t>
      </w:r>
      <w:r>
        <w:tab/>
      </w:r>
      <w:r w:rsidR="00FA2086" w:rsidRPr="002E0375">
        <w:t xml:space="preserve">In the event of any breach of information security </w:t>
      </w:r>
      <w:r w:rsidR="00B43C86" w:rsidRPr="002E0375">
        <w:t xml:space="preserve">which may or may not </w:t>
      </w:r>
      <w:r w:rsidR="00FA2086" w:rsidRPr="002E0375">
        <w:t xml:space="preserve">result in an investigation by the Information Commissioner’s Office (ICO), DWP will consider whether a major breach of contract has occurred within the T&amp;Cs. </w:t>
      </w:r>
      <w:r w:rsidR="008A45C0" w:rsidRPr="002E0375">
        <w:t>Provider</w:t>
      </w:r>
      <w:r w:rsidR="00FA2086" w:rsidRPr="002E0375">
        <w:t xml:space="preserve">s will be responsible for paying any fine levied on DWP following an investigation by the ICO. </w:t>
      </w:r>
    </w:p>
    <w:p w:rsidR="00776A79" w:rsidRPr="002E0375" w:rsidRDefault="00FA2086" w:rsidP="00B14350">
      <w:pPr>
        <w:pStyle w:val="Default"/>
        <w:spacing w:after="240"/>
        <w:rPr>
          <w:b/>
          <w:bCs/>
          <w:color w:val="auto"/>
          <w:sz w:val="28"/>
          <w:szCs w:val="28"/>
        </w:rPr>
      </w:pPr>
      <w:r w:rsidRPr="002E0375">
        <w:rPr>
          <w:rFonts w:cs="Times New Roman"/>
          <w:b/>
          <w:color w:val="auto"/>
          <w:sz w:val="28"/>
          <w:szCs w:val="28"/>
          <w:lang w:eastAsia="en-US"/>
        </w:rPr>
        <w:t>L</w:t>
      </w:r>
      <w:r w:rsidRPr="002E0375">
        <w:rPr>
          <w:b/>
          <w:bCs/>
          <w:color w:val="auto"/>
          <w:sz w:val="28"/>
          <w:szCs w:val="28"/>
        </w:rPr>
        <w:t>egislation and Principal Regulations</w:t>
      </w:r>
    </w:p>
    <w:p w:rsidR="00FA2086" w:rsidRPr="002E0375" w:rsidRDefault="00E74D69" w:rsidP="00E74D69">
      <w:pPr>
        <w:pStyle w:val="Default"/>
        <w:spacing w:after="240"/>
        <w:ind w:left="720" w:hanging="720"/>
        <w:rPr>
          <w:color w:val="auto"/>
        </w:rPr>
      </w:pPr>
      <w:r>
        <w:rPr>
          <w:color w:val="auto"/>
        </w:rPr>
        <w:t>A5.11</w:t>
      </w:r>
      <w:r>
        <w:rPr>
          <w:color w:val="auto"/>
        </w:rPr>
        <w:tab/>
      </w:r>
      <w:r w:rsidR="008A45C0" w:rsidRPr="002E0375">
        <w:rPr>
          <w:color w:val="auto"/>
        </w:rPr>
        <w:t>Provider</w:t>
      </w:r>
      <w:r w:rsidR="00592EDD" w:rsidRPr="002E0375">
        <w:rPr>
          <w:color w:val="auto"/>
        </w:rPr>
        <w:t>s</w:t>
      </w:r>
      <w:r w:rsidR="00FA2086" w:rsidRPr="002E0375">
        <w:rPr>
          <w:color w:val="auto"/>
        </w:rPr>
        <w:t xml:space="preserve"> must ensure that they remain compliant with current and future changes in the law</w:t>
      </w:r>
      <w:r w:rsidR="00E81025" w:rsidRPr="002E0375">
        <w:rPr>
          <w:color w:val="auto"/>
        </w:rPr>
        <w:t xml:space="preserve"> and DWP Policy</w:t>
      </w:r>
      <w:r w:rsidR="00FA2086" w:rsidRPr="002E0375">
        <w:rPr>
          <w:color w:val="auto"/>
        </w:rPr>
        <w:t>. For example:</w:t>
      </w:r>
    </w:p>
    <w:p w:rsidR="00FA2086" w:rsidRPr="00E74D69" w:rsidRDefault="00711BC9" w:rsidP="00E74D69">
      <w:pPr>
        <w:pStyle w:val="ListParagraph"/>
        <w:numPr>
          <w:ilvl w:val="0"/>
          <w:numId w:val="76"/>
        </w:numPr>
        <w:autoSpaceDE w:val="0"/>
        <w:autoSpaceDN w:val="0"/>
        <w:adjustRightInd w:val="0"/>
        <w:spacing w:after="240"/>
        <w:rPr>
          <w:rFonts w:cs="Arial"/>
        </w:rPr>
      </w:pPr>
      <w:r w:rsidRPr="00E74D69">
        <w:rPr>
          <w:rFonts w:cs="Arial"/>
        </w:rPr>
        <w:t>E</w:t>
      </w:r>
      <w:r w:rsidR="00FA2086" w:rsidRPr="00E74D69">
        <w:rPr>
          <w:rFonts w:cs="Arial"/>
        </w:rPr>
        <w:t xml:space="preserve">nsuring the </w:t>
      </w:r>
      <w:r w:rsidR="00776A79" w:rsidRPr="00E74D69">
        <w:rPr>
          <w:rFonts w:cs="Arial"/>
        </w:rPr>
        <w:t xml:space="preserve">NEA </w:t>
      </w:r>
      <w:r w:rsidR="00265B47" w:rsidRPr="00E74D69">
        <w:rPr>
          <w:rFonts w:cs="Arial"/>
        </w:rPr>
        <w:t>supports</w:t>
      </w:r>
      <w:r w:rsidR="00FA2086" w:rsidRPr="00E74D69">
        <w:rPr>
          <w:rFonts w:cs="Arial"/>
        </w:rPr>
        <w:t xml:space="preserve"> the DWP’s Public Sector Equality Duty as outlined in the Equality Act 2010</w:t>
      </w:r>
      <w:r w:rsidR="00220DF6" w:rsidRPr="00E74D69">
        <w:rPr>
          <w:rFonts w:cs="Arial"/>
        </w:rPr>
        <w:t>,</w:t>
      </w:r>
    </w:p>
    <w:p w:rsidR="00FA2086" w:rsidRPr="00E74D69" w:rsidRDefault="00711BC9" w:rsidP="00E74D69">
      <w:pPr>
        <w:pStyle w:val="ListParagraph"/>
        <w:numPr>
          <w:ilvl w:val="0"/>
          <w:numId w:val="76"/>
        </w:numPr>
        <w:autoSpaceDE w:val="0"/>
        <w:autoSpaceDN w:val="0"/>
        <w:adjustRightInd w:val="0"/>
        <w:spacing w:after="240"/>
        <w:rPr>
          <w:rFonts w:cs="Arial"/>
        </w:rPr>
      </w:pPr>
      <w:r w:rsidRPr="00E74D69">
        <w:rPr>
          <w:rFonts w:cs="Arial"/>
        </w:rPr>
        <w:t>P</w:t>
      </w:r>
      <w:r w:rsidR="00FA2086" w:rsidRPr="00E74D69">
        <w:rPr>
          <w:rFonts w:cs="Arial"/>
        </w:rPr>
        <w:t xml:space="preserve">roviding appropriate services </w:t>
      </w:r>
      <w:r w:rsidR="000E083C" w:rsidRPr="00E74D69">
        <w:rPr>
          <w:rFonts w:cs="Arial"/>
        </w:rPr>
        <w:t xml:space="preserve">to ensure compatibility with the Equalities Act for example,  </w:t>
      </w:r>
      <w:r w:rsidR="00FA2086" w:rsidRPr="00E74D69">
        <w:rPr>
          <w:rFonts w:cs="Arial"/>
        </w:rPr>
        <w:t xml:space="preserve">to enable communication with </w:t>
      </w:r>
      <w:r w:rsidR="008A45C0" w:rsidRPr="00E74D69">
        <w:rPr>
          <w:rFonts w:cs="Arial"/>
        </w:rPr>
        <w:t>Participant</w:t>
      </w:r>
      <w:r w:rsidR="000249F3" w:rsidRPr="00E74D69">
        <w:rPr>
          <w:rFonts w:cs="Arial"/>
        </w:rPr>
        <w:t xml:space="preserve">s </w:t>
      </w:r>
      <w:r w:rsidR="00FA2086" w:rsidRPr="00E74D69">
        <w:rPr>
          <w:rFonts w:cs="Arial"/>
        </w:rPr>
        <w:t>who do not speak English as a first language or who are deaf, hearing impaired or have a speech impediment;</w:t>
      </w:r>
    </w:p>
    <w:p w:rsidR="0037031C" w:rsidRPr="00E74D69" w:rsidRDefault="00711BC9" w:rsidP="00E74D69">
      <w:pPr>
        <w:pStyle w:val="ListParagraph"/>
        <w:numPr>
          <w:ilvl w:val="0"/>
          <w:numId w:val="76"/>
        </w:numPr>
        <w:autoSpaceDE w:val="0"/>
        <w:autoSpaceDN w:val="0"/>
        <w:adjustRightInd w:val="0"/>
        <w:spacing w:after="240"/>
        <w:rPr>
          <w:rFonts w:cs="Arial"/>
          <w:b/>
        </w:rPr>
      </w:pPr>
      <w:r w:rsidRPr="00E74D69">
        <w:rPr>
          <w:rFonts w:cs="Arial"/>
        </w:rPr>
        <w:t>W</w:t>
      </w:r>
      <w:r w:rsidR="00FA2086" w:rsidRPr="00E74D69">
        <w:rPr>
          <w:rFonts w:cs="Arial"/>
        </w:rPr>
        <w:t xml:space="preserve">here the </w:t>
      </w:r>
      <w:r w:rsidR="008A45C0" w:rsidRPr="00E74D69">
        <w:rPr>
          <w:rFonts w:cs="Arial"/>
        </w:rPr>
        <w:t>Provider</w:t>
      </w:r>
      <w:r w:rsidR="00FA2086" w:rsidRPr="00E74D69">
        <w:rPr>
          <w:rFonts w:cs="Arial"/>
        </w:rPr>
        <w:t xml:space="preserve"> is operating in an area with a high minority ethnic population, materials in the appropriate ethnic minority language mu</w:t>
      </w:r>
      <w:r w:rsidR="00B001F1" w:rsidRPr="00E74D69">
        <w:rPr>
          <w:rFonts w:cs="Arial"/>
        </w:rPr>
        <w:t xml:space="preserve">st be made </w:t>
      </w:r>
      <w:r w:rsidR="00DD0A2F" w:rsidRPr="00E74D69">
        <w:rPr>
          <w:rFonts w:cs="Arial"/>
        </w:rPr>
        <w:t>available</w:t>
      </w:r>
      <w:r w:rsidR="00B001F1" w:rsidRPr="00E74D69">
        <w:rPr>
          <w:rFonts w:cs="Arial"/>
        </w:rPr>
        <w:t xml:space="preserve"> on request.</w:t>
      </w:r>
      <w:r w:rsidR="00FA2086" w:rsidRPr="00E74D69">
        <w:rPr>
          <w:rFonts w:cs="Arial"/>
        </w:rPr>
        <w:t xml:space="preserve"> </w:t>
      </w:r>
    </w:p>
    <w:p w:rsidR="0037031C" w:rsidRPr="002E0375" w:rsidRDefault="0037031C" w:rsidP="00B14350">
      <w:pPr>
        <w:spacing w:after="240"/>
        <w:rPr>
          <w:rFonts w:cs="Arial"/>
          <w:b/>
          <w:sz w:val="28"/>
          <w:szCs w:val="28"/>
        </w:rPr>
      </w:pPr>
      <w:r w:rsidRPr="002E0375">
        <w:rPr>
          <w:rFonts w:cs="Arial"/>
          <w:b/>
          <w:sz w:val="28"/>
          <w:szCs w:val="28"/>
        </w:rPr>
        <w:t>Making claims for payment</w:t>
      </w:r>
    </w:p>
    <w:p w:rsidR="00071A8A" w:rsidRPr="002E0375" w:rsidRDefault="00E74D69" w:rsidP="00E74D69">
      <w:pPr>
        <w:spacing w:after="240"/>
        <w:ind w:left="720" w:hanging="720"/>
      </w:pPr>
      <w:r>
        <w:t>A5.12</w:t>
      </w:r>
      <w:r>
        <w:tab/>
      </w:r>
      <w:r w:rsidR="00071A8A" w:rsidRPr="002E0375">
        <w:t xml:space="preserve">Before submitting any claim, </w:t>
      </w:r>
      <w:r w:rsidR="008A45C0" w:rsidRPr="002E0375">
        <w:t>Provider</w:t>
      </w:r>
      <w:r w:rsidR="00071A8A" w:rsidRPr="002E0375">
        <w:t xml:space="preserve">s will need to assure themselves that they only submit claims for payment to which they are entitled. </w:t>
      </w:r>
      <w:r w:rsidR="008A45C0" w:rsidRPr="002E0375">
        <w:t>Provider</w:t>
      </w:r>
      <w:r w:rsidR="00071A8A" w:rsidRPr="002E0375">
        <w:t>s will be expected to make a declaration to this effect.</w:t>
      </w:r>
    </w:p>
    <w:p w:rsidR="00071A8A" w:rsidRPr="00B14350" w:rsidRDefault="00E74D69" w:rsidP="00E74D69">
      <w:pPr>
        <w:spacing w:after="240"/>
        <w:ind w:left="720" w:hanging="720"/>
        <w:rPr>
          <w:b/>
          <w:bCs/>
          <w:i/>
          <w:iCs/>
        </w:rPr>
      </w:pPr>
      <w:r>
        <w:lastRenderedPageBreak/>
        <w:t>A5.13</w:t>
      </w:r>
      <w:r>
        <w:tab/>
      </w:r>
      <w:r w:rsidR="00071A8A" w:rsidRPr="009F7160">
        <w:t>To</w:t>
      </w:r>
      <w:r w:rsidR="00071A8A" w:rsidRPr="002E0375">
        <w:t xml:space="preserve"> do this, </w:t>
      </w:r>
      <w:r w:rsidR="008A45C0" w:rsidRPr="002E0375">
        <w:t>Provider</w:t>
      </w:r>
      <w:r w:rsidR="00071A8A" w:rsidRPr="002E0375">
        <w:t>s will be expected to maintain a robust system of internal control which must include appropriate checks, monitoring arrangements and adequate records to demonstrate that they are entitled to make the claim.</w:t>
      </w:r>
      <w:r w:rsidR="00071A8A" w:rsidRPr="00B14350">
        <w:rPr>
          <w:b/>
          <w:bCs/>
          <w:i/>
          <w:iCs/>
        </w:rPr>
        <w:t xml:space="preserve"> </w:t>
      </w:r>
    </w:p>
    <w:p w:rsidR="005F4359" w:rsidRPr="002E0375" w:rsidRDefault="00E74D69" w:rsidP="00E74D69">
      <w:pPr>
        <w:spacing w:after="240"/>
        <w:ind w:left="720" w:hanging="720"/>
      </w:pPr>
      <w:r>
        <w:t>A5.14</w:t>
      </w:r>
      <w:r>
        <w:tab/>
      </w:r>
      <w:r w:rsidR="00071A8A" w:rsidRPr="002E0375">
        <w:t>The records maintained need to be sufficient not only to support any claims but also to allow internal management checks and independent validation, for</w:t>
      </w:r>
      <w:r w:rsidR="00B001F1" w:rsidRPr="002E0375">
        <w:t xml:space="preserve"> </w:t>
      </w:r>
      <w:r w:rsidR="00071A8A" w:rsidRPr="002E0375">
        <w:t>example by DWP and other external bodies.</w:t>
      </w:r>
      <w:r w:rsidR="00386E94" w:rsidRPr="002E0375">
        <w:t xml:space="preserve"> The records maintained should </w:t>
      </w:r>
      <w:r w:rsidR="00071A8A" w:rsidRPr="002E0375">
        <w:t xml:space="preserve">document how and when the </w:t>
      </w:r>
      <w:r w:rsidR="005F3B4C" w:rsidRPr="002E0375">
        <w:t>self-</w:t>
      </w:r>
      <w:r w:rsidR="00071A8A" w:rsidRPr="002E0375">
        <w:t>employment information was obtained and be</w:t>
      </w:r>
      <w:r w:rsidR="00B001F1" w:rsidRPr="002E0375">
        <w:t xml:space="preserve"> </w:t>
      </w:r>
      <w:r w:rsidR="00071A8A" w:rsidRPr="002E0375">
        <w:t xml:space="preserve">made </w:t>
      </w:r>
      <w:r w:rsidR="00DD0A2F" w:rsidRPr="002E0375">
        <w:t>available</w:t>
      </w:r>
      <w:r w:rsidR="00071A8A" w:rsidRPr="002E0375">
        <w:t xml:space="preserve"> to test by DWP and other external bodies.</w:t>
      </w:r>
      <w:r w:rsidR="00610010" w:rsidRPr="002E0375">
        <w:t xml:space="preserve"> </w:t>
      </w:r>
    </w:p>
    <w:p w:rsidR="00F62587" w:rsidRPr="002E0375" w:rsidRDefault="00776A79" w:rsidP="00B14350">
      <w:pPr>
        <w:spacing w:after="240"/>
        <w:rPr>
          <w:b/>
        </w:rPr>
      </w:pPr>
      <w:r w:rsidRPr="002E0375">
        <w:rPr>
          <w:b/>
          <w:sz w:val="28"/>
          <w:szCs w:val="28"/>
        </w:rPr>
        <w:t>O</w:t>
      </w:r>
      <w:r w:rsidR="00071A8A" w:rsidRPr="002E0375">
        <w:rPr>
          <w:b/>
          <w:sz w:val="28"/>
          <w:szCs w:val="28"/>
        </w:rPr>
        <w:t>utcome fee</w:t>
      </w:r>
      <w:r w:rsidRPr="002E0375">
        <w:rPr>
          <w:b/>
          <w:sz w:val="28"/>
          <w:szCs w:val="28"/>
        </w:rPr>
        <w:t>s</w:t>
      </w:r>
      <w:r w:rsidR="00950A70" w:rsidRPr="002E0375">
        <w:rPr>
          <w:b/>
          <w:sz w:val="28"/>
          <w:szCs w:val="28"/>
        </w:rPr>
        <w:t xml:space="preserve"> </w:t>
      </w:r>
    </w:p>
    <w:p w:rsidR="00071A8A" w:rsidRPr="002E0375" w:rsidRDefault="00E74D69" w:rsidP="00E74D69">
      <w:pPr>
        <w:spacing w:after="240"/>
        <w:ind w:left="720" w:hanging="720"/>
      </w:pPr>
      <w:r>
        <w:t>A5.15</w:t>
      </w:r>
      <w:r>
        <w:tab/>
      </w:r>
      <w:r w:rsidR="00071A8A" w:rsidRPr="002E0375">
        <w:t>DWP will validate outcome payments on a regular basis by conducting a series of</w:t>
      </w:r>
      <w:r w:rsidR="00303B0B" w:rsidRPr="002E0375">
        <w:t xml:space="preserve"> </w:t>
      </w:r>
      <w:r w:rsidR="00071A8A" w:rsidRPr="002E0375">
        <w:t xml:space="preserve">post payment checks. These checks will be performed at the optimum time to allow DWP systems to be updated. Further details will be provided in </w:t>
      </w:r>
      <w:r w:rsidR="00776A79" w:rsidRPr="00B14350">
        <w:rPr>
          <w:rFonts w:cs="Arial"/>
        </w:rPr>
        <w:t xml:space="preserve">NEA </w:t>
      </w:r>
      <w:r w:rsidR="004C3437" w:rsidRPr="00B14350">
        <w:rPr>
          <w:rFonts w:cs="Arial"/>
          <w:lang w:eastAsia="en-GB"/>
        </w:rPr>
        <w:t xml:space="preserve">Phase 2 </w:t>
      </w:r>
      <w:r w:rsidR="008A45C0" w:rsidRPr="002E0375">
        <w:t>Provider</w:t>
      </w:r>
      <w:r w:rsidR="00CE461D" w:rsidRPr="002E0375">
        <w:t xml:space="preserve"> guidance</w:t>
      </w:r>
      <w:r w:rsidR="00071A8A" w:rsidRPr="002E0375">
        <w:t xml:space="preserve">. </w:t>
      </w:r>
    </w:p>
    <w:p w:rsidR="00D2471D" w:rsidRPr="002E0375" w:rsidRDefault="00E74D69" w:rsidP="00E74D69">
      <w:pPr>
        <w:spacing w:after="240"/>
        <w:ind w:left="720" w:hanging="720"/>
        <w:sectPr w:rsidR="00D2471D" w:rsidRPr="002E0375" w:rsidSect="00771099">
          <w:pgSz w:w="12240" w:h="15840" w:code="1"/>
          <w:pgMar w:top="1304" w:right="1134" w:bottom="1304" w:left="1134" w:header="720" w:footer="720" w:gutter="0"/>
          <w:cols w:space="720"/>
          <w:noEndnote/>
        </w:sectPr>
      </w:pPr>
      <w:r>
        <w:t>A5.16</w:t>
      </w:r>
      <w:r>
        <w:tab/>
      </w:r>
      <w:r w:rsidR="00F649C3" w:rsidRPr="002E0375">
        <w:t>As part of the post-payment validation process, where DWP identifies erroneous outcomes, not only will these be recovered, but also the error rate will inform extrapolation calculation across the total population of paid claims for the sample period concerned. In order to perform this adjustment a statistically valid sample will be used that is representative across the total paid claim population.</w:t>
      </w:r>
      <w:r w:rsidR="00C57DFE" w:rsidRPr="002E0375">
        <w:t xml:space="preserve"> </w:t>
      </w:r>
    </w:p>
    <w:p w:rsidR="005E355A" w:rsidRPr="002E0375" w:rsidRDefault="005E355A" w:rsidP="00690E9E">
      <w:pPr>
        <w:autoSpaceDE w:val="0"/>
        <w:autoSpaceDN w:val="0"/>
        <w:adjustRightInd w:val="0"/>
        <w:spacing w:after="240"/>
        <w:jc w:val="right"/>
        <w:rPr>
          <w:rFonts w:cs="Arial"/>
          <w:b/>
          <w:bCs/>
          <w:lang w:eastAsia="en-GB"/>
        </w:rPr>
      </w:pPr>
      <w:bookmarkStart w:id="25" w:name="_LABOUR_MARKET_INFORMATION"/>
      <w:bookmarkStart w:id="26" w:name="_SOURCES_OF_ADDITIONAL"/>
      <w:bookmarkStart w:id="27" w:name="_EUROPEAN_SOCIAL_FUND"/>
      <w:bookmarkEnd w:id="25"/>
      <w:bookmarkEnd w:id="26"/>
      <w:bookmarkEnd w:id="27"/>
      <w:r w:rsidRPr="002E0375">
        <w:rPr>
          <w:rFonts w:cs="Arial"/>
          <w:b/>
          <w:bCs/>
          <w:lang w:eastAsia="en-GB"/>
        </w:rPr>
        <w:lastRenderedPageBreak/>
        <w:t xml:space="preserve">Annex </w:t>
      </w:r>
      <w:r w:rsidR="001A7831">
        <w:rPr>
          <w:rFonts w:cs="Arial"/>
          <w:b/>
          <w:bCs/>
          <w:lang w:eastAsia="en-GB"/>
        </w:rPr>
        <w:t>6</w:t>
      </w:r>
    </w:p>
    <w:p w:rsidR="003E3C33" w:rsidRPr="00402D61" w:rsidRDefault="005E355A" w:rsidP="00690E9E">
      <w:pPr>
        <w:pStyle w:val="Heading1"/>
        <w:tabs>
          <w:tab w:val="clear" w:pos="432"/>
        </w:tabs>
        <w:spacing w:after="240"/>
        <w:rPr>
          <w:color w:val="FF0000"/>
          <w:sz w:val="28"/>
          <w:szCs w:val="28"/>
          <w:u w:val="single"/>
        </w:rPr>
      </w:pPr>
      <w:bookmarkStart w:id="28" w:name="_EVIDENCE_REQUIREMENTS"/>
      <w:bookmarkEnd w:id="28"/>
      <w:r w:rsidRPr="002E0375">
        <w:rPr>
          <w:sz w:val="28"/>
          <w:szCs w:val="28"/>
          <w:u w:val="single"/>
        </w:rPr>
        <w:t>EVIDENCE REQUIREMENTS</w:t>
      </w:r>
      <w:r w:rsidR="002D16C2" w:rsidRPr="002E0375">
        <w:rPr>
          <w:sz w:val="28"/>
          <w:szCs w:val="28"/>
          <w:u w:val="single"/>
        </w:rPr>
        <w:t xml:space="preserve">  </w:t>
      </w:r>
    </w:p>
    <w:p w:rsidR="00367D2D" w:rsidRPr="002E0375" w:rsidRDefault="00E74D69" w:rsidP="00E74D69">
      <w:pPr>
        <w:spacing w:after="240"/>
        <w:ind w:left="720" w:hanging="720"/>
      </w:pPr>
      <w:r>
        <w:t>A6.1</w:t>
      </w:r>
      <w:r>
        <w:tab/>
      </w:r>
      <w:r w:rsidR="00367D2D" w:rsidRPr="002E0375">
        <w:t xml:space="preserve">Evidence that can support delivery of the provision as specified within this document must be kept by the </w:t>
      </w:r>
      <w:r w:rsidR="008A45C0" w:rsidRPr="002E0375">
        <w:t>Provider</w:t>
      </w:r>
      <w:r w:rsidR="00367D2D" w:rsidRPr="002E0375">
        <w:t xml:space="preserve">. </w:t>
      </w:r>
    </w:p>
    <w:p w:rsidR="009F010F" w:rsidRPr="002E0375" w:rsidRDefault="00E74D69" w:rsidP="00E74D69">
      <w:pPr>
        <w:spacing w:after="240"/>
        <w:ind w:left="720" w:hanging="720"/>
        <w:rPr>
          <w:rFonts w:cs="Arial"/>
          <w:lang w:eastAsia="en-GB"/>
        </w:rPr>
      </w:pPr>
      <w:r>
        <w:rPr>
          <w:rFonts w:cs="Arial"/>
          <w:lang w:eastAsia="en-GB"/>
        </w:rPr>
        <w:t>A6.2</w:t>
      </w:r>
      <w:r>
        <w:rPr>
          <w:rFonts w:cs="Arial"/>
          <w:lang w:eastAsia="en-GB"/>
        </w:rPr>
        <w:tab/>
      </w:r>
      <w:r w:rsidR="008A45C0" w:rsidRPr="002E0375">
        <w:rPr>
          <w:rFonts w:cs="Arial"/>
          <w:lang w:eastAsia="en-GB"/>
        </w:rPr>
        <w:t>Provider</w:t>
      </w:r>
      <w:r w:rsidR="009F010F" w:rsidRPr="002E0375">
        <w:rPr>
          <w:rFonts w:cs="Arial"/>
          <w:lang w:eastAsia="en-GB"/>
        </w:rPr>
        <w:t xml:space="preserve">s in CPAs must keep key documentation about the delivery of provision. It is the Prime </w:t>
      </w:r>
      <w:r w:rsidR="008A45C0" w:rsidRPr="002E0375">
        <w:rPr>
          <w:rFonts w:cs="Arial"/>
          <w:lang w:eastAsia="en-GB"/>
        </w:rPr>
        <w:t>Provider</w:t>
      </w:r>
      <w:r w:rsidR="009F010F" w:rsidRPr="002E0375">
        <w:rPr>
          <w:rFonts w:cs="Arial"/>
          <w:lang w:eastAsia="en-GB"/>
        </w:rPr>
        <w:t xml:space="preserve">’s responsibility to ensure that documents and data can be relied on. The </w:t>
      </w:r>
      <w:r w:rsidR="008A45C0" w:rsidRPr="002E0375">
        <w:rPr>
          <w:rFonts w:cs="Arial"/>
          <w:lang w:eastAsia="en-GB"/>
        </w:rPr>
        <w:t>Provider</w:t>
      </w:r>
      <w:r w:rsidR="009F010F" w:rsidRPr="002E0375">
        <w:rPr>
          <w:rFonts w:cs="Arial"/>
          <w:lang w:eastAsia="en-GB"/>
        </w:rPr>
        <w:t xml:space="preserve"> must have robust systems in place to ensure that documentation (paper or electronic) is securely held and are easily accessible</w:t>
      </w:r>
      <w:r w:rsidR="009B3086" w:rsidRPr="002E0375">
        <w:rPr>
          <w:rFonts w:cs="Arial"/>
          <w:lang w:eastAsia="en-GB"/>
        </w:rPr>
        <w:t xml:space="preserve">. </w:t>
      </w:r>
    </w:p>
    <w:p w:rsidR="009F010F" w:rsidRPr="002E0375" w:rsidRDefault="00E74D69" w:rsidP="00E74D69">
      <w:pPr>
        <w:spacing w:after="240"/>
        <w:ind w:left="720" w:hanging="720"/>
        <w:rPr>
          <w:rFonts w:cs="Arial"/>
          <w:lang w:eastAsia="en-GB"/>
        </w:rPr>
      </w:pPr>
      <w:r>
        <w:rPr>
          <w:rFonts w:cs="Arial"/>
          <w:b/>
          <w:lang w:eastAsia="en-GB"/>
        </w:rPr>
        <w:t>A6.3</w:t>
      </w:r>
      <w:r>
        <w:rPr>
          <w:rFonts w:cs="Arial"/>
          <w:b/>
          <w:lang w:eastAsia="en-GB"/>
        </w:rPr>
        <w:tab/>
      </w:r>
      <w:r w:rsidR="009F010F" w:rsidRPr="002E0375">
        <w:rPr>
          <w:rFonts w:cs="Arial"/>
          <w:b/>
          <w:lang w:eastAsia="en-GB"/>
        </w:rPr>
        <w:t>Please Note</w:t>
      </w:r>
      <w:r w:rsidR="009F010F" w:rsidRPr="002E0375">
        <w:rPr>
          <w:rFonts w:cs="Arial"/>
          <w:lang w:eastAsia="en-GB"/>
        </w:rPr>
        <w:t>: DWP and The National Archives recommend t</w:t>
      </w:r>
      <w:r w:rsidR="00B14350">
        <w:rPr>
          <w:rFonts w:cs="Arial"/>
          <w:lang w:eastAsia="en-GB"/>
        </w:rPr>
        <w:t xml:space="preserve">hat electronically held data is </w:t>
      </w:r>
      <w:r w:rsidR="009F010F" w:rsidRPr="002E0375">
        <w:rPr>
          <w:rFonts w:cs="Arial"/>
          <w:lang w:eastAsia="en-GB"/>
        </w:rPr>
        <w:t xml:space="preserve">migrated onto new formats every 5 years to ensure the data remains readable and usable. </w:t>
      </w:r>
    </w:p>
    <w:p w:rsidR="009B3086" w:rsidRPr="00194871" w:rsidRDefault="00566ACC" w:rsidP="00E74D69">
      <w:pPr>
        <w:spacing w:after="240"/>
        <w:ind w:left="720"/>
        <w:rPr>
          <w:rFonts w:cs="Arial"/>
          <w:i/>
          <w:lang w:eastAsia="en-GB"/>
        </w:rPr>
      </w:pPr>
      <w:hyperlink w:anchor="_Table_1" w:history="1">
        <w:r w:rsidR="009F010F" w:rsidRPr="00194871">
          <w:rPr>
            <w:rStyle w:val="Hyperlink"/>
            <w:rFonts w:cs="Arial"/>
            <w:i/>
            <w:color w:val="auto"/>
            <w:lang w:eastAsia="en-GB"/>
          </w:rPr>
          <w:t>Table 1</w:t>
        </w:r>
      </w:hyperlink>
      <w:r w:rsidR="009F010F" w:rsidRPr="00194871">
        <w:rPr>
          <w:rFonts w:cs="Arial"/>
          <w:i/>
          <w:lang w:eastAsia="en-GB"/>
        </w:rPr>
        <w:t xml:space="preserve"> (over the next pages) lists the documentation that must be retained as a minimum</w:t>
      </w:r>
      <w:r w:rsidR="009B3086" w:rsidRPr="00194871">
        <w:rPr>
          <w:rFonts w:cs="Arial"/>
          <w:i/>
          <w:lang w:eastAsia="en-GB"/>
        </w:rPr>
        <w:t>.</w:t>
      </w:r>
      <w:r w:rsidR="009F010F" w:rsidRPr="00194871">
        <w:rPr>
          <w:rFonts w:cs="Arial"/>
          <w:i/>
          <w:lang w:eastAsia="en-GB"/>
        </w:rPr>
        <w:t xml:space="preserve"> </w:t>
      </w:r>
    </w:p>
    <w:p w:rsidR="006C0DBB" w:rsidRPr="002E0375" w:rsidRDefault="006C0DBB" w:rsidP="006C0DBB">
      <w:pPr>
        <w:pStyle w:val="Heading1"/>
        <w:tabs>
          <w:tab w:val="clear" w:pos="432"/>
        </w:tabs>
        <w:spacing w:after="240"/>
        <w:rPr>
          <w:sz w:val="28"/>
          <w:szCs w:val="28"/>
          <w:u w:val="single"/>
        </w:rPr>
      </w:pPr>
      <w:r w:rsidRPr="002E0375">
        <w:rPr>
          <w:sz w:val="28"/>
          <w:szCs w:val="28"/>
          <w:u w:val="single"/>
        </w:rPr>
        <w:t>MANAGEMENT INFORMATION REQUIREMENTS</w:t>
      </w:r>
      <w:r w:rsidR="00304063">
        <w:rPr>
          <w:sz w:val="28"/>
          <w:szCs w:val="28"/>
          <w:u w:val="single"/>
        </w:rPr>
        <w:t xml:space="preserve"> </w:t>
      </w:r>
    </w:p>
    <w:p w:rsidR="00F4090B" w:rsidRDefault="00E74D69" w:rsidP="00EB5545">
      <w:pPr>
        <w:pStyle w:val="Default"/>
        <w:spacing w:after="240"/>
        <w:ind w:left="720" w:hanging="720"/>
        <w:rPr>
          <w:bCs/>
          <w:color w:val="auto"/>
        </w:rPr>
      </w:pPr>
      <w:r w:rsidRPr="00EB5545">
        <w:rPr>
          <w:color w:val="auto"/>
        </w:rPr>
        <w:t>A6.4</w:t>
      </w:r>
      <w:r w:rsidRPr="00EB5545">
        <w:rPr>
          <w:color w:val="auto"/>
        </w:rPr>
        <w:tab/>
      </w:r>
      <w:r w:rsidR="00EB5545" w:rsidRPr="00EB5545">
        <w:rPr>
          <w:color w:val="auto"/>
        </w:rPr>
        <w:t>DWP reserve the right to request any information deemed appropriate to support the performance management (including MPL’s/CSS’s) of the NEA contract and providers should have systems in place to record, capture and provide such information upon request</w:t>
      </w:r>
      <w:r w:rsidR="00194871">
        <w:rPr>
          <w:color w:val="auto"/>
        </w:rPr>
        <w:t>.</w:t>
      </w:r>
      <w:r w:rsidR="00EB5545" w:rsidRPr="00EB5545">
        <w:rPr>
          <w:color w:val="auto"/>
        </w:rPr>
        <w:t xml:space="preserve"> </w:t>
      </w:r>
    </w:p>
    <w:p w:rsidR="00F4090B" w:rsidRDefault="00F4090B" w:rsidP="006C0DBB">
      <w:pPr>
        <w:rPr>
          <w:highlight w:val="yellow"/>
        </w:rPr>
      </w:pPr>
    </w:p>
    <w:p w:rsidR="006C0DBB" w:rsidRPr="000D0C42" w:rsidRDefault="00E74D69" w:rsidP="00E74D69">
      <w:pPr>
        <w:ind w:left="720" w:hanging="720"/>
      </w:pPr>
      <w:r w:rsidRPr="000D0C42">
        <w:t>A6.</w:t>
      </w:r>
      <w:r w:rsidR="00194871">
        <w:t>5</w:t>
      </w:r>
      <w:r w:rsidRPr="000D0C42">
        <w:tab/>
      </w:r>
      <w:r w:rsidR="006C0DBB" w:rsidRPr="000D0C42">
        <w:t xml:space="preserve">DWP will obtain the following information for each individual starting the programme from </w:t>
      </w:r>
      <w:proofErr w:type="spellStart"/>
      <w:r w:rsidR="006C0DBB" w:rsidRPr="000D0C42">
        <w:t>PRaP</w:t>
      </w:r>
      <w:proofErr w:type="spellEnd"/>
      <w:r w:rsidR="006C0DBB" w:rsidRPr="000D0C42">
        <w:t xml:space="preserve">: </w:t>
      </w:r>
    </w:p>
    <w:p w:rsidR="00F43600" w:rsidRPr="000D0C42" w:rsidRDefault="00F43600" w:rsidP="006C0DBB"/>
    <w:p w:rsidR="00F43600" w:rsidRPr="000D0C42" w:rsidRDefault="00E74D69" w:rsidP="006C0DBB">
      <w:r w:rsidRPr="000D0C42">
        <w:t>A6.</w:t>
      </w:r>
      <w:r w:rsidR="00194871">
        <w:t>6</w:t>
      </w:r>
      <w:r w:rsidRPr="000D0C42">
        <w:tab/>
      </w:r>
      <w:r w:rsidR="00F43600" w:rsidRPr="000D0C42">
        <w:t>New Business Start Ups</w:t>
      </w:r>
    </w:p>
    <w:p w:rsidR="006C0DBB" w:rsidRPr="000D0C42" w:rsidRDefault="006C0DBB" w:rsidP="006C0DBB"/>
    <w:p w:rsidR="00F43600" w:rsidRPr="000D0C42" w:rsidRDefault="006C0DBB" w:rsidP="00EC0606">
      <w:pPr>
        <w:numPr>
          <w:ilvl w:val="0"/>
          <w:numId w:val="33"/>
        </w:numPr>
        <w:tabs>
          <w:tab w:val="clear" w:pos="720"/>
        </w:tabs>
        <w:ind w:left="1440"/>
      </w:pPr>
      <w:r w:rsidRPr="000D0C42">
        <w:t>Number of Referrals</w:t>
      </w:r>
    </w:p>
    <w:p w:rsidR="00F43600" w:rsidRPr="000D0C42" w:rsidRDefault="00F43600" w:rsidP="00F43600">
      <w:pPr>
        <w:ind w:left="1440"/>
      </w:pPr>
    </w:p>
    <w:p w:rsidR="00F43600" w:rsidRPr="000D0C42" w:rsidRDefault="00F43600" w:rsidP="00EC0606">
      <w:pPr>
        <w:numPr>
          <w:ilvl w:val="0"/>
          <w:numId w:val="33"/>
        </w:numPr>
        <w:tabs>
          <w:tab w:val="clear" w:pos="720"/>
        </w:tabs>
        <w:ind w:left="1440"/>
      </w:pPr>
      <w:r w:rsidRPr="000D0C42">
        <w:t>Number of Starts on Link Up : Start Up</w:t>
      </w:r>
    </w:p>
    <w:p w:rsidR="006C0DBB" w:rsidRPr="000D0C42" w:rsidRDefault="006C0DBB" w:rsidP="00F43600">
      <w:r w:rsidRPr="000D0C42">
        <w:t xml:space="preserve"> </w:t>
      </w:r>
    </w:p>
    <w:p w:rsidR="006C0DBB" w:rsidRPr="000D0C42" w:rsidRDefault="006C0DBB" w:rsidP="00EC0606">
      <w:pPr>
        <w:numPr>
          <w:ilvl w:val="0"/>
          <w:numId w:val="33"/>
        </w:numPr>
        <w:tabs>
          <w:tab w:val="clear" w:pos="720"/>
        </w:tabs>
        <w:ind w:left="1440"/>
      </w:pPr>
      <w:r w:rsidRPr="000D0C42">
        <w:t xml:space="preserve">Number of Starts </w:t>
      </w:r>
    </w:p>
    <w:p w:rsidR="006C0DBB" w:rsidRPr="000D0C42" w:rsidRDefault="006C0DBB" w:rsidP="006C0DBB"/>
    <w:p w:rsidR="006C0DBB" w:rsidRPr="000D0C42" w:rsidRDefault="006C0DBB" w:rsidP="00EC0606">
      <w:pPr>
        <w:numPr>
          <w:ilvl w:val="0"/>
          <w:numId w:val="33"/>
        </w:numPr>
        <w:tabs>
          <w:tab w:val="clear" w:pos="720"/>
        </w:tabs>
        <w:ind w:left="1440"/>
      </w:pPr>
      <w:r w:rsidRPr="000D0C42">
        <w:t>Number of Trading starts</w:t>
      </w:r>
    </w:p>
    <w:p w:rsidR="006C0DBB" w:rsidRPr="000D0C42" w:rsidRDefault="006C0DBB" w:rsidP="006C0DBB">
      <w:pPr>
        <w:pStyle w:val="ListParagraph"/>
      </w:pPr>
    </w:p>
    <w:p w:rsidR="006C0DBB" w:rsidRPr="000D0C42" w:rsidRDefault="006C0DBB" w:rsidP="00EC0606">
      <w:pPr>
        <w:numPr>
          <w:ilvl w:val="0"/>
          <w:numId w:val="33"/>
        </w:numPr>
        <w:tabs>
          <w:tab w:val="clear" w:pos="720"/>
        </w:tabs>
        <w:ind w:left="1440"/>
      </w:pPr>
      <w:r w:rsidRPr="000D0C42">
        <w:t xml:space="preserve">Number of Participants trading for </w:t>
      </w:r>
      <w:r w:rsidR="00C36093" w:rsidRPr="000D0C42">
        <w:t>6 months / 26 weeks</w:t>
      </w:r>
    </w:p>
    <w:p w:rsidR="006C0DBB" w:rsidRPr="000D0C42" w:rsidRDefault="006C0DBB" w:rsidP="006C0DBB">
      <w:pPr>
        <w:ind w:left="1080"/>
      </w:pPr>
      <w:r w:rsidRPr="000D0C42">
        <w:t xml:space="preserve"> </w:t>
      </w:r>
    </w:p>
    <w:p w:rsidR="006C0DBB" w:rsidRPr="000D0C42" w:rsidRDefault="006C0DBB" w:rsidP="00EC0606">
      <w:pPr>
        <w:numPr>
          <w:ilvl w:val="0"/>
          <w:numId w:val="33"/>
        </w:numPr>
        <w:tabs>
          <w:tab w:val="clear" w:pos="720"/>
        </w:tabs>
        <w:ind w:left="1440"/>
      </w:pPr>
      <w:r w:rsidRPr="000D0C42">
        <w:t xml:space="preserve">Number of Participants trading for </w:t>
      </w:r>
      <w:r w:rsidRPr="000D0C42">
        <w:rPr>
          <w:rFonts w:cs="Arial"/>
        </w:rPr>
        <w:t>12 months</w:t>
      </w:r>
      <w:r w:rsidR="006339F2" w:rsidRPr="000D0C42">
        <w:rPr>
          <w:rFonts w:cs="Arial"/>
        </w:rPr>
        <w:t xml:space="preserve"> / 52 weeks</w:t>
      </w:r>
    </w:p>
    <w:p w:rsidR="00F43600" w:rsidRPr="000D0C42" w:rsidRDefault="00F43600" w:rsidP="00F43600"/>
    <w:p w:rsidR="00F43600" w:rsidRPr="000D0C42" w:rsidRDefault="00E74D69" w:rsidP="00F43600">
      <w:r w:rsidRPr="000D0C42">
        <w:t>A6.</w:t>
      </w:r>
      <w:r w:rsidR="00194871">
        <w:t>7</w:t>
      </w:r>
      <w:r w:rsidRPr="000D0C42">
        <w:tab/>
      </w:r>
      <w:r w:rsidR="00F43600" w:rsidRPr="000D0C42">
        <w:t>UC existing Self Employed</w:t>
      </w:r>
    </w:p>
    <w:p w:rsidR="00F43600" w:rsidRPr="000D0C42" w:rsidRDefault="00F43600" w:rsidP="00F43600"/>
    <w:p w:rsidR="00C21238" w:rsidRPr="000D0C42" w:rsidRDefault="00C21238" w:rsidP="00EC0606">
      <w:pPr>
        <w:numPr>
          <w:ilvl w:val="0"/>
          <w:numId w:val="65"/>
        </w:numPr>
        <w:ind w:firstLine="273"/>
      </w:pPr>
      <w:r w:rsidRPr="000D0C42">
        <w:t>Number of referrals</w:t>
      </w:r>
    </w:p>
    <w:p w:rsidR="00C21238" w:rsidRPr="000D0C42" w:rsidRDefault="00C21238" w:rsidP="00EC4643">
      <w:pPr>
        <w:ind w:left="993"/>
      </w:pPr>
    </w:p>
    <w:p w:rsidR="00F43600" w:rsidRPr="000D0C42" w:rsidRDefault="00F43600" w:rsidP="00EC0606">
      <w:pPr>
        <w:numPr>
          <w:ilvl w:val="0"/>
          <w:numId w:val="65"/>
        </w:numPr>
        <w:ind w:firstLine="273"/>
      </w:pPr>
      <w:r w:rsidRPr="000D0C42">
        <w:lastRenderedPageBreak/>
        <w:t xml:space="preserve">Number of Starts </w:t>
      </w:r>
    </w:p>
    <w:p w:rsidR="00F43600" w:rsidRPr="000D0C42" w:rsidRDefault="00F43600" w:rsidP="00F43600">
      <w:pPr>
        <w:ind w:firstLine="273"/>
      </w:pPr>
    </w:p>
    <w:p w:rsidR="00F43600" w:rsidRPr="000D0C42" w:rsidRDefault="00F43600" w:rsidP="00EC0606">
      <w:pPr>
        <w:numPr>
          <w:ilvl w:val="0"/>
          <w:numId w:val="65"/>
        </w:numPr>
        <w:ind w:firstLine="273"/>
      </w:pPr>
      <w:r w:rsidRPr="000D0C42">
        <w:t>Number of Trading starts</w:t>
      </w:r>
    </w:p>
    <w:p w:rsidR="00F43600" w:rsidRPr="000D0C42" w:rsidRDefault="00F43600" w:rsidP="00F43600">
      <w:pPr>
        <w:pStyle w:val="ListParagraph"/>
        <w:ind w:firstLine="273"/>
      </w:pPr>
    </w:p>
    <w:p w:rsidR="00F43600" w:rsidRPr="000D0C42" w:rsidRDefault="00F43600" w:rsidP="00EC0606">
      <w:pPr>
        <w:pStyle w:val="ListParagraph"/>
        <w:numPr>
          <w:ilvl w:val="0"/>
          <w:numId w:val="65"/>
        </w:numPr>
        <w:spacing w:after="240"/>
        <w:ind w:left="1418" w:hanging="425"/>
        <w:rPr>
          <w:rFonts w:cs="Arial"/>
        </w:rPr>
      </w:pPr>
      <w:r w:rsidRPr="000D0C42">
        <w:rPr>
          <w:rFonts w:cs="Arial"/>
        </w:rPr>
        <w:t>Number of Participants whose average earnings increased to at least the participants MIF on average over months 0 to 6.</w:t>
      </w:r>
    </w:p>
    <w:p w:rsidR="00F43600" w:rsidRPr="000D0C42" w:rsidRDefault="00F43600" w:rsidP="00EC0606">
      <w:pPr>
        <w:pStyle w:val="ListParagraph"/>
        <w:numPr>
          <w:ilvl w:val="0"/>
          <w:numId w:val="65"/>
        </w:numPr>
        <w:spacing w:after="240"/>
        <w:ind w:left="1418" w:hanging="425"/>
        <w:rPr>
          <w:rFonts w:cs="Arial"/>
        </w:rPr>
      </w:pPr>
      <w:r w:rsidRPr="000D0C42">
        <w:rPr>
          <w:rFonts w:cs="Arial"/>
        </w:rPr>
        <w:t>Number of Participants whose average earnings increased to at least the participants MIF on average over months 7 to 12.</w:t>
      </w:r>
    </w:p>
    <w:p w:rsidR="006C0DBB" w:rsidRPr="002E0375" w:rsidRDefault="00E74D69" w:rsidP="00E74D69">
      <w:pPr>
        <w:pStyle w:val="Default"/>
        <w:spacing w:after="240"/>
        <w:ind w:left="720" w:hanging="720"/>
        <w:rPr>
          <w:bCs/>
          <w:color w:val="auto"/>
        </w:rPr>
      </w:pPr>
      <w:r>
        <w:rPr>
          <w:bCs/>
          <w:color w:val="auto"/>
        </w:rPr>
        <w:t>A6.</w:t>
      </w:r>
      <w:r w:rsidR="00194871">
        <w:rPr>
          <w:bCs/>
          <w:color w:val="auto"/>
        </w:rPr>
        <w:t>8</w:t>
      </w:r>
      <w:r>
        <w:rPr>
          <w:bCs/>
          <w:color w:val="auto"/>
        </w:rPr>
        <w:tab/>
      </w:r>
      <w:r w:rsidR="006C0DBB" w:rsidRPr="002E0375">
        <w:rPr>
          <w:bCs/>
          <w:color w:val="auto"/>
        </w:rPr>
        <w:t xml:space="preserve">NB - DWP reserve the right to use Management Information to produce and publish performance information, tables, </w:t>
      </w:r>
      <w:proofErr w:type="spellStart"/>
      <w:r w:rsidR="006C0DBB" w:rsidRPr="002E0375">
        <w:rPr>
          <w:bCs/>
          <w:color w:val="auto"/>
        </w:rPr>
        <w:t>etc</w:t>
      </w:r>
      <w:proofErr w:type="spellEnd"/>
      <w:r w:rsidR="006C0DBB" w:rsidRPr="002E0375">
        <w:rPr>
          <w:bCs/>
          <w:color w:val="auto"/>
        </w:rPr>
        <w:t xml:space="preserve"> as appropriate.   </w:t>
      </w:r>
    </w:p>
    <w:p w:rsidR="006C0DBB" w:rsidRPr="00402D61" w:rsidRDefault="006C0DBB" w:rsidP="006C0DBB">
      <w:pPr>
        <w:pStyle w:val="Default"/>
        <w:spacing w:after="240"/>
        <w:rPr>
          <w:bCs/>
          <w:color w:val="FF0000"/>
        </w:rPr>
        <w:sectPr w:rsidR="006C0DBB" w:rsidRPr="00402D61" w:rsidSect="00771099">
          <w:pgSz w:w="12240" w:h="15840" w:code="1"/>
          <w:pgMar w:top="1304" w:right="1134" w:bottom="1304" w:left="1134" w:header="720" w:footer="720" w:gutter="0"/>
          <w:cols w:space="720"/>
          <w:noEndnote/>
        </w:sectPr>
      </w:pPr>
    </w:p>
    <w:p w:rsidR="00720BC7" w:rsidRPr="002E0375" w:rsidRDefault="00720BC7" w:rsidP="00690E9E">
      <w:pPr>
        <w:pStyle w:val="Heading1"/>
        <w:tabs>
          <w:tab w:val="clear" w:pos="432"/>
        </w:tabs>
        <w:spacing w:after="240"/>
      </w:pPr>
      <w:bookmarkStart w:id="29" w:name="_Table_1"/>
      <w:bookmarkEnd w:id="29"/>
      <w:r w:rsidRPr="002E0375">
        <w:lastRenderedPageBreak/>
        <w:t xml:space="preserve">Table 1 - Evidence Requirements </w:t>
      </w:r>
    </w:p>
    <w:tbl>
      <w:tblPr>
        <w:tblW w:w="13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7560"/>
        <w:gridCol w:w="1980"/>
      </w:tblGrid>
      <w:tr w:rsidR="009516C1" w:rsidRPr="002E0375" w:rsidTr="00B51EDD">
        <w:trPr>
          <w:cantSplit/>
          <w:tblHeader/>
        </w:trPr>
        <w:tc>
          <w:tcPr>
            <w:tcW w:w="1800" w:type="dxa"/>
            <w:shd w:val="clear" w:color="auto" w:fill="CCFFCC"/>
          </w:tcPr>
          <w:p w:rsidR="009516C1" w:rsidRPr="002E0375" w:rsidRDefault="009516C1" w:rsidP="00690E9E">
            <w:pPr>
              <w:spacing w:after="240"/>
              <w:rPr>
                <w:rFonts w:cs="Arial"/>
                <w:b/>
              </w:rPr>
            </w:pPr>
            <w:r w:rsidRPr="002E0375">
              <w:rPr>
                <w:rFonts w:cs="Arial"/>
                <w:b/>
              </w:rPr>
              <w:t>Timing</w:t>
            </w:r>
          </w:p>
        </w:tc>
        <w:tc>
          <w:tcPr>
            <w:tcW w:w="2160" w:type="dxa"/>
            <w:shd w:val="clear" w:color="auto" w:fill="CCFFCC"/>
          </w:tcPr>
          <w:p w:rsidR="009516C1" w:rsidRPr="002E0375" w:rsidRDefault="009516C1" w:rsidP="00690E9E">
            <w:pPr>
              <w:spacing w:after="240"/>
              <w:rPr>
                <w:rFonts w:cs="Arial"/>
                <w:b/>
              </w:rPr>
            </w:pPr>
            <w:r w:rsidRPr="002E0375">
              <w:rPr>
                <w:rFonts w:cs="Arial"/>
                <w:b/>
              </w:rPr>
              <w:t>Process</w:t>
            </w:r>
          </w:p>
        </w:tc>
        <w:tc>
          <w:tcPr>
            <w:tcW w:w="7560" w:type="dxa"/>
            <w:shd w:val="clear" w:color="auto" w:fill="CCFFCC"/>
          </w:tcPr>
          <w:p w:rsidR="009516C1" w:rsidRPr="002E0375" w:rsidRDefault="009516C1" w:rsidP="00690E9E">
            <w:pPr>
              <w:spacing w:after="240"/>
              <w:rPr>
                <w:rFonts w:cs="Arial"/>
                <w:b/>
              </w:rPr>
            </w:pPr>
            <w:r w:rsidRPr="002E0375">
              <w:rPr>
                <w:rFonts w:cs="Arial"/>
                <w:b/>
              </w:rPr>
              <w:t>Evidence Description</w:t>
            </w:r>
          </w:p>
        </w:tc>
        <w:tc>
          <w:tcPr>
            <w:tcW w:w="1980" w:type="dxa"/>
            <w:shd w:val="clear" w:color="auto" w:fill="CCFFCC"/>
          </w:tcPr>
          <w:p w:rsidR="009516C1" w:rsidRPr="002E0375" w:rsidRDefault="009516C1" w:rsidP="00690E9E">
            <w:pPr>
              <w:spacing w:after="240"/>
              <w:rPr>
                <w:rFonts w:cs="Arial"/>
                <w:b/>
              </w:rPr>
            </w:pPr>
            <w:r w:rsidRPr="002E0375">
              <w:rPr>
                <w:rFonts w:cs="Arial"/>
                <w:b/>
              </w:rPr>
              <w:t>Responsibility</w:t>
            </w:r>
          </w:p>
        </w:tc>
      </w:tr>
      <w:tr w:rsidR="00D9287B" w:rsidRPr="002E0375" w:rsidTr="00B51EDD">
        <w:tc>
          <w:tcPr>
            <w:tcW w:w="1800" w:type="dxa"/>
            <w:shd w:val="clear" w:color="auto" w:fill="auto"/>
            <w:vAlign w:val="center"/>
          </w:tcPr>
          <w:p w:rsidR="00D9287B" w:rsidRPr="002E0375" w:rsidRDefault="00D9287B" w:rsidP="00690E9E">
            <w:pPr>
              <w:spacing w:after="240"/>
              <w:rPr>
                <w:rFonts w:cs="Arial"/>
                <w:b/>
              </w:rPr>
            </w:pPr>
            <w:r w:rsidRPr="002E0375">
              <w:rPr>
                <w:rFonts w:cs="Arial"/>
                <w:b/>
              </w:rPr>
              <w:t xml:space="preserve">Pre Start </w:t>
            </w:r>
            <w:r w:rsidR="00745FF8">
              <w:rPr>
                <w:rFonts w:cs="Arial"/>
                <w:b/>
              </w:rPr>
              <w:t xml:space="preserve">Link Up : Start Up </w:t>
            </w:r>
            <w:r w:rsidRPr="002E0375">
              <w:rPr>
                <w:rFonts w:cs="Arial"/>
                <w:b/>
              </w:rPr>
              <w:t>Referral</w:t>
            </w:r>
          </w:p>
        </w:tc>
        <w:tc>
          <w:tcPr>
            <w:tcW w:w="2160" w:type="dxa"/>
            <w:shd w:val="clear" w:color="auto" w:fill="auto"/>
            <w:vAlign w:val="center"/>
          </w:tcPr>
          <w:p w:rsidR="00D9287B" w:rsidRPr="002E0375" w:rsidRDefault="00745FF8" w:rsidP="00745FF8">
            <w:pPr>
              <w:spacing w:after="240"/>
              <w:rPr>
                <w:rFonts w:cs="Arial"/>
              </w:rPr>
            </w:pPr>
            <w:r>
              <w:rPr>
                <w:rFonts w:cs="Arial"/>
              </w:rPr>
              <w:t xml:space="preserve">Work Coach </w:t>
            </w:r>
            <w:r w:rsidR="00D9287B" w:rsidRPr="002E0375">
              <w:rPr>
                <w:rFonts w:cs="Arial"/>
              </w:rPr>
              <w:t xml:space="preserve"> Referral</w:t>
            </w:r>
          </w:p>
        </w:tc>
        <w:tc>
          <w:tcPr>
            <w:tcW w:w="7560" w:type="dxa"/>
            <w:shd w:val="clear" w:color="auto" w:fill="auto"/>
          </w:tcPr>
          <w:p w:rsidR="00745FF8" w:rsidRPr="002E0375" w:rsidRDefault="00D9287B" w:rsidP="00745FF8">
            <w:pPr>
              <w:spacing w:after="240"/>
              <w:rPr>
                <w:rFonts w:cs="Arial"/>
              </w:rPr>
            </w:pPr>
            <w:r w:rsidRPr="002E0375">
              <w:rPr>
                <w:rFonts w:cs="Arial"/>
              </w:rPr>
              <w:t xml:space="preserve">Referral by JCP </w:t>
            </w:r>
            <w:r w:rsidR="003C5B4E" w:rsidRPr="002E0375">
              <w:rPr>
                <w:rFonts w:cs="Arial"/>
              </w:rPr>
              <w:t>Work Coach</w:t>
            </w:r>
            <w:r w:rsidRPr="002E0375">
              <w:rPr>
                <w:rFonts w:cs="Arial"/>
              </w:rPr>
              <w:t xml:space="preserve"> by telephone (LMS, WSP, </w:t>
            </w:r>
            <w:proofErr w:type="spellStart"/>
            <w:r w:rsidRPr="002E0375">
              <w:rPr>
                <w:rFonts w:cs="Arial"/>
              </w:rPr>
              <w:t>PRaP</w:t>
            </w:r>
            <w:proofErr w:type="spellEnd"/>
            <w:r w:rsidRPr="002E0375">
              <w:rPr>
                <w:rFonts w:cs="Arial"/>
              </w:rPr>
              <w:t xml:space="preserve">, clerical referral to follow initial telephoned referral)– </w:t>
            </w:r>
          </w:p>
          <w:p w:rsidR="00D9287B" w:rsidRPr="002E0375" w:rsidRDefault="00D9287B" w:rsidP="00D9287B">
            <w:pPr>
              <w:spacing w:after="240"/>
              <w:rPr>
                <w:rFonts w:cs="Arial"/>
              </w:rPr>
            </w:pP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DWP</w:t>
            </w:r>
          </w:p>
        </w:tc>
      </w:tr>
      <w:tr w:rsidR="00D9287B" w:rsidRPr="002E0375" w:rsidTr="00B51EDD">
        <w:tc>
          <w:tcPr>
            <w:tcW w:w="1800" w:type="dxa"/>
            <w:shd w:val="clear" w:color="auto" w:fill="auto"/>
            <w:vAlign w:val="center"/>
          </w:tcPr>
          <w:p w:rsidR="00D9287B" w:rsidRPr="002E0375" w:rsidRDefault="00D9287B" w:rsidP="00690E9E">
            <w:pPr>
              <w:spacing w:after="240"/>
              <w:rPr>
                <w:rFonts w:cs="Arial"/>
                <w:b/>
              </w:rPr>
            </w:pPr>
            <w:r w:rsidRPr="002E0375">
              <w:rPr>
                <w:rFonts w:cs="Arial"/>
                <w:b/>
              </w:rPr>
              <w:t>Link Up : Start Up</w:t>
            </w:r>
          </w:p>
        </w:tc>
        <w:tc>
          <w:tcPr>
            <w:tcW w:w="2160" w:type="dxa"/>
            <w:shd w:val="clear" w:color="auto" w:fill="auto"/>
            <w:vAlign w:val="center"/>
          </w:tcPr>
          <w:p w:rsidR="00D9287B" w:rsidRPr="002E0375" w:rsidRDefault="00D9287B" w:rsidP="00690E9E">
            <w:pPr>
              <w:spacing w:after="240"/>
              <w:rPr>
                <w:rFonts w:cs="Arial"/>
              </w:rPr>
            </w:pPr>
            <w:r w:rsidRPr="002E0375">
              <w:rPr>
                <w:rFonts w:cs="Arial"/>
              </w:rPr>
              <w:t>Attendance at Link Up : Start Up</w:t>
            </w:r>
          </w:p>
        </w:tc>
        <w:tc>
          <w:tcPr>
            <w:tcW w:w="7560" w:type="dxa"/>
            <w:shd w:val="clear" w:color="auto" w:fill="auto"/>
          </w:tcPr>
          <w:p w:rsidR="003C5B4E" w:rsidRPr="002E0375" w:rsidRDefault="00D9287B" w:rsidP="003C5B4E">
            <w:pPr>
              <w:pStyle w:val="Default"/>
              <w:spacing w:before="100" w:beforeAutospacing="1" w:after="240"/>
              <w:ind w:right="74"/>
              <w:outlineLvl w:val="0"/>
              <w:rPr>
                <w:color w:val="auto"/>
              </w:rPr>
            </w:pPr>
            <w:r w:rsidRPr="002E0375">
              <w:rPr>
                <w:color w:val="auto"/>
              </w:rPr>
              <w:t xml:space="preserve">Provide a Link </w:t>
            </w:r>
            <w:proofErr w:type="gramStart"/>
            <w:r w:rsidRPr="002E0375">
              <w:rPr>
                <w:color w:val="auto"/>
              </w:rPr>
              <w:t>Up :</w:t>
            </w:r>
            <w:proofErr w:type="gramEnd"/>
            <w:r w:rsidRPr="002E0375">
              <w:rPr>
                <w:color w:val="auto"/>
              </w:rPr>
              <w:t xml:space="preserve"> Start Up </w:t>
            </w:r>
            <w:r w:rsidR="003C5B4E" w:rsidRPr="002E0375">
              <w:rPr>
                <w:color w:val="auto"/>
              </w:rPr>
              <w:t>W</w:t>
            </w:r>
            <w:r w:rsidRPr="002E0375">
              <w:rPr>
                <w:color w:val="auto"/>
              </w:rPr>
              <w:t>orkshop. Eligible Individuals that are referred to them by Jobcentre Plus</w:t>
            </w:r>
            <w:r w:rsidR="003C5B4E" w:rsidRPr="002E0375">
              <w:rPr>
                <w:color w:val="auto"/>
              </w:rPr>
              <w:t>.</w:t>
            </w:r>
            <w:r w:rsidRPr="002E0375">
              <w:rPr>
                <w:color w:val="auto"/>
              </w:rPr>
              <w:t xml:space="preserve"> </w:t>
            </w:r>
            <w:r w:rsidR="003C5B4E" w:rsidRPr="002E0375">
              <w:rPr>
                <w:color w:val="auto"/>
              </w:rPr>
              <w:t xml:space="preserve">Workshops to provide attendees with a comprehensive overview of the pros and cons of self-employment.  These workshops should last at least </w:t>
            </w:r>
            <w:r w:rsidR="007022DF">
              <w:rPr>
                <w:color w:val="auto"/>
              </w:rPr>
              <w:t>three</w:t>
            </w:r>
            <w:r w:rsidR="003C5B4E" w:rsidRPr="002E0375">
              <w:rPr>
                <w:color w:val="auto"/>
              </w:rPr>
              <w:t xml:space="preserve"> hours. It will be for Providers to determine the minimum viable number of places on each workshop to ensure waiting times are minimised for participants. We expect the optimal maximum number of participants to be around 15 </w:t>
            </w:r>
            <w:r w:rsidR="0050691F">
              <w:rPr>
                <w:color w:val="auto"/>
              </w:rPr>
              <w:t xml:space="preserve">and maximum number </w:t>
            </w:r>
            <w:r w:rsidR="00230DF2">
              <w:rPr>
                <w:color w:val="auto"/>
              </w:rPr>
              <w:t>to</w:t>
            </w:r>
            <w:r w:rsidR="0050691F">
              <w:rPr>
                <w:color w:val="auto"/>
              </w:rPr>
              <w:t xml:space="preserve"> be</w:t>
            </w:r>
            <w:r w:rsidR="00230DF2">
              <w:rPr>
                <w:color w:val="auto"/>
              </w:rPr>
              <w:t xml:space="preserve"> 20 </w:t>
            </w:r>
            <w:r w:rsidR="003C5B4E" w:rsidRPr="002E0375">
              <w:rPr>
                <w:color w:val="auto"/>
              </w:rPr>
              <w:t>on each workshop.</w:t>
            </w:r>
          </w:p>
          <w:p w:rsidR="00D9287B" w:rsidRPr="002E0375" w:rsidRDefault="00D9287B" w:rsidP="00D9287B">
            <w:pPr>
              <w:spacing w:after="240"/>
              <w:rPr>
                <w:bCs/>
              </w:rPr>
            </w:pPr>
            <w:r w:rsidRPr="002E0375">
              <w:rPr>
                <w:bCs/>
              </w:rPr>
              <w:t xml:space="preserve">Providers must obtain signed confirmation from Participants that the </w:t>
            </w:r>
            <w:r w:rsidR="003C5B4E" w:rsidRPr="002E0375">
              <w:rPr>
                <w:bCs/>
              </w:rPr>
              <w:t xml:space="preserve">they have attended the </w:t>
            </w:r>
            <w:r w:rsidR="003C5B4E" w:rsidRPr="002E0375">
              <w:rPr>
                <w:rFonts w:cs="Arial"/>
              </w:rPr>
              <w:t xml:space="preserve">Link </w:t>
            </w:r>
            <w:proofErr w:type="gramStart"/>
            <w:r w:rsidR="003C5B4E" w:rsidRPr="002E0375">
              <w:rPr>
                <w:rFonts w:cs="Arial"/>
              </w:rPr>
              <w:t>Up :</w:t>
            </w:r>
            <w:proofErr w:type="gramEnd"/>
            <w:r w:rsidR="003C5B4E" w:rsidRPr="002E0375">
              <w:rPr>
                <w:rFonts w:cs="Arial"/>
              </w:rPr>
              <w:t xml:space="preserve"> Start Up</w:t>
            </w:r>
            <w:r w:rsidR="003C5B4E" w:rsidRPr="002E0375">
              <w:rPr>
                <w:bCs/>
              </w:rPr>
              <w:t xml:space="preserve"> workshop.</w:t>
            </w:r>
          </w:p>
          <w:p w:rsidR="00D9287B" w:rsidRPr="002E0375" w:rsidRDefault="00D9287B" w:rsidP="00D9287B">
            <w:pPr>
              <w:spacing w:after="240"/>
            </w:pPr>
            <w:r w:rsidRPr="002E0375">
              <w:t xml:space="preserve">Where a Participant fails to attend </w:t>
            </w:r>
            <w:r w:rsidR="003C5B4E" w:rsidRPr="002E0375">
              <w:rPr>
                <w:rFonts w:cs="Arial"/>
              </w:rPr>
              <w:t xml:space="preserve">Link </w:t>
            </w:r>
            <w:proofErr w:type="gramStart"/>
            <w:r w:rsidR="003C5B4E" w:rsidRPr="002E0375">
              <w:rPr>
                <w:rFonts w:cs="Arial"/>
              </w:rPr>
              <w:t>Up :</w:t>
            </w:r>
            <w:proofErr w:type="gramEnd"/>
            <w:r w:rsidR="003C5B4E" w:rsidRPr="002E0375">
              <w:rPr>
                <w:rFonts w:cs="Arial"/>
              </w:rPr>
              <w:t xml:space="preserve"> Start Up</w:t>
            </w:r>
            <w:r w:rsidR="003C5B4E" w:rsidRPr="002E0375">
              <w:rPr>
                <w:bCs/>
              </w:rPr>
              <w:t xml:space="preserve"> Workshop</w:t>
            </w:r>
            <w:r w:rsidR="003C5B4E" w:rsidRPr="002E0375">
              <w:t xml:space="preserve"> </w:t>
            </w:r>
            <w:r w:rsidRPr="002E0375">
              <w:t xml:space="preserve">Providers </w:t>
            </w:r>
            <w:r w:rsidRPr="002E0375">
              <w:rPr>
                <w:bCs/>
              </w:rPr>
              <w:t>must also</w:t>
            </w:r>
            <w:r w:rsidRPr="002E0375">
              <w:t xml:space="preserve"> update </w:t>
            </w:r>
            <w:proofErr w:type="spellStart"/>
            <w:r w:rsidRPr="002E0375">
              <w:t>PRaP</w:t>
            </w:r>
            <w:proofErr w:type="spellEnd"/>
            <w:r w:rsidRPr="002E0375">
              <w:t xml:space="preserve"> (within </w:t>
            </w:r>
            <w:r w:rsidR="00DD2187">
              <w:t>20</w:t>
            </w:r>
            <w:r w:rsidRPr="002E0375">
              <w:t xml:space="preserve"> working days of the</w:t>
            </w:r>
            <w:r w:rsidR="0025597F">
              <w:t xml:space="preserve"> referral that the participant </w:t>
            </w:r>
            <w:r w:rsidRPr="002E0375">
              <w:t>faile</w:t>
            </w:r>
            <w:r w:rsidR="0025597F">
              <w:t>d</w:t>
            </w:r>
            <w:r w:rsidRPr="002E0375">
              <w:t xml:space="preserve"> to attend) detailing the Participant has failed to attend.</w:t>
            </w:r>
          </w:p>
          <w:p w:rsidR="00D9287B" w:rsidRPr="002E0375" w:rsidRDefault="00D9287B" w:rsidP="00D9287B">
            <w:pPr>
              <w:spacing w:after="240"/>
              <w:rPr>
                <w:bCs/>
              </w:rPr>
            </w:pPr>
            <w:r w:rsidRPr="002E0375">
              <w:t xml:space="preserve">Update </w:t>
            </w:r>
            <w:proofErr w:type="spellStart"/>
            <w:r w:rsidRPr="002E0375">
              <w:t>PRaP</w:t>
            </w:r>
            <w:proofErr w:type="spellEnd"/>
            <w:r w:rsidRPr="002E0375">
              <w:t xml:space="preserve"> when Participant </w:t>
            </w:r>
            <w:r w:rsidR="003C5B4E" w:rsidRPr="002E0375">
              <w:t xml:space="preserve">attend </w:t>
            </w:r>
            <w:r w:rsidR="003C5B4E" w:rsidRPr="002E0375">
              <w:rPr>
                <w:rFonts w:cs="Arial"/>
              </w:rPr>
              <w:t xml:space="preserve">Link </w:t>
            </w:r>
            <w:proofErr w:type="gramStart"/>
            <w:r w:rsidR="003C5B4E" w:rsidRPr="002E0375">
              <w:rPr>
                <w:rFonts w:cs="Arial"/>
              </w:rPr>
              <w:t>Up :</w:t>
            </w:r>
            <w:proofErr w:type="gramEnd"/>
            <w:r w:rsidR="003C5B4E" w:rsidRPr="002E0375">
              <w:rPr>
                <w:rFonts w:cs="Arial"/>
              </w:rPr>
              <w:t xml:space="preserve"> Start Up</w:t>
            </w:r>
            <w:r w:rsidR="003C5B4E" w:rsidRPr="002E0375">
              <w:rPr>
                <w:bCs/>
              </w:rPr>
              <w:t xml:space="preserve"> Workshop.</w:t>
            </w:r>
          </w:p>
          <w:p w:rsidR="003C5B4E" w:rsidRPr="002E0375" w:rsidRDefault="003C5B4E" w:rsidP="003C5B4E">
            <w:pPr>
              <w:spacing w:after="240"/>
              <w:rPr>
                <w:rFonts w:cs="Arial"/>
              </w:rPr>
            </w:pPr>
            <w:r w:rsidRPr="002E0375">
              <w:rPr>
                <w:bCs/>
              </w:rPr>
              <w:t xml:space="preserve">Refer Participants who wish to start NEA Phase 2 back to </w:t>
            </w:r>
            <w:r w:rsidRPr="002E0375">
              <w:rPr>
                <w:rFonts w:cs="Arial"/>
              </w:rPr>
              <w:t>JCP Work Coach for a referral to start NEA Phase 2 main programme.</w:t>
            </w: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Provider</w:t>
            </w:r>
          </w:p>
        </w:tc>
      </w:tr>
      <w:tr w:rsidR="00D9287B" w:rsidRPr="002E0375" w:rsidTr="00B51EDD">
        <w:tc>
          <w:tcPr>
            <w:tcW w:w="1800" w:type="dxa"/>
            <w:shd w:val="clear" w:color="auto" w:fill="auto"/>
            <w:vAlign w:val="center"/>
          </w:tcPr>
          <w:p w:rsidR="00D9287B" w:rsidRPr="002E0375" w:rsidRDefault="00D9287B" w:rsidP="00D9287B">
            <w:pPr>
              <w:spacing w:after="240"/>
              <w:rPr>
                <w:rFonts w:cs="Arial"/>
                <w:b/>
              </w:rPr>
            </w:pPr>
            <w:r w:rsidRPr="002E0375">
              <w:rPr>
                <w:rFonts w:cs="Arial"/>
                <w:b/>
              </w:rPr>
              <w:t>Day 1</w:t>
            </w:r>
          </w:p>
        </w:tc>
        <w:tc>
          <w:tcPr>
            <w:tcW w:w="2160" w:type="dxa"/>
            <w:shd w:val="clear" w:color="auto" w:fill="auto"/>
            <w:vAlign w:val="center"/>
          </w:tcPr>
          <w:p w:rsidR="00D9287B" w:rsidRPr="002E0375" w:rsidRDefault="00745FF8" w:rsidP="00745FF8">
            <w:pPr>
              <w:spacing w:after="240"/>
              <w:rPr>
                <w:rFonts w:cs="Arial"/>
              </w:rPr>
            </w:pPr>
            <w:r>
              <w:rPr>
                <w:rFonts w:cs="Arial"/>
              </w:rPr>
              <w:t>Work Coach</w:t>
            </w:r>
            <w:r w:rsidR="00D9287B" w:rsidRPr="002E0375">
              <w:rPr>
                <w:rFonts w:cs="Arial"/>
              </w:rPr>
              <w:t xml:space="preserve"> Referral</w:t>
            </w:r>
          </w:p>
        </w:tc>
        <w:tc>
          <w:tcPr>
            <w:tcW w:w="7560" w:type="dxa"/>
            <w:shd w:val="clear" w:color="auto" w:fill="auto"/>
          </w:tcPr>
          <w:p w:rsidR="00D9287B" w:rsidRPr="002E0375" w:rsidRDefault="00D9287B" w:rsidP="00D9287B">
            <w:pPr>
              <w:spacing w:after="240"/>
              <w:rPr>
                <w:rFonts w:cs="Arial"/>
              </w:rPr>
            </w:pPr>
            <w:r w:rsidRPr="002E0375">
              <w:rPr>
                <w:rFonts w:cs="Arial"/>
              </w:rPr>
              <w:t xml:space="preserve">Referral by JCP </w:t>
            </w:r>
            <w:r w:rsidR="003C5B4E" w:rsidRPr="002E0375">
              <w:rPr>
                <w:rFonts w:cs="Arial"/>
              </w:rPr>
              <w:t>Work Coach</w:t>
            </w:r>
            <w:r w:rsidRPr="002E0375">
              <w:rPr>
                <w:rFonts w:cs="Arial"/>
              </w:rPr>
              <w:t xml:space="preserve"> by telephone (LMS, WSP, </w:t>
            </w:r>
            <w:proofErr w:type="spellStart"/>
            <w:r w:rsidRPr="002E0375">
              <w:rPr>
                <w:rFonts w:cs="Arial"/>
              </w:rPr>
              <w:t>PRaP</w:t>
            </w:r>
            <w:proofErr w:type="spellEnd"/>
            <w:r w:rsidRPr="002E0375">
              <w:rPr>
                <w:rFonts w:cs="Arial"/>
              </w:rPr>
              <w:t>, clerical referral to follow initial telephoned referral</w:t>
            </w:r>
            <w:proofErr w:type="gramStart"/>
            <w:r w:rsidRPr="002E0375">
              <w:rPr>
                <w:rFonts w:cs="Arial"/>
              </w:rPr>
              <w:t>)–</w:t>
            </w:r>
            <w:proofErr w:type="gramEnd"/>
            <w:r w:rsidRPr="002E0375">
              <w:rPr>
                <w:rFonts w:cs="Arial"/>
              </w:rPr>
              <w:t xml:space="preserve"> key date from which claim periods are counted. </w:t>
            </w:r>
          </w:p>
          <w:p w:rsidR="00D9287B" w:rsidRPr="002E0375" w:rsidRDefault="00D9287B" w:rsidP="00D9287B">
            <w:pPr>
              <w:spacing w:after="240"/>
              <w:rPr>
                <w:rFonts w:cs="Arial"/>
              </w:rPr>
            </w:pPr>
            <w:r w:rsidRPr="002E0375">
              <w:rPr>
                <w:rFonts w:cs="Arial"/>
              </w:rPr>
              <w:lastRenderedPageBreak/>
              <w:t xml:space="preserve">Referral made in </w:t>
            </w:r>
            <w:proofErr w:type="spellStart"/>
            <w:r w:rsidRPr="002E0375">
              <w:rPr>
                <w:rFonts w:cs="Arial"/>
              </w:rPr>
              <w:t>PRaP</w:t>
            </w:r>
            <w:proofErr w:type="spellEnd"/>
            <w:r w:rsidRPr="002E0375">
              <w:rPr>
                <w:rFonts w:cs="Arial"/>
              </w:rPr>
              <w:t>.</w:t>
            </w:r>
          </w:p>
        </w:tc>
        <w:tc>
          <w:tcPr>
            <w:tcW w:w="1980" w:type="dxa"/>
            <w:shd w:val="clear" w:color="auto" w:fill="auto"/>
            <w:vAlign w:val="center"/>
          </w:tcPr>
          <w:p w:rsidR="00D9287B" w:rsidRPr="002E0375" w:rsidRDefault="00D9287B" w:rsidP="00D9287B">
            <w:pPr>
              <w:spacing w:after="240"/>
              <w:jc w:val="center"/>
              <w:rPr>
                <w:rFonts w:cs="Arial"/>
                <w:b/>
              </w:rPr>
            </w:pPr>
            <w:r w:rsidRPr="002E0375">
              <w:rPr>
                <w:rFonts w:cs="Arial"/>
                <w:b/>
              </w:rPr>
              <w:lastRenderedPageBreak/>
              <w:t>DWP</w:t>
            </w:r>
          </w:p>
        </w:tc>
      </w:tr>
      <w:tr w:rsidR="00D9287B" w:rsidRPr="002E0375" w:rsidTr="00B51EDD">
        <w:tc>
          <w:tcPr>
            <w:tcW w:w="1800" w:type="dxa"/>
            <w:shd w:val="clear" w:color="auto" w:fill="auto"/>
            <w:vAlign w:val="center"/>
          </w:tcPr>
          <w:p w:rsidR="00D9287B" w:rsidRPr="002E0375" w:rsidRDefault="00D9287B" w:rsidP="0025597F">
            <w:pPr>
              <w:spacing w:after="240"/>
              <w:rPr>
                <w:rFonts w:cs="Arial"/>
                <w:b/>
              </w:rPr>
            </w:pPr>
            <w:r w:rsidRPr="002E0375">
              <w:rPr>
                <w:rFonts w:cs="Arial"/>
                <w:b/>
              </w:rPr>
              <w:lastRenderedPageBreak/>
              <w:t>Contractual Target Within 1</w:t>
            </w:r>
            <w:r w:rsidR="0025597F">
              <w:rPr>
                <w:rFonts w:cs="Arial"/>
                <w:b/>
              </w:rPr>
              <w:t>0</w:t>
            </w:r>
            <w:r w:rsidRPr="002E0375">
              <w:rPr>
                <w:rFonts w:cs="Arial"/>
                <w:b/>
              </w:rPr>
              <w:t xml:space="preserve"> Working Days of referral</w:t>
            </w:r>
          </w:p>
        </w:tc>
        <w:tc>
          <w:tcPr>
            <w:tcW w:w="2160" w:type="dxa"/>
            <w:shd w:val="clear" w:color="auto" w:fill="auto"/>
            <w:vAlign w:val="center"/>
          </w:tcPr>
          <w:p w:rsidR="00D9287B" w:rsidRPr="002E0375" w:rsidRDefault="007022DF" w:rsidP="00690E9E">
            <w:pPr>
              <w:spacing w:after="240"/>
              <w:rPr>
                <w:rFonts w:cs="Arial"/>
              </w:rPr>
            </w:pPr>
            <w:r>
              <w:rPr>
                <w:rFonts w:cs="Arial"/>
              </w:rPr>
              <w:t xml:space="preserve">Delivery of </w:t>
            </w:r>
            <w:r w:rsidR="00D9287B" w:rsidRPr="002E0375">
              <w:rPr>
                <w:rFonts w:cs="Arial"/>
              </w:rPr>
              <w:t xml:space="preserve">Initial assessment / </w:t>
            </w:r>
            <w:proofErr w:type="spellStart"/>
            <w:r w:rsidR="00D9287B" w:rsidRPr="002E0375">
              <w:rPr>
                <w:rFonts w:cs="Arial"/>
              </w:rPr>
              <w:t>pre screen</w:t>
            </w:r>
            <w:proofErr w:type="spellEnd"/>
            <w:r w:rsidR="00D9287B" w:rsidRPr="002E0375">
              <w:rPr>
                <w:rFonts w:cs="Arial"/>
              </w:rPr>
              <w:t xml:space="preserve"> appointment</w:t>
            </w:r>
          </w:p>
        </w:tc>
        <w:tc>
          <w:tcPr>
            <w:tcW w:w="7560" w:type="dxa"/>
            <w:shd w:val="clear" w:color="auto" w:fill="auto"/>
          </w:tcPr>
          <w:p w:rsidR="00D9287B" w:rsidRPr="002E0375" w:rsidRDefault="00D9287B" w:rsidP="00690E9E">
            <w:pPr>
              <w:spacing w:after="240"/>
            </w:pPr>
            <w:r w:rsidRPr="002E0375">
              <w:t xml:space="preserve">Provide an initial assessment/ </w:t>
            </w:r>
            <w:proofErr w:type="spellStart"/>
            <w:r w:rsidRPr="002E0375">
              <w:t>pre screen</w:t>
            </w:r>
            <w:proofErr w:type="spellEnd"/>
            <w:r w:rsidRPr="002E0375">
              <w:t xml:space="preserve"> of Eligible Individuals that are referred to them by Jobcentre Plus, </w:t>
            </w:r>
            <w:r w:rsidR="0050691F">
              <w:t>record</w:t>
            </w:r>
            <w:r w:rsidR="00C23C6D">
              <w:t>ing</w:t>
            </w:r>
            <w:r w:rsidR="0050691F">
              <w:t xml:space="preserve"> the result on </w:t>
            </w:r>
            <w:proofErr w:type="spellStart"/>
            <w:r w:rsidR="0050691F">
              <w:t>PRaP</w:t>
            </w:r>
            <w:proofErr w:type="spellEnd"/>
            <w:r w:rsidR="0050691F">
              <w:t xml:space="preserve"> within 15 days</w:t>
            </w:r>
            <w:r w:rsidRPr="002E0375">
              <w:t>.  This will include an initial assessment of the individual’s self-employment prospects, their business proposition, its sustainability potential and their overall suitability for the NEA</w:t>
            </w:r>
            <w:r w:rsidR="003C5B4E" w:rsidRPr="002E0375">
              <w:t xml:space="preserve"> Phase 2</w:t>
            </w:r>
            <w:r w:rsidRPr="002E0375">
              <w:t xml:space="preserve"> programme.</w:t>
            </w:r>
          </w:p>
          <w:p w:rsidR="00D9287B" w:rsidRPr="002E0375" w:rsidRDefault="00D9287B" w:rsidP="00690E9E">
            <w:pPr>
              <w:spacing w:after="240"/>
              <w:rPr>
                <w:bCs/>
              </w:rPr>
            </w:pPr>
            <w:r w:rsidRPr="002E0375">
              <w:rPr>
                <w:bCs/>
              </w:rPr>
              <w:t>Providers must obtain signed confirmation from Participants that the initial assessment has taken place.</w:t>
            </w:r>
          </w:p>
          <w:p w:rsidR="00D9287B" w:rsidRPr="002E0375" w:rsidRDefault="00D9287B" w:rsidP="00690E9E">
            <w:pPr>
              <w:spacing w:after="240"/>
            </w:pPr>
            <w:r w:rsidRPr="002E0375">
              <w:t xml:space="preserve">Where a Participant fails to attend their initial assessment meeting Providers </w:t>
            </w:r>
            <w:r w:rsidRPr="002E0375">
              <w:rPr>
                <w:bCs/>
              </w:rPr>
              <w:t>must also</w:t>
            </w:r>
            <w:r w:rsidRPr="002E0375">
              <w:t xml:space="preserve"> update </w:t>
            </w:r>
            <w:proofErr w:type="spellStart"/>
            <w:r w:rsidRPr="002E0375">
              <w:t>PRaP</w:t>
            </w:r>
            <w:proofErr w:type="spellEnd"/>
            <w:r w:rsidRPr="002E0375">
              <w:t xml:space="preserve"> (within </w:t>
            </w:r>
            <w:r w:rsidR="00C23C6D">
              <w:t>1</w:t>
            </w:r>
            <w:r w:rsidR="007022DF">
              <w:t>5</w:t>
            </w:r>
            <w:r w:rsidRPr="002E0375">
              <w:t xml:space="preserve"> working days of the failure to attend) detailing the Participant has failed to attend.</w:t>
            </w:r>
          </w:p>
          <w:p w:rsidR="00D9287B" w:rsidRDefault="00D9287B" w:rsidP="00690E9E">
            <w:pPr>
              <w:spacing w:after="240"/>
            </w:pPr>
            <w:r w:rsidRPr="002E0375">
              <w:t xml:space="preserve">Update </w:t>
            </w:r>
            <w:proofErr w:type="spellStart"/>
            <w:r w:rsidRPr="002E0375">
              <w:t>PRaP</w:t>
            </w:r>
            <w:proofErr w:type="spellEnd"/>
            <w:r w:rsidRPr="002E0375">
              <w:t xml:space="preserve"> when Participant accepted onto NEA</w:t>
            </w:r>
            <w:r w:rsidR="003C5B4E" w:rsidRPr="002E0375">
              <w:t xml:space="preserve"> Phase 2 main Programme</w:t>
            </w:r>
            <w:r w:rsidRPr="002E0375">
              <w:t>.</w:t>
            </w:r>
          </w:p>
          <w:p w:rsidR="007022DF" w:rsidRPr="007022DF" w:rsidRDefault="007022DF" w:rsidP="00690E9E">
            <w:pPr>
              <w:spacing w:after="240"/>
              <w:rPr>
                <w:rFonts w:cs="Arial"/>
              </w:rPr>
            </w:pPr>
            <w:r w:rsidRPr="007022DF">
              <w:t>Providers to complete NEA1 form with outcome of appointment and return to Jobcentre Plus</w:t>
            </w: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Provider</w:t>
            </w:r>
          </w:p>
        </w:tc>
      </w:tr>
      <w:tr w:rsidR="00D9287B" w:rsidRPr="002E0375" w:rsidTr="00B51EDD">
        <w:tc>
          <w:tcPr>
            <w:tcW w:w="1800" w:type="dxa"/>
            <w:shd w:val="clear" w:color="auto" w:fill="auto"/>
            <w:vAlign w:val="center"/>
          </w:tcPr>
          <w:p w:rsidR="00D9287B" w:rsidRPr="002E0375" w:rsidRDefault="00D9287B" w:rsidP="0025597F">
            <w:pPr>
              <w:spacing w:after="240"/>
              <w:rPr>
                <w:rFonts w:cs="Arial"/>
                <w:b/>
              </w:rPr>
            </w:pPr>
            <w:r w:rsidRPr="002E0375">
              <w:rPr>
                <w:b/>
              </w:rPr>
              <w:t>Contractual Target within  1</w:t>
            </w:r>
            <w:r w:rsidR="0025597F">
              <w:rPr>
                <w:b/>
              </w:rPr>
              <w:t>0</w:t>
            </w:r>
            <w:r w:rsidRPr="002E0375">
              <w:rPr>
                <w:b/>
              </w:rPr>
              <w:t xml:space="preserve"> Working days of the referral </w:t>
            </w:r>
          </w:p>
        </w:tc>
        <w:tc>
          <w:tcPr>
            <w:tcW w:w="2160" w:type="dxa"/>
            <w:shd w:val="clear" w:color="auto" w:fill="auto"/>
            <w:vAlign w:val="center"/>
          </w:tcPr>
          <w:p w:rsidR="00D9287B" w:rsidRPr="002E0375" w:rsidRDefault="00D9287B" w:rsidP="007022DF">
            <w:pPr>
              <w:pStyle w:val="Default"/>
              <w:spacing w:after="240"/>
              <w:outlineLvl w:val="0"/>
              <w:rPr>
                <w:color w:val="auto"/>
              </w:rPr>
            </w:pPr>
            <w:r w:rsidRPr="002E0375">
              <w:rPr>
                <w:color w:val="auto"/>
              </w:rPr>
              <w:t>Participants matched with a Business Mentor.</w:t>
            </w:r>
          </w:p>
        </w:tc>
        <w:tc>
          <w:tcPr>
            <w:tcW w:w="7560" w:type="dxa"/>
            <w:shd w:val="clear" w:color="auto" w:fill="auto"/>
            <w:vAlign w:val="center"/>
          </w:tcPr>
          <w:p w:rsidR="00D9287B" w:rsidRPr="002E0375" w:rsidRDefault="00D9287B" w:rsidP="00690E9E">
            <w:pPr>
              <w:spacing w:after="240"/>
              <w:rPr>
                <w:rFonts w:cs="Arial"/>
              </w:rPr>
            </w:pPr>
            <w:r w:rsidRPr="002E0375">
              <w:rPr>
                <w:rFonts w:cs="Arial"/>
              </w:rPr>
              <w:t xml:space="preserve">Evidence of the initial (and subsequent) meetings taking place will be required for DWP Performance Management and audit purposes. </w:t>
            </w:r>
          </w:p>
          <w:p w:rsidR="00D9287B" w:rsidRPr="002E0375" w:rsidRDefault="00D9287B" w:rsidP="007022DF">
            <w:pPr>
              <w:spacing w:after="240"/>
              <w:rPr>
                <w:bCs/>
              </w:rPr>
            </w:pPr>
            <w:r w:rsidRPr="002E0375">
              <w:rPr>
                <w:bCs/>
              </w:rPr>
              <w:t>Providers must keep a written log of each meeting and contact that takes place with Participants, including with business Mentors.  Providers must obtain signed confirmation from Participants for each face to face meeting that takes place with Participants.</w:t>
            </w: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Provider</w:t>
            </w:r>
          </w:p>
        </w:tc>
      </w:tr>
      <w:tr w:rsidR="00D9287B" w:rsidRPr="002E0375" w:rsidTr="00B51EDD">
        <w:trPr>
          <w:cantSplit/>
        </w:trPr>
        <w:tc>
          <w:tcPr>
            <w:tcW w:w="1800" w:type="dxa"/>
            <w:shd w:val="clear" w:color="auto" w:fill="auto"/>
            <w:vAlign w:val="center"/>
          </w:tcPr>
          <w:p w:rsidR="00D9287B" w:rsidRPr="002E0375" w:rsidRDefault="00D9287B" w:rsidP="007022DF">
            <w:pPr>
              <w:spacing w:after="240"/>
              <w:rPr>
                <w:rFonts w:cs="Arial"/>
                <w:b/>
              </w:rPr>
            </w:pPr>
            <w:r w:rsidRPr="002E0375">
              <w:rPr>
                <w:rFonts w:cs="Arial"/>
                <w:b/>
              </w:rPr>
              <w:lastRenderedPageBreak/>
              <w:t xml:space="preserve">Contractual Target within </w:t>
            </w:r>
            <w:r w:rsidR="00745FF8">
              <w:rPr>
                <w:rFonts w:cs="Arial"/>
                <w:b/>
              </w:rPr>
              <w:t>12</w:t>
            </w:r>
            <w:r w:rsidRPr="002E0375">
              <w:rPr>
                <w:rFonts w:cs="Arial"/>
                <w:b/>
              </w:rPr>
              <w:t xml:space="preserve"> weeks of Participants being matched with Business Mentor </w:t>
            </w:r>
          </w:p>
        </w:tc>
        <w:tc>
          <w:tcPr>
            <w:tcW w:w="2160" w:type="dxa"/>
            <w:shd w:val="clear" w:color="auto" w:fill="auto"/>
            <w:vAlign w:val="center"/>
          </w:tcPr>
          <w:p w:rsidR="00D9287B" w:rsidRPr="002E0375" w:rsidRDefault="00D9287B" w:rsidP="00690E9E">
            <w:pPr>
              <w:spacing w:after="240"/>
              <w:rPr>
                <w:rFonts w:cs="Arial"/>
              </w:rPr>
            </w:pPr>
            <w:r w:rsidRPr="002E0375">
              <w:rPr>
                <w:rFonts w:cs="Arial"/>
              </w:rPr>
              <w:t>Mentor Phase</w:t>
            </w:r>
          </w:p>
        </w:tc>
        <w:tc>
          <w:tcPr>
            <w:tcW w:w="7560" w:type="dxa"/>
            <w:shd w:val="clear" w:color="auto" w:fill="auto"/>
          </w:tcPr>
          <w:p w:rsidR="00D9287B" w:rsidRPr="002E0375" w:rsidRDefault="00D9287B" w:rsidP="00690E9E">
            <w:pPr>
              <w:spacing w:after="240"/>
            </w:pPr>
            <w:r w:rsidRPr="002E0375">
              <w:t>Ensure that the Mentor or Adviser is providing appropriate Mentoring and business advice, including making an initial assessment of the Participant’s business proposition. Helping them to prepare a business plan</w:t>
            </w:r>
            <w:r w:rsidR="00745FF8">
              <w:t>, delivering seminars and a minimum of 3 mentor meetings, the first one of which must be face to face</w:t>
            </w:r>
            <w:r w:rsidRPr="002E0375">
              <w:t>.</w:t>
            </w:r>
          </w:p>
          <w:p w:rsidR="001E12FB" w:rsidRDefault="00D9287B" w:rsidP="001E12FB">
            <w:pPr>
              <w:spacing w:after="240"/>
              <w:rPr>
                <w:rFonts w:cs="Arial"/>
              </w:rPr>
            </w:pPr>
            <w:r w:rsidRPr="002E0375">
              <w:rPr>
                <w:rFonts w:cs="Arial"/>
              </w:rPr>
              <w:t xml:space="preserve">Evidence requirement </w:t>
            </w:r>
            <w:r w:rsidR="001E12FB">
              <w:rPr>
                <w:rFonts w:cs="Arial"/>
              </w:rPr>
              <w:t xml:space="preserve">must </w:t>
            </w:r>
            <w:r w:rsidRPr="002E0375">
              <w:rPr>
                <w:rFonts w:cs="Arial"/>
              </w:rPr>
              <w:t>record of activity that has taken place (including meetings) to develop the Participants Business Plan.</w:t>
            </w:r>
          </w:p>
          <w:p w:rsidR="00D9287B" w:rsidRPr="00F66319" w:rsidRDefault="001E12FB" w:rsidP="001E12FB">
            <w:pPr>
              <w:spacing w:after="240"/>
              <w:rPr>
                <w:rFonts w:cs="Arial"/>
              </w:rPr>
            </w:pPr>
            <w:r w:rsidRPr="00F66319">
              <w:rPr>
                <w:rFonts w:cs="Arial"/>
              </w:rPr>
              <w:t>Evidence must be recorded where exceptional circumstances are applied for not holding these meetings</w:t>
            </w:r>
            <w:r w:rsidR="00F66319" w:rsidRPr="00F66319">
              <w:rPr>
                <w:rFonts w:cs="Arial"/>
              </w:rPr>
              <w:t xml:space="preserve"> face to face.</w:t>
            </w:r>
            <w:r w:rsidRPr="00F66319">
              <w:rPr>
                <w:rFonts w:cs="Arial"/>
              </w:rPr>
              <w:t xml:space="preserve"> </w:t>
            </w:r>
            <w:r w:rsidR="00D9287B" w:rsidRPr="00F66319">
              <w:rPr>
                <w:rFonts w:cs="Arial"/>
              </w:rPr>
              <w:t xml:space="preserve"> </w:t>
            </w: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Provider</w:t>
            </w:r>
          </w:p>
        </w:tc>
      </w:tr>
      <w:tr w:rsidR="00D9287B" w:rsidRPr="002E0375" w:rsidTr="00B51EDD">
        <w:tc>
          <w:tcPr>
            <w:tcW w:w="1800" w:type="dxa"/>
            <w:shd w:val="clear" w:color="auto" w:fill="auto"/>
            <w:vAlign w:val="center"/>
          </w:tcPr>
          <w:p w:rsidR="00D9287B" w:rsidRPr="002E0375" w:rsidRDefault="00D9287B" w:rsidP="007022DF">
            <w:pPr>
              <w:spacing w:after="240"/>
              <w:rPr>
                <w:rFonts w:cs="Arial"/>
                <w:b/>
              </w:rPr>
            </w:pPr>
            <w:r w:rsidRPr="002E0375">
              <w:rPr>
                <w:rFonts w:cs="Arial"/>
                <w:b/>
              </w:rPr>
              <w:t xml:space="preserve">Contractual Target within </w:t>
            </w:r>
            <w:r w:rsidR="00745FF8">
              <w:rPr>
                <w:rFonts w:cs="Arial"/>
                <w:b/>
              </w:rPr>
              <w:t>12</w:t>
            </w:r>
            <w:r w:rsidRPr="002E0375">
              <w:rPr>
                <w:rFonts w:cs="Arial"/>
                <w:b/>
              </w:rPr>
              <w:t xml:space="preserve"> weeks of Participants being matched with Business Mentor </w:t>
            </w:r>
          </w:p>
        </w:tc>
        <w:tc>
          <w:tcPr>
            <w:tcW w:w="2160" w:type="dxa"/>
            <w:shd w:val="clear" w:color="auto" w:fill="auto"/>
            <w:vAlign w:val="center"/>
          </w:tcPr>
          <w:p w:rsidR="00D9287B" w:rsidRDefault="00D9287B" w:rsidP="00690E9E">
            <w:pPr>
              <w:spacing w:after="240"/>
            </w:pPr>
            <w:r w:rsidRPr="002E0375">
              <w:t>Approval process of the business plan.  The Business Mentor will make a recommendation to the Provider as to whether Participants should proceed to Trading and qualify to apply for the NEA Allowance.</w:t>
            </w:r>
          </w:p>
          <w:p w:rsidR="00745FF8" w:rsidRDefault="00745FF8" w:rsidP="00690E9E">
            <w:pPr>
              <w:spacing w:after="240"/>
            </w:pPr>
          </w:p>
          <w:p w:rsidR="00745FF8" w:rsidRPr="002E0375" w:rsidRDefault="00745FF8" w:rsidP="00690E9E">
            <w:pPr>
              <w:spacing w:after="240"/>
              <w:rPr>
                <w:rFonts w:cs="Arial"/>
              </w:rPr>
            </w:pPr>
          </w:p>
        </w:tc>
        <w:tc>
          <w:tcPr>
            <w:tcW w:w="7560" w:type="dxa"/>
            <w:shd w:val="clear" w:color="auto" w:fill="auto"/>
          </w:tcPr>
          <w:p w:rsidR="00D9287B" w:rsidRPr="002E0375" w:rsidRDefault="00D9287B" w:rsidP="00690E9E">
            <w:pPr>
              <w:spacing w:after="240"/>
            </w:pPr>
            <w:r w:rsidRPr="002E0375">
              <w:t xml:space="preserve">During this approval process the Participant will need to demonstrate that their business plan is viable and that the business has sustainability potential.  </w:t>
            </w:r>
          </w:p>
          <w:p w:rsidR="00D9287B" w:rsidRPr="002E0375" w:rsidRDefault="00D9287B" w:rsidP="00690E9E">
            <w:pPr>
              <w:spacing w:after="240"/>
              <w:rPr>
                <w:rFonts w:cs="Arial"/>
              </w:rPr>
            </w:pPr>
            <w:r w:rsidRPr="002E0375">
              <w:rPr>
                <w:rFonts w:cs="Arial"/>
              </w:rPr>
              <w:t xml:space="preserve">Evidence required, </w:t>
            </w:r>
            <w:r w:rsidR="001E12FB">
              <w:rPr>
                <w:rFonts w:cs="Arial"/>
              </w:rPr>
              <w:t>that the business plan meets the minimum requirement</w:t>
            </w:r>
            <w:r w:rsidR="00870A98">
              <w:rPr>
                <w:rFonts w:cs="Arial"/>
              </w:rPr>
              <w:t xml:space="preserve">, date approved and </w:t>
            </w:r>
            <w:r w:rsidRPr="002E0375">
              <w:rPr>
                <w:rFonts w:cs="Arial"/>
              </w:rPr>
              <w:t>copies of Participants completed Business Plan and recommendation / feedback.</w:t>
            </w:r>
          </w:p>
          <w:p w:rsidR="00D9287B" w:rsidRDefault="00D9287B" w:rsidP="00690E9E">
            <w:pPr>
              <w:pStyle w:val="Default"/>
              <w:spacing w:after="240"/>
              <w:outlineLvl w:val="0"/>
              <w:rPr>
                <w:color w:val="auto"/>
              </w:rPr>
            </w:pPr>
            <w:r w:rsidRPr="002E0375">
              <w:rPr>
                <w:color w:val="auto"/>
              </w:rPr>
              <w:t>Evidence of work with the Business Mentors / Business Advisers and other local partners to signpost Participants to other sources of business support and funding that may be available;</w:t>
            </w:r>
          </w:p>
          <w:p w:rsidR="00870A98" w:rsidRPr="002E0375" w:rsidRDefault="00870A98" w:rsidP="00690E9E">
            <w:pPr>
              <w:pStyle w:val="Default"/>
              <w:spacing w:after="240"/>
              <w:outlineLvl w:val="0"/>
              <w:rPr>
                <w:color w:val="auto"/>
              </w:rPr>
            </w:pPr>
            <w:r>
              <w:rPr>
                <w:color w:val="auto"/>
              </w:rPr>
              <w:t>Evidence the final assessment has been carried out by someone who has not been directly involved with the participant</w:t>
            </w:r>
          </w:p>
          <w:p w:rsidR="00D9287B" w:rsidRDefault="00D9287B" w:rsidP="007022DF">
            <w:pPr>
              <w:spacing w:after="240"/>
            </w:pPr>
            <w:r w:rsidRPr="002E0375">
              <w:t xml:space="preserve">Update </w:t>
            </w:r>
            <w:proofErr w:type="spellStart"/>
            <w:r w:rsidRPr="002E0375">
              <w:t>PRaP</w:t>
            </w:r>
            <w:proofErr w:type="spellEnd"/>
            <w:r w:rsidRPr="002E0375">
              <w:t xml:space="preserve"> when Participants Business Plan has been assessed.</w:t>
            </w:r>
          </w:p>
          <w:p w:rsidR="007022DF" w:rsidRPr="002E0375" w:rsidRDefault="007022DF" w:rsidP="007022DF">
            <w:pPr>
              <w:spacing w:after="240"/>
              <w:rPr>
                <w:rFonts w:cs="Arial"/>
                <w:sz w:val="12"/>
                <w:szCs w:val="12"/>
              </w:rPr>
            </w:pPr>
            <w:r w:rsidRPr="007022DF">
              <w:t>Providers to complete NEA1 form with outcome of appointment and return to Jobcentre Plus</w:t>
            </w:r>
          </w:p>
        </w:tc>
        <w:tc>
          <w:tcPr>
            <w:tcW w:w="1980" w:type="dxa"/>
            <w:shd w:val="clear" w:color="auto" w:fill="auto"/>
            <w:vAlign w:val="center"/>
          </w:tcPr>
          <w:p w:rsidR="00D9287B" w:rsidRPr="002E0375" w:rsidRDefault="00D9287B" w:rsidP="00690E9E">
            <w:pPr>
              <w:spacing w:after="240"/>
              <w:jc w:val="center"/>
              <w:rPr>
                <w:rFonts w:cs="Arial"/>
                <w:b/>
              </w:rPr>
            </w:pPr>
            <w:r w:rsidRPr="002E0375">
              <w:rPr>
                <w:rFonts w:cs="Arial"/>
                <w:b/>
              </w:rPr>
              <w:t>Provider</w:t>
            </w:r>
          </w:p>
        </w:tc>
      </w:tr>
      <w:tr w:rsidR="00745FF8" w:rsidRPr="002E0375" w:rsidTr="00B51EDD">
        <w:tc>
          <w:tcPr>
            <w:tcW w:w="1800" w:type="dxa"/>
            <w:shd w:val="clear" w:color="auto" w:fill="auto"/>
            <w:vAlign w:val="center"/>
          </w:tcPr>
          <w:p w:rsidR="00745FF8" w:rsidRPr="00745FF8" w:rsidRDefault="00745FF8" w:rsidP="00745FF8">
            <w:pPr>
              <w:spacing w:after="240"/>
              <w:rPr>
                <w:rFonts w:cs="Arial"/>
                <w:b/>
              </w:rPr>
            </w:pPr>
            <w:r w:rsidRPr="00745FF8">
              <w:rPr>
                <w:rFonts w:cs="Arial"/>
                <w:b/>
              </w:rPr>
              <w:t>Up to 13 weeks f</w:t>
            </w:r>
            <w:r w:rsidR="003E5D20">
              <w:rPr>
                <w:rFonts w:cs="Arial"/>
                <w:b/>
              </w:rPr>
              <w:t xml:space="preserve">rom the Business </w:t>
            </w:r>
            <w:r w:rsidR="003E5D20">
              <w:rPr>
                <w:rFonts w:cs="Arial"/>
                <w:b/>
              </w:rPr>
              <w:lastRenderedPageBreak/>
              <w:t>Plan approval</w:t>
            </w:r>
          </w:p>
        </w:tc>
        <w:tc>
          <w:tcPr>
            <w:tcW w:w="2160" w:type="dxa"/>
            <w:shd w:val="clear" w:color="auto" w:fill="auto"/>
            <w:vAlign w:val="center"/>
          </w:tcPr>
          <w:p w:rsidR="00745FF8" w:rsidRPr="00745FF8" w:rsidRDefault="00745FF8" w:rsidP="00745FF8">
            <w:pPr>
              <w:spacing w:after="240"/>
            </w:pPr>
            <w:r w:rsidRPr="00745FF8">
              <w:lastRenderedPageBreak/>
              <w:t xml:space="preserve">Business Development </w:t>
            </w:r>
            <w:r w:rsidRPr="00745FF8">
              <w:lastRenderedPageBreak/>
              <w:t xml:space="preserve">Phase </w:t>
            </w:r>
          </w:p>
        </w:tc>
        <w:tc>
          <w:tcPr>
            <w:tcW w:w="7560" w:type="dxa"/>
            <w:shd w:val="clear" w:color="auto" w:fill="auto"/>
          </w:tcPr>
          <w:p w:rsidR="00745FF8" w:rsidRPr="00745FF8" w:rsidRDefault="00745FF8" w:rsidP="00745FF8">
            <w:pPr>
              <w:spacing w:after="240"/>
              <w:ind w:right="-108"/>
            </w:pPr>
            <w:r w:rsidRPr="00745FF8">
              <w:lastRenderedPageBreak/>
              <w:t xml:space="preserve">Optional phase for participants to further develop their business before commencing trading. </w:t>
            </w:r>
          </w:p>
          <w:p w:rsidR="00745FF8" w:rsidRPr="00745FF8" w:rsidRDefault="00745FF8" w:rsidP="00745FF8">
            <w:pPr>
              <w:spacing w:after="240"/>
              <w:ind w:right="-108"/>
            </w:pPr>
            <w:r w:rsidRPr="00745FF8">
              <w:lastRenderedPageBreak/>
              <w:t xml:space="preserve">Providers should offer at least one point of contact with a mentor where the participant does not move into trading immediately following the business plan </w:t>
            </w:r>
          </w:p>
          <w:p w:rsidR="00745FF8" w:rsidRPr="00745FF8" w:rsidRDefault="00745FF8" w:rsidP="00745FF8">
            <w:pPr>
              <w:spacing w:after="240"/>
              <w:ind w:right="-108"/>
            </w:pPr>
            <w:r w:rsidRPr="00745FF8">
              <w:rPr>
                <w:bCs/>
              </w:rPr>
              <w:t>Providers to retain evidence of the offer to Participants.</w:t>
            </w:r>
          </w:p>
        </w:tc>
        <w:tc>
          <w:tcPr>
            <w:tcW w:w="1980" w:type="dxa"/>
            <w:shd w:val="clear" w:color="auto" w:fill="auto"/>
            <w:vAlign w:val="center"/>
          </w:tcPr>
          <w:p w:rsidR="00745FF8" w:rsidRPr="00745FF8" w:rsidRDefault="00745FF8" w:rsidP="00745FF8">
            <w:pPr>
              <w:spacing w:after="240"/>
              <w:jc w:val="center"/>
              <w:rPr>
                <w:rFonts w:cs="Arial"/>
                <w:b/>
              </w:rPr>
            </w:pPr>
            <w:r w:rsidRPr="00745FF8">
              <w:rPr>
                <w:rFonts w:cs="Arial"/>
                <w:b/>
              </w:rPr>
              <w:lastRenderedPageBreak/>
              <w:t xml:space="preserve">Provider </w:t>
            </w:r>
          </w:p>
        </w:tc>
      </w:tr>
      <w:tr w:rsidR="00745FF8" w:rsidRPr="002E0375" w:rsidTr="00B51EDD">
        <w:trPr>
          <w:cantSplit/>
        </w:trPr>
        <w:tc>
          <w:tcPr>
            <w:tcW w:w="1800" w:type="dxa"/>
            <w:shd w:val="clear" w:color="auto" w:fill="auto"/>
            <w:vAlign w:val="center"/>
          </w:tcPr>
          <w:p w:rsidR="00745FF8" w:rsidRPr="002E0375" w:rsidRDefault="00745FF8" w:rsidP="003E5D20">
            <w:pPr>
              <w:spacing w:after="240"/>
              <w:rPr>
                <w:rFonts w:cs="Arial"/>
                <w:b/>
              </w:rPr>
            </w:pPr>
            <w:r w:rsidRPr="002E0375">
              <w:rPr>
                <w:rFonts w:cs="Arial"/>
                <w:b/>
              </w:rPr>
              <w:lastRenderedPageBreak/>
              <w:t>Up to 13 weeks from the Business Plan a</w:t>
            </w:r>
            <w:r w:rsidR="003E5D20">
              <w:rPr>
                <w:rFonts w:cs="Arial"/>
                <w:b/>
              </w:rPr>
              <w:t>pproval</w:t>
            </w:r>
          </w:p>
        </w:tc>
        <w:tc>
          <w:tcPr>
            <w:tcW w:w="2160" w:type="dxa"/>
            <w:shd w:val="clear" w:color="auto" w:fill="auto"/>
            <w:vAlign w:val="center"/>
          </w:tcPr>
          <w:p w:rsidR="00745FF8" w:rsidRPr="002E0375" w:rsidRDefault="00745FF8" w:rsidP="00690E9E">
            <w:pPr>
              <w:spacing w:after="240"/>
            </w:pPr>
            <w:r w:rsidRPr="002E0375">
              <w:t>Start Trading</w:t>
            </w:r>
          </w:p>
        </w:tc>
        <w:tc>
          <w:tcPr>
            <w:tcW w:w="7560" w:type="dxa"/>
            <w:shd w:val="clear" w:color="auto" w:fill="auto"/>
          </w:tcPr>
          <w:p w:rsidR="00745FF8" w:rsidRPr="002E0375" w:rsidRDefault="00745FF8" w:rsidP="00690E9E">
            <w:pPr>
              <w:spacing w:after="240"/>
              <w:ind w:right="-108"/>
            </w:pPr>
            <w:r w:rsidRPr="002E0375">
              <w:t xml:space="preserve">Update </w:t>
            </w:r>
            <w:proofErr w:type="spellStart"/>
            <w:r w:rsidRPr="002E0375">
              <w:t>PRaP</w:t>
            </w:r>
            <w:proofErr w:type="spellEnd"/>
            <w:r w:rsidRPr="002E0375">
              <w:t xml:space="preserve"> when Participant commences trading / Self-Employment.</w:t>
            </w:r>
          </w:p>
          <w:p w:rsidR="00745FF8" w:rsidRPr="002E0375" w:rsidRDefault="00745FF8" w:rsidP="00690E9E">
            <w:pPr>
              <w:spacing w:after="240"/>
              <w:ind w:right="-108"/>
              <w:rPr>
                <w:iCs/>
              </w:rPr>
            </w:pPr>
            <w:r w:rsidRPr="002E0375">
              <w:rPr>
                <w:iCs/>
              </w:rPr>
              <w:t>Providers need to obtain evidence to confirm the Participant has commenced trading, this could include: (list not exhaustive)</w:t>
            </w:r>
          </w:p>
          <w:p w:rsidR="00745FF8" w:rsidRPr="002E0375" w:rsidRDefault="00745FF8" w:rsidP="00EC0606">
            <w:pPr>
              <w:numPr>
                <w:ilvl w:val="0"/>
                <w:numId w:val="29"/>
              </w:numPr>
              <w:tabs>
                <w:tab w:val="clear" w:pos="720"/>
              </w:tabs>
              <w:ind w:right="-108"/>
              <w:rPr>
                <w:iCs/>
              </w:rPr>
            </w:pPr>
            <w:r w:rsidRPr="002E0375">
              <w:rPr>
                <w:iCs/>
              </w:rPr>
              <w:t>HMRC registration</w:t>
            </w:r>
          </w:p>
          <w:p w:rsidR="00745FF8" w:rsidRPr="002E0375" w:rsidRDefault="00745FF8" w:rsidP="00EC0606">
            <w:pPr>
              <w:numPr>
                <w:ilvl w:val="0"/>
                <w:numId w:val="29"/>
              </w:numPr>
              <w:tabs>
                <w:tab w:val="clear" w:pos="720"/>
              </w:tabs>
              <w:rPr>
                <w:iCs/>
              </w:rPr>
            </w:pPr>
            <w:r w:rsidRPr="002E0375">
              <w:rPr>
                <w:iCs/>
              </w:rPr>
              <w:t>Confirmation of NEA allowance claim (letter issued to claimant by JCP) where claimed by participant</w:t>
            </w:r>
          </w:p>
          <w:p w:rsidR="00745FF8" w:rsidRPr="002E0375" w:rsidRDefault="00745FF8" w:rsidP="00EC0606">
            <w:pPr>
              <w:numPr>
                <w:ilvl w:val="0"/>
                <w:numId w:val="29"/>
              </w:numPr>
              <w:tabs>
                <w:tab w:val="clear" w:pos="720"/>
              </w:tabs>
              <w:rPr>
                <w:iCs/>
              </w:rPr>
            </w:pPr>
            <w:r w:rsidRPr="002E0375">
              <w:rPr>
                <w:iCs/>
              </w:rPr>
              <w:t>Proof of benefit claim closed (letter issued to claimant by JCP)</w:t>
            </w:r>
          </w:p>
          <w:p w:rsidR="00745FF8" w:rsidRPr="002E0375" w:rsidRDefault="00745FF8" w:rsidP="00690E9E">
            <w:pPr>
              <w:spacing w:after="240"/>
              <w:ind w:right="-108"/>
            </w:pPr>
          </w:p>
        </w:tc>
        <w:tc>
          <w:tcPr>
            <w:tcW w:w="1980" w:type="dxa"/>
            <w:shd w:val="clear" w:color="auto" w:fill="auto"/>
            <w:vAlign w:val="center"/>
          </w:tcPr>
          <w:p w:rsidR="00745FF8" w:rsidRPr="002E0375" w:rsidRDefault="00745FF8" w:rsidP="00690E9E">
            <w:pPr>
              <w:spacing w:after="240"/>
              <w:jc w:val="center"/>
              <w:rPr>
                <w:rFonts w:cs="Arial"/>
                <w:b/>
              </w:rPr>
            </w:pPr>
            <w:r w:rsidRPr="002E0375">
              <w:rPr>
                <w:rFonts w:cs="Arial"/>
                <w:b/>
              </w:rPr>
              <w:t>Provider</w:t>
            </w:r>
          </w:p>
        </w:tc>
      </w:tr>
      <w:tr w:rsidR="00745FF8" w:rsidRPr="002E0375" w:rsidTr="00B51EDD">
        <w:trPr>
          <w:cantSplit/>
        </w:trPr>
        <w:tc>
          <w:tcPr>
            <w:tcW w:w="1800" w:type="dxa"/>
            <w:shd w:val="clear" w:color="auto" w:fill="auto"/>
            <w:vAlign w:val="center"/>
          </w:tcPr>
          <w:p w:rsidR="00745FF8" w:rsidRPr="00745FF8" w:rsidRDefault="00745FF8" w:rsidP="00745FF8">
            <w:pPr>
              <w:spacing w:after="240"/>
              <w:rPr>
                <w:rFonts w:cs="Arial"/>
                <w:b/>
              </w:rPr>
            </w:pPr>
            <w:r w:rsidRPr="00745FF8">
              <w:rPr>
                <w:rFonts w:cs="Arial"/>
                <w:b/>
              </w:rPr>
              <w:t>After 26 Weeks Self Employment</w:t>
            </w:r>
          </w:p>
        </w:tc>
        <w:tc>
          <w:tcPr>
            <w:tcW w:w="2160" w:type="dxa"/>
            <w:shd w:val="clear" w:color="auto" w:fill="auto"/>
            <w:vAlign w:val="center"/>
          </w:tcPr>
          <w:p w:rsidR="00745FF8" w:rsidRPr="00745FF8" w:rsidRDefault="00745FF8" w:rsidP="00745FF8">
            <w:pPr>
              <w:spacing w:after="240"/>
            </w:pPr>
            <w:r w:rsidRPr="00745FF8">
              <w:rPr>
                <w:rFonts w:cs="Arial"/>
              </w:rPr>
              <w:t>Completion of 26 Weeks of Trading Outcome fee</w:t>
            </w:r>
          </w:p>
        </w:tc>
        <w:tc>
          <w:tcPr>
            <w:tcW w:w="7560" w:type="dxa"/>
            <w:shd w:val="clear" w:color="auto" w:fill="auto"/>
          </w:tcPr>
          <w:p w:rsidR="00745FF8" w:rsidRPr="00745FF8" w:rsidRDefault="00745FF8" w:rsidP="00745FF8">
            <w:pPr>
              <w:spacing w:after="240"/>
              <w:ind w:right="-108"/>
              <w:rPr>
                <w:rFonts w:cs="Arial"/>
              </w:rPr>
            </w:pPr>
            <w:r w:rsidRPr="00745FF8">
              <w:rPr>
                <w:rFonts w:cs="Arial"/>
              </w:rPr>
              <w:t>Evidence to show:</w:t>
            </w:r>
          </w:p>
          <w:p w:rsidR="00745FF8" w:rsidRPr="00745FF8" w:rsidRDefault="00745FF8" w:rsidP="00EC0606">
            <w:pPr>
              <w:numPr>
                <w:ilvl w:val="0"/>
                <w:numId w:val="19"/>
              </w:numPr>
              <w:tabs>
                <w:tab w:val="clear" w:pos="360"/>
              </w:tabs>
              <w:ind w:left="357" w:right="-108" w:hanging="357"/>
              <w:rPr>
                <w:rFonts w:cs="Arial"/>
              </w:rPr>
            </w:pPr>
            <w:r w:rsidRPr="00745FF8">
              <w:rPr>
                <w:rFonts w:cs="Arial"/>
              </w:rPr>
              <w:t>Participant has been in self-employment for a cumulative period of 26 weeks.</w:t>
            </w:r>
          </w:p>
          <w:p w:rsidR="00745FF8" w:rsidRPr="00745FF8" w:rsidRDefault="00745FF8" w:rsidP="00EC0606">
            <w:pPr>
              <w:numPr>
                <w:ilvl w:val="0"/>
                <w:numId w:val="19"/>
              </w:numPr>
              <w:tabs>
                <w:tab w:val="clear" w:pos="360"/>
              </w:tabs>
              <w:spacing w:after="240"/>
              <w:ind w:right="-108"/>
              <w:rPr>
                <w:rFonts w:cs="Arial"/>
              </w:rPr>
            </w:pPr>
            <w:r w:rsidRPr="00745FF8">
              <w:rPr>
                <w:rFonts w:cs="Arial"/>
              </w:rPr>
              <w:t xml:space="preserve">As per the bullets </w:t>
            </w:r>
            <w:r w:rsidR="00160CEC">
              <w:rPr>
                <w:rFonts w:cs="Arial"/>
              </w:rPr>
              <w:t>below</w:t>
            </w:r>
            <w:r w:rsidRPr="00745FF8">
              <w:rPr>
                <w:rFonts w:cs="Arial"/>
              </w:rPr>
              <w:t>.</w:t>
            </w:r>
          </w:p>
          <w:p w:rsidR="00745FF8" w:rsidRPr="00745FF8" w:rsidRDefault="00745FF8" w:rsidP="00745FF8">
            <w:pPr>
              <w:spacing w:after="240"/>
              <w:ind w:right="-108"/>
            </w:pPr>
            <w:r w:rsidRPr="00745FF8">
              <w:t xml:space="preserve">Update </w:t>
            </w:r>
            <w:proofErr w:type="spellStart"/>
            <w:r w:rsidRPr="00745FF8">
              <w:t>PRaP</w:t>
            </w:r>
            <w:proofErr w:type="spellEnd"/>
            <w:r w:rsidRPr="00745FF8">
              <w:t xml:space="preserve"> when Participant completes 26 weeks of trading / Self-Employment.</w:t>
            </w:r>
          </w:p>
        </w:tc>
        <w:tc>
          <w:tcPr>
            <w:tcW w:w="1980" w:type="dxa"/>
            <w:shd w:val="clear" w:color="auto" w:fill="auto"/>
            <w:vAlign w:val="center"/>
          </w:tcPr>
          <w:p w:rsidR="00745FF8" w:rsidRPr="00745FF8" w:rsidRDefault="00745FF8" w:rsidP="00372990">
            <w:pPr>
              <w:spacing w:after="240"/>
              <w:jc w:val="center"/>
              <w:rPr>
                <w:rFonts w:cs="Arial"/>
                <w:b/>
              </w:rPr>
            </w:pPr>
            <w:r w:rsidRPr="00745FF8">
              <w:rPr>
                <w:rFonts w:cs="Arial"/>
                <w:b/>
              </w:rPr>
              <w:t xml:space="preserve">Provider </w:t>
            </w:r>
          </w:p>
        </w:tc>
      </w:tr>
      <w:tr w:rsidR="00745FF8" w:rsidRPr="002E0375" w:rsidTr="00B51EDD">
        <w:tc>
          <w:tcPr>
            <w:tcW w:w="1800" w:type="dxa"/>
            <w:shd w:val="clear" w:color="auto" w:fill="auto"/>
            <w:vAlign w:val="center"/>
          </w:tcPr>
          <w:p w:rsidR="00745FF8" w:rsidRPr="002E0375" w:rsidRDefault="00745FF8" w:rsidP="001E0F31">
            <w:pPr>
              <w:spacing w:after="240"/>
              <w:rPr>
                <w:rFonts w:cs="Arial"/>
                <w:b/>
              </w:rPr>
            </w:pPr>
            <w:r w:rsidRPr="002E0375">
              <w:rPr>
                <w:rFonts w:cs="Arial"/>
                <w:b/>
              </w:rPr>
              <w:t>During 52 weeks of Self Employment</w:t>
            </w:r>
          </w:p>
        </w:tc>
        <w:tc>
          <w:tcPr>
            <w:tcW w:w="2160" w:type="dxa"/>
            <w:shd w:val="clear" w:color="auto" w:fill="auto"/>
            <w:vAlign w:val="center"/>
          </w:tcPr>
          <w:p w:rsidR="00745FF8" w:rsidRPr="002E0375" w:rsidRDefault="00745FF8" w:rsidP="00160CEC">
            <w:pPr>
              <w:spacing w:after="240"/>
              <w:rPr>
                <w:rFonts w:cs="Arial"/>
              </w:rPr>
            </w:pPr>
            <w:r w:rsidRPr="002E0375">
              <w:t xml:space="preserve">Business Mentors  to provide on-going support for a minimum of </w:t>
            </w:r>
            <w:r w:rsidR="00E027EE">
              <w:t>5</w:t>
            </w:r>
            <w:r w:rsidRPr="002E0375">
              <w:t xml:space="preserve">2-weeks, once the Participant has left Jobseeker’s </w:t>
            </w:r>
            <w:r w:rsidRPr="002E0375">
              <w:lastRenderedPageBreak/>
              <w:t xml:space="preserve">Allowance, Employment and Support Allowance or Income Support and commenced Trading </w:t>
            </w:r>
          </w:p>
        </w:tc>
        <w:tc>
          <w:tcPr>
            <w:tcW w:w="7560" w:type="dxa"/>
            <w:shd w:val="clear" w:color="auto" w:fill="auto"/>
          </w:tcPr>
          <w:p w:rsidR="00745FF8" w:rsidRPr="002E0375" w:rsidRDefault="00745FF8" w:rsidP="00690E9E">
            <w:pPr>
              <w:spacing w:after="240"/>
              <w:ind w:right="-108"/>
            </w:pPr>
            <w:r w:rsidRPr="002E0375">
              <w:lastRenderedPageBreak/>
              <w:t>Evidence of support the Business Mentors</w:t>
            </w:r>
            <w:r w:rsidR="00160CEC">
              <w:t xml:space="preserve"> </w:t>
            </w:r>
            <w:r w:rsidRPr="002E0375">
              <w:t xml:space="preserve">provide. </w:t>
            </w:r>
          </w:p>
          <w:p w:rsidR="00745FF8" w:rsidRPr="002E0375" w:rsidRDefault="00745FF8" w:rsidP="00690E9E">
            <w:pPr>
              <w:spacing w:after="240"/>
              <w:ind w:right="-108"/>
              <w:rPr>
                <w:bCs/>
              </w:rPr>
            </w:pPr>
            <w:r w:rsidRPr="002E0375">
              <w:rPr>
                <w:bCs/>
              </w:rPr>
              <w:t xml:space="preserve">The </w:t>
            </w:r>
            <w:r w:rsidRPr="002E0375">
              <w:rPr>
                <w:bCs/>
                <w:u w:val="single"/>
              </w:rPr>
              <w:t>minimum</w:t>
            </w:r>
            <w:r w:rsidRPr="002E0375">
              <w:rPr>
                <w:bCs/>
              </w:rPr>
              <w:t xml:space="preserve"> requirement for post Mentoring support is to offer Participants at least </w:t>
            </w:r>
            <w:r w:rsidR="00E027EE">
              <w:rPr>
                <w:bCs/>
              </w:rPr>
              <w:t>four</w:t>
            </w:r>
            <w:r w:rsidRPr="002E0375">
              <w:rPr>
                <w:bCs/>
              </w:rPr>
              <w:t xml:space="preserve"> </w:t>
            </w:r>
            <w:r w:rsidRPr="0025597F">
              <w:rPr>
                <w:bCs/>
              </w:rPr>
              <w:t xml:space="preserve">face to face </w:t>
            </w:r>
            <w:r w:rsidRPr="002E0375">
              <w:rPr>
                <w:bCs/>
              </w:rPr>
              <w:t xml:space="preserve">meetings </w:t>
            </w:r>
          </w:p>
          <w:p w:rsidR="00745FF8" w:rsidRPr="002E0375" w:rsidRDefault="00745FF8" w:rsidP="00690E9E">
            <w:pPr>
              <w:spacing w:after="240"/>
              <w:ind w:right="-108"/>
              <w:rPr>
                <w:bCs/>
              </w:rPr>
            </w:pPr>
            <w:r w:rsidRPr="002E0375">
              <w:rPr>
                <w:bCs/>
              </w:rPr>
              <w:t xml:space="preserve">Providers must </w:t>
            </w:r>
            <w:r w:rsidR="00160CEC">
              <w:rPr>
                <w:bCs/>
              </w:rPr>
              <w:t xml:space="preserve">obtain </w:t>
            </w:r>
            <w:r w:rsidRPr="002E0375">
              <w:rPr>
                <w:bCs/>
              </w:rPr>
              <w:t>evidence of the post start up Mentoring support given or offered to Participants. This could include:</w:t>
            </w:r>
          </w:p>
          <w:p w:rsidR="00745FF8" w:rsidRPr="002E0375" w:rsidRDefault="00745FF8" w:rsidP="00EC0606">
            <w:pPr>
              <w:numPr>
                <w:ilvl w:val="0"/>
                <w:numId w:val="22"/>
              </w:numPr>
              <w:tabs>
                <w:tab w:val="clear" w:pos="360"/>
              </w:tabs>
              <w:ind w:left="357" w:right="-108" w:hanging="357"/>
              <w:rPr>
                <w:bCs/>
              </w:rPr>
            </w:pPr>
            <w:r w:rsidRPr="002E0375">
              <w:rPr>
                <w:bCs/>
              </w:rPr>
              <w:lastRenderedPageBreak/>
              <w:t>A log of each contact, or attempt to contact Participants.</w:t>
            </w:r>
          </w:p>
          <w:p w:rsidR="00745FF8" w:rsidRPr="002E0375" w:rsidRDefault="00745FF8" w:rsidP="00EC0606">
            <w:pPr>
              <w:numPr>
                <w:ilvl w:val="0"/>
                <w:numId w:val="22"/>
              </w:numPr>
              <w:tabs>
                <w:tab w:val="clear" w:pos="360"/>
              </w:tabs>
              <w:ind w:left="357" w:right="-108" w:hanging="357"/>
              <w:rPr>
                <w:bCs/>
              </w:rPr>
            </w:pPr>
            <w:r w:rsidRPr="002E0375">
              <w:rPr>
                <w:bCs/>
              </w:rPr>
              <w:t>Signed confirmation of face to face meetings that take place</w:t>
            </w:r>
          </w:p>
          <w:p w:rsidR="00745FF8" w:rsidRPr="002E0375" w:rsidRDefault="00745FF8" w:rsidP="00EC0606">
            <w:pPr>
              <w:numPr>
                <w:ilvl w:val="0"/>
                <w:numId w:val="22"/>
              </w:numPr>
              <w:tabs>
                <w:tab w:val="clear" w:pos="360"/>
              </w:tabs>
              <w:spacing w:after="240"/>
              <w:ind w:left="357" w:right="-108" w:hanging="357"/>
              <w:rPr>
                <w:rFonts w:cs="Arial"/>
              </w:rPr>
            </w:pPr>
            <w:r w:rsidRPr="002E0375">
              <w:rPr>
                <w:bCs/>
              </w:rPr>
              <w:t>Correspondence between Provider and Participant that demonstrates post start-up Mentoring support given or offered.</w:t>
            </w:r>
          </w:p>
        </w:tc>
        <w:tc>
          <w:tcPr>
            <w:tcW w:w="1980" w:type="dxa"/>
            <w:shd w:val="clear" w:color="auto" w:fill="auto"/>
            <w:vAlign w:val="center"/>
          </w:tcPr>
          <w:p w:rsidR="00745FF8" w:rsidRPr="002E0375" w:rsidRDefault="00745FF8" w:rsidP="00690E9E">
            <w:pPr>
              <w:spacing w:after="240"/>
              <w:jc w:val="center"/>
              <w:rPr>
                <w:rFonts w:cs="Arial"/>
                <w:b/>
              </w:rPr>
            </w:pPr>
            <w:r w:rsidRPr="002E0375">
              <w:rPr>
                <w:rFonts w:cs="Arial"/>
                <w:b/>
              </w:rPr>
              <w:lastRenderedPageBreak/>
              <w:t>Provider</w:t>
            </w:r>
          </w:p>
        </w:tc>
      </w:tr>
      <w:tr w:rsidR="00745FF8" w:rsidRPr="002E0375" w:rsidTr="002E0375">
        <w:trPr>
          <w:cantSplit/>
          <w:trHeight w:val="2150"/>
        </w:trPr>
        <w:tc>
          <w:tcPr>
            <w:tcW w:w="1800" w:type="dxa"/>
            <w:shd w:val="clear" w:color="auto" w:fill="auto"/>
            <w:vAlign w:val="center"/>
          </w:tcPr>
          <w:p w:rsidR="00745FF8" w:rsidRPr="002E0375" w:rsidRDefault="00745FF8" w:rsidP="001E0F31">
            <w:pPr>
              <w:spacing w:after="240"/>
              <w:rPr>
                <w:rFonts w:cs="Arial"/>
                <w:b/>
              </w:rPr>
            </w:pPr>
            <w:r w:rsidRPr="002E0375">
              <w:rPr>
                <w:rFonts w:cs="Arial"/>
                <w:b/>
              </w:rPr>
              <w:lastRenderedPageBreak/>
              <w:t xml:space="preserve">After 52 Weeks Self Employment </w:t>
            </w:r>
          </w:p>
        </w:tc>
        <w:tc>
          <w:tcPr>
            <w:tcW w:w="2160" w:type="dxa"/>
            <w:shd w:val="clear" w:color="auto" w:fill="auto"/>
            <w:vAlign w:val="center"/>
          </w:tcPr>
          <w:p w:rsidR="00745FF8" w:rsidRPr="002E0375" w:rsidRDefault="00745FF8" w:rsidP="00160CEC">
            <w:pPr>
              <w:spacing w:after="240"/>
              <w:rPr>
                <w:rFonts w:cs="Arial"/>
              </w:rPr>
            </w:pPr>
            <w:r w:rsidRPr="002E0375">
              <w:rPr>
                <w:rFonts w:cs="Arial"/>
              </w:rPr>
              <w:t xml:space="preserve">Completion of 52 Weeks of Trading </w:t>
            </w:r>
          </w:p>
        </w:tc>
        <w:tc>
          <w:tcPr>
            <w:tcW w:w="7560" w:type="dxa"/>
            <w:shd w:val="clear" w:color="auto" w:fill="auto"/>
          </w:tcPr>
          <w:p w:rsidR="00745FF8" w:rsidRPr="002E0375" w:rsidRDefault="00745FF8" w:rsidP="00690E9E">
            <w:pPr>
              <w:spacing w:after="240"/>
              <w:ind w:right="-108"/>
              <w:rPr>
                <w:rFonts w:cs="Arial"/>
              </w:rPr>
            </w:pPr>
            <w:r w:rsidRPr="002E0375">
              <w:rPr>
                <w:rFonts w:cs="Arial"/>
              </w:rPr>
              <w:t>Evidence to show:</w:t>
            </w:r>
          </w:p>
          <w:p w:rsidR="00745FF8" w:rsidRPr="002E0375" w:rsidRDefault="00745FF8" w:rsidP="00EC0606">
            <w:pPr>
              <w:numPr>
                <w:ilvl w:val="0"/>
                <w:numId w:val="19"/>
              </w:numPr>
              <w:tabs>
                <w:tab w:val="clear" w:pos="360"/>
              </w:tabs>
              <w:ind w:left="357" w:right="-108" w:hanging="357"/>
              <w:rPr>
                <w:rFonts w:cs="Arial"/>
              </w:rPr>
            </w:pPr>
            <w:r w:rsidRPr="002E0375">
              <w:rPr>
                <w:rFonts w:cs="Arial"/>
              </w:rPr>
              <w:t>Participant has been in self-employment for a cumulative period of 52 weeks.</w:t>
            </w:r>
          </w:p>
          <w:p w:rsidR="00745FF8" w:rsidRPr="002E0375" w:rsidRDefault="00745FF8" w:rsidP="00EC0606">
            <w:pPr>
              <w:numPr>
                <w:ilvl w:val="0"/>
                <w:numId w:val="19"/>
              </w:numPr>
              <w:tabs>
                <w:tab w:val="clear" w:pos="360"/>
              </w:tabs>
              <w:spacing w:after="240"/>
              <w:ind w:right="-108"/>
              <w:rPr>
                <w:rFonts w:cs="Arial"/>
              </w:rPr>
            </w:pPr>
            <w:r w:rsidRPr="002E0375">
              <w:rPr>
                <w:rFonts w:cs="Arial"/>
              </w:rPr>
              <w:t xml:space="preserve">As per the bullets </w:t>
            </w:r>
            <w:r w:rsidR="00194871">
              <w:rPr>
                <w:rFonts w:cs="Arial"/>
              </w:rPr>
              <w:t xml:space="preserve">in the </w:t>
            </w:r>
            <w:r w:rsidRPr="002E0375">
              <w:rPr>
                <w:rFonts w:cs="Arial"/>
              </w:rPr>
              <w:t>above</w:t>
            </w:r>
            <w:r w:rsidR="00194871">
              <w:rPr>
                <w:rFonts w:cs="Arial"/>
              </w:rPr>
              <w:t xml:space="preserve"> line</w:t>
            </w:r>
            <w:r w:rsidRPr="002E0375">
              <w:rPr>
                <w:rFonts w:cs="Arial"/>
              </w:rPr>
              <w:t>.</w:t>
            </w:r>
          </w:p>
          <w:p w:rsidR="00745FF8" w:rsidRPr="002E0375" w:rsidRDefault="00745FF8" w:rsidP="001E0F31">
            <w:pPr>
              <w:spacing w:after="240"/>
              <w:ind w:right="-108"/>
              <w:rPr>
                <w:rFonts w:cs="Arial"/>
              </w:rPr>
            </w:pPr>
            <w:r w:rsidRPr="002E0375">
              <w:t xml:space="preserve">Update </w:t>
            </w:r>
            <w:proofErr w:type="spellStart"/>
            <w:r w:rsidRPr="002E0375">
              <w:t>PRaP</w:t>
            </w:r>
            <w:proofErr w:type="spellEnd"/>
            <w:r w:rsidRPr="002E0375">
              <w:t xml:space="preserve"> when Participant completes 52 weeks of trading / Self-Employment. </w:t>
            </w:r>
          </w:p>
        </w:tc>
        <w:tc>
          <w:tcPr>
            <w:tcW w:w="1980" w:type="dxa"/>
            <w:shd w:val="clear" w:color="auto" w:fill="auto"/>
            <w:vAlign w:val="center"/>
          </w:tcPr>
          <w:p w:rsidR="00745FF8" w:rsidRPr="002E0375" w:rsidRDefault="00745FF8" w:rsidP="0082022A">
            <w:pPr>
              <w:spacing w:after="240"/>
              <w:jc w:val="center"/>
              <w:rPr>
                <w:rFonts w:cs="Arial"/>
                <w:b/>
              </w:rPr>
            </w:pPr>
            <w:r w:rsidRPr="002E0375">
              <w:rPr>
                <w:rFonts w:cs="Arial"/>
                <w:b/>
              </w:rPr>
              <w:t xml:space="preserve">Provider </w:t>
            </w:r>
          </w:p>
        </w:tc>
      </w:tr>
    </w:tbl>
    <w:p w:rsidR="00E027EE" w:rsidRPr="00E027EE" w:rsidRDefault="00E027EE" w:rsidP="00E027EE">
      <w:pPr>
        <w:pStyle w:val="Heading1"/>
        <w:tabs>
          <w:tab w:val="clear" w:pos="432"/>
        </w:tabs>
        <w:spacing w:after="240"/>
      </w:pPr>
      <w:bookmarkStart w:id="30" w:name="_Exit_feedback_template"/>
      <w:bookmarkStart w:id="31" w:name="_CAP_CLAIMANT_PORTFOLIO"/>
      <w:bookmarkStart w:id="32" w:name="_Exit_Feedback_Template_1"/>
      <w:bookmarkEnd w:id="30"/>
      <w:bookmarkEnd w:id="31"/>
      <w:bookmarkEnd w:id="32"/>
      <w:r w:rsidRPr="00E027EE">
        <w:t xml:space="preserve">Evidence Requirements for UC participants already in self Employment </w:t>
      </w:r>
    </w:p>
    <w:tbl>
      <w:tblPr>
        <w:tblW w:w="13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7560"/>
        <w:gridCol w:w="1980"/>
      </w:tblGrid>
      <w:tr w:rsidR="00E027EE" w:rsidRPr="00E027EE" w:rsidTr="003F5152">
        <w:trPr>
          <w:cantSplit/>
          <w:tblHeader/>
        </w:trPr>
        <w:tc>
          <w:tcPr>
            <w:tcW w:w="1800" w:type="dxa"/>
            <w:shd w:val="clear" w:color="auto" w:fill="CCFFCC"/>
          </w:tcPr>
          <w:p w:rsidR="00E027EE" w:rsidRPr="00E027EE" w:rsidRDefault="00E027EE" w:rsidP="003F5152">
            <w:pPr>
              <w:spacing w:after="240"/>
              <w:rPr>
                <w:rFonts w:cs="Arial"/>
                <w:b/>
              </w:rPr>
            </w:pPr>
            <w:r w:rsidRPr="00E027EE">
              <w:rPr>
                <w:rFonts w:cs="Arial"/>
                <w:b/>
              </w:rPr>
              <w:t>Timing</w:t>
            </w:r>
          </w:p>
        </w:tc>
        <w:tc>
          <w:tcPr>
            <w:tcW w:w="2160" w:type="dxa"/>
            <w:shd w:val="clear" w:color="auto" w:fill="CCFFCC"/>
          </w:tcPr>
          <w:p w:rsidR="00E027EE" w:rsidRPr="00E027EE" w:rsidRDefault="00E027EE" w:rsidP="003F5152">
            <w:pPr>
              <w:spacing w:after="240"/>
              <w:rPr>
                <w:rFonts w:cs="Arial"/>
                <w:b/>
              </w:rPr>
            </w:pPr>
            <w:r w:rsidRPr="00E027EE">
              <w:rPr>
                <w:rFonts w:cs="Arial"/>
                <w:b/>
              </w:rPr>
              <w:t>Process</w:t>
            </w:r>
          </w:p>
        </w:tc>
        <w:tc>
          <w:tcPr>
            <w:tcW w:w="7560" w:type="dxa"/>
            <w:shd w:val="clear" w:color="auto" w:fill="CCFFCC"/>
          </w:tcPr>
          <w:p w:rsidR="00E027EE" w:rsidRPr="00E027EE" w:rsidRDefault="00E027EE" w:rsidP="003F5152">
            <w:pPr>
              <w:spacing w:after="240"/>
              <w:rPr>
                <w:rFonts w:cs="Arial"/>
                <w:b/>
              </w:rPr>
            </w:pPr>
            <w:r w:rsidRPr="00E027EE">
              <w:rPr>
                <w:rFonts w:cs="Arial"/>
                <w:b/>
              </w:rPr>
              <w:t>Evidence Description</w:t>
            </w:r>
          </w:p>
        </w:tc>
        <w:tc>
          <w:tcPr>
            <w:tcW w:w="1980" w:type="dxa"/>
            <w:shd w:val="clear" w:color="auto" w:fill="CCFFCC"/>
          </w:tcPr>
          <w:p w:rsidR="00E027EE" w:rsidRPr="00E027EE" w:rsidRDefault="00E027EE" w:rsidP="003F5152">
            <w:pPr>
              <w:spacing w:after="240"/>
              <w:rPr>
                <w:rFonts w:cs="Arial"/>
                <w:b/>
              </w:rPr>
            </w:pPr>
            <w:r w:rsidRPr="00E027EE">
              <w:rPr>
                <w:rFonts w:cs="Arial"/>
                <w:b/>
              </w:rPr>
              <w:t>Responsibility</w:t>
            </w:r>
          </w:p>
        </w:tc>
      </w:tr>
      <w:tr w:rsidR="00E027EE" w:rsidRPr="00E027EE" w:rsidTr="003F5152">
        <w:tc>
          <w:tcPr>
            <w:tcW w:w="1800" w:type="dxa"/>
            <w:shd w:val="clear" w:color="auto" w:fill="auto"/>
            <w:vAlign w:val="center"/>
          </w:tcPr>
          <w:p w:rsidR="00E027EE" w:rsidRPr="00E027EE" w:rsidRDefault="00E027EE" w:rsidP="003F5152">
            <w:pPr>
              <w:spacing w:after="240"/>
              <w:rPr>
                <w:rFonts w:cs="Arial"/>
                <w:b/>
              </w:rPr>
            </w:pPr>
            <w:r w:rsidRPr="00E027EE">
              <w:rPr>
                <w:rFonts w:cs="Arial"/>
                <w:b/>
              </w:rPr>
              <w:t>Day 1</w:t>
            </w:r>
          </w:p>
        </w:tc>
        <w:tc>
          <w:tcPr>
            <w:tcW w:w="2160" w:type="dxa"/>
            <w:shd w:val="clear" w:color="auto" w:fill="auto"/>
            <w:vAlign w:val="center"/>
          </w:tcPr>
          <w:p w:rsidR="00E027EE" w:rsidRPr="00E027EE" w:rsidRDefault="00E027EE" w:rsidP="003F5152">
            <w:pPr>
              <w:spacing w:after="240"/>
              <w:rPr>
                <w:rFonts w:cs="Arial"/>
              </w:rPr>
            </w:pPr>
            <w:r w:rsidRPr="00E027EE">
              <w:rPr>
                <w:rFonts w:cs="Arial"/>
              </w:rPr>
              <w:t>Work Coach Referral</w:t>
            </w:r>
          </w:p>
        </w:tc>
        <w:tc>
          <w:tcPr>
            <w:tcW w:w="7560" w:type="dxa"/>
            <w:shd w:val="clear" w:color="auto" w:fill="auto"/>
          </w:tcPr>
          <w:p w:rsidR="00E027EE" w:rsidRPr="00E027EE" w:rsidRDefault="00E027EE" w:rsidP="003F5152">
            <w:pPr>
              <w:spacing w:after="240"/>
              <w:rPr>
                <w:rFonts w:cs="Arial"/>
              </w:rPr>
            </w:pPr>
            <w:r w:rsidRPr="00E027EE">
              <w:rPr>
                <w:rFonts w:cs="Arial"/>
              </w:rPr>
              <w:t xml:space="preserve">Referral by JCP Work Coach by telephone (LMS, WSP, </w:t>
            </w:r>
            <w:proofErr w:type="spellStart"/>
            <w:r w:rsidRPr="00E027EE">
              <w:rPr>
                <w:rFonts w:cs="Arial"/>
              </w:rPr>
              <w:t>PRaP</w:t>
            </w:r>
            <w:proofErr w:type="spellEnd"/>
            <w:r w:rsidRPr="00E027EE">
              <w:rPr>
                <w:rFonts w:cs="Arial"/>
              </w:rPr>
              <w:t>, clerical referral to follow initial telephoned referral</w:t>
            </w:r>
            <w:proofErr w:type="gramStart"/>
            <w:r w:rsidRPr="00E027EE">
              <w:rPr>
                <w:rFonts w:cs="Arial"/>
              </w:rPr>
              <w:t>)–</w:t>
            </w:r>
            <w:proofErr w:type="gramEnd"/>
            <w:r w:rsidRPr="00E027EE">
              <w:rPr>
                <w:rFonts w:cs="Arial"/>
              </w:rPr>
              <w:t xml:space="preserve"> key date from which claim periods are counted. </w:t>
            </w:r>
          </w:p>
          <w:p w:rsidR="00E027EE" w:rsidRPr="00E027EE" w:rsidRDefault="00E027EE" w:rsidP="003F5152">
            <w:pPr>
              <w:spacing w:after="240"/>
              <w:rPr>
                <w:rFonts w:cs="Arial"/>
              </w:rPr>
            </w:pPr>
            <w:r w:rsidRPr="00E027EE">
              <w:rPr>
                <w:rFonts w:cs="Arial"/>
              </w:rPr>
              <w:t xml:space="preserve">Referral made in </w:t>
            </w:r>
            <w:proofErr w:type="spellStart"/>
            <w:r w:rsidRPr="00E027EE">
              <w:rPr>
                <w:rFonts w:cs="Arial"/>
              </w:rPr>
              <w:t>PRaP</w:t>
            </w:r>
            <w:proofErr w:type="spellEnd"/>
            <w:r w:rsidRPr="00E027EE">
              <w:rPr>
                <w:rFonts w:cs="Arial"/>
              </w:rPr>
              <w:t>.</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DWP</w:t>
            </w:r>
          </w:p>
        </w:tc>
      </w:tr>
      <w:tr w:rsidR="00E027EE" w:rsidRPr="00E027EE" w:rsidTr="003F5152">
        <w:tc>
          <w:tcPr>
            <w:tcW w:w="1800" w:type="dxa"/>
            <w:shd w:val="clear" w:color="auto" w:fill="auto"/>
            <w:vAlign w:val="center"/>
          </w:tcPr>
          <w:p w:rsidR="00E027EE" w:rsidRPr="00E027EE" w:rsidRDefault="00E027EE" w:rsidP="0025597F">
            <w:pPr>
              <w:spacing w:after="240"/>
              <w:rPr>
                <w:rFonts w:cs="Arial"/>
                <w:b/>
              </w:rPr>
            </w:pPr>
            <w:r w:rsidRPr="00E027EE">
              <w:rPr>
                <w:rFonts w:cs="Arial"/>
                <w:b/>
              </w:rPr>
              <w:t>Contractual Target Within 1</w:t>
            </w:r>
            <w:r w:rsidR="0025597F">
              <w:rPr>
                <w:rFonts w:cs="Arial"/>
                <w:b/>
              </w:rPr>
              <w:t>0</w:t>
            </w:r>
            <w:r w:rsidRPr="00E027EE">
              <w:rPr>
                <w:rFonts w:cs="Arial"/>
                <w:b/>
              </w:rPr>
              <w:t xml:space="preserve"> Working Days of referral</w:t>
            </w:r>
          </w:p>
        </w:tc>
        <w:tc>
          <w:tcPr>
            <w:tcW w:w="2160" w:type="dxa"/>
            <w:shd w:val="clear" w:color="auto" w:fill="auto"/>
            <w:vAlign w:val="center"/>
          </w:tcPr>
          <w:p w:rsidR="00E027EE" w:rsidRPr="00E027EE" w:rsidRDefault="00160CEC" w:rsidP="003F5152">
            <w:pPr>
              <w:spacing w:after="240"/>
              <w:rPr>
                <w:rFonts w:cs="Arial"/>
              </w:rPr>
            </w:pPr>
            <w:r>
              <w:rPr>
                <w:rFonts w:cs="Arial"/>
              </w:rPr>
              <w:t xml:space="preserve">Delivery of the </w:t>
            </w:r>
            <w:r w:rsidR="00E027EE" w:rsidRPr="00E027EE">
              <w:rPr>
                <w:rFonts w:cs="Arial"/>
              </w:rPr>
              <w:t xml:space="preserve">Initial assessment / </w:t>
            </w:r>
            <w:proofErr w:type="spellStart"/>
            <w:r w:rsidR="00E027EE" w:rsidRPr="00E027EE">
              <w:rPr>
                <w:rFonts w:cs="Arial"/>
              </w:rPr>
              <w:t>pre screen</w:t>
            </w:r>
            <w:proofErr w:type="spellEnd"/>
            <w:r w:rsidR="00E027EE" w:rsidRPr="00E027EE">
              <w:rPr>
                <w:rFonts w:cs="Arial"/>
              </w:rPr>
              <w:t xml:space="preserve"> appointment</w:t>
            </w:r>
          </w:p>
        </w:tc>
        <w:tc>
          <w:tcPr>
            <w:tcW w:w="7560" w:type="dxa"/>
            <w:shd w:val="clear" w:color="auto" w:fill="auto"/>
          </w:tcPr>
          <w:p w:rsidR="00E027EE" w:rsidRPr="00E027EE" w:rsidRDefault="00E027EE" w:rsidP="003F5152">
            <w:pPr>
              <w:spacing w:after="240"/>
            </w:pPr>
            <w:r w:rsidRPr="00E027EE">
              <w:t xml:space="preserve">Provide an initial assessment </w:t>
            </w:r>
            <w:r w:rsidR="00870A98">
              <w:t xml:space="preserve">/ </w:t>
            </w:r>
            <w:proofErr w:type="spellStart"/>
            <w:r w:rsidR="00870A98">
              <w:t>pre screen</w:t>
            </w:r>
            <w:proofErr w:type="spellEnd"/>
            <w:r w:rsidR="00870A98">
              <w:t xml:space="preserve"> </w:t>
            </w:r>
            <w:r w:rsidRPr="00E027EE">
              <w:t>of Eligible Individuals that are referred to them by Jobcentre Plus, within 1</w:t>
            </w:r>
            <w:r w:rsidR="00122E6D">
              <w:t>0</w:t>
            </w:r>
            <w:r w:rsidRPr="00E027EE">
              <w:t xml:space="preserve">-working days of the referral date.  This will include an initial assessment of the individual’s self-employment prospects, their business proposition, </w:t>
            </w:r>
            <w:r w:rsidR="009D009B">
              <w:t>its growth</w:t>
            </w:r>
            <w:r w:rsidRPr="00E027EE">
              <w:t xml:space="preserve"> potential and their overall suitability for the NEA Phase 2 programme.</w:t>
            </w:r>
          </w:p>
          <w:p w:rsidR="00E027EE" w:rsidRDefault="00E027EE" w:rsidP="003F5152">
            <w:pPr>
              <w:spacing w:after="240"/>
              <w:rPr>
                <w:bCs/>
              </w:rPr>
            </w:pPr>
            <w:r w:rsidRPr="00E027EE">
              <w:rPr>
                <w:bCs/>
              </w:rPr>
              <w:lastRenderedPageBreak/>
              <w:t xml:space="preserve">Providers must </w:t>
            </w:r>
            <w:r w:rsidR="00870A98">
              <w:rPr>
                <w:bCs/>
              </w:rPr>
              <w:t xml:space="preserve">record the date of the initial assessment and </w:t>
            </w:r>
            <w:r w:rsidRPr="00E027EE">
              <w:rPr>
                <w:bCs/>
              </w:rPr>
              <w:t>obtain signed confirmation from Participants that the initial assessment has taken place.</w:t>
            </w:r>
          </w:p>
          <w:p w:rsidR="00870A98" w:rsidRPr="00E027EE" w:rsidRDefault="00870A98" w:rsidP="003F5152">
            <w:pPr>
              <w:spacing w:after="240"/>
              <w:rPr>
                <w:bCs/>
              </w:rPr>
            </w:pPr>
            <w:r>
              <w:rPr>
                <w:bCs/>
              </w:rPr>
              <w:t>Evidence that they feel the business proposition is viable.</w:t>
            </w:r>
          </w:p>
          <w:p w:rsidR="00E027EE" w:rsidRPr="00E027EE" w:rsidRDefault="00E027EE" w:rsidP="003F5152">
            <w:pPr>
              <w:spacing w:after="240"/>
            </w:pPr>
            <w:r w:rsidRPr="00E027EE">
              <w:t xml:space="preserve">Where a Participant fails to attend their initial assessment meeting Providers </w:t>
            </w:r>
            <w:r w:rsidRPr="00E027EE">
              <w:rPr>
                <w:bCs/>
              </w:rPr>
              <w:t>must also</w:t>
            </w:r>
            <w:r w:rsidRPr="00E027EE">
              <w:t xml:space="preserve"> update </w:t>
            </w:r>
            <w:proofErr w:type="spellStart"/>
            <w:r w:rsidRPr="00E027EE">
              <w:t>PRaP</w:t>
            </w:r>
            <w:proofErr w:type="spellEnd"/>
            <w:r w:rsidRPr="00E027EE">
              <w:t xml:space="preserve"> (within </w:t>
            </w:r>
            <w:r w:rsidR="00122E6D">
              <w:t>5</w:t>
            </w:r>
            <w:r w:rsidRPr="00E027EE">
              <w:t xml:space="preserve"> working days of the failure to attend) detailing the Participant has failed to attend.</w:t>
            </w:r>
          </w:p>
          <w:p w:rsidR="00E027EE" w:rsidRDefault="00E027EE" w:rsidP="003F5152">
            <w:pPr>
              <w:spacing w:after="240"/>
            </w:pPr>
            <w:r w:rsidRPr="00E027EE">
              <w:t xml:space="preserve">Update </w:t>
            </w:r>
            <w:proofErr w:type="spellStart"/>
            <w:r w:rsidRPr="00E027EE">
              <w:t>PRaP</w:t>
            </w:r>
            <w:proofErr w:type="spellEnd"/>
            <w:r w:rsidRPr="00E027EE">
              <w:t xml:space="preserve"> when Participant accepted onto NEA Phase 2 main Programme.</w:t>
            </w:r>
          </w:p>
          <w:p w:rsidR="00160CEC" w:rsidRPr="00E027EE" w:rsidRDefault="00160CEC" w:rsidP="003F5152">
            <w:pPr>
              <w:spacing w:after="240"/>
              <w:rPr>
                <w:rFonts w:cs="Arial"/>
                <w:b/>
              </w:rPr>
            </w:pPr>
            <w:r w:rsidRPr="007022DF">
              <w:t>Providers to complete NEA1 form with outcome of appointment and return to Jobcentre Plus</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lastRenderedPageBreak/>
              <w:t>Provider</w:t>
            </w:r>
          </w:p>
        </w:tc>
      </w:tr>
      <w:tr w:rsidR="00E027EE" w:rsidRPr="00E027EE" w:rsidTr="003F5152">
        <w:tc>
          <w:tcPr>
            <w:tcW w:w="1800" w:type="dxa"/>
            <w:shd w:val="clear" w:color="auto" w:fill="auto"/>
            <w:vAlign w:val="center"/>
          </w:tcPr>
          <w:p w:rsidR="00E027EE" w:rsidRPr="00E027EE" w:rsidRDefault="00E027EE" w:rsidP="0025597F">
            <w:pPr>
              <w:spacing w:after="240"/>
              <w:rPr>
                <w:rFonts w:cs="Arial"/>
                <w:b/>
              </w:rPr>
            </w:pPr>
            <w:r w:rsidRPr="00E027EE">
              <w:rPr>
                <w:b/>
              </w:rPr>
              <w:lastRenderedPageBreak/>
              <w:t>Contractual Target within  1</w:t>
            </w:r>
            <w:r w:rsidR="0025597F">
              <w:rPr>
                <w:b/>
              </w:rPr>
              <w:t>0</w:t>
            </w:r>
            <w:r w:rsidRPr="00E027EE">
              <w:rPr>
                <w:b/>
              </w:rPr>
              <w:t xml:space="preserve"> Working days of the referral </w:t>
            </w:r>
          </w:p>
        </w:tc>
        <w:tc>
          <w:tcPr>
            <w:tcW w:w="2160" w:type="dxa"/>
            <w:shd w:val="clear" w:color="auto" w:fill="auto"/>
            <w:vAlign w:val="center"/>
          </w:tcPr>
          <w:p w:rsidR="00E027EE" w:rsidRPr="00E027EE" w:rsidRDefault="00E027EE" w:rsidP="00160CEC">
            <w:pPr>
              <w:pStyle w:val="Default"/>
              <w:spacing w:after="240"/>
              <w:outlineLvl w:val="0"/>
              <w:rPr>
                <w:color w:val="auto"/>
              </w:rPr>
            </w:pPr>
            <w:r w:rsidRPr="00E027EE">
              <w:rPr>
                <w:color w:val="auto"/>
              </w:rPr>
              <w:t>Participants matched with a Business Mentor.</w:t>
            </w:r>
          </w:p>
        </w:tc>
        <w:tc>
          <w:tcPr>
            <w:tcW w:w="7560" w:type="dxa"/>
            <w:shd w:val="clear" w:color="auto" w:fill="auto"/>
            <w:vAlign w:val="center"/>
          </w:tcPr>
          <w:p w:rsidR="00E027EE" w:rsidRPr="00E027EE" w:rsidRDefault="00E027EE" w:rsidP="003F5152">
            <w:pPr>
              <w:spacing w:after="240"/>
              <w:rPr>
                <w:rFonts w:cs="Arial"/>
              </w:rPr>
            </w:pPr>
            <w:r w:rsidRPr="00E027EE">
              <w:rPr>
                <w:rFonts w:cs="Arial"/>
              </w:rPr>
              <w:t xml:space="preserve">Evidence of the initial (and subsequent) meetings taking place will be required for DWP Performance Management and audit purposes. </w:t>
            </w:r>
          </w:p>
          <w:p w:rsidR="00E027EE" w:rsidRPr="00E027EE" w:rsidRDefault="00E027EE" w:rsidP="00160CEC">
            <w:pPr>
              <w:spacing w:after="240"/>
              <w:rPr>
                <w:bCs/>
              </w:rPr>
            </w:pPr>
            <w:r w:rsidRPr="00E027EE">
              <w:rPr>
                <w:bCs/>
              </w:rPr>
              <w:t>Providers must keep a written log of each meeting and contact that takes place with Participants, including with business Mentors.  Providers must obtain signed confirmation from Participants for each face to face meeting that takes place with Participants.</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Provider</w:t>
            </w:r>
          </w:p>
        </w:tc>
      </w:tr>
      <w:tr w:rsidR="00E027EE" w:rsidRPr="00E027EE" w:rsidTr="003F5152">
        <w:trPr>
          <w:cantSplit/>
        </w:trPr>
        <w:tc>
          <w:tcPr>
            <w:tcW w:w="1800" w:type="dxa"/>
            <w:shd w:val="clear" w:color="auto" w:fill="auto"/>
            <w:vAlign w:val="center"/>
          </w:tcPr>
          <w:p w:rsidR="00E027EE" w:rsidRPr="00E027EE" w:rsidRDefault="00E027EE" w:rsidP="0082022A">
            <w:pPr>
              <w:spacing w:after="240"/>
              <w:rPr>
                <w:rFonts w:cs="Arial"/>
                <w:b/>
                <w:strike/>
              </w:rPr>
            </w:pPr>
            <w:r w:rsidRPr="00E027EE">
              <w:rPr>
                <w:rFonts w:cs="Arial"/>
                <w:b/>
              </w:rPr>
              <w:lastRenderedPageBreak/>
              <w:t xml:space="preserve">Contractual Target within 12  weeks of Participants being matched with Business Mentor </w:t>
            </w:r>
          </w:p>
        </w:tc>
        <w:tc>
          <w:tcPr>
            <w:tcW w:w="2160" w:type="dxa"/>
            <w:shd w:val="clear" w:color="auto" w:fill="auto"/>
            <w:vAlign w:val="center"/>
          </w:tcPr>
          <w:p w:rsidR="00E027EE" w:rsidRPr="00E027EE" w:rsidRDefault="00E027EE" w:rsidP="003F5152">
            <w:pPr>
              <w:spacing w:after="240"/>
              <w:rPr>
                <w:rFonts w:cs="Arial"/>
              </w:rPr>
            </w:pPr>
            <w:r w:rsidRPr="00E027EE">
              <w:rPr>
                <w:rFonts w:cs="Arial"/>
              </w:rPr>
              <w:t>Mentor Phase</w:t>
            </w:r>
          </w:p>
        </w:tc>
        <w:tc>
          <w:tcPr>
            <w:tcW w:w="7560" w:type="dxa"/>
            <w:shd w:val="clear" w:color="auto" w:fill="auto"/>
          </w:tcPr>
          <w:p w:rsidR="00E027EE" w:rsidRDefault="00E027EE" w:rsidP="003F5152">
            <w:pPr>
              <w:spacing w:after="240"/>
            </w:pPr>
            <w:r w:rsidRPr="00E027EE">
              <w:t>Ensure that the Mentor is providing appropriate Mentoring and business advice, including making an initial assessment of the Participant’s business proposition. Helping them to prepare a Business Development</w:t>
            </w:r>
            <w:r w:rsidR="000676A4">
              <w:t xml:space="preserve"> and Growth</w:t>
            </w:r>
            <w:r w:rsidRPr="00E027EE">
              <w:t xml:space="preserve"> Plan. </w:t>
            </w:r>
            <w:proofErr w:type="gramStart"/>
            <w:r w:rsidRPr="00E027EE">
              <w:t>delivering</w:t>
            </w:r>
            <w:proofErr w:type="gramEnd"/>
            <w:r w:rsidRPr="00E027EE">
              <w:t xml:space="preserve"> seminars and a minimum of 3 face-to-face mentor meetings</w:t>
            </w:r>
            <w:r w:rsidR="00870A98">
              <w:t>.</w:t>
            </w:r>
          </w:p>
          <w:p w:rsidR="00870A98" w:rsidRDefault="00870A98" w:rsidP="003F5152">
            <w:pPr>
              <w:spacing w:after="240"/>
            </w:pPr>
            <w:r>
              <w:t>Evidence of any seminars offered and attended detailing the duration. Evidence obtained of signed confirmation of attendance at seminars.</w:t>
            </w:r>
          </w:p>
          <w:p w:rsidR="00870A98" w:rsidRPr="00E027EE" w:rsidRDefault="00870A98" w:rsidP="003F5152">
            <w:pPr>
              <w:spacing w:after="240"/>
            </w:pPr>
            <w:r>
              <w:t>Evidence that those who opt out of any seminars and include any exceptional reasons. Evidence must be obtained of signed confirmation of opting out.</w:t>
            </w:r>
          </w:p>
          <w:p w:rsidR="00E027EE" w:rsidRPr="00E027EE" w:rsidRDefault="00E027EE" w:rsidP="003F5152">
            <w:pPr>
              <w:spacing w:after="240"/>
              <w:rPr>
                <w:rFonts w:cs="Arial"/>
              </w:rPr>
            </w:pPr>
            <w:r w:rsidRPr="00E027EE">
              <w:rPr>
                <w:rFonts w:cs="Arial"/>
              </w:rPr>
              <w:t xml:space="preserve">Evidence requirement records of activity that has taken place (including meetings) to develop the Participants Business Plan. </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Provider</w:t>
            </w:r>
          </w:p>
        </w:tc>
      </w:tr>
      <w:tr w:rsidR="00E027EE" w:rsidRPr="00E027EE" w:rsidTr="003F5152">
        <w:tc>
          <w:tcPr>
            <w:tcW w:w="1800" w:type="dxa"/>
            <w:shd w:val="clear" w:color="auto" w:fill="auto"/>
            <w:vAlign w:val="center"/>
          </w:tcPr>
          <w:p w:rsidR="00E027EE" w:rsidRPr="00E027EE" w:rsidRDefault="00E027EE" w:rsidP="00825F5D">
            <w:pPr>
              <w:spacing w:after="240"/>
              <w:rPr>
                <w:rFonts w:cs="Arial"/>
                <w:b/>
              </w:rPr>
            </w:pPr>
            <w:r w:rsidRPr="00E027EE">
              <w:rPr>
                <w:rFonts w:cs="Arial"/>
                <w:b/>
              </w:rPr>
              <w:t>Contractual Target within 12  weeks of Participants being matched with Business Mentor</w:t>
            </w:r>
          </w:p>
        </w:tc>
        <w:tc>
          <w:tcPr>
            <w:tcW w:w="2160" w:type="dxa"/>
            <w:shd w:val="clear" w:color="auto" w:fill="auto"/>
            <w:vAlign w:val="center"/>
          </w:tcPr>
          <w:p w:rsidR="00E027EE" w:rsidRPr="00E027EE" w:rsidRDefault="00E027EE" w:rsidP="0082022A">
            <w:pPr>
              <w:spacing w:after="240"/>
              <w:rPr>
                <w:rFonts w:cs="Arial"/>
              </w:rPr>
            </w:pPr>
            <w:r w:rsidRPr="00E027EE">
              <w:t>Approval process of the business plan.  The Business Mentor will make a recommendation to the Provider as to whether Participants</w:t>
            </w:r>
            <w:r w:rsidR="00C23F72">
              <w:t xml:space="preserve"> business has the potential to grow and achieve average earning to the level of the Participants MIF.</w:t>
            </w:r>
          </w:p>
        </w:tc>
        <w:tc>
          <w:tcPr>
            <w:tcW w:w="7560" w:type="dxa"/>
            <w:shd w:val="clear" w:color="auto" w:fill="auto"/>
          </w:tcPr>
          <w:p w:rsidR="00E027EE" w:rsidRPr="00E027EE" w:rsidRDefault="00E027EE" w:rsidP="003F5152">
            <w:pPr>
              <w:spacing w:after="240"/>
            </w:pPr>
            <w:r w:rsidRPr="00E027EE">
              <w:t>During this approval process the Participant will need to demons</w:t>
            </w:r>
            <w:r w:rsidR="000676A4">
              <w:t>trate that their Business</w:t>
            </w:r>
            <w:r w:rsidRPr="00E027EE">
              <w:t xml:space="preserve"> Development</w:t>
            </w:r>
            <w:r w:rsidR="000676A4">
              <w:t xml:space="preserve"> and Growth</w:t>
            </w:r>
            <w:r w:rsidRPr="00E027EE">
              <w:t xml:space="preserve"> Plan is viable and that the business has sustainab</w:t>
            </w:r>
            <w:r w:rsidR="009D009B">
              <w:t>le growth</w:t>
            </w:r>
            <w:r w:rsidRPr="00E027EE">
              <w:t xml:space="preserve"> potential.  </w:t>
            </w:r>
          </w:p>
          <w:p w:rsidR="00E027EE" w:rsidRPr="00E027EE" w:rsidRDefault="00E027EE" w:rsidP="003F5152">
            <w:pPr>
              <w:spacing w:after="240"/>
              <w:rPr>
                <w:rFonts w:cs="Arial"/>
              </w:rPr>
            </w:pPr>
            <w:r w:rsidRPr="00E027EE">
              <w:rPr>
                <w:rFonts w:cs="Arial"/>
              </w:rPr>
              <w:t xml:space="preserve">Evidence required, copies of Participants completed Business </w:t>
            </w:r>
            <w:r w:rsidR="00194871" w:rsidRPr="00E027EE">
              <w:rPr>
                <w:rFonts w:cs="Arial"/>
              </w:rPr>
              <w:t xml:space="preserve">Development </w:t>
            </w:r>
            <w:r w:rsidR="00194871">
              <w:rPr>
                <w:rFonts w:cs="Arial"/>
              </w:rPr>
              <w:t xml:space="preserve">and </w:t>
            </w:r>
            <w:r w:rsidRPr="00E027EE">
              <w:rPr>
                <w:rFonts w:cs="Arial"/>
              </w:rPr>
              <w:t>Growth Plan and recommendation / feedback.</w:t>
            </w:r>
          </w:p>
          <w:p w:rsidR="00E027EE" w:rsidRPr="00E027EE" w:rsidRDefault="00E027EE" w:rsidP="003F5152">
            <w:pPr>
              <w:pStyle w:val="Default"/>
              <w:spacing w:after="240"/>
              <w:outlineLvl w:val="0"/>
              <w:rPr>
                <w:color w:val="auto"/>
              </w:rPr>
            </w:pPr>
            <w:r w:rsidRPr="00E027EE">
              <w:rPr>
                <w:color w:val="auto"/>
              </w:rPr>
              <w:t>Evidence of work with the Business Mentors / Business Advisers and other local partners to signpost Participants to other sources of business support and funding that may be available;</w:t>
            </w:r>
          </w:p>
          <w:p w:rsidR="00E027EE" w:rsidRDefault="00E027EE" w:rsidP="003F5152">
            <w:pPr>
              <w:spacing w:after="240"/>
            </w:pPr>
            <w:r w:rsidRPr="00E027EE">
              <w:t xml:space="preserve">Update </w:t>
            </w:r>
            <w:proofErr w:type="spellStart"/>
            <w:r w:rsidRPr="00E027EE">
              <w:t>PRaP</w:t>
            </w:r>
            <w:proofErr w:type="spellEnd"/>
            <w:r w:rsidRPr="00E027EE">
              <w:t xml:space="preserve"> when Participants </w:t>
            </w:r>
            <w:r w:rsidR="00C23F72">
              <w:t xml:space="preserve">Business </w:t>
            </w:r>
            <w:r w:rsidR="00194871" w:rsidRPr="00E027EE">
              <w:t xml:space="preserve">Development </w:t>
            </w:r>
            <w:r w:rsidR="00194871">
              <w:t xml:space="preserve">and </w:t>
            </w:r>
            <w:r w:rsidR="00C23F72" w:rsidRPr="00E027EE">
              <w:t xml:space="preserve">Growth Plan </w:t>
            </w:r>
            <w:r w:rsidRPr="00E027EE">
              <w:t>has been assessed</w:t>
            </w:r>
            <w:r w:rsidR="0082022A">
              <w:t>.</w:t>
            </w:r>
          </w:p>
          <w:p w:rsidR="0082022A" w:rsidRPr="00E027EE" w:rsidRDefault="0082022A" w:rsidP="003F5152">
            <w:pPr>
              <w:spacing w:after="240"/>
              <w:rPr>
                <w:rFonts w:cs="Arial"/>
                <w:sz w:val="12"/>
                <w:szCs w:val="12"/>
              </w:rPr>
            </w:pPr>
            <w:r w:rsidRPr="007022DF">
              <w:t>Providers to complete NEA1 form with outcome of appointment and return to Jobcentre Plus</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Provider</w:t>
            </w:r>
          </w:p>
        </w:tc>
      </w:tr>
      <w:tr w:rsidR="00E027EE" w:rsidRPr="00E027EE" w:rsidTr="003F5152">
        <w:trPr>
          <w:cantSplit/>
        </w:trPr>
        <w:tc>
          <w:tcPr>
            <w:tcW w:w="1800" w:type="dxa"/>
            <w:shd w:val="clear" w:color="auto" w:fill="auto"/>
            <w:vAlign w:val="center"/>
          </w:tcPr>
          <w:p w:rsidR="00E027EE" w:rsidRPr="00E027EE" w:rsidRDefault="00E027EE" w:rsidP="003F5152">
            <w:pPr>
              <w:spacing w:after="240"/>
              <w:rPr>
                <w:rFonts w:cs="Arial"/>
                <w:b/>
              </w:rPr>
            </w:pPr>
            <w:r w:rsidRPr="00E027EE">
              <w:rPr>
                <w:rFonts w:cs="Arial"/>
                <w:b/>
              </w:rPr>
              <w:lastRenderedPageBreak/>
              <w:t xml:space="preserve">After  </w:t>
            </w:r>
            <w:r w:rsidR="00C36093">
              <w:rPr>
                <w:rFonts w:cs="Arial"/>
                <w:b/>
              </w:rPr>
              <w:t>6 months / 26 weeks</w:t>
            </w:r>
            <w:r w:rsidRPr="00E027EE">
              <w:rPr>
                <w:rFonts w:cs="Arial"/>
                <w:b/>
              </w:rPr>
              <w:t xml:space="preserve"> Self Employment</w:t>
            </w:r>
          </w:p>
        </w:tc>
        <w:tc>
          <w:tcPr>
            <w:tcW w:w="2160" w:type="dxa"/>
            <w:shd w:val="clear" w:color="auto" w:fill="auto"/>
            <w:vAlign w:val="center"/>
          </w:tcPr>
          <w:p w:rsidR="00E027EE" w:rsidRPr="00E027EE" w:rsidRDefault="00E027EE" w:rsidP="00C23F72">
            <w:pPr>
              <w:spacing w:after="240"/>
            </w:pPr>
            <w:r w:rsidRPr="00E027EE">
              <w:rPr>
                <w:rFonts w:cs="Arial"/>
              </w:rPr>
              <w:t xml:space="preserve">Completion of </w:t>
            </w:r>
            <w:r w:rsidR="005D160D">
              <w:rPr>
                <w:rFonts w:cs="Arial"/>
              </w:rPr>
              <w:t xml:space="preserve">0 </w:t>
            </w:r>
            <w:r w:rsidR="00C23F72">
              <w:rPr>
                <w:rFonts w:cs="Arial"/>
              </w:rPr>
              <w:t>–</w:t>
            </w:r>
            <w:r w:rsidR="005D160D">
              <w:rPr>
                <w:rFonts w:cs="Arial"/>
              </w:rPr>
              <w:t xml:space="preserve"> </w:t>
            </w:r>
            <w:r w:rsidR="00C36093">
              <w:rPr>
                <w:rFonts w:cs="Arial"/>
              </w:rPr>
              <w:t>6 months / 26 weeks</w:t>
            </w:r>
            <w:r w:rsidR="00C23F72">
              <w:rPr>
                <w:rFonts w:cs="Arial"/>
              </w:rPr>
              <w:t xml:space="preserve"> </w:t>
            </w:r>
            <w:r w:rsidR="005D160D">
              <w:rPr>
                <w:rFonts w:cs="Arial"/>
              </w:rPr>
              <w:t>increase in average earnings</w:t>
            </w:r>
          </w:p>
        </w:tc>
        <w:tc>
          <w:tcPr>
            <w:tcW w:w="7560" w:type="dxa"/>
            <w:shd w:val="clear" w:color="auto" w:fill="auto"/>
          </w:tcPr>
          <w:p w:rsidR="00E027EE" w:rsidRPr="00E027EE" w:rsidRDefault="00E027EE" w:rsidP="003F5152">
            <w:pPr>
              <w:spacing w:after="240"/>
              <w:ind w:right="-108"/>
              <w:rPr>
                <w:rFonts w:cs="Arial"/>
              </w:rPr>
            </w:pPr>
            <w:r w:rsidRPr="00E027EE">
              <w:rPr>
                <w:rFonts w:cs="Arial"/>
              </w:rPr>
              <w:t>Evidence to show:</w:t>
            </w:r>
          </w:p>
          <w:p w:rsidR="00E027EE" w:rsidRPr="00E027EE" w:rsidRDefault="00E027EE" w:rsidP="00EC0606">
            <w:pPr>
              <w:numPr>
                <w:ilvl w:val="0"/>
                <w:numId w:val="19"/>
              </w:numPr>
              <w:tabs>
                <w:tab w:val="clear" w:pos="360"/>
              </w:tabs>
              <w:ind w:left="357" w:right="-108" w:hanging="357"/>
              <w:rPr>
                <w:rFonts w:cs="Arial"/>
              </w:rPr>
            </w:pPr>
            <w:r w:rsidRPr="00E027EE">
              <w:rPr>
                <w:rFonts w:cs="Arial"/>
              </w:rPr>
              <w:t xml:space="preserve">Participant has remained in self-employment for </w:t>
            </w:r>
            <w:r w:rsidR="00C36093">
              <w:rPr>
                <w:rFonts w:cs="Arial"/>
              </w:rPr>
              <w:t xml:space="preserve">6 months </w:t>
            </w:r>
            <w:r w:rsidRPr="00E027EE">
              <w:rPr>
                <w:rFonts w:cs="Arial"/>
              </w:rPr>
              <w:t xml:space="preserve"> following the sign</w:t>
            </w:r>
            <w:r w:rsidR="005D160D">
              <w:rPr>
                <w:rFonts w:cs="Arial"/>
              </w:rPr>
              <w:t xml:space="preserve"> </w:t>
            </w:r>
            <w:r w:rsidRPr="00E027EE">
              <w:rPr>
                <w:rFonts w:cs="Arial"/>
              </w:rPr>
              <w:t xml:space="preserve">off of the Business </w:t>
            </w:r>
            <w:r w:rsidR="00194871" w:rsidRPr="00E027EE">
              <w:rPr>
                <w:rFonts w:cs="Arial"/>
              </w:rPr>
              <w:t xml:space="preserve">Development </w:t>
            </w:r>
            <w:r w:rsidR="00194871">
              <w:rPr>
                <w:rFonts w:cs="Arial"/>
              </w:rPr>
              <w:t xml:space="preserve">and </w:t>
            </w:r>
            <w:r w:rsidRPr="00E027EE">
              <w:rPr>
                <w:rFonts w:cs="Arial"/>
              </w:rPr>
              <w:t>Growth Plan</w:t>
            </w:r>
          </w:p>
          <w:p w:rsidR="004A6648" w:rsidRPr="00E027EE" w:rsidRDefault="005D160D" w:rsidP="00EC0606">
            <w:pPr>
              <w:numPr>
                <w:ilvl w:val="0"/>
                <w:numId w:val="19"/>
              </w:numPr>
              <w:tabs>
                <w:tab w:val="clear" w:pos="360"/>
              </w:tabs>
              <w:ind w:left="357" w:right="-108" w:hanging="357"/>
              <w:rPr>
                <w:rFonts w:cs="Arial"/>
              </w:rPr>
            </w:pPr>
            <w:r>
              <w:rPr>
                <w:rFonts w:cs="Arial"/>
              </w:rPr>
              <w:t xml:space="preserve">Participant </w:t>
            </w:r>
            <w:r w:rsidR="004A6648" w:rsidRPr="007113B0">
              <w:rPr>
                <w:rFonts w:cs="Arial"/>
              </w:rPr>
              <w:t xml:space="preserve">has </w:t>
            </w:r>
            <w:r w:rsidR="004A6648">
              <w:rPr>
                <w:rFonts w:cs="Arial"/>
              </w:rPr>
              <w:t xml:space="preserve">achieved an increase in earnings to the average of </w:t>
            </w:r>
            <w:r w:rsidR="004A6648" w:rsidRPr="007113B0">
              <w:rPr>
                <w:rFonts w:cs="Arial"/>
              </w:rPr>
              <w:t xml:space="preserve">at least their Minimum Income Floor level </w:t>
            </w:r>
            <w:r w:rsidR="004A6648">
              <w:rPr>
                <w:rFonts w:cs="Arial"/>
              </w:rPr>
              <w:t xml:space="preserve">over the </w:t>
            </w:r>
            <w:r>
              <w:rPr>
                <w:rFonts w:cs="Arial"/>
              </w:rPr>
              <w:t xml:space="preserve">0 to </w:t>
            </w:r>
            <w:r w:rsidR="00C36093">
              <w:rPr>
                <w:rFonts w:cs="Arial"/>
              </w:rPr>
              <w:t>6 months</w:t>
            </w:r>
            <w:r w:rsidR="004A6648">
              <w:rPr>
                <w:rFonts w:cs="Arial"/>
              </w:rPr>
              <w:t xml:space="preserve"> </w:t>
            </w:r>
            <w:r w:rsidR="004A6648" w:rsidRPr="007113B0">
              <w:rPr>
                <w:rFonts w:cs="Arial"/>
              </w:rPr>
              <w:t xml:space="preserve">following the signoff of the Business </w:t>
            </w:r>
            <w:r w:rsidR="00194871" w:rsidRPr="007113B0">
              <w:rPr>
                <w:rFonts w:cs="Arial"/>
              </w:rPr>
              <w:t xml:space="preserve">Development </w:t>
            </w:r>
            <w:r w:rsidR="00194871">
              <w:rPr>
                <w:rFonts w:cs="Arial"/>
              </w:rPr>
              <w:t xml:space="preserve">and </w:t>
            </w:r>
            <w:r w:rsidR="004A6648" w:rsidRPr="007113B0">
              <w:rPr>
                <w:rFonts w:cs="Arial"/>
              </w:rPr>
              <w:t>Growth Plan</w:t>
            </w:r>
          </w:p>
          <w:p w:rsidR="00E027EE" w:rsidRPr="00E027EE" w:rsidRDefault="00E027EE" w:rsidP="003F5152">
            <w:pPr>
              <w:ind w:left="357" w:right="-108"/>
              <w:rPr>
                <w:rFonts w:cs="Arial"/>
              </w:rPr>
            </w:pPr>
            <w:r w:rsidRPr="00E027EE">
              <w:rPr>
                <w:rFonts w:cs="Arial"/>
              </w:rPr>
              <w:t>.</w:t>
            </w:r>
          </w:p>
          <w:p w:rsidR="00E027EE" w:rsidRPr="00E027EE" w:rsidRDefault="0082022A" w:rsidP="0082022A">
            <w:pPr>
              <w:spacing w:after="240"/>
              <w:ind w:right="-108"/>
            </w:pPr>
            <w:r>
              <w:t xml:space="preserve">Update </w:t>
            </w:r>
            <w:proofErr w:type="spellStart"/>
            <w:r>
              <w:t>PRaP</w:t>
            </w:r>
            <w:proofErr w:type="spellEnd"/>
            <w:r>
              <w:t xml:space="preserve"> when Participant achieved </w:t>
            </w:r>
            <w:r w:rsidR="00C36093">
              <w:t>6 months</w:t>
            </w:r>
            <w:r w:rsidR="005D160D">
              <w:t xml:space="preserve"> of </w:t>
            </w:r>
            <w:r w:rsidR="005D160D">
              <w:rPr>
                <w:rFonts w:cs="Arial"/>
              </w:rPr>
              <w:t xml:space="preserve">earnings to the average of </w:t>
            </w:r>
            <w:r w:rsidR="005D160D" w:rsidRPr="007113B0">
              <w:rPr>
                <w:rFonts w:cs="Arial"/>
              </w:rPr>
              <w:t>at least their Minimum Income Floor</w:t>
            </w:r>
            <w:r w:rsidR="005D160D" w:rsidRPr="00E027EE">
              <w:t xml:space="preserve"> </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Provider and DWP</w:t>
            </w:r>
          </w:p>
        </w:tc>
      </w:tr>
      <w:tr w:rsidR="00E027EE" w:rsidRPr="002E0375" w:rsidTr="003F5152">
        <w:trPr>
          <w:cantSplit/>
          <w:trHeight w:val="2150"/>
        </w:trPr>
        <w:tc>
          <w:tcPr>
            <w:tcW w:w="1800" w:type="dxa"/>
            <w:shd w:val="clear" w:color="auto" w:fill="auto"/>
            <w:vAlign w:val="center"/>
          </w:tcPr>
          <w:p w:rsidR="00E027EE" w:rsidRPr="00E027EE" w:rsidRDefault="00E027EE" w:rsidP="003F5152">
            <w:pPr>
              <w:spacing w:after="240"/>
              <w:rPr>
                <w:rFonts w:cs="Arial"/>
                <w:b/>
              </w:rPr>
            </w:pPr>
            <w:r w:rsidRPr="00E027EE">
              <w:rPr>
                <w:rFonts w:cs="Arial"/>
                <w:b/>
              </w:rPr>
              <w:t xml:space="preserve">After 12 month Self Employment </w:t>
            </w:r>
          </w:p>
        </w:tc>
        <w:tc>
          <w:tcPr>
            <w:tcW w:w="2160" w:type="dxa"/>
            <w:shd w:val="clear" w:color="auto" w:fill="auto"/>
            <w:vAlign w:val="center"/>
          </w:tcPr>
          <w:p w:rsidR="00E027EE" w:rsidRPr="00E027EE" w:rsidRDefault="005D160D" w:rsidP="00825F5D">
            <w:pPr>
              <w:spacing w:after="240"/>
              <w:rPr>
                <w:rFonts w:cs="Arial"/>
              </w:rPr>
            </w:pPr>
            <w:r w:rsidRPr="00E027EE">
              <w:rPr>
                <w:rFonts w:cs="Arial"/>
              </w:rPr>
              <w:t xml:space="preserve">Completion of </w:t>
            </w:r>
            <w:r w:rsidR="00825F5D">
              <w:rPr>
                <w:rFonts w:cs="Arial"/>
              </w:rPr>
              <w:t>7</w:t>
            </w:r>
            <w:r>
              <w:rPr>
                <w:rFonts w:cs="Arial"/>
              </w:rPr>
              <w:t xml:space="preserve"> - 12</w:t>
            </w:r>
            <w:r w:rsidRPr="00E027EE">
              <w:rPr>
                <w:rFonts w:cs="Arial"/>
              </w:rPr>
              <w:t xml:space="preserve"> </w:t>
            </w:r>
            <w:r w:rsidR="00C23F72">
              <w:rPr>
                <w:rFonts w:cs="Arial"/>
              </w:rPr>
              <w:t xml:space="preserve"> months </w:t>
            </w:r>
            <w:r>
              <w:rPr>
                <w:rFonts w:cs="Arial"/>
              </w:rPr>
              <w:t>increase in average earnings</w:t>
            </w:r>
          </w:p>
        </w:tc>
        <w:tc>
          <w:tcPr>
            <w:tcW w:w="7560" w:type="dxa"/>
            <w:shd w:val="clear" w:color="auto" w:fill="auto"/>
          </w:tcPr>
          <w:p w:rsidR="005D160D" w:rsidRPr="00E027EE" w:rsidRDefault="00E027EE" w:rsidP="005D160D">
            <w:pPr>
              <w:spacing w:after="240"/>
              <w:ind w:right="-108"/>
              <w:rPr>
                <w:rFonts w:cs="Arial"/>
              </w:rPr>
            </w:pPr>
            <w:r w:rsidRPr="00E027EE">
              <w:rPr>
                <w:color w:val="FF0000"/>
              </w:rPr>
              <w:t xml:space="preserve"> </w:t>
            </w:r>
            <w:r w:rsidR="005D160D" w:rsidRPr="00E027EE">
              <w:rPr>
                <w:rFonts w:cs="Arial"/>
              </w:rPr>
              <w:t>Evidence to show:</w:t>
            </w:r>
          </w:p>
          <w:p w:rsidR="005D160D" w:rsidRPr="00E027EE" w:rsidRDefault="005D160D" w:rsidP="00EC0606">
            <w:pPr>
              <w:numPr>
                <w:ilvl w:val="0"/>
                <w:numId w:val="19"/>
              </w:numPr>
              <w:tabs>
                <w:tab w:val="clear" w:pos="360"/>
              </w:tabs>
              <w:ind w:left="357" w:right="-108" w:hanging="357"/>
              <w:rPr>
                <w:rFonts w:cs="Arial"/>
              </w:rPr>
            </w:pPr>
            <w:r w:rsidRPr="00E027EE">
              <w:rPr>
                <w:rFonts w:cs="Arial"/>
              </w:rPr>
              <w:t xml:space="preserve">Participant has remained in self-employment for </w:t>
            </w:r>
            <w:r w:rsidR="00C36093">
              <w:rPr>
                <w:rFonts w:cs="Arial"/>
              </w:rPr>
              <w:t>12 months</w:t>
            </w:r>
            <w:r w:rsidRPr="00E027EE">
              <w:rPr>
                <w:rFonts w:cs="Arial"/>
              </w:rPr>
              <w:t xml:space="preserve"> following the sign</w:t>
            </w:r>
            <w:r>
              <w:rPr>
                <w:rFonts w:cs="Arial"/>
              </w:rPr>
              <w:t xml:space="preserve"> </w:t>
            </w:r>
            <w:r w:rsidRPr="00E027EE">
              <w:rPr>
                <w:rFonts w:cs="Arial"/>
              </w:rPr>
              <w:t xml:space="preserve">off of the Business </w:t>
            </w:r>
            <w:r w:rsidR="00194871" w:rsidRPr="00E027EE">
              <w:rPr>
                <w:rFonts w:cs="Arial"/>
              </w:rPr>
              <w:t xml:space="preserve">Development </w:t>
            </w:r>
            <w:r w:rsidR="00194871">
              <w:rPr>
                <w:rFonts w:cs="Arial"/>
              </w:rPr>
              <w:t xml:space="preserve">and </w:t>
            </w:r>
            <w:r w:rsidRPr="00E027EE">
              <w:rPr>
                <w:rFonts w:cs="Arial"/>
              </w:rPr>
              <w:t>Growth Plan</w:t>
            </w:r>
          </w:p>
          <w:p w:rsidR="005D160D" w:rsidRPr="00E027EE" w:rsidRDefault="005D160D" w:rsidP="00EC0606">
            <w:pPr>
              <w:numPr>
                <w:ilvl w:val="0"/>
                <w:numId w:val="19"/>
              </w:numPr>
              <w:tabs>
                <w:tab w:val="clear" w:pos="360"/>
              </w:tabs>
              <w:ind w:left="357" w:right="-108" w:hanging="357"/>
              <w:rPr>
                <w:rFonts w:cs="Arial"/>
              </w:rPr>
            </w:pPr>
            <w:r>
              <w:rPr>
                <w:rFonts w:cs="Arial"/>
              </w:rPr>
              <w:t xml:space="preserve">Participant </w:t>
            </w:r>
            <w:r w:rsidRPr="007113B0">
              <w:rPr>
                <w:rFonts w:cs="Arial"/>
              </w:rPr>
              <w:t xml:space="preserve">has </w:t>
            </w:r>
            <w:r>
              <w:rPr>
                <w:rFonts w:cs="Arial"/>
              </w:rPr>
              <w:t xml:space="preserve">achieved an increase in earnings to the average of </w:t>
            </w:r>
            <w:r w:rsidRPr="007113B0">
              <w:rPr>
                <w:rFonts w:cs="Arial"/>
              </w:rPr>
              <w:t xml:space="preserve">at least their Minimum Income Floor level </w:t>
            </w:r>
            <w:r>
              <w:rPr>
                <w:rFonts w:cs="Arial"/>
              </w:rPr>
              <w:t xml:space="preserve">over months 7 to 12 </w:t>
            </w:r>
            <w:r w:rsidRPr="007113B0">
              <w:rPr>
                <w:rFonts w:cs="Arial"/>
              </w:rPr>
              <w:t xml:space="preserve">following the signoff of the Business </w:t>
            </w:r>
            <w:r w:rsidR="00194871" w:rsidRPr="007113B0">
              <w:rPr>
                <w:rFonts w:cs="Arial"/>
              </w:rPr>
              <w:t xml:space="preserve">Development </w:t>
            </w:r>
            <w:r w:rsidR="00194871">
              <w:rPr>
                <w:rFonts w:cs="Arial"/>
              </w:rPr>
              <w:t xml:space="preserve">and </w:t>
            </w:r>
            <w:r w:rsidRPr="007113B0">
              <w:rPr>
                <w:rFonts w:cs="Arial"/>
              </w:rPr>
              <w:t>Growth Plan</w:t>
            </w:r>
          </w:p>
          <w:p w:rsidR="005D160D" w:rsidRPr="00E027EE" w:rsidRDefault="005D160D" w:rsidP="005D160D">
            <w:pPr>
              <w:ind w:left="357" w:right="-108"/>
              <w:rPr>
                <w:rFonts w:cs="Arial"/>
              </w:rPr>
            </w:pPr>
            <w:r w:rsidRPr="00E027EE">
              <w:rPr>
                <w:rFonts w:cs="Arial"/>
              </w:rPr>
              <w:t>.</w:t>
            </w:r>
          </w:p>
          <w:p w:rsidR="00E027EE" w:rsidRPr="00E027EE" w:rsidRDefault="005D160D" w:rsidP="0082022A">
            <w:pPr>
              <w:spacing w:after="240"/>
              <w:ind w:right="-108"/>
              <w:rPr>
                <w:rFonts w:cs="Arial"/>
              </w:rPr>
            </w:pPr>
            <w:r w:rsidRPr="00E027EE">
              <w:t xml:space="preserve">Update </w:t>
            </w:r>
            <w:proofErr w:type="spellStart"/>
            <w:r w:rsidRPr="00E027EE">
              <w:t>PRaP</w:t>
            </w:r>
            <w:proofErr w:type="spellEnd"/>
            <w:r w:rsidRPr="00E027EE">
              <w:t xml:space="preserve"> when Participant </w:t>
            </w:r>
            <w:r w:rsidR="0082022A">
              <w:t xml:space="preserve">achieves </w:t>
            </w:r>
            <w:r w:rsidR="00C36093">
              <w:t>6 months</w:t>
            </w:r>
            <w:r w:rsidR="006339F2">
              <w:t xml:space="preserve"> </w:t>
            </w:r>
            <w:r>
              <w:t xml:space="preserve">of </w:t>
            </w:r>
            <w:r>
              <w:rPr>
                <w:rFonts w:cs="Arial"/>
              </w:rPr>
              <w:t xml:space="preserve">earnings to the average of </w:t>
            </w:r>
            <w:r w:rsidRPr="007113B0">
              <w:rPr>
                <w:rFonts w:cs="Arial"/>
              </w:rPr>
              <w:t>at least their Minimum Income Floor</w:t>
            </w:r>
          </w:p>
        </w:tc>
        <w:tc>
          <w:tcPr>
            <w:tcW w:w="1980" w:type="dxa"/>
            <w:shd w:val="clear" w:color="auto" w:fill="auto"/>
            <w:vAlign w:val="center"/>
          </w:tcPr>
          <w:p w:rsidR="00E027EE" w:rsidRPr="00E027EE" w:rsidRDefault="00E027EE" w:rsidP="003F5152">
            <w:pPr>
              <w:spacing w:after="240"/>
              <w:jc w:val="center"/>
              <w:rPr>
                <w:rFonts w:cs="Arial"/>
                <w:b/>
              </w:rPr>
            </w:pPr>
            <w:r w:rsidRPr="00E027EE">
              <w:rPr>
                <w:rFonts w:cs="Arial"/>
                <w:b/>
              </w:rPr>
              <w:t>Provider and DWP</w:t>
            </w:r>
          </w:p>
        </w:tc>
      </w:tr>
      <w:tr w:rsidR="005D160D" w:rsidRPr="002E0375" w:rsidTr="003F5152">
        <w:trPr>
          <w:cantSplit/>
          <w:trHeight w:val="2150"/>
        </w:trPr>
        <w:tc>
          <w:tcPr>
            <w:tcW w:w="1800" w:type="dxa"/>
            <w:shd w:val="clear" w:color="auto" w:fill="auto"/>
            <w:vAlign w:val="center"/>
          </w:tcPr>
          <w:p w:rsidR="005D160D" w:rsidRPr="00E027EE" w:rsidRDefault="006339F2" w:rsidP="00825F5D">
            <w:pPr>
              <w:spacing w:after="240"/>
              <w:rPr>
                <w:rFonts w:cs="Arial"/>
                <w:b/>
              </w:rPr>
            </w:pPr>
            <w:r>
              <w:rPr>
                <w:rFonts w:cs="Arial"/>
                <w:b/>
              </w:rPr>
              <w:lastRenderedPageBreak/>
              <w:t>During 1</w:t>
            </w:r>
            <w:r w:rsidR="005D160D" w:rsidRPr="00E027EE">
              <w:rPr>
                <w:rFonts w:cs="Arial"/>
                <w:b/>
              </w:rPr>
              <w:t xml:space="preserve">2 </w:t>
            </w:r>
            <w:r w:rsidR="00825F5D">
              <w:rPr>
                <w:rFonts w:cs="Arial"/>
                <w:b/>
              </w:rPr>
              <w:t>months</w:t>
            </w:r>
            <w:r w:rsidR="005D160D" w:rsidRPr="00E027EE">
              <w:rPr>
                <w:rFonts w:cs="Arial"/>
                <w:b/>
              </w:rPr>
              <w:t xml:space="preserve"> of Self Employment</w:t>
            </w:r>
          </w:p>
        </w:tc>
        <w:tc>
          <w:tcPr>
            <w:tcW w:w="2160" w:type="dxa"/>
            <w:shd w:val="clear" w:color="auto" w:fill="auto"/>
            <w:vAlign w:val="center"/>
          </w:tcPr>
          <w:p w:rsidR="005D160D" w:rsidRPr="00E027EE" w:rsidRDefault="005D160D" w:rsidP="0082022A">
            <w:pPr>
              <w:spacing w:after="240"/>
              <w:rPr>
                <w:rFonts w:cs="Arial"/>
              </w:rPr>
            </w:pPr>
            <w:r w:rsidRPr="00E027EE">
              <w:t>Business Mentors to provide on-going support for a minimum of</w:t>
            </w:r>
            <w:r w:rsidR="006339F2">
              <w:t xml:space="preserve"> 1</w:t>
            </w:r>
            <w:r w:rsidRPr="00E027EE">
              <w:t>2</w:t>
            </w:r>
            <w:r w:rsidR="006339F2">
              <w:t xml:space="preserve"> months</w:t>
            </w:r>
            <w:r w:rsidRPr="00E027EE">
              <w:t xml:space="preserve">, </w:t>
            </w:r>
          </w:p>
        </w:tc>
        <w:tc>
          <w:tcPr>
            <w:tcW w:w="7560" w:type="dxa"/>
            <w:shd w:val="clear" w:color="auto" w:fill="auto"/>
          </w:tcPr>
          <w:p w:rsidR="005D160D" w:rsidRPr="00E027EE" w:rsidRDefault="005D160D" w:rsidP="005D160D">
            <w:pPr>
              <w:spacing w:after="240"/>
              <w:ind w:right="-108"/>
            </w:pPr>
            <w:r w:rsidRPr="00E027EE">
              <w:t xml:space="preserve">Evidence of support the Business Mentors provide. </w:t>
            </w:r>
          </w:p>
          <w:p w:rsidR="005D160D" w:rsidRPr="00E027EE" w:rsidRDefault="005D160D" w:rsidP="005D160D">
            <w:pPr>
              <w:spacing w:after="240"/>
              <w:ind w:right="-108"/>
              <w:rPr>
                <w:bCs/>
              </w:rPr>
            </w:pPr>
            <w:r w:rsidRPr="00E027EE">
              <w:rPr>
                <w:bCs/>
              </w:rPr>
              <w:t xml:space="preserve">The </w:t>
            </w:r>
            <w:r w:rsidRPr="00E027EE">
              <w:rPr>
                <w:bCs/>
                <w:u w:val="single"/>
              </w:rPr>
              <w:t>minimum</w:t>
            </w:r>
            <w:r w:rsidRPr="00E027EE">
              <w:rPr>
                <w:bCs/>
              </w:rPr>
              <w:t xml:space="preserve"> requirement for post </w:t>
            </w:r>
            <w:r w:rsidR="00C23F72">
              <w:rPr>
                <w:bCs/>
              </w:rPr>
              <w:t xml:space="preserve"> m</w:t>
            </w:r>
            <w:r w:rsidRPr="00E027EE">
              <w:rPr>
                <w:bCs/>
              </w:rPr>
              <w:t>entoring support is to offer Partici</w:t>
            </w:r>
            <w:r w:rsidR="000676A4">
              <w:rPr>
                <w:bCs/>
              </w:rPr>
              <w:t>pants at least four</w:t>
            </w:r>
            <w:r w:rsidRPr="00E027EE">
              <w:rPr>
                <w:bCs/>
              </w:rPr>
              <w:t xml:space="preserve"> meetings </w:t>
            </w:r>
          </w:p>
          <w:p w:rsidR="005D160D" w:rsidRPr="00E027EE" w:rsidRDefault="005D160D" w:rsidP="005D160D">
            <w:pPr>
              <w:spacing w:after="240"/>
              <w:ind w:right="-108"/>
              <w:rPr>
                <w:bCs/>
              </w:rPr>
            </w:pPr>
            <w:r w:rsidRPr="00E027EE">
              <w:rPr>
                <w:bCs/>
              </w:rPr>
              <w:t>Providers must provide evidence of the Mentoring support given or offered to Participants. This could include:</w:t>
            </w:r>
          </w:p>
          <w:p w:rsidR="005D160D" w:rsidRPr="00E027EE" w:rsidRDefault="005D160D" w:rsidP="00EC0606">
            <w:pPr>
              <w:numPr>
                <w:ilvl w:val="0"/>
                <w:numId w:val="22"/>
              </w:numPr>
              <w:tabs>
                <w:tab w:val="clear" w:pos="360"/>
              </w:tabs>
              <w:ind w:left="357" w:right="-108" w:hanging="357"/>
              <w:rPr>
                <w:bCs/>
              </w:rPr>
            </w:pPr>
            <w:r w:rsidRPr="00E027EE">
              <w:rPr>
                <w:bCs/>
              </w:rPr>
              <w:t>A log of each contact, or attempt to contact Participants.</w:t>
            </w:r>
          </w:p>
          <w:p w:rsidR="005D160D" w:rsidRPr="00E027EE" w:rsidRDefault="005D160D" w:rsidP="00EC0606">
            <w:pPr>
              <w:numPr>
                <w:ilvl w:val="0"/>
                <w:numId w:val="22"/>
              </w:numPr>
              <w:tabs>
                <w:tab w:val="clear" w:pos="360"/>
              </w:tabs>
              <w:ind w:left="357" w:right="-108" w:hanging="357"/>
              <w:rPr>
                <w:bCs/>
              </w:rPr>
            </w:pPr>
            <w:r w:rsidRPr="00E027EE">
              <w:rPr>
                <w:bCs/>
              </w:rPr>
              <w:t>Signed confirmation of face to face meetings that take place</w:t>
            </w:r>
          </w:p>
          <w:p w:rsidR="005D160D" w:rsidRPr="00E027EE" w:rsidRDefault="005D160D" w:rsidP="005D160D">
            <w:pPr>
              <w:spacing w:after="240"/>
              <w:ind w:right="-108"/>
              <w:rPr>
                <w:color w:val="FF0000"/>
              </w:rPr>
            </w:pPr>
            <w:r w:rsidRPr="00E027EE">
              <w:rPr>
                <w:bCs/>
              </w:rPr>
              <w:t>Correspondence between Provider and Participant that demonstrates post start-up Mentoring support given or offered.</w:t>
            </w:r>
          </w:p>
        </w:tc>
        <w:tc>
          <w:tcPr>
            <w:tcW w:w="1980" w:type="dxa"/>
            <w:shd w:val="clear" w:color="auto" w:fill="auto"/>
            <w:vAlign w:val="center"/>
          </w:tcPr>
          <w:p w:rsidR="005D160D" w:rsidRPr="00E027EE" w:rsidRDefault="00C23F72" w:rsidP="0082022A">
            <w:pPr>
              <w:spacing w:after="240"/>
              <w:jc w:val="center"/>
              <w:rPr>
                <w:rFonts w:cs="Arial"/>
                <w:b/>
              </w:rPr>
            </w:pPr>
            <w:r w:rsidRPr="00E027EE">
              <w:rPr>
                <w:rFonts w:cs="Arial"/>
                <w:b/>
              </w:rPr>
              <w:t>Provider</w:t>
            </w:r>
          </w:p>
        </w:tc>
      </w:tr>
    </w:tbl>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E027EE" w:rsidRDefault="00E027EE" w:rsidP="00690E9E">
      <w:pPr>
        <w:autoSpaceDE w:val="0"/>
        <w:autoSpaceDN w:val="0"/>
        <w:adjustRightInd w:val="0"/>
        <w:spacing w:after="240"/>
        <w:jc w:val="right"/>
        <w:rPr>
          <w:rFonts w:cs="Arial"/>
          <w:b/>
          <w:bCs/>
          <w:color w:val="FF0000"/>
          <w:lang w:eastAsia="en-GB"/>
        </w:rPr>
      </w:pPr>
    </w:p>
    <w:p w:rsidR="000D0C42" w:rsidRDefault="000D0C42" w:rsidP="00690E9E">
      <w:pPr>
        <w:autoSpaceDE w:val="0"/>
        <w:autoSpaceDN w:val="0"/>
        <w:adjustRightInd w:val="0"/>
        <w:spacing w:after="240"/>
        <w:jc w:val="right"/>
        <w:rPr>
          <w:rFonts w:cs="Arial"/>
          <w:b/>
          <w:bCs/>
          <w:lang w:eastAsia="en-GB"/>
        </w:rPr>
        <w:sectPr w:rsidR="000D0C42" w:rsidSect="000D0C42">
          <w:pgSz w:w="15840" w:h="12240" w:orient="landscape" w:code="1"/>
          <w:pgMar w:top="1134" w:right="1304" w:bottom="1134" w:left="1304" w:header="720" w:footer="720" w:gutter="0"/>
          <w:cols w:space="720"/>
          <w:noEndnote/>
        </w:sectPr>
      </w:pPr>
    </w:p>
    <w:p w:rsidR="0054456D" w:rsidRPr="00383206" w:rsidRDefault="00E027EE" w:rsidP="00690E9E">
      <w:pPr>
        <w:autoSpaceDE w:val="0"/>
        <w:autoSpaceDN w:val="0"/>
        <w:adjustRightInd w:val="0"/>
        <w:spacing w:after="240"/>
        <w:jc w:val="right"/>
        <w:rPr>
          <w:rFonts w:cs="Arial"/>
          <w:b/>
          <w:bCs/>
          <w:lang w:eastAsia="en-GB"/>
        </w:rPr>
      </w:pPr>
      <w:r w:rsidRPr="00383206">
        <w:rPr>
          <w:rFonts w:cs="Arial"/>
          <w:b/>
          <w:bCs/>
          <w:lang w:eastAsia="en-GB"/>
        </w:rPr>
        <w:lastRenderedPageBreak/>
        <w:t>A</w:t>
      </w:r>
      <w:r w:rsidR="0054456D" w:rsidRPr="00383206">
        <w:rPr>
          <w:rFonts w:cs="Arial"/>
          <w:b/>
          <w:bCs/>
          <w:lang w:eastAsia="en-GB"/>
        </w:rPr>
        <w:t xml:space="preserve">nnex </w:t>
      </w:r>
      <w:r w:rsidR="001A7831">
        <w:rPr>
          <w:rFonts w:cs="Arial"/>
          <w:b/>
          <w:bCs/>
          <w:lang w:eastAsia="en-GB"/>
        </w:rPr>
        <w:t>7</w:t>
      </w:r>
    </w:p>
    <w:p w:rsidR="002D16C2" w:rsidRPr="00402D61" w:rsidRDefault="0054456D" w:rsidP="002D16C2">
      <w:pPr>
        <w:pStyle w:val="Heading1"/>
        <w:tabs>
          <w:tab w:val="clear" w:pos="432"/>
        </w:tabs>
        <w:spacing w:after="240"/>
        <w:rPr>
          <w:color w:val="FF0000"/>
          <w:sz w:val="28"/>
          <w:szCs w:val="28"/>
          <w:u w:val="single"/>
        </w:rPr>
      </w:pPr>
      <w:bookmarkStart w:id="33" w:name="_GLOSSARY_OF_TERMS"/>
      <w:bookmarkEnd w:id="33"/>
      <w:r w:rsidRPr="00917A87">
        <w:rPr>
          <w:sz w:val="28"/>
          <w:szCs w:val="28"/>
          <w:u w:val="single"/>
        </w:rPr>
        <w:t>G</w:t>
      </w:r>
      <w:r w:rsidR="0084305D" w:rsidRPr="00917A87">
        <w:rPr>
          <w:sz w:val="28"/>
          <w:szCs w:val="28"/>
          <w:u w:val="single"/>
        </w:rPr>
        <w:t>LOSSARY</w:t>
      </w:r>
      <w:r w:rsidRPr="00917A87">
        <w:rPr>
          <w:sz w:val="28"/>
          <w:szCs w:val="28"/>
          <w:u w:val="single"/>
        </w:rPr>
        <w:t xml:space="preserve"> </w:t>
      </w:r>
      <w:r w:rsidR="0084305D" w:rsidRPr="00917A87">
        <w:rPr>
          <w:sz w:val="28"/>
          <w:szCs w:val="28"/>
          <w:u w:val="single"/>
        </w:rPr>
        <w:t>OF</w:t>
      </w:r>
      <w:r w:rsidRPr="00917A87">
        <w:rPr>
          <w:sz w:val="28"/>
          <w:szCs w:val="28"/>
          <w:u w:val="single"/>
        </w:rPr>
        <w:t xml:space="preserve"> T</w:t>
      </w:r>
      <w:r w:rsidR="0084305D" w:rsidRPr="00917A87">
        <w:rPr>
          <w:sz w:val="28"/>
          <w:szCs w:val="28"/>
          <w:u w:val="single"/>
        </w:rPr>
        <w:t>ERMS</w:t>
      </w:r>
      <w:r w:rsidR="009D2A79" w:rsidRPr="00917A87">
        <w:rPr>
          <w:sz w:val="28"/>
          <w:szCs w:val="28"/>
          <w:u w:val="single"/>
        </w:rPr>
        <w:t xml:space="preserve"> </w:t>
      </w:r>
    </w:p>
    <w:p w:rsidR="0054456D" w:rsidRPr="00402D61" w:rsidRDefault="0054456D" w:rsidP="00690E9E">
      <w:pPr>
        <w:pStyle w:val="Heading1"/>
        <w:tabs>
          <w:tab w:val="clear" w:pos="432"/>
        </w:tabs>
        <w:spacing w:after="240"/>
        <w:rPr>
          <w:color w:val="FF0000"/>
          <w:sz w:val="28"/>
          <w:szCs w:val="28"/>
          <w:u w:val="single"/>
        </w:rPr>
      </w:pPr>
    </w:p>
    <w:p w:rsidR="0015415A" w:rsidRPr="00402D61" w:rsidRDefault="0015415A" w:rsidP="00690E9E">
      <w:pPr>
        <w:spacing w:after="240"/>
        <w:rPr>
          <w:rFonts w:cs="Arial"/>
          <w:b/>
          <w:color w:val="FF0000"/>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210"/>
      </w:tblGrid>
      <w:tr w:rsidR="005B4663" w:rsidRPr="00402D61" w:rsidTr="00B25EF1">
        <w:trPr>
          <w:trHeight w:val="84"/>
        </w:trPr>
        <w:tc>
          <w:tcPr>
            <w:tcW w:w="2510" w:type="dxa"/>
            <w:shd w:val="clear" w:color="auto" w:fill="auto"/>
          </w:tcPr>
          <w:p w:rsidR="005B4663" w:rsidRPr="00917A87" w:rsidRDefault="005B4663" w:rsidP="00690E9E">
            <w:pPr>
              <w:autoSpaceDE w:val="0"/>
              <w:autoSpaceDN w:val="0"/>
              <w:adjustRightInd w:val="0"/>
              <w:spacing w:after="240"/>
              <w:rPr>
                <w:rFonts w:cs="Arial"/>
                <w:b/>
                <w:lang w:eastAsia="en-GB"/>
              </w:rPr>
            </w:pPr>
            <w:r w:rsidRPr="00917A87">
              <w:rPr>
                <w:rFonts w:cs="Arial"/>
                <w:b/>
                <w:lang w:eastAsia="en-GB"/>
              </w:rPr>
              <w:t xml:space="preserve">Action Plan </w:t>
            </w:r>
          </w:p>
        </w:tc>
        <w:tc>
          <w:tcPr>
            <w:tcW w:w="7210" w:type="dxa"/>
            <w:shd w:val="clear" w:color="auto" w:fill="auto"/>
          </w:tcPr>
          <w:p w:rsidR="005B4663" w:rsidRPr="00917A87" w:rsidRDefault="005B4663" w:rsidP="00690E9E">
            <w:pPr>
              <w:autoSpaceDE w:val="0"/>
              <w:autoSpaceDN w:val="0"/>
              <w:adjustRightInd w:val="0"/>
              <w:spacing w:after="240"/>
              <w:rPr>
                <w:rFonts w:cs="Arial"/>
                <w:lang w:eastAsia="en-GB"/>
              </w:rPr>
            </w:pPr>
            <w:r w:rsidRPr="00917A87">
              <w:rPr>
                <w:rFonts w:cs="Arial"/>
                <w:lang w:eastAsia="en-GB"/>
              </w:rPr>
              <w:t xml:space="preserve">A document that specifies each element of activity. </w:t>
            </w:r>
          </w:p>
        </w:tc>
      </w:tr>
      <w:tr w:rsidR="00A3517C" w:rsidRPr="00402D61" w:rsidTr="00B25EF1">
        <w:trPr>
          <w:trHeight w:val="84"/>
        </w:trPr>
        <w:tc>
          <w:tcPr>
            <w:tcW w:w="2510" w:type="dxa"/>
            <w:shd w:val="clear" w:color="auto" w:fill="auto"/>
          </w:tcPr>
          <w:p w:rsidR="00A3517C" w:rsidRPr="00917A87" w:rsidRDefault="00A3517C" w:rsidP="00690E9E">
            <w:pPr>
              <w:autoSpaceDE w:val="0"/>
              <w:autoSpaceDN w:val="0"/>
              <w:adjustRightInd w:val="0"/>
              <w:spacing w:after="240"/>
              <w:rPr>
                <w:rFonts w:cs="Arial"/>
                <w:b/>
                <w:lang w:eastAsia="en-GB"/>
              </w:rPr>
            </w:pPr>
            <w:r w:rsidRPr="00917A87">
              <w:rPr>
                <w:rFonts w:cs="Arial"/>
                <w:b/>
                <w:lang w:eastAsia="en-GB"/>
              </w:rPr>
              <w:t>Allotted Time</w:t>
            </w:r>
          </w:p>
        </w:tc>
        <w:tc>
          <w:tcPr>
            <w:tcW w:w="7210" w:type="dxa"/>
            <w:shd w:val="clear" w:color="auto" w:fill="auto"/>
          </w:tcPr>
          <w:p w:rsidR="00A3517C" w:rsidRPr="00917A87" w:rsidRDefault="00427EDD" w:rsidP="00690E9E">
            <w:pPr>
              <w:autoSpaceDE w:val="0"/>
              <w:autoSpaceDN w:val="0"/>
              <w:adjustRightInd w:val="0"/>
              <w:spacing w:after="240"/>
              <w:rPr>
                <w:rFonts w:cs="Arial"/>
                <w:lang w:eastAsia="en-GB"/>
              </w:rPr>
            </w:pPr>
            <w:r w:rsidRPr="00917A87">
              <w:rPr>
                <w:rFonts w:cs="Arial"/>
              </w:rPr>
              <w:t>The maximum period of time in which all outcomes for a Participant must be achieved</w:t>
            </w:r>
            <w:r w:rsidR="00E95B0F">
              <w:rPr>
                <w:rFonts w:cs="Arial"/>
              </w:rPr>
              <w:t xml:space="preserve"> and claimed</w:t>
            </w:r>
            <w:r w:rsidRPr="00917A87">
              <w:rPr>
                <w:rFonts w:cs="Arial"/>
              </w:rPr>
              <w:t>.</w:t>
            </w:r>
          </w:p>
        </w:tc>
      </w:tr>
      <w:tr w:rsidR="00EF2A16" w:rsidRPr="00402D61" w:rsidTr="00B25EF1">
        <w:trPr>
          <w:trHeight w:val="84"/>
        </w:trPr>
        <w:tc>
          <w:tcPr>
            <w:tcW w:w="2510" w:type="dxa"/>
            <w:shd w:val="clear" w:color="auto" w:fill="auto"/>
          </w:tcPr>
          <w:p w:rsidR="00EF2A16" w:rsidRPr="00917A87" w:rsidRDefault="00F30CB7" w:rsidP="00690E9E">
            <w:pPr>
              <w:autoSpaceDE w:val="0"/>
              <w:autoSpaceDN w:val="0"/>
              <w:adjustRightInd w:val="0"/>
              <w:spacing w:after="240"/>
              <w:rPr>
                <w:rFonts w:cs="Arial"/>
                <w:b/>
                <w:lang w:eastAsia="en-GB"/>
              </w:rPr>
            </w:pPr>
            <w:r w:rsidRPr="00F30CB7">
              <w:rPr>
                <w:rFonts w:cs="Arial"/>
                <w:b/>
                <w:lang w:eastAsia="en-GB"/>
              </w:rPr>
              <w:t>Business Development and Growth Plan</w:t>
            </w:r>
            <w:r>
              <w:rPr>
                <w:rFonts w:cs="Arial"/>
                <w:b/>
                <w:lang w:eastAsia="en-GB"/>
              </w:rPr>
              <w:t xml:space="preserve"> (BDGP)</w:t>
            </w:r>
          </w:p>
        </w:tc>
        <w:tc>
          <w:tcPr>
            <w:tcW w:w="7210" w:type="dxa"/>
            <w:shd w:val="clear" w:color="auto" w:fill="auto"/>
          </w:tcPr>
          <w:p w:rsidR="00EF2A16" w:rsidRPr="00917A87" w:rsidRDefault="00F30CB7" w:rsidP="00F30CB7">
            <w:pPr>
              <w:autoSpaceDE w:val="0"/>
              <w:autoSpaceDN w:val="0"/>
              <w:adjustRightInd w:val="0"/>
              <w:spacing w:after="240"/>
              <w:rPr>
                <w:rFonts w:cs="Arial"/>
                <w:lang w:eastAsia="en-GB"/>
              </w:rPr>
            </w:pPr>
            <w:r>
              <w:rPr>
                <w:rFonts w:cs="Arial"/>
                <w:lang w:eastAsia="en-GB"/>
              </w:rPr>
              <w:t xml:space="preserve">Universal Credit existing Self Employed Business Development and Growth Plan setting out short, medium and long term goals to help the business grow and increase the participants earnings  </w:t>
            </w:r>
          </w:p>
        </w:tc>
      </w:tr>
      <w:tr w:rsidR="00531F19" w:rsidRPr="00402D61" w:rsidTr="00B25EF1">
        <w:trPr>
          <w:trHeight w:val="285"/>
        </w:trPr>
        <w:tc>
          <w:tcPr>
            <w:tcW w:w="2510" w:type="dxa"/>
            <w:shd w:val="clear" w:color="auto" w:fill="auto"/>
          </w:tcPr>
          <w:p w:rsidR="00531F19" w:rsidRPr="00917A87" w:rsidRDefault="001566EC" w:rsidP="00690E9E">
            <w:pPr>
              <w:autoSpaceDE w:val="0"/>
              <w:autoSpaceDN w:val="0"/>
              <w:adjustRightInd w:val="0"/>
              <w:spacing w:after="240"/>
              <w:rPr>
                <w:rFonts w:cs="Arial"/>
                <w:b/>
                <w:lang w:eastAsia="en-GB"/>
              </w:rPr>
            </w:pPr>
            <w:r w:rsidRPr="00917A87">
              <w:rPr>
                <w:rFonts w:cs="Arial"/>
                <w:b/>
                <w:lang w:eastAsia="en-GB"/>
              </w:rPr>
              <w:t>Business Plans</w:t>
            </w:r>
          </w:p>
        </w:tc>
        <w:tc>
          <w:tcPr>
            <w:tcW w:w="7210" w:type="dxa"/>
            <w:shd w:val="clear" w:color="auto" w:fill="auto"/>
          </w:tcPr>
          <w:p w:rsidR="00531F19" w:rsidRPr="00917A87" w:rsidRDefault="008A45C0" w:rsidP="00194871">
            <w:pPr>
              <w:autoSpaceDE w:val="0"/>
              <w:autoSpaceDN w:val="0"/>
              <w:adjustRightInd w:val="0"/>
              <w:spacing w:after="240"/>
              <w:rPr>
                <w:rFonts w:cs="Arial"/>
                <w:lang w:eastAsia="en-GB"/>
              </w:rPr>
            </w:pPr>
            <w:r w:rsidRPr="00917A87">
              <w:rPr>
                <w:rFonts w:cs="Arial"/>
                <w:lang w:eastAsia="en-GB"/>
              </w:rPr>
              <w:t>Participant</w:t>
            </w:r>
            <w:r w:rsidR="001566EC" w:rsidRPr="00917A87">
              <w:rPr>
                <w:rFonts w:cs="Arial"/>
                <w:lang w:eastAsia="en-GB"/>
              </w:rPr>
              <w:t>s Business Plan se</w:t>
            </w:r>
            <w:r w:rsidR="00165AC3" w:rsidRPr="00917A87">
              <w:rPr>
                <w:rFonts w:cs="Arial"/>
                <w:lang w:eastAsia="en-GB"/>
              </w:rPr>
              <w:t>t</w:t>
            </w:r>
            <w:r w:rsidR="001566EC" w:rsidRPr="00917A87">
              <w:rPr>
                <w:rFonts w:cs="Arial"/>
                <w:lang w:eastAsia="en-GB"/>
              </w:rPr>
              <w:t>ting out business proposal, containing the mandatory element</w:t>
            </w:r>
            <w:r w:rsidR="00165AC3" w:rsidRPr="00917A87">
              <w:rPr>
                <w:rFonts w:cs="Arial"/>
                <w:lang w:eastAsia="en-GB"/>
              </w:rPr>
              <w:t>s</w:t>
            </w:r>
            <w:r w:rsidR="001566EC" w:rsidRPr="00917A87">
              <w:rPr>
                <w:rFonts w:cs="Arial"/>
                <w:lang w:eastAsia="en-GB"/>
              </w:rPr>
              <w:t xml:space="preserve"> as outlined</w:t>
            </w:r>
            <w:r w:rsidR="00165AC3" w:rsidRPr="00917A87">
              <w:rPr>
                <w:rFonts w:cs="Arial"/>
                <w:lang w:eastAsia="en-GB"/>
              </w:rPr>
              <w:t xml:space="preserve"> para 2.</w:t>
            </w:r>
            <w:r w:rsidR="00194871">
              <w:rPr>
                <w:rFonts w:cs="Arial"/>
                <w:lang w:eastAsia="en-GB"/>
              </w:rPr>
              <w:t>60</w:t>
            </w:r>
            <w:r w:rsidR="00AA3729" w:rsidRPr="00917A87">
              <w:rPr>
                <w:rFonts w:cs="Arial"/>
                <w:lang w:eastAsia="en-GB"/>
              </w:rPr>
              <w:t>.</w:t>
            </w:r>
          </w:p>
        </w:tc>
      </w:tr>
      <w:tr w:rsidR="00A3517C" w:rsidRPr="00402D61" w:rsidTr="00B25EF1">
        <w:trPr>
          <w:trHeight w:val="285"/>
        </w:trPr>
        <w:tc>
          <w:tcPr>
            <w:tcW w:w="2510" w:type="dxa"/>
            <w:shd w:val="clear" w:color="auto" w:fill="auto"/>
          </w:tcPr>
          <w:p w:rsidR="00A3517C" w:rsidRPr="00917A87" w:rsidRDefault="00A3517C" w:rsidP="00690E9E">
            <w:pPr>
              <w:autoSpaceDE w:val="0"/>
              <w:autoSpaceDN w:val="0"/>
              <w:adjustRightInd w:val="0"/>
              <w:spacing w:after="240"/>
              <w:rPr>
                <w:rFonts w:cs="Arial"/>
                <w:b/>
                <w:lang w:eastAsia="en-GB"/>
              </w:rPr>
            </w:pPr>
            <w:r w:rsidRPr="00917A87">
              <w:rPr>
                <w:rFonts w:cs="Arial"/>
                <w:b/>
                <w:lang w:eastAsia="en-GB"/>
              </w:rPr>
              <w:t>Commencement of Trading Fee</w:t>
            </w:r>
          </w:p>
        </w:tc>
        <w:tc>
          <w:tcPr>
            <w:tcW w:w="7210" w:type="dxa"/>
            <w:shd w:val="clear" w:color="auto" w:fill="auto"/>
          </w:tcPr>
          <w:p w:rsidR="00A3517C" w:rsidRPr="00917A87" w:rsidRDefault="00046834" w:rsidP="00690E9E">
            <w:pPr>
              <w:autoSpaceDE w:val="0"/>
              <w:autoSpaceDN w:val="0"/>
              <w:adjustRightInd w:val="0"/>
              <w:spacing w:after="240"/>
              <w:rPr>
                <w:rFonts w:cs="Arial"/>
                <w:lang w:eastAsia="en-GB"/>
              </w:rPr>
            </w:pPr>
            <w:r w:rsidRPr="00917A87">
              <w:rPr>
                <w:rFonts w:cs="Arial"/>
                <w:lang w:eastAsia="en-GB"/>
              </w:rPr>
              <w:t>The fee payable by DWP/Jobcentre Plus when an individual has</w:t>
            </w:r>
            <w:r w:rsidR="000676A4">
              <w:rPr>
                <w:rFonts w:cs="Arial"/>
                <w:lang w:eastAsia="en-GB"/>
              </w:rPr>
              <w:t xml:space="preserve"> been demonstrably trading as self-employed</w:t>
            </w:r>
            <w:proofErr w:type="gramStart"/>
            <w:r w:rsidR="000676A4">
              <w:rPr>
                <w:rFonts w:cs="Arial"/>
                <w:lang w:eastAsia="en-GB"/>
              </w:rPr>
              <w:t xml:space="preserve">, </w:t>
            </w:r>
            <w:r w:rsidRPr="00917A87">
              <w:rPr>
                <w:rFonts w:cs="Arial"/>
                <w:lang w:eastAsia="en-GB"/>
              </w:rPr>
              <w:t xml:space="preserve"> registered</w:t>
            </w:r>
            <w:proofErr w:type="gramEnd"/>
            <w:r w:rsidRPr="00917A87">
              <w:rPr>
                <w:rFonts w:cs="Arial"/>
                <w:lang w:eastAsia="en-GB"/>
              </w:rPr>
              <w:t xml:space="preserve"> their business with HMRC and claimed the allowance element of NEA.  </w:t>
            </w:r>
          </w:p>
        </w:tc>
      </w:tr>
      <w:tr w:rsidR="00EF2A16" w:rsidRPr="00402D61" w:rsidTr="00B25EF1">
        <w:trPr>
          <w:trHeight w:val="285"/>
        </w:trPr>
        <w:tc>
          <w:tcPr>
            <w:tcW w:w="2510" w:type="dxa"/>
            <w:shd w:val="clear" w:color="auto" w:fill="auto"/>
          </w:tcPr>
          <w:p w:rsidR="00EF2A16" w:rsidRPr="00917A87" w:rsidRDefault="00EF2A16" w:rsidP="00690E9E">
            <w:pPr>
              <w:autoSpaceDE w:val="0"/>
              <w:autoSpaceDN w:val="0"/>
              <w:adjustRightInd w:val="0"/>
              <w:spacing w:after="240"/>
              <w:rPr>
                <w:rFonts w:cs="Arial"/>
                <w:b/>
                <w:lang w:eastAsia="en-GB"/>
              </w:rPr>
            </w:pPr>
            <w:r>
              <w:rPr>
                <w:rFonts w:cs="Arial"/>
                <w:b/>
                <w:lang w:eastAsia="en-GB"/>
              </w:rPr>
              <w:t>Completion of 0-</w:t>
            </w:r>
            <w:r w:rsidR="00C36093">
              <w:rPr>
                <w:rFonts w:cs="Arial"/>
                <w:b/>
                <w:lang w:eastAsia="en-GB"/>
              </w:rPr>
              <w:t>6 months / 26 weeks</w:t>
            </w:r>
            <w:r>
              <w:rPr>
                <w:rFonts w:cs="Arial"/>
                <w:b/>
                <w:lang w:eastAsia="en-GB"/>
              </w:rPr>
              <w:t xml:space="preserve"> increased earnings Fee</w:t>
            </w:r>
          </w:p>
        </w:tc>
        <w:tc>
          <w:tcPr>
            <w:tcW w:w="7210" w:type="dxa"/>
            <w:shd w:val="clear" w:color="auto" w:fill="auto"/>
          </w:tcPr>
          <w:p w:rsidR="00EF2A16" w:rsidRPr="00917A87" w:rsidRDefault="00F30CB7" w:rsidP="00690E9E">
            <w:pPr>
              <w:autoSpaceDE w:val="0"/>
              <w:autoSpaceDN w:val="0"/>
              <w:adjustRightInd w:val="0"/>
              <w:spacing w:after="240"/>
              <w:rPr>
                <w:rFonts w:cs="Arial"/>
                <w:lang w:eastAsia="en-GB"/>
              </w:rPr>
            </w:pPr>
            <w:r w:rsidRPr="00917A87">
              <w:rPr>
                <w:rFonts w:cs="Arial"/>
                <w:lang w:eastAsia="en-GB"/>
              </w:rPr>
              <w:t>The fee payable by DWP/Jobcentre Plus</w:t>
            </w:r>
            <w:r>
              <w:rPr>
                <w:rFonts w:cs="Arial"/>
                <w:lang w:eastAsia="en-GB"/>
              </w:rPr>
              <w:t xml:space="preserve"> when Universal Credit existing Self Employed participant has achieved an increase in earnings to at least the average of the minimum income floor (MIF) over the 0 to </w:t>
            </w:r>
            <w:r w:rsidR="00C36093">
              <w:rPr>
                <w:rFonts w:cs="Arial"/>
                <w:lang w:eastAsia="en-GB"/>
              </w:rPr>
              <w:t>6 months / 26 weeks</w:t>
            </w:r>
            <w:r>
              <w:rPr>
                <w:rFonts w:cs="Arial"/>
                <w:lang w:eastAsia="en-GB"/>
              </w:rPr>
              <w:t xml:space="preserve"> period from the date the BDGP approved. </w:t>
            </w:r>
          </w:p>
        </w:tc>
      </w:tr>
      <w:tr w:rsidR="00F30CB7" w:rsidRPr="00402D61" w:rsidTr="00B25EF1">
        <w:trPr>
          <w:trHeight w:val="285"/>
        </w:trPr>
        <w:tc>
          <w:tcPr>
            <w:tcW w:w="2510" w:type="dxa"/>
            <w:shd w:val="clear" w:color="auto" w:fill="auto"/>
          </w:tcPr>
          <w:p w:rsidR="00F30CB7" w:rsidRPr="00917A87" w:rsidRDefault="00F30CB7" w:rsidP="00F30CB7">
            <w:pPr>
              <w:autoSpaceDE w:val="0"/>
              <w:autoSpaceDN w:val="0"/>
              <w:adjustRightInd w:val="0"/>
              <w:spacing w:after="240"/>
              <w:rPr>
                <w:rFonts w:cs="Arial"/>
                <w:b/>
                <w:lang w:eastAsia="en-GB"/>
              </w:rPr>
            </w:pPr>
            <w:r w:rsidRPr="00F30CB7">
              <w:rPr>
                <w:rFonts w:cs="Arial"/>
                <w:b/>
                <w:lang w:eastAsia="en-GB"/>
              </w:rPr>
              <w:t xml:space="preserve">Completion of </w:t>
            </w:r>
            <w:r w:rsidR="00C36093">
              <w:rPr>
                <w:rFonts w:cs="Arial"/>
                <w:b/>
                <w:lang w:eastAsia="en-GB"/>
              </w:rPr>
              <w:t>6 months / 26 weeks</w:t>
            </w:r>
            <w:r>
              <w:rPr>
                <w:rFonts w:cs="Arial"/>
                <w:b/>
                <w:lang w:eastAsia="en-GB"/>
              </w:rPr>
              <w:t xml:space="preserve"> </w:t>
            </w:r>
            <w:r w:rsidRPr="00F30CB7">
              <w:rPr>
                <w:rFonts w:cs="Arial"/>
                <w:b/>
                <w:lang w:eastAsia="en-GB"/>
              </w:rPr>
              <w:t xml:space="preserve"> of Trading </w:t>
            </w:r>
            <w:r>
              <w:rPr>
                <w:rFonts w:cs="Arial"/>
                <w:b/>
                <w:lang w:eastAsia="en-GB"/>
              </w:rPr>
              <w:t>F</w:t>
            </w:r>
            <w:r w:rsidRPr="00F30CB7">
              <w:rPr>
                <w:rFonts w:cs="Arial"/>
                <w:b/>
                <w:lang w:eastAsia="en-GB"/>
              </w:rPr>
              <w:t xml:space="preserve">ee </w:t>
            </w:r>
            <w:r w:rsidRPr="00F30CB7">
              <w:rPr>
                <w:rFonts w:cs="Arial"/>
                <w:b/>
                <w:lang w:eastAsia="en-GB"/>
              </w:rPr>
              <w:tab/>
              <w:t xml:space="preserve"> </w:t>
            </w:r>
          </w:p>
        </w:tc>
        <w:tc>
          <w:tcPr>
            <w:tcW w:w="7210" w:type="dxa"/>
            <w:shd w:val="clear" w:color="auto" w:fill="auto"/>
          </w:tcPr>
          <w:p w:rsidR="00F30CB7" w:rsidRPr="00F30CB7" w:rsidRDefault="00F30CB7" w:rsidP="00F30CB7">
            <w:pPr>
              <w:autoSpaceDE w:val="0"/>
              <w:autoSpaceDN w:val="0"/>
              <w:adjustRightInd w:val="0"/>
              <w:spacing w:after="240"/>
              <w:rPr>
                <w:rFonts w:cs="Arial"/>
                <w:color w:val="FF0000"/>
                <w:lang w:eastAsia="en-GB"/>
              </w:rPr>
            </w:pPr>
            <w:r w:rsidRPr="00F30CB7">
              <w:rPr>
                <w:rFonts w:cs="Arial"/>
                <w:lang w:eastAsia="en-GB"/>
              </w:rPr>
              <w:t xml:space="preserve">The fee payable by DWP/Jobcentre Plus when an individual has been demonstrably trading for </w:t>
            </w:r>
            <w:r w:rsidR="00C36093">
              <w:rPr>
                <w:rFonts w:cs="Arial"/>
                <w:lang w:eastAsia="en-GB"/>
              </w:rPr>
              <w:t>6 months / 26 weeks</w:t>
            </w:r>
            <w:r w:rsidRPr="00F30CB7">
              <w:rPr>
                <w:rFonts w:cs="Arial"/>
                <w:lang w:eastAsia="en-GB"/>
              </w:rPr>
              <w:t xml:space="preserve">.  </w:t>
            </w:r>
          </w:p>
        </w:tc>
      </w:tr>
      <w:tr w:rsidR="00794BAB" w:rsidRPr="00402D61" w:rsidTr="00B25EF1">
        <w:trPr>
          <w:trHeight w:val="705"/>
        </w:trPr>
        <w:tc>
          <w:tcPr>
            <w:tcW w:w="2510" w:type="dxa"/>
            <w:shd w:val="clear" w:color="auto" w:fill="auto"/>
          </w:tcPr>
          <w:p w:rsidR="00794BAB" w:rsidRPr="00917A87" w:rsidRDefault="00794BAB" w:rsidP="00690E9E">
            <w:pPr>
              <w:autoSpaceDE w:val="0"/>
              <w:autoSpaceDN w:val="0"/>
              <w:adjustRightInd w:val="0"/>
              <w:spacing w:after="240"/>
              <w:rPr>
                <w:rFonts w:cs="Arial"/>
                <w:b/>
                <w:lang w:eastAsia="en-GB"/>
              </w:rPr>
            </w:pPr>
            <w:r w:rsidRPr="00917A87">
              <w:rPr>
                <w:rFonts w:cs="Arial"/>
                <w:b/>
                <w:lang w:eastAsia="en-GB"/>
              </w:rPr>
              <w:t>Contract Package Area</w:t>
            </w:r>
          </w:p>
          <w:p w:rsidR="00C20F3C" w:rsidRPr="00917A87" w:rsidRDefault="00C20F3C" w:rsidP="00690E9E">
            <w:pPr>
              <w:autoSpaceDE w:val="0"/>
              <w:autoSpaceDN w:val="0"/>
              <w:adjustRightInd w:val="0"/>
              <w:spacing w:after="240"/>
              <w:rPr>
                <w:rFonts w:cs="Arial"/>
                <w:b/>
                <w:lang w:eastAsia="en-GB"/>
              </w:rPr>
            </w:pPr>
            <w:r w:rsidRPr="00917A87">
              <w:rPr>
                <w:rFonts w:cs="Arial"/>
                <w:b/>
                <w:lang w:eastAsia="en-GB"/>
              </w:rPr>
              <w:t xml:space="preserve">(CPA) </w:t>
            </w:r>
          </w:p>
        </w:tc>
        <w:tc>
          <w:tcPr>
            <w:tcW w:w="7210" w:type="dxa"/>
            <w:shd w:val="clear" w:color="auto" w:fill="auto"/>
          </w:tcPr>
          <w:p w:rsidR="00794BAB" w:rsidRPr="00917A87" w:rsidRDefault="00794BAB" w:rsidP="00690E9E">
            <w:pPr>
              <w:autoSpaceDE w:val="0"/>
              <w:autoSpaceDN w:val="0"/>
              <w:adjustRightInd w:val="0"/>
              <w:spacing w:after="240"/>
              <w:rPr>
                <w:rFonts w:cs="Arial"/>
                <w:lang w:eastAsia="en-GB"/>
              </w:rPr>
            </w:pPr>
            <w:r w:rsidRPr="00917A87">
              <w:rPr>
                <w:rFonts w:cs="Arial"/>
                <w:lang w:eastAsia="en-GB"/>
              </w:rPr>
              <w:t xml:space="preserve">Successful </w:t>
            </w:r>
            <w:r w:rsidR="008A45C0" w:rsidRPr="00917A87">
              <w:rPr>
                <w:rFonts w:cs="Arial"/>
                <w:lang w:eastAsia="en-GB"/>
              </w:rPr>
              <w:t>Provider</w:t>
            </w:r>
            <w:r w:rsidR="00592EDD" w:rsidRPr="00917A87">
              <w:rPr>
                <w:rFonts w:cs="Arial"/>
                <w:lang w:eastAsia="en-GB"/>
              </w:rPr>
              <w:t>s</w:t>
            </w:r>
            <w:r w:rsidRPr="00917A87">
              <w:rPr>
                <w:rFonts w:cs="Arial"/>
                <w:lang w:eastAsia="en-GB"/>
              </w:rPr>
              <w:t xml:space="preserve"> will be offered contracts to deliver in specific areas. Contract Package Area </w:t>
            </w:r>
            <w:r w:rsidR="00C20F3C" w:rsidRPr="00917A87">
              <w:rPr>
                <w:rFonts w:cs="Arial"/>
                <w:lang w:eastAsia="en-GB"/>
              </w:rPr>
              <w:t>i</w:t>
            </w:r>
            <w:r w:rsidRPr="00917A87">
              <w:rPr>
                <w:rFonts w:cs="Arial"/>
                <w:lang w:eastAsia="en-GB"/>
              </w:rPr>
              <w:t>s the term used to describe the geographic area of the</w:t>
            </w:r>
            <w:r w:rsidR="00BB5BC5" w:rsidRPr="00917A87">
              <w:rPr>
                <w:rFonts w:cs="Arial"/>
                <w:lang w:eastAsia="en-GB"/>
              </w:rPr>
              <w:t xml:space="preserve"> contract</w:t>
            </w:r>
            <w:r w:rsidRPr="00917A87">
              <w:rPr>
                <w:rFonts w:cs="Arial"/>
                <w:lang w:eastAsia="en-GB"/>
              </w:rPr>
              <w:t>.</w:t>
            </w:r>
          </w:p>
        </w:tc>
      </w:tr>
      <w:tr w:rsidR="005B4663" w:rsidRPr="00402D61" w:rsidTr="00B25EF1">
        <w:trPr>
          <w:trHeight w:val="555"/>
        </w:trPr>
        <w:tc>
          <w:tcPr>
            <w:tcW w:w="2510" w:type="dxa"/>
            <w:shd w:val="clear" w:color="auto" w:fill="auto"/>
          </w:tcPr>
          <w:p w:rsidR="005B4663" w:rsidRPr="00917A87" w:rsidRDefault="005B4663" w:rsidP="00690E9E">
            <w:pPr>
              <w:autoSpaceDE w:val="0"/>
              <w:autoSpaceDN w:val="0"/>
              <w:adjustRightInd w:val="0"/>
              <w:spacing w:after="240"/>
              <w:rPr>
                <w:rFonts w:cs="Arial"/>
                <w:b/>
                <w:lang w:eastAsia="en-GB"/>
              </w:rPr>
            </w:pPr>
            <w:r w:rsidRPr="00917A87">
              <w:rPr>
                <w:rFonts w:cs="Arial"/>
                <w:b/>
                <w:lang w:eastAsia="en-GB"/>
              </w:rPr>
              <w:t xml:space="preserve">Critical Success Factors </w:t>
            </w:r>
          </w:p>
        </w:tc>
        <w:tc>
          <w:tcPr>
            <w:tcW w:w="7210" w:type="dxa"/>
            <w:shd w:val="clear" w:color="auto" w:fill="auto"/>
          </w:tcPr>
          <w:p w:rsidR="005B4663" w:rsidRPr="00917A87" w:rsidRDefault="005B4663" w:rsidP="00690E9E">
            <w:pPr>
              <w:autoSpaceDE w:val="0"/>
              <w:autoSpaceDN w:val="0"/>
              <w:adjustRightInd w:val="0"/>
              <w:spacing w:after="240"/>
              <w:rPr>
                <w:rFonts w:cs="Arial"/>
                <w:lang w:eastAsia="en-GB"/>
              </w:rPr>
            </w:pPr>
            <w:r w:rsidRPr="00917A87">
              <w:rPr>
                <w:rFonts w:cs="Arial"/>
                <w:lang w:eastAsia="en-GB"/>
              </w:rPr>
              <w:t>The factors (</w:t>
            </w:r>
            <w:r w:rsidR="009B34BE" w:rsidRPr="00917A87">
              <w:rPr>
                <w:rFonts w:cs="Arial"/>
                <w:lang w:eastAsia="en-GB"/>
              </w:rPr>
              <w:t>i.e.</w:t>
            </w:r>
            <w:r w:rsidRPr="00917A87">
              <w:rPr>
                <w:rFonts w:cs="Arial"/>
                <w:lang w:eastAsia="en-GB"/>
              </w:rPr>
              <w:t xml:space="preserve"> the positive outcomes or benefits) against which the success of a programme will be judged in order to justify the investment. </w:t>
            </w:r>
          </w:p>
        </w:tc>
      </w:tr>
      <w:tr w:rsidR="00825F5D" w:rsidRPr="00402D61" w:rsidTr="00B25EF1">
        <w:trPr>
          <w:trHeight w:val="555"/>
        </w:trPr>
        <w:tc>
          <w:tcPr>
            <w:tcW w:w="2510" w:type="dxa"/>
            <w:shd w:val="clear" w:color="auto" w:fill="auto"/>
          </w:tcPr>
          <w:p w:rsidR="00825F5D" w:rsidRPr="00825F5D" w:rsidRDefault="00825F5D" w:rsidP="00690E9E">
            <w:pPr>
              <w:autoSpaceDE w:val="0"/>
              <w:autoSpaceDN w:val="0"/>
              <w:adjustRightInd w:val="0"/>
              <w:spacing w:after="240"/>
              <w:rPr>
                <w:rFonts w:cs="Arial"/>
                <w:b/>
                <w:lang w:eastAsia="en-GB"/>
              </w:rPr>
            </w:pPr>
            <w:r w:rsidRPr="00825F5D">
              <w:rPr>
                <w:rFonts w:cs="Arial"/>
                <w:b/>
                <w:lang w:eastAsia="en-GB"/>
              </w:rPr>
              <w:t>Delivery Fee</w:t>
            </w:r>
          </w:p>
        </w:tc>
        <w:tc>
          <w:tcPr>
            <w:tcW w:w="7210" w:type="dxa"/>
            <w:shd w:val="clear" w:color="auto" w:fill="auto"/>
          </w:tcPr>
          <w:p w:rsidR="00825F5D" w:rsidRPr="00917A87" w:rsidRDefault="00920D1B" w:rsidP="0098734A">
            <w:pPr>
              <w:autoSpaceDE w:val="0"/>
              <w:autoSpaceDN w:val="0"/>
              <w:adjustRightInd w:val="0"/>
              <w:spacing w:after="240"/>
              <w:rPr>
                <w:rFonts w:cs="Arial"/>
                <w:lang w:eastAsia="en-GB"/>
              </w:rPr>
            </w:pPr>
            <w:r>
              <w:t xml:space="preserve">A Delivery Fee equivalent to </w:t>
            </w:r>
            <w:r>
              <w:rPr>
                <w:b/>
              </w:rPr>
              <w:t>40%</w:t>
            </w:r>
            <w:r>
              <w:t xml:space="preserve"> of the final agreed contract value</w:t>
            </w:r>
            <w:r w:rsidR="0098734A">
              <w:t xml:space="preserve"> </w:t>
            </w:r>
            <w:r w:rsidR="00AA7DBA" w:rsidRPr="002B3C82">
              <w:rPr>
                <w:b/>
              </w:rPr>
              <w:t>(</w:t>
            </w:r>
            <w:r w:rsidR="0098734A" w:rsidRPr="002B3C82">
              <w:rPr>
                <w:b/>
              </w:rPr>
              <w:t>NB for clarity this is the element of the final contract value that applies for new business starts)</w:t>
            </w:r>
            <w:r w:rsidR="0098734A" w:rsidRPr="002B3C82">
              <w:t xml:space="preserve"> </w:t>
            </w:r>
            <w:r>
              <w:t>will be paid over 28 months, in equal amounts from the commencement date</w:t>
            </w:r>
          </w:p>
        </w:tc>
      </w:tr>
      <w:tr w:rsidR="00D47F78" w:rsidRPr="00402D61" w:rsidTr="00B25EF1">
        <w:trPr>
          <w:trHeight w:val="680"/>
        </w:trPr>
        <w:tc>
          <w:tcPr>
            <w:tcW w:w="2510" w:type="dxa"/>
            <w:shd w:val="clear" w:color="auto" w:fill="auto"/>
          </w:tcPr>
          <w:p w:rsidR="00D47F78" w:rsidRPr="00917A87" w:rsidRDefault="00D47F78" w:rsidP="00690E9E">
            <w:pPr>
              <w:autoSpaceDE w:val="0"/>
              <w:autoSpaceDN w:val="0"/>
              <w:adjustRightInd w:val="0"/>
              <w:spacing w:after="240"/>
              <w:rPr>
                <w:rFonts w:cs="Arial"/>
                <w:b/>
                <w:lang w:eastAsia="en-GB"/>
              </w:rPr>
            </w:pPr>
            <w:r w:rsidRPr="00917A87">
              <w:rPr>
                <w:rFonts w:cs="Arial"/>
                <w:b/>
                <w:lang w:eastAsia="en-GB"/>
              </w:rPr>
              <w:lastRenderedPageBreak/>
              <w:t>Employment and Support Allowance</w:t>
            </w:r>
          </w:p>
        </w:tc>
        <w:tc>
          <w:tcPr>
            <w:tcW w:w="7210" w:type="dxa"/>
            <w:shd w:val="clear" w:color="auto" w:fill="auto"/>
          </w:tcPr>
          <w:p w:rsidR="00D47F78" w:rsidRPr="00917A87" w:rsidRDefault="00D47F78" w:rsidP="00690E9E">
            <w:pPr>
              <w:autoSpaceDE w:val="0"/>
              <w:autoSpaceDN w:val="0"/>
              <w:adjustRightInd w:val="0"/>
              <w:spacing w:after="240"/>
              <w:rPr>
                <w:rFonts w:cs="Arial"/>
                <w:lang w:eastAsia="en-GB"/>
              </w:rPr>
            </w:pPr>
            <w:r w:rsidRPr="00917A87">
              <w:rPr>
                <w:rFonts w:cs="Arial"/>
                <w:lang w:eastAsia="en-GB"/>
              </w:rPr>
              <w:t>ESA – an allowance payable to participants who have a disability or health condition.  For NEA purposes, this refers specifically to people who have been through a Work Capability Assessment and placed in the Work Related Activity Group.  It may also refer to those who are in the ‘Support Group’.</w:t>
            </w:r>
          </w:p>
        </w:tc>
      </w:tr>
      <w:tr w:rsidR="005B4663" w:rsidRPr="00402D61" w:rsidTr="00B25EF1">
        <w:trPr>
          <w:trHeight w:val="680"/>
        </w:trPr>
        <w:tc>
          <w:tcPr>
            <w:tcW w:w="2510" w:type="dxa"/>
            <w:shd w:val="clear" w:color="auto" w:fill="auto"/>
          </w:tcPr>
          <w:p w:rsidR="005B4663" w:rsidRPr="00917A87" w:rsidRDefault="008A45C0" w:rsidP="00690E9E">
            <w:pPr>
              <w:autoSpaceDE w:val="0"/>
              <w:autoSpaceDN w:val="0"/>
              <w:adjustRightInd w:val="0"/>
              <w:spacing w:after="240"/>
              <w:rPr>
                <w:rFonts w:cs="Arial"/>
                <w:b/>
                <w:lang w:eastAsia="en-GB"/>
              </w:rPr>
            </w:pPr>
            <w:r w:rsidRPr="00917A87">
              <w:rPr>
                <w:rFonts w:cs="Arial"/>
                <w:b/>
                <w:lang w:eastAsia="en-GB"/>
              </w:rPr>
              <w:t>Participant</w:t>
            </w:r>
            <w:r w:rsidR="000249F3" w:rsidRPr="00917A87">
              <w:rPr>
                <w:rFonts w:cs="Arial"/>
                <w:b/>
                <w:lang w:eastAsia="en-GB"/>
              </w:rPr>
              <w:t xml:space="preserve"> </w:t>
            </w:r>
          </w:p>
        </w:tc>
        <w:tc>
          <w:tcPr>
            <w:tcW w:w="7210" w:type="dxa"/>
            <w:shd w:val="clear" w:color="auto" w:fill="auto"/>
          </w:tcPr>
          <w:p w:rsidR="0067745B" w:rsidRPr="00917A87" w:rsidRDefault="005B4663" w:rsidP="00690E9E">
            <w:pPr>
              <w:autoSpaceDE w:val="0"/>
              <w:autoSpaceDN w:val="0"/>
              <w:adjustRightInd w:val="0"/>
              <w:spacing w:after="240"/>
              <w:rPr>
                <w:rFonts w:cs="Arial"/>
                <w:lang w:eastAsia="en-GB"/>
              </w:rPr>
            </w:pPr>
            <w:r w:rsidRPr="00917A87">
              <w:rPr>
                <w:rFonts w:cs="Arial"/>
                <w:lang w:eastAsia="en-GB"/>
              </w:rPr>
              <w:t>An</w:t>
            </w:r>
            <w:r w:rsidR="00BC4815" w:rsidRPr="00917A87">
              <w:rPr>
                <w:rFonts w:cs="Arial"/>
                <w:lang w:eastAsia="en-GB"/>
              </w:rPr>
              <w:t xml:space="preserve"> eligible</w:t>
            </w:r>
            <w:r w:rsidRPr="00917A87">
              <w:rPr>
                <w:rFonts w:cs="Arial"/>
                <w:lang w:eastAsia="en-GB"/>
              </w:rPr>
              <w:t xml:space="preserve"> individual who uses </w:t>
            </w:r>
            <w:r w:rsidR="00684F83" w:rsidRPr="00917A87">
              <w:rPr>
                <w:rFonts w:cs="Arial"/>
                <w:lang w:eastAsia="en-GB"/>
              </w:rPr>
              <w:t>JCP</w:t>
            </w:r>
            <w:r w:rsidRPr="00917A87">
              <w:rPr>
                <w:rFonts w:cs="Arial"/>
                <w:lang w:eastAsia="en-GB"/>
              </w:rPr>
              <w:t xml:space="preserve"> services for the purposes of preparing for work, returning to work or claiming benefits. </w:t>
            </w:r>
          </w:p>
        </w:tc>
      </w:tr>
      <w:tr w:rsidR="001566EC" w:rsidRPr="00402D61" w:rsidTr="00B25EF1">
        <w:trPr>
          <w:trHeight w:val="588"/>
        </w:trPr>
        <w:tc>
          <w:tcPr>
            <w:tcW w:w="2510" w:type="dxa"/>
            <w:shd w:val="clear" w:color="auto" w:fill="auto"/>
          </w:tcPr>
          <w:p w:rsidR="001566EC" w:rsidRPr="00917A87" w:rsidRDefault="00EF2A16" w:rsidP="00690E9E">
            <w:pPr>
              <w:autoSpaceDE w:val="0"/>
              <w:autoSpaceDN w:val="0"/>
              <w:adjustRightInd w:val="0"/>
              <w:spacing w:after="240"/>
              <w:rPr>
                <w:rFonts w:cs="Arial"/>
                <w:b/>
                <w:lang w:eastAsia="en-GB"/>
              </w:rPr>
            </w:pPr>
            <w:r>
              <w:rPr>
                <w:rFonts w:cs="Arial"/>
                <w:b/>
                <w:lang w:eastAsia="en-GB"/>
              </w:rPr>
              <w:t>Gainful Self Employment Test</w:t>
            </w:r>
          </w:p>
        </w:tc>
        <w:tc>
          <w:tcPr>
            <w:tcW w:w="7210" w:type="dxa"/>
            <w:shd w:val="clear" w:color="auto" w:fill="auto"/>
          </w:tcPr>
          <w:p w:rsidR="0086472D" w:rsidRDefault="0086472D" w:rsidP="0086472D">
            <w:pPr>
              <w:spacing w:before="100" w:beforeAutospacing="1" w:after="100" w:afterAutospacing="1"/>
              <w:rPr>
                <w:rFonts w:cs="Arial"/>
                <w:lang w:val="en" w:eastAsia="en-GB"/>
              </w:rPr>
            </w:pPr>
            <w:r w:rsidRPr="0086472D">
              <w:rPr>
                <w:rFonts w:cs="Arial"/>
                <w:lang w:val="en" w:eastAsia="en-GB"/>
              </w:rPr>
              <w:t xml:space="preserve">In order to make a decision about whether self-employment is </w:t>
            </w:r>
            <w:r>
              <w:rPr>
                <w:rFonts w:cs="Arial"/>
                <w:lang w:val="en" w:eastAsia="en-GB"/>
              </w:rPr>
              <w:t>a participant</w:t>
            </w:r>
            <w:r w:rsidR="00870A98">
              <w:rPr>
                <w:rFonts w:cs="Arial"/>
                <w:lang w:val="en" w:eastAsia="en-GB"/>
              </w:rPr>
              <w:t>’</w:t>
            </w:r>
            <w:r>
              <w:rPr>
                <w:rFonts w:cs="Arial"/>
                <w:lang w:val="en" w:eastAsia="en-GB"/>
              </w:rPr>
              <w:t xml:space="preserve">s </w:t>
            </w:r>
            <w:r w:rsidRPr="0086472D">
              <w:rPr>
                <w:rFonts w:cs="Arial"/>
                <w:lang w:val="en" w:eastAsia="en-GB"/>
              </w:rPr>
              <w:t xml:space="preserve">main occupation, </w:t>
            </w:r>
            <w:r>
              <w:rPr>
                <w:rFonts w:cs="Arial"/>
                <w:lang w:val="en" w:eastAsia="en-GB"/>
              </w:rPr>
              <w:t xml:space="preserve">DWP </w:t>
            </w:r>
            <w:r w:rsidRPr="0086472D">
              <w:rPr>
                <w:rFonts w:cs="Arial"/>
                <w:lang w:val="en" w:eastAsia="en-GB"/>
              </w:rPr>
              <w:t xml:space="preserve">will look at how many hours </w:t>
            </w:r>
            <w:r>
              <w:rPr>
                <w:rFonts w:cs="Arial"/>
                <w:lang w:val="en" w:eastAsia="en-GB"/>
              </w:rPr>
              <w:t xml:space="preserve">are </w:t>
            </w:r>
            <w:r w:rsidRPr="0086472D">
              <w:rPr>
                <w:rFonts w:cs="Arial"/>
                <w:lang w:val="en" w:eastAsia="en-GB"/>
              </w:rPr>
              <w:t>spen</w:t>
            </w:r>
            <w:r>
              <w:rPr>
                <w:rFonts w:cs="Arial"/>
                <w:lang w:val="en" w:eastAsia="en-GB"/>
              </w:rPr>
              <w:t>t</w:t>
            </w:r>
            <w:r w:rsidRPr="0086472D">
              <w:rPr>
                <w:rFonts w:cs="Arial"/>
                <w:lang w:val="en" w:eastAsia="en-GB"/>
              </w:rPr>
              <w:t xml:space="preserve"> undertaking self-employed activity and how much </w:t>
            </w:r>
            <w:r>
              <w:rPr>
                <w:rFonts w:cs="Arial"/>
                <w:lang w:val="en" w:eastAsia="en-GB"/>
              </w:rPr>
              <w:t>is</w:t>
            </w:r>
            <w:r w:rsidRPr="0086472D">
              <w:rPr>
                <w:rFonts w:cs="Arial"/>
                <w:lang w:val="en" w:eastAsia="en-GB"/>
              </w:rPr>
              <w:t xml:space="preserve"> earn</w:t>
            </w:r>
            <w:r>
              <w:rPr>
                <w:rFonts w:cs="Arial"/>
                <w:lang w:val="en" w:eastAsia="en-GB"/>
              </w:rPr>
              <w:t xml:space="preserve">ed </w:t>
            </w:r>
            <w:r w:rsidRPr="0086472D">
              <w:rPr>
                <w:rFonts w:cs="Arial"/>
                <w:lang w:val="en" w:eastAsia="en-GB"/>
              </w:rPr>
              <w:t>from it.</w:t>
            </w:r>
          </w:p>
          <w:p w:rsidR="001566EC" w:rsidRPr="00917A87" w:rsidRDefault="0086472D" w:rsidP="0086472D">
            <w:pPr>
              <w:spacing w:before="100" w:beforeAutospacing="1" w:after="100" w:afterAutospacing="1"/>
              <w:rPr>
                <w:rFonts w:cs="Arial"/>
                <w:lang w:eastAsia="en-GB"/>
              </w:rPr>
            </w:pPr>
            <w:r w:rsidRPr="0086472D">
              <w:rPr>
                <w:rFonts w:cs="Arial"/>
                <w:lang w:val="en" w:eastAsia="en-GB"/>
              </w:rPr>
              <w:t xml:space="preserve">If </w:t>
            </w:r>
            <w:r>
              <w:rPr>
                <w:rFonts w:cs="Arial"/>
                <w:lang w:val="en" w:eastAsia="en-GB"/>
              </w:rPr>
              <w:t xml:space="preserve">DWP </w:t>
            </w:r>
            <w:r w:rsidRPr="0086472D">
              <w:rPr>
                <w:rFonts w:cs="Arial"/>
                <w:lang w:val="en" w:eastAsia="en-GB"/>
              </w:rPr>
              <w:t>decide you are gainfully self–employed, you are exempt from all work-related requirements, meaning you can focus totally on your business.</w:t>
            </w:r>
          </w:p>
        </w:tc>
      </w:tr>
      <w:tr w:rsidR="00AA3729" w:rsidRPr="00402D61" w:rsidTr="00B25EF1">
        <w:trPr>
          <w:trHeight w:val="588"/>
        </w:trPr>
        <w:tc>
          <w:tcPr>
            <w:tcW w:w="2510" w:type="dxa"/>
            <w:shd w:val="clear" w:color="auto" w:fill="auto"/>
          </w:tcPr>
          <w:p w:rsidR="00AA3729" w:rsidRPr="00917A87" w:rsidRDefault="00AA3729" w:rsidP="00690E9E">
            <w:pPr>
              <w:autoSpaceDE w:val="0"/>
              <w:autoSpaceDN w:val="0"/>
              <w:adjustRightInd w:val="0"/>
              <w:spacing w:after="240"/>
              <w:rPr>
                <w:rFonts w:cs="Arial"/>
                <w:b/>
                <w:lang w:eastAsia="en-GB"/>
              </w:rPr>
            </w:pPr>
            <w:r w:rsidRPr="00917A87">
              <w:rPr>
                <w:rFonts w:cs="Arial"/>
                <w:b/>
                <w:lang w:eastAsia="en-GB"/>
              </w:rPr>
              <w:t>Income Support</w:t>
            </w:r>
          </w:p>
        </w:tc>
        <w:tc>
          <w:tcPr>
            <w:tcW w:w="7210" w:type="dxa"/>
            <w:shd w:val="clear" w:color="auto" w:fill="auto"/>
          </w:tcPr>
          <w:p w:rsidR="00AA3729" w:rsidRPr="00917A87" w:rsidRDefault="00BC4815" w:rsidP="00690E9E">
            <w:pPr>
              <w:autoSpaceDE w:val="0"/>
              <w:autoSpaceDN w:val="0"/>
              <w:adjustRightInd w:val="0"/>
              <w:spacing w:after="240"/>
              <w:rPr>
                <w:rFonts w:cs="Arial"/>
                <w:lang w:eastAsia="en-GB"/>
              </w:rPr>
            </w:pPr>
            <w:r w:rsidRPr="00917A87">
              <w:rPr>
                <w:rFonts w:cs="Arial"/>
                <w:lang w:eastAsia="en-GB"/>
              </w:rPr>
              <w:t>For NEA purposes, recipients of IS will be lone parents who have a child under the age of 5</w:t>
            </w:r>
            <w:r w:rsidR="00B07168" w:rsidRPr="00917A87">
              <w:rPr>
                <w:rFonts w:cs="Arial"/>
                <w:lang w:eastAsia="en-GB"/>
              </w:rPr>
              <w:t xml:space="preserve"> or recipients who are claiming as sick</w:t>
            </w:r>
          </w:p>
        </w:tc>
      </w:tr>
      <w:tr w:rsidR="005B4663" w:rsidRPr="00402D61" w:rsidTr="00B25EF1">
        <w:trPr>
          <w:trHeight w:val="1141"/>
        </w:trPr>
        <w:tc>
          <w:tcPr>
            <w:tcW w:w="2510" w:type="dxa"/>
            <w:shd w:val="clear" w:color="auto" w:fill="auto"/>
          </w:tcPr>
          <w:p w:rsidR="005B4663" w:rsidRPr="00917A87" w:rsidRDefault="00CE469A" w:rsidP="00690E9E">
            <w:pPr>
              <w:autoSpaceDE w:val="0"/>
              <w:autoSpaceDN w:val="0"/>
              <w:adjustRightInd w:val="0"/>
              <w:spacing w:after="240"/>
              <w:rPr>
                <w:rFonts w:cs="Arial"/>
                <w:b/>
                <w:lang w:eastAsia="en-GB"/>
              </w:rPr>
            </w:pPr>
            <w:r w:rsidRPr="00917A87">
              <w:rPr>
                <w:rFonts w:cs="Arial"/>
                <w:b/>
                <w:lang w:eastAsia="en-GB"/>
              </w:rPr>
              <w:t>J</w:t>
            </w:r>
            <w:r w:rsidR="00D034B9" w:rsidRPr="00917A87">
              <w:rPr>
                <w:rFonts w:cs="Arial"/>
                <w:b/>
                <w:lang w:eastAsia="en-GB"/>
              </w:rPr>
              <w:t>obcentre Plus</w:t>
            </w:r>
            <w:r w:rsidR="005B4663" w:rsidRPr="00917A87">
              <w:rPr>
                <w:rFonts w:cs="Arial"/>
                <w:b/>
                <w:lang w:eastAsia="en-GB"/>
              </w:rPr>
              <w:t xml:space="preserve"> </w:t>
            </w:r>
          </w:p>
        </w:tc>
        <w:tc>
          <w:tcPr>
            <w:tcW w:w="7210" w:type="dxa"/>
            <w:shd w:val="clear" w:color="auto" w:fill="auto"/>
          </w:tcPr>
          <w:p w:rsidR="005B4663" w:rsidRPr="00917A87" w:rsidRDefault="005B4663" w:rsidP="00690E9E">
            <w:pPr>
              <w:autoSpaceDE w:val="0"/>
              <w:autoSpaceDN w:val="0"/>
              <w:adjustRightInd w:val="0"/>
              <w:spacing w:after="240"/>
              <w:rPr>
                <w:rFonts w:cs="Arial"/>
                <w:lang w:eastAsia="en-GB"/>
              </w:rPr>
            </w:pPr>
            <w:r w:rsidRPr="00917A87">
              <w:rPr>
                <w:rFonts w:cs="Arial"/>
                <w:lang w:eastAsia="en-GB"/>
              </w:rPr>
              <w:t>Part of DWP,</w:t>
            </w:r>
            <w:r w:rsidR="00684F83" w:rsidRPr="00917A87">
              <w:rPr>
                <w:rFonts w:cs="Arial"/>
                <w:lang w:eastAsia="en-GB"/>
              </w:rPr>
              <w:t xml:space="preserve"> JCP</w:t>
            </w:r>
            <w:r w:rsidRPr="00917A87">
              <w:rPr>
                <w:rFonts w:cs="Arial"/>
                <w:lang w:eastAsia="en-GB"/>
              </w:rPr>
              <w:t xml:space="preserve"> provides an integrated service to people of working age. It offers help to people looking to move into work and support for people who cannot. </w:t>
            </w:r>
            <w:r w:rsidR="00684F83" w:rsidRPr="00917A87">
              <w:rPr>
                <w:rFonts w:cs="Arial"/>
                <w:lang w:eastAsia="en-GB"/>
              </w:rPr>
              <w:t>JCP</w:t>
            </w:r>
            <w:r w:rsidRPr="00917A87">
              <w:rPr>
                <w:rFonts w:cs="Arial"/>
                <w:lang w:eastAsia="en-GB"/>
              </w:rPr>
              <w:t xml:space="preserve"> also provides services to employers wishing to fill vacancies. </w:t>
            </w:r>
          </w:p>
        </w:tc>
      </w:tr>
      <w:tr w:rsidR="005B4663" w:rsidRPr="00402D61" w:rsidTr="00B25EF1">
        <w:trPr>
          <w:trHeight w:val="408"/>
        </w:trPr>
        <w:tc>
          <w:tcPr>
            <w:tcW w:w="2510" w:type="dxa"/>
            <w:shd w:val="clear" w:color="auto" w:fill="auto"/>
          </w:tcPr>
          <w:p w:rsidR="005B4663" w:rsidRPr="00917A87" w:rsidRDefault="00684F83" w:rsidP="00690E9E">
            <w:pPr>
              <w:autoSpaceDE w:val="0"/>
              <w:autoSpaceDN w:val="0"/>
              <w:adjustRightInd w:val="0"/>
              <w:spacing w:after="240"/>
              <w:rPr>
                <w:rFonts w:cs="Arial"/>
                <w:b/>
                <w:lang w:eastAsia="en-GB"/>
              </w:rPr>
            </w:pPr>
            <w:r w:rsidRPr="00917A87">
              <w:rPr>
                <w:rFonts w:cs="Arial"/>
                <w:b/>
                <w:lang w:eastAsia="en-GB"/>
              </w:rPr>
              <w:t>JCP</w:t>
            </w:r>
            <w:r w:rsidR="005B4663" w:rsidRPr="00917A87">
              <w:rPr>
                <w:rFonts w:cs="Arial"/>
                <w:b/>
                <w:lang w:eastAsia="en-GB"/>
              </w:rPr>
              <w:t xml:space="preserve"> District </w:t>
            </w:r>
          </w:p>
        </w:tc>
        <w:tc>
          <w:tcPr>
            <w:tcW w:w="7210" w:type="dxa"/>
            <w:shd w:val="clear" w:color="auto" w:fill="auto"/>
          </w:tcPr>
          <w:p w:rsidR="005B4663" w:rsidRPr="00917A87" w:rsidRDefault="005B4663" w:rsidP="00690E9E">
            <w:pPr>
              <w:autoSpaceDE w:val="0"/>
              <w:autoSpaceDN w:val="0"/>
              <w:adjustRightInd w:val="0"/>
              <w:spacing w:after="240"/>
              <w:rPr>
                <w:rFonts w:cs="Arial"/>
                <w:lang w:eastAsia="en-GB"/>
              </w:rPr>
            </w:pPr>
            <w:r w:rsidRPr="00917A87">
              <w:rPr>
                <w:rFonts w:cs="Arial"/>
                <w:lang w:eastAsia="en-GB"/>
              </w:rPr>
              <w:t xml:space="preserve">A specified area of England, Scotland or Wales within which to deliver services to </w:t>
            </w:r>
            <w:r w:rsidR="00684F83" w:rsidRPr="00917A87">
              <w:rPr>
                <w:rFonts w:cs="Arial"/>
                <w:lang w:eastAsia="en-GB"/>
              </w:rPr>
              <w:t>JCP</w:t>
            </w:r>
            <w:r w:rsidRPr="00917A87">
              <w:rPr>
                <w:rFonts w:cs="Arial"/>
                <w:lang w:eastAsia="en-GB"/>
              </w:rPr>
              <w:t xml:space="preserve"> </w:t>
            </w:r>
            <w:r w:rsidR="008A45C0" w:rsidRPr="00917A87">
              <w:rPr>
                <w:rFonts w:cs="Arial"/>
                <w:lang w:eastAsia="en-GB"/>
              </w:rPr>
              <w:t>Participant</w:t>
            </w:r>
            <w:r w:rsidRPr="00917A87">
              <w:rPr>
                <w:rFonts w:cs="Arial"/>
                <w:lang w:eastAsia="en-GB"/>
              </w:rPr>
              <w:t xml:space="preserve">s. </w:t>
            </w:r>
          </w:p>
        </w:tc>
      </w:tr>
      <w:tr w:rsidR="005B4663" w:rsidRPr="00402D61" w:rsidTr="00B25EF1">
        <w:trPr>
          <w:trHeight w:val="596"/>
        </w:trPr>
        <w:tc>
          <w:tcPr>
            <w:tcW w:w="2510" w:type="dxa"/>
            <w:shd w:val="clear" w:color="auto" w:fill="auto"/>
          </w:tcPr>
          <w:p w:rsidR="005B4663" w:rsidRPr="00917A87" w:rsidRDefault="005B4663" w:rsidP="00690E9E">
            <w:pPr>
              <w:autoSpaceDE w:val="0"/>
              <w:autoSpaceDN w:val="0"/>
              <w:adjustRightInd w:val="0"/>
              <w:spacing w:after="240"/>
              <w:rPr>
                <w:rFonts w:cs="Arial"/>
                <w:b/>
                <w:lang w:eastAsia="en-GB"/>
              </w:rPr>
            </w:pPr>
            <w:r w:rsidRPr="00917A87">
              <w:rPr>
                <w:rFonts w:cs="Arial"/>
                <w:b/>
                <w:lang w:eastAsia="en-GB"/>
              </w:rPr>
              <w:t>Jobseeker</w:t>
            </w:r>
            <w:r w:rsidR="00A63E3E" w:rsidRPr="00917A87">
              <w:rPr>
                <w:rFonts w:cs="Arial"/>
                <w:b/>
                <w:lang w:eastAsia="en-GB"/>
              </w:rPr>
              <w:t>’</w:t>
            </w:r>
            <w:r w:rsidRPr="00917A87">
              <w:rPr>
                <w:rFonts w:cs="Arial"/>
                <w:b/>
                <w:lang w:eastAsia="en-GB"/>
              </w:rPr>
              <w:t>s Allowance (</w:t>
            </w:r>
            <w:r w:rsidR="00CE469A" w:rsidRPr="00917A87">
              <w:rPr>
                <w:rFonts w:cs="Arial"/>
                <w:b/>
                <w:lang w:eastAsia="en-GB"/>
              </w:rPr>
              <w:t>JSA</w:t>
            </w:r>
            <w:r w:rsidRPr="00917A87">
              <w:rPr>
                <w:rFonts w:cs="Arial"/>
                <w:b/>
                <w:lang w:eastAsia="en-GB"/>
              </w:rPr>
              <w:t xml:space="preserve">) </w:t>
            </w:r>
          </w:p>
        </w:tc>
        <w:tc>
          <w:tcPr>
            <w:tcW w:w="7210" w:type="dxa"/>
            <w:shd w:val="clear" w:color="auto" w:fill="auto"/>
          </w:tcPr>
          <w:p w:rsidR="005B4663" w:rsidRPr="00917A87" w:rsidRDefault="00CE469A" w:rsidP="00690E9E">
            <w:pPr>
              <w:autoSpaceDE w:val="0"/>
              <w:autoSpaceDN w:val="0"/>
              <w:adjustRightInd w:val="0"/>
              <w:spacing w:after="240"/>
              <w:rPr>
                <w:rFonts w:cs="Arial"/>
                <w:lang w:eastAsia="en-GB"/>
              </w:rPr>
            </w:pPr>
            <w:r w:rsidRPr="00917A87">
              <w:rPr>
                <w:rFonts w:cs="Arial"/>
                <w:lang w:eastAsia="en-GB"/>
              </w:rPr>
              <w:t>JSA</w:t>
            </w:r>
            <w:r w:rsidR="005B4663" w:rsidRPr="00917A87">
              <w:rPr>
                <w:rFonts w:cs="Arial"/>
                <w:lang w:eastAsia="en-GB"/>
              </w:rPr>
              <w:t xml:space="preserve"> – </w:t>
            </w:r>
            <w:r w:rsidR="00D333CD" w:rsidRPr="00917A87">
              <w:rPr>
                <w:rFonts w:cs="Arial"/>
                <w:lang w:eastAsia="en-GB"/>
              </w:rPr>
              <w:t>An a</w:t>
            </w:r>
            <w:proofErr w:type="spellStart"/>
            <w:r w:rsidR="00D44F7D" w:rsidRPr="00917A87">
              <w:rPr>
                <w:rFonts w:cs="Arial"/>
                <w:lang w:val="en"/>
              </w:rPr>
              <w:t>llowance</w:t>
            </w:r>
            <w:proofErr w:type="spellEnd"/>
            <w:r w:rsidR="00D333CD" w:rsidRPr="00917A87">
              <w:rPr>
                <w:rFonts w:cs="Arial"/>
                <w:lang w:val="en"/>
              </w:rPr>
              <w:t xml:space="preserve"> payable to </w:t>
            </w:r>
            <w:r w:rsidR="008A45C0" w:rsidRPr="00917A87">
              <w:rPr>
                <w:rFonts w:cs="Arial"/>
                <w:lang w:val="en"/>
              </w:rPr>
              <w:t>Participant</w:t>
            </w:r>
            <w:r w:rsidR="000249F3" w:rsidRPr="00917A87">
              <w:rPr>
                <w:rFonts w:cs="Arial"/>
                <w:lang w:val="en"/>
              </w:rPr>
              <w:t xml:space="preserve">s </w:t>
            </w:r>
            <w:r w:rsidR="00D333CD" w:rsidRPr="00917A87">
              <w:rPr>
                <w:rFonts w:cs="Arial"/>
                <w:lang w:val="en"/>
              </w:rPr>
              <w:t>who are out of work, or work less than 16 hours a week on average, are below pension age and are avai</w:t>
            </w:r>
            <w:r w:rsidR="00BC4815" w:rsidRPr="00917A87">
              <w:rPr>
                <w:rFonts w:cs="Arial"/>
                <w:lang w:val="en"/>
              </w:rPr>
              <w:t>lab</w:t>
            </w:r>
            <w:r w:rsidR="00D333CD" w:rsidRPr="00917A87">
              <w:rPr>
                <w:rFonts w:cs="Arial"/>
                <w:lang w:val="en"/>
              </w:rPr>
              <w:t>le</w:t>
            </w:r>
            <w:r w:rsidR="00BC4815" w:rsidRPr="00917A87">
              <w:rPr>
                <w:rFonts w:cs="Arial"/>
                <w:lang w:val="en"/>
              </w:rPr>
              <w:t xml:space="preserve"> for</w:t>
            </w:r>
            <w:r w:rsidR="00D333CD" w:rsidRPr="00917A87">
              <w:rPr>
                <w:rFonts w:cs="Arial"/>
                <w:lang w:val="en"/>
              </w:rPr>
              <w:t>, activ</w:t>
            </w:r>
            <w:r w:rsidR="002D2840">
              <w:rPr>
                <w:rFonts w:cs="Arial"/>
                <w:lang w:val="en"/>
              </w:rPr>
              <w:t>e</w:t>
            </w:r>
            <w:r w:rsidR="00D333CD" w:rsidRPr="00917A87">
              <w:rPr>
                <w:rFonts w:cs="Arial"/>
                <w:lang w:val="en"/>
              </w:rPr>
              <w:t>ly seeking and capable of work.</w:t>
            </w:r>
            <w:r w:rsidR="00D44F7D" w:rsidRPr="00917A87">
              <w:rPr>
                <w:rFonts w:cs="Arial"/>
                <w:lang w:val="en"/>
              </w:rPr>
              <w:t xml:space="preserve"> </w:t>
            </w:r>
          </w:p>
        </w:tc>
      </w:tr>
      <w:tr w:rsidR="00EF2A16" w:rsidRPr="00402D61" w:rsidTr="00B25EF1">
        <w:trPr>
          <w:trHeight w:val="633"/>
        </w:trPr>
        <w:tc>
          <w:tcPr>
            <w:tcW w:w="2510" w:type="dxa"/>
            <w:shd w:val="clear" w:color="auto" w:fill="auto"/>
          </w:tcPr>
          <w:p w:rsidR="00EF2A16" w:rsidRDefault="00EF2A16" w:rsidP="00EF2A16">
            <w:pPr>
              <w:autoSpaceDE w:val="0"/>
              <w:autoSpaceDN w:val="0"/>
              <w:adjustRightInd w:val="0"/>
              <w:spacing w:after="240"/>
              <w:rPr>
                <w:rFonts w:cs="Arial"/>
                <w:b/>
                <w:lang w:eastAsia="en-GB"/>
              </w:rPr>
            </w:pPr>
            <w:r>
              <w:rPr>
                <w:rFonts w:cs="Arial"/>
                <w:b/>
                <w:lang w:eastAsia="en-GB"/>
              </w:rPr>
              <w:t>Link Up:</w:t>
            </w:r>
            <w:r w:rsidR="00DB781E">
              <w:rPr>
                <w:rFonts w:cs="Arial"/>
                <w:b/>
                <w:lang w:eastAsia="en-GB"/>
              </w:rPr>
              <w:t xml:space="preserve"> </w:t>
            </w:r>
            <w:r>
              <w:rPr>
                <w:rFonts w:cs="Arial"/>
                <w:b/>
                <w:lang w:eastAsia="en-GB"/>
              </w:rPr>
              <w:t>Start Up</w:t>
            </w:r>
          </w:p>
        </w:tc>
        <w:tc>
          <w:tcPr>
            <w:tcW w:w="7210" w:type="dxa"/>
            <w:shd w:val="clear" w:color="auto" w:fill="auto"/>
          </w:tcPr>
          <w:p w:rsidR="00EF2A16" w:rsidRPr="00917A87" w:rsidRDefault="002D2840" w:rsidP="002D2840">
            <w:pPr>
              <w:autoSpaceDE w:val="0"/>
              <w:autoSpaceDN w:val="0"/>
              <w:adjustRightInd w:val="0"/>
              <w:spacing w:after="240"/>
              <w:rPr>
                <w:rFonts w:cs="Arial"/>
                <w:lang w:eastAsia="en-GB"/>
              </w:rPr>
            </w:pPr>
            <w:r>
              <w:rPr>
                <w:rFonts w:cs="Arial"/>
                <w:lang w:eastAsia="en-GB"/>
              </w:rPr>
              <w:t xml:space="preserve">Link UP :Start Up workshops are pre </w:t>
            </w:r>
            <w:proofErr w:type="spellStart"/>
            <w:r>
              <w:rPr>
                <w:rFonts w:cs="Arial"/>
                <w:lang w:eastAsia="en-GB"/>
              </w:rPr>
              <w:t>self employment</w:t>
            </w:r>
            <w:proofErr w:type="spellEnd"/>
            <w:r>
              <w:rPr>
                <w:rFonts w:cs="Arial"/>
                <w:lang w:eastAsia="en-GB"/>
              </w:rPr>
              <w:t xml:space="preserve"> seminars lasting </w:t>
            </w:r>
            <w:r w:rsidR="00194871">
              <w:rPr>
                <w:rFonts w:cs="Arial"/>
                <w:lang w:eastAsia="en-GB"/>
              </w:rPr>
              <w:t xml:space="preserve">at least </w:t>
            </w:r>
            <w:r>
              <w:rPr>
                <w:rFonts w:cs="Arial"/>
                <w:lang w:eastAsia="en-GB"/>
              </w:rPr>
              <w:t xml:space="preserve">3 hours where </w:t>
            </w:r>
            <w:r w:rsidR="0086472D" w:rsidRPr="0086472D">
              <w:rPr>
                <w:rFonts w:cs="Arial"/>
                <w:lang w:eastAsia="en-GB"/>
              </w:rPr>
              <w:t xml:space="preserve">Providers will give an overview of what being self-employed means and the level of commitment required to set up a business. </w:t>
            </w:r>
            <w:r>
              <w:rPr>
                <w:rFonts w:cs="Arial"/>
                <w:lang w:eastAsia="en-GB"/>
              </w:rPr>
              <w:t>T</w:t>
            </w:r>
            <w:r w:rsidR="0086472D" w:rsidRPr="0086472D">
              <w:rPr>
                <w:rFonts w:cs="Arial"/>
                <w:lang w:eastAsia="en-GB"/>
              </w:rPr>
              <w:t>he workshops will cover a range of areas and outline to participants clearly the advantages  and disadvantages of self-employment</w:t>
            </w:r>
            <w:r>
              <w:rPr>
                <w:rFonts w:cs="Arial"/>
                <w:lang w:eastAsia="en-GB"/>
              </w:rPr>
              <w:t xml:space="preserve"> including the impl</w:t>
            </w:r>
            <w:r w:rsidR="00194871">
              <w:rPr>
                <w:rFonts w:cs="Arial"/>
                <w:lang w:eastAsia="en-GB"/>
              </w:rPr>
              <w:t>i</w:t>
            </w:r>
            <w:r>
              <w:rPr>
                <w:rFonts w:cs="Arial"/>
                <w:lang w:eastAsia="en-GB"/>
              </w:rPr>
              <w:t>cations on Benefits and tax credits, etc.</w:t>
            </w:r>
          </w:p>
        </w:tc>
      </w:tr>
      <w:tr w:rsidR="008E2A92" w:rsidRPr="00402D61" w:rsidTr="00B25EF1">
        <w:trPr>
          <w:trHeight w:val="633"/>
        </w:trPr>
        <w:tc>
          <w:tcPr>
            <w:tcW w:w="2510" w:type="dxa"/>
            <w:shd w:val="clear" w:color="auto" w:fill="auto"/>
          </w:tcPr>
          <w:p w:rsidR="008E2A92" w:rsidRPr="00917A87" w:rsidRDefault="008E2A92" w:rsidP="008E2A92">
            <w:pPr>
              <w:autoSpaceDE w:val="0"/>
              <w:autoSpaceDN w:val="0"/>
              <w:adjustRightInd w:val="0"/>
              <w:spacing w:after="240"/>
              <w:rPr>
                <w:rFonts w:cs="Arial"/>
                <w:b/>
                <w:lang w:eastAsia="en-GB"/>
              </w:rPr>
            </w:pPr>
            <w:r w:rsidRPr="00917A87">
              <w:rPr>
                <w:rFonts w:cs="Arial"/>
                <w:b/>
                <w:lang w:eastAsia="en-GB"/>
              </w:rPr>
              <w:t>Mentor</w:t>
            </w:r>
          </w:p>
        </w:tc>
        <w:tc>
          <w:tcPr>
            <w:tcW w:w="7210" w:type="dxa"/>
            <w:shd w:val="clear" w:color="auto" w:fill="auto"/>
          </w:tcPr>
          <w:p w:rsidR="008E2A92" w:rsidRPr="00917A87" w:rsidRDefault="008E2A92" w:rsidP="008E2A92">
            <w:pPr>
              <w:autoSpaceDE w:val="0"/>
              <w:autoSpaceDN w:val="0"/>
              <w:adjustRightInd w:val="0"/>
              <w:spacing w:after="240"/>
              <w:rPr>
                <w:rFonts w:cs="Arial"/>
                <w:lang w:eastAsia="en-GB"/>
              </w:rPr>
            </w:pPr>
            <w:r w:rsidRPr="00917A87">
              <w:rPr>
                <w:rFonts w:cs="Arial"/>
                <w:lang w:eastAsia="en-GB"/>
              </w:rPr>
              <w:t>Mentor to provide the Participant with support and guidance while they develop their business plan and to provide on-going support for the initial 52 weeks of trading.</w:t>
            </w:r>
          </w:p>
        </w:tc>
      </w:tr>
      <w:tr w:rsidR="008E2A92" w:rsidRPr="00402D61" w:rsidTr="00B25EF1">
        <w:trPr>
          <w:trHeight w:val="633"/>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Pr>
                <w:rFonts w:cs="Arial"/>
                <w:b/>
                <w:lang w:eastAsia="en-GB"/>
              </w:rPr>
              <w:t xml:space="preserve">Minimum Income Floor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Pr>
                <w:lang w:val="en"/>
              </w:rPr>
              <w:t xml:space="preserve">Universal Credit includes a ‘Minimum Income Floor’ (MIF) if you are gainfully self–employed, and your business has been running for more than 12 months. The MIF is an assumed level of earnings. This is based on what we would expect an employed </w:t>
            </w:r>
            <w:r>
              <w:rPr>
                <w:lang w:val="en"/>
              </w:rPr>
              <w:lastRenderedPageBreak/>
              <w:t>person to receive in similar circumstances.</w:t>
            </w:r>
          </w:p>
        </w:tc>
      </w:tr>
      <w:tr w:rsidR="008E2A92" w:rsidRPr="00402D61" w:rsidTr="00B25EF1">
        <w:trPr>
          <w:trHeight w:val="633"/>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lastRenderedPageBreak/>
              <w:t>New Enterprise Allowance (NEA)</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DWP scheme that aims to help eligible claimants who want to move off benefit and into self-employment</w:t>
            </w:r>
          </w:p>
        </w:tc>
      </w:tr>
      <w:tr w:rsidR="008E2A92" w:rsidRPr="00402D61" w:rsidTr="00B25EF1">
        <w:trPr>
          <w:trHeight w:val="633"/>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Performance Manager</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A DWP/Jobcentre Plus employee whose role will be to measure the performance of the contract against expected outcomes.</w:t>
            </w:r>
          </w:p>
        </w:tc>
      </w:tr>
      <w:tr w:rsidR="008E2A92" w:rsidRPr="00402D61" w:rsidTr="00B25EF1">
        <w:trPr>
          <w:trHeight w:val="633"/>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Pre </w:t>
            </w:r>
            <w:proofErr w:type="spellStart"/>
            <w:r w:rsidRPr="00917A87">
              <w:rPr>
                <w:rFonts w:cs="Arial"/>
                <w:b/>
                <w:lang w:eastAsia="en-GB"/>
              </w:rPr>
              <w:t>Start up</w:t>
            </w:r>
            <w:proofErr w:type="spellEnd"/>
            <w:r w:rsidRPr="00917A87">
              <w:rPr>
                <w:rFonts w:cs="Arial"/>
                <w:b/>
                <w:lang w:eastAsia="en-GB"/>
              </w:rPr>
              <w:t xml:space="preserve"> Period</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The period in which the Business Mentor and/or Business Adviser works with the participant prior to them commencing Trading</w:t>
            </w:r>
          </w:p>
        </w:tc>
      </w:tr>
      <w:tr w:rsidR="008E2A92" w:rsidRPr="00402D61" w:rsidTr="00B25EF1">
        <w:trPr>
          <w:trHeight w:val="530"/>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Prime Provider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 xml:space="preserve">An Organisation that delivers a service directly and/or via a network of sub-contractors or a combination of both. </w:t>
            </w:r>
          </w:p>
        </w:tc>
      </w:tr>
      <w:tr w:rsidR="008E2A92" w:rsidRPr="00402D61" w:rsidTr="00B25EF1">
        <w:trPr>
          <w:trHeight w:val="70"/>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Procurement </w:t>
            </w:r>
          </w:p>
        </w:tc>
        <w:tc>
          <w:tcPr>
            <w:tcW w:w="7210" w:type="dxa"/>
            <w:shd w:val="clear" w:color="auto" w:fill="auto"/>
          </w:tcPr>
          <w:p w:rsidR="008E2A92" w:rsidRPr="00917A87" w:rsidRDefault="008E2A92" w:rsidP="00690E9E">
            <w:pPr>
              <w:autoSpaceDE w:val="0"/>
              <w:autoSpaceDN w:val="0"/>
              <w:adjustRightInd w:val="0"/>
              <w:spacing w:before="60" w:after="240"/>
              <w:rPr>
                <w:rFonts w:cs="Arial"/>
                <w:lang w:eastAsia="en-GB"/>
              </w:rPr>
            </w:pPr>
            <w:r w:rsidRPr="00917A87">
              <w:rPr>
                <w:rFonts w:cs="Arial"/>
                <w:lang w:eastAsia="en-GB"/>
              </w:rPr>
              <w:t xml:space="preserve">The process of purchasing goods and/or service: identification to payment. </w:t>
            </w:r>
          </w:p>
        </w:tc>
      </w:tr>
      <w:tr w:rsidR="008E2A92" w:rsidRPr="00402D61" w:rsidTr="00B25EF1">
        <w:trPr>
          <w:trHeight w:val="209"/>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Provider(s)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The generic term used to describe Providers of NEA. This includes all subcontractors involved in service delivery under the prime contractor procurement model.</w:t>
            </w:r>
          </w:p>
        </w:tc>
      </w:tr>
      <w:tr w:rsidR="008E2A92" w:rsidRPr="00402D61" w:rsidTr="00B25EF1">
        <w:trPr>
          <w:trHeight w:val="517"/>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Provider Guidance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 xml:space="preserve">Detailed guidance and information (including processes) which is provided by DWP to the successful Providers to use when delivering the contracted service. </w:t>
            </w:r>
          </w:p>
        </w:tc>
      </w:tr>
      <w:tr w:rsidR="008E2A92" w:rsidRPr="00402D61" w:rsidTr="00B25EF1">
        <w:trPr>
          <w:trHeight w:val="839"/>
        </w:trPr>
        <w:tc>
          <w:tcPr>
            <w:tcW w:w="2510" w:type="dxa"/>
            <w:shd w:val="clear" w:color="auto" w:fill="auto"/>
          </w:tcPr>
          <w:p w:rsidR="008E2A92" w:rsidRPr="00917A87" w:rsidDel="00135713" w:rsidRDefault="008E2A92" w:rsidP="00690E9E">
            <w:pPr>
              <w:autoSpaceDE w:val="0"/>
              <w:autoSpaceDN w:val="0"/>
              <w:adjustRightInd w:val="0"/>
              <w:spacing w:after="240"/>
              <w:rPr>
                <w:rFonts w:cs="Arial"/>
                <w:b/>
                <w:lang w:eastAsia="en-GB"/>
              </w:rPr>
            </w:pPr>
            <w:r w:rsidRPr="00917A87">
              <w:rPr>
                <w:rFonts w:cs="Arial"/>
                <w:b/>
                <w:lang w:eastAsia="en-GB"/>
              </w:rPr>
              <w:t>Provider Referrals and Payments System (</w:t>
            </w:r>
            <w:proofErr w:type="spellStart"/>
            <w:r w:rsidRPr="00917A87">
              <w:rPr>
                <w:rFonts w:cs="Arial"/>
                <w:b/>
                <w:lang w:eastAsia="en-GB"/>
              </w:rPr>
              <w:t>PRaP</w:t>
            </w:r>
            <w:proofErr w:type="spellEnd"/>
            <w:r w:rsidRPr="00917A87">
              <w:rPr>
                <w:rFonts w:cs="Arial"/>
                <w:b/>
                <w:lang w:eastAsia="en-GB"/>
              </w:rPr>
              <w:t>)</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 xml:space="preserve">The DWP prescribed IT system which will be used to refer Participants and pay Providers. Note, where </w:t>
            </w:r>
            <w:proofErr w:type="spellStart"/>
            <w:r w:rsidRPr="00917A87">
              <w:rPr>
                <w:rFonts w:cs="Arial"/>
                <w:lang w:eastAsia="en-GB"/>
              </w:rPr>
              <w:t>PRaP</w:t>
            </w:r>
            <w:proofErr w:type="spellEnd"/>
            <w:r w:rsidRPr="00917A87">
              <w:rPr>
                <w:rFonts w:cs="Arial"/>
                <w:lang w:eastAsia="en-GB"/>
              </w:rPr>
              <w:t xml:space="preserve"> is not available a clerical system will be adopted.  </w:t>
            </w:r>
          </w:p>
        </w:tc>
      </w:tr>
      <w:tr w:rsidR="008E2A92" w:rsidRPr="00402D61" w:rsidTr="00B25EF1">
        <w:trPr>
          <w:trHeight w:val="209"/>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Provision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 xml:space="preserve">A term used to describe the services offered to a Participant when they are participating in a government programme. These can be services provided in-house, for example, by DWP, or by organisations from the private and voluntary sector. </w:t>
            </w:r>
          </w:p>
        </w:tc>
      </w:tr>
      <w:tr w:rsidR="008E2A92" w:rsidRPr="00402D61" w:rsidTr="00B25EF1">
        <w:trPr>
          <w:trHeight w:val="806"/>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proofErr w:type="spellStart"/>
            <w:r w:rsidRPr="00917A87">
              <w:rPr>
                <w:rFonts w:cs="Arial"/>
                <w:b/>
                <w:lang w:eastAsia="en-GB"/>
              </w:rPr>
              <w:t>Start up</w:t>
            </w:r>
            <w:proofErr w:type="spellEnd"/>
            <w:r w:rsidRPr="00917A87">
              <w:rPr>
                <w:rFonts w:cs="Arial"/>
                <w:b/>
                <w:lang w:eastAsia="en-GB"/>
              </w:rPr>
              <w:t xml:space="preserve"> Loans</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t>A government funded initiative that provides start-up support in the form of a repayable loan.</w:t>
            </w:r>
          </w:p>
        </w:tc>
      </w:tr>
      <w:tr w:rsidR="008E2A92" w:rsidRPr="00402D61" w:rsidTr="00B25EF1">
        <w:trPr>
          <w:trHeight w:val="850"/>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Trading start</w:t>
            </w:r>
          </w:p>
        </w:tc>
        <w:tc>
          <w:tcPr>
            <w:tcW w:w="7210" w:type="dxa"/>
            <w:shd w:val="clear" w:color="auto" w:fill="auto"/>
          </w:tcPr>
          <w:p w:rsidR="008E2A92" w:rsidRPr="00917A87" w:rsidRDefault="008E2A92" w:rsidP="00690E9E">
            <w:pPr>
              <w:autoSpaceDE w:val="0"/>
              <w:autoSpaceDN w:val="0"/>
              <w:adjustRightInd w:val="0"/>
              <w:spacing w:after="240"/>
            </w:pPr>
            <w:r w:rsidRPr="00917A87">
              <w:t>Trading is when a Participant has completed the Pre Start-up Period</w:t>
            </w:r>
            <w:r w:rsidR="006B7388">
              <w:t>, commenced trading</w:t>
            </w:r>
            <w:r w:rsidRPr="00917A87">
              <w:t xml:space="preserve"> and is registered with HMRC as self-employed.</w:t>
            </w:r>
          </w:p>
        </w:tc>
      </w:tr>
      <w:tr w:rsidR="008E2A92" w:rsidRPr="00402D61" w:rsidTr="00B25EF1">
        <w:trPr>
          <w:trHeight w:val="596"/>
        </w:trPr>
        <w:tc>
          <w:tcPr>
            <w:tcW w:w="2510" w:type="dxa"/>
            <w:shd w:val="clear" w:color="auto" w:fill="auto"/>
          </w:tcPr>
          <w:p w:rsidR="008E2A92" w:rsidRPr="00917A87" w:rsidRDefault="008E2A92" w:rsidP="00690E9E">
            <w:pPr>
              <w:autoSpaceDE w:val="0"/>
              <w:autoSpaceDN w:val="0"/>
              <w:adjustRightInd w:val="0"/>
              <w:spacing w:after="240"/>
              <w:rPr>
                <w:rFonts w:cs="Arial"/>
                <w:b/>
                <w:lang w:eastAsia="en-GB"/>
              </w:rPr>
            </w:pPr>
            <w:r w:rsidRPr="00917A87">
              <w:rPr>
                <w:rFonts w:cs="Arial"/>
                <w:b/>
                <w:lang w:eastAsia="en-GB"/>
              </w:rPr>
              <w:t xml:space="preserve">Universal Credit (UC) </w:t>
            </w:r>
          </w:p>
        </w:tc>
        <w:tc>
          <w:tcPr>
            <w:tcW w:w="7210" w:type="dxa"/>
            <w:shd w:val="clear" w:color="auto" w:fill="auto"/>
          </w:tcPr>
          <w:p w:rsidR="008E2A92" w:rsidRPr="00917A87" w:rsidRDefault="008E2A92" w:rsidP="00690E9E">
            <w:pPr>
              <w:autoSpaceDE w:val="0"/>
              <w:autoSpaceDN w:val="0"/>
              <w:adjustRightInd w:val="0"/>
              <w:spacing w:after="240"/>
              <w:rPr>
                <w:rFonts w:cs="Arial"/>
                <w:lang w:eastAsia="en-GB"/>
              </w:rPr>
            </w:pPr>
            <w:r w:rsidRPr="00917A87">
              <w:rPr>
                <w:rFonts w:cs="Arial"/>
                <w:lang w:eastAsia="en-GB"/>
              </w:rPr>
              <w:t xml:space="preserve">UC – Universal Credit is a new single payment for people who are looking for work or on a low income. Universal Credit will help Participants and their families to become more independent and will simplify the benefits system by bringing together a range of working-age benefits into a single streamlined payment. </w:t>
            </w:r>
          </w:p>
        </w:tc>
      </w:tr>
    </w:tbl>
    <w:p w:rsidR="00BD6984" w:rsidRPr="00402D61" w:rsidRDefault="005B4663" w:rsidP="00690E9E">
      <w:pPr>
        <w:spacing w:before="240"/>
        <w:ind w:left="1080" w:hanging="1080"/>
        <w:rPr>
          <w:rFonts w:cs="Arial"/>
          <w:color w:val="FF0000"/>
        </w:rPr>
      </w:pPr>
      <w:r w:rsidRPr="00402D61">
        <w:rPr>
          <w:rFonts w:cs="Arial"/>
          <w:b/>
          <w:bCs/>
          <w:color w:val="FF0000"/>
        </w:rPr>
        <w:br w:type="page"/>
      </w:r>
      <w:r w:rsidR="00CF2144" w:rsidRPr="00402D61" w:rsidDel="00CF2144">
        <w:rPr>
          <w:rFonts w:cs="Arial"/>
          <w:b/>
          <w:bCs/>
          <w:color w:val="FF0000"/>
        </w:rPr>
        <w:lastRenderedPageBreak/>
        <w:t xml:space="preserve"> </w:t>
      </w:r>
    </w:p>
    <w:p w:rsidR="00FA2086" w:rsidRPr="00CA15BD" w:rsidRDefault="00FA2086" w:rsidP="00690E9E">
      <w:pPr>
        <w:spacing w:after="240"/>
        <w:jc w:val="right"/>
        <w:rPr>
          <w:rFonts w:cs="Arial"/>
          <w:b/>
          <w:bCs/>
          <w:lang w:eastAsia="en-GB"/>
        </w:rPr>
      </w:pPr>
      <w:r w:rsidRPr="00CA15BD">
        <w:rPr>
          <w:rFonts w:cs="Arial"/>
          <w:b/>
          <w:bCs/>
          <w:lang w:eastAsia="en-GB"/>
        </w:rPr>
        <w:t>Annex</w:t>
      </w:r>
      <w:r w:rsidR="00BD6984" w:rsidRPr="00CA15BD">
        <w:rPr>
          <w:rFonts w:cs="Arial"/>
          <w:b/>
          <w:bCs/>
          <w:lang w:eastAsia="en-GB"/>
        </w:rPr>
        <w:t xml:space="preserve"> </w:t>
      </w:r>
      <w:r w:rsidR="001A7831" w:rsidRPr="00CA15BD">
        <w:rPr>
          <w:rFonts w:cs="Arial"/>
          <w:b/>
          <w:bCs/>
          <w:lang w:eastAsia="en-GB"/>
        </w:rPr>
        <w:t>8</w:t>
      </w:r>
    </w:p>
    <w:p w:rsidR="005B4663" w:rsidRPr="00CA15BD" w:rsidRDefault="005B4663" w:rsidP="00690E9E">
      <w:pPr>
        <w:pStyle w:val="Heading1"/>
        <w:tabs>
          <w:tab w:val="clear" w:pos="432"/>
        </w:tabs>
        <w:spacing w:after="240"/>
        <w:rPr>
          <w:sz w:val="28"/>
          <w:szCs w:val="28"/>
          <w:u w:val="single"/>
        </w:rPr>
      </w:pPr>
      <w:bookmarkStart w:id="34" w:name="_LIST_OF_ABBREVIATIONS"/>
      <w:bookmarkEnd w:id="34"/>
      <w:r w:rsidRPr="00CA15BD">
        <w:rPr>
          <w:sz w:val="28"/>
          <w:szCs w:val="28"/>
          <w:u w:val="single"/>
        </w:rPr>
        <w:t>L</w:t>
      </w:r>
      <w:r w:rsidR="0084305D" w:rsidRPr="00CA15BD">
        <w:rPr>
          <w:sz w:val="28"/>
          <w:szCs w:val="28"/>
          <w:u w:val="single"/>
        </w:rPr>
        <w:t xml:space="preserve">IST OF </w:t>
      </w:r>
      <w:r w:rsidRPr="00CA15BD">
        <w:rPr>
          <w:sz w:val="28"/>
          <w:szCs w:val="28"/>
          <w:u w:val="single"/>
        </w:rPr>
        <w:t>A</w:t>
      </w:r>
      <w:r w:rsidR="0084305D" w:rsidRPr="00CA15BD">
        <w:rPr>
          <w:sz w:val="28"/>
          <w:szCs w:val="28"/>
          <w:u w:val="single"/>
        </w:rPr>
        <w:t>BBREVIATIONS</w:t>
      </w:r>
      <w:r w:rsidR="009D2A79" w:rsidRPr="00CA15BD">
        <w:rPr>
          <w:sz w:val="28"/>
          <w:szCs w:val="28"/>
          <w:u w:val="single"/>
        </w:rPr>
        <w:t xml:space="preserve"> </w:t>
      </w:r>
      <w:r w:rsidR="009546AE" w:rsidRPr="00CA15BD">
        <w:rPr>
          <w:sz w:val="28"/>
          <w:szCs w:val="28"/>
          <w:u w:val="single"/>
        </w:rPr>
        <w:t>[DN - needs checking when spec finalised]</w:t>
      </w:r>
    </w:p>
    <w:p w:rsidR="00F30CB7" w:rsidRPr="00CA15BD" w:rsidRDefault="00F30CB7" w:rsidP="00690E9E">
      <w:pPr>
        <w:spacing w:after="120"/>
        <w:rPr>
          <w:rFonts w:cs="Arial"/>
          <w:bCs/>
        </w:rPr>
      </w:pPr>
      <w:r w:rsidRPr="00CA15BD">
        <w:rPr>
          <w:rFonts w:cs="Arial"/>
          <w:bCs/>
        </w:rPr>
        <w:t>BDGP</w:t>
      </w:r>
      <w:r w:rsidRPr="00CA15BD">
        <w:rPr>
          <w:rFonts w:cs="Arial"/>
          <w:bCs/>
        </w:rPr>
        <w:tab/>
      </w:r>
      <w:r w:rsidRPr="00CA15BD">
        <w:rPr>
          <w:rFonts w:cs="Arial"/>
          <w:bCs/>
        </w:rPr>
        <w:tab/>
        <w:t>Business Development and Growth Plan</w:t>
      </w:r>
    </w:p>
    <w:p w:rsidR="00A3517C" w:rsidRPr="00CA15BD" w:rsidRDefault="00A3517C" w:rsidP="00690E9E">
      <w:pPr>
        <w:spacing w:after="120"/>
        <w:rPr>
          <w:rFonts w:cs="Arial"/>
          <w:bCs/>
        </w:rPr>
      </w:pPr>
      <w:r w:rsidRPr="00CA15BD">
        <w:rPr>
          <w:rFonts w:cs="Arial"/>
          <w:bCs/>
        </w:rPr>
        <w:t>B</w:t>
      </w:r>
      <w:r w:rsidR="008B5AD3">
        <w:rPr>
          <w:rFonts w:cs="Arial"/>
          <w:bCs/>
        </w:rPr>
        <w:t>EI</w:t>
      </w:r>
      <w:r w:rsidRPr="00CA15BD">
        <w:rPr>
          <w:rFonts w:cs="Arial"/>
          <w:bCs/>
        </w:rPr>
        <w:t>S</w:t>
      </w:r>
      <w:r w:rsidRPr="00CA15BD">
        <w:rPr>
          <w:rFonts w:cs="Arial"/>
          <w:bCs/>
        </w:rPr>
        <w:tab/>
      </w:r>
      <w:r w:rsidRPr="00CA15BD">
        <w:rPr>
          <w:rFonts w:cs="Arial"/>
          <w:bCs/>
        </w:rPr>
        <w:tab/>
      </w:r>
      <w:r w:rsidR="008B5AD3" w:rsidRPr="0052535F">
        <w:t xml:space="preserve">Department for Business, </w:t>
      </w:r>
      <w:r w:rsidR="008B5AD3">
        <w:t>Energy and Industrial Strategy</w:t>
      </w:r>
    </w:p>
    <w:p w:rsidR="00C65226" w:rsidRPr="00CA15BD" w:rsidRDefault="00C65226" w:rsidP="00690E9E">
      <w:pPr>
        <w:spacing w:after="120"/>
        <w:rPr>
          <w:rFonts w:cs="Arial"/>
          <w:bCs/>
        </w:rPr>
      </w:pPr>
      <w:r w:rsidRPr="00CA15BD">
        <w:rPr>
          <w:rFonts w:cs="Arial"/>
          <w:bCs/>
        </w:rPr>
        <w:t xml:space="preserve">CEP </w:t>
      </w:r>
      <w:r w:rsidRPr="00CA15BD">
        <w:rPr>
          <w:rFonts w:cs="Arial"/>
          <w:bCs/>
        </w:rPr>
        <w:tab/>
      </w:r>
      <w:r w:rsidRPr="00CA15BD">
        <w:rPr>
          <w:rFonts w:cs="Arial"/>
          <w:bCs/>
        </w:rPr>
        <w:tab/>
        <w:t>Contracted Employment Programme</w:t>
      </w:r>
      <w:r w:rsidR="00942568" w:rsidRPr="00CA15BD">
        <w:rPr>
          <w:rFonts w:cs="Arial"/>
          <w:bCs/>
        </w:rPr>
        <w:t>s</w:t>
      </w:r>
    </w:p>
    <w:p w:rsidR="005B4663" w:rsidRPr="00CA15BD" w:rsidRDefault="005B4663" w:rsidP="00690E9E">
      <w:pPr>
        <w:spacing w:after="120"/>
        <w:rPr>
          <w:rFonts w:cs="Arial"/>
          <w:bCs/>
        </w:rPr>
      </w:pPr>
      <w:r w:rsidRPr="00CA15BD">
        <w:rPr>
          <w:rFonts w:cs="Arial"/>
          <w:bCs/>
        </w:rPr>
        <w:t>CPA</w:t>
      </w:r>
      <w:r w:rsidRPr="00CA15BD">
        <w:rPr>
          <w:rFonts w:cs="Arial"/>
          <w:bCs/>
        </w:rPr>
        <w:tab/>
      </w:r>
      <w:r w:rsidRPr="00CA15BD">
        <w:rPr>
          <w:rFonts w:cs="Arial"/>
          <w:bCs/>
        </w:rPr>
        <w:tab/>
        <w:t>Contract Package Area</w:t>
      </w:r>
    </w:p>
    <w:p w:rsidR="00E91BBF" w:rsidRPr="00CA15BD" w:rsidRDefault="00E91BBF" w:rsidP="00690E9E">
      <w:pPr>
        <w:spacing w:after="120"/>
        <w:rPr>
          <w:rFonts w:cs="Arial"/>
          <w:bCs/>
        </w:rPr>
      </w:pPr>
      <w:r w:rsidRPr="00CA15BD">
        <w:rPr>
          <w:rFonts w:cs="Arial"/>
          <w:bCs/>
        </w:rPr>
        <w:t>CPR</w:t>
      </w:r>
      <w:r w:rsidRPr="00CA15BD">
        <w:rPr>
          <w:rFonts w:cs="Arial"/>
          <w:bCs/>
        </w:rPr>
        <w:tab/>
      </w:r>
      <w:r w:rsidRPr="00CA15BD">
        <w:rPr>
          <w:rFonts w:cs="Arial"/>
          <w:bCs/>
        </w:rPr>
        <w:tab/>
        <w:t>Contract Performance Review</w:t>
      </w:r>
    </w:p>
    <w:p w:rsidR="005B4663" w:rsidRPr="00CA15BD" w:rsidRDefault="005B4663" w:rsidP="00690E9E">
      <w:pPr>
        <w:spacing w:after="120"/>
        <w:rPr>
          <w:rFonts w:cs="Arial"/>
        </w:rPr>
      </w:pPr>
      <w:r w:rsidRPr="00CA15BD">
        <w:rPr>
          <w:rFonts w:cs="Arial"/>
        </w:rPr>
        <w:t>DWP</w:t>
      </w:r>
      <w:r w:rsidRPr="00CA15BD">
        <w:rPr>
          <w:rFonts w:cs="Arial"/>
        </w:rPr>
        <w:tab/>
      </w:r>
      <w:r w:rsidRPr="00CA15BD">
        <w:rPr>
          <w:rFonts w:cs="Arial"/>
        </w:rPr>
        <w:tab/>
        <w:t>Department for Work and Pensions</w:t>
      </w:r>
    </w:p>
    <w:p w:rsidR="002B47FC" w:rsidRPr="00CA15BD" w:rsidRDefault="002B47FC" w:rsidP="00690E9E">
      <w:pPr>
        <w:spacing w:after="120"/>
        <w:rPr>
          <w:rFonts w:cs="Arial"/>
        </w:rPr>
      </w:pPr>
      <w:r w:rsidRPr="00CA15BD">
        <w:rPr>
          <w:rFonts w:cs="Arial"/>
        </w:rPr>
        <w:t>ESA</w:t>
      </w:r>
      <w:r w:rsidRPr="00CA15BD">
        <w:rPr>
          <w:rFonts w:cs="Arial"/>
        </w:rPr>
        <w:tab/>
      </w:r>
      <w:r w:rsidRPr="00CA15BD">
        <w:rPr>
          <w:rFonts w:cs="Arial"/>
        </w:rPr>
        <w:tab/>
        <w:t>Employment Support Allowance</w:t>
      </w:r>
    </w:p>
    <w:p w:rsidR="005B4663" w:rsidRPr="00CA15BD" w:rsidRDefault="005B4663" w:rsidP="00690E9E">
      <w:pPr>
        <w:pStyle w:val="Default"/>
        <w:spacing w:after="120"/>
        <w:ind w:left="720" w:hanging="720"/>
        <w:rPr>
          <w:color w:val="auto"/>
        </w:rPr>
      </w:pPr>
      <w:r w:rsidRPr="00CA15BD">
        <w:rPr>
          <w:color w:val="auto"/>
        </w:rPr>
        <w:t>ICE                Independent Case Examiner</w:t>
      </w:r>
    </w:p>
    <w:p w:rsidR="005B4663" w:rsidRDefault="005B4663" w:rsidP="00690E9E">
      <w:pPr>
        <w:pStyle w:val="Default"/>
        <w:spacing w:after="120"/>
        <w:ind w:left="720" w:hanging="720"/>
        <w:rPr>
          <w:color w:val="auto"/>
        </w:rPr>
      </w:pPr>
      <w:r w:rsidRPr="00CA15BD">
        <w:rPr>
          <w:color w:val="auto"/>
        </w:rPr>
        <w:t>ICO</w:t>
      </w:r>
      <w:r w:rsidRPr="00CA15BD">
        <w:rPr>
          <w:color w:val="auto"/>
        </w:rPr>
        <w:tab/>
      </w:r>
      <w:r w:rsidRPr="00CA15BD">
        <w:rPr>
          <w:color w:val="auto"/>
        </w:rPr>
        <w:tab/>
        <w:t>Information Commissioner’s Office</w:t>
      </w:r>
    </w:p>
    <w:p w:rsidR="002E64F8" w:rsidRPr="00CA15BD" w:rsidRDefault="002E64F8" w:rsidP="00690E9E">
      <w:pPr>
        <w:pStyle w:val="Default"/>
        <w:spacing w:after="120"/>
        <w:ind w:left="720" w:hanging="720"/>
        <w:rPr>
          <w:color w:val="auto"/>
        </w:rPr>
      </w:pPr>
      <w:r>
        <w:rPr>
          <w:color w:val="auto"/>
        </w:rPr>
        <w:t>IS</w:t>
      </w:r>
      <w:r>
        <w:rPr>
          <w:color w:val="auto"/>
        </w:rPr>
        <w:tab/>
      </w:r>
      <w:r>
        <w:rPr>
          <w:color w:val="auto"/>
        </w:rPr>
        <w:tab/>
        <w:t>Income Support</w:t>
      </w:r>
    </w:p>
    <w:p w:rsidR="000A1F58" w:rsidRPr="00CA15BD" w:rsidRDefault="000A1F58" w:rsidP="00690E9E">
      <w:pPr>
        <w:pStyle w:val="Default"/>
        <w:spacing w:after="120"/>
        <w:ind w:left="720" w:hanging="720"/>
        <w:rPr>
          <w:color w:val="auto"/>
        </w:rPr>
      </w:pPr>
      <w:proofErr w:type="gramStart"/>
      <w:r w:rsidRPr="00CA15BD">
        <w:rPr>
          <w:color w:val="auto"/>
        </w:rPr>
        <w:t>IT</w:t>
      </w:r>
      <w:proofErr w:type="gramEnd"/>
      <w:r w:rsidRPr="00CA15BD">
        <w:rPr>
          <w:color w:val="auto"/>
        </w:rPr>
        <w:tab/>
      </w:r>
      <w:r w:rsidRPr="00CA15BD">
        <w:rPr>
          <w:color w:val="auto"/>
        </w:rPr>
        <w:tab/>
        <w:t>Information Technology</w:t>
      </w:r>
    </w:p>
    <w:p w:rsidR="0015415A" w:rsidRPr="00CA15BD" w:rsidRDefault="00684F83" w:rsidP="00690E9E">
      <w:pPr>
        <w:spacing w:after="120"/>
        <w:rPr>
          <w:rFonts w:cs="Arial"/>
        </w:rPr>
      </w:pPr>
      <w:r w:rsidRPr="00CA15BD">
        <w:rPr>
          <w:rFonts w:cs="Arial"/>
        </w:rPr>
        <w:t>JCP</w:t>
      </w:r>
      <w:r w:rsidR="0015415A" w:rsidRPr="00CA15BD">
        <w:rPr>
          <w:rFonts w:cs="Arial"/>
        </w:rPr>
        <w:tab/>
      </w:r>
      <w:r w:rsidR="0015415A" w:rsidRPr="00CA15BD">
        <w:rPr>
          <w:rFonts w:cs="Arial"/>
        </w:rPr>
        <w:tab/>
        <w:t>Jobcentre Plus</w:t>
      </w:r>
    </w:p>
    <w:p w:rsidR="005B4663" w:rsidRPr="00CA15BD" w:rsidRDefault="00CE469A" w:rsidP="00690E9E">
      <w:pPr>
        <w:spacing w:after="120"/>
        <w:rPr>
          <w:rFonts w:cs="Arial"/>
        </w:rPr>
      </w:pPr>
      <w:r w:rsidRPr="00CA15BD">
        <w:rPr>
          <w:rFonts w:cs="Arial"/>
        </w:rPr>
        <w:t>JSA</w:t>
      </w:r>
      <w:r w:rsidR="005B4663" w:rsidRPr="00CA15BD">
        <w:rPr>
          <w:rFonts w:cs="Arial"/>
        </w:rPr>
        <w:tab/>
      </w:r>
      <w:r w:rsidR="005B4663" w:rsidRPr="00CA15BD">
        <w:rPr>
          <w:rFonts w:cs="Arial"/>
        </w:rPr>
        <w:tab/>
        <w:t>Jobseeker</w:t>
      </w:r>
      <w:r w:rsidR="00C20F3C" w:rsidRPr="00CA15BD">
        <w:rPr>
          <w:rFonts w:cs="Arial"/>
        </w:rPr>
        <w:t>'</w:t>
      </w:r>
      <w:r w:rsidR="005B4663" w:rsidRPr="00CA15BD">
        <w:rPr>
          <w:rFonts w:cs="Arial"/>
        </w:rPr>
        <w:t>s Allowance</w:t>
      </w:r>
    </w:p>
    <w:p w:rsidR="00E91BBF" w:rsidRPr="00CA15BD" w:rsidRDefault="00E91BBF" w:rsidP="00690E9E">
      <w:pPr>
        <w:spacing w:after="120"/>
        <w:rPr>
          <w:rFonts w:cs="Arial"/>
        </w:rPr>
      </w:pPr>
      <w:r w:rsidRPr="00CA15BD">
        <w:rPr>
          <w:rFonts w:cs="Arial"/>
        </w:rPr>
        <w:t>LA</w:t>
      </w:r>
      <w:r w:rsidRPr="00CA15BD">
        <w:rPr>
          <w:rFonts w:cs="Arial"/>
        </w:rPr>
        <w:tab/>
      </w:r>
      <w:r w:rsidRPr="00CA15BD">
        <w:rPr>
          <w:rFonts w:cs="Arial"/>
        </w:rPr>
        <w:tab/>
        <w:t>Local Authorities</w:t>
      </w:r>
    </w:p>
    <w:p w:rsidR="00891BD3" w:rsidRPr="00CA15BD" w:rsidRDefault="00891BD3" w:rsidP="00690E9E">
      <w:pPr>
        <w:spacing w:after="120"/>
        <w:rPr>
          <w:rFonts w:cs="Arial"/>
        </w:rPr>
      </w:pPr>
      <w:r w:rsidRPr="00CA15BD">
        <w:rPr>
          <w:rFonts w:cs="Arial"/>
        </w:rPr>
        <w:t>LMS</w:t>
      </w:r>
      <w:r w:rsidRPr="00CA15BD">
        <w:rPr>
          <w:rFonts w:cs="Arial"/>
        </w:rPr>
        <w:tab/>
      </w:r>
      <w:r w:rsidRPr="00CA15BD">
        <w:rPr>
          <w:rFonts w:cs="Arial"/>
        </w:rPr>
        <w:tab/>
      </w:r>
      <w:r w:rsidR="00265B47" w:rsidRPr="00CA15BD">
        <w:rPr>
          <w:rFonts w:cs="Arial"/>
        </w:rPr>
        <w:t xml:space="preserve">Labour </w:t>
      </w:r>
      <w:r w:rsidRPr="00CA15BD">
        <w:rPr>
          <w:rFonts w:cs="Arial"/>
        </w:rPr>
        <w:t>Market System</w:t>
      </w:r>
    </w:p>
    <w:p w:rsidR="005B4663" w:rsidRPr="00CA15BD" w:rsidRDefault="005B4663" w:rsidP="00690E9E">
      <w:pPr>
        <w:spacing w:after="120"/>
        <w:rPr>
          <w:rFonts w:cs="Arial"/>
        </w:rPr>
      </w:pPr>
      <w:r w:rsidRPr="00CA15BD">
        <w:rPr>
          <w:rFonts w:cs="Arial"/>
        </w:rPr>
        <w:t>MI</w:t>
      </w:r>
      <w:r w:rsidRPr="00CA15BD">
        <w:rPr>
          <w:rFonts w:cs="Arial"/>
        </w:rPr>
        <w:tab/>
      </w:r>
      <w:r w:rsidRPr="00CA15BD">
        <w:rPr>
          <w:rFonts w:cs="Arial"/>
        </w:rPr>
        <w:tab/>
        <w:t>Management Information</w:t>
      </w:r>
    </w:p>
    <w:p w:rsidR="000A1F58" w:rsidRPr="00CA15BD" w:rsidRDefault="000A1F58" w:rsidP="00690E9E">
      <w:pPr>
        <w:spacing w:after="120"/>
        <w:rPr>
          <w:rFonts w:cs="Arial"/>
        </w:rPr>
      </w:pPr>
      <w:r w:rsidRPr="00CA15BD">
        <w:rPr>
          <w:rFonts w:cs="Arial"/>
        </w:rPr>
        <w:t>NAO</w:t>
      </w:r>
      <w:r w:rsidRPr="00CA15BD">
        <w:rPr>
          <w:rFonts w:cs="Arial"/>
        </w:rPr>
        <w:tab/>
      </w:r>
      <w:r w:rsidRPr="00CA15BD">
        <w:rPr>
          <w:rFonts w:cs="Arial"/>
        </w:rPr>
        <w:tab/>
        <w:t>National Audit Office</w:t>
      </w:r>
    </w:p>
    <w:p w:rsidR="00265B47" w:rsidRPr="00CA15BD" w:rsidRDefault="00265B47" w:rsidP="00690E9E">
      <w:pPr>
        <w:spacing w:after="120"/>
        <w:rPr>
          <w:rFonts w:cs="Arial"/>
        </w:rPr>
      </w:pPr>
      <w:r w:rsidRPr="00CA15BD">
        <w:rPr>
          <w:rFonts w:cs="Arial"/>
        </w:rPr>
        <w:t>NEA</w:t>
      </w:r>
      <w:r w:rsidRPr="00CA15BD">
        <w:rPr>
          <w:rFonts w:cs="Arial"/>
        </w:rPr>
        <w:tab/>
      </w:r>
      <w:r w:rsidRPr="00CA15BD">
        <w:rPr>
          <w:rFonts w:cs="Arial"/>
        </w:rPr>
        <w:tab/>
        <w:t>New Enterprise Allowance</w:t>
      </w:r>
    </w:p>
    <w:p w:rsidR="005B4663" w:rsidRPr="00CA15BD" w:rsidRDefault="005B4663" w:rsidP="00690E9E">
      <w:pPr>
        <w:spacing w:after="120"/>
        <w:rPr>
          <w:rFonts w:cs="Arial"/>
        </w:rPr>
      </w:pPr>
      <w:r w:rsidRPr="00CA15BD">
        <w:rPr>
          <w:rFonts w:cs="Arial"/>
        </w:rPr>
        <w:t>PAT</w:t>
      </w:r>
      <w:r w:rsidRPr="00CA15BD">
        <w:rPr>
          <w:rFonts w:cs="Arial"/>
        </w:rPr>
        <w:tab/>
      </w:r>
      <w:r w:rsidRPr="00CA15BD">
        <w:rPr>
          <w:rFonts w:cs="Arial"/>
        </w:rPr>
        <w:tab/>
      </w:r>
      <w:r w:rsidR="008A45C0" w:rsidRPr="00CA15BD">
        <w:rPr>
          <w:rFonts w:cs="Arial"/>
        </w:rPr>
        <w:t>Provider</w:t>
      </w:r>
      <w:r w:rsidRPr="00CA15BD">
        <w:rPr>
          <w:rFonts w:cs="Arial"/>
        </w:rPr>
        <w:t xml:space="preserve"> Assurance Team</w:t>
      </w:r>
    </w:p>
    <w:p w:rsidR="005B4663" w:rsidRPr="00CA15BD" w:rsidRDefault="005B4663" w:rsidP="00690E9E">
      <w:pPr>
        <w:spacing w:after="120"/>
        <w:rPr>
          <w:rFonts w:cs="Arial"/>
        </w:rPr>
      </w:pPr>
      <w:proofErr w:type="spellStart"/>
      <w:r w:rsidRPr="00CA15BD">
        <w:rPr>
          <w:rFonts w:cs="Arial"/>
        </w:rPr>
        <w:t>PRaP</w:t>
      </w:r>
      <w:proofErr w:type="spellEnd"/>
      <w:r w:rsidRPr="00CA15BD">
        <w:rPr>
          <w:rFonts w:cs="Arial"/>
        </w:rPr>
        <w:tab/>
      </w:r>
      <w:r w:rsidRPr="00CA15BD">
        <w:rPr>
          <w:rFonts w:cs="Arial"/>
        </w:rPr>
        <w:tab/>
      </w:r>
      <w:r w:rsidR="008A45C0" w:rsidRPr="00CA15BD">
        <w:rPr>
          <w:rFonts w:cs="Arial"/>
        </w:rPr>
        <w:t>Provider</w:t>
      </w:r>
      <w:r w:rsidR="00CD2E8A" w:rsidRPr="00CA15BD">
        <w:rPr>
          <w:rFonts w:cs="Arial"/>
        </w:rPr>
        <w:t xml:space="preserve"> Referrals and Payments</w:t>
      </w:r>
      <w:r w:rsidRPr="00CA15BD">
        <w:rPr>
          <w:rFonts w:cs="Arial"/>
        </w:rPr>
        <w:t xml:space="preserve"> system</w:t>
      </w:r>
    </w:p>
    <w:p w:rsidR="005B4663" w:rsidRPr="00CA15BD" w:rsidRDefault="005B4663" w:rsidP="00690E9E">
      <w:pPr>
        <w:spacing w:after="120"/>
        <w:rPr>
          <w:rFonts w:cs="Arial"/>
        </w:rPr>
      </w:pPr>
      <w:r w:rsidRPr="00CA15BD">
        <w:rPr>
          <w:rFonts w:cs="Arial"/>
        </w:rPr>
        <w:t>SCIAT</w:t>
      </w:r>
      <w:r w:rsidRPr="00CA15BD">
        <w:rPr>
          <w:rFonts w:cs="Arial"/>
        </w:rPr>
        <w:tab/>
      </w:r>
      <w:r w:rsidRPr="00CA15BD">
        <w:rPr>
          <w:rFonts w:cs="Arial"/>
        </w:rPr>
        <w:tab/>
        <w:t>Supply Chain Information Assurance Team</w:t>
      </w:r>
    </w:p>
    <w:p w:rsidR="000A1F58" w:rsidRPr="00CA15BD" w:rsidRDefault="00684F83" w:rsidP="00690E9E">
      <w:pPr>
        <w:spacing w:after="120"/>
        <w:rPr>
          <w:rFonts w:cs="Arial"/>
        </w:rPr>
      </w:pPr>
      <w:r w:rsidRPr="00CA15BD">
        <w:rPr>
          <w:rFonts w:cs="Arial"/>
        </w:rPr>
        <w:t>SCR</w:t>
      </w:r>
      <w:r w:rsidR="000A1F58" w:rsidRPr="00CA15BD">
        <w:rPr>
          <w:rFonts w:cs="Arial"/>
        </w:rPr>
        <w:tab/>
      </w:r>
      <w:r w:rsidR="000A1F58" w:rsidRPr="00CA15BD">
        <w:rPr>
          <w:rFonts w:cs="Arial"/>
        </w:rPr>
        <w:tab/>
        <w:t xml:space="preserve">Special </w:t>
      </w:r>
      <w:r w:rsidR="00265B47" w:rsidRPr="00CA15BD">
        <w:rPr>
          <w:rFonts w:cs="Arial"/>
        </w:rPr>
        <w:t>Customer Records</w:t>
      </w:r>
    </w:p>
    <w:p w:rsidR="005B4663" w:rsidRPr="00CA15BD" w:rsidRDefault="005B4663" w:rsidP="00690E9E">
      <w:pPr>
        <w:spacing w:after="120"/>
        <w:rPr>
          <w:rFonts w:cs="Arial"/>
        </w:rPr>
      </w:pPr>
      <w:r w:rsidRPr="00CA15BD">
        <w:rPr>
          <w:rFonts w:cs="Arial"/>
        </w:rPr>
        <w:t>T&amp;Cs</w:t>
      </w:r>
      <w:r w:rsidRPr="00CA15BD">
        <w:rPr>
          <w:rFonts w:cs="Arial"/>
        </w:rPr>
        <w:tab/>
      </w:r>
      <w:r w:rsidRPr="00CA15BD">
        <w:rPr>
          <w:rFonts w:cs="Arial"/>
        </w:rPr>
        <w:tab/>
        <w:t>Terms &amp; Conditions</w:t>
      </w:r>
    </w:p>
    <w:p w:rsidR="00BD6984" w:rsidRPr="00CA15BD" w:rsidRDefault="00BD6984" w:rsidP="00690E9E">
      <w:pPr>
        <w:spacing w:after="120"/>
        <w:rPr>
          <w:rFonts w:cs="Arial"/>
        </w:rPr>
      </w:pPr>
      <w:r w:rsidRPr="00CA15BD">
        <w:rPr>
          <w:rFonts w:cs="Arial"/>
        </w:rPr>
        <w:t>TUPE</w:t>
      </w:r>
      <w:r w:rsidRPr="00CA15BD">
        <w:rPr>
          <w:rFonts w:cs="Arial"/>
        </w:rPr>
        <w:tab/>
      </w:r>
      <w:r w:rsidRPr="00CA15BD">
        <w:rPr>
          <w:rFonts w:cs="Arial"/>
        </w:rPr>
        <w:tab/>
        <w:t xml:space="preserve">Transfer </w:t>
      </w:r>
      <w:r w:rsidR="0019308A" w:rsidRPr="00CA15BD">
        <w:rPr>
          <w:rFonts w:cs="Arial"/>
        </w:rPr>
        <w:t>o</w:t>
      </w:r>
      <w:r w:rsidRPr="00CA15BD">
        <w:rPr>
          <w:rFonts w:cs="Arial"/>
        </w:rPr>
        <w:t xml:space="preserve">f Undertakings (Protection </w:t>
      </w:r>
      <w:r w:rsidR="0019308A" w:rsidRPr="00CA15BD">
        <w:rPr>
          <w:rFonts w:cs="Arial"/>
        </w:rPr>
        <w:t>o</w:t>
      </w:r>
      <w:r w:rsidRPr="00CA15BD">
        <w:rPr>
          <w:rFonts w:cs="Arial"/>
        </w:rPr>
        <w:t>f Employment) Regulations 2006</w:t>
      </w:r>
    </w:p>
    <w:p w:rsidR="00531F19" w:rsidRPr="00CA15BD" w:rsidRDefault="00531F19" w:rsidP="00690E9E">
      <w:pPr>
        <w:spacing w:after="120"/>
        <w:rPr>
          <w:rFonts w:cs="Arial"/>
        </w:rPr>
      </w:pPr>
      <w:r w:rsidRPr="00CA15BD">
        <w:rPr>
          <w:rFonts w:cs="Arial"/>
        </w:rPr>
        <w:t>UC</w:t>
      </w:r>
      <w:r w:rsidRPr="00CA15BD">
        <w:rPr>
          <w:rFonts w:cs="Arial"/>
        </w:rPr>
        <w:tab/>
      </w:r>
      <w:r w:rsidRPr="00CA15BD">
        <w:rPr>
          <w:rFonts w:cs="Arial"/>
        </w:rPr>
        <w:tab/>
        <w:t>Universal Credit</w:t>
      </w:r>
    </w:p>
    <w:p w:rsidR="005B4663" w:rsidRPr="00CA15BD" w:rsidRDefault="005B4663" w:rsidP="00690E9E">
      <w:pPr>
        <w:spacing w:after="120"/>
        <w:rPr>
          <w:rFonts w:cs="Arial"/>
        </w:rPr>
      </w:pPr>
      <w:r w:rsidRPr="00CA15BD">
        <w:rPr>
          <w:rFonts w:cs="Arial"/>
        </w:rPr>
        <w:t>UK</w:t>
      </w:r>
      <w:r w:rsidRPr="00CA15BD">
        <w:rPr>
          <w:rFonts w:cs="Arial"/>
        </w:rPr>
        <w:tab/>
      </w:r>
      <w:r w:rsidRPr="00CA15BD">
        <w:rPr>
          <w:rFonts w:cs="Arial"/>
        </w:rPr>
        <w:tab/>
        <w:t>United Kingdom</w:t>
      </w:r>
    </w:p>
    <w:p w:rsidR="00841B8B" w:rsidRPr="00CA15BD" w:rsidRDefault="000C7D47" w:rsidP="00690E9E">
      <w:pPr>
        <w:spacing w:after="120"/>
        <w:rPr>
          <w:rFonts w:cs="Arial"/>
          <w:bCs/>
        </w:rPr>
      </w:pPr>
      <w:r w:rsidRPr="00CA15BD">
        <w:rPr>
          <w:rFonts w:cs="Arial"/>
          <w:bCs/>
        </w:rPr>
        <w:t>WSP</w:t>
      </w:r>
      <w:r w:rsidRPr="00CA15BD">
        <w:rPr>
          <w:rFonts w:cs="Arial"/>
          <w:bCs/>
        </w:rPr>
        <w:tab/>
      </w:r>
      <w:r w:rsidRPr="00CA15BD">
        <w:rPr>
          <w:rFonts w:cs="Arial"/>
          <w:bCs/>
        </w:rPr>
        <w:tab/>
        <w:t>Work Services Platform</w:t>
      </w:r>
    </w:p>
    <w:sectPr w:rsidR="00841B8B" w:rsidRPr="00CA15BD" w:rsidSect="000D0C42">
      <w:pgSz w:w="12240" w:h="15840" w:code="1"/>
      <w:pgMar w:top="1304" w:right="1134" w:bottom="130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CC" w:rsidRDefault="00566ACC">
      <w:r>
        <w:separator/>
      </w:r>
    </w:p>
  </w:endnote>
  <w:endnote w:type="continuationSeparator" w:id="0">
    <w:p w:rsidR="00566ACC" w:rsidRDefault="0056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Pr="00DE047E" w:rsidRDefault="00566ACC" w:rsidP="00283DEA">
    <w:pPr>
      <w:pStyle w:val="Footer"/>
      <w:framePr w:wrap="around" w:vAnchor="text" w:hAnchor="margin" w:xAlign="center" w:y="1"/>
      <w:rPr>
        <w:rStyle w:val="PageNumber"/>
        <w:sz w:val="20"/>
        <w:szCs w:val="20"/>
      </w:rPr>
    </w:pPr>
    <w:r w:rsidRPr="00DE047E">
      <w:rPr>
        <w:rStyle w:val="PageNumber"/>
        <w:sz w:val="20"/>
        <w:szCs w:val="20"/>
      </w:rPr>
      <w:fldChar w:fldCharType="begin"/>
    </w:r>
    <w:r w:rsidRPr="00DE047E">
      <w:rPr>
        <w:rStyle w:val="PageNumber"/>
        <w:sz w:val="20"/>
        <w:szCs w:val="20"/>
      </w:rPr>
      <w:instrText xml:space="preserve">PAGE  </w:instrText>
    </w:r>
    <w:r w:rsidRPr="00DE047E">
      <w:rPr>
        <w:rStyle w:val="PageNumber"/>
        <w:sz w:val="20"/>
        <w:szCs w:val="20"/>
      </w:rPr>
      <w:fldChar w:fldCharType="separate"/>
    </w:r>
    <w:r w:rsidR="00F70BDE">
      <w:rPr>
        <w:rStyle w:val="PageNumber"/>
        <w:noProof/>
        <w:sz w:val="20"/>
        <w:szCs w:val="20"/>
      </w:rPr>
      <w:t>34</w:t>
    </w:r>
    <w:r w:rsidRPr="00DE047E">
      <w:rPr>
        <w:rStyle w:val="PageNumber"/>
        <w:sz w:val="20"/>
        <w:szCs w:val="20"/>
      </w:rPr>
      <w:fldChar w:fldCharType="end"/>
    </w:r>
  </w:p>
  <w:p w:rsidR="00566ACC" w:rsidRPr="006832F9" w:rsidRDefault="00566ACC" w:rsidP="00FE6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Pr="00DE047E" w:rsidRDefault="00566ACC" w:rsidP="00283DEA">
    <w:pPr>
      <w:pStyle w:val="Footer"/>
      <w:framePr w:wrap="around" w:vAnchor="text" w:hAnchor="margin" w:xAlign="center" w:y="1"/>
      <w:rPr>
        <w:rStyle w:val="PageNumber"/>
        <w:sz w:val="20"/>
        <w:szCs w:val="20"/>
      </w:rPr>
    </w:pPr>
    <w:r w:rsidRPr="00DE047E">
      <w:rPr>
        <w:rStyle w:val="PageNumber"/>
        <w:sz w:val="20"/>
        <w:szCs w:val="20"/>
      </w:rPr>
      <w:fldChar w:fldCharType="begin"/>
    </w:r>
    <w:r w:rsidRPr="00DE047E">
      <w:rPr>
        <w:rStyle w:val="PageNumber"/>
        <w:sz w:val="20"/>
        <w:szCs w:val="20"/>
      </w:rPr>
      <w:instrText xml:space="preserve">PAGE  </w:instrText>
    </w:r>
    <w:r w:rsidRPr="00DE047E">
      <w:rPr>
        <w:rStyle w:val="PageNumber"/>
        <w:sz w:val="20"/>
        <w:szCs w:val="20"/>
      </w:rPr>
      <w:fldChar w:fldCharType="separate"/>
    </w:r>
    <w:r w:rsidR="00F70BDE">
      <w:rPr>
        <w:rStyle w:val="PageNumber"/>
        <w:noProof/>
        <w:sz w:val="20"/>
        <w:szCs w:val="20"/>
      </w:rPr>
      <w:t>38</w:t>
    </w:r>
    <w:r w:rsidRPr="00DE047E">
      <w:rPr>
        <w:rStyle w:val="PageNumber"/>
        <w:sz w:val="20"/>
        <w:szCs w:val="20"/>
      </w:rPr>
      <w:fldChar w:fldCharType="end"/>
    </w:r>
  </w:p>
  <w:p w:rsidR="00566ACC" w:rsidRPr="006832F9" w:rsidRDefault="00566ACC" w:rsidP="00FE6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Pr="00DE047E" w:rsidRDefault="00566ACC" w:rsidP="00283DEA">
    <w:pPr>
      <w:pStyle w:val="Footer"/>
      <w:framePr w:wrap="around" w:vAnchor="text" w:hAnchor="margin" w:xAlign="center" w:y="1"/>
      <w:rPr>
        <w:rStyle w:val="PageNumber"/>
        <w:sz w:val="20"/>
        <w:szCs w:val="20"/>
      </w:rPr>
    </w:pPr>
    <w:r w:rsidRPr="00DE047E">
      <w:rPr>
        <w:rStyle w:val="PageNumber"/>
        <w:sz w:val="20"/>
        <w:szCs w:val="20"/>
      </w:rPr>
      <w:fldChar w:fldCharType="begin"/>
    </w:r>
    <w:r w:rsidRPr="00DE047E">
      <w:rPr>
        <w:rStyle w:val="PageNumber"/>
        <w:sz w:val="20"/>
        <w:szCs w:val="20"/>
      </w:rPr>
      <w:instrText xml:space="preserve">PAGE  </w:instrText>
    </w:r>
    <w:r w:rsidRPr="00DE047E">
      <w:rPr>
        <w:rStyle w:val="PageNumber"/>
        <w:sz w:val="20"/>
        <w:szCs w:val="20"/>
      </w:rPr>
      <w:fldChar w:fldCharType="separate"/>
    </w:r>
    <w:r w:rsidR="00F70BDE">
      <w:rPr>
        <w:rStyle w:val="PageNumber"/>
        <w:noProof/>
        <w:sz w:val="20"/>
        <w:szCs w:val="20"/>
      </w:rPr>
      <w:t>66</w:t>
    </w:r>
    <w:r w:rsidRPr="00DE047E">
      <w:rPr>
        <w:rStyle w:val="PageNumber"/>
        <w:sz w:val="20"/>
        <w:szCs w:val="20"/>
      </w:rPr>
      <w:fldChar w:fldCharType="end"/>
    </w:r>
  </w:p>
  <w:p w:rsidR="00566ACC" w:rsidRPr="006832F9" w:rsidRDefault="00566ACC" w:rsidP="00FE6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CC" w:rsidRDefault="00566ACC">
      <w:r>
        <w:separator/>
      </w:r>
    </w:p>
  </w:footnote>
  <w:footnote w:type="continuationSeparator" w:id="0">
    <w:p w:rsidR="00566ACC" w:rsidRDefault="00566ACC">
      <w:r>
        <w:continuationSeparator/>
      </w:r>
    </w:p>
  </w:footnote>
  <w:footnote w:id="1">
    <w:p w:rsidR="00566ACC" w:rsidRDefault="00566ACC">
      <w:pPr>
        <w:pStyle w:val="FootnoteText"/>
      </w:pPr>
      <w:r>
        <w:rPr>
          <w:rStyle w:val="FootnoteReference"/>
        </w:rPr>
        <w:footnoteRef/>
      </w:r>
      <w:r>
        <w:t xml:space="preserve"> Information regarding Universal Credit can be found at </w:t>
      </w:r>
      <w:hyperlink r:id="rId1" w:history="1">
        <w:r w:rsidRPr="00412689">
          <w:rPr>
            <w:rStyle w:val="Hyperlink"/>
          </w:rPr>
          <w:t>https://www.gov.uk/universal-credit</w:t>
        </w:r>
      </w:hyperlink>
      <w:r>
        <w:t xml:space="preserve"> </w:t>
      </w:r>
    </w:p>
  </w:footnote>
  <w:footnote w:id="2">
    <w:p w:rsidR="00566ACC" w:rsidRDefault="00566ACC">
      <w:pPr>
        <w:pStyle w:val="FootnoteText"/>
      </w:pPr>
      <w:r>
        <w:rPr>
          <w:rStyle w:val="FootnoteReference"/>
        </w:rPr>
        <w:footnoteRef/>
      </w:r>
      <w:r>
        <w:t xml:space="preserve"> </w:t>
      </w:r>
      <w:proofErr w:type="spellStart"/>
      <w:r>
        <w:t>Mone</w:t>
      </w:r>
      <w:proofErr w:type="spellEnd"/>
      <w:r>
        <w:t xml:space="preserve"> review can be found at </w:t>
      </w:r>
      <w:hyperlink r:id="rId2" w:history="1">
        <w:r>
          <w:rPr>
            <w:rStyle w:val="Hyperlink"/>
          </w:rPr>
          <w:t>https://www.gov.uk/government/uploads/system/uploads/attachment_data/file/511542/boosting-enterprise-in-more-deprived-communities.pdf</w:t>
        </w:r>
      </w:hyperlink>
    </w:p>
  </w:footnote>
  <w:footnote w:id="3">
    <w:p w:rsidR="00566ACC" w:rsidRPr="00451EDC" w:rsidRDefault="00566ACC" w:rsidP="00451EDC">
      <w:pPr>
        <w:ind w:firstLine="709"/>
        <w:rPr>
          <w:rFonts w:ascii="Book Antiqua" w:hAnsi="Book Antiqua"/>
          <w:color w:val="17365D"/>
          <w:sz w:val="16"/>
          <w:szCs w:val="16"/>
        </w:rPr>
      </w:pPr>
      <w:r>
        <w:rPr>
          <w:rStyle w:val="FootnoteReference"/>
        </w:rPr>
        <w:footnoteRef/>
      </w:r>
      <w:r>
        <w:t xml:space="preserve"> </w:t>
      </w:r>
      <w:r w:rsidRPr="00451EDC">
        <w:rPr>
          <w:rFonts w:ascii="Book Antiqua" w:hAnsi="Book Antiqua"/>
          <w:color w:val="17365D"/>
          <w:sz w:val="16"/>
          <w:szCs w:val="16"/>
        </w:rPr>
        <w:t>The qualitative evaluation can be found here:</w:t>
      </w:r>
    </w:p>
    <w:p w:rsidR="00566ACC" w:rsidRPr="00451EDC" w:rsidRDefault="00566ACC" w:rsidP="00451EDC">
      <w:pPr>
        <w:ind w:firstLine="709"/>
        <w:rPr>
          <w:rFonts w:ascii="Book Antiqua" w:hAnsi="Book Antiqua"/>
          <w:color w:val="17365D"/>
          <w:sz w:val="16"/>
          <w:szCs w:val="16"/>
        </w:rPr>
      </w:pPr>
      <w:hyperlink r:id="rId3" w:history="1">
        <w:r w:rsidRPr="00451EDC">
          <w:rPr>
            <w:rStyle w:val="Hyperlink"/>
            <w:rFonts w:ascii="Book Antiqua" w:hAnsi="Book Antiqua"/>
            <w:sz w:val="16"/>
            <w:szCs w:val="16"/>
          </w:rPr>
          <w:t>https://www.gov.uk/government/publications/new-enterprise-allowance-qualitative-evaluation-rr-836</w:t>
        </w:r>
      </w:hyperlink>
    </w:p>
    <w:p w:rsidR="00566ACC" w:rsidRPr="00451EDC" w:rsidRDefault="00566ACC" w:rsidP="00451EDC">
      <w:pPr>
        <w:rPr>
          <w:rFonts w:ascii="Book Antiqua" w:hAnsi="Book Antiqua"/>
          <w:color w:val="17365D"/>
          <w:sz w:val="16"/>
          <w:szCs w:val="16"/>
        </w:rPr>
      </w:pPr>
    </w:p>
    <w:p w:rsidR="00566ACC" w:rsidRPr="00451EDC" w:rsidRDefault="00566ACC" w:rsidP="00451EDC">
      <w:pPr>
        <w:ind w:left="709"/>
        <w:rPr>
          <w:rFonts w:ascii="Book Antiqua" w:hAnsi="Book Antiqua"/>
          <w:color w:val="17365D"/>
          <w:sz w:val="16"/>
          <w:szCs w:val="16"/>
        </w:rPr>
      </w:pPr>
      <w:r w:rsidRPr="00451EDC">
        <w:rPr>
          <w:rFonts w:ascii="Book Antiqua" w:hAnsi="Book Antiqua"/>
          <w:color w:val="17365D"/>
          <w:sz w:val="16"/>
          <w:szCs w:val="16"/>
        </w:rPr>
        <w:t>The cohort study alongside th</w:t>
      </w:r>
      <w:r>
        <w:rPr>
          <w:rFonts w:ascii="Book Antiqua" w:hAnsi="Book Antiqua"/>
          <w:color w:val="17365D"/>
          <w:sz w:val="16"/>
          <w:szCs w:val="16"/>
        </w:rPr>
        <w:t xml:space="preserve">e above </w:t>
      </w:r>
      <w:r w:rsidRPr="00451EDC">
        <w:rPr>
          <w:rFonts w:ascii="Book Antiqua" w:hAnsi="Book Antiqua"/>
          <w:color w:val="17365D"/>
          <w:sz w:val="16"/>
          <w:szCs w:val="16"/>
        </w:rPr>
        <w:t xml:space="preserve"> evaluation is here:</w:t>
      </w:r>
    </w:p>
    <w:p w:rsidR="00566ACC" w:rsidRPr="00451EDC" w:rsidRDefault="00566ACC" w:rsidP="00451EDC">
      <w:pPr>
        <w:ind w:firstLine="709"/>
        <w:rPr>
          <w:rFonts w:ascii="Book Antiqua" w:hAnsi="Book Antiqua"/>
          <w:color w:val="17365D"/>
          <w:sz w:val="16"/>
          <w:szCs w:val="16"/>
        </w:rPr>
      </w:pPr>
      <w:hyperlink r:id="rId4" w:history="1">
        <w:r w:rsidRPr="00451EDC">
          <w:rPr>
            <w:rStyle w:val="Hyperlink"/>
            <w:rFonts w:ascii="Book Antiqua" w:hAnsi="Book Antiqua"/>
            <w:sz w:val="16"/>
            <w:szCs w:val="16"/>
          </w:rPr>
          <w:t>https://www.gov.uk/government/statistics/new-enterprise-allowance-analysis-of-benefit-status-of-participants</w:t>
        </w:r>
      </w:hyperlink>
    </w:p>
    <w:p w:rsidR="00566ACC" w:rsidRPr="00451EDC" w:rsidRDefault="00566ACC" w:rsidP="00451EDC">
      <w:pPr>
        <w:rPr>
          <w:rFonts w:ascii="Book Antiqua" w:hAnsi="Book Antiqua"/>
          <w:color w:val="17365D"/>
          <w:sz w:val="16"/>
          <w:szCs w:val="16"/>
        </w:rPr>
      </w:pPr>
    </w:p>
    <w:p w:rsidR="00566ACC" w:rsidRPr="00451EDC" w:rsidRDefault="00566ACC" w:rsidP="00451EDC">
      <w:pPr>
        <w:ind w:firstLine="709"/>
        <w:rPr>
          <w:rFonts w:ascii="Book Antiqua" w:hAnsi="Book Antiqua"/>
          <w:color w:val="17365D"/>
          <w:sz w:val="16"/>
          <w:szCs w:val="16"/>
        </w:rPr>
      </w:pPr>
      <w:r w:rsidRPr="00451EDC">
        <w:rPr>
          <w:rFonts w:ascii="Book Antiqua" w:hAnsi="Book Antiqua"/>
          <w:color w:val="17365D"/>
          <w:sz w:val="16"/>
          <w:szCs w:val="16"/>
        </w:rPr>
        <w:t>and the survey of participants that was published back in January can be found here:</w:t>
      </w:r>
    </w:p>
    <w:p w:rsidR="00566ACC" w:rsidRDefault="00566ACC" w:rsidP="00451EDC">
      <w:pPr>
        <w:ind w:firstLine="709"/>
        <w:rPr>
          <w:rFonts w:ascii="Book Antiqua" w:hAnsi="Book Antiqua"/>
          <w:color w:val="17365D"/>
        </w:rPr>
      </w:pPr>
      <w:hyperlink r:id="rId5" w:history="1">
        <w:r w:rsidRPr="00451EDC">
          <w:rPr>
            <w:rStyle w:val="Hyperlink"/>
            <w:rFonts w:ascii="Book Antiqua" w:hAnsi="Book Antiqua"/>
            <w:sz w:val="16"/>
            <w:szCs w:val="16"/>
          </w:rPr>
          <w:t>https://www.gov.uk/government/publications/new-enterprise-allowance-survey</w:t>
        </w:r>
      </w:hyperlink>
    </w:p>
    <w:p w:rsidR="00566ACC" w:rsidRDefault="00566ACC">
      <w:pPr>
        <w:pStyle w:val="FootnoteText"/>
      </w:pPr>
    </w:p>
  </w:footnote>
  <w:footnote w:id="4">
    <w:p w:rsidR="00566ACC" w:rsidRDefault="00566ACC">
      <w:pPr>
        <w:pStyle w:val="FootnoteText"/>
      </w:pPr>
      <w:r>
        <w:rPr>
          <w:rStyle w:val="FootnoteReference"/>
        </w:rPr>
        <w:footnoteRef/>
      </w:r>
      <w:r>
        <w:t xml:space="preserve"> Source of statistics </w:t>
      </w:r>
      <w:hyperlink r:id="rId6" w:history="1">
        <w:r>
          <w:rPr>
            <w:rStyle w:val="Hyperlink"/>
          </w:rPr>
          <w:t>https://www.gov.uk/government/statistics/new-enterprise-allowance-apr-2011-to-mar-2016</w:t>
        </w:r>
      </w:hyperlink>
    </w:p>
  </w:footnote>
  <w:footnote w:id="5">
    <w:p w:rsidR="00566ACC" w:rsidRDefault="00566ACC">
      <w:pPr>
        <w:pStyle w:val="FootnoteText"/>
      </w:pPr>
      <w:r>
        <w:rPr>
          <w:rStyle w:val="FootnoteReference"/>
        </w:rPr>
        <w:footnoteRef/>
      </w:r>
      <w:r>
        <w:t xml:space="preserve"> The 6 month / 26 week 12 month / 52 week references throughout the document reflect the difference between legacy benefit outcomes measured in weeks and UC outcomes measured in months. </w:t>
      </w:r>
    </w:p>
  </w:footnote>
  <w:footnote w:id="6">
    <w:p w:rsidR="00566ACC" w:rsidRDefault="00566ACC">
      <w:pPr>
        <w:pStyle w:val="FootnoteText"/>
      </w:pPr>
      <w:r>
        <w:rPr>
          <w:rStyle w:val="FootnoteReference"/>
        </w:rPr>
        <w:footnoteRef/>
      </w:r>
      <w:r>
        <w:t xml:space="preserve"> Information regarding Minimum Income Floor can be found at </w:t>
      </w:r>
      <w:hyperlink r:id="rId7" w:anchor="the-minimum-income-floor-mif" w:history="1">
        <w:r w:rsidRPr="00412689">
          <w:rPr>
            <w:rStyle w:val="Hyperlink"/>
          </w:rPr>
          <w:t>https://www.gov.uk/government/publications/universal-credit-and-self-employment-quick-guide/universal-credit-and-self-employment-quick-guide#the-minimum-income-floor-mif</w:t>
        </w:r>
      </w:hyperlink>
      <w:r>
        <w:t xml:space="preserve"> </w:t>
      </w:r>
    </w:p>
  </w:footnote>
  <w:footnote w:id="7">
    <w:p w:rsidR="00566ACC" w:rsidRDefault="00566ACC" w:rsidP="002E3944">
      <w:pPr>
        <w:pStyle w:val="FootnoteText"/>
      </w:pPr>
      <w:r>
        <w:rPr>
          <w:rStyle w:val="FootnoteReference"/>
        </w:rPr>
        <w:footnoteRef/>
      </w:r>
      <w:r>
        <w:t xml:space="preserve"> Great Britain does not include Northern Ireland, the Channel Islands or the Isle of Man</w:t>
      </w:r>
    </w:p>
  </w:footnote>
  <w:footnote w:id="8">
    <w:p w:rsidR="00566ACC" w:rsidRDefault="00566ACC">
      <w:pPr>
        <w:pStyle w:val="FootnoteText"/>
      </w:pPr>
      <w:r>
        <w:rPr>
          <w:rStyle w:val="FootnoteReference"/>
        </w:rPr>
        <w:footnoteRef/>
      </w:r>
      <w:r>
        <w:t xml:space="preserve"> For information on the </w:t>
      </w:r>
      <w:proofErr w:type="spellStart"/>
      <w:r>
        <w:t>PRaP</w:t>
      </w:r>
      <w:proofErr w:type="spellEnd"/>
      <w:r>
        <w:t xml:space="preserve"> system see Para 4.09 where there is a link to further information.</w:t>
      </w:r>
    </w:p>
  </w:footnote>
  <w:footnote w:id="9">
    <w:p w:rsidR="00566ACC" w:rsidRDefault="00566ACC">
      <w:pPr>
        <w:pStyle w:val="FootnoteText"/>
      </w:pPr>
      <w:r>
        <w:rPr>
          <w:rStyle w:val="FootnoteReference"/>
        </w:rPr>
        <w:footnoteRef/>
      </w:r>
      <w:r>
        <w:t xml:space="preserve"> </w:t>
      </w:r>
      <w:hyperlink r:id="rId8" w:history="1">
        <w:r w:rsidRPr="00F07FB6">
          <w:rPr>
            <w:rStyle w:val="Hyperlink"/>
          </w:rPr>
          <w:t>https://www.gov.uk/government/publications/life-chances-through-procurement-guidance-for-dwp-contractors</w:t>
        </w:r>
      </w:hyperlink>
    </w:p>
    <w:p w:rsidR="00566ACC" w:rsidRDefault="00566A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Pr="00CC2403" w:rsidRDefault="00566ACC" w:rsidP="008166B7">
    <w:pPr>
      <w:pStyle w:val="Header"/>
      <w:ind w:left="-360" w:right="-538"/>
      <w:jc w:val="center"/>
      <w:rPr>
        <w:sz w:val="20"/>
        <w:szCs w:val="20"/>
      </w:rPr>
    </w:pPr>
    <w:r>
      <w:rPr>
        <w:sz w:val="20"/>
        <w:szCs w:val="20"/>
      </w:rPr>
      <w:t>Schedule 1 Part 1</w:t>
    </w:r>
  </w:p>
  <w:p w:rsidR="00566ACC" w:rsidRPr="00CB2FBE" w:rsidRDefault="00566ACC" w:rsidP="00CB2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C" w:rsidRDefault="00566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210C55F0"/>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0771275"/>
    <w:multiLevelType w:val="hybridMultilevel"/>
    <w:tmpl w:val="9E104DCA"/>
    <w:lvl w:ilvl="0" w:tplc="DF322CA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24321366">
      <w:start w:val="1"/>
      <w:numFmt w:val="bullet"/>
      <w:lvlText w:val=""/>
      <w:lvlJc w:val="left"/>
      <w:pPr>
        <w:tabs>
          <w:tab w:val="num" w:pos="2160"/>
        </w:tabs>
        <w:ind w:left="2160" w:hanging="360"/>
      </w:pPr>
      <w:rPr>
        <w:rFonts w:ascii="Symbol" w:hAnsi="Symbol" w:hint="default"/>
        <w:color w:val="auto"/>
      </w:rPr>
    </w:lvl>
    <w:lvl w:ilvl="3" w:tplc="D5162A54">
      <w:start w:val="1"/>
      <w:numFmt w:val="bullet"/>
      <w:lvlText w:val=""/>
      <w:lvlJc w:val="left"/>
      <w:pPr>
        <w:tabs>
          <w:tab w:val="num" w:pos="2880"/>
        </w:tabs>
        <w:ind w:left="2880" w:hanging="360"/>
      </w:pPr>
      <w:rPr>
        <w:rFonts w:ascii="Symbol" w:hAnsi="Symbol" w:hint="default"/>
        <w:color w:val="auto"/>
      </w:rPr>
    </w:lvl>
    <w:lvl w:ilvl="4" w:tplc="08090003">
      <w:start w:val="1"/>
      <w:numFmt w:val="decimal"/>
      <w:lvlText w:val="%5."/>
      <w:lvlJc w:val="left"/>
      <w:pPr>
        <w:tabs>
          <w:tab w:val="num" w:pos="4320"/>
        </w:tabs>
        <w:ind w:left="4320" w:hanging="360"/>
      </w:pPr>
      <w:rPr>
        <w:rFonts w:cs="Times New Roman"/>
      </w:rPr>
    </w:lvl>
    <w:lvl w:ilvl="5" w:tplc="08090005">
      <w:start w:val="1"/>
      <w:numFmt w:val="decimal"/>
      <w:lvlText w:val="%6."/>
      <w:lvlJc w:val="left"/>
      <w:pPr>
        <w:tabs>
          <w:tab w:val="num" w:pos="5040"/>
        </w:tabs>
        <w:ind w:left="5040" w:hanging="360"/>
      </w:pPr>
      <w:rPr>
        <w:rFonts w:cs="Times New Roman"/>
      </w:rPr>
    </w:lvl>
    <w:lvl w:ilvl="6" w:tplc="08090001">
      <w:start w:val="1"/>
      <w:numFmt w:val="decimal"/>
      <w:lvlText w:val="%7."/>
      <w:lvlJc w:val="left"/>
      <w:pPr>
        <w:tabs>
          <w:tab w:val="num" w:pos="5760"/>
        </w:tabs>
        <w:ind w:left="5760" w:hanging="360"/>
      </w:pPr>
      <w:rPr>
        <w:rFonts w:cs="Times New Roman"/>
      </w:rPr>
    </w:lvl>
    <w:lvl w:ilvl="7" w:tplc="08090003">
      <w:start w:val="1"/>
      <w:numFmt w:val="decimal"/>
      <w:lvlText w:val="%8."/>
      <w:lvlJc w:val="left"/>
      <w:pPr>
        <w:tabs>
          <w:tab w:val="num" w:pos="6480"/>
        </w:tabs>
        <w:ind w:left="6480" w:hanging="360"/>
      </w:pPr>
      <w:rPr>
        <w:rFonts w:cs="Times New Roman"/>
      </w:rPr>
    </w:lvl>
    <w:lvl w:ilvl="8" w:tplc="08090005">
      <w:start w:val="1"/>
      <w:numFmt w:val="decimal"/>
      <w:lvlText w:val="%9."/>
      <w:lvlJc w:val="left"/>
      <w:pPr>
        <w:tabs>
          <w:tab w:val="num" w:pos="7200"/>
        </w:tabs>
        <w:ind w:left="7200" w:hanging="360"/>
      </w:pPr>
      <w:rPr>
        <w:rFonts w:cs="Times New Roman"/>
      </w:rPr>
    </w:lvl>
  </w:abstractNum>
  <w:abstractNum w:abstractNumId="2">
    <w:nsid w:val="010000F5"/>
    <w:multiLevelType w:val="multilevel"/>
    <w:tmpl w:val="E214A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nsid w:val="01873507"/>
    <w:multiLevelType w:val="hybridMultilevel"/>
    <w:tmpl w:val="3D241602"/>
    <w:lvl w:ilvl="0" w:tplc="8FD8ED94">
      <w:start w:val="1"/>
      <w:numFmt w:val="bullet"/>
      <w:lvlText w:val="−"/>
      <w:lvlJc w:val="left"/>
      <w:pPr>
        <w:ind w:left="1440" w:hanging="360"/>
      </w:pPr>
      <w:rPr>
        <w:rFonts w:ascii="Arial" w:hAnsi="Arial" w:hint="default"/>
      </w:rPr>
    </w:lvl>
    <w:lvl w:ilvl="1" w:tplc="79507C20">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5D5373"/>
    <w:multiLevelType w:val="hybridMultilevel"/>
    <w:tmpl w:val="577EF8CE"/>
    <w:lvl w:ilvl="0" w:tplc="A2840E6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252F1F"/>
    <w:multiLevelType w:val="hybridMultilevel"/>
    <w:tmpl w:val="D5AE3594"/>
    <w:lvl w:ilvl="0" w:tplc="8FD8ED94">
      <w:start w:val="1"/>
      <w:numFmt w:val="bullet"/>
      <w:lvlText w:val="−"/>
      <w:lvlJc w:val="left"/>
      <w:pPr>
        <w:ind w:left="144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23254E"/>
    <w:multiLevelType w:val="hybridMultilevel"/>
    <w:tmpl w:val="9F842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BB0E57"/>
    <w:multiLevelType w:val="multilevel"/>
    <w:tmpl w:val="7464B278"/>
    <w:lvl w:ilvl="0">
      <w:start w:val="2"/>
      <w:numFmt w:val="decimal"/>
      <w:lvlText w:val="%1"/>
      <w:lvlJc w:val="left"/>
      <w:pPr>
        <w:tabs>
          <w:tab w:val="num" w:pos="465"/>
        </w:tabs>
        <w:ind w:left="465" w:hanging="465"/>
      </w:pPr>
      <w:rPr>
        <w:rFonts w:cs="Arial" w:hint="default"/>
        <w:b w:val="0"/>
        <w:color w:val="auto"/>
      </w:rPr>
    </w:lvl>
    <w:lvl w:ilvl="1">
      <w:start w:val="1"/>
      <w:numFmt w:val="decimalZero"/>
      <w:lvlText w:val="3.%2"/>
      <w:lvlJc w:val="left"/>
      <w:pPr>
        <w:tabs>
          <w:tab w:val="num" w:pos="465"/>
        </w:tabs>
        <w:ind w:left="465" w:hanging="465"/>
      </w:pPr>
      <w:rPr>
        <w:rFonts w:cs="Arial" w:hint="default"/>
        <w:b w:val="0"/>
        <w:color w:val="auto"/>
      </w:rPr>
    </w:lvl>
    <w:lvl w:ilvl="2">
      <w:start w:val="1"/>
      <w:numFmt w:val="decimal"/>
      <w:lvlText w:val="%1.%2.%3"/>
      <w:lvlJc w:val="left"/>
      <w:pPr>
        <w:tabs>
          <w:tab w:val="num" w:pos="720"/>
        </w:tabs>
        <w:ind w:left="720" w:hanging="720"/>
      </w:pPr>
      <w:rPr>
        <w:rFonts w:cs="Arial" w:hint="default"/>
        <w:b w:val="0"/>
        <w:color w:val="auto"/>
      </w:rPr>
    </w:lvl>
    <w:lvl w:ilvl="3">
      <w:start w:val="1"/>
      <w:numFmt w:val="decimal"/>
      <w:lvlText w:val="%1.%2.%3.%4"/>
      <w:lvlJc w:val="left"/>
      <w:pPr>
        <w:tabs>
          <w:tab w:val="num" w:pos="1080"/>
        </w:tabs>
        <w:ind w:left="1080" w:hanging="1080"/>
      </w:pPr>
      <w:rPr>
        <w:rFonts w:cs="Arial" w:hint="default"/>
        <w:b w:val="0"/>
        <w:color w:val="auto"/>
      </w:rPr>
    </w:lvl>
    <w:lvl w:ilvl="4">
      <w:start w:val="1"/>
      <w:numFmt w:val="decimal"/>
      <w:lvlText w:val="%1.%2.%3.%4.%5"/>
      <w:lvlJc w:val="left"/>
      <w:pPr>
        <w:tabs>
          <w:tab w:val="num" w:pos="1080"/>
        </w:tabs>
        <w:ind w:left="1080" w:hanging="1080"/>
      </w:pPr>
      <w:rPr>
        <w:rFonts w:cs="Arial" w:hint="default"/>
        <w:b w:val="0"/>
        <w:color w:val="auto"/>
      </w:rPr>
    </w:lvl>
    <w:lvl w:ilvl="5">
      <w:start w:val="1"/>
      <w:numFmt w:val="decimal"/>
      <w:lvlText w:val="%1.%2.%3.%4.%5.%6"/>
      <w:lvlJc w:val="left"/>
      <w:pPr>
        <w:tabs>
          <w:tab w:val="num" w:pos="1440"/>
        </w:tabs>
        <w:ind w:left="1440" w:hanging="1440"/>
      </w:pPr>
      <w:rPr>
        <w:rFonts w:cs="Arial" w:hint="default"/>
        <w:b w:val="0"/>
        <w:color w:val="auto"/>
      </w:rPr>
    </w:lvl>
    <w:lvl w:ilvl="6">
      <w:start w:val="1"/>
      <w:numFmt w:val="decimal"/>
      <w:lvlText w:val="%1.%2.%3.%4.%5.%6.%7"/>
      <w:lvlJc w:val="left"/>
      <w:pPr>
        <w:tabs>
          <w:tab w:val="num" w:pos="1440"/>
        </w:tabs>
        <w:ind w:left="1440" w:hanging="1440"/>
      </w:pPr>
      <w:rPr>
        <w:rFonts w:cs="Arial" w:hint="default"/>
        <w:b w:val="0"/>
        <w:color w:val="auto"/>
      </w:rPr>
    </w:lvl>
    <w:lvl w:ilvl="7">
      <w:start w:val="1"/>
      <w:numFmt w:val="decimal"/>
      <w:lvlText w:val="%1.%2.%3.%4.%5.%6.%7.%8"/>
      <w:lvlJc w:val="left"/>
      <w:pPr>
        <w:tabs>
          <w:tab w:val="num" w:pos="1800"/>
        </w:tabs>
        <w:ind w:left="1800" w:hanging="1800"/>
      </w:pPr>
      <w:rPr>
        <w:rFonts w:cs="Arial" w:hint="default"/>
        <w:b w:val="0"/>
        <w:color w:val="auto"/>
      </w:rPr>
    </w:lvl>
    <w:lvl w:ilvl="8">
      <w:start w:val="1"/>
      <w:numFmt w:val="decimal"/>
      <w:lvlText w:val="%1.%2.%3.%4.%5.%6.%7.%8.%9"/>
      <w:lvlJc w:val="left"/>
      <w:pPr>
        <w:tabs>
          <w:tab w:val="num" w:pos="1800"/>
        </w:tabs>
        <w:ind w:left="1800" w:hanging="1800"/>
      </w:pPr>
      <w:rPr>
        <w:rFonts w:cs="Arial" w:hint="default"/>
        <w:b w:val="0"/>
        <w:color w:val="auto"/>
      </w:rPr>
    </w:lvl>
  </w:abstractNum>
  <w:abstractNum w:abstractNumId="8">
    <w:nsid w:val="0B0208A3"/>
    <w:multiLevelType w:val="hybridMultilevel"/>
    <w:tmpl w:val="F1A62D84"/>
    <w:lvl w:ilvl="0" w:tplc="DF322CA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Times New Roman" w:hint="default"/>
      </w:rPr>
    </w:lvl>
    <w:lvl w:ilvl="2" w:tplc="24321366">
      <w:start w:val="1"/>
      <w:numFmt w:val="bullet"/>
      <w:lvlText w:val=""/>
      <w:lvlJc w:val="left"/>
      <w:pPr>
        <w:tabs>
          <w:tab w:val="num" w:pos="1440"/>
        </w:tabs>
        <w:ind w:left="1440" w:hanging="360"/>
      </w:pPr>
      <w:rPr>
        <w:rFonts w:ascii="Symbol" w:hAnsi="Symbol" w:hint="default"/>
        <w:color w:val="auto"/>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0B1A18E1"/>
    <w:multiLevelType w:val="hybridMultilevel"/>
    <w:tmpl w:val="45ECFB2A"/>
    <w:lvl w:ilvl="0" w:tplc="3F44853E">
      <w:start w:val="1"/>
      <w:numFmt w:val="decimal"/>
      <w:lvlText w:val="A4.%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9E5FE5"/>
    <w:multiLevelType w:val="hybridMultilevel"/>
    <w:tmpl w:val="3C8C1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BD76E48"/>
    <w:multiLevelType w:val="hybridMultilevel"/>
    <w:tmpl w:val="E6B4218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2">
    <w:nsid w:val="0BE04123"/>
    <w:multiLevelType w:val="multilevel"/>
    <w:tmpl w:val="84BCBD3A"/>
    <w:lvl w:ilvl="0">
      <w:start w:val="1"/>
      <w:numFmt w:val="decimal"/>
      <w:lvlText w:val="%1"/>
      <w:lvlJc w:val="left"/>
      <w:pPr>
        <w:tabs>
          <w:tab w:val="num" w:pos="465"/>
        </w:tabs>
        <w:ind w:left="465" w:hanging="465"/>
      </w:pPr>
      <w:rPr>
        <w:rFonts w:hint="default"/>
      </w:rPr>
    </w:lvl>
    <w:lvl w:ilvl="1">
      <w:start w:val="1"/>
      <w:numFmt w:val="decimalZero"/>
      <w:lvlText w:val="2.%2"/>
      <w:lvlJc w:val="left"/>
      <w:pPr>
        <w:tabs>
          <w:tab w:val="num" w:pos="645"/>
        </w:tabs>
        <w:ind w:left="645" w:hanging="465"/>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13">
    <w:nsid w:val="0C000C96"/>
    <w:multiLevelType w:val="hybridMultilevel"/>
    <w:tmpl w:val="018E0236"/>
    <w:lvl w:ilvl="0" w:tplc="F1782558">
      <w:start w:val="1"/>
      <w:numFmt w:val="bullet"/>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0D1F1231"/>
    <w:multiLevelType w:val="hybridMultilevel"/>
    <w:tmpl w:val="6BB430E4"/>
    <w:lvl w:ilvl="0" w:tplc="22FED2BA">
      <w:start w:val="1"/>
      <w:numFmt w:val="bullet"/>
      <w:pStyle w:val="List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0E883A74"/>
    <w:multiLevelType w:val="hybridMultilevel"/>
    <w:tmpl w:val="1E90C9B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0ED53FE3"/>
    <w:multiLevelType w:val="hybridMultilevel"/>
    <w:tmpl w:val="6CE409A2"/>
    <w:lvl w:ilvl="0" w:tplc="1E6EEC56">
      <w:start w:val="1"/>
      <w:numFmt w:val="decimal"/>
      <w:lvlText w:val="A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F1A7A4E"/>
    <w:multiLevelType w:val="hybridMultilevel"/>
    <w:tmpl w:val="B7EA2D7E"/>
    <w:lvl w:ilvl="0" w:tplc="08090001">
      <w:start w:val="1"/>
      <w:numFmt w:val="bullet"/>
      <w:lvlText w:val=""/>
      <w:lvlJc w:val="left"/>
      <w:pPr>
        <w:tabs>
          <w:tab w:val="num" w:pos="720"/>
        </w:tabs>
        <w:ind w:left="720" w:hanging="360"/>
      </w:pPr>
      <w:rPr>
        <w:rFonts w:ascii="Symbol" w:hAnsi="Symbol" w:hint="default"/>
      </w:rPr>
    </w:lvl>
    <w:lvl w:ilvl="1" w:tplc="591E39AE">
      <w:start w:val="1"/>
      <w:numFmt w:val="bullet"/>
      <w:lvlRestart w:val="0"/>
      <w:lvlText w:val=""/>
      <w:lvlJc w:val="left"/>
      <w:pPr>
        <w:tabs>
          <w:tab w:val="num" w:pos="1137"/>
        </w:tabs>
        <w:ind w:left="1080" w:firstLine="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F7F3FC5"/>
    <w:multiLevelType w:val="hybridMultilevel"/>
    <w:tmpl w:val="66CE5B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10D4595D"/>
    <w:multiLevelType w:val="multilevel"/>
    <w:tmpl w:val="1E1EC290"/>
    <w:lvl w:ilvl="0">
      <w:start w:val="5"/>
      <w:numFmt w:val="decimal"/>
      <w:lvlText w:val="%1"/>
      <w:lvlJc w:val="left"/>
      <w:pPr>
        <w:tabs>
          <w:tab w:val="num" w:pos="720"/>
        </w:tabs>
        <w:ind w:left="720" w:hanging="720"/>
      </w:pPr>
      <w:rPr>
        <w:rFonts w:hint="default"/>
      </w:rPr>
    </w:lvl>
    <w:lvl w:ilvl="1">
      <w:start w:val="9"/>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2917ED7"/>
    <w:multiLevelType w:val="hybridMultilevel"/>
    <w:tmpl w:val="99C82F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12EA5C2D"/>
    <w:multiLevelType w:val="hybridMultilevel"/>
    <w:tmpl w:val="F9668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13B70891"/>
    <w:multiLevelType w:val="hybridMultilevel"/>
    <w:tmpl w:val="9898A0D4"/>
    <w:lvl w:ilvl="0" w:tplc="08090001">
      <w:start w:val="1"/>
      <w:numFmt w:val="bullet"/>
      <w:lvlText w:val=""/>
      <w:lvlJc w:val="left"/>
      <w:pPr>
        <w:ind w:left="1185" w:hanging="360"/>
      </w:pPr>
      <w:rPr>
        <w:rFonts w:ascii="Symbol" w:hAnsi="Symbol" w:hint="default"/>
      </w:rPr>
    </w:lvl>
    <w:lvl w:ilvl="1" w:tplc="79507C20">
      <w:start w:val="1"/>
      <w:numFmt w:val="bullet"/>
      <w:lvlText w:val="−"/>
      <w:lvlJc w:val="left"/>
      <w:pPr>
        <w:ind w:left="1905" w:hanging="360"/>
      </w:pPr>
      <w:rPr>
        <w:rFonts w:ascii="Arial" w:hAnsi="Arial"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3">
    <w:nsid w:val="154521E3"/>
    <w:multiLevelType w:val="hybridMultilevel"/>
    <w:tmpl w:val="59B84564"/>
    <w:lvl w:ilvl="0" w:tplc="43BC1014">
      <w:start w:val="1"/>
      <w:numFmt w:val="bullet"/>
      <w:lvlText w:val=""/>
      <w:lvlJc w:val="left"/>
      <w:pPr>
        <w:tabs>
          <w:tab w:val="num" w:pos="2632"/>
        </w:tabs>
        <w:ind w:left="2632" w:hanging="360"/>
      </w:pPr>
      <w:rPr>
        <w:rFonts w:ascii="Symbol" w:hAnsi="Symbol" w:hint="default"/>
        <w:b w:val="0"/>
        <w:i w:val="0"/>
        <w:strike w:val="0"/>
        <w:color w:val="auto"/>
        <w:sz w:val="24"/>
        <w:szCs w:val="24"/>
      </w:rPr>
    </w:lvl>
    <w:lvl w:ilvl="1" w:tplc="08090003">
      <w:start w:val="1"/>
      <w:numFmt w:val="lowerLetter"/>
      <w:lvlText w:val="%2."/>
      <w:lvlJc w:val="left"/>
      <w:pPr>
        <w:tabs>
          <w:tab w:val="num" w:pos="3428"/>
        </w:tabs>
        <w:ind w:left="3428" w:hanging="360"/>
      </w:pPr>
    </w:lvl>
    <w:lvl w:ilvl="2" w:tplc="08090005" w:tentative="1">
      <w:start w:val="1"/>
      <w:numFmt w:val="lowerRoman"/>
      <w:lvlText w:val="%3."/>
      <w:lvlJc w:val="right"/>
      <w:pPr>
        <w:tabs>
          <w:tab w:val="num" w:pos="4148"/>
        </w:tabs>
        <w:ind w:left="4148" w:hanging="180"/>
      </w:pPr>
    </w:lvl>
    <w:lvl w:ilvl="3" w:tplc="08090001" w:tentative="1">
      <w:start w:val="1"/>
      <w:numFmt w:val="decimal"/>
      <w:lvlText w:val="%4."/>
      <w:lvlJc w:val="left"/>
      <w:pPr>
        <w:tabs>
          <w:tab w:val="num" w:pos="4868"/>
        </w:tabs>
        <w:ind w:left="4868" w:hanging="360"/>
      </w:pPr>
    </w:lvl>
    <w:lvl w:ilvl="4" w:tplc="08090003" w:tentative="1">
      <w:start w:val="1"/>
      <w:numFmt w:val="lowerLetter"/>
      <w:lvlText w:val="%5."/>
      <w:lvlJc w:val="left"/>
      <w:pPr>
        <w:tabs>
          <w:tab w:val="num" w:pos="5588"/>
        </w:tabs>
        <w:ind w:left="5588" w:hanging="360"/>
      </w:pPr>
    </w:lvl>
    <w:lvl w:ilvl="5" w:tplc="08090005" w:tentative="1">
      <w:start w:val="1"/>
      <w:numFmt w:val="lowerRoman"/>
      <w:lvlText w:val="%6."/>
      <w:lvlJc w:val="right"/>
      <w:pPr>
        <w:tabs>
          <w:tab w:val="num" w:pos="6308"/>
        </w:tabs>
        <w:ind w:left="6308" w:hanging="180"/>
      </w:pPr>
    </w:lvl>
    <w:lvl w:ilvl="6" w:tplc="08090001" w:tentative="1">
      <w:start w:val="1"/>
      <w:numFmt w:val="decimal"/>
      <w:lvlText w:val="%7."/>
      <w:lvlJc w:val="left"/>
      <w:pPr>
        <w:tabs>
          <w:tab w:val="num" w:pos="7028"/>
        </w:tabs>
        <w:ind w:left="7028" w:hanging="360"/>
      </w:pPr>
    </w:lvl>
    <w:lvl w:ilvl="7" w:tplc="08090003" w:tentative="1">
      <w:start w:val="1"/>
      <w:numFmt w:val="lowerLetter"/>
      <w:lvlText w:val="%8."/>
      <w:lvlJc w:val="left"/>
      <w:pPr>
        <w:tabs>
          <w:tab w:val="num" w:pos="7748"/>
        </w:tabs>
        <w:ind w:left="7748" w:hanging="360"/>
      </w:pPr>
    </w:lvl>
    <w:lvl w:ilvl="8" w:tplc="08090005" w:tentative="1">
      <w:start w:val="1"/>
      <w:numFmt w:val="lowerRoman"/>
      <w:lvlText w:val="%9."/>
      <w:lvlJc w:val="right"/>
      <w:pPr>
        <w:tabs>
          <w:tab w:val="num" w:pos="8468"/>
        </w:tabs>
        <w:ind w:left="8468" w:hanging="180"/>
      </w:pPr>
    </w:lvl>
  </w:abstractNum>
  <w:abstractNum w:abstractNumId="24">
    <w:nsid w:val="15E473F5"/>
    <w:multiLevelType w:val="multilevel"/>
    <w:tmpl w:val="88A49DC2"/>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Wingdings 2" w:hAnsi="Wingdings 2"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25">
    <w:nsid w:val="162D737D"/>
    <w:multiLevelType w:val="multilevel"/>
    <w:tmpl w:val="12F0FA52"/>
    <w:lvl w:ilvl="0">
      <w:start w:val="4"/>
      <w:numFmt w:val="decimal"/>
      <w:lvlText w:val="%1"/>
      <w:lvlJc w:val="left"/>
      <w:pPr>
        <w:tabs>
          <w:tab w:val="num" w:pos="465"/>
        </w:tabs>
        <w:ind w:left="465" w:hanging="465"/>
      </w:pPr>
      <w:rPr>
        <w:rFonts w:hint="default"/>
      </w:rPr>
    </w:lvl>
    <w:lvl w:ilvl="1">
      <w:start w:val="1"/>
      <w:numFmt w:val="decimalZero"/>
      <w:lvlText w:val="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7A25728"/>
    <w:multiLevelType w:val="hybridMultilevel"/>
    <w:tmpl w:val="2E0CD4D8"/>
    <w:lvl w:ilvl="0" w:tplc="F216D8C8">
      <w:start w:val="1"/>
      <w:numFmt w:val="bullet"/>
      <w:lvlRestart w:val="0"/>
      <w:pStyle w:val="DfES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18EA7606"/>
    <w:multiLevelType w:val="hybridMultilevel"/>
    <w:tmpl w:val="33221968"/>
    <w:lvl w:ilvl="0" w:tplc="79507C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CA7E8C"/>
    <w:multiLevelType w:val="hybridMultilevel"/>
    <w:tmpl w:val="6D7467DC"/>
    <w:lvl w:ilvl="0" w:tplc="79169DD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1A60E68"/>
    <w:multiLevelType w:val="multilevel"/>
    <w:tmpl w:val="3CF29D50"/>
    <w:lvl w:ilvl="0">
      <w:start w:val="2"/>
      <w:numFmt w:val="decimal"/>
      <w:lvlText w:val="%1"/>
      <w:lvlJc w:val="left"/>
      <w:pPr>
        <w:tabs>
          <w:tab w:val="num" w:pos="465"/>
        </w:tabs>
        <w:ind w:left="465" w:hanging="465"/>
      </w:pPr>
      <w:rPr>
        <w:rFonts w:cs="Arial" w:hint="default"/>
        <w:b w:val="0"/>
        <w:color w:val="auto"/>
      </w:rPr>
    </w:lvl>
    <w:lvl w:ilvl="1">
      <w:start w:val="1"/>
      <w:numFmt w:val="decimalZero"/>
      <w:lvlText w:val="4.%2"/>
      <w:lvlJc w:val="left"/>
      <w:pPr>
        <w:tabs>
          <w:tab w:val="num" w:pos="465"/>
        </w:tabs>
        <w:ind w:left="465" w:hanging="465"/>
      </w:pPr>
      <w:rPr>
        <w:rFonts w:cs="Arial" w:hint="default"/>
        <w:b w:val="0"/>
        <w:color w:val="auto"/>
      </w:rPr>
    </w:lvl>
    <w:lvl w:ilvl="2">
      <w:start w:val="1"/>
      <w:numFmt w:val="decimal"/>
      <w:lvlText w:val="%1.%2.%3"/>
      <w:lvlJc w:val="left"/>
      <w:pPr>
        <w:tabs>
          <w:tab w:val="num" w:pos="720"/>
        </w:tabs>
        <w:ind w:left="720" w:hanging="720"/>
      </w:pPr>
      <w:rPr>
        <w:rFonts w:cs="Arial" w:hint="default"/>
        <w:b w:val="0"/>
        <w:color w:val="auto"/>
      </w:rPr>
    </w:lvl>
    <w:lvl w:ilvl="3">
      <w:start w:val="1"/>
      <w:numFmt w:val="decimal"/>
      <w:lvlText w:val="%1.%2.%3.%4"/>
      <w:lvlJc w:val="left"/>
      <w:pPr>
        <w:tabs>
          <w:tab w:val="num" w:pos="1080"/>
        </w:tabs>
        <w:ind w:left="1080" w:hanging="1080"/>
      </w:pPr>
      <w:rPr>
        <w:rFonts w:cs="Arial" w:hint="default"/>
        <w:b w:val="0"/>
        <w:color w:val="auto"/>
      </w:rPr>
    </w:lvl>
    <w:lvl w:ilvl="4">
      <w:start w:val="1"/>
      <w:numFmt w:val="decimal"/>
      <w:lvlText w:val="%1.%2.%3.%4.%5"/>
      <w:lvlJc w:val="left"/>
      <w:pPr>
        <w:tabs>
          <w:tab w:val="num" w:pos="1080"/>
        </w:tabs>
        <w:ind w:left="1080" w:hanging="1080"/>
      </w:pPr>
      <w:rPr>
        <w:rFonts w:cs="Arial" w:hint="default"/>
        <w:b w:val="0"/>
        <w:color w:val="auto"/>
      </w:rPr>
    </w:lvl>
    <w:lvl w:ilvl="5">
      <w:start w:val="1"/>
      <w:numFmt w:val="decimal"/>
      <w:lvlText w:val="%1.%2.%3.%4.%5.%6"/>
      <w:lvlJc w:val="left"/>
      <w:pPr>
        <w:tabs>
          <w:tab w:val="num" w:pos="1440"/>
        </w:tabs>
        <w:ind w:left="1440" w:hanging="1440"/>
      </w:pPr>
      <w:rPr>
        <w:rFonts w:cs="Arial" w:hint="default"/>
        <w:b w:val="0"/>
        <w:color w:val="auto"/>
      </w:rPr>
    </w:lvl>
    <w:lvl w:ilvl="6">
      <w:start w:val="1"/>
      <w:numFmt w:val="decimal"/>
      <w:lvlText w:val="%1.%2.%3.%4.%5.%6.%7"/>
      <w:lvlJc w:val="left"/>
      <w:pPr>
        <w:tabs>
          <w:tab w:val="num" w:pos="1440"/>
        </w:tabs>
        <w:ind w:left="1440" w:hanging="1440"/>
      </w:pPr>
      <w:rPr>
        <w:rFonts w:cs="Arial" w:hint="default"/>
        <w:b w:val="0"/>
        <w:color w:val="auto"/>
      </w:rPr>
    </w:lvl>
    <w:lvl w:ilvl="7">
      <w:start w:val="1"/>
      <w:numFmt w:val="decimal"/>
      <w:lvlText w:val="%1.%2.%3.%4.%5.%6.%7.%8"/>
      <w:lvlJc w:val="left"/>
      <w:pPr>
        <w:tabs>
          <w:tab w:val="num" w:pos="1800"/>
        </w:tabs>
        <w:ind w:left="1800" w:hanging="1800"/>
      </w:pPr>
      <w:rPr>
        <w:rFonts w:cs="Arial" w:hint="default"/>
        <w:b w:val="0"/>
        <w:color w:val="auto"/>
      </w:rPr>
    </w:lvl>
    <w:lvl w:ilvl="8">
      <w:start w:val="1"/>
      <w:numFmt w:val="decimal"/>
      <w:lvlText w:val="%1.%2.%3.%4.%5.%6.%7.%8.%9"/>
      <w:lvlJc w:val="left"/>
      <w:pPr>
        <w:tabs>
          <w:tab w:val="num" w:pos="1800"/>
        </w:tabs>
        <w:ind w:left="1800" w:hanging="1800"/>
      </w:pPr>
      <w:rPr>
        <w:rFonts w:cs="Arial" w:hint="default"/>
        <w:b w:val="0"/>
        <w:color w:val="auto"/>
      </w:rPr>
    </w:lvl>
  </w:abstractNum>
  <w:abstractNum w:abstractNumId="30">
    <w:nsid w:val="22345130"/>
    <w:multiLevelType w:val="hybridMultilevel"/>
    <w:tmpl w:val="3682827A"/>
    <w:lvl w:ilvl="0" w:tplc="E2FED856">
      <w:start w:val="1"/>
      <w:numFmt w:val="bullet"/>
      <w:lvlText w:val=""/>
      <w:lvlJc w:val="left"/>
      <w:pPr>
        <w:tabs>
          <w:tab w:val="num" w:pos="1260"/>
        </w:tabs>
        <w:ind w:left="1260" w:hanging="360"/>
      </w:pPr>
      <w:rPr>
        <w:rFonts w:ascii="Symbol" w:hAnsi="Symbol" w:hint="default"/>
        <w:b w:val="0"/>
        <w:i w:val="0"/>
        <w:sz w:val="20"/>
        <w:szCs w:val="20"/>
      </w:rPr>
    </w:lvl>
    <w:lvl w:ilvl="1" w:tplc="08090001">
      <w:start w:val="1"/>
      <w:numFmt w:val="bullet"/>
      <w:lvlText w:val="o"/>
      <w:lvlJc w:val="left"/>
      <w:pPr>
        <w:tabs>
          <w:tab w:val="num" w:pos="1617"/>
        </w:tabs>
        <w:ind w:left="1617" w:hanging="360"/>
      </w:pPr>
      <w:rPr>
        <w:rFonts w:ascii="Courier New" w:hAnsi="Courier New" w:cs="Courier New" w:hint="default"/>
      </w:rPr>
    </w:lvl>
    <w:lvl w:ilvl="2" w:tplc="0809001B" w:tentative="1">
      <w:start w:val="1"/>
      <w:numFmt w:val="bullet"/>
      <w:lvlText w:val=""/>
      <w:lvlJc w:val="left"/>
      <w:pPr>
        <w:tabs>
          <w:tab w:val="num" w:pos="2337"/>
        </w:tabs>
        <w:ind w:left="2337" w:hanging="360"/>
      </w:pPr>
      <w:rPr>
        <w:rFonts w:ascii="Wingdings" w:hAnsi="Wingdings" w:hint="default"/>
      </w:rPr>
    </w:lvl>
    <w:lvl w:ilvl="3" w:tplc="0809000F" w:tentative="1">
      <w:start w:val="1"/>
      <w:numFmt w:val="bullet"/>
      <w:lvlText w:val=""/>
      <w:lvlJc w:val="left"/>
      <w:pPr>
        <w:tabs>
          <w:tab w:val="num" w:pos="3057"/>
        </w:tabs>
        <w:ind w:left="3057" w:hanging="360"/>
      </w:pPr>
      <w:rPr>
        <w:rFonts w:ascii="Symbol" w:hAnsi="Symbol" w:hint="default"/>
      </w:rPr>
    </w:lvl>
    <w:lvl w:ilvl="4" w:tplc="08090019" w:tentative="1">
      <w:start w:val="1"/>
      <w:numFmt w:val="bullet"/>
      <w:lvlText w:val="o"/>
      <w:lvlJc w:val="left"/>
      <w:pPr>
        <w:tabs>
          <w:tab w:val="num" w:pos="3777"/>
        </w:tabs>
        <w:ind w:left="3777" w:hanging="360"/>
      </w:pPr>
      <w:rPr>
        <w:rFonts w:ascii="Courier New" w:hAnsi="Courier New" w:cs="Courier New" w:hint="default"/>
      </w:rPr>
    </w:lvl>
    <w:lvl w:ilvl="5" w:tplc="0809001B" w:tentative="1">
      <w:start w:val="1"/>
      <w:numFmt w:val="bullet"/>
      <w:lvlText w:val=""/>
      <w:lvlJc w:val="left"/>
      <w:pPr>
        <w:tabs>
          <w:tab w:val="num" w:pos="4497"/>
        </w:tabs>
        <w:ind w:left="4497" w:hanging="360"/>
      </w:pPr>
      <w:rPr>
        <w:rFonts w:ascii="Wingdings" w:hAnsi="Wingdings" w:hint="default"/>
      </w:rPr>
    </w:lvl>
    <w:lvl w:ilvl="6" w:tplc="0809000F" w:tentative="1">
      <w:start w:val="1"/>
      <w:numFmt w:val="bullet"/>
      <w:lvlText w:val=""/>
      <w:lvlJc w:val="left"/>
      <w:pPr>
        <w:tabs>
          <w:tab w:val="num" w:pos="5217"/>
        </w:tabs>
        <w:ind w:left="5217" w:hanging="360"/>
      </w:pPr>
      <w:rPr>
        <w:rFonts w:ascii="Symbol" w:hAnsi="Symbol" w:hint="default"/>
      </w:rPr>
    </w:lvl>
    <w:lvl w:ilvl="7" w:tplc="08090019" w:tentative="1">
      <w:start w:val="1"/>
      <w:numFmt w:val="bullet"/>
      <w:lvlText w:val="o"/>
      <w:lvlJc w:val="left"/>
      <w:pPr>
        <w:tabs>
          <w:tab w:val="num" w:pos="5937"/>
        </w:tabs>
        <w:ind w:left="5937" w:hanging="360"/>
      </w:pPr>
      <w:rPr>
        <w:rFonts w:ascii="Courier New" w:hAnsi="Courier New" w:cs="Courier New" w:hint="default"/>
      </w:rPr>
    </w:lvl>
    <w:lvl w:ilvl="8" w:tplc="0809001B" w:tentative="1">
      <w:start w:val="1"/>
      <w:numFmt w:val="bullet"/>
      <w:lvlText w:val=""/>
      <w:lvlJc w:val="left"/>
      <w:pPr>
        <w:tabs>
          <w:tab w:val="num" w:pos="6657"/>
        </w:tabs>
        <w:ind w:left="6657" w:hanging="360"/>
      </w:pPr>
      <w:rPr>
        <w:rFonts w:ascii="Wingdings" w:hAnsi="Wingdings" w:hint="default"/>
      </w:rPr>
    </w:lvl>
  </w:abstractNum>
  <w:abstractNum w:abstractNumId="31">
    <w:nsid w:val="22B23F60"/>
    <w:multiLevelType w:val="hybridMultilevel"/>
    <w:tmpl w:val="0106A61A"/>
    <w:lvl w:ilvl="0" w:tplc="79169DD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3B17941"/>
    <w:multiLevelType w:val="hybridMultilevel"/>
    <w:tmpl w:val="2D0C7A3E"/>
    <w:lvl w:ilvl="0" w:tplc="79169DDC">
      <w:start w:val="1"/>
      <w:numFmt w:val="bullet"/>
      <w:lvlText w:val=""/>
      <w:lvlJc w:val="left"/>
      <w:pPr>
        <w:ind w:left="1365" w:hanging="360"/>
      </w:pPr>
      <w:rPr>
        <w:rFonts w:ascii="Wingdings 2" w:hAnsi="Wingdings 2" w:hint="default"/>
      </w:rPr>
    </w:lvl>
    <w:lvl w:ilvl="1" w:tplc="08090003">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3">
    <w:nsid w:val="23E3780E"/>
    <w:multiLevelType w:val="hybridMultilevel"/>
    <w:tmpl w:val="CC4404D2"/>
    <w:lvl w:ilvl="0" w:tplc="D53E50EA">
      <w:start w:val="1"/>
      <w:numFmt w:val="decimal"/>
      <w:lvlText w:val="A1.%1."/>
      <w:lvlJc w:val="left"/>
      <w:pPr>
        <w:tabs>
          <w:tab w:val="num" w:pos="360"/>
        </w:tabs>
        <w:ind w:left="360" w:hanging="360"/>
      </w:pPr>
      <w:rPr>
        <w:rFonts w:hint="default"/>
      </w:rPr>
    </w:lvl>
    <w:lvl w:ilvl="1" w:tplc="AFD882BC" w:tentative="1">
      <w:start w:val="1"/>
      <w:numFmt w:val="lowerLetter"/>
      <w:lvlText w:val="%2."/>
      <w:lvlJc w:val="left"/>
      <w:pPr>
        <w:tabs>
          <w:tab w:val="num" w:pos="1440"/>
        </w:tabs>
        <w:ind w:left="1440" w:hanging="360"/>
      </w:pPr>
    </w:lvl>
    <w:lvl w:ilvl="2" w:tplc="F90245B4" w:tentative="1">
      <w:start w:val="1"/>
      <w:numFmt w:val="lowerRoman"/>
      <w:lvlText w:val="%3."/>
      <w:lvlJc w:val="right"/>
      <w:pPr>
        <w:tabs>
          <w:tab w:val="num" w:pos="2160"/>
        </w:tabs>
        <w:ind w:left="2160" w:hanging="180"/>
      </w:pPr>
    </w:lvl>
    <w:lvl w:ilvl="3" w:tplc="99ACCBEA" w:tentative="1">
      <w:start w:val="1"/>
      <w:numFmt w:val="decimal"/>
      <w:lvlText w:val="%4."/>
      <w:lvlJc w:val="left"/>
      <w:pPr>
        <w:tabs>
          <w:tab w:val="num" w:pos="2880"/>
        </w:tabs>
        <w:ind w:left="2880" w:hanging="360"/>
      </w:pPr>
    </w:lvl>
    <w:lvl w:ilvl="4" w:tplc="57BEA012" w:tentative="1">
      <w:start w:val="1"/>
      <w:numFmt w:val="lowerLetter"/>
      <w:lvlText w:val="%5."/>
      <w:lvlJc w:val="left"/>
      <w:pPr>
        <w:tabs>
          <w:tab w:val="num" w:pos="3600"/>
        </w:tabs>
        <w:ind w:left="3600" w:hanging="360"/>
      </w:pPr>
    </w:lvl>
    <w:lvl w:ilvl="5" w:tplc="7C0C457C" w:tentative="1">
      <w:start w:val="1"/>
      <w:numFmt w:val="lowerRoman"/>
      <w:lvlText w:val="%6."/>
      <w:lvlJc w:val="right"/>
      <w:pPr>
        <w:tabs>
          <w:tab w:val="num" w:pos="4320"/>
        </w:tabs>
        <w:ind w:left="4320" w:hanging="180"/>
      </w:pPr>
    </w:lvl>
    <w:lvl w:ilvl="6" w:tplc="0060D194" w:tentative="1">
      <w:start w:val="1"/>
      <w:numFmt w:val="decimal"/>
      <w:lvlText w:val="%7."/>
      <w:lvlJc w:val="left"/>
      <w:pPr>
        <w:tabs>
          <w:tab w:val="num" w:pos="5040"/>
        </w:tabs>
        <w:ind w:left="5040" w:hanging="360"/>
      </w:pPr>
    </w:lvl>
    <w:lvl w:ilvl="7" w:tplc="A908014A" w:tentative="1">
      <w:start w:val="1"/>
      <w:numFmt w:val="lowerLetter"/>
      <w:lvlText w:val="%8."/>
      <w:lvlJc w:val="left"/>
      <w:pPr>
        <w:tabs>
          <w:tab w:val="num" w:pos="5760"/>
        </w:tabs>
        <w:ind w:left="5760" w:hanging="360"/>
      </w:pPr>
    </w:lvl>
    <w:lvl w:ilvl="8" w:tplc="DC7AEA6E" w:tentative="1">
      <w:start w:val="1"/>
      <w:numFmt w:val="lowerRoman"/>
      <w:lvlText w:val="%9."/>
      <w:lvlJc w:val="right"/>
      <w:pPr>
        <w:tabs>
          <w:tab w:val="num" w:pos="6480"/>
        </w:tabs>
        <w:ind w:left="6480" w:hanging="180"/>
      </w:pPr>
    </w:lvl>
  </w:abstractNum>
  <w:abstractNum w:abstractNumId="34">
    <w:nsid w:val="25F30FF8"/>
    <w:multiLevelType w:val="multilevel"/>
    <w:tmpl w:val="A3022646"/>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Wingdings" w:hAnsi="Wingding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5">
    <w:nsid w:val="26803B64"/>
    <w:multiLevelType w:val="multilevel"/>
    <w:tmpl w:val="79A2B780"/>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6">
    <w:nsid w:val="26874025"/>
    <w:multiLevelType w:val="hybridMultilevel"/>
    <w:tmpl w:val="5E64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AF82C2F"/>
    <w:multiLevelType w:val="hybridMultilevel"/>
    <w:tmpl w:val="80BE97CA"/>
    <w:lvl w:ilvl="0" w:tplc="79169DD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39218CD"/>
    <w:multiLevelType w:val="hybridMultilevel"/>
    <w:tmpl w:val="56DCC00C"/>
    <w:lvl w:ilvl="0" w:tplc="79507C20">
      <w:start w:val="1"/>
      <w:numFmt w:val="bullet"/>
      <w:lvlText w:val="−"/>
      <w:lvlJc w:val="left"/>
      <w:pPr>
        <w:ind w:left="1365" w:hanging="360"/>
      </w:pPr>
      <w:rPr>
        <w:rFonts w:ascii="Arial" w:hAnsi="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9">
    <w:nsid w:val="344D31CC"/>
    <w:multiLevelType w:val="hybridMultilevel"/>
    <w:tmpl w:val="128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56230E7"/>
    <w:multiLevelType w:val="hybridMultilevel"/>
    <w:tmpl w:val="D5280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6F87B17"/>
    <w:multiLevelType w:val="hybridMultilevel"/>
    <w:tmpl w:val="25988D0A"/>
    <w:lvl w:ilvl="0" w:tplc="C088CCF4">
      <w:start w:val="1"/>
      <w:numFmt w:val="bullet"/>
      <w:lvlText w:val="o"/>
      <w:lvlJc w:val="left"/>
      <w:pPr>
        <w:tabs>
          <w:tab w:val="num" w:pos="360"/>
        </w:tabs>
        <w:ind w:left="360" w:hanging="360"/>
      </w:pPr>
      <w:rPr>
        <w:rFonts w:ascii="Courier New" w:hAnsi="Courier New" w:hint="default"/>
      </w:rPr>
    </w:lvl>
    <w:lvl w:ilvl="1" w:tplc="43BC1014">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394968AE"/>
    <w:multiLevelType w:val="multilevel"/>
    <w:tmpl w:val="FC5C1D14"/>
    <w:lvl w:ilvl="0">
      <w:start w:val="1"/>
      <w:numFmt w:val="none"/>
      <w:pStyle w:val="Numbered"/>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3">
    <w:nsid w:val="3A870BAE"/>
    <w:multiLevelType w:val="hybridMultilevel"/>
    <w:tmpl w:val="87AA1378"/>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4">
    <w:nsid w:val="3C890EF2"/>
    <w:multiLevelType w:val="multilevel"/>
    <w:tmpl w:val="1DA6F4DA"/>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45">
    <w:nsid w:val="3EBE30A8"/>
    <w:multiLevelType w:val="multilevel"/>
    <w:tmpl w:val="7464B278"/>
    <w:lvl w:ilvl="0">
      <w:start w:val="2"/>
      <w:numFmt w:val="decimal"/>
      <w:lvlText w:val="%1"/>
      <w:lvlJc w:val="left"/>
      <w:pPr>
        <w:tabs>
          <w:tab w:val="num" w:pos="465"/>
        </w:tabs>
        <w:ind w:left="465" w:hanging="465"/>
      </w:pPr>
      <w:rPr>
        <w:rFonts w:cs="Arial" w:hint="default"/>
        <w:b w:val="0"/>
        <w:color w:val="auto"/>
      </w:rPr>
    </w:lvl>
    <w:lvl w:ilvl="1">
      <w:start w:val="1"/>
      <w:numFmt w:val="decimalZero"/>
      <w:lvlText w:val="3.%2"/>
      <w:lvlJc w:val="left"/>
      <w:pPr>
        <w:tabs>
          <w:tab w:val="num" w:pos="465"/>
        </w:tabs>
        <w:ind w:left="465" w:hanging="465"/>
      </w:pPr>
      <w:rPr>
        <w:rFonts w:cs="Arial" w:hint="default"/>
        <w:b w:val="0"/>
        <w:color w:val="auto"/>
      </w:rPr>
    </w:lvl>
    <w:lvl w:ilvl="2">
      <w:start w:val="1"/>
      <w:numFmt w:val="decimal"/>
      <w:lvlText w:val="%1.%2.%3"/>
      <w:lvlJc w:val="left"/>
      <w:pPr>
        <w:tabs>
          <w:tab w:val="num" w:pos="720"/>
        </w:tabs>
        <w:ind w:left="720" w:hanging="720"/>
      </w:pPr>
      <w:rPr>
        <w:rFonts w:cs="Arial" w:hint="default"/>
        <w:b w:val="0"/>
        <w:color w:val="auto"/>
      </w:rPr>
    </w:lvl>
    <w:lvl w:ilvl="3">
      <w:start w:val="1"/>
      <w:numFmt w:val="decimal"/>
      <w:lvlText w:val="%1.%2.%3.%4"/>
      <w:lvlJc w:val="left"/>
      <w:pPr>
        <w:tabs>
          <w:tab w:val="num" w:pos="1080"/>
        </w:tabs>
        <w:ind w:left="1080" w:hanging="1080"/>
      </w:pPr>
      <w:rPr>
        <w:rFonts w:cs="Arial" w:hint="default"/>
        <w:b w:val="0"/>
        <w:color w:val="auto"/>
      </w:rPr>
    </w:lvl>
    <w:lvl w:ilvl="4">
      <w:start w:val="1"/>
      <w:numFmt w:val="decimal"/>
      <w:lvlText w:val="%1.%2.%3.%4.%5"/>
      <w:lvlJc w:val="left"/>
      <w:pPr>
        <w:tabs>
          <w:tab w:val="num" w:pos="1080"/>
        </w:tabs>
        <w:ind w:left="1080" w:hanging="1080"/>
      </w:pPr>
      <w:rPr>
        <w:rFonts w:cs="Arial" w:hint="default"/>
        <w:b w:val="0"/>
        <w:color w:val="auto"/>
      </w:rPr>
    </w:lvl>
    <w:lvl w:ilvl="5">
      <w:start w:val="1"/>
      <w:numFmt w:val="decimal"/>
      <w:lvlText w:val="%1.%2.%3.%4.%5.%6"/>
      <w:lvlJc w:val="left"/>
      <w:pPr>
        <w:tabs>
          <w:tab w:val="num" w:pos="1440"/>
        </w:tabs>
        <w:ind w:left="1440" w:hanging="1440"/>
      </w:pPr>
      <w:rPr>
        <w:rFonts w:cs="Arial" w:hint="default"/>
        <w:b w:val="0"/>
        <w:color w:val="auto"/>
      </w:rPr>
    </w:lvl>
    <w:lvl w:ilvl="6">
      <w:start w:val="1"/>
      <w:numFmt w:val="decimal"/>
      <w:lvlText w:val="%1.%2.%3.%4.%5.%6.%7"/>
      <w:lvlJc w:val="left"/>
      <w:pPr>
        <w:tabs>
          <w:tab w:val="num" w:pos="1440"/>
        </w:tabs>
        <w:ind w:left="1440" w:hanging="1440"/>
      </w:pPr>
      <w:rPr>
        <w:rFonts w:cs="Arial" w:hint="default"/>
        <w:b w:val="0"/>
        <w:color w:val="auto"/>
      </w:rPr>
    </w:lvl>
    <w:lvl w:ilvl="7">
      <w:start w:val="1"/>
      <w:numFmt w:val="decimal"/>
      <w:lvlText w:val="%1.%2.%3.%4.%5.%6.%7.%8"/>
      <w:lvlJc w:val="left"/>
      <w:pPr>
        <w:tabs>
          <w:tab w:val="num" w:pos="1800"/>
        </w:tabs>
        <w:ind w:left="1800" w:hanging="1800"/>
      </w:pPr>
      <w:rPr>
        <w:rFonts w:cs="Arial" w:hint="default"/>
        <w:b w:val="0"/>
        <w:color w:val="auto"/>
      </w:rPr>
    </w:lvl>
    <w:lvl w:ilvl="8">
      <w:start w:val="1"/>
      <w:numFmt w:val="decimal"/>
      <w:lvlText w:val="%1.%2.%3.%4.%5.%6.%7.%8.%9"/>
      <w:lvlJc w:val="left"/>
      <w:pPr>
        <w:tabs>
          <w:tab w:val="num" w:pos="1800"/>
        </w:tabs>
        <w:ind w:left="1800" w:hanging="1800"/>
      </w:pPr>
      <w:rPr>
        <w:rFonts w:cs="Arial" w:hint="default"/>
        <w:b w:val="0"/>
        <w:color w:val="auto"/>
      </w:rPr>
    </w:lvl>
  </w:abstractNum>
  <w:abstractNum w:abstractNumId="46">
    <w:nsid w:val="43C76245"/>
    <w:multiLevelType w:val="multilevel"/>
    <w:tmpl w:val="858E29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7">
    <w:nsid w:val="48D977D7"/>
    <w:multiLevelType w:val="multilevel"/>
    <w:tmpl w:val="93C2FCC6"/>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48">
    <w:nsid w:val="49C53D2B"/>
    <w:multiLevelType w:val="hybridMultilevel"/>
    <w:tmpl w:val="51602C76"/>
    <w:lvl w:ilvl="0" w:tplc="9CD2B3F8">
      <w:start w:val="1"/>
      <w:numFmt w:val="bullet"/>
      <w:lvlText w:val=""/>
      <w:lvlJc w:val="left"/>
      <w:pPr>
        <w:tabs>
          <w:tab w:val="num" w:pos="360"/>
        </w:tabs>
        <w:ind w:left="360" w:hanging="360"/>
      </w:pPr>
      <w:rPr>
        <w:rFonts w:ascii="Symbol" w:hAnsi="Symbol" w:hint="default"/>
        <w:b w:val="0"/>
        <w:color w:val="000000"/>
        <w:sz w:val="20"/>
        <w:szCs w:val="20"/>
      </w:rPr>
    </w:lvl>
    <w:lvl w:ilvl="1" w:tplc="AECE96DA">
      <w:start w:val="1"/>
      <w:numFmt w:val="lowerLetter"/>
      <w:lvlText w:val="%2."/>
      <w:lvlJc w:val="left"/>
      <w:pPr>
        <w:tabs>
          <w:tab w:val="num" w:pos="1440"/>
        </w:tabs>
        <w:ind w:left="1440" w:hanging="360"/>
      </w:pPr>
    </w:lvl>
    <w:lvl w:ilvl="2" w:tplc="C390E372" w:tentative="1">
      <w:start w:val="1"/>
      <w:numFmt w:val="lowerRoman"/>
      <w:lvlText w:val="%3."/>
      <w:lvlJc w:val="right"/>
      <w:pPr>
        <w:tabs>
          <w:tab w:val="num" w:pos="2160"/>
        </w:tabs>
        <w:ind w:left="2160" w:hanging="180"/>
      </w:pPr>
    </w:lvl>
    <w:lvl w:ilvl="3" w:tplc="286E838A" w:tentative="1">
      <w:start w:val="1"/>
      <w:numFmt w:val="decimal"/>
      <w:lvlText w:val="%4."/>
      <w:lvlJc w:val="left"/>
      <w:pPr>
        <w:tabs>
          <w:tab w:val="num" w:pos="2880"/>
        </w:tabs>
        <w:ind w:left="2880" w:hanging="360"/>
      </w:pPr>
    </w:lvl>
    <w:lvl w:ilvl="4" w:tplc="B2EECD9A" w:tentative="1">
      <w:start w:val="1"/>
      <w:numFmt w:val="lowerLetter"/>
      <w:lvlText w:val="%5."/>
      <w:lvlJc w:val="left"/>
      <w:pPr>
        <w:tabs>
          <w:tab w:val="num" w:pos="3600"/>
        </w:tabs>
        <w:ind w:left="3600" w:hanging="360"/>
      </w:pPr>
    </w:lvl>
    <w:lvl w:ilvl="5" w:tplc="3E7EB66C" w:tentative="1">
      <w:start w:val="1"/>
      <w:numFmt w:val="lowerRoman"/>
      <w:lvlText w:val="%6."/>
      <w:lvlJc w:val="right"/>
      <w:pPr>
        <w:tabs>
          <w:tab w:val="num" w:pos="4320"/>
        </w:tabs>
        <w:ind w:left="4320" w:hanging="180"/>
      </w:pPr>
    </w:lvl>
    <w:lvl w:ilvl="6" w:tplc="F52633BA" w:tentative="1">
      <w:start w:val="1"/>
      <w:numFmt w:val="decimal"/>
      <w:lvlText w:val="%7."/>
      <w:lvlJc w:val="left"/>
      <w:pPr>
        <w:tabs>
          <w:tab w:val="num" w:pos="5040"/>
        </w:tabs>
        <w:ind w:left="5040" w:hanging="360"/>
      </w:pPr>
    </w:lvl>
    <w:lvl w:ilvl="7" w:tplc="B03A28F4" w:tentative="1">
      <w:start w:val="1"/>
      <w:numFmt w:val="lowerLetter"/>
      <w:lvlText w:val="%8."/>
      <w:lvlJc w:val="left"/>
      <w:pPr>
        <w:tabs>
          <w:tab w:val="num" w:pos="5760"/>
        </w:tabs>
        <w:ind w:left="5760" w:hanging="360"/>
      </w:pPr>
    </w:lvl>
    <w:lvl w:ilvl="8" w:tplc="9078E4AC" w:tentative="1">
      <w:start w:val="1"/>
      <w:numFmt w:val="lowerRoman"/>
      <w:lvlText w:val="%9."/>
      <w:lvlJc w:val="right"/>
      <w:pPr>
        <w:tabs>
          <w:tab w:val="num" w:pos="6480"/>
        </w:tabs>
        <w:ind w:left="6480" w:hanging="180"/>
      </w:pPr>
    </w:lvl>
  </w:abstractNum>
  <w:abstractNum w:abstractNumId="49">
    <w:nsid w:val="4BA958E8"/>
    <w:multiLevelType w:val="hybridMultilevel"/>
    <w:tmpl w:val="F0429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EA97E5C"/>
    <w:multiLevelType w:val="hybridMultilevel"/>
    <w:tmpl w:val="395A8590"/>
    <w:lvl w:ilvl="0" w:tplc="090A01F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501F7E9F"/>
    <w:multiLevelType w:val="hybridMultilevel"/>
    <w:tmpl w:val="F084A308"/>
    <w:lvl w:ilvl="0" w:tplc="36C0E17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2C40266"/>
    <w:multiLevelType w:val="multilevel"/>
    <w:tmpl w:val="5FC687CE"/>
    <w:lvl w:ilvl="0">
      <w:start w:val="1"/>
      <w:numFmt w:val="bullet"/>
      <w:lvlText w:val=""/>
      <w:lvlJc w:val="left"/>
      <w:pPr>
        <w:tabs>
          <w:tab w:val="num" w:pos="465"/>
        </w:tabs>
        <w:ind w:left="465" w:hanging="465"/>
      </w:pPr>
      <w:rPr>
        <w:rFonts w:ascii="Wingdings 2" w:hAnsi="Wingdings 2"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53">
    <w:nsid w:val="54115393"/>
    <w:multiLevelType w:val="hybridMultilevel"/>
    <w:tmpl w:val="EFBA5C20"/>
    <w:lvl w:ilvl="0" w:tplc="43BC1014">
      <w:start w:val="1"/>
      <w:numFmt w:val="bullet"/>
      <w:lvlText w:val=""/>
      <w:lvlJc w:val="left"/>
      <w:pPr>
        <w:tabs>
          <w:tab w:val="num" w:pos="1080"/>
        </w:tabs>
        <w:ind w:left="1080" w:hanging="360"/>
      </w:pPr>
      <w:rPr>
        <w:rFonts w:ascii="Symbol" w:hAnsi="Symbol" w:hint="default"/>
        <w:sz w:val="20"/>
        <w:szCs w:val="20"/>
      </w:rPr>
    </w:lvl>
    <w:lvl w:ilvl="1" w:tplc="0809000F">
      <w:start w:val="1"/>
      <w:numFmt w:val="decimal"/>
      <w:lvlText w:val="%2."/>
      <w:lvlJc w:val="left"/>
      <w:pPr>
        <w:tabs>
          <w:tab w:val="num" w:pos="2160"/>
        </w:tabs>
        <w:ind w:left="2160" w:hanging="360"/>
      </w:pPr>
      <w:rPr>
        <w:rFonts w:hint="default"/>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4">
    <w:nsid w:val="54657F8E"/>
    <w:multiLevelType w:val="hybridMultilevel"/>
    <w:tmpl w:val="85F200FA"/>
    <w:lvl w:ilvl="0" w:tplc="79507C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4B74552"/>
    <w:multiLevelType w:val="multilevel"/>
    <w:tmpl w:val="53928B04"/>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Symbol" w:hAnsi="Symbo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bullet"/>
      <w:lvlText w:val=""/>
      <w:lvlJc w:val="left"/>
      <w:pPr>
        <w:tabs>
          <w:tab w:val="num" w:pos="360"/>
        </w:tabs>
        <w:ind w:left="360" w:hanging="1080"/>
      </w:pPr>
      <w:rPr>
        <w:rFonts w:ascii="Symbol" w:hAnsi="Symbol"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56">
    <w:nsid w:val="54C24CD6"/>
    <w:multiLevelType w:val="hybridMultilevel"/>
    <w:tmpl w:val="F6441E28"/>
    <w:lvl w:ilvl="0" w:tplc="79169DDC">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5DB7D14"/>
    <w:multiLevelType w:val="hybridMultilevel"/>
    <w:tmpl w:val="7F50B45E"/>
    <w:lvl w:ilvl="0" w:tplc="43BC1014">
      <w:start w:val="1"/>
      <w:numFmt w:val="bullet"/>
      <w:lvlText w:val=""/>
      <w:lvlJc w:val="left"/>
      <w:pPr>
        <w:tabs>
          <w:tab w:val="num" w:pos="644"/>
        </w:tabs>
        <w:ind w:left="644" w:hanging="360"/>
      </w:pPr>
      <w:rPr>
        <w:rFonts w:ascii="Symbol" w:hAnsi="Symbol" w:hint="default"/>
        <w:b w:val="0"/>
        <w:i w:val="0"/>
        <w:strike w:val="0"/>
        <w:color w:val="auto"/>
        <w:sz w:val="24"/>
        <w:szCs w:val="24"/>
      </w:rPr>
    </w:lvl>
    <w:lvl w:ilvl="1" w:tplc="79169DDC">
      <w:start w:val="1"/>
      <w:numFmt w:val="bullet"/>
      <w:lvlText w:val=""/>
      <w:lvlJc w:val="left"/>
      <w:pPr>
        <w:tabs>
          <w:tab w:val="num" w:pos="1440"/>
        </w:tabs>
        <w:ind w:left="1440" w:hanging="360"/>
      </w:pPr>
      <w:rPr>
        <w:rFonts w:ascii="Wingdings 2" w:hAnsi="Wingdings 2"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8">
    <w:nsid w:val="5ABC3ABC"/>
    <w:multiLevelType w:val="multilevel"/>
    <w:tmpl w:val="F538203C"/>
    <w:styleLink w:val="Style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5C3E755D"/>
    <w:multiLevelType w:val="hybridMultilevel"/>
    <w:tmpl w:val="71A8B4C0"/>
    <w:lvl w:ilvl="0" w:tplc="B0D2E17A">
      <w:start w:val="1"/>
      <w:numFmt w:val="bullet"/>
      <w:lvlText w:val=""/>
      <w:lvlJc w:val="left"/>
      <w:pPr>
        <w:tabs>
          <w:tab w:val="num" w:pos="1276"/>
        </w:tabs>
        <w:ind w:left="1276" w:hanging="360"/>
      </w:pPr>
      <w:rPr>
        <w:rFonts w:ascii="Wingdings 2" w:hAnsi="Wingdings 2" w:hint="default"/>
      </w:rPr>
    </w:lvl>
    <w:lvl w:ilvl="1" w:tplc="8926F90A" w:tentative="1">
      <w:start w:val="1"/>
      <w:numFmt w:val="bullet"/>
      <w:lvlText w:val=""/>
      <w:lvlJc w:val="left"/>
      <w:pPr>
        <w:tabs>
          <w:tab w:val="num" w:pos="1996"/>
        </w:tabs>
        <w:ind w:left="1996" w:hanging="360"/>
      </w:pPr>
      <w:rPr>
        <w:rFonts w:ascii="Wingdings 2" w:hAnsi="Wingdings 2" w:hint="default"/>
      </w:rPr>
    </w:lvl>
    <w:lvl w:ilvl="2" w:tplc="B87AD126" w:tentative="1">
      <w:start w:val="1"/>
      <w:numFmt w:val="bullet"/>
      <w:lvlText w:val=""/>
      <w:lvlJc w:val="left"/>
      <w:pPr>
        <w:tabs>
          <w:tab w:val="num" w:pos="2716"/>
        </w:tabs>
        <w:ind w:left="2716" w:hanging="360"/>
      </w:pPr>
      <w:rPr>
        <w:rFonts w:ascii="Wingdings 2" w:hAnsi="Wingdings 2" w:hint="default"/>
      </w:rPr>
    </w:lvl>
    <w:lvl w:ilvl="3" w:tplc="5ABE8302" w:tentative="1">
      <w:start w:val="1"/>
      <w:numFmt w:val="bullet"/>
      <w:lvlText w:val=""/>
      <w:lvlJc w:val="left"/>
      <w:pPr>
        <w:tabs>
          <w:tab w:val="num" w:pos="3436"/>
        </w:tabs>
        <w:ind w:left="3436" w:hanging="360"/>
      </w:pPr>
      <w:rPr>
        <w:rFonts w:ascii="Wingdings 2" w:hAnsi="Wingdings 2" w:hint="default"/>
      </w:rPr>
    </w:lvl>
    <w:lvl w:ilvl="4" w:tplc="62B2A968" w:tentative="1">
      <w:start w:val="1"/>
      <w:numFmt w:val="bullet"/>
      <w:lvlText w:val=""/>
      <w:lvlJc w:val="left"/>
      <w:pPr>
        <w:tabs>
          <w:tab w:val="num" w:pos="4156"/>
        </w:tabs>
        <w:ind w:left="4156" w:hanging="360"/>
      </w:pPr>
      <w:rPr>
        <w:rFonts w:ascii="Wingdings 2" w:hAnsi="Wingdings 2" w:hint="default"/>
      </w:rPr>
    </w:lvl>
    <w:lvl w:ilvl="5" w:tplc="8734724E" w:tentative="1">
      <w:start w:val="1"/>
      <w:numFmt w:val="bullet"/>
      <w:lvlText w:val=""/>
      <w:lvlJc w:val="left"/>
      <w:pPr>
        <w:tabs>
          <w:tab w:val="num" w:pos="4876"/>
        </w:tabs>
        <w:ind w:left="4876" w:hanging="360"/>
      </w:pPr>
      <w:rPr>
        <w:rFonts w:ascii="Wingdings 2" w:hAnsi="Wingdings 2" w:hint="default"/>
      </w:rPr>
    </w:lvl>
    <w:lvl w:ilvl="6" w:tplc="BCE8A932" w:tentative="1">
      <w:start w:val="1"/>
      <w:numFmt w:val="bullet"/>
      <w:lvlText w:val=""/>
      <w:lvlJc w:val="left"/>
      <w:pPr>
        <w:tabs>
          <w:tab w:val="num" w:pos="5596"/>
        </w:tabs>
        <w:ind w:left="5596" w:hanging="360"/>
      </w:pPr>
      <w:rPr>
        <w:rFonts w:ascii="Wingdings 2" w:hAnsi="Wingdings 2" w:hint="default"/>
      </w:rPr>
    </w:lvl>
    <w:lvl w:ilvl="7" w:tplc="69821CD4" w:tentative="1">
      <w:start w:val="1"/>
      <w:numFmt w:val="bullet"/>
      <w:lvlText w:val=""/>
      <w:lvlJc w:val="left"/>
      <w:pPr>
        <w:tabs>
          <w:tab w:val="num" w:pos="6316"/>
        </w:tabs>
        <w:ind w:left="6316" w:hanging="360"/>
      </w:pPr>
      <w:rPr>
        <w:rFonts w:ascii="Wingdings 2" w:hAnsi="Wingdings 2" w:hint="default"/>
      </w:rPr>
    </w:lvl>
    <w:lvl w:ilvl="8" w:tplc="49F23488" w:tentative="1">
      <w:start w:val="1"/>
      <w:numFmt w:val="bullet"/>
      <w:lvlText w:val=""/>
      <w:lvlJc w:val="left"/>
      <w:pPr>
        <w:tabs>
          <w:tab w:val="num" w:pos="7036"/>
        </w:tabs>
        <w:ind w:left="7036" w:hanging="360"/>
      </w:pPr>
      <w:rPr>
        <w:rFonts w:ascii="Wingdings 2" w:hAnsi="Wingdings 2" w:hint="default"/>
      </w:rPr>
    </w:lvl>
  </w:abstractNum>
  <w:abstractNum w:abstractNumId="60">
    <w:nsid w:val="60712700"/>
    <w:multiLevelType w:val="hybridMultilevel"/>
    <w:tmpl w:val="78561E46"/>
    <w:lvl w:ilvl="0" w:tplc="DF322CA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3600"/>
        </w:tabs>
        <w:ind w:left="3600" w:hanging="360"/>
      </w:pPr>
      <w:rPr>
        <w:rFonts w:cs="Times New Roman"/>
      </w:rPr>
    </w:lvl>
    <w:lvl w:ilvl="4" w:tplc="08090003">
      <w:start w:val="1"/>
      <w:numFmt w:val="decimal"/>
      <w:lvlText w:val="%5."/>
      <w:lvlJc w:val="left"/>
      <w:pPr>
        <w:tabs>
          <w:tab w:val="num" w:pos="4320"/>
        </w:tabs>
        <w:ind w:left="4320" w:hanging="360"/>
      </w:pPr>
      <w:rPr>
        <w:rFonts w:cs="Times New Roman"/>
      </w:rPr>
    </w:lvl>
    <w:lvl w:ilvl="5" w:tplc="08090005">
      <w:start w:val="1"/>
      <w:numFmt w:val="decimal"/>
      <w:lvlText w:val="%6."/>
      <w:lvlJc w:val="left"/>
      <w:pPr>
        <w:tabs>
          <w:tab w:val="num" w:pos="5040"/>
        </w:tabs>
        <w:ind w:left="5040" w:hanging="360"/>
      </w:pPr>
      <w:rPr>
        <w:rFonts w:cs="Times New Roman"/>
      </w:rPr>
    </w:lvl>
    <w:lvl w:ilvl="6" w:tplc="08090001">
      <w:start w:val="1"/>
      <w:numFmt w:val="decimal"/>
      <w:lvlText w:val="%7."/>
      <w:lvlJc w:val="left"/>
      <w:pPr>
        <w:tabs>
          <w:tab w:val="num" w:pos="5760"/>
        </w:tabs>
        <w:ind w:left="5760" w:hanging="360"/>
      </w:pPr>
      <w:rPr>
        <w:rFonts w:cs="Times New Roman"/>
      </w:rPr>
    </w:lvl>
    <w:lvl w:ilvl="7" w:tplc="08090003">
      <w:start w:val="1"/>
      <w:numFmt w:val="decimal"/>
      <w:lvlText w:val="%8."/>
      <w:lvlJc w:val="left"/>
      <w:pPr>
        <w:tabs>
          <w:tab w:val="num" w:pos="6480"/>
        </w:tabs>
        <w:ind w:left="6480" w:hanging="360"/>
      </w:pPr>
      <w:rPr>
        <w:rFonts w:cs="Times New Roman"/>
      </w:rPr>
    </w:lvl>
    <w:lvl w:ilvl="8" w:tplc="08090005">
      <w:start w:val="1"/>
      <w:numFmt w:val="decimal"/>
      <w:lvlText w:val="%9."/>
      <w:lvlJc w:val="left"/>
      <w:pPr>
        <w:tabs>
          <w:tab w:val="num" w:pos="7200"/>
        </w:tabs>
        <w:ind w:left="7200" w:hanging="360"/>
      </w:pPr>
      <w:rPr>
        <w:rFonts w:cs="Times New Roman"/>
      </w:rPr>
    </w:lvl>
  </w:abstractNum>
  <w:abstractNum w:abstractNumId="61">
    <w:nsid w:val="61BF2937"/>
    <w:multiLevelType w:val="hybridMultilevel"/>
    <w:tmpl w:val="C094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25F19FC"/>
    <w:multiLevelType w:val="hybridMultilevel"/>
    <w:tmpl w:val="C6E4CF50"/>
    <w:lvl w:ilvl="0" w:tplc="08090003">
      <w:start w:val="1"/>
      <w:numFmt w:val="decimal"/>
      <w:pStyle w:val="MyNormalNumbered"/>
      <w:lvlText w:val="%1."/>
      <w:lvlJc w:val="left"/>
      <w:pPr>
        <w:tabs>
          <w:tab w:val="num" w:pos="454"/>
        </w:tabs>
        <w:ind w:left="0" w:firstLine="0"/>
      </w:pPr>
      <w:rPr>
        <w:rFonts w:ascii="Arial" w:hAnsi="Arial" w:hint="default"/>
        <w:b w:val="0"/>
        <w:i w:val="0"/>
        <w:color w:val="auto"/>
        <w:sz w:val="22"/>
        <w:szCs w:val="22"/>
      </w:rPr>
    </w:lvl>
    <w:lvl w:ilvl="1" w:tplc="08090003">
      <w:start w:val="1"/>
      <w:numFmt w:val="lowerLetter"/>
      <w:lvlText w:val="%2.)"/>
      <w:lvlJc w:val="left"/>
      <w:pPr>
        <w:tabs>
          <w:tab w:val="num" w:pos="1440"/>
        </w:tabs>
        <w:ind w:left="1440" w:hanging="360"/>
      </w:pPr>
      <w:rPr>
        <w:rFonts w:hint="default"/>
        <w:b w:val="0"/>
        <w:i w:val="0"/>
        <w:color w:val="auto"/>
        <w:sz w:val="22"/>
        <w:szCs w:val="22"/>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3">
    <w:nsid w:val="63F90927"/>
    <w:multiLevelType w:val="hybridMultilevel"/>
    <w:tmpl w:val="0AEE89D8"/>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64">
    <w:nsid w:val="65203679"/>
    <w:multiLevelType w:val="hybridMultilevel"/>
    <w:tmpl w:val="D758E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65EA1818"/>
    <w:multiLevelType w:val="hybridMultilevel"/>
    <w:tmpl w:val="DBF86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nsid w:val="68DD3003"/>
    <w:multiLevelType w:val="hybridMultilevel"/>
    <w:tmpl w:val="EE2CCB3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A725544"/>
    <w:multiLevelType w:val="multilevel"/>
    <w:tmpl w:val="9510ED4E"/>
    <w:lvl w:ilvl="0">
      <w:start w:val="5"/>
      <w:numFmt w:val="decimal"/>
      <w:lvlText w:val="%1"/>
      <w:lvlJc w:val="left"/>
      <w:pPr>
        <w:tabs>
          <w:tab w:val="num" w:pos="360"/>
        </w:tabs>
        <w:ind w:left="360" w:hanging="360"/>
      </w:pPr>
      <w:rPr>
        <w:rFonts w:hint="default"/>
      </w:rPr>
    </w:lvl>
    <w:lvl w:ilvl="1">
      <w:start w:val="8"/>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F3F20B9"/>
    <w:multiLevelType w:val="hybridMultilevel"/>
    <w:tmpl w:val="2AF2D94A"/>
    <w:lvl w:ilvl="0" w:tplc="3924A336">
      <w:start w:val="1"/>
      <w:numFmt w:val="decimal"/>
      <w:lvlText w:val="A3.%1."/>
      <w:lvlJc w:val="left"/>
      <w:pPr>
        <w:tabs>
          <w:tab w:val="num" w:pos="360"/>
        </w:tabs>
        <w:ind w:left="360" w:hanging="360"/>
      </w:pPr>
      <w:rPr>
        <w:rFonts w:hint="default"/>
        <w:b w:val="0"/>
        <w:color w:val="00000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nsid w:val="7364135E"/>
    <w:multiLevelType w:val="multilevel"/>
    <w:tmpl w:val="03E480F6"/>
    <w:lvl w:ilvl="0">
      <w:start w:val="1"/>
      <w:numFmt w:val="decimal"/>
      <w:lvlText w:val="%1"/>
      <w:lvlJc w:val="left"/>
      <w:pPr>
        <w:tabs>
          <w:tab w:val="num" w:pos="465"/>
        </w:tabs>
        <w:ind w:left="465" w:hanging="465"/>
      </w:pPr>
      <w:rPr>
        <w:rFonts w:hint="default"/>
        <w:color w:val="FF00FF"/>
      </w:rPr>
    </w:lvl>
    <w:lvl w:ilvl="1">
      <w:start w:val="1"/>
      <w:numFmt w:val="decimalZero"/>
      <w:lvlText w:val="%1.%2"/>
      <w:lvlJc w:val="left"/>
      <w:pPr>
        <w:tabs>
          <w:tab w:val="num" w:pos="465"/>
        </w:tabs>
        <w:ind w:left="465" w:hanging="465"/>
      </w:pPr>
      <w:rPr>
        <w:rFonts w:hint="default"/>
        <w:b w:val="0"/>
        <w:color w:val="auto"/>
        <w:sz w:val="24"/>
        <w:szCs w:val="24"/>
      </w:rPr>
    </w:lvl>
    <w:lvl w:ilvl="2">
      <w:start w:val="1"/>
      <w:numFmt w:val="decimal"/>
      <w:lvlText w:val="%1.%2.%3"/>
      <w:lvlJc w:val="left"/>
      <w:pPr>
        <w:tabs>
          <w:tab w:val="num" w:pos="360"/>
        </w:tabs>
        <w:ind w:left="360" w:hanging="720"/>
      </w:pPr>
      <w:rPr>
        <w:rFonts w:hint="default"/>
        <w:color w:val="FF00FF"/>
      </w:rPr>
    </w:lvl>
    <w:lvl w:ilvl="3">
      <w:start w:val="1"/>
      <w:numFmt w:val="decimal"/>
      <w:lvlText w:val="%1.%2.%3.%4"/>
      <w:lvlJc w:val="left"/>
      <w:pPr>
        <w:tabs>
          <w:tab w:val="num" w:pos="540"/>
        </w:tabs>
        <w:ind w:left="540" w:hanging="1080"/>
      </w:pPr>
      <w:rPr>
        <w:rFonts w:hint="default"/>
        <w:color w:val="FF00FF"/>
      </w:rPr>
    </w:lvl>
    <w:lvl w:ilvl="4">
      <w:start w:val="1"/>
      <w:numFmt w:val="decimal"/>
      <w:lvlText w:val="%1.%2.%3.%4.%5"/>
      <w:lvlJc w:val="left"/>
      <w:pPr>
        <w:tabs>
          <w:tab w:val="num" w:pos="360"/>
        </w:tabs>
        <w:ind w:left="360" w:hanging="1080"/>
      </w:pPr>
      <w:rPr>
        <w:rFonts w:hint="default"/>
        <w:color w:val="FF00FF"/>
      </w:rPr>
    </w:lvl>
    <w:lvl w:ilvl="5">
      <w:start w:val="1"/>
      <w:numFmt w:val="decimal"/>
      <w:lvlText w:val="%1.%2.%3.%4.%5.%6"/>
      <w:lvlJc w:val="left"/>
      <w:pPr>
        <w:tabs>
          <w:tab w:val="num" w:pos="540"/>
        </w:tabs>
        <w:ind w:left="540" w:hanging="1440"/>
      </w:pPr>
      <w:rPr>
        <w:rFonts w:hint="default"/>
        <w:color w:val="FF00FF"/>
      </w:rPr>
    </w:lvl>
    <w:lvl w:ilvl="6">
      <w:start w:val="1"/>
      <w:numFmt w:val="decimal"/>
      <w:lvlText w:val="%1.%2.%3.%4.%5.%6.%7"/>
      <w:lvlJc w:val="left"/>
      <w:pPr>
        <w:tabs>
          <w:tab w:val="num" w:pos="360"/>
        </w:tabs>
        <w:ind w:left="360" w:hanging="1440"/>
      </w:pPr>
      <w:rPr>
        <w:rFonts w:hint="default"/>
        <w:color w:val="FF00FF"/>
      </w:rPr>
    </w:lvl>
    <w:lvl w:ilvl="7">
      <w:start w:val="1"/>
      <w:numFmt w:val="decimal"/>
      <w:lvlText w:val="%1.%2.%3.%4.%5.%6.%7.%8"/>
      <w:lvlJc w:val="left"/>
      <w:pPr>
        <w:tabs>
          <w:tab w:val="num" w:pos="540"/>
        </w:tabs>
        <w:ind w:left="540" w:hanging="1800"/>
      </w:pPr>
      <w:rPr>
        <w:rFonts w:hint="default"/>
        <w:color w:val="FF00FF"/>
      </w:rPr>
    </w:lvl>
    <w:lvl w:ilvl="8">
      <w:start w:val="1"/>
      <w:numFmt w:val="decimal"/>
      <w:lvlText w:val="%1.%2.%3.%4.%5.%6.%7.%8.%9"/>
      <w:lvlJc w:val="left"/>
      <w:pPr>
        <w:tabs>
          <w:tab w:val="num" w:pos="360"/>
        </w:tabs>
        <w:ind w:left="360" w:hanging="1800"/>
      </w:pPr>
      <w:rPr>
        <w:rFonts w:hint="default"/>
        <w:color w:val="FF00FF"/>
      </w:rPr>
    </w:lvl>
  </w:abstractNum>
  <w:abstractNum w:abstractNumId="70">
    <w:nsid w:val="74552CA8"/>
    <w:multiLevelType w:val="multilevel"/>
    <w:tmpl w:val="E0D6023A"/>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71">
    <w:nsid w:val="746B7B3C"/>
    <w:multiLevelType w:val="hybridMultilevel"/>
    <w:tmpl w:val="B93A5A4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2">
    <w:nsid w:val="76FC02D0"/>
    <w:multiLevelType w:val="multilevel"/>
    <w:tmpl w:val="1C1CE06A"/>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73">
    <w:nsid w:val="7B3864FE"/>
    <w:multiLevelType w:val="hybridMultilevel"/>
    <w:tmpl w:val="DBF04646"/>
    <w:lvl w:ilvl="0" w:tplc="887CA38A">
      <w:start w:val="1"/>
      <w:numFmt w:val="bullet"/>
      <w:pStyle w:val="ListBullet4"/>
      <w:lvlText w:val=""/>
      <w:lvlJc w:val="left"/>
      <w:pPr>
        <w:tabs>
          <w:tab w:val="num" w:pos="577"/>
        </w:tabs>
        <w:ind w:left="577" w:hanging="360"/>
      </w:pPr>
      <w:rPr>
        <w:rFonts w:ascii="Symbol" w:hAnsi="Symbol" w:hint="default"/>
        <w:sz w:val="16"/>
      </w:rPr>
    </w:lvl>
    <w:lvl w:ilvl="1" w:tplc="08090003">
      <w:start w:val="1"/>
      <w:numFmt w:val="bullet"/>
      <w:lvlText w:val=""/>
      <w:lvlJc w:val="left"/>
      <w:pPr>
        <w:tabs>
          <w:tab w:val="num" w:pos="1297"/>
        </w:tabs>
        <w:ind w:left="1297" w:hanging="360"/>
      </w:pPr>
      <w:rPr>
        <w:rFonts w:ascii="Wingdings" w:hAnsi="Wingdings" w:hint="default"/>
      </w:rPr>
    </w:lvl>
    <w:lvl w:ilvl="2" w:tplc="08090005" w:tentative="1">
      <w:start w:val="1"/>
      <w:numFmt w:val="bullet"/>
      <w:lvlText w:val=""/>
      <w:lvlJc w:val="left"/>
      <w:pPr>
        <w:tabs>
          <w:tab w:val="num" w:pos="2017"/>
        </w:tabs>
        <w:ind w:left="2017" w:hanging="360"/>
      </w:pPr>
      <w:rPr>
        <w:rFonts w:ascii="Wingdings" w:hAnsi="Wingdings" w:hint="default"/>
      </w:rPr>
    </w:lvl>
    <w:lvl w:ilvl="3" w:tplc="08090001" w:tentative="1">
      <w:start w:val="1"/>
      <w:numFmt w:val="bullet"/>
      <w:lvlText w:val=""/>
      <w:lvlJc w:val="left"/>
      <w:pPr>
        <w:tabs>
          <w:tab w:val="num" w:pos="2737"/>
        </w:tabs>
        <w:ind w:left="2737" w:hanging="360"/>
      </w:pPr>
      <w:rPr>
        <w:rFonts w:ascii="Symbol" w:hAnsi="Symbol" w:hint="default"/>
      </w:rPr>
    </w:lvl>
    <w:lvl w:ilvl="4" w:tplc="08090003" w:tentative="1">
      <w:start w:val="1"/>
      <w:numFmt w:val="bullet"/>
      <w:lvlText w:val="o"/>
      <w:lvlJc w:val="left"/>
      <w:pPr>
        <w:tabs>
          <w:tab w:val="num" w:pos="3457"/>
        </w:tabs>
        <w:ind w:left="3457" w:hanging="360"/>
      </w:pPr>
      <w:rPr>
        <w:rFonts w:ascii="Courier New" w:hAnsi="Courier New" w:hint="default"/>
      </w:rPr>
    </w:lvl>
    <w:lvl w:ilvl="5" w:tplc="08090005" w:tentative="1">
      <w:start w:val="1"/>
      <w:numFmt w:val="bullet"/>
      <w:lvlText w:val=""/>
      <w:lvlJc w:val="left"/>
      <w:pPr>
        <w:tabs>
          <w:tab w:val="num" w:pos="4177"/>
        </w:tabs>
        <w:ind w:left="4177" w:hanging="360"/>
      </w:pPr>
      <w:rPr>
        <w:rFonts w:ascii="Wingdings" w:hAnsi="Wingdings" w:hint="default"/>
      </w:rPr>
    </w:lvl>
    <w:lvl w:ilvl="6" w:tplc="08090001" w:tentative="1">
      <w:start w:val="1"/>
      <w:numFmt w:val="bullet"/>
      <w:lvlText w:val=""/>
      <w:lvlJc w:val="left"/>
      <w:pPr>
        <w:tabs>
          <w:tab w:val="num" w:pos="4897"/>
        </w:tabs>
        <w:ind w:left="4897" w:hanging="360"/>
      </w:pPr>
      <w:rPr>
        <w:rFonts w:ascii="Symbol" w:hAnsi="Symbol" w:hint="default"/>
      </w:rPr>
    </w:lvl>
    <w:lvl w:ilvl="7" w:tplc="08090003" w:tentative="1">
      <w:start w:val="1"/>
      <w:numFmt w:val="bullet"/>
      <w:lvlText w:val="o"/>
      <w:lvlJc w:val="left"/>
      <w:pPr>
        <w:tabs>
          <w:tab w:val="num" w:pos="5617"/>
        </w:tabs>
        <w:ind w:left="5617" w:hanging="360"/>
      </w:pPr>
      <w:rPr>
        <w:rFonts w:ascii="Courier New" w:hAnsi="Courier New" w:hint="default"/>
      </w:rPr>
    </w:lvl>
    <w:lvl w:ilvl="8" w:tplc="08090005" w:tentative="1">
      <w:start w:val="1"/>
      <w:numFmt w:val="bullet"/>
      <w:lvlText w:val=""/>
      <w:lvlJc w:val="left"/>
      <w:pPr>
        <w:tabs>
          <w:tab w:val="num" w:pos="6337"/>
        </w:tabs>
        <w:ind w:left="6337" w:hanging="360"/>
      </w:pPr>
      <w:rPr>
        <w:rFonts w:ascii="Wingdings" w:hAnsi="Wingdings" w:hint="default"/>
      </w:rPr>
    </w:lvl>
  </w:abstractNum>
  <w:abstractNum w:abstractNumId="74">
    <w:nsid w:val="7B8F7984"/>
    <w:multiLevelType w:val="multilevel"/>
    <w:tmpl w:val="103EA18A"/>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645"/>
        </w:tabs>
        <w:ind w:left="645" w:hanging="465"/>
      </w:pPr>
      <w:rPr>
        <w:rFonts w:ascii="Arial" w:hAnsi="Arial"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75">
    <w:nsid w:val="7C70312F"/>
    <w:multiLevelType w:val="hybridMultilevel"/>
    <w:tmpl w:val="56683C22"/>
    <w:lvl w:ilvl="0" w:tplc="6A3E398E">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0"/>
  </w:num>
  <w:num w:numId="3">
    <w:abstractNumId w:val="42"/>
  </w:num>
  <w:num w:numId="4">
    <w:abstractNumId w:val="26"/>
  </w:num>
  <w:num w:numId="5">
    <w:abstractNumId w:val="58"/>
  </w:num>
  <w:num w:numId="6">
    <w:abstractNumId w:val="62"/>
  </w:num>
  <w:num w:numId="7">
    <w:abstractNumId w:val="30"/>
  </w:num>
  <w:num w:numId="8">
    <w:abstractNumId w:val="15"/>
  </w:num>
  <w:num w:numId="9">
    <w:abstractNumId w:val="23"/>
  </w:num>
  <w:num w:numId="10">
    <w:abstractNumId w:val="69"/>
  </w:num>
  <w:num w:numId="11">
    <w:abstractNumId w:val="12"/>
  </w:num>
  <w:num w:numId="12">
    <w:abstractNumId w:val="7"/>
  </w:num>
  <w:num w:numId="13">
    <w:abstractNumId w:val="29"/>
  </w:num>
  <w:num w:numId="14">
    <w:abstractNumId w:val="25"/>
  </w:num>
  <w:num w:numId="15">
    <w:abstractNumId w:val="19"/>
  </w:num>
  <w:num w:numId="16">
    <w:abstractNumId w:val="48"/>
  </w:num>
  <w:num w:numId="17">
    <w:abstractNumId w:val="67"/>
  </w:num>
  <w:num w:numId="18">
    <w:abstractNumId w:val="33"/>
  </w:num>
  <w:num w:numId="19">
    <w:abstractNumId w:val="41"/>
  </w:num>
  <w:num w:numId="20">
    <w:abstractNumId w:val="49"/>
  </w:num>
  <w:num w:numId="21">
    <w:abstractNumId w:val="53"/>
  </w:num>
  <w:num w:numId="22">
    <w:abstractNumId w:val="51"/>
  </w:num>
  <w:num w:numId="23">
    <w:abstractNumId w:val="14"/>
  </w:num>
  <w:num w:numId="24">
    <w:abstractNumId w:val="68"/>
  </w:num>
  <w:num w:numId="25">
    <w:abstractNumId w:val="71"/>
  </w:num>
  <w:num w:numId="26">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num>
  <w:num w:numId="28">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
  </w:num>
  <w:num w:numId="31">
    <w:abstractNumId w:val="64"/>
  </w:num>
  <w:num w:numId="32">
    <w:abstractNumId w:val="17"/>
  </w:num>
  <w:num w:numId="33">
    <w:abstractNumId w:val="75"/>
  </w:num>
  <w:num w:numId="34">
    <w:abstractNumId w:val="22"/>
  </w:num>
  <w:num w:numId="35">
    <w:abstractNumId w:val="11"/>
  </w:num>
  <w:num w:numId="36">
    <w:abstractNumId w:val="59"/>
  </w:num>
  <w:num w:numId="37">
    <w:abstractNumId w:val="57"/>
  </w:num>
  <w:num w:numId="38">
    <w:abstractNumId w:val="47"/>
  </w:num>
  <w:num w:numId="39">
    <w:abstractNumId w:val="44"/>
  </w:num>
  <w:num w:numId="40">
    <w:abstractNumId w:val="66"/>
  </w:num>
  <w:num w:numId="41">
    <w:abstractNumId w:val="34"/>
  </w:num>
  <w:num w:numId="42">
    <w:abstractNumId w:val="56"/>
  </w:num>
  <w:num w:numId="43">
    <w:abstractNumId w:val="9"/>
  </w:num>
  <w:num w:numId="44">
    <w:abstractNumId w:val="5"/>
  </w:num>
  <w:num w:numId="45">
    <w:abstractNumId w:val="3"/>
  </w:num>
  <w:num w:numId="46">
    <w:abstractNumId w:val="70"/>
  </w:num>
  <w:num w:numId="47">
    <w:abstractNumId w:val="54"/>
  </w:num>
  <w:num w:numId="48">
    <w:abstractNumId w:val="27"/>
  </w:num>
  <w:num w:numId="49">
    <w:abstractNumId w:val="38"/>
  </w:num>
  <w:num w:numId="50">
    <w:abstractNumId w:val="37"/>
  </w:num>
  <w:num w:numId="51">
    <w:abstractNumId w:val="24"/>
  </w:num>
  <w:num w:numId="52">
    <w:abstractNumId w:val="72"/>
  </w:num>
  <w:num w:numId="53">
    <w:abstractNumId w:val="35"/>
  </w:num>
  <w:num w:numId="54">
    <w:abstractNumId w:val="74"/>
  </w:num>
  <w:num w:numId="55">
    <w:abstractNumId w:val="52"/>
  </w:num>
  <w:num w:numId="56">
    <w:abstractNumId w:val="32"/>
  </w:num>
  <w:num w:numId="57">
    <w:abstractNumId w:val="31"/>
  </w:num>
  <w:num w:numId="58">
    <w:abstractNumId w:val="28"/>
  </w:num>
  <w:num w:numId="59">
    <w:abstractNumId w:val="55"/>
  </w:num>
  <w:num w:numId="60">
    <w:abstractNumId w:val="63"/>
  </w:num>
  <w:num w:numId="61">
    <w:abstractNumId w:val="18"/>
  </w:num>
  <w:num w:numId="62">
    <w:abstractNumId w:val="13"/>
  </w:num>
  <w:num w:numId="63">
    <w:abstractNumId w:val="61"/>
  </w:num>
  <w:num w:numId="64">
    <w:abstractNumId w:val="10"/>
  </w:num>
  <w:num w:numId="65">
    <w:abstractNumId w:val="6"/>
  </w:num>
  <w:num w:numId="66">
    <w:abstractNumId w:val="2"/>
  </w:num>
  <w:num w:numId="67">
    <w:abstractNumId w:val="46"/>
  </w:num>
  <w:num w:numId="68">
    <w:abstractNumId w:val="1"/>
  </w:num>
  <w:num w:numId="69">
    <w:abstractNumId w:val="39"/>
  </w:num>
  <w:num w:numId="70">
    <w:abstractNumId w:val="36"/>
  </w:num>
  <w:num w:numId="71">
    <w:abstractNumId w:val="50"/>
  </w:num>
  <w:num w:numId="72">
    <w:abstractNumId w:val="45"/>
  </w:num>
  <w:num w:numId="73">
    <w:abstractNumId w:val="16"/>
  </w:num>
  <w:num w:numId="74">
    <w:abstractNumId w:val="21"/>
  </w:num>
  <w:num w:numId="75">
    <w:abstractNumId w:val="43"/>
  </w:num>
  <w:num w:numId="76">
    <w:abstractNumId w:val="65"/>
  </w:num>
  <w:num w:numId="77">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D3"/>
    <w:rsid w:val="0000069D"/>
    <w:rsid w:val="0000072E"/>
    <w:rsid w:val="00000BBE"/>
    <w:rsid w:val="00000D9D"/>
    <w:rsid w:val="0000122F"/>
    <w:rsid w:val="0000248D"/>
    <w:rsid w:val="000027CB"/>
    <w:rsid w:val="00002D21"/>
    <w:rsid w:val="0000324D"/>
    <w:rsid w:val="000035AF"/>
    <w:rsid w:val="000035ED"/>
    <w:rsid w:val="00003D45"/>
    <w:rsid w:val="00003FA5"/>
    <w:rsid w:val="00004C6C"/>
    <w:rsid w:val="00005401"/>
    <w:rsid w:val="000055F7"/>
    <w:rsid w:val="000058C4"/>
    <w:rsid w:val="00005AB1"/>
    <w:rsid w:val="00006773"/>
    <w:rsid w:val="00006A90"/>
    <w:rsid w:val="00007A48"/>
    <w:rsid w:val="00007A8C"/>
    <w:rsid w:val="000100C6"/>
    <w:rsid w:val="00010AEA"/>
    <w:rsid w:val="00011855"/>
    <w:rsid w:val="0001248E"/>
    <w:rsid w:val="00012D7E"/>
    <w:rsid w:val="000130B2"/>
    <w:rsid w:val="00013383"/>
    <w:rsid w:val="0001345E"/>
    <w:rsid w:val="00014EF3"/>
    <w:rsid w:val="0001551B"/>
    <w:rsid w:val="00016205"/>
    <w:rsid w:val="00016395"/>
    <w:rsid w:val="00016C26"/>
    <w:rsid w:val="00016F6F"/>
    <w:rsid w:val="0001702A"/>
    <w:rsid w:val="000174EB"/>
    <w:rsid w:val="000178E3"/>
    <w:rsid w:val="00017C7D"/>
    <w:rsid w:val="00020089"/>
    <w:rsid w:val="00020F9B"/>
    <w:rsid w:val="00021055"/>
    <w:rsid w:val="00022699"/>
    <w:rsid w:val="00022BB4"/>
    <w:rsid w:val="000230CA"/>
    <w:rsid w:val="00023140"/>
    <w:rsid w:val="0002431C"/>
    <w:rsid w:val="00024561"/>
    <w:rsid w:val="00024993"/>
    <w:rsid w:val="000249F3"/>
    <w:rsid w:val="00024F66"/>
    <w:rsid w:val="000256EE"/>
    <w:rsid w:val="00026C66"/>
    <w:rsid w:val="00027671"/>
    <w:rsid w:val="0002792D"/>
    <w:rsid w:val="00027B75"/>
    <w:rsid w:val="00030081"/>
    <w:rsid w:val="000300E9"/>
    <w:rsid w:val="00030B75"/>
    <w:rsid w:val="00030B8D"/>
    <w:rsid w:val="00031197"/>
    <w:rsid w:val="0003144F"/>
    <w:rsid w:val="000315E0"/>
    <w:rsid w:val="00031669"/>
    <w:rsid w:val="00031ADF"/>
    <w:rsid w:val="00031D38"/>
    <w:rsid w:val="00032851"/>
    <w:rsid w:val="000328D1"/>
    <w:rsid w:val="000329B1"/>
    <w:rsid w:val="00032B56"/>
    <w:rsid w:val="00032FE3"/>
    <w:rsid w:val="00033769"/>
    <w:rsid w:val="0003387B"/>
    <w:rsid w:val="00033E57"/>
    <w:rsid w:val="00034E2D"/>
    <w:rsid w:val="000358E2"/>
    <w:rsid w:val="00035CE1"/>
    <w:rsid w:val="0003680F"/>
    <w:rsid w:val="00036CFC"/>
    <w:rsid w:val="00036F39"/>
    <w:rsid w:val="00037271"/>
    <w:rsid w:val="00037A36"/>
    <w:rsid w:val="00037F83"/>
    <w:rsid w:val="00040874"/>
    <w:rsid w:val="00041112"/>
    <w:rsid w:val="000414CA"/>
    <w:rsid w:val="000418C0"/>
    <w:rsid w:val="000424CE"/>
    <w:rsid w:val="00042B19"/>
    <w:rsid w:val="000434FC"/>
    <w:rsid w:val="00043629"/>
    <w:rsid w:val="00043BBC"/>
    <w:rsid w:val="00045339"/>
    <w:rsid w:val="00046714"/>
    <w:rsid w:val="0004681D"/>
    <w:rsid w:val="00046834"/>
    <w:rsid w:val="00046A5B"/>
    <w:rsid w:val="00050416"/>
    <w:rsid w:val="00050524"/>
    <w:rsid w:val="0005058D"/>
    <w:rsid w:val="00050663"/>
    <w:rsid w:val="00050E1B"/>
    <w:rsid w:val="00050F82"/>
    <w:rsid w:val="00052582"/>
    <w:rsid w:val="000535CE"/>
    <w:rsid w:val="0005393B"/>
    <w:rsid w:val="00053A12"/>
    <w:rsid w:val="000545C1"/>
    <w:rsid w:val="0005492A"/>
    <w:rsid w:val="00054D99"/>
    <w:rsid w:val="00055464"/>
    <w:rsid w:val="000555F6"/>
    <w:rsid w:val="00055E21"/>
    <w:rsid w:val="0005621D"/>
    <w:rsid w:val="00056461"/>
    <w:rsid w:val="00056909"/>
    <w:rsid w:val="00057557"/>
    <w:rsid w:val="00057922"/>
    <w:rsid w:val="00057ED3"/>
    <w:rsid w:val="00060465"/>
    <w:rsid w:val="00060E70"/>
    <w:rsid w:val="00060F0D"/>
    <w:rsid w:val="000616BF"/>
    <w:rsid w:val="000617D3"/>
    <w:rsid w:val="00061A5D"/>
    <w:rsid w:val="00061FEC"/>
    <w:rsid w:val="000624AB"/>
    <w:rsid w:val="000627C5"/>
    <w:rsid w:val="00062849"/>
    <w:rsid w:val="000629FC"/>
    <w:rsid w:val="0006328E"/>
    <w:rsid w:val="0006450D"/>
    <w:rsid w:val="000647D9"/>
    <w:rsid w:val="000651A2"/>
    <w:rsid w:val="000662DE"/>
    <w:rsid w:val="000663E8"/>
    <w:rsid w:val="0006688D"/>
    <w:rsid w:val="000669C4"/>
    <w:rsid w:val="000673A3"/>
    <w:rsid w:val="000676A4"/>
    <w:rsid w:val="000677CB"/>
    <w:rsid w:val="00067FCC"/>
    <w:rsid w:val="000701E1"/>
    <w:rsid w:val="00070CB3"/>
    <w:rsid w:val="000714E0"/>
    <w:rsid w:val="00071A8A"/>
    <w:rsid w:val="00071B6C"/>
    <w:rsid w:val="00072C98"/>
    <w:rsid w:val="00073BB4"/>
    <w:rsid w:val="00073CAD"/>
    <w:rsid w:val="00074015"/>
    <w:rsid w:val="00074522"/>
    <w:rsid w:val="00074AD9"/>
    <w:rsid w:val="00075574"/>
    <w:rsid w:val="00075B1E"/>
    <w:rsid w:val="000764C0"/>
    <w:rsid w:val="000765E3"/>
    <w:rsid w:val="000767E0"/>
    <w:rsid w:val="00076EE4"/>
    <w:rsid w:val="0007720A"/>
    <w:rsid w:val="0007753C"/>
    <w:rsid w:val="000777F1"/>
    <w:rsid w:val="00080197"/>
    <w:rsid w:val="0008045F"/>
    <w:rsid w:val="0008103E"/>
    <w:rsid w:val="00081246"/>
    <w:rsid w:val="00081908"/>
    <w:rsid w:val="00082369"/>
    <w:rsid w:val="00083096"/>
    <w:rsid w:val="000830C8"/>
    <w:rsid w:val="000832C5"/>
    <w:rsid w:val="000832E3"/>
    <w:rsid w:val="00084C60"/>
    <w:rsid w:val="00085436"/>
    <w:rsid w:val="00085814"/>
    <w:rsid w:val="00086740"/>
    <w:rsid w:val="00086B2E"/>
    <w:rsid w:val="00087067"/>
    <w:rsid w:val="00087A84"/>
    <w:rsid w:val="00087C2C"/>
    <w:rsid w:val="00087FE9"/>
    <w:rsid w:val="00090106"/>
    <w:rsid w:val="0009084A"/>
    <w:rsid w:val="00090D23"/>
    <w:rsid w:val="00090EB6"/>
    <w:rsid w:val="000911E3"/>
    <w:rsid w:val="000915CA"/>
    <w:rsid w:val="00091FC4"/>
    <w:rsid w:val="0009269E"/>
    <w:rsid w:val="00092FE6"/>
    <w:rsid w:val="00093530"/>
    <w:rsid w:val="000942D2"/>
    <w:rsid w:val="00094558"/>
    <w:rsid w:val="00094858"/>
    <w:rsid w:val="00095A93"/>
    <w:rsid w:val="0009665C"/>
    <w:rsid w:val="00096776"/>
    <w:rsid w:val="0009689A"/>
    <w:rsid w:val="00097248"/>
    <w:rsid w:val="0009747D"/>
    <w:rsid w:val="000974C2"/>
    <w:rsid w:val="00097D87"/>
    <w:rsid w:val="000A0FC0"/>
    <w:rsid w:val="000A1F58"/>
    <w:rsid w:val="000A23F1"/>
    <w:rsid w:val="000A35CA"/>
    <w:rsid w:val="000A3F1E"/>
    <w:rsid w:val="000A46AD"/>
    <w:rsid w:val="000A498C"/>
    <w:rsid w:val="000A52C7"/>
    <w:rsid w:val="000A55C8"/>
    <w:rsid w:val="000A5D64"/>
    <w:rsid w:val="000A635B"/>
    <w:rsid w:val="000A680B"/>
    <w:rsid w:val="000A68B1"/>
    <w:rsid w:val="000A6E16"/>
    <w:rsid w:val="000A6E7B"/>
    <w:rsid w:val="000A77A6"/>
    <w:rsid w:val="000A788C"/>
    <w:rsid w:val="000B0A39"/>
    <w:rsid w:val="000B1F23"/>
    <w:rsid w:val="000B27BF"/>
    <w:rsid w:val="000B3869"/>
    <w:rsid w:val="000B3ABF"/>
    <w:rsid w:val="000B45B4"/>
    <w:rsid w:val="000B4B4D"/>
    <w:rsid w:val="000B4E04"/>
    <w:rsid w:val="000B508F"/>
    <w:rsid w:val="000B5297"/>
    <w:rsid w:val="000B54DC"/>
    <w:rsid w:val="000B55AD"/>
    <w:rsid w:val="000B5824"/>
    <w:rsid w:val="000B5A7D"/>
    <w:rsid w:val="000B5F8A"/>
    <w:rsid w:val="000B64DC"/>
    <w:rsid w:val="000B6836"/>
    <w:rsid w:val="000B6CA4"/>
    <w:rsid w:val="000B6D9E"/>
    <w:rsid w:val="000B7D5B"/>
    <w:rsid w:val="000C0A24"/>
    <w:rsid w:val="000C0A6B"/>
    <w:rsid w:val="000C0BE8"/>
    <w:rsid w:val="000C0C9D"/>
    <w:rsid w:val="000C0D56"/>
    <w:rsid w:val="000C0E07"/>
    <w:rsid w:val="000C100D"/>
    <w:rsid w:val="000C11A3"/>
    <w:rsid w:val="000C129F"/>
    <w:rsid w:val="000C132A"/>
    <w:rsid w:val="000C177D"/>
    <w:rsid w:val="000C1935"/>
    <w:rsid w:val="000C1EAD"/>
    <w:rsid w:val="000C1F17"/>
    <w:rsid w:val="000C25E9"/>
    <w:rsid w:val="000C2A33"/>
    <w:rsid w:val="000C2B78"/>
    <w:rsid w:val="000C2C2A"/>
    <w:rsid w:val="000C2E8D"/>
    <w:rsid w:val="000C31A6"/>
    <w:rsid w:val="000C35B6"/>
    <w:rsid w:val="000C37EE"/>
    <w:rsid w:val="000C3DEE"/>
    <w:rsid w:val="000C3E05"/>
    <w:rsid w:val="000C490C"/>
    <w:rsid w:val="000C4CBD"/>
    <w:rsid w:val="000C4CDF"/>
    <w:rsid w:val="000C4F48"/>
    <w:rsid w:val="000C4FA5"/>
    <w:rsid w:val="000C5291"/>
    <w:rsid w:val="000C5BCA"/>
    <w:rsid w:val="000C631F"/>
    <w:rsid w:val="000C67F8"/>
    <w:rsid w:val="000C6B7F"/>
    <w:rsid w:val="000C6C4D"/>
    <w:rsid w:val="000C7408"/>
    <w:rsid w:val="000C7D47"/>
    <w:rsid w:val="000C7E88"/>
    <w:rsid w:val="000C7E94"/>
    <w:rsid w:val="000C7EE1"/>
    <w:rsid w:val="000D074D"/>
    <w:rsid w:val="000D0C42"/>
    <w:rsid w:val="000D11FA"/>
    <w:rsid w:val="000D147E"/>
    <w:rsid w:val="000D218F"/>
    <w:rsid w:val="000D2350"/>
    <w:rsid w:val="000D25AB"/>
    <w:rsid w:val="000D2A80"/>
    <w:rsid w:val="000D39EA"/>
    <w:rsid w:val="000D42DF"/>
    <w:rsid w:val="000D4307"/>
    <w:rsid w:val="000D56ED"/>
    <w:rsid w:val="000D58F7"/>
    <w:rsid w:val="000D5D96"/>
    <w:rsid w:val="000D673C"/>
    <w:rsid w:val="000D67FD"/>
    <w:rsid w:val="000D6DA7"/>
    <w:rsid w:val="000D71CE"/>
    <w:rsid w:val="000D7725"/>
    <w:rsid w:val="000D79D7"/>
    <w:rsid w:val="000D7B12"/>
    <w:rsid w:val="000D7F9F"/>
    <w:rsid w:val="000E083C"/>
    <w:rsid w:val="000E0BCA"/>
    <w:rsid w:val="000E1453"/>
    <w:rsid w:val="000E1634"/>
    <w:rsid w:val="000E1D11"/>
    <w:rsid w:val="000E2182"/>
    <w:rsid w:val="000E221C"/>
    <w:rsid w:val="000E2599"/>
    <w:rsid w:val="000E2835"/>
    <w:rsid w:val="000E2B71"/>
    <w:rsid w:val="000E3129"/>
    <w:rsid w:val="000E37C1"/>
    <w:rsid w:val="000E52EC"/>
    <w:rsid w:val="000E5496"/>
    <w:rsid w:val="000E566E"/>
    <w:rsid w:val="000E5798"/>
    <w:rsid w:val="000E5946"/>
    <w:rsid w:val="000E6373"/>
    <w:rsid w:val="000E63C1"/>
    <w:rsid w:val="000E6651"/>
    <w:rsid w:val="000E7130"/>
    <w:rsid w:val="000E7B1C"/>
    <w:rsid w:val="000E7C81"/>
    <w:rsid w:val="000E7CC1"/>
    <w:rsid w:val="000E7DB3"/>
    <w:rsid w:val="000E7FEB"/>
    <w:rsid w:val="000F063F"/>
    <w:rsid w:val="000F0728"/>
    <w:rsid w:val="000F0C77"/>
    <w:rsid w:val="000F118D"/>
    <w:rsid w:val="000F15A8"/>
    <w:rsid w:val="000F1A6A"/>
    <w:rsid w:val="000F2EC9"/>
    <w:rsid w:val="000F3D12"/>
    <w:rsid w:val="000F3D57"/>
    <w:rsid w:val="000F4A51"/>
    <w:rsid w:val="000F4E4E"/>
    <w:rsid w:val="000F4F90"/>
    <w:rsid w:val="000F5BC4"/>
    <w:rsid w:val="000F5F95"/>
    <w:rsid w:val="000F6B74"/>
    <w:rsid w:val="000F6D32"/>
    <w:rsid w:val="000F774E"/>
    <w:rsid w:val="000F79D9"/>
    <w:rsid w:val="001001E1"/>
    <w:rsid w:val="001009AF"/>
    <w:rsid w:val="00100BB3"/>
    <w:rsid w:val="00101262"/>
    <w:rsid w:val="00101786"/>
    <w:rsid w:val="00101AF4"/>
    <w:rsid w:val="00101BB6"/>
    <w:rsid w:val="00101D03"/>
    <w:rsid w:val="00101ECE"/>
    <w:rsid w:val="00101F2B"/>
    <w:rsid w:val="0010218A"/>
    <w:rsid w:val="00102CF3"/>
    <w:rsid w:val="00102D22"/>
    <w:rsid w:val="00103301"/>
    <w:rsid w:val="00103D87"/>
    <w:rsid w:val="00103D8C"/>
    <w:rsid w:val="001043C1"/>
    <w:rsid w:val="001044C5"/>
    <w:rsid w:val="001045A0"/>
    <w:rsid w:val="0010477C"/>
    <w:rsid w:val="00104B58"/>
    <w:rsid w:val="0010515C"/>
    <w:rsid w:val="00105289"/>
    <w:rsid w:val="001055AF"/>
    <w:rsid w:val="0010568F"/>
    <w:rsid w:val="00105730"/>
    <w:rsid w:val="001057F7"/>
    <w:rsid w:val="00105A8D"/>
    <w:rsid w:val="00105E78"/>
    <w:rsid w:val="00106BB3"/>
    <w:rsid w:val="00106C24"/>
    <w:rsid w:val="00106F38"/>
    <w:rsid w:val="00107A36"/>
    <w:rsid w:val="00110A6A"/>
    <w:rsid w:val="00110F8A"/>
    <w:rsid w:val="0011169F"/>
    <w:rsid w:val="0011185E"/>
    <w:rsid w:val="00111BF6"/>
    <w:rsid w:val="00111FA8"/>
    <w:rsid w:val="00112937"/>
    <w:rsid w:val="00112AAD"/>
    <w:rsid w:val="00112BCD"/>
    <w:rsid w:val="00114067"/>
    <w:rsid w:val="001148EE"/>
    <w:rsid w:val="00115227"/>
    <w:rsid w:val="00115A7B"/>
    <w:rsid w:val="00115FE1"/>
    <w:rsid w:val="00116450"/>
    <w:rsid w:val="00116682"/>
    <w:rsid w:val="00116D72"/>
    <w:rsid w:val="00117268"/>
    <w:rsid w:val="001204F9"/>
    <w:rsid w:val="001206F4"/>
    <w:rsid w:val="001207C1"/>
    <w:rsid w:val="0012118E"/>
    <w:rsid w:val="00121BF5"/>
    <w:rsid w:val="00121D8D"/>
    <w:rsid w:val="001221F4"/>
    <w:rsid w:val="00122593"/>
    <w:rsid w:val="001226C7"/>
    <w:rsid w:val="001227CD"/>
    <w:rsid w:val="00122C00"/>
    <w:rsid w:val="00122C7C"/>
    <w:rsid w:val="00122D53"/>
    <w:rsid w:val="00122DFA"/>
    <w:rsid w:val="00122E6D"/>
    <w:rsid w:val="0012349A"/>
    <w:rsid w:val="0012363E"/>
    <w:rsid w:val="00124352"/>
    <w:rsid w:val="0012443C"/>
    <w:rsid w:val="00124459"/>
    <w:rsid w:val="001245DC"/>
    <w:rsid w:val="0012463B"/>
    <w:rsid w:val="0012486C"/>
    <w:rsid w:val="00124C97"/>
    <w:rsid w:val="00125FEC"/>
    <w:rsid w:val="00126726"/>
    <w:rsid w:val="001269AF"/>
    <w:rsid w:val="00126A90"/>
    <w:rsid w:val="00126EBB"/>
    <w:rsid w:val="00126F44"/>
    <w:rsid w:val="00127625"/>
    <w:rsid w:val="00130763"/>
    <w:rsid w:val="001310EE"/>
    <w:rsid w:val="00131350"/>
    <w:rsid w:val="001323F0"/>
    <w:rsid w:val="0013250C"/>
    <w:rsid w:val="001325E8"/>
    <w:rsid w:val="00132790"/>
    <w:rsid w:val="00132E4E"/>
    <w:rsid w:val="0013369A"/>
    <w:rsid w:val="00134062"/>
    <w:rsid w:val="00134289"/>
    <w:rsid w:val="00134D07"/>
    <w:rsid w:val="00135713"/>
    <w:rsid w:val="00136054"/>
    <w:rsid w:val="00136102"/>
    <w:rsid w:val="00136CE1"/>
    <w:rsid w:val="00136D18"/>
    <w:rsid w:val="00136F46"/>
    <w:rsid w:val="00136F80"/>
    <w:rsid w:val="00137458"/>
    <w:rsid w:val="00137652"/>
    <w:rsid w:val="00137C14"/>
    <w:rsid w:val="00137D73"/>
    <w:rsid w:val="00140852"/>
    <w:rsid w:val="001411FF"/>
    <w:rsid w:val="0014132C"/>
    <w:rsid w:val="00141B0A"/>
    <w:rsid w:val="00141DA0"/>
    <w:rsid w:val="00141F54"/>
    <w:rsid w:val="001426DA"/>
    <w:rsid w:val="00142853"/>
    <w:rsid w:val="00142F38"/>
    <w:rsid w:val="001432D3"/>
    <w:rsid w:val="0014364C"/>
    <w:rsid w:val="00144849"/>
    <w:rsid w:val="001450DB"/>
    <w:rsid w:val="0014513D"/>
    <w:rsid w:val="00145184"/>
    <w:rsid w:val="001455F5"/>
    <w:rsid w:val="00145778"/>
    <w:rsid w:val="00146039"/>
    <w:rsid w:val="001460CF"/>
    <w:rsid w:val="001460D4"/>
    <w:rsid w:val="001461A4"/>
    <w:rsid w:val="00146436"/>
    <w:rsid w:val="0014662D"/>
    <w:rsid w:val="00150024"/>
    <w:rsid w:val="001505EE"/>
    <w:rsid w:val="0015078D"/>
    <w:rsid w:val="00150B80"/>
    <w:rsid w:val="00150C00"/>
    <w:rsid w:val="001510B6"/>
    <w:rsid w:val="001520EE"/>
    <w:rsid w:val="001527C9"/>
    <w:rsid w:val="00152A3E"/>
    <w:rsid w:val="0015391A"/>
    <w:rsid w:val="00153A34"/>
    <w:rsid w:val="00153FEE"/>
    <w:rsid w:val="0015415A"/>
    <w:rsid w:val="0015424C"/>
    <w:rsid w:val="00154317"/>
    <w:rsid w:val="00154342"/>
    <w:rsid w:val="00154445"/>
    <w:rsid w:val="00154972"/>
    <w:rsid w:val="00154D98"/>
    <w:rsid w:val="00154FE2"/>
    <w:rsid w:val="00155989"/>
    <w:rsid w:val="001563A5"/>
    <w:rsid w:val="001566EC"/>
    <w:rsid w:val="00156A68"/>
    <w:rsid w:val="00157094"/>
    <w:rsid w:val="001573C3"/>
    <w:rsid w:val="00157618"/>
    <w:rsid w:val="0016009A"/>
    <w:rsid w:val="0016059E"/>
    <w:rsid w:val="0016097C"/>
    <w:rsid w:val="00160CEC"/>
    <w:rsid w:val="00161783"/>
    <w:rsid w:val="0016206E"/>
    <w:rsid w:val="0016220F"/>
    <w:rsid w:val="00162971"/>
    <w:rsid w:val="00163A72"/>
    <w:rsid w:val="00163E2E"/>
    <w:rsid w:val="00164E54"/>
    <w:rsid w:val="00164EBC"/>
    <w:rsid w:val="001653C0"/>
    <w:rsid w:val="00165886"/>
    <w:rsid w:val="00165AC3"/>
    <w:rsid w:val="00165B9B"/>
    <w:rsid w:val="00166848"/>
    <w:rsid w:val="001673AD"/>
    <w:rsid w:val="00167781"/>
    <w:rsid w:val="00170996"/>
    <w:rsid w:val="00171739"/>
    <w:rsid w:val="0017173B"/>
    <w:rsid w:val="0017190E"/>
    <w:rsid w:val="001719A0"/>
    <w:rsid w:val="00171BAB"/>
    <w:rsid w:val="00171F37"/>
    <w:rsid w:val="0017265F"/>
    <w:rsid w:val="00172830"/>
    <w:rsid w:val="00172C03"/>
    <w:rsid w:val="00173CCE"/>
    <w:rsid w:val="00174140"/>
    <w:rsid w:val="00174B07"/>
    <w:rsid w:val="00175122"/>
    <w:rsid w:val="0017519B"/>
    <w:rsid w:val="001751C0"/>
    <w:rsid w:val="0017540F"/>
    <w:rsid w:val="00175645"/>
    <w:rsid w:val="00175AE8"/>
    <w:rsid w:val="00175FF1"/>
    <w:rsid w:val="001770A4"/>
    <w:rsid w:val="00177C87"/>
    <w:rsid w:val="001803B4"/>
    <w:rsid w:val="00181267"/>
    <w:rsid w:val="001812BF"/>
    <w:rsid w:val="0018130A"/>
    <w:rsid w:val="00181394"/>
    <w:rsid w:val="00181B3C"/>
    <w:rsid w:val="001825A8"/>
    <w:rsid w:val="00182698"/>
    <w:rsid w:val="001830D3"/>
    <w:rsid w:val="0018319F"/>
    <w:rsid w:val="00183874"/>
    <w:rsid w:val="00183CA4"/>
    <w:rsid w:val="00183DA5"/>
    <w:rsid w:val="00184840"/>
    <w:rsid w:val="00185242"/>
    <w:rsid w:val="00185731"/>
    <w:rsid w:val="00185880"/>
    <w:rsid w:val="00185D12"/>
    <w:rsid w:val="00186918"/>
    <w:rsid w:val="00186CE6"/>
    <w:rsid w:val="0018742A"/>
    <w:rsid w:val="001877EE"/>
    <w:rsid w:val="00187865"/>
    <w:rsid w:val="00187C38"/>
    <w:rsid w:val="00190958"/>
    <w:rsid w:val="0019113C"/>
    <w:rsid w:val="00191EDC"/>
    <w:rsid w:val="00192950"/>
    <w:rsid w:val="00192DAA"/>
    <w:rsid w:val="0019308A"/>
    <w:rsid w:val="00193D9E"/>
    <w:rsid w:val="00194871"/>
    <w:rsid w:val="0019597A"/>
    <w:rsid w:val="001959ED"/>
    <w:rsid w:val="00195D2B"/>
    <w:rsid w:val="00195DD5"/>
    <w:rsid w:val="00196160"/>
    <w:rsid w:val="0019634C"/>
    <w:rsid w:val="001963F6"/>
    <w:rsid w:val="0019777D"/>
    <w:rsid w:val="00197842"/>
    <w:rsid w:val="001A0384"/>
    <w:rsid w:val="001A09B5"/>
    <w:rsid w:val="001A0A76"/>
    <w:rsid w:val="001A161A"/>
    <w:rsid w:val="001A22B4"/>
    <w:rsid w:val="001A2385"/>
    <w:rsid w:val="001A2447"/>
    <w:rsid w:val="001A2766"/>
    <w:rsid w:val="001A284D"/>
    <w:rsid w:val="001A28C2"/>
    <w:rsid w:val="001A33C5"/>
    <w:rsid w:val="001A3C59"/>
    <w:rsid w:val="001A3E90"/>
    <w:rsid w:val="001A4112"/>
    <w:rsid w:val="001A41D1"/>
    <w:rsid w:val="001A43F9"/>
    <w:rsid w:val="001A4B44"/>
    <w:rsid w:val="001A4E88"/>
    <w:rsid w:val="001A515D"/>
    <w:rsid w:val="001A5A60"/>
    <w:rsid w:val="001A5F04"/>
    <w:rsid w:val="001A6627"/>
    <w:rsid w:val="001A68A5"/>
    <w:rsid w:val="001A6C43"/>
    <w:rsid w:val="001A7831"/>
    <w:rsid w:val="001A7963"/>
    <w:rsid w:val="001A798B"/>
    <w:rsid w:val="001A7BF0"/>
    <w:rsid w:val="001B05FD"/>
    <w:rsid w:val="001B0A67"/>
    <w:rsid w:val="001B0F5D"/>
    <w:rsid w:val="001B17D6"/>
    <w:rsid w:val="001B1EAF"/>
    <w:rsid w:val="001B2198"/>
    <w:rsid w:val="001B27BC"/>
    <w:rsid w:val="001B2ACE"/>
    <w:rsid w:val="001B2F69"/>
    <w:rsid w:val="001B312C"/>
    <w:rsid w:val="001B3C4F"/>
    <w:rsid w:val="001B4537"/>
    <w:rsid w:val="001B465A"/>
    <w:rsid w:val="001B4DDF"/>
    <w:rsid w:val="001B4F19"/>
    <w:rsid w:val="001B50B0"/>
    <w:rsid w:val="001B54ED"/>
    <w:rsid w:val="001B5733"/>
    <w:rsid w:val="001B594C"/>
    <w:rsid w:val="001B5A64"/>
    <w:rsid w:val="001B6314"/>
    <w:rsid w:val="001B6F4A"/>
    <w:rsid w:val="001B76F0"/>
    <w:rsid w:val="001C0AB7"/>
    <w:rsid w:val="001C0B40"/>
    <w:rsid w:val="001C0BF2"/>
    <w:rsid w:val="001C1085"/>
    <w:rsid w:val="001C16AE"/>
    <w:rsid w:val="001C18AA"/>
    <w:rsid w:val="001C1E51"/>
    <w:rsid w:val="001C1FDD"/>
    <w:rsid w:val="001C206C"/>
    <w:rsid w:val="001C208D"/>
    <w:rsid w:val="001C2464"/>
    <w:rsid w:val="001C28D7"/>
    <w:rsid w:val="001C317D"/>
    <w:rsid w:val="001C3304"/>
    <w:rsid w:val="001C3BD1"/>
    <w:rsid w:val="001C4417"/>
    <w:rsid w:val="001C4C7D"/>
    <w:rsid w:val="001C4FCB"/>
    <w:rsid w:val="001C522A"/>
    <w:rsid w:val="001C662D"/>
    <w:rsid w:val="001C673E"/>
    <w:rsid w:val="001C6FE6"/>
    <w:rsid w:val="001C7A35"/>
    <w:rsid w:val="001D0666"/>
    <w:rsid w:val="001D07C9"/>
    <w:rsid w:val="001D086F"/>
    <w:rsid w:val="001D0D30"/>
    <w:rsid w:val="001D0F39"/>
    <w:rsid w:val="001D14D7"/>
    <w:rsid w:val="001D18CB"/>
    <w:rsid w:val="001D19AC"/>
    <w:rsid w:val="001D209B"/>
    <w:rsid w:val="001D21ED"/>
    <w:rsid w:val="001D2932"/>
    <w:rsid w:val="001D2AD4"/>
    <w:rsid w:val="001D2D09"/>
    <w:rsid w:val="001D2D6A"/>
    <w:rsid w:val="001D3445"/>
    <w:rsid w:val="001D35C3"/>
    <w:rsid w:val="001D3B64"/>
    <w:rsid w:val="001D3E9C"/>
    <w:rsid w:val="001D4098"/>
    <w:rsid w:val="001D41BB"/>
    <w:rsid w:val="001D49F2"/>
    <w:rsid w:val="001D4D61"/>
    <w:rsid w:val="001D52AB"/>
    <w:rsid w:val="001D5E0A"/>
    <w:rsid w:val="001D5E50"/>
    <w:rsid w:val="001D60C6"/>
    <w:rsid w:val="001D61F4"/>
    <w:rsid w:val="001D6475"/>
    <w:rsid w:val="001D654C"/>
    <w:rsid w:val="001D688E"/>
    <w:rsid w:val="001D7277"/>
    <w:rsid w:val="001D749A"/>
    <w:rsid w:val="001D7633"/>
    <w:rsid w:val="001D7DE0"/>
    <w:rsid w:val="001D7FB3"/>
    <w:rsid w:val="001E01FC"/>
    <w:rsid w:val="001E044A"/>
    <w:rsid w:val="001E0545"/>
    <w:rsid w:val="001E0B5C"/>
    <w:rsid w:val="001E0F31"/>
    <w:rsid w:val="001E12FB"/>
    <w:rsid w:val="001E13BD"/>
    <w:rsid w:val="001E161F"/>
    <w:rsid w:val="001E1830"/>
    <w:rsid w:val="001E1B68"/>
    <w:rsid w:val="001E24FD"/>
    <w:rsid w:val="001E2638"/>
    <w:rsid w:val="001E2F49"/>
    <w:rsid w:val="001E3888"/>
    <w:rsid w:val="001E4C92"/>
    <w:rsid w:val="001E5899"/>
    <w:rsid w:val="001E64A8"/>
    <w:rsid w:val="001E66D3"/>
    <w:rsid w:val="001E6E6A"/>
    <w:rsid w:val="001E7283"/>
    <w:rsid w:val="001E75A5"/>
    <w:rsid w:val="001E7BBF"/>
    <w:rsid w:val="001F0457"/>
    <w:rsid w:val="001F045A"/>
    <w:rsid w:val="001F07BC"/>
    <w:rsid w:val="001F0EEE"/>
    <w:rsid w:val="001F158C"/>
    <w:rsid w:val="001F1A48"/>
    <w:rsid w:val="001F1BC1"/>
    <w:rsid w:val="001F1D8E"/>
    <w:rsid w:val="001F21E3"/>
    <w:rsid w:val="001F2410"/>
    <w:rsid w:val="001F2B82"/>
    <w:rsid w:val="001F3B11"/>
    <w:rsid w:val="001F3BD3"/>
    <w:rsid w:val="001F4017"/>
    <w:rsid w:val="001F435C"/>
    <w:rsid w:val="001F4CFE"/>
    <w:rsid w:val="001F4DE1"/>
    <w:rsid w:val="001F676E"/>
    <w:rsid w:val="001F6CD0"/>
    <w:rsid w:val="001F71B0"/>
    <w:rsid w:val="001F7497"/>
    <w:rsid w:val="001F76C9"/>
    <w:rsid w:val="001F7BD5"/>
    <w:rsid w:val="001F7C5B"/>
    <w:rsid w:val="00200014"/>
    <w:rsid w:val="0020026F"/>
    <w:rsid w:val="002008B7"/>
    <w:rsid w:val="002009DE"/>
    <w:rsid w:val="00200CFA"/>
    <w:rsid w:val="00200D5F"/>
    <w:rsid w:val="00200D93"/>
    <w:rsid w:val="00200FAB"/>
    <w:rsid w:val="00201DA5"/>
    <w:rsid w:val="00202679"/>
    <w:rsid w:val="00202852"/>
    <w:rsid w:val="002028E5"/>
    <w:rsid w:val="00202EEB"/>
    <w:rsid w:val="0020381E"/>
    <w:rsid w:val="002039E0"/>
    <w:rsid w:val="00203E78"/>
    <w:rsid w:val="002040DF"/>
    <w:rsid w:val="00205488"/>
    <w:rsid w:val="002056F6"/>
    <w:rsid w:val="00205C17"/>
    <w:rsid w:val="002060DB"/>
    <w:rsid w:val="00206130"/>
    <w:rsid w:val="00206E22"/>
    <w:rsid w:val="0020705C"/>
    <w:rsid w:val="00207671"/>
    <w:rsid w:val="00207EAF"/>
    <w:rsid w:val="00210928"/>
    <w:rsid w:val="00210BE6"/>
    <w:rsid w:val="0021139F"/>
    <w:rsid w:val="00211C12"/>
    <w:rsid w:val="00211CE2"/>
    <w:rsid w:val="0021211F"/>
    <w:rsid w:val="002127B4"/>
    <w:rsid w:val="00212AE9"/>
    <w:rsid w:val="00212F50"/>
    <w:rsid w:val="00213037"/>
    <w:rsid w:val="002131F4"/>
    <w:rsid w:val="00213784"/>
    <w:rsid w:val="0021418A"/>
    <w:rsid w:val="00214D09"/>
    <w:rsid w:val="00214EDC"/>
    <w:rsid w:val="00214F2E"/>
    <w:rsid w:val="00215204"/>
    <w:rsid w:val="0021581D"/>
    <w:rsid w:val="002159A1"/>
    <w:rsid w:val="00215B4C"/>
    <w:rsid w:val="00216487"/>
    <w:rsid w:val="002168BC"/>
    <w:rsid w:val="00217108"/>
    <w:rsid w:val="00217C6D"/>
    <w:rsid w:val="00217F97"/>
    <w:rsid w:val="00220ABB"/>
    <w:rsid w:val="00220DF6"/>
    <w:rsid w:val="00221CC9"/>
    <w:rsid w:val="0022206C"/>
    <w:rsid w:val="00222266"/>
    <w:rsid w:val="002222BE"/>
    <w:rsid w:val="002224A7"/>
    <w:rsid w:val="002232A7"/>
    <w:rsid w:val="0022370E"/>
    <w:rsid w:val="0022434E"/>
    <w:rsid w:val="00224C95"/>
    <w:rsid w:val="002253C2"/>
    <w:rsid w:val="00225A80"/>
    <w:rsid w:val="00225DCC"/>
    <w:rsid w:val="00225FFA"/>
    <w:rsid w:val="00226112"/>
    <w:rsid w:val="002261A2"/>
    <w:rsid w:val="002264E1"/>
    <w:rsid w:val="00226597"/>
    <w:rsid w:val="00226BDF"/>
    <w:rsid w:val="00226DDE"/>
    <w:rsid w:val="0022726D"/>
    <w:rsid w:val="00227E00"/>
    <w:rsid w:val="00230BA9"/>
    <w:rsid w:val="00230D75"/>
    <w:rsid w:val="00230DF2"/>
    <w:rsid w:val="00231060"/>
    <w:rsid w:val="002314FF"/>
    <w:rsid w:val="00231819"/>
    <w:rsid w:val="00231A77"/>
    <w:rsid w:val="00231D4D"/>
    <w:rsid w:val="00231DB1"/>
    <w:rsid w:val="002320D3"/>
    <w:rsid w:val="002320EA"/>
    <w:rsid w:val="00232ADD"/>
    <w:rsid w:val="00232F76"/>
    <w:rsid w:val="00233034"/>
    <w:rsid w:val="0023314C"/>
    <w:rsid w:val="00234059"/>
    <w:rsid w:val="00234A2E"/>
    <w:rsid w:val="00234DB9"/>
    <w:rsid w:val="002356A7"/>
    <w:rsid w:val="00235AE0"/>
    <w:rsid w:val="00235CB6"/>
    <w:rsid w:val="00235FE1"/>
    <w:rsid w:val="00236165"/>
    <w:rsid w:val="002362EC"/>
    <w:rsid w:val="0023664E"/>
    <w:rsid w:val="002368ED"/>
    <w:rsid w:val="00236E81"/>
    <w:rsid w:val="00237719"/>
    <w:rsid w:val="00237CDF"/>
    <w:rsid w:val="00240196"/>
    <w:rsid w:val="002409A5"/>
    <w:rsid w:val="00240B32"/>
    <w:rsid w:val="002418BF"/>
    <w:rsid w:val="00241A24"/>
    <w:rsid w:val="00241A7B"/>
    <w:rsid w:val="00241F7A"/>
    <w:rsid w:val="002437B9"/>
    <w:rsid w:val="00243E84"/>
    <w:rsid w:val="00244449"/>
    <w:rsid w:val="00244981"/>
    <w:rsid w:val="00245314"/>
    <w:rsid w:val="0024574B"/>
    <w:rsid w:val="002458E7"/>
    <w:rsid w:val="00246530"/>
    <w:rsid w:val="00246DD9"/>
    <w:rsid w:val="002478CA"/>
    <w:rsid w:val="00247AB3"/>
    <w:rsid w:val="00247CEF"/>
    <w:rsid w:val="00250433"/>
    <w:rsid w:val="00250513"/>
    <w:rsid w:val="00250806"/>
    <w:rsid w:val="002509CA"/>
    <w:rsid w:val="00250A7A"/>
    <w:rsid w:val="00251171"/>
    <w:rsid w:val="002512EC"/>
    <w:rsid w:val="00251C7D"/>
    <w:rsid w:val="00252404"/>
    <w:rsid w:val="00253233"/>
    <w:rsid w:val="002532D5"/>
    <w:rsid w:val="00254372"/>
    <w:rsid w:val="0025439C"/>
    <w:rsid w:val="0025467F"/>
    <w:rsid w:val="0025597F"/>
    <w:rsid w:val="00255E9E"/>
    <w:rsid w:val="00255EEB"/>
    <w:rsid w:val="00256274"/>
    <w:rsid w:val="0025689D"/>
    <w:rsid w:val="00256C5E"/>
    <w:rsid w:val="00256D85"/>
    <w:rsid w:val="00256DAC"/>
    <w:rsid w:val="00256DEA"/>
    <w:rsid w:val="00257283"/>
    <w:rsid w:val="0025729C"/>
    <w:rsid w:val="00257592"/>
    <w:rsid w:val="002603F1"/>
    <w:rsid w:val="00261871"/>
    <w:rsid w:val="002621FC"/>
    <w:rsid w:val="00262E6C"/>
    <w:rsid w:val="002635B1"/>
    <w:rsid w:val="00263A43"/>
    <w:rsid w:val="002644C1"/>
    <w:rsid w:val="00264554"/>
    <w:rsid w:val="00264BEB"/>
    <w:rsid w:val="0026523D"/>
    <w:rsid w:val="00265681"/>
    <w:rsid w:val="00265B47"/>
    <w:rsid w:val="00265C1B"/>
    <w:rsid w:val="00267696"/>
    <w:rsid w:val="00267A13"/>
    <w:rsid w:val="002702B0"/>
    <w:rsid w:val="00270419"/>
    <w:rsid w:val="00270503"/>
    <w:rsid w:val="002706BD"/>
    <w:rsid w:val="0027070A"/>
    <w:rsid w:val="00270C58"/>
    <w:rsid w:val="00270C74"/>
    <w:rsid w:val="00270F33"/>
    <w:rsid w:val="00271172"/>
    <w:rsid w:val="002714D6"/>
    <w:rsid w:val="00271A4E"/>
    <w:rsid w:val="00271FD0"/>
    <w:rsid w:val="00272769"/>
    <w:rsid w:val="00272B86"/>
    <w:rsid w:val="00272D4B"/>
    <w:rsid w:val="0027328E"/>
    <w:rsid w:val="002733CC"/>
    <w:rsid w:val="00273FC9"/>
    <w:rsid w:val="002743BC"/>
    <w:rsid w:val="00274715"/>
    <w:rsid w:val="00274F21"/>
    <w:rsid w:val="002753FA"/>
    <w:rsid w:val="00275487"/>
    <w:rsid w:val="00275730"/>
    <w:rsid w:val="00275A51"/>
    <w:rsid w:val="00275FAE"/>
    <w:rsid w:val="002765FB"/>
    <w:rsid w:val="002770A1"/>
    <w:rsid w:val="00277211"/>
    <w:rsid w:val="00277244"/>
    <w:rsid w:val="002777B2"/>
    <w:rsid w:val="002777CF"/>
    <w:rsid w:val="00277BD8"/>
    <w:rsid w:val="002803C2"/>
    <w:rsid w:val="002818F2"/>
    <w:rsid w:val="00281E01"/>
    <w:rsid w:val="002826AA"/>
    <w:rsid w:val="0028285A"/>
    <w:rsid w:val="00282FE4"/>
    <w:rsid w:val="00283366"/>
    <w:rsid w:val="002834F3"/>
    <w:rsid w:val="00283C1E"/>
    <w:rsid w:val="00283DEA"/>
    <w:rsid w:val="00284792"/>
    <w:rsid w:val="0028546C"/>
    <w:rsid w:val="00285BEE"/>
    <w:rsid w:val="002861A0"/>
    <w:rsid w:val="002869CC"/>
    <w:rsid w:val="00286BD1"/>
    <w:rsid w:val="00287025"/>
    <w:rsid w:val="00287681"/>
    <w:rsid w:val="00290186"/>
    <w:rsid w:val="0029086B"/>
    <w:rsid w:val="00290C65"/>
    <w:rsid w:val="002913A9"/>
    <w:rsid w:val="00291769"/>
    <w:rsid w:val="002919FC"/>
    <w:rsid w:val="00292753"/>
    <w:rsid w:val="00292C40"/>
    <w:rsid w:val="0029332E"/>
    <w:rsid w:val="00294438"/>
    <w:rsid w:val="002953CE"/>
    <w:rsid w:val="002958F0"/>
    <w:rsid w:val="002963AD"/>
    <w:rsid w:val="002965B4"/>
    <w:rsid w:val="00296B31"/>
    <w:rsid w:val="00296D27"/>
    <w:rsid w:val="00296DAB"/>
    <w:rsid w:val="00297CF8"/>
    <w:rsid w:val="00297F67"/>
    <w:rsid w:val="002A03F8"/>
    <w:rsid w:val="002A1653"/>
    <w:rsid w:val="002A1F61"/>
    <w:rsid w:val="002A21D3"/>
    <w:rsid w:val="002A24FB"/>
    <w:rsid w:val="002A26D0"/>
    <w:rsid w:val="002A270F"/>
    <w:rsid w:val="002A29BC"/>
    <w:rsid w:val="002A3C45"/>
    <w:rsid w:val="002A4479"/>
    <w:rsid w:val="002A45E0"/>
    <w:rsid w:val="002A49B2"/>
    <w:rsid w:val="002A4EB1"/>
    <w:rsid w:val="002A5009"/>
    <w:rsid w:val="002A5015"/>
    <w:rsid w:val="002A50E8"/>
    <w:rsid w:val="002A536F"/>
    <w:rsid w:val="002A63B3"/>
    <w:rsid w:val="002A6E98"/>
    <w:rsid w:val="002B017D"/>
    <w:rsid w:val="002B0631"/>
    <w:rsid w:val="002B0700"/>
    <w:rsid w:val="002B0ED2"/>
    <w:rsid w:val="002B1950"/>
    <w:rsid w:val="002B1B7E"/>
    <w:rsid w:val="002B24E0"/>
    <w:rsid w:val="002B27EB"/>
    <w:rsid w:val="002B2AE8"/>
    <w:rsid w:val="002B36E2"/>
    <w:rsid w:val="002B396E"/>
    <w:rsid w:val="002B3C82"/>
    <w:rsid w:val="002B3DDC"/>
    <w:rsid w:val="002B434C"/>
    <w:rsid w:val="002B43D0"/>
    <w:rsid w:val="002B47FC"/>
    <w:rsid w:val="002B5B24"/>
    <w:rsid w:val="002B6A8D"/>
    <w:rsid w:val="002B6E0E"/>
    <w:rsid w:val="002B706B"/>
    <w:rsid w:val="002B72F2"/>
    <w:rsid w:val="002B7728"/>
    <w:rsid w:val="002B7E28"/>
    <w:rsid w:val="002C01DC"/>
    <w:rsid w:val="002C05F2"/>
    <w:rsid w:val="002C0936"/>
    <w:rsid w:val="002C0969"/>
    <w:rsid w:val="002C09FA"/>
    <w:rsid w:val="002C0D24"/>
    <w:rsid w:val="002C27E8"/>
    <w:rsid w:val="002C42E6"/>
    <w:rsid w:val="002C4C10"/>
    <w:rsid w:val="002C4DE6"/>
    <w:rsid w:val="002C5068"/>
    <w:rsid w:val="002C51FE"/>
    <w:rsid w:val="002C5B1B"/>
    <w:rsid w:val="002C6277"/>
    <w:rsid w:val="002C6AB0"/>
    <w:rsid w:val="002C6D25"/>
    <w:rsid w:val="002C70F1"/>
    <w:rsid w:val="002C7E85"/>
    <w:rsid w:val="002D0144"/>
    <w:rsid w:val="002D03DD"/>
    <w:rsid w:val="002D0F90"/>
    <w:rsid w:val="002D15C2"/>
    <w:rsid w:val="002D15DE"/>
    <w:rsid w:val="002D16C2"/>
    <w:rsid w:val="002D1FDF"/>
    <w:rsid w:val="002D2412"/>
    <w:rsid w:val="002D24B2"/>
    <w:rsid w:val="002D2701"/>
    <w:rsid w:val="002D2840"/>
    <w:rsid w:val="002D30A2"/>
    <w:rsid w:val="002D36C6"/>
    <w:rsid w:val="002D46EF"/>
    <w:rsid w:val="002D4B25"/>
    <w:rsid w:val="002D4E6E"/>
    <w:rsid w:val="002D57D5"/>
    <w:rsid w:val="002D5BA9"/>
    <w:rsid w:val="002D5BCD"/>
    <w:rsid w:val="002D65BA"/>
    <w:rsid w:val="002D70D2"/>
    <w:rsid w:val="002D76A9"/>
    <w:rsid w:val="002D7823"/>
    <w:rsid w:val="002D7982"/>
    <w:rsid w:val="002D79FD"/>
    <w:rsid w:val="002E00D1"/>
    <w:rsid w:val="002E0375"/>
    <w:rsid w:val="002E0958"/>
    <w:rsid w:val="002E11CC"/>
    <w:rsid w:val="002E22BB"/>
    <w:rsid w:val="002E2539"/>
    <w:rsid w:val="002E253F"/>
    <w:rsid w:val="002E2AD6"/>
    <w:rsid w:val="002E2CB2"/>
    <w:rsid w:val="002E3062"/>
    <w:rsid w:val="002E3148"/>
    <w:rsid w:val="002E31DA"/>
    <w:rsid w:val="002E3944"/>
    <w:rsid w:val="002E3DAA"/>
    <w:rsid w:val="002E42A4"/>
    <w:rsid w:val="002E4876"/>
    <w:rsid w:val="002E4D15"/>
    <w:rsid w:val="002E4FA8"/>
    <w:rsid w:val="002E5C00"/>
    <w:rsid w:val="002E5ED8"/>
    <w:rsid w:val="002E6317"/>
    <w:rsid w:val="002E64F8"/>
    <w:rsid w:val="002E6C80"/>
    <w:rsid w:val="002E73DE"/>
    <w:rsid w:val="002F0241"/>
    <w:rsid w:val="002F0A04"/>
    <w:rsid w:val="002F116C"/>
    <w:rsid w:val="002F135B"/>
    <w:rsid w:val="002F30BC"/>
    <w:rsid w:val="002F327E"/>
    <w:rsid w:val="002F32BA"/>
    <w:rsid w:val="002F3393"/>
    <w:rsid w:val="002F39AC"/>
    <w:rsid w:val="002F3F44"/>
    <w:rsid w:val="002F4154"/>
    <w:rsid w:val="002F494D"/>
    <w:rsid w:val="002F4A41"/>
    <w:rsid w:val="002F5C79"/>
    <w:rsid w:val="002F5CA7"/>
    <w:rsid w:val="002F5D91"/>
    <w:rsid w:val="002F6887"/>
    <w:rsid w:val="002F6C73"/>
    <w:rsid w:val="002F7361"/>
    <w:rsid w:val="002F755B"/>
    <w:rsid w:val="002F79F8"/>
    <w:rsid w:val="00300A28"/>
    <w:rsid w:val="00302234"/>
    <w:rsid w:val="0030246F"/>
    <w:rsid w:val="0030254F"/>
    <w:rsid w:val="00302754"/>
    <w:rsid w:val="003032A3"/>
    <w:rsid w:val="00303B0B"/>
    <w:rsid w:val="00304042"/>
    <w:rsid w:val="00304063"/>
    <w:rsid w:val="00304D25"/>
    <w:rsid w:val="00304F19"/>
    <w:rsid w:val="003055F0"/>
    <w:rsid w:val="00305897"/>
    <w:rsid w:val="00305BAD"/>
    <w:rsid w:val="00305C8C"/>
    <w:rsid w:val="0030603A"/>
    <w:rsid w:val="0030644B"/>
    <w:rsid w:val="00306AD5"/>
    <w:rsid w:val="00307224"/>
    <w:rsid w:val="00307BF3"/>
    <w:rsid w:val="00307CFA"/>
    <w:rsid w:val="00307F99"/>
    <w:rsid w:val="00307FFB"/>
    <w:rsid w:val="00310917"/>
    <w:rsid w:val="00311B0D"/>
    <w:rsid w:val="00311C69"/>
    <w:rsid w:val="00312187"/>
    <w:rsid w:val="00312E45"/>
    <w:rsid w:val="00313BC0"/>
    <w:rsid w:val="00313C67"/>
    <w:rsid w:val="0031406A"/>
    <w:rsid w:val="00314251"/>
    <w:rsid w:val="003145B9"/>
    <w:rsid w:val="00314652"/>
    <w:rsid w:val="00314697"/>
    <w:rsid w:val="00314A4F"/>
    <w:rsid w:val="00314E75"/>
    <w:rsid w:val="00315892"/>
    <w:rsid w:val="003160DB"/>
    <w:rsid w:val="003161D1"/>
    <w:rsid w:val="003167AA"/>
    <w:rsid w:val="003174D2"/>
    <w:rsid w:val="003174D9"/>
    <w:rsid w:val="00317A4F"/>
    <w:rsid w:val="00317E68"/>
    <w:rsid w:val="00320080"/>
    <w:rsid w:val="003200E8"/>
    <w:rsid w:val="003201E1"/>
    <w:rsid w:val="00320279"/>
    <w:rsid w:val="0032096F"/>
    <w:rsid w:val="00320CCA"/>
    <w:rsid w:val="00320E32"/>
    <w:rsid w:val="0032187C"/>
    <w:rsid w:val="00321C45"/>
    <w:rsid w:val="00321ED8"/>
    <w:rsid w:val="0032279F"/>
    <w:rsid w:val="00322A9D"/>
    <w:rsid w:val="00323B3D"/>
    <w:rsid w:val="00323CC0"/>
    <w:rsid w:val="00323F30"/>
    <w:rsid w:val="00323F9F"/>
    <w:rsid w:val="00324045"/>
    <w:rsid w:val="00324315"/>
    <w:rsid w:val="003249D3"/>
    <w:rsid w:val="0032659B"/>
    <w:rsid w:val="003268D8"/>
    <w:rsid w:val="003272A6"/>
    <w:rsid w:val="0032733D"/>
    <w:rsid w:val="00327902"/>
    <w:rsid w:val="00327D7F"/>
    <w:rsid w:val="00327FD5"/>
    <w:rsid w:val="0033083A"/>
    <w:rsid w:val="00330C86"/>
    <w:rsid w:val="0033119C"/>
    <w:rsid w:val="00331346"/>
    <w:rsid w:val="00331B06"/>
    <w:rsid w:val="00331B87"/>
    <w:rsid w:val="00332451"/>
    <w:rsid w:val="00332805"/>
    <w:rsid w:val="0033319F"/>
    <w:rsid w:val="00334A0A"/>
    <w:rsid w:val="00334BD7"/>
    <w:rsid w:val="003355CE"/>
    <w:rsid w:val="00335D57"/>
    <w:rsid w:val="00335E9E"/>
    <w:rsid w:val="003364A4"/>
    <w:rsid w:val="00337ADC"/>
    <w:rsid w:val="00337EDB"/>
    <w:rsid w:val="003400B7"/>
    <w:rsid w:val="00340F35"/>
    <w:rsid w:val="003410E9"/>
    <w:rsid w:val="0034139D"/>
    <w:rsid w:val="00342357"/>
    <w:rsid w:val="003427B0"/>
    <w:rsid w:val="003427FB"/>
    <w:rsid w:val="00344A8C"/>
    <w:rsid w:val="00344B14"/>
    <w:rsid w:val="00344EC2"/>
    <w:rsid w:val="00345CBC"/>
    <w:rsid w:val="00346A18"/>
    <w:rsid w:val="00346A5A"/>
    <w:rsid w:val="00346AA6"/>
    <w:rsid w:val="00347E5F"/>
    <w:rsid w:val="003506EE"/>
    <w:rsid w:val="0035091C"/>
    <w:rsid w:val="00350954"/>
    <w:rsid w:val="00350F28"/>
    <w:rsid w:val="0035100B"/>
    <w:rsid w:val="00351CF3"/>
    <w:rsid w:val="003529EF"/>
    <w:rsid w:val="00352B51"/>
    <w:rsid w:val="00352BDD"/>
    <w:rsid w:val="00352D78"/>
    <w:rsid w:val="00353A76"/>
    <w:rsid w:val="00353A9A"/>
    <w:rsid w:val="003541A8"/>
    <w:rsid w:val="003543B1"/>
    <w:rsid w:val="003548F3"/>
    <w:rsid w:val="00355979"/>
    <w:rsid w:val="00355EA4"/>
    <w:rsid w:val="003561FC"/>
    <w:rsid w:val="003563B9"/>
    <w:rsid w:val="00356835"/>
    <w:rsid w:val="00356A8B"/>
    <w:rsid w:val="00356DA6"/>
    <w:rsid w:val="003571EE"/>
    <w:rsid w:val="003573CC"/>
    <w:rsid w:val="00357604"/>
    <w:rsid w:val="00357BEC"/>
    <w:rsid w:val="00357CB5"/>
    <w:rsid w:val="00357DB9"/>
    <w:rsid w:val="0036072C"/>
    <w:rsid w:val="00360805"/>
    <w:rsid w:val="003612A8"/>
    <w:rsid w:val="003625DF"/>
    <w:rsid w:val="00363123"/>
    <w:rsid w:val="0036359D"/>
    <w:rsid w:val="003639CA"/>
    <w:rsid w:val="00364378"/>
    <w:rsid w:val="0036486A"/>
    <w:rsid w:val="00364B22"/>
    <w:rsid w:val="00364CEE"/>
    <w:rsid w:val="00364E34"/>
    <w:rsid w:val="003654FD"/>
    <w:rsid w:val="00365A70"/>
    <w:rsid w:val="00365CB2"/>
    <w:rsid w:val="00366FC4"/>
    <w:rsid w:val="00367063"/>
    <w:rsid w:val="00367D2D"/>
    <w:rsid w:val="00367F22"/>
    <w:rsid w:val="0037027E"/>
    <w:rsid w:val="0037031C"/>
    <w:rsid w:val="00370785"/>
    <w:rsid w:val="00370A17"/>
    <w:rsid w:val="00370B86"/>
    <w:rsid w:val="00370CA9"/>
    <w:rsid w:val="00371051"/>
    <w:rsid w:val="00371860"/>
    <w:rsid w:val="00371B82"/>
    <w:rsid w:val="003722E5"/>
    <w:rsid w:val="003725C1"/>
    <w:rsid w:val="00372990"/>
    <w:rsid w:val="00373F53"/>
    <w:rsid w:val="00374980"/>
    <w:rsid w:val="00374B0F"/>
    <w:rsid w:val="00374F8C"/>
    <w:rsid w:val="00375289"/>
    <w:rsid w:val="00375376"/>
    <w:rsid w:val="0037549B"/>
    <w:rsid w:val="003756E3"/>
    <w:rsid w:val="00375DF7"/>
    <w:rsid w:val="00376B8E"/>
    <w:rsid w:val="00376E40"/>
    <w:rsid w:val="00376EAA"/>
    <w:rsid w:val="0037704C"/>
    <w:rsid w:val="00377288"/>
    <w:rsid w:val="0037739C"/>
    <w:rsid w:val="00377D08"/>
    <w:rsid w:val="003802D8"/>
    <w:rsid w:val="00380E3A"/>
    <w:rsid w:val="00380F5A"/>
    <w:rsid w:val="003811D5"/>
    <w:rsid w:val="003811DF"/>
    <w:rsid w:val="00381713"/>
    <w:rsid w:val="00381A05"/>
    <w:rsid w:val="00382098"/>
    <w:rsid w:val="003821F1"/>
    <w:rsid w:val="00382DFC"/>
    <w:rsid w:val="00383004"/>
    <w:rsid w:val="00383206"/>
    <w:rsid w:val="003836C4"/>
    <w:rsid w:val="003837B4"/>
    <w:rsid w:val="00383C91"/>
    <w:rsid w:val="00383ED8"/>
    <w:rsid w:val="0038471F"/>
    <w:rsid w:val="00385952"/>
    <w:rsid w:val="00385B7C"/>
    <w:rsid w:val="00385D9D"/>
    <w:rsid w:val="00386125"/>
    <w:rsid w:val="0038613E"/>
    <w:rsid w:val="00386E94"/>
    <w:rsid w:val="00387079"/>
    <w:rsid w:val="003876C1"/>
    <w:rsid w:val="003901C6"/>
    <w:rsid w:val="00390394"/>
    <w:rsid w:val="0039042D"/>
    <w:rsid w:val="00390A06"/>
    <w:rsid w:val="00390B74"/>
    <w:rsid w:val="003919AF"/>
    <w:rsid w:val="003919C6"/>
    <w:rsid w:val="00392DAF"/>
    <w:rsid w:val="0039306C"/>
    <w:rsid w:val="00393856"/>
    <w:rsid w:val="0039400D"/>
    <w:rsid w:val="0039447F"/>
    <w:rsid w:val="003969A3"/>
    <w:rsid w:val="00396B67"/>
    <w:rsid w:val="00396BBE"/>
    <w:rsid w:val="00396DD0"/>
    <w:rsid w:val="003973E4"/>
    <w:rsid w:val="00397BB2"/>
    <w:rsid w:val="003A079D"/>
    <w:rsid w:val="003A09D4"/>
    <w:rsid w:val="003A1522"/>
    <w:rsid w:val="003A1A2E"/>
    <w:rsid w:val="003A254C"/>
    <w:rsid w:val="003A2C50"/>
    <w:rsid w:val="003A40DB"/>
    <w:rsid w:val="003A4255"/>
    <w:rsid w:val="003A46B0"/>
    <w:rsid w:val="003A495B"/>
    <w:rsid w:val="003A554B"/>
    <w:rsid w:val="003A5761"/>
    <w:rsid w:val="003A5C3A"/>
    <w:rsid w:val="003A60D4"/>
    <w:rsid w:val="003A627C"/>
    <w:rsid w:val="003A6662"/>
    <w:rsid w:val="003A68CE"/>
    <w:rsid w:val="003A69FF"/>
    <w:rsid w:val="003A6DFB"/>
    <w:rsid w:val="003A706F"/>
    <w:rsid w:val="003A751A"/>
    <w:rsid w:val="003A75CB"/>
    <w:rsid w:val="003B041E"/>
    <w:rsid w:val="003B05C6"/>
    <w:rsid w:val="003B0732"/>
    <w:rsid w:val="003B133C"/>
    <w:rsid w:val="003B13E9"/>
    <w:rsid w:val="003B1B5C"/>
    <w:rsid w:val="003B201E"/>
    <w:rsid w:val="003B2E47"/>
    <w:rsid w:val="003B3E86"/>
    <w:rsid w:val="003B3F44"/>
    <w:rsid w:val="003B4443"/>
    <w:rsid w:val="003B4827"/>
    <w:rsid w:val="003B4BB2"/>
    <w:rsid w:val="003B528A"/>
    <w:rsid w:val="003B5719"/>
    <w:rsid w:val="003B5AE1"/>
    <w:rsid w:val="003B5C6D"/>
    <w:rsid w:val="003B655E"/>
    <w:rsid w:val="003B6873"/>
    <w:rsid w:val="003B7475"/>
    <w:rsid w:val="003C01D3"/>
    <w:rsid w:val="003C04C2"/>
    <w:rsid w:val="003C076D"/>
    <w:rsid w:val="003C09E1"/>
    <w:rsid w:val="003C0AF8"/>
    <w:rsid w:val="003C1F0B"/>
    <w:rsid w:val="003C23FC"/>
    <w:rsid w:val="003C2D23"/>
    <w:rsid w:val="003C304D"/>
    <w:rsid w:val="003C3266"/>
    <w:rsid w:val="003C343B"/>
    <w:rsid w:val="003C367F"/>
    <w:rsid w:val="003C4094"/>
    <w:rsid w:val="003C422E"/>
    <w:rsid w:val="003C43E8"/>
    <w:rsid w:val="003C4E8F"/>
    <w:rsid w:val="003C57A9"/>
    <w:rsid w:val="003C5B4E"/>
    <w:rsid w:val="003C5FDD"/>
    <w:rsid w:val="003C6653"/>
    <w:rsid w:val="003C6D57"/>
    <w:rsid w:val="003C73E5"/>
    <w:rsid w:val="003C777C"/>
    <w:rsid w:val="003D04DF"/>
    <w:rsid w:val="003D0C19"/>
    <w:rsid w:val="003D14DF"/>
    <w:rsid w:val="003D15E4"/>
    <w:rsid w:val="003D17F1"/>
    <w:rsid w:val="003D1E04"/>
    <w:rsid w:val="003D35EB"/>
    <w:rsid w:val="003D3AAD"/>
    <w:rsid w:val="003D3E24"/>
    <w:rsid w:val="003D40C8"/>
    <w:rsid w:val="003D44DD"/>
    <w:rsid w:val="003D4585"/>
    <w:rsid w:val="003D4963"/>
    <w:rsid w:val="003D4F40"/>
    <w:rsid w:val="003D51C3"/>
    <w:rsid w:val="003D5FB2"/>
    <w:rsid w:val="003D6F05"/>
    <w:rsid w:val="003D7FEA"/>
    <w:rsid w:val="003E02FD"/>
    <w:rsid w:val="003E0575"/>
    <w:rsid w:val="003E065E"/>
    <w:rsid w:val="003E0F41"/>
    <w:rsid w:val="003E13B4"/>
    <w:rsid w:val="003E1A93"/>
    <w:rsid w:val="003E249C"/>
    <w:rsid w:val="003E3701"/>
    <w:rsid w:val="003E3921"/>
    <w:rsid w:val="003E3C33"/>
    <w:rsid w:val="003E3D9B"/>
    <w:rsid w:val="003E4846"/>
    <w:rsid w:val="003E4F70"/>
    <w:rsid w:val="003E51BA"/>
    <w:rsid w:val="003E54F0"/>
    <w:rsid w:val="003E5B22"/>
    <w:rsid w:val="003E5D20"/>
    <w:rsid w:val="003E5DB1"/>
    <w:rsid w:val="003E69C5"/>
    <w:rsid w:val="003E6A54"/>
    <w:rsid w:val="003E6BE5"/>
    <w:rsid w:val="003E749E"/>
    <w:rsid w:val="003E75E9"/>
    <w:rsid w:val="003E77E0"/>
    <w:rsid w:val="003E7938"/>
    <w:rsid w:val="003F00D3"/>
    <w:rsid w:val="003F0755"/>
    <w:rsid w:val="003F1357"/>
    <w:rsid w:val="003F1491"/>
    <w:rsid w:val="003F1593"/>
    <w:rsid w:val="003F1698"/>
    <w:rsid w:val="003F1A14"/>
    <w:rsid w:val="003F1B02"/>
    <w:rsid w:val="003F2211"/>
    <w:rsid w:val="003F2321"/>
    <w:rsid w:val="003F295D"/>
    <w:rsid w:val="003F29F1"/>
    <w:rsid w:val="003F2B42"/>
    <w:rsid w:val="003F2DC4"/>
    <w:rsid w:val="003F30A4"/>
    <w:rsid w:val="003F350A"/>
    <w:rsid w:val="003F3858"/>
    <w:rsid w:val="003F3DF8"/>
    <w:rsid w:val="003F40BC"/>
    <w:rsid w:val="003F45F7"/>
    <w:rsid w:val="003F5152"/>
    <w:rsid w:val="003F523B"/>
    <w:rsid w:val="003F61F1"/>
    <w:rsid w:val="003F6E45"/>
    <w:rsid w:val="003F75B1"/>
    <w:rsid w:val="003F75E6"/>
    <w:rsid w:val="003F7C0F"/>
    <w:rsid w:val="003F7F0A"/>
    <w:rsid w:val="00400DEC"/>
    <w:rsid w:val="00401FA7"/>
    <w:rsid w:val="004020CC"/>
    <w:rsid w:val="00402B8F"/>
    <w:rsid w:val="00402D61"/>
    <w:rsid w:val="0040311B"/>
    <w:rsid w:val="00403392"/>
    <w:rsid w:val="00403508"/>
    <w:rsid w:val="004037F8"/>
    <w:rsid w:val="00404046"/>
    <w:rsid w:val="00404366"/>
    <w:rsid w:val="0040505B"/>
    <w:rsid w:val="004054D7"/>
    <w:rsid w:val="004064E0"/>
    <w:rsid w:val="004067E9"/>
    <w:rsid w:val="004068B5"/>
    <w:rsid w:val="00406CA3"/>
    <w:rsid w:val="00406F72"/>
    <w:rsid w:val="0040726F"/>
    <w:rsid w:val="004079BD"/>
    <w:rsid w:val="00407ABF"/>
    <w:rsid w:val="00407D91"/>
    <w:rsid w:val="00407F8F"/>
    <w:rsid w:val="00410441"/>
    <w:rsid w:val="0041088A"/>
    <w:rsid w:val="00410FDE"/>
    <w:rsid w:val="00411AE6"/>
    <w:rsid w:val="00411B5D"/>
    <w:rsid w:val="0041229C"/>
    <w:rsid w:val="004125F8"/>
    <w:rsid w:val="0041282C"/>
    <w:rsid w:val="004131B9"/>
    <w:rsid w:val="00413256"/>
    <w:rsid w:val="00413AFF"/>
    <w:rsid w:val="00413BF2"/>
    <w:rsid w:val="0041495A"/>
    <w:rsid w:val="00414BF6"/>
    <w:rsid w:val="0041537F"/>
    <w:rsid w:val="00415578"/>
    <w:rsid w:val="00415FE4"/>
    <w:rsid w:val="0041619E"/>
    <w:rsid w:val="004164DE"/>
    <w:rsid w:val="00416786"/>
    <w:rsid w:val="00416B16"/>
    <w:rsid w:val="00417194"/>
    <w:rsid w:val="00417B6A"/>
    <w:rsid w:val="00417BE2"/>
    <w:rsid w:val="0042023A"/>
    <w:rsid w:val="00420668"/>
    <w:rsid w:val="00420BEC"/>
    <w:rsid w:val="00420D3C"/>
    <w:rsid w:val="00420E5F"/>
    <w:rsid w:val="004212A4"/>
    <w:rsid w:val="0042131F"/>
    <w:rsid w:val="00422074"/>
    <w:rsid w:val="004228A3"/>
    <w:rsid w:val="00422D4B"/>
    <w:rsid w:val="00422DC6"/>
    <w:rsid w:val="0042313D"/>
    <w:rsid w:val="004232EC"/>
    <w:rsid w:val="00423305"/>
    <w:rsid w:val="00423A46"/>
    <w:rsid w:val="00423D5E"/>
    <w:rsid w:val="0042401D"/>
    <w:rsid w:val="00425166"/>
    <w:rsid w:val="004252DD"/>
    <w:rsid w:val="00425A0A"/>
    <w:rsid w:val="004265F9"/>
    <w:rsid w:val="00426C91"/>
    <w:rsid w:val="0042739D"/>
    <w:rsid w:val="00427464"/>
    <w:rsid w:val="00427A67"/>
    <w:rsid w:val="00427C00"/>
    <w:rsid w:val="00427D57"/>
    <w:rsid w:val="00427EDD"/>
    <w:rsid w:val="00430735"/>
    <w:rsid w:val="00430D63"/>
    <w:rsid w:val="00430E27"/>
    <w:rsid w:val="00430FA6"/>
    <w:rsid w:val="004311CA"/>
    <w:rsid w:val="0043258E"/>
    <w:rsid w:val="004326E3"/>
    <w:rsid w:val="004328BB"/>
    <w:rsid w:val="00432951"/>
    <w:rsid w:val="00432D24"/>
    <w:rsid w:val="00433B56"/>
    <w:rsid w:val="004349CA"/>
    <w:rsid w:val="00434B0E"/>
    <w:rsid w:val="004351B3"/>
    <w:rsid w:val="00435861"/>
    <w:rsid w:val="00436119"/>
    <w:rsid w:val="00436458"/>
    <w:rsid w:val="004370F2"/>
    <w:rsid w:val="00437468"/>
    <w:rsid w:val="00437B79"/>
    <w:rsid w:val="00437C21"/>
    <w:rsid w:val="00437D25"/>
    <w:rsid w:val="00437E8E"/>
    <w:rsid w:val="004401A4"/>
    <w:rsid w:val="004404D4"/>
    <w:rsid w:val="00440674"/>
    <w:rsid w:val="00441400"/>
    <w:rsid w:val="0044199C"/>
    <w:rsid w:val="00441DD8"/>
    <w:rsid w:val="0044296F"/>
    <w:rsid w:val="004430E5"/>
    <w:rsid w:val="00443220"/>
    <w:rsid w:val="0044342B"/>
    <w:rsid w:val="00443A7F"/>
    <w:rsid w:val="00443D0E"/>
    <w:rsid w:val="00443FAA"/>
    <w:rsid w:val="00444237"/>
    <w:rsid w:val="0044435C"/>
    <w:rsid w:val="00444793"/>
    <w:rsid w:val="00444CDF"/>
    <w:rsid w:val="00444D8D"/>
    <w:rsid w:val="00445737"/>
    <w:rsid w:val="00445BAA"/>
    <w:rsid w:val="00445E97"/>
    <w:rsid w:val="00445FB1"/>
    <w:rsid w:val="004460C8"/>
    <w:rsid w:val="0044625F"/>
    <w:rsid w:val="00446F4D"/>
    <w:rsid w:val="00446FD4"/>
    <w:rsid w:val="00447464"/>
    <w:rsid w:val="00447AB2"/>
    <w:rsid w:val="00447DCF"/>
    <w:rsid w:val="004502C2"/>
    <w:rsid w:val="00450472"/>
    <w:rsid w:val="004508E0"/>
    <w:rsid w:val="00450991"/>
    <w:rsid w:val="004509A7"/>
    <w:rsid w:val="00451451"/>
    <w:rsid w:val="00451A67"/>
    <w:rsid w:val="00451EDC"/>
    <w:rsid w:val="004523AC"/>
    <w:rsid w:val="0045291E"/>
    <w:rsid w:val="00452A1C"/>
    <w:rsid w:val="00452D0B"/>
    <w:rsid w:val="00452E84"/>
    <w:rsid w:val="004535D9"/>
    <w:rsid w:val="00453838"/>
    <w:rsid w:val="004540D6"/>
    <w:rsid w:val="00454139"/>
    <w:rsid w:val="00454AB3"/>
    <w:rsid w:val="0045563A"/>
    <w:rsid w:val="004556F9"/>
    <w:rsid w:val="00455BFC"/>
    <w:rsid w:val="00456906"/>
    <w:rsid w:val="00457283"/>
    <w:rsid w:val="004573BD"/>
    <w:rsid w:val="0045766F"/>
    <w:rsid w:val="004576C3"/>
    <w:rsid w:val="00457715"/>
    <w:rsid w:val="00457815"/>
    <w:rsid w:val="00460101"/>
    <w:rsid w:val="00460313"/>
    <w:rsid w:val="0046061A"/>
    <w:rsid w:val="00460F4D"/>
    <w:rsid w:val="00460F73"/>
    <w:rsid w:val="00461E2D"/>
    <w:rsid w:val="0046258E"/>
    <w:rsid w:val="004627EE"/>
    <w:rsid w:val="00462822"/>
    <w:rsid w:val="00463185"/>
    <w:rsid w:val="004631AF"/>
    <w:rsid w:val="00463519"/>
    <w:rsid w:val="004644EF"/>
    <w:rsid w:val="00464A34"/>
    <w:rsid w:val="00464F25"/>
    <w:rsid w:val="00465120"/>
    <w:rsid w:val="004653BF"/>
    <w:rsid w:val="00466356"/>
    <w:rsid w:val="00466536"/>
    <w:rsid w:val="00466592"/>
    <w:rsid w:val="00466C98"/>
    <w:rsid w:val="00466E0E"/>
    <w:rsid w:val="00466E83"/>
    <w:rsid w:val="00467368"/>
    <w:rsid w:val="004674BA"/>
    <w:rsid w:val="004675D9"/>
    <w:rsid w:val="004676E9"/>
    <w:rsid w:val="00467F06"/>
    <w:rsid w:val="0047008F"/>
    <w:rsid w:val="004707A6"/>
    <w:rsid w:val="0047088E"/>
    <w:rsid w:val="0047168F"/>
    <w:rsid w:val="00472C80"/>
    <w:rsid w:val="00472F61"/>
    <w:rsid w:val="00473CFB"/>
    <w:rsid w:val="00473DE0"/>
    <w:rsid w:val="00474073"/>
    <w:rsid w:val="004740CE"/>
    <w:rsid w:val="00476034"/>
    <w:rsid w:val="00476C53"/>
    <w:rsid w:val="00476DCC"/>
    <w:rsid w:val="00476FEE"/>
    <w:rsid w:val="00477125"/>
    <w:rsid w:val="00477487"/>
    <w:rsid w:val="00477F0F"/>
    <w:rsid w:val="0048061A"/>
    <w:rsid w:val="00481054"/>
    <w:rsid w:val="00481086"/>
    <w:rsid w:val="00481425"/>
    <w:rsid w:val="0048212A"/>
    <w:rsid w:val="00482AE9"/>
    <w:rsid w:val="0048315A"/>
    <w:rsid w:val="00483516"/>
    <w:rsid w:val="00484091"/>
    <w:rsid w:val="004846CE"/>
    <w:rsid w:val="00485104"/>
    <w:rsid w:val="0048617A"/>
    <w:rsid w:val="00486276"/>
    <w:rsid w:val="0048637C"/>
    <w:rsid w:val="00486584"/>
    <w:rsid w:val="004865DE"/>
    <w:rsid w:val="00486FB0"/>
    <w:rsid w:val="0048734C"/>
    <w:rsid w:val="0048735E"/>
    <w:rsid w:val="00490259"/>
    <w:rsid w:val="00490306"/>
    <w:rsid w:val="00490694"/>
    <w:rsid w:val="004907D4"/>
    <w:rsid w:val="00490C1A"/>
    <w:rsid w:val="004910A9"/>
    <w:rsid w:val="004911DD"/>
    <w:rsid w:val="00491261"/>
    <w:rsid w:val="004912F6"/>
    <w:rsid w:val="0049152B"/>
    <w:rsid w:val="00491FBE"/>
    <w:rsid w:val="004922E6"/>
    <w:rsid w:val="00492CB3"/>
    <w:rsid w:val="00492FA6"/>
    <w:rsid w:val="00493483"/>
    <w:rsid w:val="00493F2F"/>
    <w:rsid w:val="004944A1"/>
    <w:rsid w:val="004949B3"/>
    <w:rsid w:val="004950A5"/>
    <w:rsid w:val="004956A6"/>
    <w:rsid w:val="0049640B"/>
    <w:rsid w:val="00496666"/>
    <w:rsid w:val="00496F48"/>
    <w:rsid w:val="00496FCA"/>
    <w:rsid w:val="004A06A2"/>
    <w:rsid w:val="004A0D72"/>
    <w:rsid w:val="004A0DE9"/>
    <w:rsid w:val="004A0EEB"/>
    <w:rsid w:val="004A1740"/>
    <w:rsid w:val="004A1A7F"/>
    <w:rsid w:val="004A1D6A"/>
    <w:rsid w:val="004A2198"/>
    <w:rsid w:val="004A2366"/>
    <w:rsid w:val="004A292B"/>
    <w:rsid w:val="004A2C74"/>
    <w:rsid w:val="004A2D9E"/>
    <w:rsid w:val="004A358B"/>
    <w:rsid w:val="004A4DD2"/>
    <w:rsid w:val="004A4DD9"/>
    <w:rsid w:val="004A5816"/>
    <w:rsid w:val="004A58AD"/>
    <w:rsid w:val="004A599D"/>
    <w:rsid w:val="004A5A29"/>
    <w:rsid w:val="004A5DBC"/>
    <w:rsid w:val="004A6648"/>
    <w:rsid w:val="004A70D3"/>
    <w:rsid w:val="004A7970"/>
    <w:rsid w:val="004A7AA7"/>
    <w:rsid w:val="004B081A"/>
    <w:rsid w:val="004B0BA6"/>
    <w:rsid w:val="004B0C0A"/>
    <w:rsid w:val="004B1191"/>
    <w:rsid w:val="004B11E2"/>
    <w:rsid w:val="004B1589"/>
    <w:rsid w:val="004B17CB"/>
    <w:rsid w:val="004B2B27"/>
    <w:rsid w:val="004B2C66"/>
    <w:rsid w:val="004B34F2"/>
    <w:rsid w:val="004B3C0E"/>
    <w:rsid w:val="004B3C15"/>
    <w:rsid w:val="004B4439"/>
    <w:rsid w:val="004B5294"/>
    <w:rsid w:val="004B54A6"/>
    <w:rsid w:val="004B5B71"/>
    <w:rsid w:val="004B5D06"/>
    <w:rsid w:val="004B6434"/>
    <w:rsid w:val="004B68C1"/>
    <w:rsid w:val="004B77E3"/>
    <w:rsid w:val="004C094F"/>
    <w:rsid w:val="004C0BC9"/>
    <w:rsid w:val="004C1183"/>
    <w:rsid w:val="004C19C0"/>
    <w:rsid w:val="004C1E7E"/>
    <w:rsid w:val="004C211F"/>
    <w:rsid w:val="004C249C"/>
    <w:rsid w:val="004C2624"/>
    <w:rsid w:val="004C2898"/>
    <w:rsid w:val="004C2FAB"/>
    <w:rsid w:val="004C3437"/>
    <w:rsid w:val="004C37F6"/>
    <w:rsid w:val="004C3B56"/>
    <w:rsid w:val="004C4B18"/>
    <w:rsid w:val="004C512A"/>
    <w:rsid w:val="004C5A2E"/>
    <w:rsid w:val="004C5FA5"/>
    <w:rsid w:val="004C609F"/>
    <w:rsid w:val="004C6408"/>
    <w:rsid w:val="004C6ACF"/>
    <w:rsid w:val="004C71B8"/>
    <w:rsid w:val="004C7E54"/>
    <w:rsid w:val="004D0571"/>
    <w:rsid w:val="004D065C"/>
    <w:rsid w:val="004D0BB6"/>
    <w:rsid w:val="004D0C17"/>
    <w:rsid w:val="004D1156"/>
    <w:rsid w:val="004D16F6"/>
    <w:rsid w:val="004D209A"/>
    <w:rsid w:val="004D2847"/>
    <w:rsid w:val="004D287D"/>
    <w:rsid w:val="004D298C"/>
    <w:rsid w:val="004D2D73"/>
    <w:rsid w:val="004D3769"/>
    <w:rsid w:val="004D398E"/>
    <w:rsid w:val="004D3A7B"/>
    <w:rsid w:val="004D3C9E"/>
    <w:rsid w:val="004D43C7"/>
    <w:rsid w:val="004D450D"/>
    <w:rsid w:val="004D510B"/>
    <w:rsid w:val="004D53EB"/>
    <w:rsid w:val="004D5C44"/>
    <w:rsid w:val="004D6358"/>
    <w:rsid w:val="004D6375"/>
    <w:rsid w:val="004D647B"/>
    <w:rsid w:val="004D7259"/>
    <w:rsid w:val="004D7955"/>
    <w:rsid w:val="004E054B"/>
    <w:rsid w:val="004E0D9C"/>
    <w:rsid w:val="004E1201"/>
    <w:rsid w:val="004E134A"/>
    <w:rsid w:val="004E1E35"/>
    <w:rsid w:val="004E2948"/>
    <w:rsid w:val="004E2EBB"/>
    <w:rsid w:val="004E3155"/>
    <w:rsid w:val="004E31F2"/>
    <w:rsid w:val="004E3C7E"/>
    <w:rsid w:val="004E3F21"/>
    <w:rsid w:val="004E4118"/>
    <w:rsid w:val="004E425D"/>
    <w:rsid w:val="004E43C1"/>
    <w:rsid w:val="004E4F9E"/>
    <w:rsid w:val="004E5156"/>
    <w:rsid w:val="004E51B8"/>
    <w:rsid w:val="004E5280"/>
    <w:rsid w:val="004E54CF"/>
    <w:rsid w:val="004E5F9D"/>
    <w:rsid w:val="004E603A"/>
    <w:rsid w:val="004E6397"/>
    <w:rsid w:val="004E67D4"/>
    <w:rsid w:val="004E6FC6"/>
    <w:rsid w:val="004E7047"/>
    <w:rsid w:val="004E7C3D"/>
    <w:rsid w:val="004F060E"/>
    <w:rsid w:val="004F0D7D"/>
    <w:rsid w:val="004F11E1"/>
    <w:rsid w:val="004F1551"/>
    <w:rsid w:val="004F1C13"/>
    <w:rsid w:val="004F20E7"/>
    <w:rsid w:val="004F2172"/>
    <w:rsid w:val="004F313F"/>
    <w:rsid w:val="004F3320"/>
    <w:rsid w:val="004F33B9"/>
    <w:rsid w:val="004F3472"/>
    <w:rsid w:val="004F386A"/>
    <w:rsid w:val="004F3A1F"/>
    <w:rsid w:val="004F3CBA"/>
    <w:rsid w:val="004F3E68"/>
    <w:rsid w:val="004F3E69"/>
    <w:rsid w:val="004F4001"/>
    <w:rsid w:val="004F4454"/>
    <w:rsid w:val="004F455A"/>
    <w:rsid w:val="004F4D7B"/>
    <w:rsid w:val="004F565F"/>
    <w:rsid w:val="004F56CD"/>
    <w:rsid w:val="004F5C4C"/>
    <w:rsid w:val="004F5DBA"/>
    <w:rsid w:val="004F6A16"/>
    <w:rsid w:val="004F7462"/>
    <w:rsid w:val="004F777B"/>
    <w:rsid w:val="004F7924"/>
    <w:rsid w:val="004F7D98"/>
    <w:rsid w:val="004F7F90"/>
    <w:rsid w:val="0050063E"/>
    <w:rsid w:val="0050088E"/>
    <w:rsid w:val="005012F9"/>
    <w:rsid w:val="00501C65"/>
    <w:rsid w:val="00501EF1"/>
    <w:rsid w:val="005023BD"/>
    <w:rsid w:val="005023F9"/>
    <w:rsid w:val="0050304D"/>
    <w:rsid w:val="005037E4"/>
    <w:rsid w:val="00503AE5"/>
    <w:rsid w:val="00503CDF"/>
    <w:rsid w:val="00504BDA"/>
    <w:rsid w:val="00504F2C"/>
    <w:rsid w:val="005059E0"/>
    <w:rsid w:val="00505EF6"/>
    <w:rsid w:val="00506243"/>
    <w:rsid w:val="0050691F"/>
    <w:rsid w:val="005106EA"/>
    <w:rsid w:val="00510788"/>
    <w:rsid w:val="005107E3"/>
    <w:rsid w:val="0051110A"/>
    <w:rsid w:val="005116ED"/>
    <w:rsid w:val="00511705"/>
    <w:rsid w:val="0051209E"/>
    <w:rsid w:val="005122E5"/>
    <w:rsid w:val="00512948"/>
    <w:rsid w:val="00513427"/>
    <w:rsid w:val="005139EF"/>
    <w:rsid w:val="0051522D"/>
    <w:rsid w:val="0051536A"/>
    <w:rsid w:val="00515391"/>
    <w:rsid w:val="00515416"/>
    <w:rsid w:val="00516C8C"/>
    <w:rsid w:val="00516D13"/>
    <w:rsid w:val="0051719F"/>
    <w:rsid w:val="005173EE"/>
    <w:rsid w:val="005178A6"/>
    <w:rsid w:val="005179A0"/>
    <w:rsid w:val="005204AD"/>
    <w:rsid w:val="00520968"/>
    <w:rsid w:val="005210B3"/>
    <w:rsid w:val="005210E4"/>
    <w:rsid w:val="00521629"/>
    <w:rsid w:val="00521635"/>
    <w:rsid w:val="00521C08"/>
    <w:rsid w:val="00522270"/>
    <w:rsid w:val="00522AB5"/>
    <w:rsid w:val="00522DF7"/>
    <w:rsid w:val="00523797"/>
    <w:rsid w:val="005237AC"/>
    <w:rsid w:val="00523C9B"/>
    <w:rsid w:val="00523D6E"/>
    <w:rsid w:val="00523ED4"/>
    <w:rsid w:val="00523F5F"/>
    <w:rsid w:val="005243A8"/>
    <w:rsid w:val="005245A2"/>
    <w:rsid w:val="00524AFD"/>
    <w:rsid w:val="00524C5E"/>
    <w:rsid w:val="005250BA"/>
    <w:rsid w:val="00525232"/>
    <w:rsid w:val="0052535F"/>
    <w:rsid w:val="00525611"/>
    <w:rsid w:val="00525FAD"/>
    <w:rsid w:val="0052677E"/>
    <w:rsid w:val="005269D4"/>
    <w:rsid w:val="00526B23"/>
    <w:rsid w:val="00526F99"/>
    <w:rsid w:val="005272C3"/>
    <w:rsid w:val="00527634"/>
    <w:rsid w:val="005277CD"/>
    <w:rsid w:val="00527C3F"/>
    <w:rsid w:val="00527FCC"/>
    <w:rsid w:val="00530204"/>
    <w:rsid w:val="00530D31"/>
    <w:rsid w:val="005317C5"/>
    <w:rsid w:val="00531B57"/>
    <w:rsid w:val="00531CE8"/>
    <w:rsid w:val="00531F19"/>
    <w:rsid w:val="005328DD"/>
    <w:rsid w:val="00532B93"/>
    <w:rsid w:val="0053328F"/>
    <w:rsid w:val="005333C7"/>
    <w:rsid w:val="005334D1"/>
    <w:rsid w:val="005337D7"/>
    <w:rsid w:val="0053414B"/>
    <w:rsid w:val="0053436C"/>
    <w:rsid w:val="005344DD"/>
    <w:rsid w:val="00534857"/>
    <w:rsid w:val="00534D19"/>
    <w:rsid w:val="005354DB"/>
    <w:rsid w:val="0053561B"/>
    <w:rsid w:val="00535979"/>
    <w:rsid w:val="00535C38"/>
    <w:rsid w:val="00536892"/>
    <w:rsid w:val="00536A75"/>
    <w:rsid w:val="00537A1F"/>
    <w:rsid w:val="00537AAA"/>
    <w:rsid w:val="00537D6C"/>
    <w:rsid w:val="00541579"/>
    <w:rsid w:val="005416B8"/>
    <w:rsid w:val="005421E7"/>
    <w:rsid w:val="00542202"/>
    <w:rsid w:val="00542339"/>
    <w:rsid w:val="0054272E"/>
    <w:rsid w:val="00542B72"/>
    <w:rsid w:val="00542C2E"/>
    <w:rsid w:val="005433D5"/>
    <w:rsid w:val="0054354C"/>
    <w:rsid w:val="005435F2"/>
    <w:rsid w:val="00543FBE"/>
    <w:rsid w:val="0054454E"/>
    <w:rsid w:val="0054456D"/>
    <w:rsid w:val="0054510A"/>
    <w:rsid w:val="005451CB"/>
    <w:rsid w:val="00545BA3"/>
    <w:rsid w:val="005468B8"/>
    <w:rsid w:val="00546AE9"/>
    <w:rsid w:val="00546C49"/>
    <w:rsid w:val="0054709F"/>
    <w:rsid w:val="005472AA"/>
    <w:rsid w:val="00547345"/>
    <w:rsid w:val="00547A6B"/>
    <w:rsid w:val="005502AA"/>
    <w:rsid w:val="00550D98"/>
    <w:rsid w:val="00550FBD"/>
    <w:rsid w:val="0055195B"/>
    <w:rsid w:val="00551C47"/>
    <w:rsid w:val="00552113"/>
    <w:rsid w:val="005523EA"/>
    <w:rsid w:val="00553657"/>
    <w:rsid w:val="005536E8"/>
    <w:rsid w:val="005538F6"/>
    <w:rsid w:val="00553D30"/>
    <w:rsid w:val="00554719"/>
    <w:rsid w:val="0055473D"/>
    <w:rsid w:val="00554936"/>
    <w:rsid w:val="00554CE7"/>
    <w:rsid w:val="00556188"/>
    <w:rsid w:val="00556495"/>
    <w:rsid w:val="00556719"/>
    <w:rsid w:val="00556EF3"/>
    <w:rsid w:val="005575C2"/>
    <w:rsid w:val="005604FA"/>
    <w:rsid w:val="005614C8"/>
    <w:rsid w:val="0056184C"/>
    <w:rsid w:val="005618AB"/>
    <w:rsid w:val="00561BCA"/>
    <w:rsid w:val="00561BFE"/>
    <w:rsid w:val="005623CF"/>
    <w:rsid w:val="00563EB0"/>
    <w:rsid w:val="005644FC"/>
    <w:rsid w:val="00565145"/>
    <w:rsid w:val="00565555"/>
    <w:rsid w:val="0056564D"/>
    <w:rsid w:val="00565BA5"/>
    <w:rsid w:val="0056630C"/>
    <w:rsid w:val="00566ACC"/>
    <w:rsid w:val="00566D44"/>
    <w:rsid w:val="00567032"/>
    <w:rsid w:val="00567409"/>
    <w:rsid w:val="0056771E"/>
    <w:rsid w:val="00567BCF"/>
    <w:rsid w:val="00567D76"/>
    <w:rsid w:val="00570241"/>
    <w:rsid w:val="0057062D"/>
    <w:rsid w:val="00570B6D"/>
    <w:rsid w:val="00571070"/>
    <w:rsid w:val="00571A24"/>
    <w:rsid w:val="00571BF0"/>
    <w:rsid w:val="00571E02"/>
    <w:rsid w:val="00572002"/>
    <w:rsid w:val="00573045"/>
    <w:rsid w:val="00574AFE"/>
    <w:rsid w:val="00574CDE"/>
    <w:rsid w:val="00574D37"/>
    <w:rsid w:val="00574E82"/>
    <w:rsid w:val="005750DE"/>
    <w:rsid w:val="00575113"/>
    <w:rsid w:val="005761A4"/>
    <w:rsid w:val="00576508"/>
    <w:rsid w:val="00576676"/>
    <w:rsid w:val="00576E7F"/>
    <w:rsid w:val="00577484"/>
    <w:rsid w:val="00577B48"/>
    <w:rsid w:val="00577C08"/>
    <w:rsid w:val="00577D40"/>
    <w:rsid w:val="00577DF4"/>
    <w:rsid w:val="00580229"/>
    <w:rsid w:val="00580525"/>
    <w:rsid w:val="00580937"/>
    <w:rsid w:val="00581001"/>
    <w:rsid w:val="0058181F"/>
    <w:rsid w:val="00581D90"/>
    <w:rsid w:val="00582D10"/>
    <w:rsid w:val="0058305A"/>
    <w:rsid w:val="0058434A"/>
    <w:rsid w:val="00585474"/>
    <w:rsid w:val="005854A3"/>
    <w:rsid w:val="0058653D"/>
    <w:rsid w:val="00586DB7"/>
    <w:rsid w:val="00586E05"/>
    <w:rsid w:val="00586E9D"/>
    <w:rsid w:val="00587541"/>
    <w:rsid w:val="00587A94"/>
    <w:rsid w:val="00587E8B"/>
    <w:rsid w:val="00587F9C"/>
    <w:rsid w:val="00590629"/>
    <w:rsid w:val="005909D9"/>
    <w:rsid w:val="00590B1C"/>
    <w:rsid w:val="00590CEE"/>
    <w:rsid w:val="005919DD"/>
    <w:rsid w:val="00591D1F"/>
    <w:rsid w:val="00592EDD"/>
    <w:rsid w:val="005933A8"/>
    <w:rsid w:val="005937C7"/>
    <w:rsid w:val="005938B5"/>
    <w:rsid w:val="00593A5E"/>
    <w:rsid w:val="00593C4A"/>
    <w:rsid w:val="00593E02"/>
    <w:rsid w:val="0059415C"/>
    <w:rsid w:val="00594362"/>
    <w:rsid w:val="00596345"/>
    <w:rsid w:val="005964E6"/>
    <w:rsid w:val="005968AF"/>
    <w:rsid w:val="00596E6D"/>
    <w:rsid w:val="00596F5F"/>
    <w:rsid w:val="00596F66"/>
    <w:rsid w:val="00596F6C"/>
    <w:rsid w:val="005970CA"/>
    <w:rsid w:val="00597529"/>
    <w:rsid w:val="00597571"/>
    <w:rsid w:val="005A0569"/>
    <w:rsid w:val="005A05B1"/>
    <w:rsid w:val="005A08A9"/>
    <w:rsid w:val="005A0AC4"/>
    <w:rsid w:val="005A17BA"/>
    <w:rsid w:val="005A253E"/>
    <w:rsid w:val="005A25CB"/>
    <w:rsid w:val="005A269C"/>
    <w:rsid w:val="005A28E0"/>
    <w:rsid w:val="005A37C2"/>
    <w:rsid w:val="005A3D5A"/>
    <w:rsid w:val="005A3FC2"/>
    <w:rsid w:val="005A5584"/>
    <w:rsid w:val="005A5CBB"/>
    <w:rsid w:val="005A63B5"/>
    <w:rsid w:val="005A72BB"/>
    <w:rsid w:val="005B0363"/>
    <w:rsid w:val="005B0A29"/>
    <w:rsid w:val="005B1168"/>
    <w:rsid w:val="005B124E"/>
    <w:rsid w:val="005B1807"/>
    <w:rsid w:val="005B197A"/>
    <w:rsid w:val="005B1A59"/>
    <w:rsid w:val="005B328A"/>
    <w:rsid w:val="005B3711"/>
    <w:rsid w:val="005B3A4B"/>
    <w:rsid w:val="005B3F72"/>
    <w:rsid w:val="005B42B3"/>
    <w:rsid w:val="005B43A9"/>
    <w:rsid w:val="005B4663"/>
    <w:rsid w:val="005B608E"/>
    <w:rsid w:val="005B635E"/>
    <w:rsid w:val="005B6431"/>
    <w:rsid w:val="005B662A"/>
    <w:rsid w:val="005B6D66"/>
    <w:rsid w:val="005B73F5"/>
    <w:rsid w:val="005C0082"/>
    <w:rsid w:val="005C0961"/>
    <w:rsid w:val="005C0B3B"/>
    <w:rsid w:val="005C0E36"/>
    <w:rsid w:val="005C1187"/>
    <w:rsid w:val="005C1580"/>
    <w:rsid w:val="005C1ABC"/>
    <w:rsid w:val="005C1C75"/>
    <w:rsid w:val="005C2024"/>
    <w:rsid w:val="005C2932"/>
    <w:rsid w:val="005C2AB6"/>
    <w:rsid w:val="005C2C50"/>
    <w:rsid w:val="005C3086"/>
    <w:rsid w:val="005C399B"/>
    <w:rsid w:val="005C4730"/>
    <w:rsid w:val="005C476D"/>
    <w:rsid w:val="005C4C46"/>
    <w:rsid w:val="005C4C4F"/>
    <w:rsid w:val="005C563F"/>
    <w:rsid w:val="005C6A09"/>
    <w:rsid w:val="005C7A32"/>
    <w:rsid w:val="005C7CD8"/>
    <w:rsid w:val="005D06B9"/>
    <w:rsid w:val="005D0776"/>
    <w:rsid w:val="005D0A08"/>
    <w:rsid w:val="005D0EDF"/>
    <w:rsid w:val="005D12B4"/>
    <w:rsid w:val="005D160D"/>
    <w:rsid w:val="005D259D"/>
    <w:rsid w:val="005D2DAC"/>
    <w:rsid w:val="005D2F18"/>
    <w:rsid w:val="005D2F44"/>
    <w:rsid w:val="005D3F57"/>
    <w:rsid w:val="005D4B55"/>
    <w:rsid w:val="005D4C02"/>
    <w:rsid w:val="005D4D39"/>
    <w:rsid w:val="005D52B1"/>
    <w:rsid w:val="005D5BFE"/>
    <w:rsid w:val="005D5C37"/>
    <w:rsid w:val="005D6798"/>
    <w:rsid w:val="005D68AA"/>
    <w:rsid w:val="005D6A6D"/>
    <w:rsid w:val="005D6B20"/>
    <w:rsid w:val="005D71BD"/>
    <w:rsid w:val="005D79DD"/>
    <w:rsid w:val="005D7B1D"/>
    <w:rsid w:val="005D7D05"/>
    <w:rsid w:val="005D7D95"/>
    <w:rsid w:val="005E0E78"/>
    <w:rsid w:val="005E0FF9"/>
    <w:rsid w:val="005E1241"/>
    <w:rsid w:val="005E21C5"/>
    <w:rsid w:val="005E21DA"/>
    <w:rsid w:val="005E25C5"/>
    <w:rsid w:val="005E2651"/>
    <w:rsid w:val="005E2C6E"/>
    <w:rsid w:val="005E2F16"/>
    <w:rsid w:val="005E355A"/>
    <w:rsid w:val="005E38AC"/>
    <w:rsid w:val="005E3B36"/>
    <w:rsid w:val="005E3DBC"/>
    <w:rsid w:val="005E40AC"/>
    <w:rsid w:val="005E414D"/>
    <w:rsid w:val="005E4ABD"/>
    <w:rsid w:val="005E54D1"/>
    <w:rsid w:val="005E5539"/>
    <w:rsid w:val="005E569C"/>
    <w:rsid w:val="005E5ED3"/>
    <w:rsid w:val="005E6C23"/>
    <w:rsid w:val="005E6CEB"/>
    <w:rsid w:val="005E6E0C"/>
    <w:rsid w:val="005E6E33"/>
    <w:rsid w:val="005E6E85"/>
    <w:rsid w:val="005E737B"/>
    <w:rsid w:val="005E7517"/>
    <w:rsid w:val="005E7CCB"/>
    <w:rsid w:val="005F0211"/>
    <w:rsid w:val="005F0353"/>
    <w:rsid w:val="005F07DC"/>
    <w:rsid w:val="005F1F44"/>
    <w:rsid w:val="005F20C3"/>
    <w:rsid w:val="005F2692"/>
    <w:rsid w:val="005F2B5A"/>
    <w:rsid w:val="005F3B4C"/>
    <w:rsid w:val="005F420A"/>
    <w:rsid w:val="005F4359"/>
    <w:rsid w:val="005F4A37"/>
    <w:rsid w:val="005F4B39"/>
    <w:rsid w:val="005F5309"/>
    <w:rsid w:val="005F5504"/>
    <w:rsid w:val="005F569D"/>
    <w:rsid w:val="005F6450"/>
    <w:rsid w:val="005F651D"/>
    <w:rsid w:val="005F6745"/>
    <w:rsid w:val="005F6D3E"/>
    <w:rsid w:val="005F7B30"/>
    <w:rsid w:val="00600A58"/>
    <w:rsid w:val="0060110C"/>
    <w:rsid w:val="00601267"/>
    <w:rsid w:val="00601609"/>
    <w:rsid w:val="00602164"/>
    <w:rsid w:val="00602314"/>
    <w:rsid w:val="006028D9"/>
    <w:rsid w:val="00602F83"/>
    <w:rsid w:val="0060308E"/>
    <w:rsid w:val="00603306"/>
    <w:rsid w:val="006035C0"/>
    <w:rsid w:val="00603F64"/>
    <w:rsid w:val="006041C5"/>
    <w:rsid w:val="006041F2"/>
    <w:rsid w:val="00604307"/>
    <w:rsid w:val="0060572C"/>
    <w:rsid w:val="00605CBC"/>
    <w:rsid w:val="00605D11"/>
    <w:rsid w:val="00606A7D"/>
    <w:rsid w:val="00606D2F"/>
    <w:rsid w:val="0060745F"/>
    <w:rsid w:val="00610010"/>
    <w:rsid w:val="006100B9"/>
    <w:rsid w:val="0061015B"/>
    <w:rsid w:val="006101D9"/>
    <w:rsid w:val="00610BF6"/>
    <w:rsid w:val="00610C40"/>
    <w:rsid w:val="00611BEF"/>
    <w:rsid w:val="00611D10"/>
    <w:rsid w:val="006127C6"/>
    <w:rsid w:val="00612844"/>
    <w:rsid w:val="00612D8C"/>
    <w:rsid w:val="00613C97"/>
    <w:rsid w:val="006147FC"/>
    <w:rsid w:val="006151E7"/>
    <w:rsid w:val="006153EF"/>
    <w:rsid w:val="00615A48"/>
    <w:rsid w:val="00615ACE"/>
    <w:rsid w:val="00615C3F"/>
    <w:rsid w:val="00616062"/>
    <w:rsid w:val="006162AD"/>
    <w:rsid w:val="00616352"/>
    <w:rsid w:val="00616E22"/>
    <w:rsid w:val="006176A3"/>
    <w:rsid w:val="00617BAA"/>
    <w:rsid w:val="00620776"/>
    <w:rsid w:val="00620C57"/>
    <w:rsid w:val="00620F5E"/>
    <w:rsid w:val="00621211"/>
    <w:rsid w:val="00621920"/>
    <w:rsid w:val="00621B05"/>
    <w:rsid w:val="00621FD0"/>
    <w:rsid w:val="00623439"/>
    <w:rsid w:val="00623455"/>
    <w:rsid w:val="006257AA"/>
    <w:rsid w:val="00625E8B"/>
    <w:rsid w:val="00626488"/>
    <w:rsid w:val="0062648C"/>
    <w:rsid w:val="00627702"/>
    <w:rsid w:val="00627E3D"/>
    <w:rsid w:val="006301B2"/>
    <w:rsid w:val="00630E54"/>
    <w:rsid w:val="00631134"/>
    <w:rsid w:val="006318C9"/>
    <w:rsid w:val="00632394"/>
    <w:rsid w:val="00632691"/>
    <w:rsid w:val="00632A7A"/>
    <w:rsid w:val="00633067"/>
    <w:rsid w:val="006330F8"/>
    <w:rsid w:val="0063337C"/>
    <w:rsid w:val="00633479"/>
    <w:rsid w:val="006339F2"/>
    <w:rsid w:val="00633AF2"/>
    <w:rsid w:val="00633C26"/>
    <w:rsid w:val="00633F93"/>
    <w:rsid w:val="006341C5"/>
    <w:rsid w:val="00634201"/>
    <w:rsid w:val="00634236"/>
    <w:rsid w:val="00634B57"/>
    <w:rsid w:val="0063527D"/>
    <w:rsid w:val="00635633"/>
    <w:rsid w:val="00635A6F"/>
    <w:rsid w:val="00635C54"/>
    <w:rsid w:val="00635CCF"/>
    <w:rsid w:val="00635CDB"/>
    <w:rsid w:val="00636A5F"/>
    <w:rsid w:val="00636EDB"/>
    <w:rsid w:val="006378FE"/>
    <w:rsid w:val="00640177"/>
    <w:rsid w:val="0064023B"/>
    <w:rsid w:val="0064080F"/>
    <w:rsid w:val="00640C9F"/>
    <w:rsid w:val="00640D69"/>
    <w:rsid w:val="00641300"/>
    <w:rsid w:val="00641863"/>
    <w:rsid w:val="00641F7F"/>
    <w:rsid w:val="00642A68"/>
    <w:rsid w:val="006436C7"/>
    <w:rsid w:val="006436FC"/>
    <w:rsid w:val="00643814"/>
    <w:rsid w:val="00643ACB"/>
    <w:rsid w:val="00643C23"/>
    <w:rsid w:val="0064426D"/>
    <w:rsid w:val="00644660"/>
    <w:rsid w:val="006449D6"/>
    <w:rsid w:val="006467CA"/>
    <w:rsid w:val="0064684D"/>
    <w:rsid w:val="0064686B"/>
    <w:rsid w:val="00646992"/>
    <w:rsid w:val="00647AE6"/>
    <w:rsid w:val="0065018C"/>
    <w:rsid w:val="006515C7"/>
    <w:rsid w:val="00651711"/>
    <w:rsid w:val="00651937"/>
    <w:rsid w:val="00651CF6"/>
    <w:rsid w:val="00653B49"/>
    <w:rsid w:val="006549CF"/>
    <w:rsid w:val="00654D8E"/>
    <w:rsid w:val="0065530E"/>
    <w:rsid w:val="006558C3"/>
    <w:rsid w:val="00655DFF"/>
    <w:rsid w:val="00656294"/>
    <w:rsid w:val="00656692"/>
    <w:rsid w:val="00657246"/>
    <w:rsid w:val="00657294"/>
    <w:rsid w:val="00657697"/>
    <w:rsid w:val="0065769F"/>
    <w:rsid w:val="00657856"/>
    <w:rsid w:val="00657A40"/>
    <w:rsid w:val="00660262"/>
    <w:rsid w:val="0066072B"/>
    <w:rsid w:val="006609C0"/>
    <w:rsid w:val="006609D4"/>
    <w:rsid w:val="00660AE5"/>
    <w:rsid w:val="00660C2A"/>
    <w:rsid w:val="00660F79"/>
    <w:rsid w:val="006617EC"/>
    <w:rsid w:val="0066194E"/>
    <w:rsid w:val="00661AEC"/>
    <w:rsid w:val="00662445"/>
    <w:rsid w:val="0066268A"/>
    <w:rsid w:val="006642B8"/>
    <w:rsid w:val="006646B4"/>
    <w:rsid w:val="00664828"/>
    <w:rsid w:val="006649FD"/>
    <w:rsid w:val="00664CBE"/>
    <w:rsid w:val="006650A2"/>
    <w:rsid w:val="00665360"/>
    <w:rsid w:val="006655BC"/>
    <w:rsid w:val="0066562A"/>
    <w:rsid w:val="00665B94"/>
    <w:rsid w:val="00665E1A"/>
    <w:rsid w:val="0066614A"/>
    <w:rsid w:val="006666B2"/>
    <w:rsid w:val="00667D4D"/>
    <w:rsid w:val="00667E6D"/>
    <w:rsid w:val="00667EFB"/>
    <w:rsid w:val="0067004E"/>
    <w:rsid w:val="00670883"/>
    <w:rsid w:val="00670FDD"/>
    <w:rsid w:val="006710BE"/>
    <w:rsid w:val="00671AE2"/>
    <w:rsid w:val="00671F38"/>
    <w:rsid w:val="00672745"/>
    <w:rsid w:val="0067430A"/>
    <w:rsid w:val="00674F88"/>
    <w:rsid w:val="0067532C"/>
    <w:rsid w:val="00675369"/>
    <w:rsid w:val="0067554F"/>
    <w:rsid w:val="0067574E"/>
    <w:rsid w:val="00675B6B"/>
    <w:rsid w:val="00675F06"/>
    <w:rsid w:val="00677345"/>
    <w:rsid w:val="006773F4"/>
    <w:rsid w:val="0067745B"/>
    <w:rsid w:val="006804B7"/>
    <w:rsid w:val="006808C8"/>
    <w:rsid w:val="006808ED"/>
    <w:rsid w:val="006811B7"/>
    <w:rsid w:val="006822D3"/>
    <w:rsid w:val="0068241D"/>
    <w:rsid w:val="00682777"/>
    <w:rsid w:val="006828C2"/>
    <w:rsid w:val="00682994"/>
    <w:rsid w:val="00682FB5"/>
    <w:rsid w:val="006832F9"/>
    <w:rsid w:val="00683461"/>
    <w:rsid w:val="006839C2"/>
    <w:rsid w:val="00683D35"/>
    <w:rsid w:val="00684901"/>
    <w:rsid w:val="00684F83"/>
    <w:rsid w:val="00685127"/>
    <w:rsid w:val="00685BED"/>
    <w:rsid w:val="00685EB2"/>
    <w:rsid w:val="00686DCC"/>
    <w:rsid w:val="00686E05"/>
    <w:rsid w:val="00687382"/>
    <w:rsid w:val="006877D1"/>
    <w:rsid w:val="00687DAB"/>
    <w:rsid w:val="00687FAD"/>
    <w:rsid w:val="00690E9E"/>
    <w:rsid w:val="00691128"/>
    <w:rsid w:val="0069112B"/>
    <w:rsid w:val="0069183D"/>
    <w:rsid w:val="00691F5A"/>
    <w:rsid w:val="00692913"/>
    <w:rsid w:val="00692A88"/>
    <w:rsid w:val="00692DF9"/>
    <w:rsid w:val="00693495"/>
    <w:rsid w:val="00693C27"/>
    <w:rsid w:val="006941AE"/>
    <w:rsid w:val="00694756"/>
    <w:rsid w:val="00694C00"/>
    <w:rsid w:val="00694FE3"/>
    <w:rsid w:val="006954C8"/>
    <w:rsid w:val="006955E9"/>
    <w:rsid w:val="00696906"/>
    <w:rsid w:val="00696CBF"/>
    <w:rsid w:val="00696D56"/>
    <w:rsid w:val="00696FE2"/>
    <w:rsid w:val="00697165"/>
    <w:rsid w:val="006973EF"/>
    <w:rsid w:val="0069797D"/>
    <w:rsid w:val="00697EA0"/>
    <w:rsid w:val="006A0611"/>
    <w:rsid w:val="006A078E"/>
    <w:rsid w:val="006A08DA"/>
    <w:rsid w:val="006A17DB"/>
    <w:rsid w:val="006A229A"/>
    <w:rsid w:val="006A2401"/>
    <w:rsid w:val="006A323B"/>
    <w:rsid w:val="006A33C8"/>
    <w:rsid w:val="006A3927"/>
    <w:rsid w:val="006A39FD"/>
    <w:rsid w:val="006A3F87"/>
    <w:rsid w:val="006A4D08"/>
    <w:rsid w:val="006A5C20"/>
    <w:rsid w:val="006A5DB0"/>
    <w:rsid w:val="006A6B79"/>
    <w:rsid w:val="006A7162"/>
    <w:rsid w:val="006B11CD"/>
    <w:rsid w:val="006B1C5F"/>
    <w:rsid w:val="006B2964"/>
    <w:rsid w:val="006B2E59"/>
    <w:rsid w:val="006B31C7"/>
    <w:rsid w:val="006B3412"/>
    <w:rsid w:val="006B34EC"/>
    <w:rsid w:val="006B417C"/>
    <w:rsid w:val="006B4C0E"/>
    <w:rsid w:val="006B4D78"/>
    <w:rsid w:val="006B4DBE"/>
    <w:rsid w:val="006B51B5"/>
    <w:rsid w:val="006B58CD"/>
    <w:rsid w:val="006B5B9B"/>
    <w:rsid w:val="006B5BFB"/>
    <w:rsid w:val="006B68D0"/>
    <w:rsid w:val="006B6B53"/>
    <w:rsid w:val="006B7388"/>
    <w:rsid w:val="006B79B1"/>
    <w:rsid w:val="006C0336"/>
    <w:rsid w:val="006C051D"/>
    <w:rsid w:val="006C0DBB"/>
    <w:rsid w:val="006C12B4"/>
    <w:rsid w:val="006C1663"/>
    <w:rsid w:val="006C16C5"/>
    <w:rsid w:val="006C16E3"/>
    <w:rsid w:val="006C17BE"/>
    <w:rsid w:val="006C1B9D"/>
    <w:rsid w:val="006C2F38"/>
    <w:rsid w:val="006C33EC"/>
    <w:rsid w:val="006C41DC"/>
    <w:rsid w:val="006C4CDD"/>
    <w:rsid w:val="006C4E61"/>
    <w:rsid w:val="006C5E24"/>
    <w:rsid w:val="006C5EC0"/>
    <w:rsid w:val="006C741B"/>
    <w:rsid w:val="006D00D2"/>
    <w:rsid w:val="006D06E8"/>
    <w:rsid w:val="006D08A5"/>
    <w:rsid w:val="006D0A9E"/>
    <w:rsid w:val="006D0BE4"/>
    <w:rsid w:val="006D0CD4"/>
    <w:rsid w:val="006D0DDE"/>
    <w:rsid w:val="006D15FF"/>
    <w:rsid w:val="006D1B80"/>
    <w:rsid w:val="006D2BBC"/>
    <w:rsid w:val="006D37D3"/>
    <w:rsid w:val="006D4331"/>
    <w:rsid w:val="006D52E2"/>
    <w:rsid w:val="006D53BA"/>
    <w:rsid w:val="006D5E73"/>
    <w:rsid w:val="006D66A6"/>
    <w:rsid w:val="006D6963"/>
    <w:rsid w:val="006D69A6"/>
    <w:rsid w:val="006D6C42"/>
    <w:rsid w:val="006D6E3C"/>
    <w:rsid w:val="006D6EAD"/>
    <w:rsid w:val="006D700C"/>
    <w:rsid w:val="006D72D7"/>
    <w:rsid w:val="006D733F"/>
    <w:rsid w:val="006D73AF"/>
    <w:rsid w:val="006D7B66"/>
    <w:rsid w:val="006D7F15"/>
    <w:rsid w:val="006D7FE2"/>
    <w:rsid w:val="006E027B"/>
    <w:rsid w:val="006E09FC"/>
    <w:rsid w:val="006E0F93"/>
    <w:rsid w:val="006E0FF6"/>
    <w:rsid w:val="006E1F37"/>
    <w:rsid w:val="006E224D"/>
    <w:rsid w:val="006E2C33"/>
    <w:rsid w:val="006E34A1"/>
    <w:rsid w:val="006E39BD"/>
    <w:rsid w:val="006E4161"/>
    <w:rsid w:val="006E41B6"/>
    <w:rsid w:val="006E4434"/>
    <w:rsid w:val="006E45C5"/>
    <w:rsid w:val="006E5951"/>
    <w:rsid w:val="006E6053"/>
    <w:rsid w:val="006E607A"/>
    <w:rsid w:val="006E60F2"/>
    <w:rsid w:val="006E66B9"/>
    <w:rsid w:val="006E6CA4"/>
    <w:rsid w:val="006E7135"/>
    <w:rsid w:val="006E74F2"/>
    <w:rsid w:val="006E7944"/>
    <w:rsid w:val="006E7C44"/>
    <w:rsid w:val="006F0FB6"/>
    <w:rsid w:val="006F22D5"/>
    <w:rsid w:val="006F24E4"/>
    <w:rsid w:val="006F28D0"/>
    <w:rsid w:val="006F3313"/>
    <w:rsid w:val="006F355D"/>
    <w:rsid w:val="006F38E3"/>
    <w:rsid w:val="006F38E4"/>
    <w:rsid w:val="006F3F75"/>
    <w:rsid w:val="006F3FFC"/>
    <w:rsid w:val="006F4509"/>
    <w:rsid w:val="006F4612"/>
    <w:rsid w:val="006F4716"/>
    <w:rsid w:val="006F4BA8"/>
    <w:rsid w:val="006F520E"/>
    <w:rsid w:val="006F58A9"/>
    <w:rsid w:val="006F5A0F"/>
    <w:rsid w:val="006F6A3D"/>
    <w:rsid w:val="006F6C75"/>
    <w:rsid w:val="006F7A1B"/>
    <w:rsid w:val="00700420"/>
    <w:rsid w:val="00700C3A"/>
    <w:rsid w:val="00701048"/>
    <w:rsid w:val="00701558"/>
    <w:rsid w:val="007022DF"/>
    <w:rsid w:val="00702306"/>
    <w:rsid w:val="00703FBE"/>
    <w:rsid w:val="00704B45"/>
    <w:rsid w:val="00705250"/>
    <w:rsid w:val="007057BA"/>
    <w:rsid w:val="00705B4F"/>
    <w:rsid w:val="00705CFC"/>
    <w:rsid w:val="00705F08"/>
    <w:rsid w:val="00706DFA"/>
    <w:rsid w:val="00707A27"/>
    <w:rsid w:val="007100F3"/>
    <w:rsid w:val="0071089E"/>
    <w:rsid w:val="007111E3"/>
    <w:rsid w:val="007113B0"/>
    <w:rsid w:val="00711797"/>
    <w:rsid w:val="00711BC9"/>
    <w:rsid w:val="00711D32"/>
    <w:rsid w:val="00711F04"/>
    <w:rsid w:val="00711FFA"/>
    <w:rsid w:val="00712040"/>
    <w:rsid w:val="0071250D"/>
    <w:rsid w:val="007125CC"/>
    <w:rsid w:val="00712B2E"/>
    <w:rsid w:val="00712B55"/>
    <w:rsid w:val="00712C09"/>
    <w:rsid w:val="00712DE7"/>
    <w:rsid w:val="00713D71"/>
    <w:rsid w:val="00714882"/>
    <w:rsid w:val="00714C10"/>
    <w:rsid w:val="007153B5"/>
    <w:rsid w:val="00715C37"/>
    <w:rsid w:val="00715D1B"/>
    <w:rsid w:val="00715F3A"/>
    <w:rsid w:val="007160C0"/>
    <w:rsid w:val="00716201"/>
    <w:rsid w:val="007178F6"/>
    <w:rsid w:val="00717D21"/>
    <w:rsid w:val="00720641"/>
    <w:rsid w:val="007206EB"/>
    <w:rsid w:val="00720A68"/>
    <w:rsid w:val="00720BC7"/>
    <w:rsid w:val="00720D91"/>
    <w:rsid w:val="00720E45"/>
    <w:rsid w:val="00721762"/>
    <w:rsid w:val="007218D8"/>
    <w:rsid w:val="00721A49"/>
    <w:rsid w:val="007229A4"/>
    <w:rsid w:val="00722A3F"/>
    <w:rsid w:val="007231BF"/>
    <w:rsid w:val="00723527"/>
    <w:rsid w:val="00724857"/>
    <w:rsid w:val="00724AF7"/>
    <w:rsid w:val="00724BEB"/>
    <w:rsid w:val="0072517E"/>
    <w:rsid w:val="0072533D"/>
    <w:rsid w:val="00725500"/>
    <w:rsid w:val="00725712"/>
    <w:rsid w:val="007265ED"/>
    <w:rsid w:val="00726777"/>
    <w:rsid w:val="007269A0"/>
    <w:rsid w:val="00726B8E"/>
    <w:rsid w:val="00726E6D"/>
    <w:rsid w:val="00726E7A"/>
    <w:rsid w:val="007272B4"/>
    <w:rsid w:val="0072771A"/>
    <w:rsid w:val="00727794"/>
    <w:rsid w:val="0073091A"/>
    <w:rsid w:val="0073092C"/>
    <w:rsid w:val="00730D95"/>
    <w:rsid w:val="00730E37"/>
    <w:rsid w:val="00731078"/>
    <w:rsid w:val="00731AC5"/>
    <w:rsid w:val="00731D03"/>
    <w:rsid w:val="00731DA9"/>
    <w:rsid w:val="00731FCA"/>
    <w:rsid w:val="00734459"/>
    <w:rsid w:val="0073478E"/>
    <w:rsid w:val="0073487E"/>
    <w:rsid w:val="007349D7"/>
    <w:rsid w:val="00735407"/>
    <w:rsid w:val="00735485"/>
    <w:rsid w:val="00735D4E"/>
    <w:rsid w:val="00735F4F"/>
    <w:rsid w:val="00735FA3"/>
    <w:rsid w:val="007366AA"/>
    <w:rsid w:val="00736AC7"/>
    <w:rsid w:val="00736D34"/>
    <w:rsid w:val="00736E46"/>
    <w:rsid w:val="007370D3"/>
    <w:rsid w:val="00737169"/>
    <w:rsid w:val="00737290"/>
    <w:rsid w:val="0074098B"/>
    <w:rsid w:val="00741029"/>
    <w:rsid w:val="0074119F"/>
    <w:rsid w:val="00741312"/>
    <w:rsid w:val="00741544"/>
    <w:rsid w:val="00741BAC"/>
    <w:rsid w:val="00741D7D"/>
    <w:rsid w:val="00741EDF"/>
    <w:rsid w:val="00742B18"/>
    <w:rsid w:val="00742BFD"/>
    <w:rsid w:val="00743484"/>
    <w:rsid w:val="007442DA"/>
    <w:rsid w:val="0074482F"/>
    <w:rsid w:val="007448B1"/>
    <w:rsid w:val="0074509F"/>
    <w:rsid w:val="00745FF8"/>
    <w:rsid w:val="007464F8"/>
    <w:rsid w:val="007467BA"/>
    <w:rsid w:val="00746C81"/>
    <w:rsid w:val="00747F80"/>
    <w:rsid w:val="007500A9"/>
    <w:rsid w:val="007504DC"/>
    <w:rsid w:val="007505A6"/>
    <w:rsid w:val="007508AA"/>
    <w:rsid w:val="00750935"/>
    <w:rsid w:val="00750E70"/>
    <w:rsid w:val="007512D0"/>
    <w:rsid w:val="007512E7"/>
    <w:rsid w:val="007516F5"/>
    <w:rsid w:val="00751775"/>
    <w:rsid w:val="007518CD"/>
    <w:rsid w:val="007523F9"/>
    <w:rsid w:val="00752742"/>
    <w:rsid w:val="007527DD"/>
    <w:rsid w:val="0075359F"/>
    <w:rsid w:val="007539D9"/>
    <w:rsid w:val="00753EC5"/>
    <w:rsid w:val="0075415F"/>
    <w:rsid w:val="0075450D"/>
    <w:rsid w:val="007547D8"/>
    <w:rsid w:val="00754A3F"/>
    <w:rsid w:val="00755196"/>
    <w:rsid w:val="00755380"/>
    <w:rsid w:val="00755460"/>
    <w:rsid w:val="00755EA7"/>
    <w:rsid w:val="00756997"/>
    <w:rsid w:val="00757AD4"/>
    <w:rsid w:val="00757D25"/>
    <w:rsid w:val="00757F34"/>
    <w:rsid w:val="00760100"/>
    <w:rsid w:val="0076042B"/>
    <w:rsid w:val="007608DF"/>
    <w:rsid w:val="007611FC"/>
    <w:rsid w:val="00761418"/>
    <w:rsid w:val="00762B2E"/>
    <w:rsid w:val="007633A4"/>
    <w:rsid w:val="00763CB7"/>
    <w:rsid w:val="00763E6C"/>
    <w:rsid w:val="00763EDC"/>
    <w:rsid w:val="0076413D"/>
    <w:rsid w:val="00764784"/>
    <w:rsid w:val="0076507C"/>
    <w:rsid w:val="007650A3"/>
    <w:rsid w:val="0076664D"/>
    <w:rsid w:val="00766A2A"/>
    <w:rsid w:val="00767314"/>
    <w:rsid w:val="00767703"/>
    <w:rsid w:val="00770672"/>
    <w:rsid w:val="00770B26"/>
    <w:rsid w:val="00771099"/>
    <w:rsid w:val="00771320"/>
    <w:rsid w:val="00771A06"/>
    <w:rsid w:val="00772CF2"/>
    <w:rsid w:val="0077554A"/>
    <w:rsid w:val="00775720"/>
    <w:rsid w:val="007757C4"/>
    <w:rsid w:val="00775B9F"/>
    <w:rsid w:val="00775F1F"/>
    <w:rsid w:val="00776484"/>
    <w:rsid w:val="007764B2"/>
    <w:rsid w:val="00776911"/>
    <w:rsid w:val="00776A79"/>
    <w:rsid w:val="00776EDF"/>
    <w:rsid w:val="00780495"/>
    <w:rsid w:val="0078072E"/>
    <w:rsid w:val="00780AFE"/>
    <w:rsid w:val="00780E5E"/>
    <w:rsid w:val="00781743"/>
    <w:rsid w:val="00781AE6"/>
    <w:rsid w:val="007821D5"/>
    <w:rsid w:val="00782350"/>
    <w:rsid w:val="00782566"/>
    <w:rsid w:val="00782972"/>
    <w:rsid w:val="00783A85"/>
    <w:rsid w:val="00783BE7"/>
    <w:rsid w:val="00784CF7"/>
    <w:rsid w:val="00784F35"/>
    <w:rsid w:val="007857A7"/>
    <w:rsid w:val="0078590E"/>
    <w:rsid w:val="00785DA0"/>
    <w:rsid w:val="00786799"/>
    <w:rsid w:val="007867A2"/>
    <w:rsid w:val="007867D7"/>
    <w:rsid w:val="00786F37"/>
    <w:rsid w:val="007872CE"/>
    <w:rsid w:val="00787C95"/>
    <w:rsid w:val="00787FFB"/>
    <w:rsid w:val="00790022"/>
    <w:rsid w:val="0079033B"/>
    <w:rsid w:val="007906CD"/>
    <w:rsid w:val="007909A9"/>
    <w:rsid w:val="0079126A"/>
    <w:rsid w:val="007912CF"/>
    <w:rsid w:val="007913EB"/>
    <w:rsid w:val="00792328"/>
    <w:rsid w:val="0079292E"/>
    <w:rsid w:val="007931C4"/>
    <w:rsid w:val="00793D95"/>
    <w:rsid w:val="00794BAB"/>
    <w:rsid w:val="00794D47"/>
    <w:rsid w:val="00794D92"/>
    <w:rsid w:val="007957FE"/>
    <w:rsid w:val="00795C67"/>
    <w:rsid w:val="0079718B"/>
    <w:rsid w:val="00797EB8"/>
    <w:rsid w:val="007A1367"/>
    <w:rsid w:val="007A17DC"/>
    <w:rsid w:val="007A1C21"/>
    <w:rsid w:val="007A29E5"/>
    <w:rsid w:val="007A36B6"/>
    <w:rsid w:val="007A3F27"/>
    <w:rsid w:val="007A47D2"/>
    <w:rsid w:val="007A4BD9"/>
    <w:rsid w:val="007A4D17"/>
    <w:rsid w:val="007A5A34"/>
    <w:rsid w:val="007A6B74"/>
    <w:rsid w:val="007A70A2"/>
    <w:rsid w:val="007A74AA"/>
    <w:rsid w:val="007B01CB"/>
    <w:rsid w:val="007B0DFD"/>
    <w:rsid w:val="007B1D5D"/>
    <w:rsid w:val="007B26D2"/>
    <w:rsid w:val="007B2857"/>
    <w:rsid w:val="007B2F25"/>
    <w:rsid w:val="007B316A"/>
    <w:rsid w:val="007B34CC"/>
    <w:rsid w:val="007B3916"/>
    <w:rsid w:val="007B3C1B"/>
    <w:rsid w:val="007B443A"/>
    <w:rsid w:val="007B443D"/>
    <w:rsid w:val="007B4AB3"/>
    <w:rsid w:val="007B4ED4"/>
    <w:rsid w:val="007B56BA"/>
    <w:rsid w:val="007B5B10"/>
    <w:rsid w:val="007B5FBB"/>
    <w:rsid w:val="007B6599"/>
    <w:rsid w:val="007B6842"/>
    <w:rsid w:val="007B739E"/>
    <w:rsid w:val="007B797D"/>
    <w:rsid w:val="007B7A3E"/>
    <w:rsid w:val="007C072B"/>
    <w:rsid w:val="007C09BB"/>
    <w:rsid w:val="007C1133"/>
    <w:rsid w:val="007C1A13"/>
    <w:rsid w:val="007C1F3F"/>
    <w:rsid w:val="007C2ABF"/>
    <w:rsid w:val="007C2D89"/>
    <w:rsid w:val="007C2DCF"/>
    <w:rsid w:val="007C3A06"/>
    <w:rsid w:val="007C4674"/>
    <w:rsid w:val="007C49AC"/>
    <w:rsid w:val="007C49BD"/>
    <w:rsid w:val="007C4F41"/>
    <w:rsid w:val="007C5418"/>
    <w:rsid w:val="007C5A6C"/>
    <w:rsid w:val="007C5F34"/>
    <w:rsid w:val="007C6124"/>
    <w:rsid w:val="007C637E"/>
    <w:rsid w:val="007C69EC"/>
    <w:rsid w:val="007C7AE5"/>
    <w:rsid w:val="007C7CE8"/>
    <w:rsid w:val="007C7F14"/>
    <w:rsid w:val="007D0597"/>
    <w:rsid w:val="007D0FB8"/>
    <w:rsid w:val="007D14FF"/>
    <w:rsid w:val="007D1C05"/>
    <w:rsid w:val="007D219F"/>
    <w:rsid w:val="007D2AF2"/>
    <w:rsid w:val="007D2F8A"/>
    <w:rsid w:val="007D3722"/>
    <w:rsid w:val="007D4519"/>
    <w:rsid w:val="007D5061"/>
    <w:rsid w:val="007D5F5B"/>
    <w:rsid w:val="007D62DA"/>
    <w:rsid w:val="007D6FBA"/>
    <w:rsid w:val="007D71C8"/>
    <w:rsid w:val="007D747E"/>
    <w:rsid w:val="007D7E16"/>
    <w:rsid w:val="007E0528"/>
    <w:rsid w:val="007E133D"/>
    <w:rsid w:val="007E18F3"/>
    <w:rsid w:val="007E1FEB"/>
    <w:rsid w:val="007E2737"/>
    <w:rsid w:val="007E298C"/>
    <w:rsid w:val="007E2F2E"/>
    <w:rsid w:val="007E336F"/>
    <w:rsid w:val="007E3F64"/>
    <w:rsid w:val="007E5423"/>
    <w:rsid w:val="007E5982"/>
    <w:rsid w:val="007E61DA"/>
    <w:rsid w:val="007E651B"/>
    <w:rsid w:val="007E75F9"/>
    <w:rsid w:val="007F0905"/>
    <w:rsid w:val="007F0943"/>
    <w:rsid w:val="007F0DDE"/>
    <w:rsid w:val="007F124C"/>
    <w:rsid w:val="007F125E"/>
    <w:rsid w:val="007F1930"/>
    <w:rsid w:val="007F1C57"/>
    <w:rsid w:val="007F3217"/>
    <w:rsid w:val="007F3368"/>
    <w:rsid w:val="007F358D"/>
    <w:rsid w:val="007F404F"/>
    <w:rsid w:val="007F4054"/>
    <w:rsid w:val="007F48D6"/>
    <w:rsid w:val="007F4DF3"/>
    <w:rsid w:val="007F4E3D"/>
    <w:rsid w:val="007F4F42"/>
    <w:rsid w:val="007F584E"/>
    <w:rsid w:val="007F59BA"/>
    <w:rsid w:val="007F6086"/>
    <w:rsid w:val="007F6A43"/>
    <w:rsid w:val="007F7295"/>
    <w:rsid w:val="007F78F2"/>
    <w:rsid w:val="007F7FD8"/>
    <w:rsid w:val="00800640"/>
    <w:rsid w:val="008006C7"/>
    <w:rsid w:val="0080108B"/>
    <w:rsid w:val="0080125F"/>
    <w:rsid w:val="00801CB1"/>
    <w:rsid w:val="00801F1C"/>
    <w:rsid w:val="0080214C"/>
    <w:rsid w:val="008021AF"/>
    <w:rsid w:val="008021EF"/>
    <w:rsid w:val="0080277C"/>
    <w:rsid w:val="0080307D"/>
    <w:rsid w:val="00803B76"/>
    <w:rsid w:val="00803EE7"/>
    <w:rsid w:val="008048F1"/>
    <w:rsid w:val="00805071"/>
    <w:rsid w:val="008053C3"/>
    <w:rsid w:val="00805514"/>
    <w:rsid w:val="00805647"/>
    <w:rsid w:val="0080567B"/>
    <w:rsid w:val="00805DFD"/>
    <w:rsid w:val="00806299"/>
    <w:rsid w:val="0080656F"/>
    <w:rsid w:val="00806AA2"/>
    <w:rsid w:val="00806E59"/>
    <w:rsid w:val="008079A7"/>
    <w:rsid w:val="008079D2"/>
    <w:rsid w:val="00810E92"/>
    <w:rsid w:val="0081103A"/>
    <w:rsid w:val="008113F7"/>
    <w:rsid w:val="00811C41"/>
    <w:rsid w:val="00811D27"/>
    <w:rsid w:val="00812247"/>
    <w:rsid w:val="00812A8E"/>
    <w:rsid w:val="00812E01"/>
    <w:rsid w:val="00812F55"/>
    <w:rsid w:val="008138DA"/>
    <w:rsid w:val="00813CA4"/>
    <w:rsid w:val="008141E6"/>
    <w:rsid w:val="008149DD"/>
    <w:rsid w:val="00814CB5"/>
    <w:rsid w:val="00814D5F"/>
    <w:rsid w:val="00815546"/>
    <w:rsid w:val="00815E7D"/>
    <w:rsid w:val="00815FA3"/>
    <w:rsid w:val="00816200"/>
    <w:rsid w:val="00816570"/>
    <w:rsid w:val="008165C5"/>
    <w:rsid w:val="008166B7"/>
    <w:rsid w:val="00816851"/>
    <w:rsid w:val="00816906"/>
    <w:rsid w:val="0081743D"/>
    <w:rsid w:val="00817487"/>
    <w:rsid w:val="0082022A"/>
    <w:rsid w:val="00820319"/>
    <w:rsid w:val="00820D19"/>
    <w:rsid w:val="00821378"/>
    <w:rsid w:val="0082297B"/>
    <w:rsid w:val="00822D52"/>
    <w:rsid w:val="0082309D"/>
    <w:rsid w:val="008239D7"/>
    <w:rsid w:val="00823DB2"/>
    <w:rsid w:val="00823E6E"/>
    <w:rsid w:val="008245B2"/>
    <w:rsid w:val="008246AE"/>
    <w:rsid w:val="00824EF5"/>
    <w:rsid w:val="0082506B"/>
    <w:rsid w:val="00825F5D"/>
    <w:rsid w:val="00825FFE"/>
    <w:rsid w:val="00826354"/>
    <w:rsid w:val="00826AC8"/>
    <w:rsid w:val="008271D9"/>
    <w:rsid w:val="008275EC"/>
    <w:rsid w:val="008278E2"/>
    <w:rsid w:val="008278ED"/>
    <w:rsid w:val="008300CD"/>
    <w:rsid w:val="00830684"/>
    <w:rsid w:val="00830B36"/>
    <w:rsid w:val="00830DE2"/>
    <w:rsid w:val="00830FB3"/>
    <w:rsid w:val="0083124C"/>
    <w:rsid w:val="008315C0"/>
    <w:rsid w:val="00831632"/>
    <w:rsid w:val="00831E0B"/>
    <w:rsid w:val="00832006"/>
    <w:rsid w:val="008322CB"/>
    <w:rsid w:val="00832313"/>
    <w:rsid w:val="00832E57"/>
    <w:rsid w:val="00832FDE"/>
    <w:rsid w:val="00833152"/>
    <w:rsid w:val="0083377F"/>
    <w:rsid w:val="00834C54"/>
    <w:rsid w:val="00834F25"/>
    <w:rsid w:val="00835124"/>
    <w:rsid w:val="00835752"/>
    <w:rsid w:val="008363EA"/>
    <w:rsid w:val="0084026A"/>
    <w:rsid w:val="008405EC"/>
    <w:rsid w:val="008414C3"/>
    <w:rsid w:val="008419DD"/>
    <w:rsid w:val="00841B8B"/>
    <w:rsid w:val="00841BFA"/>
    <w:rsid w:val="00841E58"/>
    <w:rsid w:val="00841F1B"/>
    <w:rsid w:val="008426EB"/>
    <w:rsid w:val="00842D84"/>
    <w:rsid w:val="0084305D"/>
    <w:rsid w:val="008432D6"/>
    <w:rsid w:val="0084387F"/>
    <w:rsid w:val="00843B0D"/>
    <w:rsid w:val="00844CBA"/>
    <w:rsid w:val="00844EC0"/>
    <w:rsid w:val="00844F97"/>
    <w:rsid w:val="00845E70"/>
    <w:rsid w:val="00846404"/>
    <w:rsid w:val="008475B9"/>
    <w:rsid w:val="00847FD4"/>
    <w:rsid w:val="00850437"/>
    <w:rsid w:val="00850496"/>
    <w:rsid w:val="00850F86"/>
    <w:rsid w:val="008511DC"/>
    <w:rsid w:val="00851865"/>
    <w:rsid w:val="00851BE7"/>
    <w:rsid w:val="00851CD2"/>
    <w:rsid w:val="0085233F"/>
    <w:rsid w:val="00852B16"/>
    <w:rsid w:val="008530B6"/>
    <w:rsid w:val="008536C2"/>
    <w:rsid w:val="00854020"/>
    <w:rsid w:val="00854311"/>
    <w:rsid w:val="0085435E"/>
    <w:rsid w:val="00854505"/>
    <w:rsid w:val="008558EA"/>
    <w:rsid w:val="00855965"/>
    <w:rsid w:val="00855A6A"/>
    <w:rsid w:val="008562C1"/>
    <w:rsid w:val="00856760"/>
    <w:rsid w:val="0085685F"/>
    <w:rsid w:val="008568B1"/>
    <w:rsid w:val="00856A0D"/>
    <w:rsid w:val="00857264"/>
    <w:rsid w:val="0085774E"/>
    <w:rsid w:val="0085786B"/>
    <w:rsid w:val="008578D7"/>
    <w:rsid w:val="00857BA6"/>
    <w:rsid w:val="00860591"/>
    <w:rsid w:val="008607D6"/>
    <w:rsid w:val="00860BC1"/>
    <w:rsid w:val="0086113B"/>
    <w:rsid w:val="00861787"/>
    <w:rsid w:val="00861E18"/>
    <w:rsid w:val="00861E4D"/>
    <w:rsid w:val="00861EE8"/>
    <w:rsid w:val="0086223A"/>
    <w:rsid w:val="008622FB"/>
    <w:rsid w:val="0086257D"/>
    <w:rsid w:val="00864174"/>
    <w:rsid w:val="00864449"/>
    <w:rsid w:val="00864665"/>
    <w:rsid w:val="0086472D"/>
    <w:rsid w:val="00864A54"/>
    <w:rsid w:val="008656B1"/>
    <w:rsid w:val="00865CFB"/>
    <w:rsid w:val="0086713E"/>
    <w:rsid w:val="00867289"/>
    <w:rsid w:val="00867398"/>
    <w:rsid w:val="00867E20"/>
    <w:rsid w:val="0087018F"/>
    <w:rsid w:val="0087031C"/>
    <w:rsid w:val="00870324"/>
    <w:rsid w:val="00870662"/>
    <w:rsid w:val="00870A98"/>
    <w:rsid w:val="0087177C"/>
    <w:rsid w:val="0087191E"/>
    <w:rsid w:val="00872589"/>
    <w:rsid w:val="0087264A"/>
    <w:rsid w:val="00873E01"/>
    <w:rsid w:val="00874820"/>
    <w:rsid w:val="00874865"/>
    <w:rsid w:val="00874DF9"/>
    <w:rsid w:val="00874E14"/>
    <w:rsid w:val="00874FE9"/>
    <w:rsid w:val="00875275"/>
    <w:rsid w:val="0087552A"/>
    <w:rsid w:val="00875B9C"/>
    <w:rsid w:val="008762CF"/>
    <w:rsid w:val="008765A9"/>
    <w:rsid w:val="0087775D"/>
    <w:rsid w:val="00880858"/>
    <w:rsid w:val="00880876"/>
    <w:rsid w:val="00880C7A"/>
    <w:rsid w:val="00880EF2"/>
    <w:rsid w:val="00880FE4"/>
    <w:rsid w:val="00881A03"/>
    <w:rsid w:val="008826AB"/>
    <w:rsid w:val="00883211"/>
    <w:rsid w:val="008839EB"/>
    <w:rsid w:val="00883CD4"/>
    <w:rsid w:val="008845BA"/>
    <w:rsid w:val="0088475E"/>
    <w:rsid w:val="00885B8D"/>
    <w:rsid w:val="00885E19"/>
    <w:rsid w:val="00885F26"/>
    <w:rsid w:val="008868E6"/>
    <w:rsid w:val="008869A0"/>
    <w:rsid w:val="00886CDB"/>
    <w:rsid w:val="00887278"/>
    <w:rsid w:val="008873C7"/>
    <w:rsid w:val="0088752E"/>
    <w:rsid w:val="008875EA"/>
    <w:rsid w:val="00887D82"/>
    <w:rsid w:val="008902D3"/>
    <w:rsid w:val="00890530"/>
    <w:rsid w:val="008906B3"/>
    <w:rsid w:val="00890E81"/>
    <w:rsid w:val="008918DB"/>
    <w:rsid w:val="00891BD3"/>
    <w:rsid w:val="00892260"/>
    <w:rsid w:val="00892D9C"/>
    <w:rsid w:val="00893521"/>
    <w:rsid w:val="00893790"/>
    <w:rsid w:val="00893AF2"/>
    <w:rsid w:val="00893AFD"/>
    <w:rsid w:val="00894E15"/>
    <w:rsid w:val="0089520E"/>
    <w:rsid w:val="0089525F"/>
    <w:rsid w:val="00895656"/>
    <w:rsid w:val="00895941"/>
    <w:rsid w:val="00895BA9"/>
    <w:rsid w:val="0089600D"/>
    <w:rsid w:val="0089681D"/>
    <w:rsid w:val="00897898"/>
    <w:rsid w:val="008A0036"/>
    <w:rsid w:val="008A02C4"/>
    <w:rsid w:val="008A02E9"/>
    <w:rsid w:val="008A03CB"/>
    <w:rsid w:val="008A04BF"/>
    <w:rsid w:val="008A097A"/>
    <w:rsid w:val="008A0A39"/>
    <w:rsid w:val="008A0EC2"/>
    <w:rsid w:val="008A18D9"/>
    <w:rsid w:val="008A2106"/>
    <w:rsid w:val="008A2338"/>
    <w:rsid w:val="008A26C7"/>
    <w:rsid w:val="008A2898"/>
    <w:rsid w:val="008A2CD5"/>
    <w:rsid w:val="008A2F36"/>
    <w:rsid w:val="008A2FA4"/>
    <w:rsid w:val="008A2FB1"/>
    <w:rsid w:val="008A302D"/>
    <w:rsid w:val="008A339A"/>
    <w:rsid w:val="008A3EEA"/>
    <w:rsid w:val="008A429A"/>
    <w:rsid w:val="008A45C0"/>
    <w:rsid w:val="008A55A3"/>
    <w:rsid w:val="008A5C02"/>
    <w:rsid w:val="008A5E08"/>
    <w:rsid w:val="008A60F5"/>
    <w:rsid w:val="008A617A"/>
    <w:rsid w:val="008A6327"/>
    <w:rsid w:val="008A65B9"/>
    <w:rsid w:val="008A668E"/>
    <w:rsid w:val="008A68CE"/>
    <w:rsid w:val="008A7025"/>
    <w:rsid w:val="008A710B"/>
    <w:rsid w:val="008A780D"/>
    <w:rsid w:val="008A7A1C"/>
    <w:rsid w:val="008A7DF2"/>
    <w:rsid w:val="008B001B"/>
    <w:rsid w:val="008B029C"/>
    <w:rsid w:val="008B19F4"/>
    <w:rsid w:val="008B1FC3"/>
    <w:rsid w:val="008B27A6"/>
    <w:rsid w:val="008B2EF1"/>
    <w:rsid w:val="008B31FB"/>
    <w:rsid w:val="008B3B88"/>
    <w:rsid w:val="008B3CB7"/>
    <w:rsid w:val="008B3E07"/>
    <w:rsid w:val="008B41DB"/>
    <w:rsid w:val="008B42B2"/>
    <w:rsid w:val="008B4469"/>
    <w:rsid w:val="008B463D"/>
    <w:rsid w:val="008B4ECD"/>
    <w:rsid w:val="008B5095"/>
    <w:rsid w:val="008B50E4"/>
    <w:rsid w:val="008B52AC"/>
    <w:rsid w:val="008B5AD3"/>
    <w:rsid w:val="008B5ECC"/>
    <w:rsid w:val="008B605F"/>
    <w:rsid w:val="008B61CB"/>
    <w:rsid w:val="008B6DCC"/>
    <w:rsid w:val="008B70A0"/>
    <w:rsid w:val="008B7733"/>
    <w:rsid w:val="008B7F93"/>
    <w:rsid w:val="008C0C0C"/>
    <w:rsid w:val="008C1036"/>
    <w:rsid w:val="008C109D"/>
    <w:rsid w:val="008C1117"/>
    <w:rsid w:val="008C1672"/>
    <w:rsid w:val="008C173E"/>
    <w:rsid w:val="008C23FB"/>
    <w:rsid w:val="008C2B75"/>
    <w:rsid w:val="008C35B4"/>
    <w:rsid w:val="008C38B4"/>
    <w:rsid w:val="008C46B3"/>
    <w:rsid w:val="008C4860"/>
    <w:rsid w:val="008C4CA2"/>
    <w:rsid w:val="008C5548"/>
    <w:rsid w:val="008C557E"/>
    <w:rsid w:val="008C57E8"/>
    <w:rsid w:val="008C5927"/>
    <w:rsid w:val="008C5D81"/>
    <w:rsid w:val="008C63A7"/>
    <w:rsid w:val="008C6A02"/>
    <w:rsid w:val="008C6E74"/>
    <w:rsid w:val="008C6EDC"/>
    <w:rsid w:val="008C7535"/>
    <w:rsid w:val="008C775C"/>
    <w:rsid w:val="008D07A9"/>
    <w:rsid w:val="008D0D49"/>
    <w:rsid w:val="008D10A6"/>
    <w:rsid w:val="008D14BC"/>
    <w:rsid w:val="008D17C1"/>
    <w:rsid w:val="008D2455"/>
    <w:rsid w:val="008D24CD"/>
    <w:rsid w:val="008D2678"/>
    <w:rsid w:val="008D2BA0"/>
    <w:rsid w:val="008D2C51"/>
    <w:rsid w:val="008D2D44"/>
    <w:rsid w:val="008D33DB"/>
    <w:rsid w:val="008D364F"/>
    <w:rsid w:val="008D398A"/>
    <w:rsid w:val="008D3CCA"/>
    <w:rsid w:val="008D443A"/>
    <w:rsid w:val="008D4ADA"/>
    <w:rsid w:val="008D6980"/>
    <w:rsid w:val="008D6F93"/>
    <w:rsid w:val="008D7675"/>
    <w:rsid w:val="008D7AAB"/>
    <w:rsid w:val="008D7E4B"/>
    <w:rsid w:val="008E09EB"/>
    <w:rsid w:val="008E0A40"/>
    <w:rsid w:val="008E0CF6"/>
    <w:rsid w:val="008E0F04"/>
    <w:rsid w:val="008E126B"/>
    <w:rsid w:val="008E1676"/>
    <w:rsid w:val="008E17AC"/>
    <w:rsid w:val="008E226E"/>
    <w:rsid w:val="008E251C"/>
    <w:rsid w:val="008E2A1B"/>
    <w:rsid w:val="008E2A92"/>
    <w:rsid w:val="008E3548"/>
    <w:rsid w:val="008E3648"/>
    <w:rsid w:val="008E3A76"/>
    <w:rsid w:val="008E494E"/>
    <w:rsid w:val="008E4F7C"/>
    <w:rsid w:val="008E51EF"/>
    <w:rsid w:val="008E5EE1"/>
    <w:rsid w:val="008E6888"/>
    <w:rsid w:val="008E6D27"/>
    <w:rsid w:val="008E7C1D"/>
    <w:rsid w:val="008E7F27"/>
    <w:rsid w:val="008F0848"/>
    <w:rsid w:val="008F088A"/>
    <w:rsid w:val="008F0E31"/>
    <w:rsid w:val="008F19CD"/>
    <w:rsid w:val="008F1DF7"/>
    <w:rsid w:val="008F2249"/>
    <w:rsid w:val="008F2379"/>
    <w:rsid w:val="008F2866"/>
    <w:rsid w:val="008F2A47"/>
    <w:rsid w:val="008F2D08"/>
    <w:rsid w:val="008F34C9"/>
    <w:rsid w:val="008F3A13"/>
    <w:rsid w:val="008F412D"/>
    <w:rsid w:val="008F440E"/>
    <w:rsid w:val="008F4882"/>
    <w:rsid w:val="008F5B70"/>
    <w:rsid w:val="008F7DD7"/>
    <w:rsid w:val="009000C4"/>
    <w:rsid w:val="0090072E"/>
    <w:rsid w:val="00901480"/>
    <w:rsid w:val="00902033"/>
    <w:rsid w:val="009021CF"/>
    <w:rsid w:val="00902B45"/>
    <w:rsid w:val="00902E7D"/>
    <w:rsid w:val="0090341E"/>
    <w:rsid w:val="00903986"/>
    <w:rsid w:val="00903CF2"/>
    <w:rsid w:val="00903E4C"/>
    <w:rsid w:val="00903EAD"/>
    <w:rsid w:val="0090476C"/>
    <w:rsid w:val="00904797"/>
    <w:rsid w:val="0090484C"/>
    <w:rsid w:val="00904B95"/>
    <w:rsid w:val="00904EB4"/>
    <w:rsid w:val="00905512"/>
    <w:rsid w:val="009055BA"/>
    <w:rsid w:val="0090560F"/>
    <w:rsid w:val="00905C05"/>
    <w:rsid w:val="00906723"/>
    <w:rsid w:val="00906CED"/>
    <w:rsid w:val="00907395"/>
    <w:rsid w:val="009073D6"/>
    <w:rsid w:val="009075FF"/>
    <w:rsid w:val="009077AA"/>
    <w:rsid w:val="00907AEB"/>
    <w:rsid w:val="00907CB2"/>
    <w:rsid w:val="0091022F"/>
    <w:rsid w:val="0091050F"/>
    <w:rsid w:val="00910889"/>
    <w:rsid w:val="00910CD6"/>
    <w:rsid w:val="00910CF3"/>
    <w:rsid w:val="00910FF9"/>
    <w:rsid w:val="0091163C"/>
    <w:rsid w:val="0091176A"/>
    <w:rsid w:val="0091219B"/>
    <w:rsid w:val="009138E5"/>
    <w:rsid w:val="00913DB8"/>
    <w:rsid w:val="0091407B"/>
    <w:rsid w:val="009142F5"/>
    <w:rsid w:val="00914709"/>
    <w:rsid w:val="00915391"/>
    <w:rsid w:val="009159DA"/>
    <w:rsid w:val="00915C24"/>
    <w:rsid w:val="009160DE"/>
    <w:rsid w:val="00916CB6"/>
    <w:rsid w:val="0091721F"/>
    <w:rsid w:val="00917A87"/>
    <w:rsid w:val="00917EA8"/>
    <w:rsid w:val="009208B4"/>
    <w:rsid w:val="00920D1B"/>
    <w:rsid w:val="00921AE5"/>
    <w:rsid w:val="00921D5F"/>
    <w:rsid w:val="00921DBF"/>
    <w:rsid w:val="00921E0E"/>
    <w:rsid w:val="00923576"/>
    <w:rsid w:val="009235BE"/>
    <w:rsid w:val="00923846"/>
    <w:rsid w:val="00923854"/>
    <w:rsid w:val="009240A7"/>
    <w:rsid w:val="00924111"/>
    <w:rsid w:val="00924198"/>
    <w:rsid w:val="009241CA"/>
    <w:rsid w:val="00924999"/>
    <w:rsid w:val="00924E50"/>
    <w:rsid w:val="00925330"/>
    <w:rsid w:val="00925357"/>
    <w:rsid w:val="00925865"/>
    <w:rsid w:val="00926770"/>
    <w:rsid w:val="00926D27"/>
    <w:rsid w:val="009271BB"/>
    <w:rsid w:val="00927484"/>
    <w:rsid w:val="009277E5"/>
    <w:rsid w:val="0092796E"/>
    <w:rsid w:val="0092797B"/>
    <w:rsid w:val="00927997"/>
    <w:rsid w:val="00927E6E"/>
    <w:rsid w:val="00927EE4"/>
    <w:rsid w:val="00930180"/>
    <w:rsid w:val="009307B1"/>
    <w:rsid w:val="00930FE6"/>
    <w:rsid w:val="00931A14"/>
    <w:rsid w:val="00932022"/>
    <w:rsid w:val="009323C0"/>
    <w:rsid w:val="0093268F"/>
    <w:rsid w:val="0093296B"/>
    <w:rsid w:val="00932A09"/>
    <w:rsid w:val="00932EC6"/>
    <w:rsid w:val="00933019"/>
    <w:rsid w:val="009346F3"/>
    <w:rsid w:val="00934D8A"/>
    <w:rsid w:val="00934E54"/>
    <w:rsid w:val="00935477"/>
    <w:rsid w:val="00935E38"/>
    <w:rsid w:val="009363E9"/>
    <w:rsid w:val="009365D8"/>
    <w:rsid w:val="00936A68"/>
    <w:rsid w:val="00936D7A"/>
    <w:rsid w:val="009372BB"/>
    <w:rsid w:val="009379EC"/>
    <w:rsid w:val="00937C59"/>
    <w:rsid w:val="00937E4D"/>
    <w:rsid w:val="0094002C"/>
    <w:rsid w:val="0094063D"/>
    <w:rsid w:val="009418D3"/>
    <w:rsid w:val="00942568"/>
    <w:rsid w:val="00943268"/>
    <w:rsid w:val="00943945"/>
    <w:rsid w:val="009441E9"/>
    <w:rsid w:val="0094450A"/>
    <w:rsid w:val="00944693"/>
    <w:rsid w:val="00944A4C"/>
    <w:rsid w:val="00944D3E"/>
    <w:rsid w:val="0094570F"/>
    <w:rsid w:val="00945E09"/>
    <w:rsid w:val="00945E36"/>
    <w:rsid w:val="009469B9"/>
    <w:rsid w:val="00946EDA"/>
    <w:rsid w:val="00947BE4"/>
    <w:rsid w:val="0095018B"/>
    <w:rsid w:val="009502EE"/>
    <w:rsid w:val="0095038F"/>
    <w:rsid w:val="009503AB"/>
    <w:rsid w:val="0095069E"/>
    <w:rsid w:val="00950A70"/>
    <w:rsid w:val="009516B6"/>
    <w:rsid w:val="009516C1"/>
    <w:rsid w:val="00951A4C"/>
    <w:rsid w:val="00952718"/>
    <w:rsid w:val="00953E0C"/>
    <w:rsid w:val="00954167"/>
    <w:rsid w:val="009542AB"/>
    <w:rsid w:val="00954470"/>
    <w:rsid w:val="009545AE"/>
    <w:rsid w:val="009546AE"/>
    <w:rsid w:val="00954E55"/>
    <w:rsid w:val="009552FA"/>
    <w:rsid w:val="0095540B"/>
    <w:rsid w:val="009559AA"/>
    <w:rsid w:val="00955A27"/>
    <w:rsid w:val="00956309"/>
    <w:rsid w:val="00956984"/>
    <w:rsid w:val="00956A31"/>
    <w:rsid w:val="00956CD5"/>
    <w:rsid w:val="00956F67"/>
    <w:rsid w:val="00957261"/>
    <w:rsid w:val="00960C6D"/>
    <w:rsid w:val="00960E09"/>
    <w:rsid w:val="00961939"/>
    <w:rsid w:val="009623D2"/>
    <w:rsid w:val="00962644"/>
    <w:rsid w:val="00962A8C"/>
    <w:rsid w:val="00964082"/>
    <w:rsid w:val="009642DF"/>
    <w:rsid w:val="009644A1"/>
    <w:rsid w:val="009665EB"/>
    <w:rsid w:val="00966A75"/>
    <w:rsid w:val="00966C34"/>
    <w:rsid w:val="00966E67"/>
    <w:rsid w:val="00967015"/>
    <w:rsid w:val="009675AC"/>
    <w:rsid w:val="00967A3B"/>
    <w:rsid w:val="009703CF"/>
    <w:rsid w:val="00970455"/>
    <w:rsid w:val="00970A0C"/>
    <w:rsid w:val="0097120A"/>
    <w:rsid w:val="009712AC"/>
    <w:rsid w:val="00971398"/>
    <w:rsid w:val="009714FD"/>
    <w:rsid w:val="0097154E"/>
    <w:rsid w:val="009715CD"/>
    <w:rsid w:val="00971C42"/>
    <w:rsid w:val="00971CEC"/>
    <w:rsid w:val="009720D9"/>
    <w:rsid w:val="00972331"/>
    <w:rsid w:val="009727E8"/>
    <w:rsid w:val="00973FAD"/>
    <w:rsid w:val="0097407B"/>
    <w:rsid w:val="00974277"/>
    <w:rsid w:val="009742C7"/>
    <w:rsid w:val="009743D7"/>
    <w:rsid w:val="00974757"/>
    <w:rsid w:val="00974A2A"/>
    <w:rsid w:val="00974A90"/>
    <w:rsid w:val="00974DD3"/>
    <w:rsid w:val="00974E1B"/>
    <w:rsid w:val="00975273"/>
    <w:rsid w:val="00975370"/>
    <w:rsid w:val="009754E0"/>
    <w:rsid w:val="00975575"/>
    <w:rsid w:val="00975C00"/>
    <w:rsid w:val="00975F2F"/>
    <w:rsid w:val="00976449"/>
    <w:rsid w:val="00976C48"/>
    <w:rsid w:val="00977647"/>
    <w:rsid w:val="009776D0"/>
    <w:rsid w:val="00977C82"/>
    <w:rsid w:val="009808D1"/>
    <w:rsid w:val="00980E7D"/>
    <w:rsid w:val="00981CA1"/>
    <w:rsid w:val="00981E8C"/>
    <w:rsid w:val="00981EB1"/>
    <w:rsid w:val="00982124"/>
    <w:rsid w:val="00982C92"/>
    <w:rsid w:val="00982DA9"/>
    <w:rsid w:val="0098332A"/>
    <w:rsid w:val="00983AB4"/>
    <w:rsid w:val="00983B14"/>
    <w:rsid w:val="009841DC"/>
    <w:rsid w:val="0098430E"/>
    <w:rsid w:val="0098449A"/>
    <w:rsid w:val="00984875"/>
    <w:rsid w:val="00984C3A"/>
    <w:rsid w:val="00985862"/>
    <w:rsid w:val="00985B9B"/>
    <w:rsid w:val="009866EF"/>
    <w:rsid w:val="00987062"/>
    <w:rsid w:val="009872F6"/>
    <w:rsid w:val="0098734A"/>
    <w:rsid w:val="00987705"/>
    <w:rsid w:val="00987D5D"/>
    <w:rsid w:val="00992010"/>
    <w:rsid w:val="009920CD"/>
    <w:rsid w:val="00992128"/>
    <w:rsid w:val="00992172"/>
    <w:rsid w:val="009922E4"/>
    <w:rsid w:val="00992441"/>
    <w:rsid w:val="00992FDA"/>
    <w:rsid w:val="00993550"/>
    <w:rsid w:val="00993D4A"/>
    <w:rsid w:val="0099477E"/>
    <w:rsid w:val="00994970"/>
    <w:rsid w:val="00994C88"/>
    <w:rsid w:val="00995251"/>
    <w:rsid w:val="00996139"/>
    <w:rsid w:val="00996DA3"/>
    <w:rsid w:val="009975E2"/>
    <w:rsid w:val="0099776F"/>
    <w:rsid w:val="00997C36"/>
    <w:rsid w:val="00997FFA"/>
    <w:rsid w:val="009A01AA"/>
    <w:rsid w:val="009A09DF"/>
    <w:rsid w:val="009A1061"/>
    <w:rsid w:val="009A1692"/>
    <w:rsid w:val="009A25D5"/>
    <w:rsid w:val="009A289F"/>
    <w:rsid w:val="009A2CB6"/>
    <w:rsid w:val="009A3651"/>
    <w:rsid w:val="009A3914"/>
    <w:rsid w:val="009A3E4D"/>
    <w:rsid w:val="009A4080"/>
    <w:rsid w:val="009A434A"/>
    <w:rsid w:val="009A4391"/>
    <w:rsid w:val="009A4671"/>
    <w:rsid w:val="009A52F1"/>
    <w:rsid w:val="009A5394"/>
    <w:rsid w:val="009A54D1"/>
    <w:rsid w:val="009A5B69"/>
    <w:rsid w:val="009A6152"/>
    <w:rsid w:val="009A66C8"/>
    <w:rsid w:val="009A6AA7"/>
    <w:rsid w:val="009B00C9"/>
    <w:rsid w:val="009B06E6"/>
    <w:rsid w:val="009B12EC"/>
    <w:rsid w:val="009B1A63"/>
    <w:rsid w:val="009B2032"/>
    <w:rsid w:val="009B236B"/>
    <w:rsid w:val="009B24F5"/>
    <w:rsid w:val="009B2839"/>
    <w:rsid w:val="009B2D40"/>
    <w:rsid w:val="009B3086"/>
    <w:rsid w:val="009B34BE"/>
    <w:rsid w:val="009B350A"/>
    <w:rsid w:val="009B4A11"/>
    <w:rsid w:val="009B4E6E"/>
    <w:rsid w:val="009B5403"/>
    <w:rsid w:val="009B5B74"/>
    <w:rsid w:val="009B5FBD"/>
    <w:rsid w:val="009B64E9"/>
    <w:rsid w:val="009B6553"/>
    <w:rsid w:val="009B69F9"/>
    <w:rsid w:val="009B79AB"/>
    <w:rsid w:val="009B79E9"/>
    <w:rsid w:val="009B7D18"/>
    <w:rsid w:val="009B7E28"/>
    <w:rsid w:val="009B7E8E"/>
    <w:rsid w:val="009C00A5"/>
    <w:rsid w:val="009C0ED0"/>
    <w:rsid w:val="009C1CFD"/>
    <w:rsid w:val="009C1D4A"/>
    <w:rsid w:val="009C1DD2"/>
    <w:rsid w:val="009C2A10"/>
    <w:rsid w:val="009C2C1C"/>
    <w:rsid w:val="009C2E5F"/>
    <w:rsid w:val="009C3209"/>
    <w:rsid w:val="009C3B1D"/>
    <w:rsid w:val="009C3BCD"/>
    <w:rsid w:val="009C3C4D"/>
    <w:rsid w:val="009C422F"/>
    <w:rsid w:val="009C4799"/>
    <w:rsid w:val="009C4E1C"/>
    <w:rsid w:val="009C54DE"/>
    <w:rsid w:val="009C5643"/>
    <w:rsid w:val="009C5867"/>
    <w:rsid w:val="009C5A99"/>
    <w:rsid w:val="009C5E1E"/>
    <w:rsid w:val="009C5FBB"/>
    <w:rsid w:val="009C6320"/>
    <w:rsid w:val="009C63D8"/>
    <w:rsid w:val="009C67B3"/>
    <w:rsid w:val="009C6921"/>
    <w:rsid w:val="009C6C20"/>
    <w:rsid w:val="009C6F53"/>
    <w:rsid w:val="009C7462"/>
    <w:rsid w:val="009D009B"/>
    <w:rsid w:val="009D036A"/>
    <w:rsid w:val="009D121E"/>
    <w:rsid w:val="009D1B29"/>
    <w:rsid w:val="009D205E"/>
    <w:rsid w:val="009D2A79"/>
    <w:rsid w:val="009D303F"/>
    <w:rsid w:val="009D317C"/>
    <w:rsid w:val="009D34AE"/>
    <w:rsid w:val="009D3718"/>
    <w:rsid w:val="009D4889"/>
    <w:rsid w:val="009D4E43"/>
    <w:rsid w:val="009D5326"/>
    <w:rsid w:val="009D603E"/>
    <w:rsid w:val="009D65DF"/>
    <w:rsid w:val="009D6C07"/>
    <w:rsid w:val="009D6F6A"/>
    <w:rsid w:val="009D76AC"/>
    <w:rsid w:val="009D7B80"/>
    <w:rsid w:val="009E124D"/>
    <w:rsid w:val="009E1C71"/>
    <w:rsid w:val="009E2275"/>
    <w:rsid w:val="009E23AA"/>
    <w:rsid w:val="009E2E29"/>
    <w:rsid w:val="009E3323"/>
    <w:rsid w:val="009E3CFB"/>
    <w:rsid w:val="009E3FB8"/>
    <w:rsid w:val="009E4401"/>
    <w:rsid w:val="009E450C"/>
    <w:rsid w:val="009E468F"/>
    <w:rsid w:val="009E5407"/>
    <w:rsid w:val="009E5B52"/>
    <w:rsid w:val="009E6489"/>
    <w:rsid w:val="009E6847"/>
    <w:rsid w:val="009E7836"/>
    <w:rsid w:val="009E7C95"/>
    <w:rsid w:val="009E7D0D"/>
    <w:rsid w:val="009F00A2"/>
    <w:rsid w:val="009F010F"/>
    <w:rsid w:val="009F051F"/>
    <w:rsid w:val="009F096C"/>
    <w:rsid w:val="009F0C54"/>
    <w:rsid w:val="009F16E0"/>
    <w:rsid w:val="009F19E0"/>
    <w:rsid w:val="009F29E7"/>
    <w:rsid w:val="009F2ADB"/>
    <w:rsid w:val="009F2B16"/>
    <w:rsid w:val="009F2CCA"/>
    <w:rsid w:val="009F2FCF"/>
    <w:rsid w:val="009F3D1A"/>
    <w:rsid w:val="009F3D2C"/>
    <w:rsid w:val="009F3F82"/>
    <w:rsid w:val="009F4B89"/>
    <w:rsid w:val="009F4C45"/>
    <w:rsid w:val="009F4CC7"/>
    <w:rsid w:val="009F5120"/>
    <w:rsid w:val="009F57C8"/>
    <w:rsid w:val="009F5976"/>
    <w:rsid w:val="009F59E1"/>
    <w:rsid w:val="009F5B44"/>
    <w:rsid w:val="009F5E8A"/>
    <w:rsid w:val="009F62B1"/>
    <w:rsid w:val="009F6463"/>
    <w:rsid w:val="009F64CF"/>
    <w:rsid w:val="009F7160"/>
    <w:rsid w:val="009F7243"/>
    <w:rsid w:val="009F7737"/>
    <w:rsid w:val="009F7D3B"/>
    <w:rsid w:val="00A0010F"/>
    <w:rsid w:val="00A0064F"/>
    <w:rsid w:val="00A00CC8"/>
    <w:rsid w:val="00A017A6"/>
    <w:rsid w:val="00A01D3C"/>
    <w:rsid w:val="00A01F2B"/>
    <w:rsid w:val="00A0262F"/>
    <w:rsid w:val="00A038D2"/>
    <w:rsid w:val="00A03D34"/>
    <w:rsid w:val="00A03EE7"/>
    <w:rsid w:val="00A042DE"/>
    <w:rsid w:val="00A048F8"/>
    <w:rsid w:val="00A05252"/>
    <w:rsid w:val="00A056D9"/>
    <w:rsid w:val="00A05DD7"/>
    <w:rsid w:val="00A102C3"/>
    <w:rsid w:val="00A10497"/>
    <w:rsid w:val="00A10DC5"/>
    <w:rsid w:val="00A111FD"/>
    <w:rsid w:val="00A114B3"/>
    <w:rsid w:val="00A11C29"/>
    <w:rsid w:val="00A121E2"/>
    <w:rsid w:val="00A138F5"/>
    <w:rsid w:val="00A14D3F"/>
    <w:rsid w:val="00A15A50"/>
    <w:rsid w:val="00A168DF"/>
    <w:rsid w:val="00A16BC7"/>
    <w:rsid w:val="00A1737F"/>
    <w:rsid w:val="00A173A0"/>
    <w:rsid w:val="00A1773C"/>
    <w:rsid w:val="00A17926"/>
    <w:rsid w:val="00A17E2C"/>
    <w:rsid w:val="00A17E75"/>
    <w:rsid w:val="00A20A83"/>
    <w:rsid w:val="00A20F5C"/>
    <w:rsid w:val="00A211C1"/>
    <w:rsid w:val="00A21A9E"/>
    <w:rsid w:val="00A21C81"/>
    <w:rsid w:val="00A21F31"/>
    <w:rsid w:val="00A220A3"/>
    <w:rsid w:val="00A22334"/>
    <w:rsid w:val="00A23E9C"/>
    <w:rsid w:val="00A2413B"/>
    <w:rsid w:val="00A241CE"/>
    <w:rsid w:val="00A2533A"/>
    <w:rsid w:val="00A25F9E"/>
    <w:rsid w:val="00A26194"/>
    <w:rsid w:val="00A2645D"/>
    <w:rsid w:val="00A2743C"/>
    <w:rsid w:val="00A274EE"/>
    <w:rsid w:val="00A27969"/>
    <w:rsid w:val="00A27B41"/>
    <w:rsid w:val="00A30E22"/>
    <w:rsid w:val="00A31540"/>
    <w:rsid w:val="00A317C5"/>
    <w:rsid w:val="00A31D33"/>
    <w:rsid w:val="00A32310"/>
    <w:rsid w:val="00A325C3"/>
    <w:rsid w:val="00A32798"/>
    <w:rsid w:val="00A32C5E"/>
    <w:rsid w:val="00A3312C"/>
    <w:rsid w:val="00A34B63"/>
    <w:rsid w:val="00A35162"/>
    <w:rsid w:val="00A35169"/>
    <w:rsid w:val="00A3517C"/>
    <w:rsid w:val="00A35A44"/>
    <w:rsid w:val="00A35E5E"/>
    <w:rsid w:val="00A35EE3"/>
    <w:rsid w:val="00A36FB1"/>
    <w:rsid w:val="00A37073"/>
    <w:rsid w:val="00A3790B"/>
    <w:rsid w:val="00A400B9"/>
    <w:rsid w:val="00A40703"/>
    <w:rsid w:val="00A41028"/>
    <w:rsid w:val="00A41177"/>
    <w:rsid w:val="00A41335"/>
    <w:rsid w:val="00A41446"/>
    <w:rsid w:val="00A42C24"/>
    <w:rsid w:val="00A42CD9"/>
    <w:rsid w:val="00A42D32"/>
    <w:rsid w:val="00A43334"/>
    <w:rsid w:val="00A43D4F"/>
    <w:rsid w:val="00A43EBE"/>
    <w:rsid w:val="00A444C9"/>
    <w:rsid w:val="00A44845"/>
    <w:rsid w:val="00A44D12"/>
    <w:rsid w:val="00A44E7B"/>
    <w:rsid w:val="00A45063"/>
    <w:rsid w:val="00A45808"/>
    <w:rsid w:val="00A45D99"/>
    <w:rsid w:val="00A46415"/>
    <w:rsid w:val="00A4641D"/>
    <w:rsid w:val="00A46817"/>
    <w:rsid w:val="00A47A7B"/>
    <w:rsid w:val="00A47C77"/>
    <w:rsid w:val="00A51CD4"/>
    <w:rsid w:val="00A524FE"/>
    <w:rsid w:val="00A525A4"/>
    <w:rsid w:val="00A53900"/>
    <w:rsid w:val="00A543D1"/>
    <w:rsid w:val="00A546E2"/>
    <w:rsid w:val="00A54D82"/>
    <w:rsid w:val="00A550B5"/>
    <w:rsid w:val="00A55114"/>
    <w:rsid w:val="00A5546C"/>
    <w:rsid w:val="00A55662"/>
    <w:rsid w:val="00A55C7B"/>
    <w:rsid w:val="00A56307"/>
    <w:rsid w:val="00A563B4"/>
    <w:rsid w:val="00A570CE"/>
    <w:rsid w:val="00A57E2A"/>
    <w:rsid w:val="00A604C5"/>
    <w:rsid w:val="00A60973"/>
    <w:rsid w:val="00A61356"/>
    <w:rsid w:val="00A613DB"/>
    <w:rsid w:val="00A61846"/>
    <w:rsid w:val="00A62B5A"/>
    <w:rsid w:val="00A62B8A"/>
    <w:rsid w:val="00A637CC"/>
    <w:rsid w:val="00A6383A"/>
    <w:rsid w:val="00A639DB"/>
    <w:rsid w:val="00A63E3E"/>
    <w:rsid w:val="00A64F40"/>
    <w:rsid w:val="00A64F4A"/>
    <w:rsid w:val="00A657AB"/>
    <w:rsid w:val="00A665D2"/>
    <w:rsid w:val="00A66C48"/>
    <w:rsid w:val="00A66F9F"/>
    <w:rsid w:val="00A670AE"/>
    <w:rsid w:val="00A67690"/>
    <w:rsid w:val="00A70564"/>
    <w:rsid w:val="00A70BD4"/>
    <w:rsid w:val="00A7154B"/>
    <w:rsid w:val="00A72060"/>
    <w:rsid w:val="00A723B6"/>
    <w:rsid w:val="00A726FC"/>
    <w:rsid w:val="00A72E0C"/>
    <w:rsid w:val="00A73232"/>
    <w:rsid w:val="00A7348C"/>
    <w:rsid w:val="00A734B5"/>
    <w:rsid w:val="00A73C95"/>
    <w:rsid w:val="00A740F7"/>
    <w:rsid w:val="00A74377"/>
    <w:rsid w:val="00A74D55"/>
    <w:rsid w:val="00A7500A"/>
    <w:rsid w:val="00A7513E"/>
    <w:rsid w:val="00A75494"/>
    <w:rsid w:val="00A75B33"/>
    <w:rsid w:val="00A75CFD"/>
    <w:rsid w:val="00A75E80"/>
    <w:rsid w:val="00A7634F"/>
    <w:rsid w:val="00A76A64"/>
    <w:rsid w:val="00A77AB9"/>
    <w:rsid w:val="00A805FE"/>
    <w:rsid w:val="00A80761"/>
    <w:rsid w:val="00A81082"/>
    <w:rsid w:val="00A81194"/>
    <w:rsid w:val="00A812A5"/>
    <w:rsid w:val="00A8140B"/>
    <w:rsid w:val="00A81469"/>
    <w:rsid w:val="00A814BE"/>
    <w:rsid w:val="00A81510"/>
    <w:rsid w:val="00A817F1"/>
    <w:rsid w:val="00A81F80"/>
    <w:rsid w:val="00A82082"/>
    <w:rsid w:val="00A822AE"/>
    <w:rsid w:val="00A82C20"/>
    <w:rsid w:val="00A83D06"/>
    <w:rsid w:val="00A85111"/>
    <w:rsid w:val="00A85128"/>
    <w:rsid w:val="00A8552E"/>
    <w:rsid w:val="00A859B3"/>
    <w:rsid w:val="00A85A3A"/>
    <w:rsid w:val="00A85B39"/>
    <w:rsid w:val="00A85E06"/>
    <w:rsid w:val="00A866A2"/>
    <w:rsid w:val="00A87387"/>
    <w:rsid w:val="00A87559"/>
    <w:rsid w:val="00A87E6E"/>
    <w:rsid w:val="00A90129"/>
    <w:rsid w:val="00A90521"/>
    <w:rsid w:val="00A9094F"/>
    <w:rsid w:val="00A90FAD"/>
    <w:rsid w:val="00A9103B"/>
    <w:rsid w:val="00A91167"/>
    <w:rsid w:val="00A91461"/>
    <w:rsid w:val="00A91ADD"/>
    <w:rsid w:val="00A92A24"/>
    <w:rsid w:val="00A93169"/>
    <w:rsid w:val="00A93705"/>
    <w:rsid w:val="00A939F6"/>
    <w:rsid w:val="00A93BDE"/>
    <w:rsid w:val="00A94431"/>
    <w:rsid w:val="00A946FA"/>
    <w:rsid w:val="00A9521F"/>
    <w:rsid w:val="00A956B3"/>
    <w:rsid w:val="00A95D20"/>
    <w:rsid w:val="00A9642E"/>
    <w:rsid w:val="00A96F0E"/>
    <w:rsid w:val="00A97729"/>
    <w:rsid w:val="00A97841"/>
    <w:rsid w:val="00A97AA8"/>
    <w:rsid w:val="00A97C7F"/>
    <w:rsid w:val="00AA00C8"/>
    <w:rsid w:val="00AA0253"/>
    <w:rsid w:val="00AA02EE"/>
    <w:rsid w:val="00AA02F6"/>
    <w:rsid w:val="00AA0491"/>
    <w:rsid w:val="00AA0A3D"/>
    <w:rsid w:val="00AA0AD8"/>
    <w:rsid w:val="00AA0D7D"/>
    <w:rsid w:val="00AA13BD"/>
    <w:rsid w:val="00AA155D"/>
    <w:rsid w:val="00AA1663"/>
    <w:rsid w:val="00AA2A22"/>
    <w:rsid w:val="00AA2BDD"/>
    <w:rsid w:val="00AA2CCE"/>
    <w:rsid w:val="00AA2F89"/>
    <w:rsid w:val="00AA33D2"/>
    <w:rsid w:val="00AA36E4"/>
    <w:rsid w:val="00AA3729"/>
    <w:rsid w:val="00AA3C80"/>
    <w:rsid w:val="00AA44C9"/>
    <w:rsid w:val="00AA452F"/>
    <w:rsid w:val="00AA46FA"/>
    <w:rsid w:val="00AA4716"/>
    <w:rsid w:val="00AA4721"/>
    <w:rsid w:val="00AA5227"/>
    <w:rsid w:val="00AA55BA"/>
    <w:rsid w:val="00AA5DF2"/>
    <w:rsid w:val="00AA7012"/>
    <w:rsid w:val="00AA71A4"/>
    <w:rsid w:val="00AA7BB8"/>
    <w:rsid w:val="00AA7DBA"/>
    <w:rsid w:val="00AB0EE4"/>
    <w:rsid w:val="00AB122F"/>
    <w:rsid w:val="00AB18D5"/>
    <w:rsid w:val="00AB2543"/>
    <w:rsid w:val="00AB26E9"/>
    <w:rsid w:val="00AB28F4"/>
    <w:rsid w:val="00AB2E16"/>
    <w:rsid w:val="00AB33FB"/>
    <w:rsid w:val="00AB3488"/>
    <w:rsid w:val="00AB3654"/>
    <w:rsid w:val="00AB37B6"/>
    <w:rsid w:val="00AB47DC"/>
    <w:rsid w:val="00AB4A5F"/>
    <w:rsid w:val="00AB5027"/>
    <w:rsid w:val="00AB56C8"/>
    <w:rsid w:val="00AB585F"/>
    <w:rsid w:val="00AB5A17"/>
    <w:rsid w:val="00AB5A66"/>
    <w:rsid w:val="00AB6197"/>
    <w:rsid w:val="00AB69F9"/>
    <w:rsid w:val="00AB717C"/>
    <w:rsid w:val="00AB7308"/>
    <w:rsid w:val="00AB7339"/>
    <w:rsid w:val="00AB795C"/>
    <w:rsid w:val="00AC0240"/>
    <w:rsid w:val="00AC0241"/>
    <w:rsid w:val="00AC0A7A"/>
    <w:rsid w:val="00AC0C35"/>
    <w:rsid w:val="00AC0E58"/>
    <w:rsid w:val="00AC1151"/>
    <w:rsid w:val="00AC1253"/>
    <w:rsid w:val="00AC1521"/>
    <w:rsid w:val="00AC15D4"/>
    <w:rsid w:val="00AC30DD"/>
    <w:rsid w:val="00AC47BC"/>
    <w:rsid w:val="00AC4B01"/>
    <w:rsid w:val="00AC4B09"/>
    <w:rsid w:val="00AC4BC4"/>
    <w:rsid w:val="00AC4F63"/>
    <w:rsid w:val="00AC538F"/>
    <w:rsid w:val="00AC59D8"/>
    <w:rsid w:val="00AC5E57"/>
    <w:rsid w:val="00AC5FE8"/>
    <w:rsid w:val="00AC61DE"/>
    <w:rsid w:val="00AC6303"/>
    <w:rsid w:val="00AC6398"/>
    <w:rsid w:val="00AC6D92"/>
    <w:rsid w:val="00AC758C"/>
    <w:rsid w:val="00AC7632"/>
    <w:rsid w:val="00AD0EEB"/>
    <w:rsid w:val="00AD155F"/>
    <w:rsid w:val="00AD1728"/>
    <w:rsid w:val="00AD1A98"/>
    <w:rsid w:val="00AD1BBF"/>
    <w:rsid w:val="00AD1DB5"/>
    <w:rsid w:val="00AD218A"/>
    <w:rsid w:val="00AD288C"/>
    <w:rsid w:val="00AD299E"/>
    <w:rsid w:val="00AD508E"/>
    <w:rsid w:val="00AD524F"/>
    <w:rsid w:val="00AD5461"/>
    <w:rsid w:val="00AD56D6"/>
    <w:rsid w:val="00AD65C8"/>
    <w:rsid w:val="00AD6C19"/>
    <w:rsid w:val="00AD7646"/>
    <w:rsid w:val="00AE0131"/>
    <w:rsid w:val="00AE0650"/>
    <w:rsid w:val="00AE0ABD"/>
    <w:rsid w:val="00AE11B0"/>
    <w:rsid w:val="00AE150C"/>
    <w:rsid w:val="00AE1CFF"/>
    <w:rsid w:val="00AE1EBF"/>
    <w:rsid w:val="00AE20B7"/>
    <w:rsid w:val="00AE2917"/>
    <w:rsid w:val="00AE2AC6"/>
    <w:rsid w:val="00AE2D3A"/>
    <w:rsid w:val="00AE4605"/>
    <w:rsid w:val="00AE4BAC"/>
    <w:rsid w:val="00AE4FDD"/>
    <w:rsid w:val="00AE504F"/>
    <w:rsid w:val="00AE5164"/>
    <w:rsid w:val="00AE52B3"/>
    <w:rsid w:val="00AE5F8D"/>
    <w:rsid w:val="00AE6D0A"/>
    <w:rsid w:val="00AE6D32"/>
    <w:rsid w:val="00AE7269"/>
    <w:rsid w:val="00AE7550"/>
    <w:rsid w:val="00AE7B5B"/>
    <w:rsid w:val="00AE7F31"/>
    <w:rsid w:val="00AE7FFA"/>
    <w:rsid w:val="00AF049F"/>
    <w:rsid w:val="00AF0CC3"/>
    <w:rsid w:val="00AF0E86"/>
    <w:rsid w:val="00AF0FCB"/>
    <w:rsid w:val="00AF0FF7"/>
    <w:rsid w:val="00AF1609"/>
    <w:rsid w:val="00AF1AB3"/>
    <w:rsid w:val="00AF1B2E"/>
    <w:rsid w:val="00AF24AE"/>
    <w:rsid w:val="00AF2685"/>
    <w:rsid w:val="00AF2ACB"/>
    <w:rsid w:val="00AF3654"/>
    <w:rsid w:val="00AF36DB"/>
    <w:rsid w:val="00AF37B7"/>
    <w:rsid w:val="00AF3EE4"/>
    <w:rsid w:val="00AF40AF"/>
    <w:rsid w:val="00AF426E"/>
    <w:rsid w:val="00AF4A9C"/>
    <w:rsid w:val="00AF4C35"/>
    <w:rsid w:val="00AF53DC"/>
    <w:rsid w:val="00AF5B70"/>
    <w:rsid w:val="00AF6378"/>
    <w:rsid w:val="00AF63ED"/>
    <w:rsid w:val="00AF6561"/>
    <w:rsid w:val="00AF6DEB"/>
    <w:rsid w:val="00B001F1"/>
    <w:rsid w:val="00B00868"/>
    <w:rsid w:val="00B0127A"/>
    <w:rsid w:val="00B01302"/>
    <w:rsid w:val="00B01744"/>
    <w:rsid w:val="00B02459"/>
    <w:rsid w:val="00B02F1B"/>
    <w:rsid w:val="00B02F71"/>
    <w:rsid w:val="00B03279"/>
    <w:rsid w:val="00B035CE"/>
    <w:rsid w:val="00B03974"/>
    <w:rsid w:val="00B03F83"/>
    <w:rsid w:val="00B04041"/>
    <w:rsid w:val="00B0426F"/>
    <w:rsid w:val="00B04C9B"/>
    <w:rsid w:val="00B04CAD"/>
    <w:rsid w:val="00B04F05"/>
    <w:rsid w:val="00B05885"/>
    <w:rsid w:val="00B06A9C"/>
    <w:rsid w:val="00B06C78"/>
    <w:rsid w:val="00B070B1"/>
    <w:rsid w:val="00B07168"/>
    <w:rsid w:val="00B07373"/>
    <w:rsid w:val="00B077C0"/>
    <w:rsid w:val="00B101B8"/>
    <w:rsid w:val="00B10286"/>
    <w:rsid w:val="00B105E0"/>
    <w:rsid w:val="00B113B8"/>
    <w:rsid w:val="00B11574"/>
    <w:rsid w:val="00B11C68"/>
    <w:rsid w:val="00B124EA"/>
    <w:rsid w:val="00B12675"/>
    <w:rsid w:val="00B12974"/>
    <w:rsid w:val="00B12B8D"/>
    <w:rsid w:val="00B12D17"/>
    <w:rsid w:val="00B12D56"/>
    <w:rsid w:val="00B1337F"/>
    <w:rsid w:val="00B13EBD"/>
    <w:rsid w:val="00B14350"/>
    <w:rsid w:val="00B148F8"/>
    <w:rsid w:val="00B15E77"/>
    <w:rsid w:val="00B162FC"/>
    <w:rsid w:val="00B17205"/>
    <w:rsid w:val="00B177B5"/>
    <w:rsid w:val="00B179C7"/>
    <w:rsid w:val="00B20556"/>
    <w:rsid w:val="00B20646"/>
    <w:rsid w:val="00B217C6"/>
    <w:rsid w:val="00B22045"/>
    <w:rsid w:val="00B22136"/>
    <w:rsid w:val="00B227EA"/>
    <w:rsid w:val="00B228DF"/>
    <w:rsid w:val="00B22DE5"/>
    <w:rsid w:val="00B2330E"/>
    <w:rsid w:val="00B240E4"/>
    <w:rsid w:val="00B24A30"/>
    <w:rsid w:val="00B24EE1"/>
    <w:rsid w:val="00B24F90"/>
    <w:rsid w:val="00B25543"/>
    <w:rsid w:val="00B259DD"/>
    <w:rsid w:val="00B25EF1"/>
    <w:rsid w:val="00B2619B"/>
    <w:rsid w:val="00B265CC"/>
    <w:rsid w:val="00B2693D"/>
    <w:rsid w:val="00B26A93"/>
    <w:rsid w:val="00B26D64"/>
    <w:rsid w:val="00B270E9"/>
    <w:rsid w:val="00B278A0"/>
    <w:rsid w:val="00B3011E"/>
    <w:rsid w:val="00B30348"/>
    <w:rsid w:val="00B30366"/>
    <w:rsid w:val="00B30A62"/>
    <w:rsid w:val="00B30B27"/>
    <w:rsid w:val="00B316B7"/>
    <w:rsid w:val="00B31844"/>
    <w:rsid w:val="00B31B0D"/>
    <w:rsid w:val="00B31D77"/>
    <w:rsid w:val="00B32179"/>
    <w:rsid w:val="00B32A66"/>
    <w:rsid w:val="00B32D75"/>
    <w:rsid w:val="00B3321F"/>
    <w:rsid w:val="00B338C8"/>
    <w:rsid w:val="00B33C10"/>
    <w:rsid w:val="00B33E49"/>
    <w:rsid w:val="00B34AB7"/>
    <w:rsid w:val="00B34ECE"/>
    <w:rsid w:val="00B35734"/>
    <w:rsid w:val="00B358BE"/>
    <w:rsid w:val="00B35B95"/>
    <w:rsid w:val="00B360AF"/>
    <w:rsid w:val="00B3616A"/>
    <w:rsid w:val="00B372A8"/>
    <w:rsid w:val="00B377EC"/>
    <w:rsid w:val="00B37BC7"/>
    <w:rsid w:val="00B405B8"/>
    <w:rsid w:val="00B411E9"/>
    <w:rsid w:val="00B41F3F"/>
    <w:rsid w:val="00B42122"/>
    <w:rsid w:val="00B42B63"/>
    <w:rsid w:val="00B42B85"/>
    <w:rsid w:val="00B42E20"/>
    <w:rsid w:val="00B42F66"/>
    <w:rsid w:val="00B432F4"/>
    <w:rsid w:val="00B43C86"/>
    <w:rsid w:val="00B43E80"/>
    <w:rsid w:val="00B44F04"/>
    <w:rsid w:val="00B450D8"/>
    <w:rsid w:val="00B45CE7"/>
    <w:rsid w:val="00B45F32"/>
    <w:rsid w:val="00B467C9"/>
    <w:rsid w:val="00B46DA5"/>
    <w:rsid w:val="00B46EE1"/>
    <w:rsid w:val="00B47936"/>
    <w:rsid w:val="00B47AA1"/>
    <w:rsid w:val="00B47D22"/>
    <w:rsid w:val="00B47DCF"/>
    <w:rsid w:val="00B47FD7"/>
    <w:rsid w:val="00B5017C"/>
    <w:rsid w:val="00B5043A"/>
    <w:rsid w:val="00B5066D"/>
    <w:rsid w:val="00B509DB"/>
    <w:rsid w:val="00B50F69"/>
    <w:rsid w:val="00B51C4B"/>
    <w:rsid w:val="00B51EDD"/>
    <w:rsid w:val="00B522C4"/>
    <w:rsid w:val="00B52453"/>
    <w:rsid w:val="00B52693"/>
    <w:rsid w:val="00B52737"/>
    <w:rsid w:val="00B52A56"/>
    <w:rsid w:val="00B52D9D"/>
    <w:rsid w:val="00B52DA9"/>
    <w:rsid w:val="00B53040"/>
    <w:rsid w:val="00B53D36"/>
    <w:rsid w:val="00B543E1"/>
    <w:rsid w:val="00B54445"/>
    <w:rsid w:val="00B5457B"/>
    <w:rsid w:val="00B545D1"/>
    <w:rsid w:val="00B547C2"/>
    <w:rsid w:val="00B54AE1"/>
    <w:rsid w:val="00B54B2A"/>
    <w:rsid w:val="00B54BA4"/>
    <w:rsid w:val="00B55201"/>
    <w:rsid w:val="00B55759"/>
    <w:rsid w:val="00B56237"/>
    <w:rsid w:val="00B5660B"/>
    <w:rsid w:val="00B56AB7"/>
    <w:rsid w:val="00B56F2D"/>
    <w:rsid w:val="00B57355"/>
    <w:rsid w:val="00B5791C"/>
    <w:rsid w:val="00B60E9E"/>
    <w:rsid w:val="00B61973"/>
    <w:rsid w:val="00B61C14"/>
    <w:rsid w:val="00B627DA"/>
    <w:rsid w:val="00B63006"/>
    <w:rsid w:val="00B63063"/>
    <w:rsid w:val="00B63A3E"/>
    <w:rsid w:val="00B63BEC"/>
    <w:rsid w:val="00B6467A"/>
    <w:rsid w:val="00B6553D"/>
    <w:rsid w:val="00B657A4"/>
    <w:rsid w:val="00B65967"/>
    <w:rsid w:val="00B65DEF"/>
    <w:rsid w:val="00B66601"/>
    <w:rsid w:val="00B67D8B"/>
    <w:rsid w:val="00B716AF"/>
    <w:rsid w:val="00B71A83"/>
    <w:rsid w:val="00B71FE4"/>
    <w:rsid w:val="00B72060"/>
    <w:rsid w:val="00B72757"/>
    <w:rsid w:val="00B72E11"/>
    <w:rsid w:val="00B73940"/>
    <w:rsid w:val="00B7451C"/>
    <w:rsid w:val="00B74696"/>
    <w:rsid w:val="00B74CB0"/>
    <w:rsid w:val="00B74D89"/>
    <w:rsid w:val="00B750EC"/>
    <w:rsid w:val="00B75161"/>
    <w:rsid w:val="00B7534A"/>
    <w:rsid w:val="00B75BE3"/>
    <w:rsid w:val="00B75E74"/>
    <w:rsid w:val="00B76402"/>
    <w:rsid w:val="00B76947"/>
    <w:rsid w:val="00B76DF6"/>
    <w:rsid w:val="00B771BA"/>
    <w:rsid w:val="00B77270"/>
    <w:rsid w:val="00B77546"/>
    <w:rsid w:val="00B77900"/>
    <w:rsid w:val="00B77A14"/>
    <w:rsid w:val="00B77B78"/>
    <w:rsid w:val="00B8018F"/>
    <w:rsid w:val="00B8042B"/>
    <w:rsid w:val="00B811E0"/>
    <w:rsid w:val="00B81BE4"/>
    <w:rsid w:val="00B81C6F"/>
    <w:rsid w:val="00B81EA8"/>
    <w:rsid w:val="00B82C10"/>
    <w:rsid w:val="00B82C3A"/>
    <w:rsid w:val="00B82C71"/>
    <w:rsid w:val="00B8346E"/>
    <w:rsid w:val="00B834CF"/>
    <w:rsid w:val="00B83888"/>
    <w:rsid w:val="00B83A5D"/>
    <w:rsid w:val="00B84214"/>
    <w:rsid w:val="00B8497A"/>
    <w:rsid w:val="00B85AB2"/>
    <w:rsid w:val="00B85B72"/>
    <w:rsid w:val="00B85BB7"/>
    <w:rsid w:val="00B85FFD"/>
    <w:rsid w:val="00B86910"/>
    <w:rsid w:val="00B869E3"/>
    <w:rsid w:val="00B87135"/>
    <w:rsid w:val="00B8767F"/>
    <w:rsid w:val="00B87EDE"/>
    <w:rsid w:val="00B87FE3"/>
    <w:rsid w:val="00B91455"/>
    <w:rsid w:val="00B920BA"/>
    <w:rsid w:val="00B9255D"/>
    <w:rsid w:val="00B93451"/>
    <w:rsid w:val="00B9346D"/>
    <w:rsid w:val="00B94D6E"/>
    <w:rsid w:val="00B96095"/>
    <w:rsid w:val="00B964F4"/>
    <w:rsid w:val="00B966D0"/>
    <w:rsid w:val="00B96A91"/>
    <w:rsid w:val="00B9724B"/>
    <w:rsid w:val="00B9757B"/>
    <w:rsid w:val="00B976FA"/>
    <w:rsid w:val="00B9784C"/>
    <w:rsid w:val="00B97BCA"/>
    <w:rsid w:val="00BA0407"/>
    <w:rsid w:val="00BA065C"/>
    <w:rsid w:val="00BA0F2F"/>
    <w:rsid w:val="00BA188A"/>
    <w:rsid w:val="00BA22A0"/>
    <w:rsid w:val="00BA274E"/>
    <w:rsid w:val="00BA2A5A"/>
    <w:rsid w:val="00BA2C83"/>
    <w:rsid w:val="00BA3D8F"/>
    <w:rsid w:val="00BA3EDD"/>
    <w:rsid w:val="00BA4081"/>
    <w:rsid w:val="00BA433C"/>
    <w:rsid w:val="00BA4BF5"/>
    <w:rsid w:val="00BA79C7"/>
    <w:rsid w:val="00BB01DC"/>
    <w:rsid w:val="00BB02E9"/>
    <w:rsid w:val="00BB0578"/>
    <w:rsid w:val="00BB137D"/>
    <w:rsid w:val="00BB190F"/>
    <w:rsid w:val="00BB28C8"/>
    <w:rsid w:val="00BB2A75"/>
    <w:rsid w:val="00BB32D4"/>
    <w:rsid w:val="00BB332E"/>
    <w:rsid w:val="00BB3E5C"/>
    <w:rsid w:val="00BB40BD"/>
    <w:rsid w:val="00BB4447"/>
    <w:rsid w:val="00BB4ACE"/>
    <w:rsid w:val="00BB545E"/>
    <w:rsid w:val="00BB5BC5"/>
    <w:rsid w:val="00BB5D31"/>
    <w:rsid w:val="00BB61FC"/>
    <w:rsid w:val="00BB663E"/>
    <w:rsid w:val="00BC0716"/>
    <w:rsid w:val="00BC1D98"/>
    <w:rsid w:val="00BC2DA4"/>
    <w:rsid w:val="00BC2E32"/>
    <w:rsid w:val="00BC301A"/>
    <w:rsid w:val="00BC310F"/>
    <w:rsid w:val="00BC34B8"/>
    <w:rsid w:val="00BC3500"/>
    <w:rsid w:val="00BC3696"/>
    <w:rsid w:val="00BC36F8"/>
    <w:rsid w:val="00BC4815"/>
    <w:rsid w:val="00BC48D3"/>
    <w:rsid w:val="00BC604C"/>
    <w:rsid w:val="00BC6792"/>
    <w:rsid w:val="00BC6797"/>
    <w:rsid w:val="00BC76D9"/>
    <w:rsid w:val="00BD10A4"/>
    <w:rsid w:val="00BD11D7"/>
    <w:rsid w:val="00BD121E"/>
    <w:rsid w:val="00BD13E8"/>
    <w:rsid w:val="00BD1DE8"/>
    <w:rsid w:val="00BD24CF"/>
    <w:rsid w:val="00BD2B9E"/>
    <w:rsid w:val="00BD36A9"/>
    <w:rsid w:val="00BD36AF"/>
    <w:rsid w:val="00BD39B4"/>
    <w:rsid w:val="00BD3A5F"/>
    <w:rsid w:val="00BD46E8"/>
    <w:rsid w:val="00BD4D8B"/>
    <w:rsid w:val="00BD4F0F"/>
    <w:rsid w:val="00BD5633"/>
    <w:rsid w:val="00BD5687"/>
    <w:rsid w:val="00BD5794"/>
    <w:rsid w:val="00BD5AE3"/>
    <w:rsid w:val="00BD635F"/>
    <w:rsid w:val="00BD6984"/>
    <w:rsid w:val="00BD69D0"/>
    <w:rsid w:val="00BD72A0"/>
    <w:rsid w:val="00BD7942"/>
    <w:rsid w:val="00BE0DD2"/>
    <w:rsid w:val="00BE1458"/>
    <w:rsid w:val="00BE1599"/>
    <w:rsid w:val="00BE1CE8"/>
    <w:rsid w:val="00BE2B8F"/>
    <w:rsid w:val="00BE30FA"/>
    <w:rsid w:val="00BE3103"/>
    <w:rsid w:val="00BE36F8"/>
    <w:rsid w:val="00BE3A92"/>
    <w:rsid w:val="00BE3E20"/>
    <w:rsid w:val="00BE44B6"/>
    <w:rsid w:val="00BE6CE6"/>
    <w:rsid w:val="00BE72E8"/>
    <w:rsid w:val="00BE746D"/>
    <w:rsid w:val="00BE797F"/>
    <w:rsid w:val="00BE7B88"/>
    <w:rsid w:val="00BF01A7"/>
    <w:rsid w:val="00BF02D1"/>
    <w:rsid w:val="00BF0DF3"/>
    <w:rsid w:val="00BF0E7A"/>
    <w:rsid w:val="00BF13D7"/>
    <w:rsid w:val="00BF1925"/>
    <w:rsid w:val="00BF1B56"/>
    <w:rsid w:val="00BF25D1"/>
    <w:rsid w:val="00BF2763"/>
    <w:rsid w:val="00BF29C6"/>
    <w:rsid w:val="00BF3E88"/>
    <w:rsid w:val="00BF4E15"/>
    <w:rsid w:val="00BF4FDA"/>
    <w:rsid w:val="00BF5998"/>
    <w:rsid w:val="00BF5B31"/>
    <w:rsid w:val="00BF5E67"/>
    <w:rsid w:val="00BF6D87"/>
    <w:rsid w:val="00BF6FC1"/>
    <w:rsid w:val="00BF719B"/>
    <w:rsid w:val="00BF76C1"/>
    <w:rsid w:val="00BF7B59"/>
    <w:rsid w:val="00C001A5"/>
    <w:rsid w:val="00C00928"/>
    <w:rsid w:val="00C00E92"/>
    <w:rsid w:val="00C01F27"/>
    <w:rsid w:val="00C021DF"/>
    <w:rsid w:val="00C024CA"/>
    <w:rsid w:val="00C02509"/>
    <w:rsid w:val="00C02BA0"/>
    <w:rsid w:val="00C02DE3"/>
    <w:rsid w:val="00C035F2"/>
    <w:rsid w:val="00C045FB"/>
    <w:rsid w:val="00C048BD"/>
    <w:rsid w:val="00C04DD6"/>
    <w:rsid w:val="00C04E2E"/>
    <w:rsid w:val="00C0523F"/>
    <w:rsid w:val="00C05B88"/>
    <w:rsid w:val="00C067D2"/>
    <w:rsid w:val="00C0740C"/>
    <w:rsid w:val="00C0750B"/>
    <w:rsid w:val="00C07D1C"/>
    <w:rsid w:val="00C10070"/>
    <w:rsid w:val="00C10172"/>
    <w:rsid w:val="00C10784"/>
    <w:rsid w:val="00C10A1A"/>
    <w:rsid w:val="00C10C99"/>
    <w:rsid w:val="00C10CF9"/>
    <w:rsid w:val="00C11830"/>
    <w:rsid w:val="00C124D3"/>
    <w:rsid w:val="00C1273A"/>
    <w:rsid w:val="00C12FC8"/>
    <w:rsid w:val="00C13C72"/>
    <w:rsid w:val="00C142DC"/>
    <w:rsid w:val="00C147CA"/>
    <w:rsid w:val="00C1585B"/>
    <w:rsid w:val="00C1679B"/>
    <w:rsid w:val="00C168CE"/>
    <w:rsid w:val="00C16C55"/>
    <w:rsid w:val="00C17672"/>
    <w:rsid w:val="00C17D48"/>
    <w:rsid w:val="00C206A3"/>
    <w:rsid w:val="00C20987"/>
    <w:rsid w:val="00C2098A"/>
    <w:rsid w:val="00C20A3C"/>
    <w:rsid w:val="00C20BF0"/>
    <w:rsid w:val="00C20F3C"/>
    <w:rsid w:val="00C210B8"/>
    <w:rsid w:val="00C21238"/>
    <w:rsid w:val="00C21C50"/>
    <w:rsid w:val="00C21F25"/>
    <w:rsid w:val="00C23B66"/>
    <w:rsid w:val="00C23C6D"/>
    <w:rsid w:val="00C23CD5"/>
    <w:rsid w:val="00C23F72"/>
    <w:rsid w:val="00C242C5"/>
    <w:rsid w:val="00C242FE"/>
    <w:rsid w:val="00C2441B"/>
    <w:rsid w:val="00C24765"/>
    <w:rsid w:val="00C24824"/>
    <w:rsid w:val="00C25CE0"/>
    <w:rsid w:val="00C25DB3"/>
    <w:rsid w:val="00C25F72"/>
    <w:rsid w:val="00C2615E"/>
    <w:rsid w:val="00C26846"/>
    <w:rsid w:val="00C268F7"/>
    <w:rsid w:val="00C269EB"/>
    <w:rsid w:val="00C26A0B"/>
    <w:rsid w:val="00C26CDD"/>
    <w:rsid w:val="00C26E8B"/>
    <w:rsid w:val="00C26FAC"/>
    <w:rsid w:val="00C2758C"/>
    <w:rsid w:val="00C276A9"/>
    <w:rsid w:val="00C30DA7"/>
    <w:rsid w:val="00C31672"/>
    <w:rsid w:val="00C31FFE"/>
    <w:rsid w:val="00C3239D"/>
    <w:rsid w:val="00C3267D"/>
    <w:rsid w:val="00C32A11"/>
    <w:rsid w:val="00C336A5"/>
    <w:rsid w:val="00C33735"/>
    <w:rsid w:val="00C33835"/>
    <w:rsid w:val="00C33B36"/>
    <w:rsid w:val="00C33C9C"/>
    <w:rsid w:val="00C34DAE"/>
    <w:rsid w:val="00C34F2B"/>
    <w:rsid w:val="00C3504C"/>
    <w:rsid w:val="00C355DF"/>
    <w:rsid w:val="00C3587B"/>
    <w:rsid w:val="00C35918"/>
    <w:rsid w:val="00C36093"/>
    <w:rsid w:val="00C368E3"/>
    <w:rsid w:val="00C36F3F"/>
    <w:rsid w:val="00C36F58"/>
    <w:rsid w:val="00C37238"/>
    <w:rsid w:val="00C37590"/>
    <w:rsid w:val="00C4065A"/>
    <w:rsid w:val="00C408DE"/>
    <w:rsid w:val="00C408FF"/>
    <w:rsid w:val="00C40F08"/>
    <w:rsid w:val="00C41A91"/>
    <w:rsid w:val="00C43437"/>
    <w:rsid w:val="00C43656"/>
    <w:rsid w:val="00C4374C"/>
    <w:rsid w:val="00C44101"/>
    <w:rsid w:val="00C44762"/>
    <w:rsid w:val="00C44775"/>
    <w:rsid w:val="00C44C78"/>
    <w:rsid w:val="00C44D0E"/>
    <w:rsid w:val="00C44D4A"/>
    <w:rsid w:val="00C44E1D"/>
    <w:rsid w:val="00C45014"/>
    <w:rsid w:val="00C459BC"/>
    <w:rsid w:val="00C459E0"/>
    <w:rsid w:val="00C4604C"/>
    <w:rsid w:val="00C46304"/>
    <w:rsid w:val="00C46A8C"/>
    <w:rsid w:val="00C47AAB"/>
    <w:rsid w:val="00C47C92"/>
    <w:rsid w:val="00C47CE9"/>
    <w:rsid w:val="00C50372"/>
    <w:rsid w:val="00C50399"/>
    <w:rsid w:val="00C51322"/>
    <w:rsid w:val="00C51788"/>
    <w:rsid w:val="00C52358"/>
    <w:rsid w:val="00C52444"/>
    <w:rsid w:val="00C5286E"/>
    <w:rsid w:val="00C52E59"/>
    <w:rsid w:val="00C532EA"/>
    <w:rsid w:val="00C53ADF"/>
    <w:rsid w:val="00C54970"/>
    <w:rsid w:val="00C55412"/>
    <w:rsid w:val="00C55826"/>
    <w:rsid w:val="00C55867"/>
    <w:rsid w:val="00C560AA"/>
    <w:rsid w:val="00C560D1"/>
    <w:rsid w:val="00C57DFE"/>
    <w:rsid w:val="00C57FAF"/>
    <w:rsid w:val="00C60CA8"/>
    <w:rsid w:val="00C60F8D"/>
    <w:rsid w:val="00C6104E"/>
    <w:rsid w:val="00C61723"/>
    <w:rsid w:val="00C6179B"/>
    <w:rsid w:val="00C61A75"/>
    <w:rsid w:val="00C61DB3"/>
    <w:rsid w:val="00C61F65"/>
    <w:rsid w:val="00C6390E"/>
    <w:rsid w:val="00C64010"/>
    <w:rsid w:val="00C64266"/>
    <w:rsid w:val="00C646B8"/>
    <w:rsid w:val="00C648AF"/>
    <w:rsid w:val="00C64A71"/>
    <w:rsid w:val="00C64C4D"/>
    <w:rsid w:val="00C65152"/>
    <w:rsid w:val="00C65226"/>
    <w:rsid w:val="00C65CEE"/>
    <w:rsid w:val="00C66088"/>
    <w:rsid w:val="00C6626A"/>
    <w:rsid w:val="00C678F0"/>
    <w:rsid w:val="00C679D4"/>
    <w:rsid w:val="00C71406"/>
    <w:rsid w:val="00C71AFC"/>
    <w:rsid w:val="00C71CE5"/>
    <w:rsid w:val="00C7234A"/>
    <w:rsid w:val="00C725D8"/>
    <w:rsid w:val="00C7270B"/>
    <w:rsid w:val="00C72D34"/>
    <w:rsid w:val="00C72F56"/>
    <w:rsid w:val="00C72F70"/>
    <w:rsid w:val="00C73575"/>
    <w:rsid w:val="00C73B18"/>
    <w:rsid w:val="00C74B96"/>
    <w:rsid w:val="00C76214"/>
    <w:rsid w:val="00C7653F"/>
    <w:rsid w:val="00C76992"/>
    <w:rsid w:val="00C769D9"/>
    <w:rsid w:val="00C76A1E"/>
    <w:rsid w:val="00C76DFD"/>
    <w:rsid w:val="00C77FA5"/>
    <w:rsid w:val="00C81021"/>
    <w:rsid w:val="00C811E5"/>
    <w:rsid w:val="00C8178E"/>
    <w:rsid w:val="00C8225C"/>
    <w:rsid w:val="00C82685"/>
    <w:rsid w:val="00C83364"/>
    <w:rsid w:val="00C8343A"/>
    <w:rsid w:val="00C834A3"/>
    <w:rsid w:val="00C8355E"/>
    <w:rsid w:val="00C83873"/>
    <w:rsid w:val="00C83AAC"/>
    <w:rsid w:val="00C83B24"/>
    <w:rsid w:val="00C83F75"/>
    <w:rsid w:val="00C84470"/>
    <w:rsid w:val="00C844E9"/>
    <w:rsid w:val="00C84B1D"/>
    <w:rsid w:val="00C84FFB"/>
    <w:rsid w:val="00C8529C"/>
    <w:rsid w:val="00C85BCC"/>
    <w:rsid w:val="00C86B5F"/>
    <w:rsid w:val="00C86D49"/>
    <w:rsid w:val="00C9030D"/>
    <w:rsid w:val="00C9041E"/>
    <w:rsid w:val="00C90EBF"/>
    <w:rsid w:val="00C90F68"/>
    <w:rsid w:val="00C91A3F"/>
    <w:rsid w:val="00C91E8F"/>
    <w:rsid w:val="00C926D7"/>
    <w:rsid w:val="00C92F98"/>
    <w:rsid w:val="00C930DF"/>
    <w:rsid w:val="00C937FA"/>
    <w:rsid w:val="00C941DE"/>
    <w:rsid w:val="00C94A55"/>
    <w:rsid w:val="00C94B41"/>
    <w:rsid w:val="00C94BA8"/>
    <w:rsid w:val="00C94C2F"/>
    <w:rsid w:val="00C94E0E"/>
    <w:rsid w:val="00C954B1"/>
    <w:rsid w:val="00C95E9C"/>
    <w:rsid w:val="00C96254"/>
    <w:rsid w:val="00C96D08"/>
    <w:rsid w:val="00C96D73"/>
    <w:rsid w:val="00C979BD"/>
    <w:rsid w:val="00C97CC7"/>
    <w:rsid w:val="00CA01C1"/>
    <w:rsid w:val="00CA0637"/>
    <w:rsid w:val="00CA1511"/>
    <w:rsid w:val="00CA15BD"/>
    <w:rsid w:val="00CA1A13"/>
    <w:rsid w:val="00CA1F5D"/>
    <w:rsid w:val="00CA237F"/>
    <w:rsid w:val="00CA28EA"/>
    <w:rsid w:val="00CA2E66"/>
    <w:rsid w:val="00CA3296"/>
    <w:rsid w:val="00CA3A5D"/>
    <w:rsid w:val="00CA3D2F"/>
    <w:rsid w:val="00CA3DCD"/>
    <w:rsid w:val="00CA4100"/>
    <w:rsid w:val="00CA4503"/>
    <w:rsid w:val="00CA5149"/>
    <w:rsid w:val="00CA52A4"/>
    <w:rsid w:val="00CA5908"/>
    <w:rsid w:val="00CA5D6A"/>
    <w:rsid w:val="00CA62AC"/>
    <w:rsid w:val="00CA67D5"/>
    <w:rsid w:val="00CA6FCB"/>
    <w:rsid w:val="00CA7204"/>
    <w:rsid w:val="00CA7341"/>
    <w:rsid w:val="00CA7C53"/>
    <w:rsid w:val="00CA7E32"/>
    <w:rsid w:val="00CB00D2"/>
    <w:rsid w:val="00CB0A8C"/>
    <w:rsid w:val="00CB0BB2"/>
    <w:rsid w:val="00CB1594"/>
    <w:rsid w:val="00CB2200"/>
    <w:rsid w:val="00CB23F2"/>
    <w:rsid w:val="00CB2848"/>
    <w:rsid w:val="00CB298A"/>
    <w:rsid w:val="00CB2E3F"/>
    <w:rsid w:val="00CB2FBE"/>
    <w:rsid w:val="00CB32C1"/>
    <w:rsid w:val="00CB3DF5"/>
    <w:rsid w:val="00CB4143"/>
    <w:rsid w:val="00CB46C1"/>
    <w:rsid w:val="00CB47CF"/>
    <w:rsid w:val="00CB4925"/>
    <w:rsid w:val="00CB4CB3"/>
    <w:rsid w:val="00CB4DB4"/>
    <w:rsid w:val="00CB4FA8"/>
    <w:rsid w:val="00CB5CC4"/>
    <w:rsid w:val="00CB691F"/>
    <w:rsid w:val="00CB6BDB"/>
    <w:rsid w:val="00CB7871"/>
    <w:rsid w:val="00CB7B82"/>
    <w:rsid w:val="00CB7D27"/>
    <w:rsid w:val="00CC00EF"/>
    <w:rsid w:val="00CC119A"/>
    <w:rsid w:val="00CC1585"/>
    <w:rsid w:val="00CC1889"/>
    <w:rsid w:val="00CC2403"/>
    <w:rsid w:val="00CC2858"/>
    <w:rsid w:val="00CC299F"/>
    <w:rsid w:val="00CC2E92"/>
    <w:rsid w:val="00CC2F10"/>
    <w:rsid w:val="00CC3229"/>
    <w:rsid w:val="00CC3F0C"/>
    <w:rsid w:val="00CC3F87"/>
    <w:rsid w:val="00CC41B1"/>
    <w:rsid w:val="00CC465F"/>
    <w:rsid w:val="00CC5112"/>
    <w:rsid w:val="00CC5547"/>
    <w:rsid w:val="00CC5869"/>
    <w:rsid w:val="00CC58A7"/>
    <w:rsid w:val="00CC5B13"/>
    <w:rsid w:val="00CC5E7A"/>
    <w:rsid w:val="00CC603F"/>
    <w:rsid w:val="00CC61AA"/>
    <w:rsid w:val="00CC6586"/>
    <w:rsid w:val="00CC6D6F"/>
    <w:rsid w:val="00CC70B0"/>
    <w:rsid w:val="00CC756F"/>
    <w:rsid w:val="00CD07C7"/>
    <w:rsid w:val="00CD09BB"/>
    <w:rsid w:val="00CD0A2C"/>
    <w:rsid w:val="00CD0E44"/>
    <w:rsid w:val="00CD1535"/>
    <w:rsid w:val="00CD1898"/>
    <w:rsid w:val="00CD2528"/>
    <w:rsid w:val="00CD25BA"/>
    <w:rsid w:val="00CD28FB"/>
    <w:rsid w:val="00CD2B32"/>
    <w:rsid w:val="00CD2DB9"/>
    <w:rsid w:val="00CD2E8A"/>
    <w:rsid w:val="00CD3932"/>
    <w:rsid w:val="00CD3C30"/>
    <w:rsid w:val="00CD3CDC"/>
    <w:rsid w:val="00CD421A"/>
    <w:rsid w:val="00CD4B7C"/>
    <w:rsid w:val="00CD4C80"/>
    <w:rsid w:val="00CD5405"/>
    <w:rsid w:val="00CD5840"/>
    <w:rsid w:val="00CD621A"/>
    <w:rsid w:val="00CD67E4"/>
    <w:rsid w:val="00CD7836"/>
    <w:rsid w:val="00CE03CF"/>
    <w:rsid w:val="00CE0453"/>
    <w:rsid w:val="00CE0EB0"/>
    <w:rsid w:val="00CE108E"/>
    <w:rsid w:val="00CE16FE"/>
    <w:rsid w:val="00CE1735"/>
    <w:rsid w:val="00CE1C85"/>
    <w:rsid w:val="00CE279D"/>
    <w:rsid w:val="00CE2CA0"/>
    <w:rsid w:val="00CE3101"/>
    <w:rsid w:val="00CE3168"/>
    <w:rsid w:val="00CE32CF"/>
    <w:rsid w:val="00CE3466"/>
    <w:rsid w:val="00CE3A5D"/>
    <w:rsid w:val="00CE45BA"/>
    <w:rsid w:val="00CE461D"/>
    <w:rsid w:val="00CE469A"/>
    <w:rsid w:val="00CE572A"/>
    <w:rsid w:val="00CE59C3"/>
    <w:rsid w:val="00CE6686"/>
    <w:rsid w:val="00CE7277"/>
    <w:rsid w:val="00CE7334"/>
    <w:rsid w:val="00CE7752"/>
    <w:rsid w:val="00CF02CD"/>
    <w:rsid w:val="00CF0443"/>
    <w:rsid w:val="00CF06E9"/>
    <w:rsid w:val="00CF0F91"/>
    <w:rsid w:val="00CF1025"/>
    <w:rsid w:val="00CF1AAF"/>
    <w:rsid w:val="00CF2144"/>
    <w:rsid w:val="00CF2892"/>
    <w:rsid w:val="00CF2A48"/>
    <w:rsid w:val="00CF2B73"/>
    <w:rsid w:val="00CF339E"/>
    <w:rsid w:val="00CF4052"/>
    <w:rsid w:val="00CF4BE8"/>
    <w:rsid w:val="00CF4D85"/>
    <w:rsid w:val="00CF519A"/>
    <w:rsid w:val="00CF67CA"/>
    <w:rsid w:val="00CF751E"/>
    <w:rsid w:val="00CF7FD6"/>
    <w:rsid w:val="00CF7FEC"/>
    <w:rsid w:val="00D00957"/>
    <w:rsid w:val="00D01ECA"/>
    <w:rsid w:val="00D02C3F"/>
    <w:rsid w:val="00D02D24"/>
    <w:rsid w:val="00D02F1F"/>
    <w:rsid w:val="00D034B9"/>
    <w:rsid w:val="00D036AB"/>
    <w:rsid w:val="00D0388A"/>
    <w:rsid w:val="00D040D5"/>
    <w:rsid w:val="00D04224"/>
    <w:rsid w:val="00D04CD0"/>
    <w:rsid w:val="00D053EB"/>
    <w:rsid w:val="00D0549F"/>
    <w:rsid w:val="00D054F4"/>
    <w:rsid w:val="00D055E5"/>
    <w:rsid w:val="00D061B2"/>
    <w:rsid w:val="00D06507"/>
    <w:rsid w:val="00D068BD"/>
    <w:rsid w:val="00D06C31"/>
    <w:rsid w:val="00D06D68"/>
    <w:rsid w:val="00D103A9"/>
    <w:rsid w:val="00D104BD"/>
    <w:rsid w:val="00D10A18"/>
    <w:rsid w:val="00D11539"/>
    <w:rsid w:val="00D11F50"/>
    <w:rsid w:val="00D123CF"/>
    <w:rsid w:val="00D12827"/>
    <w:rsid w:val="00D12D9E"/>
    <w:rsid w:val="00D13310"/>
    <w:rsid w:val="00D13733"/>
    <w:rsid w:val="00D14548"/>
    <w:rsid w:val="00D14909"/>
    <w:rsid w:val="00D14C1F"/>
    <w:rsid w:val="00D15013"/>
    <w:rsid w:val="00D1542C"/>
    <w:rsid w:val="00D1570A"/>
    <w:rsid w:val="00D1584E"/>
    <w:rsid w:val="00D16623"/>
    <w:rsid w:val="00D1730D"/>
    <w:rsid w:val="00D1765A"/>
    <w:rsid w:val="00D17BA3"/>
    <w:rsid w:val="00D17C68"/>
    <w:rsid w:val="00D2043E"/>
    <w:rsid w:val="00D20736"/>
    <w:rsid w:val="00D21916"/>
    <w:rsid w:val="00D221C6"/>
    <w:rsid w:val="00D2263F"/>
    <w:rsid w:val="00D227CF"/>
    <w:rsid w:val="00D22FAB"/>
    <w:rsid w:val="00D23097"/>
    <w:rsid w:val="00D2471D"/>
    <w:rsid w:val="00D24AEC"/>
    <w:rsid w:val="00D25451"/>
    <w:rsid w:val="00D25AFF"/>
    <w:rsid w:val="00D25DAD"/>
    <w:rsid w:val="00D261FE"/>
    <w:rsid w:val="00D276BF"/>
    <w:rsid w:val="00D27830"/>
    <w:rsid w:val="00D306B1"/>
    <w:rsid w:val="00D30716"/>
    <w:rsid w:val="00D30FD9"/>
    <w:rsid w:val="00D31ED1"/>
    <w:rsid w:val="00D320E2"/>
    <w:rsid w:val="00D32BD3"/>
    <w:rsid w:val="00D333CD"/>
    <w:rsid w:val="00D34BB6"/>
    <w:rsid w:val="00D34F1E"/>
    <w:rsid w:val="00D35290"/>
    <w:rsid w:val="00D35DA2"/>
    <w:rsid w:val="00D363B4"/>
    <w:rsid w:val="00D3662D"/>
    <w:rsid w:val="00D369A0"/>
    <w:rsid w:val="00D36D53"/>
    <w:rsid w:val="00D36DAA"/>
    <w:rsid w:val="00D36F6B"/>
    <w:rsid w:val="00D37285"/>
    <w:rsid w:val="00D37A92"/>
    <w:rsid w:val="00D40186"/>
    <w:rsid w:val="00D408FE"/>
    <w:rsid w:val="00D40CA2"/>
    <w:rsid w:val="00D40F58"/>
    <w:rsid w:val="00D41271"/>
    <w:rsid w:val="00D412F8"/>
    <w:rsid w:val="00D418D0"/>
    <w:rsid w:val="00D426AF"/>
    <w:rsid w:val="00D429A8"/>
    <w:rsid w:val="00D43C74"/>
    <w:rsid w:val="00D44167"/>
    <w:rsid w:val="00D44F7D"/>
    <w:rsid w:val="00D44FF1"/>
    <w:rsid w:val="00D45DDA"/>
    <w:rsid w:val="00D45E8E"/>
    <w:rsid w:val="00D463DC"/>
    <w:rsid w:val="00D468D5"/>
    <w:rsid w:val="00D47345"/>
    <w:rsid w:val="00D47491"/>
    <w:rsid w:val="00D47C76"/>
    <w:rsid w:val="00D47CAF"/>
    <w:rsid w:val="00D47F78"/>
    <w:rsid w:val="00D5051C"/>
    <w:rsid w:val="00D513F7"/>
    <w:rsid w:val="00D515D0"/>
    <w:rsid w:val="00D51B72"/>
    <w:rsid w:val="00D52031"/>
    <w:rsid w:val="00D521A8"/>
    <w:rsid w:val="00D526D6"/>
    <w:rsid w:val="00D53AF4"/>
    <w:rsid w:val="00D53F45"/>
    <w:rsid w:val="00D55563"/>
    <w:rsid w:val="00D55760"/>
    <w:rsid w:val="00D5653A"/>
    <w:rsid w:val="00D56671"/>
    <w:rsid w:val="00D57047"/>
    <w:rsid w:val="00D57510"/>
    <w:rsid w:val="00D5774B"/>
    <w:rsid w:val="00D602E9"/>
    <w:rsid w:val="00D60D22"/>
    <w:rsid w:val="00D60E06"/>
    <w:rsid w:val="00D61114"/>
    <w:rsid w:val="00D61456"/>
    <w:rsid w:val="00D6295D"/>
    <w:rsid w:val="00D62B5C"/>
    <w:rsid w:val="00D62C7E"/>
    <w:rsid w:val="00D631B8"/>
    <w:rsid w:val="00D63248"/>
    <w:rsid w:val="00D6374C"/>
    <w:rsid w:val="00D63753"/>
    <w:rsid w:val="00D645B0"/>
    <w:rsid w:val="00D64732"/>
    <w:rsid w:val="00D64857"/>
    <w:rsid w:val="00D64892"/>
    <w:rsid w:val="00D65BE2"/>
    <w:rsid w:val="00D6612D"/>
    <w:rsid w:val="00D66665"/>
    <w:rsid w:val="00D66D28"/>
    <w:rsid w:val="00D66D64"/>
    <w:rsid w:val="00D673E6"/>
    <w:rsid w:val="00D67CDF"/>
    <w:rsid w:val="00D711EA"/>
    <w:rsid w:val="00D7181C"/>
    <w:rsid w:val="00D718B0"/>
    <w:rsid w:val="00D71AAB"/>
    <w:rsid w:val="00D728ED"/>
    <w:rsid w:val="00D73107"/>
    <w:rsid w:val="00D73B41"/>
    <w:rsid w:val="00D748A8"/>
    <w:rsid w:val="00D74CCF"/>
    <w:rsid w:val="00D74DBC"/>
    <w:rsid w:val="00D74EF4"/>
    <w:rsid w:val="00D7553C"/>
    <w:rsid w:val="00D7593C"/>
    <w:rsid w:val="00D75BE0"/>
    <w:rsid w:val="00D7611C"/>
    <w:rsid w:val="00D761F0"/>
    <w:rsid w:val="00D76479"/>
    <w:rsid w:val="00D76787"/>
    <w:rsid w:val="00D76D94"/>
    <w:rsid w:val="00D7768C"/>
    <w:rsid w:val="00D77D18"/>
    <w:rsid w:val="00D80A68"/>
    <w:rsid w:val="00D80C6D"/>
    <w:rsid w:val="00D80DDA"/>
    <w:rsid w:val="00D814D1"/>
    <w:rsid w:val="00D81CD5"/>
    <w:rsid w:val="00D828B7"/>
    <w:rsid w:val="00D83C64"/>
    <w:rsid w:val="00D83F47"/>
    <w:rsid w:val="00D85517"/>
    <w:rsid w:val="00D8558B"/>
    <w:rsid w:val="00D85993"/>
    <w:rsid w:val="00D85A58"/>
    <w:rsid w:val="00D85D8D"/>
    <w:rsid w:val="00D861F2"/>
    <w:rsid w:val="00D865B4"/>
    <w:rsid w:val="00D8662E"/>
    <w:rsid w:val="00D8689C"/>
    <w:rsid w:val="00D86E7F"/>
    <w:rsid w:val="00D8781D"/>
    <w:rsid w:val="00D8782D"/>
    <w:rsid w:val="00D87F32"/>
    <w:rsid w:val="00D91638"/>
    <w:rsid w:val="00D9166B"/>
    <w:rsid w:val="00D91FF3"/>
    <w:rsid w:val="00D9287B"/>
    <w:rsid w:val="00D92B2A"/>
    <w:rsid w:val="00D92BAD"/>
    <w:rsid w:val="00D92E3A"/>
    <w:rsid w:val="00D92FCB"/>
    <w:rsid w:val="00D931D2"/>
    <w:rsid w:val="00D93C03"/>
    <w:rsid w:val="00D93E94"/>
    <w:rsid w:val="00D94A0B"/>
    <w:rsid w:val="00D94EE2"/>
    <w:rsid w:val="00D94FD8"/>
    <w:rsid w:val="00D961FF"/>
    <w:rsid w:val="00D9646B"/>
    <w:rsid w:val="00D96859"/>
    <w:rsid w:val="00D96E5F"/>
    <w:rsid w:val="00D96F13"/>
    <w:rsid w:val="00D96F6E"/>
    <w:rsid w:val="00D9720E"/>
    <w:rsid w:val="00D97B7C"/>
    <w:rsid w:val="00D97E09"/>
    <w:rsid w:val="00D97F23"/>
    <w:rsid w:val="00D97FAF"/>
    <w:rsid w:val="00DA01C6"/>
    <w:rsid w:val="00DA0520"/>
    <w:rsid w:val="00DA0983"/>
    <w:rsid w:val="00DA0A19"/>
    <w:rsid w:val="00DA0E95"/>
    <w:rsid w:val="00DA1123"/>
    <w:rsid w:val="00DA1258"/>
    <w:rsid w:val="00DA1361"/>
    <w:rsid w:val="00DA13AB"/>
    <w:rsid w:val="00DA1B93"/>
    <w:rsid w:val="00DA2390"/>
    <w:rsid w:val="00DA23E8"/>
    <w:rsid w:val="00DA294D"/>
    <w:rsid w:val="00DA2BF9"/>
    <w:rsid w:val="00DA2C23"/>
    <w:rsid w:val="00DA3172"/>
    <w:rsid w:val="00DA3407"/>
    <w:rsid w:val="00DA467A"/>
    <w:rsid w:val="00DA483E"/>
    <w:rsid w:val="00DA4F43"/>
    <w:rsid w:val="00DA51F8"/>
    <w:rsid w:val="00DA53AB"/>
    <w:rsid w:val="00DA563B"/>
    <w:rsid w:val="00DA5FBA"/>
    <w:rsid w:val="00DA63D1"/>
    <w:rsid w:val="00DA63D3"/>
    <w:rsid w:val="00DA6647"/>
    <w:rsid w:val="00DA6675"/>
    <w:rsid w:val="00DA67D2"/>
    <w:rsid w:val="00DA752F"/>
    <w:rsid w:val="00DB025C"/>
    <w:rsid w:val="00DB1A31"/>
    <w:rsid w:val="00DB1E55"/>
    <w:rsid w:val="00DB23FB"/>
    <w:rsid w:val="00DB2E42"/>
    <w:rsid w:val="00DB34F1"/>
    <w:rsid w:val="00DB3672"/>
    <w:rsid w:val="00DB369D"/>
    <w:rsid w:val="00DB418F"/>
    <w:rsid w:val="00DB47A4"/>
    <w:rsid w:val="00DB4AF9"/>
    <w:rsid w:val="00DB5386"/>
    <w:rsid w:val="00DB595D"/>
    <w:rsid w:val="00DB5BE0"/>
    <w:rsid w:val="00DB5E31"/>
    <w:rsid w:val="00DB6CB3"/>
    <w:rsid w:val="00DB7396"/>
    <w:rsid w:val="00DB781E"/>
    <w:rsid w:val="00DB7AA0"/>
    <w:rsid w:val="00DB7E04"/>
    <w:rsid w:val="00DC0933"/>
    <w:rsid w:val="00DC0ACD"/>
    <w:rsid w:val="00DC14CA"/>
    <w:rsid w:val="00DC1A2D"/>
    <w:rsid w:val="00DC2044"/>
    <w:rsid w:val="00DC23A2"/>
    <w:rsid w:val="00DC24F7"/>
    <w:rsid w:val="00DC27A5"/>
    <w:rsid w:val="00DC2836"/>
    <w:rsid w:val="00DC29D1"/>
    <w:rsid w:val="00DC2A6C"/>
    <w:rsid w:val="00DC30FD"/>
    <w:rsid w:val="00DC3D50"/>
    <w:rsid w:val="00DC3F33"/>
    <w:rsid w:val="00DC540D"/>
    <w:rsid w:val="00DC5694"/>
    <w:rsid w:val="00DC5842"/>
    <w:rsid w:val="00DC5906"/>
    <w:rsid w:val="00DC5C6D"/>
    <w:rsid w:val="00DC5F2A"/>
    <w:rsid w:val="00DC65E2"/>
    <w:rsid w:val="00DC6B74"/>
    <w:rsid w:val="00DC6DA2"/>
    <w:rsid w:val="00DD004B"/>
    <w:rsid w:val="00DD0A2F"/>
    <w:rsid w:val="00DD0BFE"/>
    <w:rsid w:val="00DD12B8"/>
    <w:rsid w:val="00DD1415"/>
    <w:rsid w:val="00DD150E"/>
    <w:rsid w:val="00DD2187"/>
    <w:rsid w:val="00DD2576"/>
    <w:rsid w:val="00DD2C5C"/>
    <w:rsid w:val="00DD2E37"/>
    <w:rsid w:val="00DD36DF"/>
    <w:rsid w:val="00DD3ABC"/>
    <w:rsid w:val="00DD3B20"/>
    <w:rsid w:val="00DD3D3A"/>
    <w:rsid w:val="00DD43D3"/>
    <w:rsid w:val="00DD43DF"/>
    <w:rsid w:val="00DD459F"/>
    <w:rsid w:val="00DD48C6"/>
    <w:rsid w:val="00DD59C8"/>
    <w:rsid w:val="00DD5A41"/>
    <w:rsid w:val="00DD5AC2"/>
    <w:rsid w:val="00DD60A7"/>
    <w:rsid w:val="00DD65FD"/>
    <w:rsid w:val="00DD667B"/>
    <w:rsid w:val="00DD6B5F"/>
    <w:rsid w:val="00DE047E"/>
    <w:rsid w:val="00DE165B"/>
    <w:rsid w:val="00DE1700"/>
    <w:rsid w:val="00DE2927"/>
    <w:rsid w:val="00DE295A"/>
    <w:rsid w:val="00DE538E"/>
    <w:rsid w:val="00DE54A6"/>
    <w:rsid w:val="00DE58EB"/>
    <w:rsid w:val="00DE6E50"/>
    <w:rsid w:val="00DE6F58"/>
    <w:rsid w:val="00DE752A"/>
    <w:rsid w:val="00DE7A1D"/>
    <w:rsid w:val="00DF0770"/>
    <w:rsid w:val="00DF0C2B"/>
    <w:rsid w:val="00DF0D32"/>
    <w:rsid w:val="00DF0D8F"/>
    <w:rsid w:val="00DF1143"/>
    <w:rsid w:val="00DF1181"/>
    <w:rsid w:val="00DF129C"/>
    <w:rsid w:val="00DF1602"/>
    <w:rsid w:val="00DF16E6"/>
    <w:rsid w:val="00DF1CFA"/>
    <w:rsid w:val="00DF1F71"/>
    <w:rsid w:val="00DF214B"/>
    <w:rsid w:val="00DF2250"/>
    <w:rsid w:val="00DF2B1D"/>
    <w:rsid w:val="00DF2CD6"/>
    <w:rsid w:val="00DF2ECF"/>
    <w:rsid w:val="00DF32C2"/>
    <w:rsid w:val="00DF3B92"/>
    <w:rsid w:val="00DF441D"/>
    <w:rsid w:val="00DF50D8"/>
    <w:rsid w:val="00DF51B5"/>
    <w:rsid w:val="00DF553D"/>
    <w:rsid w:val="00DF562E"/>
    <w:rsid w:val="00DF6114"/>
    <w:rsid w:val="00DF6B91"/>
    <w:rsid w:val="00DF706A"/>
    <w:rsid w:val="00DF718A"/>
    <w:rsid w:val="00DF7988"/>
    <w:rsid w:val="00DF7F09"/>
    <w:rsid w:val="00DF7F80"/>
    <w:rsid w:val="00E006DD"/>
    <w:rsid w:val="00E006E7"/>
    <w:rsid w:val="00E00C4D"/>
    <w:rsid w:val="00E00D5C"/>
    <w:rsid w:val="00E0159F"/>
    <w:rsid w:val="00E015F6"/>
    <w:rsid w:val="00E01B89"/>
    <w:rsid w:val="00E01BEB"/>
    <w:rsid w:val="00E022BB"/>
    <w:rsid w:val="00E025A7"/>
    <w:rsid w:val="00E027EE"/>
    <w:rsid w:val="00E02DB4"/>
    <w:rsid w:val="00E03030"/>
    <w:rsid w:val="00E03E2C"/>
    <w:rsid w:val="00E054FF"/>
    <w:rsid w:val="00E05D89"/>
    <w:rsid w:val="00E0605E"/>
    <w:rsid w:val="00E06FC5"/>
    <w:rsid w:val="00E075D9"/>
    <w:rsid w:val="00E07C5C"/>
    <w:rsid w:val="00E100E5"/>
    <w:rsid w:val="00E101C0"/>
    <w:rsid w:val="00E10D9C"/>
    <w:rsid w:val="00E123B0"/>
    <w:rsid w:val="00E12FCB"/>
    <w:rsid w:val="00E153A8"/>
    <w:rsid w:val="00E157DE"/>
    <w:rsid w:val="00E15A5C"/>
    <w:rsid w:val="00E16441"/>
    <w:rsid w:val="00E165D8"/>
    <w:rsid w:val="00E1697B"/>
    <w:rsid w:val="00E17076"/>
    <w:rsid w:val="00E173C7"/>
    <w:rsid w:val="00E1767D"/>
    <w:rsid w:val="00E2009F"/>
    <w:rsid w:val="00E20282"/>
    <w:rsid w:val="00E205C9"/>
    <w:rsid w:val="00E2103F"/>
    <w:rsid w:val="00E21F2B"/>
    <w:rsid w:val="00E2204A"/>
    <w:rsid w:val="00E225DE"/>
    <w:rsid w:val="00E22742"/>
    <w:rsid w:val="00E22766"/>
    <w:rsid w:val="00E22857"/>
    <w:rsid w:val="00E229B3"/>
    <w:rsid w:val="00E2302D"/>
    <w:rsid w:val="00E23B96"/>
    <w:rsid w:val="00E243DD"/>
    <w:rsid w:val="00E245B1"/>
    <w:rsid w:val="00E246A5"/>
    <w:rsid w:val="00E24B49"/>
    <w:rsid w:val="00E24CD0"/>
    <w:rsid w:val="00E24D7C"/>
    <w:rsid w:val="00E2502D"/>
    <w:rsid w:val="00E252D4"/>
    <w:rsid w:val="00E2568E"/>
    <w:rsid w:val="00E2572C"/>
    <w:rsid w:val="00E258D2"/>
    <w:rsid w:val="00E25CF4"/>
    <w:rsid w:val="00E262FC"/>
    <w:rsid w:val="00E26BA8"/>
    <w:rsid w:val="00E27828"/>
    <w:rsid w:val="00E27DE8"/>
    <w:rsid w:val="00E307DA"/>
    <w:rsid w:val="00E30998"/>
    <w:rsid w:val="00E30A37"/>
    <w:rsid w:val="00E31283"/>
    <w:rsid w:val="00E3143A"/>
    <w:rsid w:val="00E31698"/>
    <w:rsid w:val="00E31AF9"/>
    <w:rsid w:val="00E323B8"/>
    <w:rsid w:val="00E32581"/>
    <w:rsid w:val="00E3295E"/>
    <w:rsid w:val="00E32A79"/>
    <w:rsid w:val="00E33624"/>
    <w:rsid w:val="00E33814"/>
    <w:rsid w:val="00E34648"/>
    <w:rsid w:val="00E3467B"/>
    <w:rsid w:val="00E34BBB"/>
    <w:rsid w:val="00E351C4"/>
    <w:rsid w:val="00E35359"/>
    <w:rsid w:val="00E359BE"/>
    <w:rsid w:val="00E35C14"/>
    <w:rsid w:val="00E35EB8"/>
    <w:rsid w:val="00E35FB5"/>
    <w:rsid w:val="00E36414"/>
    <w:rsid w:val="00E367E2"/>
    <w:rsid w:val="00E3761C"/>
    <w:rsid w:val="00E377E7"/>
    <w:rsid w:val="00E37A75"/>
    <w:rsid w:val="00E37AD9"/>
    <w:rsid w:val="00E37B74"/>
    <w:rsid w:val="00E407BA"/>
    <w:rsid w:val="00E40A6C"/>
    <w:rsid w:val="00E410E6"/>
    <w:rsid w:val="00E418B9"/>
    <w:rsid w:val="00E42CBC"/>
    <w:rsid w:val="00E43180"/>
    <w:rsid w:val="00E43284"/>
    <w:rsid w:val="00E43A2E"/>
    <w:rsid w:val="00E440AD"/>
    <w:rsid w:val="00E440FE"/>
    <w:rsid w:val="00E4428D"/>
    <w:rsid w:val="00E442E5"/>
    <w:rsid w:val="00E44313"/>
    <w:rsid w:val="00E44B04"/>
    <w:rsid w:val="00E44B13"/>
    <w:rsid w:val="00E4528A"/>
    <w:rsid w:val="00E45B92"/>
    <w:rsid w:val="00E45D38"/>
    <w:rsid w:val="00E45E94"/>
    <w:rsid w:val="00E4663C"/>
    <w:rsid w:val="00E46FC6"/>
    <w:rsid w:val="00E47592"/>
    <w:rsid w:val="00E477C9"/>
    <w:rsid w:val="00E47A17"/>
    <w:rsid w:val="00E50175"/>
    <w:rsid w:val="00E507AF"/>
    <w:rsid w:val="00E514CD"/>
    <w:rsid w:val="00E518C2"/>
    <w:rsid w:val="00E51B06"/>
    <w:rsid w:val="00E51BCB"/>
    <w:rsid w:val="00E529F6"/>
    <w:rsid w:val="00E53264"/>
    <w:rsid w:val="00E53FBC"/>
    <w:rsid w:val="00E54902"/>
    <w:rsid w:val="00E54ADA"/>
    <w:rsid w:val="00E54B1D"/>
    <w:rsid w:val="00E550BE"/>
    <w:rsid w:val="00E55674"/>
    <w:rsid w:val="00E557B3"/>
    <w:rsid w:val="00E55877"/>
    <w:rsid w:val="00E55A2C"/>
    <w:rsid w:val="00E55B10"/>
    <w:rsid w:val="00E55BFD"/>
    <w:rsid w:val="00E55FFA"/>
    <w:rsid w:val="00E56129"/>
    <w:rsid w:val="00E563F3"/>
    <w:rsid w:val="00E565F0"/>
    <w:rsid w:val="00E57FEF"/>
    <w:rsid w:val="00E60815"/>
    <w:rsid w:val="00E60847"/>
    <w:rsid w:val="00E60944"/>
    <w:rsid w:val="00E61028"/>
    <w:rsid w:val="00E614E0"/>
    <w:rsid w:val="00E616C9"/>
    <w:rsid w:val="00E62B89"/>
    <w:rsid w:val="00E62C96"/>
    <w:rsid w:val="00E6358A"/>
    <w:rsid w:val="00E63894"/>
    <w:rsid w:val="00E63EB8"/>
    <w:rsid w:val="00E64500"/>
    <w:rsid w:val="00E6474E"/>
    <w:rsid w:val="00E64A02"/>
    <w:rsid w:val="00E64B4B"/>
    <w:rsid w:val="00E660B4"/>
    <w:rsid w:val="00E666D3"/>
    <w:rsid w:val="00E66886"/>
    <w:rsid w:val="00E66960"/>
    <w:rsid w:val="00E67252"/>
    <w:rsid w:val="00E672E2"/>
    <w:rsid w:val="00E70A4D"/>
    <w:rsid w:val="00E70F02"/>
    <w:rsid w:val="00E71595"/>
    <w:rsid w:val="00E71730"/>
    <w:rsid w:val="00E71AA9"/>
    <w:rsid w:val="00E720ED"/>
    <w:rsid w:val="00E72980"/>
    <w:rsid w:val="00E729B6"/>
    <w:rsid w:val="00E73249"/>
    <w:rsid w:val="00E73300"/>
    <w:rsid w:val="00E74060"/>
    <w:rsid w:val="00E745B2"/>
    <w:rsid w:val="00E74D69"/>
    <w:rsid w:val="00E7519C"/>
    <w:rsid w:val="00E75678"/>
    <w:rsid w:val="00E75EAA"/>
    <w:rsid w:val="00E75F50"/>
    <w:rsid w:val="00E75F9E"/>
    <w:rsid w:val="00E76950"/>
    <w:rsid w:val="00E76C38"/>
    <w:rsid w:val="00E76F0F"/>
    <w:rsid w:val="00E76FA0"/>
    <w:rsid w:val="00E77C0F"/>
    <w:rsid w:val="00E77DE0"/>
    <w:rsid w:val="00E808AB"/>
    <w:rsid w:val="00E808BD"/>
    <w:rsid w:val="00E81025"/>
    <w:rsid w:val="00E815D2"/>
    <w:rsid w:val="00E81D82"/>
    <w:rsid w:val="00E81E34"/>
    <w:rsid w:val="00E8341B"/>
    <w:rsid w:val="00E83A8F"/>
    <w:rsid w:val="00E83EBA"/>
    <w:rsid w:val="00E8438E"/>
    <w:rsid w:val="00E844AE"/>
    <w:rsid w:val="00E84563"/>
    <w:rsid w:val="00E84747"/>
    <w:rsid w:val="00E84CF9"/>
    <w:rsid w:val="00E85011"/>
    <w:rsid w:val="00E853DF"/>
    <w:rsid w:val="00E86E27"/>
    <w:rsid w:val="00E9058F"/>
    <w:rsid w:val="00E90763"/>
    <w:rsid w:val="00E90CFF"/>
    <w:rsid w:val="00E90DAD"/>
    <w:rsid w:val="00E90ECD"/>
    <w:rsid w:val="00E918A4"/>
    <w:rsid w:val="00E91A19"/>
    <w:rsid w:val="00E91BBF"/>
    <w:rsid w:val="00E9291D"/>
    <w:rsid w:val="00E92ADA"/>
    <w:rsid w:val="00E93017"/>
    <w:rsid w:val="00E93057"/>
    <w:rsid w:val="00E93323"/>
    <w:rsid w:val="00E93616"/>
    <w:rsid w:val="00E93E25"/>
    <w:rsid w:val="00E94250"/>
    <w:rsid w:val="00E9452C"/>
    <w:rsid w:val="00E9514B"/>
    <w:rsid w:val="00E95B0F"/>
    <w:rsid w:val="00E95BEB"/>
    <w:rsid w:val="00E96757"/>
    <w:rsid w:val="00E96960"/>
    <w:rsid w:val="00E96AF0"/>
    <w:rsid w:val="00E979F4"/>
    <w:rsid w:val="00EA05DD"/>
    <w:rsid w:val="00EA0A8B"/>
    <w:rsid w:val="00EA0DCF"/>
    <w:rsid w:val="00EA11EC"/>
    <w:rsid w:val="00EA1662"/>
    <w:rsid w:val="00EA1B07"/>
    <w:rsid w:val="00EA219F"/>
    <w:rsid w:val="00EA238D"/>
    <w:rsid w:val="00EA2882"/>
    <w:rsid w:val="00EA2981"/>
    <w:rsid w:val="00EA2AC6"/>
    <w:rsid w:val="00EA2DAE"/>
    <w:rsid w:val="00EA3C0D"/>
    <w:rsid w:val="00EA4864"/>
    <w:rsid w:val="00EA4CFA"/>
    <w:rsid w:val="00EA5E32"/>
    <w:rsid w:val="00EA5F15"/>
    <w:rsid w:val="00EA7818"/>
    <w:rsid w:val="00EA7B0A"/>
    <w:rsid w:val="00EB18AD"/>
    <w:rsid w:val="00EB27D7"/>
    <w:rsid w:val="00EB31CE"/>
    <w:rsid w:val="00EB3A5E"/>
    <w:rsid w:val="00EB3D18"/>
    <w:rsid w:val="00EB3D7F"/>
    <w:rsid w:val="00EB4DA4"/>
    <w:rsid w:val="00EB5404"/>
    <w:rsid w:val="00EB5545"/>
    <w:rsid w:val="00EB575C"/>
    <w:rsid w:val="00EB59BF"/>
    <w:rsid w:val="00EB5B97"/>
    <w:rsid w:val="00EB5DD5"/>
    <w:rsid w:val="00EB5E48"/>
    <w:rsid w:val="00EB5F96"/>
    <w:rsid w:val="00EB65EB"/>
    <w:rsid w:val="00EB759A"/>
    <w:rsid w:val="00EC01D2"/>
    <w:rsid w:val="00EC0606"/>
    <w:rsid w:val="00EC1324"/>
    <w:rsid w:val="00EC1980"/>
    <w:rsid w:val="00EC3015"/>
    <w:rsid w:val="00EC3098"/>
    <w:rsid w:val="00EC363B"/>
    <w:rsid w:val="00EC3EA7"/>
    <w:rsid w:val="00EC4643"/>
    <w:rsid w:val="00EC46EC"/>
    <w:rsid w:val="00EC4821"/>
    <w:rsid w:val="00EC4A3A"/>
    <w:rsid w:val="00EC5304"/>
    <w:rsid w:val="00EC5759"/>
    <w:rsid w:val="00EC584D"/>
    <w:rsid w:val="00EC6501"/>
    <w:rsid w:val="00EC6688"/>
    <w:rsid w:val="00EC6E40"/>
    <w:rsid w:val="00EC6E93"/>
    <w:rsid w:val="00EC77F7"/>
    <w:rsid w:val="00ED006E"/>
    <w:rsid w:val="00ED032F"/>
    <w:rsid w:val="00ED059C"/>
    <w:rsid w:val="00ED0AA9"/>
    <w:rsid w:val="00ED0FE0"/>
    <w:rsid w:val="00ED1290"/>
    <w:rsid w:val="00ED1F6F"/>
    <w:rsid w:val="00ED204F"/>
    <w:rsid w:val="00ED2CFF"/>
    <w:rsid w:val="00ED2DBD"/>
    <w:rsid w:val="00ED3519"/>
    <w:rsid w:val="00ED43B6"/>
    <w:rsid w:val="00ED4C51"/>
    <w:rsid w:val="00ED4E3C"/>
    <w:rsid w:val="00ED541A"/>
    <w:rsid w:val="00ED5480"/>
    <w:rsid w:val="00ED55AB"/>
    <w:rsid w:val="00ED5856"/>
    <w:rsid w:val="00ED5A1F"/>
    <w:rsid w:val="00ED633C"/>
    <w:rsid w:val="00ED6634"/>
    <w:rsid w:val="00ED6EFE"/>
    <w:rsid w:val="00ED6F50"/>
    <w:rsid w:val="00ED6FFB"/>
    <w:rsid w:val="00ED7121"/>
    <w:rsid w:val="00ED72E3"/>
    <w:rsid w:val="00ED744B"/>
    <w:rsid w:val="00EE0111"/>
    <w:rsid w:val="00EE030B"/>
    <w:rsid w:val="00EE1051"/>
    <w:rsid w:val="00EE1383"/>
    <w:rsid w:val="00EE2440"/>
    <w:rsid w:val="00EE27E1"/>
    <w:rsid w:val="00EE2AC9"/>
    <w:rsid w:val="00EE32FF"/>
    <w:rsid w:val="00EE38B3"/>
    <w:rsid w:val="00EE398D"/>
    <w:rsid w:val="00EE42A8"/>
    <w:rsid w:val="00EE42DF"/>
    <w:rsid w:val="00EE4B1A"/>
    <w:rsid w:val="00EE50D0"/>
    <w:rsid w:val="00EE5EDE"/>
    <w:rsid w:val="00EE6324"/>
    <w:rsid w:val="00EE6E47"/>
    <w:rsid w:val="00EF042E"/>
    <w:rsid w:val="00EF0A8A"/>
    <w:rsid w:val="00EF0E42"/>
    <w:rsid w:val="00EF12AB"/>
    <w:rsid w:val="00EF1B61"/>
    <w:rsid w:val="00EF1EE1"/>
    <w:rsid w:val="00EF2822"/>
    <w:rsid w:val="00EF2936"/>
    <w:rsid w:val="00EF2A16"/>
    <w:rsid w:val="00EF3A75"/>
    <w:rsid w:val="00EF3E6D"/>
    <w:rsid w:val="00EF4343"/>
    <w:rsid w:val="00EF4CBE"/>
    <w:rsid w:val="00EF5053"/>
    <w:rsid w:val="00EF5718"/>
    <w:rsid w:val="00EF58B6"/>
    <w:rsid w:val="00EF5BCD"/>
    <w:rsid w:val="00EF60FE"/>
    <w:rsid w:val="00EF6832"/>
    <w:rsid w:val="00EF6A06"/>
    <w:rsid w:val="00EF6A22"/>
    <w:rsid w:val="00EF78AC"/>
    <w:rsid w:val="00EF7D69"/>
    <w:rsid w:val="00EF7D8A"/>
    <w:rsid w:val="00F009BB"/>
    <w:rsid w:val="00F00DD2"/>
    <w:rsid w:val="00F01128"/>
    <w:rsid w:val="00F01541"/>
    <w:rsid w:val="00F01EBC"/>
    <w:rsid w:val="00F022C4"/>
    <w:rsid w:val="00F02520"/>
    <w:rsid w:val="00F02847"/>
    <w:rsid w:val="00F035CA"/>
    <w:rsid w:val="00F03906"/>
    <w:rsid w:val="00F03978"/>
    <w:rsid w:val="00F03EDF"/>
    <w:rsid w:val="00F04990"/>
    <w:rsid w:val="00F04D22"/>
    <w:rsid w:val="00F05066"/>
    <w:rsid w:val="00F05286"/>
    <w:rsid w:val="00F05554"/>
    <w:rsid w:val="00F05C2A"/>
    <w:rsid w:val="00F06CDD"/>
    <w:rsid w:val="00F06E7B"/>
    <w:rsid w:val="00F071A3"/>
    <w:rsid w:val="00F071AA"/>
    <w:rsid w:val="00F07E40"/>
    <w:rsid w:val="00F10104"/>
    <w:rsid w:val="00F1058D"/>
    <w:rsid w:val="00F10732"/>
    <w:rsid w:val="00F107F3"/>
    <w:rsid w:val="00F10934"/>
    <w:rsid w:val="00F11419"/>
    <w:rsid w:val="00F11D69"/>
    <w:rsid w:val="00F12B45"/>
    <w:rsid w:val="00F13357"/>
    <w:rsid w:val="00F136FD"/>
    <w:rsid w:val="00F13743"/>
    <w:rsid w:val="00F13957"/>
    <w:rsid w:val="00F13FE4"/>
    <w:rsid w:val="00F149E6"/>
    <w:rsid w:val="00F14AB6"/>
    <w:rsid w:val="00F14FAB"/>
    <w:rsid w:val="00F14FE8"/>
    <w:rsid w:val="00F15288"/>
    <w:rsid w:val="00F164C1"/>
    <w:rsid w:val="00F1656B"/>
    <w:rsid w:val="00F165EC"/>
    <w:rsid w:val="00F16A86"/>
    <w:rsid w:val="00F17048"/>
    <w:rsid w:val="00F1741B"/>
    <w:rsid w:val="00F17819"/>
    <w:rsid w:val="00F17985"/>
    <w:rsid w:val="00F17BFB"/>
    <w:rsid w:val="00F17EF3"/>
    <w:rsid w:val="00F20110"/>
    <w:rsid w:val="00F204A7"/>
    <w:rsid w:val="00F21247"/>
    <w:rsid w:val="00F213F9"/>
    <w:rsid w:val="00F21723"/>
    <w:rsid w:val="00F218A8"/>
    <w:rsid w:val="00F21A27"/>
    <w:rsid w:val="00F21A67"/>
    <w:rsid w:val="00F22B9C"/>
    <w:rsid w:val="00F22BA1"/>
    <w:rsid w:val="00F22BDE"/>
    <w:rsid w:val="00F22D19"/>
    <w:rsid w:val="00F22DB3"/>
    <w:rsid w:val="00F22F41"/>
    <w:rsid w:val="00F232E5"/>
    <w:rsid w:val="00F2365A"/>
    <w:rsid w:val="00F23AF3"/>
    <w:rsid w:val="00F2422D"/>
    <w:rsid w:val="00F24B19"/>
    <w:rsid w:val="00F24B86"/>
    <w:rsid w:val="00F250DF"/>
    <w:rsid w:val="00F25281"/>
    <w:rsid w:val="00F25733"/>
    <w:rsid w:val="00F25FB5"/>
    <w:rsid w:val="00F26E56"/>
    <w:rsid w:val="00F27515"/>
    <w:rsid w:val="00F27C6F"/>
    <w:rsid w:val="00F27CE9"/>
    <w:rsid w:val="00F27D7B"/>
    <w:rsid w:val="00F30CB7"/>
    <w:rsid w:val="00F30DCD"/>
    <w:rsid w:val="00F3108A"/>
    <w:rsid w:val="00F310CF"/>
    <w:rsid w:val="00F314C8"/>
    <w:rsid w:val="00F317AC"/>
    <w:rsid w:val="00F3198C"/>
    <w:rsid w:val="00F32BBC"/>
    <w:rsid w:val="00F32DEA"/>
    <w:rsid w:val="00F32EC6"/>
    <w:rsid w:val="00F33157"/>
    <w:rsid w:val="00F3356B"/>
    <w:rsid w:val="00F33B76"/>
    <w:rsid w:val="00F33D95"/>
    <w:rsid w:val="00F34000"/>
    <w:rsid w:val="00F3404A"/>
    <w:rsid w:val="00F342A5"/>
    <w:rsid w:val="00F346CF"/>
    <w:rsid w:val="00F34A7F"/>
    <w:rsid w:val="00F34CD4"/>
    <w:rsid w:val="00F34E35"/>
    <w:rsid w:val="00F35301"/>
    <w:rsid w:val="00F35353"/>
    <w:rsid w:val="00F35C68"/>
    <w:rsid w:val="00F36279"/>
    <w:rsid w:val="00F368AA"/>
    <w:rsid w:val="00F36AFB"/>
    <w:rsid w:val="00F3720B"/>
    <w:rsid w:val="00F3785E"/>
    <w:rsid w:val="00F378AA"/>
    <w:rsid w:val="00F37E09"/>
    <w:rsid w:val="00F4045C"/>
    <w:rsid w:val="00F4072B"/>
    <w:rsid w:val="00F4090B"/>
    <w:rsid w:val="00F41C1E"/>
    <w:rsid w:val="00F41EDC"/>
    <w:rsid w:val="00F41FF1"/>
    <w:rsid w:val="00F42112"/>
    <w:rsid w:val="00F42381"/>
    <w:rsid w:val="00F425EF"/>
    <w:rsid w:val="00F42DDB"/>
    <w:rsid w:val="00F43600"/>
    <w:rsid w:val="00F43B2C"/>
    <w:rsid w:val="00F43BD5"/>
    <w:rsid w:val="00F44453"/>
    <w:rsid w:val="00F44481"/>
    <w:rsid w:val="00F44A06"/>
    <w:rsid w:val="00F44A56"/>
    <w:rsid w:val="00F44BE4"/>
    <w:rsid w:val="00F453F2"/>
    <w:rsid w:val="00F45A12"/>
    <w:rsid w:val="00F45B13"/>
    <w:rsid w:val="00F46846"/>
    <w:rsid w:val="00F46968"/>
    <w:rsid w:val="00F4697F"/>
    <w:rsid w:val="00F46FA4"/>
    <w:rsid w:val="00F47216"/>
    <w:rsid w:val="00F47574"/>
    <w:rsid w:val="00F47DC4"/>
    <w:rsid w:val="00F50294"/>
    <w:rsid w:val="00F50302"/>
    <w:rsid w:val="00F50445"/>
    <w:rsid w:val="00F5172D"/>
    <w:rsid w:val="00F519DF"/>
    <w:rsid w:val="00F52127"/>
    <w:rsid w:val="00F52E6B"/>
    <w:rsid w:val="00F52E99"/>
    <w:rsid w:val="00F530B9"/>
    <w:rsid w:val="00F53D78"/>
    <w:rsid w:val="00F54164"/>
    <w:rsid w:val="00F54414"/>
    <w:rsid w:val="00F5524B"/>
    <w:rsid w:val="00F559DE"/>
    <w:rsid w:val="00F559F0"/>
    <w:rsid w:val="00F55B2D"/>
    <w:rsid w:val="00F55BC0"/>
    <w:rsid w:val="00F56250"/>
    <w:rsid w:val="00F56964"/>
    <w:rsid w:val="00F56A9E"/>
    <w:rsid w:val="00F56E32"/>
    <w:rsid w:val="00F573FE"/>
    <w:rsid w:val="00F57986"/>
    <w:rsid w:val="00F57A18"/>
    <w:rsid w:val="00F57FCF"/>
    <w:rsid w:val="00F6048A"/>
    <w:rsid w:val="00F60866"/>
    <w:rsid w:val="00F60962"/>
    <w:rsid w:val="00F60AFD"/>
    <w:rsid w:val="00F610DA"/>
    <w:rsid w:val="00F61134"/>
    <w:rsid w:val="00F612A4"/>
    <w:rsid w:val="00F614D7"/>
    <w:rsid w:val="00F6156A"/>
    <w:rsid w:val="00F61A9F"/>
    <w:rsid w:val="00F61C4B"/>
    <w:rsid w:val="00F61F8F"/>
    <w:rsid w:val="00F62587"/>
    <w:rsid w:val="00F62878"/>
    <w:rsid w:val="00F63811"/>
    <w:rsid w:val="00F63A7C"/>
    <w:rsid w:val="00F63EAC"/>
    <w:rsid w:val="00F64444"/>
    <w:rsid w:val="00F6473D"/>
    <w:rsid w:val="00F649C3"/>
    <w:rsid w:val="00F64D77"/>
    <w:rsid w:val="00F64D93"/>
    <w:rsid w:val="00F6521C"/>
    <w:rsid w:val="00F65541"/>
    <w:rsid w:val="00F65B99"/>
    <w:rsid w:val="00F66319"/>
    <w:rsid w:val="00F663AD"/>
    <w:rsid w:val="00F66A3F"/>
    <w:rsid w:val="00F6709B"/>
    <w:rsid w:val="00F673FC"/>
    <w:rsid w:val="00F67435"/>
    <w:rsid w:val="00F7012E"/>
    <w:rsid w:val="00F701DD"/>
    <w:rsid w:val="00F7023D"/>
    <w:rsid w:val="00F70BDE"/>
    <w:rsid w:val="00F71486"/>
    <w:rsid w:val="00F71CA6"/>
    <w:rsid w:val="00F71D4D"/>
    <w:rsid w:val="00F71E72"/>
    <w:rsid w:val="00F720F7"/>
    <w:rsid w:val="00F72332"/>
    <w:rsid w:val="00F72C01"/>
    <w:rsid w:val="00F73030"/>
    <w:rsid w:val="00F73329"/>
    <w:rsid w:val="00F74E3F"/>
    <w:rsid w:val="00F74EDE"/>
    <w:rsid w:val="00F751B4"/>
    <w:rsid w:val="00F75CD7"/>
    <w:rsid w:val="00F762D3"/>
    <w:rsid w:val="00F762F1"/>
    <w:rsid w:val="00F770D0"/>
    <w:rsid w:val="00F77488"/>
    <w:rsid w:val="00F774D0"/>
    <w:rsid w:val="00F778D8"/>
    <w:rsid w:val="00F77AF1"/>
    <w:rsid w:val="00F80344"/>
    <w:rsid w:val="00F80B2C"/>
    <w:rsid w:val="00F80F75"/>
    <w:rsid w:val="00F8178D"/>
    <w:rsid w:val="00F8187B"/>
    <w:rsid w:val="00F8232F"/>
    <w:rsid w:val="00F82761"/>
    <w:rsid w:val="00F83AA3"/>
    <w:rsid w:val="00F840B3"/>
    <w:rsid w:val="00F84127"/>
    <w:rsid w:val="00F8450F"/>
    <w:rsid w:val="00F847B9"/>
    <w:rsid w:val="00F8549C"/>
    <w:rsid w:val="00F857F2"/>
    <w:rsid w:val="00F85C51"/>
    <w:rsid w:val="00F860F4"/>
    <w:rsid w:val="00F86260"/>
    <w:rsid w:val="00F868A6"/>
    <w:rsid w:val="00F8744E"/>
    <w:rsid w:val="00F87641"/>
    <w:rsid w:val="00F87E23"/>
    <w:rsid w:val="00F901DD"/>
    <w:rsid w:val="00F90437"/>
    <w:rsid w:val="00F90598"/>
    <w:rsid w:val="00F90A06"/>
    <w:rsid w:val="00F90A1B"/>
    <w:rsid w:val="00F90A80"/>
    <w:rsid w:val="00F90FB9"/>
    <w:rsid w:val="00F9181F"/>
    <w:rsid w:val="00F91C10"/>
    <w:rsid w:val="00F92D99"/>
    <w:rsid w:val="00F93332"/>
    <w:rsid w:val="00F937E5"/>
    <w:rsid w:val="00F9398F"/>
    <w:rsid w:val="00F9444F"/>
    <w:rsid w:val="00F949D2"/>
    <w:rsid w:val="00F9513C"/>
    <w:rsid w:val="00F9552B"/>
    <w:rsid w:val="00F956C9"/>
    <w:rsid w:val="00F95710"/>
    <w:rsid w:val="00F95A63"/>
    <w:rsid w:val="00F95B57"/>
    <w:rsid w:val="00F95D03"/>
    <w:rsid w:val="00F95DB1"/>
    <w:rsid w:val="00F95EB8"/>
    <w:rsid w:val="00F95F68"/>
    <w:rsid w:val="00F963DF"/>
    <w:rsid w:val="00F96AF1"/>
    <w:rsid w:val="00F96C26"/>
    <w:rsid w:val="00F96DB1"/>
    <w:rsid w:val="00F96DD7"/>
    <w:rsid w:val="00F978B6"/>
    <w:rsid w:val="00FA04C8"/>
    <w:rsid w:val="00FA05AF"/>
    <w:rsid w:val="00FA0CDC"/>
    <w:rsid w:val="00FA12C8"/>
    <w:rsid w:val="00FA1B45"/>
    <w:rsid w:val="00FA2086"/>
    <w:rsid w:val="00FA20F7"/>
    <w:rsid w:val="00FA22B6"/>
    <w:rsid w:val="00FA2EF6"/>
    <w:rsid w:val="00FA316F"/>
    <w:rsid w:val="00FA3477"/>
    <w:rsid w:val="00FA3F81"/>
    <w:rsid w:val="00FA496B"/>
    <w:rsid w:val="00FA49AA"/>
    <w:rsid w:val="00FA4C30"/>
    <w:rsid w:val="00FA4CF7"/>
    <w:rsid w:val="00FA4EEA"/>
    <w:rsid w:val="00FA5B05"/>
    <w:rsid w:val="00FA5DEC"/>
    <w:rsid w:val="00FA5FEB"/>
    <w:rsid w:val="00FA6721"/>
    <w:rsid w:val="00FA73C1"/>
    <w:rsid w:val="00FA7DB9"/>
    <w:rsid w:val="00FB032F"/>
    <w:rsid w:val="00FB065B"/>
    <w:rsid w:val="00FB0AC1"/>
    <w:rsid w:val="00FB1544"/>
    <w:rsid w:val="00FB198B"/>
    <w:rsid w:val="00FB1A00"/>
    <w:rsid w:val="00FB2BF9"/>
    <w:rsid w:val="00FB3189"/>
    <w:rsid w:val="00FB359E"/>
    <w:rsid w:val="00FB3CA7"/>
    <w:rsid w:val="00FB4427"/>
    <w:rsid w:val="00FB4860"/>
    <w:rsid w:val="00FB490F"/>
    <w:rsid w:val="00FB49A2"/>
    <w:rsid w:val="00FB5020"/>
    <w:rsid w:val="00FB5450"/>
    <w:rsid w:val="00FB5580"/>
    <w:rsid w:val="00FB56CE"/>
    <w:rsid w:val="00FB5717"/>
    <w:rsid w:val="00FB5ECB"/>
    <w:rsid w:val="00FB63D3"/>
    <w:rsid w:val="00FB6C53"/>
    <w:rsid w:val="00FB6DCA"/>
    <w:rsid w:val="00FB6DD9"/>
    <w:rsid w:val="00FB795D"/>
    <w:rsid w:val="00FB7C42"/>
    <w:rsid w:val="00FC0004"/>
    <w:rsid w:val="00FC08D1"/>
    <w:rsid w:val="00FC10A4"/>
    <w:rsid w:val="00FC11AC"/>
    <w:rsid w:val="00FC1538"/>
    <w:rsid w:val="00FC1925"/>
    <w:rsid w:val="00FC3367"/>
    <w:rsid w:val="00FC3AC7"/>
    <w:rsid w:val="00FC4128"/>
    <w:rsid w:val="00FC42CA"/>
    <w:rsid w:val="00FC459D"/>
    <w:rsid w:val="00FC4B19"/>
    <w:rsid w:val="00FC4BA8"/>
    <w:rsid w:val="00FC5263"/>
    <w:rsid w:val="00FC66C9"/>
    <w:rsid w:val="00FC710B"/>
    <w:rsid w:val="00FC769A"/>
    <w:rsid w:val="00FD01E4"/>
    <w:rsid w:val="00FD03E7"/>
    <w:rsid w:val="00FD0E83"/>
    <w:rsid w:val="00FD2332"/>
    <w:rsid w:val="00FD295D"/>
    <w:rsid w:val="00FD2AC6"/>
    <w:rsid w:val="00FD2CBB"/>
    <w:rsid w:val="00FD312E"/>
    <w:rsid w:val="00FD369F"/>
    <w:rsid w:val="00FD387A"/>
    <w:rsid w:val="00FD405A"/>
    <w:rsid w:val="00FD4E17"/>
    <w:rsid w:val="00FD4EBF"/>
    <w:rsid w:val="00FD607D"/>
    <w:rsid w:val="00FD6800"/>
    <w:rsid w:val="00FD6B56"/>
    <w:rsid w:val="00FD7FC4"/>
    <w:rsid w:val="00FE02A5"/>
    <w:rsid w:val="00FE0527"/>
    <w:rsid w:val="00FE11CE"/>
    <w:rsid w:val="00FE139B"/>
    <w:rsid w:val="00FE1529"/>
    <w:rsid w:val="00FE1AFE"/>
    <w:rsid w:val="00FE1FA2"/>
    <w:rsid w:val="00FE2169"/>
    <w:rsid w:val="00FE2449"/>
    <w:rsid w:val="00FE24D2"/>
    <w:rsid w:val="00FE2614"/>
    <w:rsid w:val="00FE2ACA"/>
    <w:rsid w:val="00FE3880"/>
    <w:rsid w:val="00FE3CF2"/>
    <w:rsid w:val="00FE3ECE"/>
    <w:rsid w:val="00FE46F1"/>
    <w:rsid w:val="00FE5357"/>
    <w:rsid w:val="00FE6397"/>
    <w:rsid w:val="00FE63BA"/>
    <w:rsid w:val="00FE6826"/>
    <w:rsid w:val="00FE6A70"/>
    <w:rsid w:val="00FE7A05"/>
    <w:rsid w:val="00FE7B42"/>
    <w:rsid w:val="00FE7C2C"/>
    <w:rsid w:val="00FE7D05"/>
    <w:rsid w:val="00FE7DFD"/>
    <w:rsid w:val="00FF04BD"/>
    <w:rsid w:val="00FF04D4"/>
    <w:rsid w:val="00FF09A9"/>
    <w:rsid w:val="00FF1287"/>
    <w:rsid w:val="00FF16AB"/>
    <w:rsid w:val="00FF175F"/>
    <w:rsid w:val="00FF1B24"/>
    <w:rsid w:val="00FF295B"/>
    <w:rsid w:val="00FF308E"/>
    <w:rsid w:val="00FF47E6"/>
    <w:rsid w:val="00FF4F4A"/>
    <w:rsid w:val="00FF51F6"/>
    <w:rsid w:val="00FF564B"/>
    <w:rsid w:val="00FF61B8"/>
    <w:rsid w:val="00FF63D3"/>
    <w:rsid w:val="00FF65A5"/>
    <w:rsid w:val="00FF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E6"/>
    <w:rPr>
      <w:rFonts w:ascii="Arial" w:hAnsi="Arial"/>
      <w:sz w:val="24"/>
      <w:szCs w:val="24"/>
      <w:lang w:eastAsia="en-US"/>
    </w:rPr>
  </w:style>
  <w:style w:type="paragraph" w:styleId="Heading1">
    <w:name w:val="heading 1"/>
    <w:basedOn w:val="Normal"/>
    <w:next w:val="Normal"/>
    <w:qFormat/>
    <w:rsid w:val="00D01ECA"/>
    <w:pPr>
      <w:keepNext/>
      <w:tabs>
        <w:tab w:val="num" w:pos="432"/>
      </w:tabs>
      <w:spacing w:before="240" w:after="60"/>
      <w:ind w:left="432" w:hanging="432"/>
      <w:outlineLvl w:val="0"/>
    </w:pPr>
    <w:rPr>
      <w:b/>
      <w:szCs w:val="20"/>
    </w:rPr>
  </w:style>
  <w:style w:type="paragraph" w:styleId="Heading2">
    <w:name w:val="heading 2"/>
    <w:aliases w:val="Para Heading,Level 2"/>
    <w:basedOn w:val="Normal"/>
    <w:next w:val="Normal"/>
    <w:qFormat/>
    <w:rsid w:val="000F063F"/>
    <w:pPr>
      <w:keepNext/>
      <w:overflowPunct w:val="0"/>
      <w:autoSpaceDE w:val="0"/>
      <w:autoSpaceDN w:val="0"/>
      <w:adjustRightInd w:val="0"/>
      <w:textAlignment w:val="baseline"/>
      <w:outlineLvl w:val="1"/>
    </w:pPr>
    <w:rPr>
      <w:rFonts w:cs="Arial"/>
      <w:b/>
      <w:bCs/>
      <w:szCs w:val="20"/>
      <w:lang w:val="en-AU"/>
    </w:rPr>
  </w:style>
  <w:style w:type="paragraph" w:styleId="Heading3">
    <w:name w:val="heading 3"/>
    <w:aliases w:val="Level 3"/>
    <w:basedOn w:val="Normal"/>
    <w:next w:val="Normal"/>
    <w:qFormat/>
    <w:rsid w:val="00D01ECA"/>
    <w:pPr>
      <w:keepNext/>
      <w:tabs>
        <w:tab w:val="num" w:pos="720"/>
      </w:tabs>
      <w:spacing w:before="240" w:after="60"/>
      <w:ind w:left="720" w:hanging="720"/>
      <w:outlineLvl w:val="2"/>
    </w:pPr>
    <w:rPr>
      <w:b/>
      <w:szCs w:val="20"/>
    </w:rPr>
  </w:style>
  <w:style w:type="paragraph" w:styleId="Heading4">
    <w:name w:val="heading 4"/>
    <w:basedOn w:val="Normal"/>
    <w:next w:val="Normal"/>
    <w:qFormat/>
    <w:rsid w:val="00D01ECA"/>
    <w:pPr>
      <w:keepNext/>
      <w:tabs>
        <w:tab w:val="num" w:pos="864"/>
      </w:tabs>
      <w:ind w:left="864" w:hanging="864"/>
      <w:jc w:val="right"/>
      <w:outlineLvl w:val="3"/>
    </w:pPr>
    <w:rPr>
      <w:b/>
      <w:sz w:val="28"/>
      <w:szCs w:val="20"/>
    </w:rPr>
  </w:style>
  <w:style w:type="paragraph" w:styleId="Heading5">
    <w:name w:val="heading 5"/>
    <w:basedOn w:val="Normal"/>
    <w:next w:val="Normal"/>
    <w:qFormat/>
    <w:rsid w:val="00D01ECA"/>
    <w:pPr>
      <w:keepNext/>
      <w:tabs>
        <w:tab w:val="num" w:pos="1008"/>
      </w:tabs>
      <w:ind w:left="1008" w:hanging="1008"/>
      <w:jc w:val="right"/>
      <w:outlineLvl w:val="4"/>
    </w:pPr>
    <w:rPr>
      <w:sz w:val="28"/>
      <w:szCs w:val="20"/>
    </w:rPr>
  </w:style>
  <w:style w:type="paragraph" w:styleId="Heading6">
    <w:name w:val="heading 6"/>
    <w:basedOn w:val="Normal"/>
    <w:next w:val="Normal"/>
    <w:qFormat/>
    <w:rsid w:val="00D01ECA"/>
    <w:pPr>
      <w:keepNext/>
      <w:tabs>
        <w:tab w:val="num" w:pos="1152"/>
      </w:tabs>
      <w:ind w:left="1152" w:hanging="1152"/>
      <w:jc w:val="right"/>
      <w:outlineLvl w:val="5"/>
    </w:pPr>
    <w:rPr>
      <w:b/>
      <w:sz w:val="32"/>
      <w:szCs w:val="20"/>
    </w:rPr>
  </w:style>
  <w:style w:type="paragraph" w:styleId="Heading7">
    <w:name w:val="heading 7"/>
    <w:basedOn w:val="Normal"/>
    <w:next w:val="Normal"/>
    <w:qFormat/>
    <w:rsid w:val="00D01ECA"/>
    <w:pPr>
      <w:tabs>
        <w:tab w:val="num" w:pos="1296"/>
      </w:tabs>
      <w:spacing w:before="240" w:after="60"/>
      <w:ind w:left="1296" w:hanging="1296"/>
      <w:outlineLvl w:val="6"/>
    </w:pPr>
  </w:style>
  <w:style w:type="paragraph" w:styleId="Heading8">
    <w:name w:val="heading 8"/>
    <w:basedOn w:val="Normal"/>
    <w:next w:val="Normal"/>
    <w:qFormat/>
    <w:rsid w:val="00D01ECA"/>
    <w:pPr>
      <w:tabs>
        <w:tab w:val="num" w:pos="1440"/>
      </w:tabs>
      <w:spacing w:before="240" w:after="60"/>
      <w:ind w:left="1440" w:hanging="1440"/>
      <w:outlineLvl w:val="7"/>
    </w:pPr>
    <w:rPr>
      <w:i/>
      <w:iCs/>
    </w:rPr>
  </w:style>
  <w:style w:type="paragraph" w:styleId="Heading9">
    <w:name w:val="heading 9"/>
    <w:basedOn w:val="Normal"/>
    <w:next w:val="Normal"/>
    <w:qFormat/>
    <w:rsid w:val="00D01EC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
    <w:name w:val="Char Char3"/>
    <w:basedOn w:val="Normal"/>
    <w:rsid w:val="00422074"/>
    <w:pPr>
      <w:spacing w:before="60" w:after="120" w:line="240" w:lineRule="exact"/>
    </w:pPr>
    <w:rPr>
      <w:rFonts w:ascii="Verdana" w:hAnsi="Verdana"/>
      <w:sz w:val="20"/>
      <w:szCs w:val="20"/>
      <w:lang w:val="en-US"/>
    </w:rPr>
  </w:style>
  <w:style w:type="paragraph" w:customStyle="1" w:styleId="Default">
    <w:name w:val="Default"/>
    <w:rsid w:val="00FF63D3"/>
    <w:pPr>
      <w:autoSpaceDE w:val="0"/>
      <w:autoSpaceDN w:val="0"/>
      <w:adjustRightInd w:val="0"/>
    </w:pPr>
    <w:rPr>
      <w:rFonts w:ascii="Arial" w:hAnsi="Arial" w:cs="Arial"/>
      <w:color w:val="000000"/>
      <w:sz w:val="24"/>
      <w:szCs w:val="24"/>
    </w:rPr>
  </w:style>
  <w:style w:type="paragraph" w:styleId="Header">
    <w:name w:val="header"/>
    <w:aliases w:val="B&amp;B Header"/>
    <w:basedOn w:val="Normal"/>
    <w:link w:val="HeaderChar"/>
    <w:rsid w:val="00970455"/>
    <w:pPr>
      <w:tabs>
        <w:tab w:val="center" w:pos="4153"/>
        <w:tab w:val="right" w:pos="8306"/>
      </w:tabs>
    </w:pPr>
  </w:style>
  <w:style w:type="paragraph" w:styleId="Footer">
    <w:name w:val="footer"/>
    <w:basedOn w:val="Normal"/>
    <w:link w:val="FooterChar"/>
    <w:rsid w:val="00970455"/>
    <w:pPr>
      <w:tabs>
        <w:tab w:val="center" w:pos="4153"/>
        <w:tab w:val="right" w:pos="8306"/>
      </w:tabs>
    </w:pPr>
  </w:style>
  <w:style w:type="character" w:styleId="PageNumber">
    <w:name w:val="page number"/>
    <w:basedOn w:val="DefaultParagraphFont"/>
    <w:rsid w:val="00DF0C2B"/>
  </w:style>
  <w:style w:type="paragraph" w:styleId="BodyText">
    <w:name w:val="Body Text"/>
    <w:basedOn w:val="Normal"/>
    <w:rsid w:val="005E6E0C"/>
    <w:pPr>
      <w:spacing w:after="240"/>
    </w:pPr>
    <w:rPr>
      <w:szCs w:val="20"/>
    </w:rPr>
  </w:style>
  <w:style w:type="character" w:styleId="Emphasis">
    <w:name w:val="Emphasis"/>
    <w:qFormat/>
    <w:rsid w:val="00755460"/>
    <w:rPr>
      <w:b/>
      <w:bCs/>
      <w:i w:val="0"/>
      <w:iCs w:val="0"/>
    </w:rPr>
  </w:style>
  <w:style w:type="character" w:styleId="Hyperlink">
    <w:name w:val="Hyperlink"/>
    <w:rsid w:val="000F063F"/>
    <w:rPr>
      <w:color w:val="0000FF"/>
      <w:u w:val="single"/>
    </w:rPr>
  </w:style>
  <w:style w:type="paragraph" w:styleId="NormalWeb">
    <w:name w:val="Normal (Web)"/>
    <w:basedOn w:val="Normal"/>
    <w:uiPriority w:val="99"/>
    <w:rsid w:val="00AE150C"/>
    <w:pPr>
      <w:spacing w:before="100" w:beforeAutospacing="1" w:after="100" w:afterAutospacing="1"/>
    </w:pPr>
    <w:rPr>
      <w:lang w:eastAsia="en-GB"/>
    </w:rPr>
  </w:style>
  <w:style w:type="paragraph" w:styleId="FootnoteText">
    <w:name w:val="footnote text"/>
    <w:aliases w:val="Footnote Text Char"/>
    <w:basedOn w:val="Normal"/>
    <w:semiHidden/>
    <w:rsid w:val="00F61134"/>
    <w:pPr>
      <w:ind w:left="720"/>
    </w:pPr>
    <w:rPr>
      <w:sz w:val="20"/>
      <w:szCs w:val="20"/>
      <w:lang w:eastAsia="en-GB"/>
    </w:rPr>
  </w:style>
  <w:style w:type="character" w:styleId="FootnoteReference">
    <w:name w:val="footnote reference"/>
    <w:semiHidden/>
    <w:rsid w:val="00F61134"/>
    <w:rPr>
      <w:vertAlign w:val="superscript"/>
    </w:rPr>
  </w:style>
  <w:style w:type="paragraph" w:customStyle="1" w:styleId="Paragraph">
    <w:name w:val="Paragraph"/>
    <w:basedOn w:val="Normal"/>
    <w:autoRedefine/>
    <w:rsid w:val="00D01ECA"/>
    <w:pPr>
      <w:jc w:val="center"/>
    </w:pPr>
    <w:rPr>
      <w:b/>
      <w:szCs w:val="20"/>
    </w:rPr>
  </w:style>
  <w:style w:type="paragraph" w:styleId="BodyTextIndent">
    <w:name w:val="Body Text Indent"/>
    <w:basedOn w:val="Normal"/>
    <w:rsid w:val="00D01ECA"/>
    <w:pPr>
      <w:ind w:left="360"/>
    </w:pPr>
    <w:rPr>
      <w:rFonts w:cs="Arial"/>
    </w:rPr>
  </w:style>
  <w:style w:type="paragraph" w:styleId="BodyText2">
    <w:name w:val="Body Text 2"/>
    <w:basedOn w:val="Normal"/>
    <w:rsid w:val="00D01ECA"/>
    <w:pPr>
      <w:spacing w:after="120" w:line="480" w:lineRule="auto"/>
      <w:ind w:left="720"/>
    </w:pPr>
    <w:rPr>
      <w:lang w:eastAsia="en-GB"/>
    </w:rPr>
  </w:style>
  <w:style w:type="paragraph" w:styleId="BodyTextIndent2">
    <w:name w:val="Body Text Indent 2"/>
    <w:basedOn w:val="Normal"/>
    <w:rsid w:val="00D01ECA"/>
    <w:pPr>
      <w:spacing w:after="120" w:line="480" w:lineRule="auto"/>
      <w:ind w:left="283"/>
    </w:pPr>
    <w:rPr>
      <w:lang w:eastAsia="en-GB"/>
    </w:rPr>
  </w:style>
  <w:style w:type="paragraph" w:styleId="BodyTextIndent3">
    <w:name w:val="Body Text Indent 3"/>
    <w:basedOn w:val="Normal"/>
    <w:rsid w:val="00D01ECA"/>
    <w:pPr>
      <w:ind w:hanging="720"/>
    </w:pPr>
    <w:rPr>
      <w:rFonts w:cs="Arial"/>
      <w:color w:val="000000"/>
      <w:szCs w:val="20"/>
    </w:rPr>
  </w:style>
  <w:style w:type="paragraph" w:customStyle="1" w:styleId="addbullet">
    <w:name w:val="add bullet"/>
    <w:basedOn w:val="Normal"/>
    <w:rsid w:val="00D01ECA"/>
    <w:pPr>
      <w:tabs>
        <w:tab w:val="num" w:pos="2520"/>
      </w:tabs>
      <w:spacing w:before="120" w:after="120"/>
      <w:ind w:left="2520" w:hanging="360"/>
    </w:pPr>
    <w:rPr>
      <w:rFonts w:cs="Arial"/>
      <w:noProof/>
      <w:szCs w:val="20"/>
    </w:rPr>
  </w:style>
  <w:style w:type="paragraph" w:styleId="BodyText3">
    <w:name w:val="Body Text 3"/>
    <w:basedOn w:val="Normal"/>
    <w:rsid w:val="00D01ECA"/>
    <w:pPr>
      <w:jc w:val="both"/>
    </w:pPr>
    <w:rPr>
      <w:rFonts w:cs="Arial"/>
      <w:b/>
      <w:bCs/>
    </w:rPr>
  </w:style>
  <w:style w:type="character" w:styleId="FollowedHyperlink">
    <w:name w:val="FollowedHyperlink"/>
    <w:rsid w:val="00D01ECA"/>
    <w:rPr>
      <w:color w:val="800080"/>
      <w:u w:val="single"/>
    </w:rPr>
  </w:style>
  <w:style w:type="character" w:styleId="EndnoteReference">
    <w:name w:val="endnote reference"/>
    <w:semiHidden/>
    <w:rsid w:val="00D01ECA"/>
    <w:rPr>
      <w:vertAlign w:val="superscript"/>
    </w:rPr>
  </w:style>
  <w:style w:type="paragraph" w:styleId="EndnoteText">
    <w:name w:val="endnote text"/>
    <w:basedOn w:val="Normal"/>
    <w:semiHidden/>
    <w:rsid w:val="00D01ECA"/>
    <w:rPr>
      <w:sz w:val="20"/>
      <w:szCs w:val="20"/>
    </w:rPr>
  </w:style>
  <w:style w:type="paragraph" w:styleId="BalloonText">
    <w:name w:val="Balloon Text"/>
    <w:basedOn w:val="Normal"/>
    <w:semiHidden/>
    <w:rsid w:val="00D01ECA"/>
    <w:rPr>
      <w:rFonts w:ascii="Tahoma" w:hAnsi="Tahoma" w:cs="Tahoma"/>
      <w:sz w:val="16"/>
      <w:szCs w:val="16"/>
    </w:rPr>
  </w:style>
  <w:style w:type="paragraph" w:styleId="ListBullet4">
    <w:name w:val="List Bullet 4"/>
    <w:basedOn w:val="Normal"/>
    <w:autoRedefine/>
    <w:rsid w:val="00D01ECA"/>
    <w:pPr>
      <w:numPr>
        <w:numId w:val="1"/>
      </w:numPr>
      <w:ind w:firstLine="108"/>
    </w:pPr>
  </w:style>
  <w:style w:type="character" w:customStyle="1" w:styleId="indent">
    <w:name w:val="indent"/>
    <w:rsid w:val="00D01ECA"/>
    <w:rPr>
      <w:rFonts w:ascii="Arial" w:hAnsi="Arial" w:cs="Arial" w:hint="default"/>
      <w:b w:val="0"/>
      <w:bCs w:val="0"/>
      <w:sz w:val="20"/>
      <w:szCs w:val="20"/>
    </w:rPr>
  </w:style>
  <w:style w:type="character" w:customStyle="1" w:styleId="EmailStyle25">
    <w:name w:val="EmailStyle25"/>
    <w:rsid w:val="00D01ECA"/>
    <w:rPr>
      <w:rFonts w:ascii="Arial" w:hAnsi="Arial" w:cs="Arial"/>
      <w:color w:val="000080"/>
      <w:sz w:val="20"/>
      <w:szCs w:val="20"/>
    </w:rPr>
  </w:style>
  <w:style w:type="character" w:customStyle="1" w:styleId="indent2">
    <w:name w:val="indent2"/>
    <w:rsid w:val="00D01ECA"/>
    <w:rPr>
      <w:rFonts w:ascii="Arial" w:hAnsi="Arial" w:cs="Arial" w:hint="default"/>
      <w:b w:val="0"/>
      <w:bCs w:val="0"/>
      <w:sz w:val="20"/>
      <w:szCs w:val="20"/>
    </w:rPr>
  </w:style>
  <w:style w:type="paragraph" w:styleId="Subtitle">
    <w:name w:val="Subtitle"/>
    <w:basedOn w:val="Normal"/>
    <w:qFormat/>
    <w:rsid w:val="00D01ECA"/>
    <w:pPr>
      <w:jc w:val="center"/>
    </w:pPr>
    <w:rPr>
      <w:b/>
      <w:bCs/>
      <w:szCs w:val="20"/>
      <w:u w:val="single"/>
    </w:rPr>
  </w:style>
  <w:style w:type="paragraph" w:styleId="ListNumber">
    <w:name w:val="List Number"/>
    <w:basedOn w:val="Normal"/>
    <w:rsid w:val="00D01ECA"/>
    <w:pPr>
      <w:numPr>
        <w:numId w:val="2"/>
      </w:numPr>
    </w:pPr>
    <w:rPr>
      <w:rFonts w:cs="Arial"/>
    </w:rPr>
  </w:style>
  <w:style w:type="paragraph" w:styleId="BlockText">
    <w:name w:val="Block Text"/>
    <w:basedOn w:val="Normal"/>
    <w:rsid w:val="00D01ECA"/>
    <w:pPr>
      <w:overflowPunct w:val="0"/>
      <w:autoSpaceDE w:val="0"/>
      <w:autoSpaceDN w:val="0"/>
      <w:adjustRightInd w:val="0"/>
      <w:ind w:left="720" w:right="-625" w:hanging="720"/>
      <w:textAlignment w:val="baseline"/>
    </w:pPr>
    <w:rPr>
      <w:sz w:val="20"/>
      <w:szCs w:val="20"/>
    </w:rPr>
  </w:style>
  <w:style w:type="paragraph" w:styleId="ListParagraph">
    <w:name w:val="List Paragraph"/>
    <w:basedOn w:val="Normal"/>
    <w:link w:val="ListParagraphChar"/>
    <w:uiPriority w:val="34"/>
    <w:qFormat/>
    <w:rsid w:val="00402D61"/>
    <w:pPr>
      <w:ind w:left="720"/>
    </w:pPr>
  </w:style>
  <w:style w:type="paragraph" w:customStyle="1" w:styleId="Style">
    <w:name w:val="Style"/>
    <w:basedOn w:val="FootnoteText"/>
    <w:rsid w:val="00D01ECA"/>
    <w:pPr>
      <w:spacing w:before="120"/>
      <w:ind w:left="0"/>
      <w:jc w:val="both"/>
    </w:pPr>
    <w:rPr>
      <w:bCs/>
      <w:lang w:eastAsia="en-US"/>
    </w:rPr>
  </w:style>
  <w:style w:type="character" w:customStyle="1" w:styleId="commontext1">
    <w:name w:val="commontext1"/>
    <w:rsid w:val="00D01ECA"/>
    <w:rPr>
      <w:b w:val="0"/>
      <w:bCs w:val="0"/>
    </w:rPr>
  </w:style>
  <w:style w:type="character" w:customStyle="1" w:styleId="text2">
    <w:name w:val="text2"/>
    <w:basedOn w:val="DefaultParagraphFont"/>
    <w:rsid w:val="00D01ECA"/>
  </w:style>
  <w:style w:type="character" w:customStyle="1" w:styleId="text1">
    <w:name w:val="text1"/>
    <w:rsid w:val="00D01ECA"/>
    <w:rPr>
      <w:rFonts w:ascii="Arial" w:hAnsi="Arial" w:cs="Arial" w:hint="default"/>
      <w:b w:val="0"/>
      <w:bCs w:val="0"/>
      <w:i w:val="0"/>
      <w:iCs w:val="0"/>
      <w:color w:val="000000"/>
      <w:sz w:val="24"/>
      <w:szCs w:val="24"/>
    </w:rPr>
  </w:style>
  <w:style w:type="paragraph" w:styleId="ListBullet">
    <w:name w:val="List Bullet"/>
    <w:basedOn w:val="Normal"/>
    <w:autoRedefine/>
    <w:rsid w:val="00165886"/>
    <w:pPr>
      <w:numPr>
        <w:numId w:val="23"/>
      </w:numPr>
    </w:pPr>
  </w:style>
  <w:style w:type="paragraph" w:customStyle="1" w:styleId="NormalWeb1">
    <w:name w:val="Normal (Web)1"/>
    <w:basedOn w:val="Normal"/>
    <w:rsid w:val="00D01ECA"/>
    <w:pPr>
      <w:spacing w:after="156"/>
    </w:pPr>
    <w:rPr>
      <w:lang w:eastAsia="en-GB"/>
    </w:rPr>
  </w:style>
  <w:style w:type="paragraph" w:customStyle="1" w:styleId="Text">
    <w:name w:val="Text"/>
    <w:basedOn w:val="Normal"/>
    <w:rsid w:val="00D01ECA"/>
    <w:pPr>
      <w:spacing w:line="480" w:lineRule="auto"/>
      <w:jc w:val="both"/>
    </w:pPr>
    <w:rPr>
      <w:lang w:eastAsia="en-GB"/>
    </w:rPr>
  </w:style>
  <w:style w:type="paragraph" w:customStyle="1" w:styleId="Pa13">
    <w:name w:val="Pa13"/>
    <w:basedOn w:val="Normal"/>
    <w:next w:val="Normal"/>
    <w:rsid w:val="00D01ECA"/>
    <w:pPr>
      <w:autoSpaceDE w:val="0"/>
      <w:autoSpaceDN w:val="0"/>
      <w:adjustRightInd w:val="0"/>
      <w:spacing w:line="241" w:lineRule="atLeast"/>
    </w:pPr>
    <w:rPr>
      <w:lang w:eastAsia="en-GB"/>
    </w:rPr>
  </w:style>
  <w:style w:type="paragraph" w:customStyle="1" w:styleId="Pa14">
    <w:name w:val="Pa14"/>
    <w:basedOn w:val="Normal"/>
    <w:next w:val="Normal"/>
    <w:rsid w:val="00D01ECA"/>
    <w:pPr>
      <w:autoSpaceDE w:val="0"/>
      <w:autoSpaceDN w:val="0"/>
      <w:adjustRightInd w:val="0"/>
      <w:spacing w:line="241" w:lineRule="atLeast"/>
    </w:pPr>
    <w:rPr>
      <w:lang w:eastAsia="en-GB"/>
    </w:rPr>
  </w:style>
  <w:style w:type="table" w:styleId="TableGrid">
    <w:name w:val="Table Grid"/>
    <w:basedOn w:val="TableNormal"/>
    <w:rsid w:val="00D01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D01ECA"/>
    <w:pPr>
      <w:tabs>
        <w:tab w:val="num" w:pos="754"/>
      </w:tabs>
      <w:spacing w:after="240"/>
      <w:ind w:left="754" w:hanging="357"/>
      <w:jc w:val="both"/>
      <w:outlineLvl w:val="0"/>
    </w:pPr>
    <w:rPr>
      <w:rFonts w:cs="Arial"/>
      <w:sz w:val="20"/>
      <w:szCs w:val="20"/>
      <w:lang w:eastAsia="en-GB"/>
    </w:rPr>
  </w:style>
  <w:style w:type="paragraph" w:customStyle="1" w:styleId="Pa1">
    <w:name w:val="Pa1"/>
    <w:basedOn w:val="Default"/>
    <w:next w:val="Default"/>
    <w:rsid w:val="00D01ECA"/>
    <w:pPr>
      <w:spacing w:before="80" w:after="120" w:line="241" w:lineRule="atLeast"/>
    </w:pPr>
    <w:rPr>
      <w:rFonts w:cs="Times New Roman"/>
      <w:color w:val="auto"/>
    </w:rPr>
  </w:style>
  <w:style w:type="paragraph" w:customStyle="1" w:styleId="Pa12">
    <w:name w:val="Pa12"/>
    <w:basedOn w:val="Default"/>
    <w:next w:val="Default"/>
    <w:rsid w:val="00D01ECA"/>
    <w:pPr>
      <w:spacing w:before="380" w:after="360" w:line="361" w:lineRule="atLeast"/>
    </w:pPr>
    <w:rPr>
      <w:rFonts w:cs="Times New Roman"/>
      <w:color w:val="auto"/>
    </w:rPr>
  </w:style>
  <w:style w:type="paragraph" w:customStyle="1" w:styleId="Pa3">
    <w:name w:val="Pa3"/>
    <w:basedOn w:val="Default"/>
    <w:next w:val="Default"/>
    <w:rsid w:val="00D01ECA"/>
    <w:pPr>
      <w:spacing w:after="340" w:line="481" w:lineRule="atLeast"/>
    </w:pPr>
    <w:rPr>
      <w:rFonts w:cs="Times New Roman"/>
      <w:color w:val="auto"/>
    </w:rPr>
  </w:style>
  <w:style w:type="character" w:customStyle="1" w:styleId="A2">
    <w:name w:val="A2"/>
    <w:rsid w:val="00D01ECA"/>
    <w:rPr>
      <w:rFonts w:cs="Arial"/>
      <w:b/>
      <w:bCs/>
      <w:color w:val="000000"/>
    </w:rPr>
  </w:style>
  <w:style w:type="paragraph" w:customStyle="1" w:styleId="Numbered">
    <w:name w:val="Numbered"/>
    <w:basedOn w:val="Normal"/>
    <w:rsid w:val="00D01ECA"/>
    <w:pPr>
      <w:numPr>
        <w:numId w:val="3"/>
      </w:numPr>
      <w:spacing w:after="240"/>
      <w:ind w:left="720"/>
    </w:pPr>
    <w:rPr>
      <w:lang w:val="en-US"/>
    </w:rPr>
  </w:style>
  <w:style w:type="paragraph" w:customStyle="1" w:styleId="DfESBullets">
    <w:name w:val="DfESBullets"/>
    <w:basedOn w:val="Normal"/>
    <w:rsid w:val="00D01ECA"/>
    <w:pPr>
      <w:numPr>
        <w:numId w:val="4"/>
      </w:numPr>
    </w:pPr>
  </w:style>
  <w:style w:type="character" w:styleId="CommentReference">
    <w:name w:val="annotation reference"/>
    <w:semiHidden/>
    <w:rsid w:val="00D01ECA"/>
    <w:rPr>
      <w:sz w:val="16"/>
      <w:szCs w:val="16"/>
    </w:rPr>
  </w:style>
  <w:style w:type="paragraph" w:styleId="CommentText">
    <w:name w:val="annotation text"/>
    <w:basedOn w:val="Normal"/>
    <w:link w:val="CommentTextChar"/>
    <w:semiHidden/>
    <w:rsid w:val="00D01ECA"/>
    <w:rPr>
      <w:sz w:val="20"/>
      <w:szCs w:val="20"/>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D01ECA"/>
    <w:pPr>
      <w:spacing w:after="120" w:line="240" w:lineRule="exact"/>
    </w:pPr>
    <w:rPr>
      <w:rFonts w:ascii="Verdana" w:hAnsi="Verdana"/>
      <w:sz w:val="20"/>
      <w:szCs w:val="20"/>
      <w:lang w:val="en-US"/>
    </w:rPr>
  </w:style>
  <w:style w:type="character" w:styleId="Strong">
    <w:name w:val="Strong"/>
    <w:qFormat/>
    <w:rsid w:val="00D01ECA"/>
    <w:rPr>
      <w:b/>
      <w:bCs/>
    </w:rPr>
  </w:style>
  <w:style w:type="paragraph" w:customStyle="1" w:styleId="number">
    <w:name w:val="number"/>
    <w:basedOn w:val="Normal"/>
    <w:rsid w:val="00D01ECA"/>
    <w:pPr>
      <w:spacing w:before="100" w:beforeAutospacing="1" w:after="100" w:afterAutospacing="1"/>
    </w:pPr>
    <w:rPr>
      <w:lang w:eastAsia="en-GB"/>
    </w:rPr>
  </w:style>
  <w:style w:type="paragraph" w:customStyle="1" w:styleId="Style1">
    <w:name w:val="Style1"/>
    <w:basedOn w:val="Normal"/>
    <w:rsid w:val="00D01ECA"/>
    <w:pPr>
      <w:tabs>
        <w:tab w:val="num" w:pos="1080"/>
        <w:tab w:val="num" w:pos="1192"/>
      </w:tabs>
      <w:spacing w:line="360" w:lineRule="auto"/>
      <w:ind w:left="1080" w:hanging="454"/>
    </w:pPr>
  </w:style>
  <w:style w:type="paragraph" w:customStyle="1" w:styleId="Style2">
    <w:name w:val="Style2"/>
    <w:basedOn w:val="Normal"/>
    <w:rsid w:val="00D01ECA"/>
    <w:pPr>
      <w:tabs>
        <w:tab w:val="num" w:pos="1080"/>
        <w:tab w:val="num" w:pos="1192"/>
      </w:tabs>
      <w:spacing w:line="360" w:lineRule="auto"/>
      <w:ind w:left="1080" w:hanging="454"/>
    </w:pPr>
  </w:style>
  <w:style w:type="numbering" w:customStyle="1" w:styleId="Style3">
    <w:name w:val="Style3"/>
    <w:basedOn w:val="NoList"/>
    <w:rsid w:val="00D01ECA"/>
    <w:pPr>
      <w:numPr>
        <w:numId w:val="5"/>
      </w:numPr>
    </w:pPr>
  </w:style>
  <w:style w:type="paragraph" w:styleId="PlainText">
    <w:name w:val="Plain Text"/>
    <w:basedOn w:val="Normal"/>
    <w:rsid w:val="00D01ECA"/>
    <w:rPr>
      <w:rFonts w:ascii="Courier New" w:hAnsi="Courier New" w:cs="Courier New"/>
      <w:sz w:val="20"/>
      <w:szCs w:val="20"/>
    </w:rPr>
  </w:style>
  <w:style w:type="paragraph" w:customStyle="1" w:styleId="SLIMSbodytext">
    <w:name w:val="SLIMS body text"/>
    <w:rsid w:val="00D01ECA"/>
    <w:pPr>
      <w:suppressAutoHyphens/>
      <w:spacing w:after="80" w:line="260" w:lineRule="exact"/>
    </w:pPr>
    <w:rPr>
      <w:rFonts w:ascii="TradeGothic Light" w:hAnsi="TradeGothic Light"/>
      <w:sz w:val="17"/>
      <w:lang w:eastAsia="en-US"/>
    </w:rPr>
  </w:style>
  <w:style w:type="paragraph" w:customStyle="1" w:styleId="letteredList">
    <w:name w:val="letteredList"/>
    <w:basedOn w:val="Normal"/>
    <w:rsid w:val="00D01ECA"/>
    <w:pPr>
      <w:spacing w:after="60"/>
    </w:pPr>
  </w:style>
  <w:style w:type="paragraph" w:customStyle="1" w:styleId="NormalJustified">
    <w:name w:val="Normal + Justified"/>
    <w:basedOn w:val="Normal"/>
    <w:rsid w:val="00D01ECA"/>
    <w:pPr>
      <w:jc w:val="both"/>
    </w:pPr>
    <w:rPr>
      <w:rFonts w:cs="Arial"/>
    </w:rPr>
  </w:style>
  <w:style w:type="paragraph" w:styleId="Title">
    <w:name w:val="Title"/>
    <w:basedOn w:val="Normal"/>
    <w:link w:val="TitleChar"/>
    <w:qFormat/>
    <w:rsid w:val="00D01ECA"/>
    <w:pPr>
      <w:jc w:val="center"/>
    </w:pPr>
    <w:rPr>
      <w:rFonts w:cs="Arial"/>
      <w:b/>
      <w:bCs/>
    </w:rPr>
  </w:style>
  <w:style w:type="character" w:customStyle="1" w:styleId="style81">
    <w:name w:val="style81"/>
    <w:rsid w:val="00D01ECA"/>
    <w:rPr>
      <w:color w:val="491D7C"/>
      <w:bdr w:val="none" w:sz="0" w:space="0" w:color="auto" w:frame="1"/>
    </w:rPr>
  </w:style>
  <w:style w:type="paragraph" w:customStyle="1" w:styleId="MyNormalNumbered">
    <w:name w:val="MyNormalNumbered"/>
    <w:basedOn w:val="Normal"/>
    <w:rsid w:val="00D01ECA"/>
    <w:pPr>
      <w:numPr>
        <w:numId w:val="6"/>
      </w:numPr>
      <w:spacing w:before="240" w:after="240"/>
    </w:pPr>
    <w:rPr>
      <w:lang w:eastAsia="en-GB"/>
    </w:rPr>
  </w:style>
  <w:style w:type="paragraph" w:customStyle="1" w:styleId="xl34">
    <w:name w:val="xl34"/>
    <w:basedOn w:val="Normal"/>
    <w:rsid w:val="004C211F"/>
    <w:pPr>
      <w:pBdr>
        <w:left w:val="single" w:sz="8" w:space="0" w:color="auto"/>
      </w:pBdr>
      <w:spacing w:before="100" w:beforeAutospacing="1" w:after="100" w:afterAutospacing="1"/>
    </w:pPr>
    <w:rPr>
      <w:rFonts w:ascii="Arial Unicode MS" w:eastAsia="Arial Unicode MS" w:hAnsi="Arial Unicode MS" w:cs="Arial Unicode MS"/>
    </w:rPr>
  </w:style>
  <w:style w:type="character" w:customStyle="1" w:styleId="HeaderChar">
    <w:name w:val="Header Char"/>
    <w:aliases w:val="B&amp;B Header Char"/>
    <w:link w:val="Header"/>
    <w:rsid w:val="0005058D"/>
    <w:rPr>
      <w:rFonts w:ascii="Arial" w:hAnsi="Arial"/>
      <w:sz w:val="24"/>
      <w:szCs w:val="24"/>
      <w:lang w:val="en-GB" w:eastAsia="en-US" w:bidi="ar-SA"/>
    </w:rPr>
  </w:style>
  <w:style w:type="paragraph" w:styleId="CommentSubject">
    <w:name w:val="annotation subject"/>
    <w:basedOn w:val="CommentText"/>
    <w:next w:val="CommentText"/>
    <w:semiHidden/>
    <w:rsid w:val="00983AB4"/>
    <w:rPr>
      <w:b/>
      <w:bCs/>
    </w:rPr>
  </w:style>
  <w:style w:type="character" w:customStyle="1" w:styleId="A3">
    <w:name w:val="A3"/>
    <w:rsid w:val="00D97B7C"/>
    <w:rPr>
      <w:rFonts w:cs="Helvetica 45 Light"/>
      <w:color w:val="000000"/>
      <w:sz w:val="16"/>
      <w:szCs w:val="16"/>
    </w:rPr>
  </w:style>
  <w:style w:type="character" w:customStyle="1" w:styleId="TitleChar">
    <w:name w:val="Title Char"/>
    <w:link w:val="Title"/>
    <w:rsid w:val="00D97B7C"/>
    <w:rPr>
      <w:rFonts w:ascii="Arial" w:hAnsi="Arial" w:cs="Arial"/>
      <w:b/>
      <w:bCs/>
      <w:sz w:val="24"/>
      <w:szCs w:val="24"/>
      <w:lang w:val="en-GB" w:eastAsia="en-US" w:bidi="ar-SA"/>
    </w:rPr>
  </w:style>
  <w:style w:type="character" w:styleId="HTMLAcronym">
    <w:name w:val="HTML Acronym"/>
    <w:basedOn w:val="DefaultParagraphFont"/>
    <w:rsid w:val="00A723B6"/>
  </w:style>
  <w:style w:type="character" w:customStyle="1" w:styleId="FooterChar">
    <w:name w:val="Footer Char"/>
    <w:link w:val="Footer"/>
    <w:semiHidden/>
    <w:rsid w:val="0064684D"/>
    <w:rPr>
      <w:rFonts w:ascii="Arial" w:hAnsi="Arial"/>
      <w:sz w:val="24"/>
      <w:szCs w:val="24"/>
      <w:lang w:val="en-GB" w:eastAsia="en-US" w:bidi="ar-SA"/>
    </w:rPr>
  </w:style>
  <w:style w:type="paragraph" w:customStyle="1" w:styleId="Default1">
    <w:name w:val="Default1"/>
    <w:basedOn w:val="BodyText"/>
    <w:rsid w:val="00B5017C"/>
    <w:pPr>
      <w:tabs>
        <w:tab w:val="num" w:pos="567"/>
      </w:tabs>
      <w:spacing w:after="120" w:line="240" w:lineRule="exact"/>
      <w:ind w:left="567" w:hanging="567"/>
    </w:pPr>
    <w:rPr>
      <w:rFonts w:eastAsia="Arial Unicode MS" w:cs="Arial"/>
    </w:rPr>
  </w:style>
  <w:style w:type="character" w:styleId="HTMLCite">
    <w:name w:val="HTML Cite"/>
    <w:rsid w:val="00A03D34"/>
    <w:rPr>
      <w:i w:val="0"/>
      <w:iCs w:val="0"/>
      <w:color w:val="008000"/>
    </w:rPr>
  </w:style>
  <w:style w:type="paragraph" w:customStyle="1" w:styleId="DefaultParagraphFontPara">
    <w:name w:val="Default Paragraph Font Para"/>
    <w:basedOn w:val="Normal"/>
    <w:rsid w:val="00CE0453"/>
    <w:pPr>
      <w:spacing w:before="60" w:after="120" w:line="240" w:lineRule="exact"/>
    </w:pPr>
    <w:rPr>
      <w:rFonts w:ascii="Verdana" w:hAnsi="Verdana"/>
      <w:sz w:val="20"/>
      <w:szCs w:val="20"/>
      <w:lang w:val="en-US"/>
    </w:rPr>
  </w:style>
  <w:style w:type="paragraph" w:customStyle="1" w:styleId="default0">
    <w:name w:val="default"/>
    <w:basedOn w:val="Normal"/>
    <w:rsid w:val="00DF129C"/>
    <w:pPr>
      <w:spacing w:before="100" w:beforeAutospacing="1" w:after="100" w:afterAutospacing="1"/>
    </w:pPr>
    <w:rPr>
      <w:rFonts w:ascii="Times New Roman" w:hAnsi="Times New Roman"/>
      <w:lang w:eastAsia="en-GB"/>
    </w:rPr>
  </w:style>
  <w:style w:type="paragraph" w:customStyle="1" w:styleId="msolistparagraph0">
    <w:name w:val="msolistparagraph"/>
    <w:basedOn w:val="Normal"/>
    <w:rsid w:val="00D20736"/>
    <w:pPr>
      <w:ind w:left="720"/>
    </w:pPr>
    <w:rPr>
      <w:rFonts w:ascii="Calibri" w:eastAsia="Calibri" w:hAnsi="Calibri"/>
      <w:sz w:val="22"/>
      <w:szCs w:val="22"/>
    </w:rPr>
  </w:style>
  <w:style w:type="paragraph" w:customStyle="1" w:styleId="Pa2">
    <w:name w:val="Pa2"/>
    <w:basedOn w:val="Default"/>
    <w:next w:val="Default"/>
    <w:rsid w:val="00D2263F"/>
    <w:pPr>
      <w:spacing w:line="221" w:lineRule="atLeast"/>
    </w:pPr>
    <w:rPr>
      <w:rFonts w:ascii="FS Me Light" w:eastAsia="MS Mincho" w:hAnsi="FS Me Light" w:cs="Times New Roman"/>
      <w:color w:val="auto"/>
      <w:lang w:eastAsia="ja-JP"/>
    </w:rPr>
  </w:style>
  <w:style w:type="character" w:customStyle="1" w:styleId="inplacedisplayid4siteid0">
    <w:name w:val="inplacedisplayid4siteid0"/>
    <w:basedOn w:val="DefaultParagraphFont"/>
    <w:rsid w:val="005B42B3"/>
  </w:style>
  <w:style w:type="paragraph" w:customStyle="1" w:styleId="CharChar2">
    <w:name w:val="Char Char2"/>
    <w:basedOn w:val="Normal"/>
    <w:rsid w:val="00720BC7"/>
    <w:pPr>
      <w:spacing w:before="60" w:after="120" w:line="240" w:lineRule="exact"/>
    </w:pPr>
    <w:rPr>
      <w:rFonts w:ascii="Verdana" w:hAnsi="Verdana" w:cs="Verdana"/>
      <w:sz w:val="20"/>
      <w:szCs w:val="20"/>
      <w:lang w:val="en-US"/>
    </w:rPr>
  </w:style>
  <w:style w:type="character" w:customStyle="1" w:styleId="CommentTextChar">
    <w:name w:val="Comment Text Char"/>
    <w:basedOn w:val="DefaultParagraphFont"/>
    <w:link w:val="CommentText"/>
    <w:semiHidden/>
    <w:rsid w:val="00A36FB1"/>
    <w:rPr>
      <w:rFonts w:ascii="Arial" w:hAnsi="Arial"/>
      <w:lang w:eastAsia="en-US"/>
    </w:rPr>
  </w:style>
  <w:style w:type="character" w:customStyle="1" w:styleId="ListParagraphChar">
    <w:name w:val="List Paragraph Char"/>
    <w:link w:val="ListParagraph"/>
    <w:uiPriority w:val="34"/>
    <w:locked/>
    <w:rsid w:val="00EB59BF"/>
    <w:rPr>
      <w:rFonts w:ascii="Arial" w:hAnsi="Arial"/>
      <w:sz w:val="24"/>
      <w:szCs w:val="24"/>
      <w:lang w:eastAsia="en-US"/>
    </w:rPr>
  </w:style>
  <w:style w:type="paragraph" w:customStyle="1" w:styleId="CharChar30">
    <w:name w:val="Char Char3"/>
    <w:basedOn w:val="Normal"/>
    <w:rsid w:val="00160CEC"/>
    <w:pPr>
      <w:spacing w:before="60" w:after="12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E6"/>
    <w:rPr>
      <w:rFonts w:ascii="Arial" w:hAnsi="Arial"/>
      <w:sz w:val="24"/>
      <w:szCs w:val="24"/>
      <w:lang w:eastAsia="en-US"/>
    </w:rPr>
  </w:style>
  <w:style w:type="paragraph" w:styleId="Heading1">
    <w:name w:val="heading 1"/>
    <w:basedOn w:val="Normal"/>
    <w:next w:val="Normal"/>
    <w:qFormat/>
    <w:rsid w:val="00D01ECA"/>
    <w:pPr>
      <w:keepNext/>
      <w:tabs>
        <w:tab w:val="num" w:pos="432"/>
      </w:tabs>
      <w:spacing w:before="240" w:after="60"/>
      <w:ind w:left="432" w:hanging="432"/>
      <w:outlineLvl w:val="0"/>
    </w:pPr>
    <w:rPr>
      <w:b/>
      <w:szCs w:val="20"/>
    </w:rPr>
  </w:style>
  <w:style w:type="paragraph" w:styleId="Heading2">
    <w:name w:val="heading 2"/>
    <w:aliases w:val="Para Heading,Level 2"/>
    <w:basedOn w:val="Normal"/>
    <w:next w:val="Normal"/>
    <w:qFormat/>
    <w:rsid w:val="000F063F"/>
    <w:pPr>
      <w:keepNext/>
      <w:overflowPunct w:val="0"/>
      <w:autoSpaceDE w:val="0"/>
      <w:autoSpaceDN w:val="0"/>
      <w:adjustRightInd w:val="0"/>
      <w:textAlignment w:val="baseline"/>
      <w:outlineLvl w:val="1"/>
    </w:pPr>
    <w:rPr>
      <w:rFonts w:cs="Arial"/>
      <w:b/>
      <w:bCs/>
      <w:szCs w:val="20"/>
      <w:lang w:val="en-AU"/>
    </w:rPr>
  </w:style>
  <w:style w:type="paragraph" w:styleId="Heading3">
    <w:name w:val="heading 3"/>
    <w:aliases w:val="Level 3"/>
    <w:basedOn w:val="Normal"/>
    <w:next w:val="Normal"/>
    <w:qFormat/>
    <w:rsid w:val="00D01ECA"/>
    <w:pPr>
      <w:keepNext/>
      <w:tabs>
        <w:tab w:val="num" w:pos="720"/>
      </w:tabs>
      <w:spacing w:before="240" w:after="60"/>
      <w:ind w:left="720" w:hanging="720"/>
      <w:outlineLvl w:val="2"/>
    </w:pPr>
    <w:rPr>
      <w:b/>
      <w:szCs w:val="20"/>
    </w:rPr>
  </w:style>
  <w:style w:type="paragraph" w:styleId="Heading4">
    <w:name w:val="heading 4"/>
    <w:basedOn w:val="Normal"/>
    <w:next w:val="Normal"/>
    <w:qFormat/>
    <w:rsid w:val="00D01ECA"/>
    <w:pPr>
      <w:keepNext/>
      <w:tabs>
        <w:tab w:val="num" w:pos="864"/>
      </w:tabs>
      <w:ind w:left="864" w:hanging="864"/>
      <w:jc w:val="right"/>
      <w:outlineLvl w:val="3"/>
    </w:pPr>
    <w:rPr>
      <w:b/>
      <w:sz w:val="28"/>
      <w:szCs w:val="20"/>
    </w:rPr>
  </w:style>
  <w:style w:type="paragraph" w:styleId="Heading5">
    <w:name w:val="heading 5"/>
    <w:basedOn w:val="Normal"/>
    <w:next w:val="Normal"/>
    <w:qFormat/>
    <w:rsid w:val="00D01ECA"/>
    <w:pPr>
      <w:keepNext/>
      <w:tabs>
        <w:tab w:val="num" w:pos="1008"/>
      </w:tabs>
      <w:ind w:left="1008" w:hanging="1008"/>
      <w:jc w:val="right"/>
      <w:outlineLvl w:val="4"/>
    </w:pPr>
    <w:rPr>
      <w:sz w:val="28"/>
      <w:szCs w:val="20"/>
    </w:rPr>
  </w:style>
  <w:style w:type="paragraph" w:styleId="Heading6">
    <w:name w:val="heading 6"/>
    <w:basedOn w:val="Normal"/>
    <w:next w:val="Normal"/>
    <w:qFormat/>
    <w:rsid w:val="00D01ECA"/>
    <w:pPr>
      <w:keepNext/>
      <w:tabs>
        <w:tab w:val="num" w:pos="1152"/>
      </w:tabs>
      <w:ind w:left="1152" w:hanging="1152"/>
      <w:jc w:val="right"/>
      <w:outlineLvl w:val="5"/>
    </w:pPr>
    <w:rPr>
      <w:b/>
      <w:sz w:val="32"/>
      <w:szCs w:val="20"/>
    </w:rPr>
  </w:style>
  <w:style w:type="paragraph" w:styleId="Heading7">
    <w:name w:val="heading 7"/>
    <w:basedOn w:val="Normal"/>
    <w:next w:val="Normal"/>
    <w:qFormat/>
    <w:rsid w:val="00D01ECA"/>
    <w:pPr>
      <w:tabs>
        <w:tab w:val="num" w:pos="1296"/>
      </w:tabs>
      <w:spacing w:before="240" w:after="60"/>
      <w:ind w:left="1296" w:hanging="1296"/>
      <w:outlineLvl w:val="6"/>
    </w:pPr>
  </w:style>
  <w:style w:type="paragraph" w:styleId="Heading8">
    <w:name w:val="heading 8"/>
    <w:basedOn w:val="Normal"/>
    <w:next w:val="Normal"/>
    <w:qFormat/>
    <w:rsid w:val="00D01ECA"/>
    <w:pPr>
      <w:tabs>
        <w:tab w:val="num" w:pos="1440"/>
      </w:tabs>
      <w:spacing w:before="240" w:after="60"/>
      <w:ind w:left="1440" w:hanging="1440"/>
      <w:outlineLvl w:val="7"/>
    </w:pPr>
    <w:rPr>
      <w:i/>
      <w:iCs/>
    </w:rPr>
  </w:style>
  <w:style w:type="paragraph" w:styleId="Heading9">
    <w:name w:val="heading 9"/>
    <w:basedOn w:val="Normal"/>
    <w:next w:val="Normal"/>
    <w:qFormat/>
    <w:rsid w:val="00D01EC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
    <w:name w:val="Char Char3"/>
    <w:basedOn w:val="Normal"/>
    <w:rsid w:val="00422074"/>
    <w:pPr>
      <w:spacing w:before="60" w:after="120" w:line="240" w:lineRule="exact"/>
    </w:pPr>
    <w:rPr>
      <w:rFonts w:ascii="Verdana" w:hAnsi="Verdana"/>
      <w:sz w:val="20"/>
      <w:szCs w:val="20"/>
      <w:lang w:val="en-US"/>
    </w:rPr>
  </w:style>
  <w:style w:type="paragraph" w:customStyle="1" w:styleId="Default">
    <w:name w:val="Default"/>
    <w:rsid w:val="00FF63D3"/>
    <w:pPr>
      <w:autoSpaceDE w:val="0"/>
      <w:autoSpaceDN w:val="0"/>
      <w:adjustRightInd w:val="0"/>
    </w:pPr>
    <w:rPr>
      <w:rFonts w:ascii="Arial" w:hAnsi="Arial" w:cs="Arial"/>
      <w:color w:val="000000"/>
      <w:sz w:val="24"/>
      <w:szCs w:val="24"/>
    </w:rPr>
  </w:style>
  <w:style w:type="paragraph" w:styleId="Header">
    <w:name w:val="header"/>
    <w:aliases w:val="B&amp;B Header"/>
    <w:basedOn w:val="Normal"/>
    <w:link w:val="HeaderChar"/>
    <w:rsid w:val="00970455"/>
    <w:pPr>
      <w:tabs>
        <w:tab w:val="center" w:pos="4153"/>
        <w:tab w:val="right" w:pos="8306"/>
      </w:tabs>
    </w:pPr>
  </w:style>
  <w:style w:type="paragraph" w:styleId="Footer">
    <w:name w:val="footer"/>
    <w:basedOn w:val="Normal"/>
    <w:link w:val="FooterChar"/>
    <w:rsid w:val="00970455"/>
    <w:pPr>
      <w:tabs>
        <w:tab w:val="center" w:pos="4153"/>
        <w:tab w:val="right" w:pos="8306"/>
      </w:tabs>
    </w:pPr>
  </w:style>
  <w:style w:type="character" w:styleId="PageNumber">
    <w:name w:val="page number"/>
    <w:basedOn w:val="DefaultParagraphFont"/>
    <w:rsid w:val="00DF0C2B"/>
  </w:style>
  <w:style w:type="paragraph" w:styleId="BodyText">
    <w:name w:val="Body Text"/>
    <w:basedOn w:val="Normal"/>
    <w:rsid w:val="005E6E0C"/>
    <w:pPr>
      <w:spacing w:after="240"/>
    </w:pPr>
    <w:rPr>
      <w:szCs w:val="20"/>
    </w:rPr>
  </w:style>
  <w:style w:type="character" w:styleId="Emphasis">
    <w:name w:val="Emphasis"/>
    <w:qFormat/>
    <w:rsid w:val="00755460"/>
    <w:rPr>
      <w:b/>
      <w:bCs/>
      <w:i w:val="0"/>
      <w:iCs w:val="0"/>
    </w:rPr>
  </w:style>
  <w:style w:type="character" w:styleId="Hyperlink">
    <w:name w:val="Hyperlink"/>
    <w:rsid w:val="000F063F"/>
    <w:rPr>
      <w:color w:val="0000FF"/>
      <w:u w:val="single"/>
    </w:rPr>
  </w:style>
  <w:style w:type="paragraph" w:styleId="NormalWeb">
    <w:name w:val="Normal (Web)"/>
    <w:basedOn w:val="Normal"/>
    <w:uiPriority w:val="99"/>
    <w:rsid w:val="00AE150C"/>
    <w:pPr>
      <w:spacing w:before="100" w:beforeAutospacing="1" w:after="100" w:afterAutospacing="1"/>
    </w:pPr>
    <w:rPr>
      <w:lang w:eastAsia="en-GB"/>
    </w:rPr>
  </w:style>
  <w:style w:type="paragraph" w:styleId="FootnoteText">
    <w:name w:val="footnote text"/>
    <w:aliases w:val="Footnote Text Char"/>
    <w:basedOn w:val="Normal"/>
    <w:semiHidden/>
    <w:rsid w:val="00F61134"/>
    <w:pPr>
      <w:ind w:left="720"/>
    </w:pPr>
    <w:rPr>
      <w:sz w:val="20"/>
      <w:szCs w:val="20"/>
      <w:lang w:eastAsia="en-GB"/>
    </w:rPr>
  </w:style>
  <w:style w:type="character" w:styleId="FootnoteReference">
    <w:name w:val="footnote reference"/>
    <w:semiHidden/>
    <w:rsid w:val="00F61134"/>
    <w:rPr>
      <w:vertAlign w:val="superscript"/>
    </w:rPr>
  </w:style>
  <w:style w:type="paragraph" w:customStyle="1" w:styleId="Paragraph">
    <w:name w:val="Paragraph"/>
    <w:basedOn w:val="Normal"/>
    <w:autoRedefine/>
    <w:rsid w:val="00D01ECA"/>
    <w:pPr>
      <w:jc w:val="center"/>
    </w:pPr>
    <w:rPr>
      <w:b/>
      <w:szCs w:val="20"/>
    </w:rPr>
  </w:style>
  <w:style w:type="paragraph" w:styleId="BodyTextIndent">
    <w:name w:val="Body Text Indent"/>
    <w:basedOn w:val="Normal"/>
    <w:rsid w:val="00D01ECA"/>
    <w:pPr>
      <w:ind w:left="360"/>
    </w:pPr>
    <w:rPr>
      <w:rFonts w:cs="Arial"/>
    </w:rPr>
  </w:style>
  <w:style w:type="paragraph" w:styleId="BodyText2">
    <w:name w:val="Body Text 2"/>
    <w:basedOn w:val="Normal"/>
    <w:rsid w:val="00D01ECA"/>
    <w:pPr>
      <w:spacing w:after="120" w:line="480" w:lineRule="auto"/>
      <w:ind w:left="720"/>
    </w:pPr>
    <w:rPr>
      <w:lang w:eastAsia="en-GB"/>
    </w:rPr>
  </w:style>
  <w:style w:type="paragraph" w:styleId="BodyTextIndent2">
    <w:name w:val="Body Text Indent 2"/>
    <w:basedOn w:val="Normal"/>
    <w:rsid w:val="00D01ECA"/>
    <w:pPr>
      <w:spacing w:after="120" w:line="480" w:lineRule="auto"/>
      <w:ind w:left="283"/>
    </w:pPr>
    <w:rPr>
      <w:lang w:eastAsia="en-GB"/>
    </w:rPr>
  </w:style>
  <w:style w:type="paragraph" w:styleId="BodyTextIndent3">
    <w:name w:val="Body Text Indent 3"/>
    <w:basedOn w:val="Normal"/>
    <w:rsid w:val="00D01ECA"/>
    <w:pPr>
      <w:ind w:hanging="720"/>
    </w:pPr>
    <w:rPr>
      <w:rFonts w:cs="Arial"/>
      <w:color w:val="000000"/>
      <w:szCs w:val="20"/>
    </w:rPr>
  </w:style>
  <w:style w:type="paragraph" w:customStyle="1" w:styleId="addbullet">
    <w:name w:val="add bullet"/>
    <w:basedOn w:val="Normal"/>
    <w:rsid w:val="00D01ECA"/>
    <w:pPr>
      <w:tabs>
        <w:tab w:val="num" w:pos="2520"/>
      </w:tabs>
      <w:spacing w:before="120" w:after="120"/>
      <w:ind w:left="2520" w:hanging="360"/>
    </w:pPr>
    <w:rPr>
      <w:rFonts w:cs="Arial"/>
      <w:noProof/>
      <w:szCs w:val="20"/>
    </w:rPr>
  </w:style>
  <w:style w:type="paragraph" w:styleId="BodyText3">
    <w:name w:val="Body Text 3"/>
    <w:basedOn w:val="Normal"/>
    <w:rsid w:val="00D01ECA"/>
    <w:pPr>
      <w:jc w:val="both"/>
    </w:pPr>
    <w:rPr>
      <w:rFonts w:cs="Arial"/>
      <w:b/>
      <w:bCs/>
    </w:rPr>
  </w:style>
  <w:style w:type="character" w:styleId="FollowedHyperlink">
    <w:name w:val="FollowedHyperlink"/>
    <w:rsid w:val="00D01ECA"/>
    <w:rPr>
      <w:color w:val="800080"/>
      <w:u w:val="single"/>
    </w:rPr>
  </w:style>
  <w:style w:type="character" w:styleId="EndnoteReference">
    <w:name w:val="endnote reference"/>
    <w:semiHidden/>
    <w:rsid w:val="00D01ECA"/>
    <w:rPr>
      <w:vertAlign w:val="superscript"/>
    </w:rPr>
  </w:style>
  <w:style w:type="paragraph" w:styleId="EndnoteText">
    <w:name w:val="endnote text"/>
    <w:basedOn w:val="Normal"/>
    <w:semiHidden/>
    <w:rsid w:val="00D01ECA"/>
    <w:rPr>
      <w:sz w:val="20"/>
      <w:szCs w:val="20"/>
    </w:rPr>
  </w:style>
  <w:style w:type="paragraph" w:styleId="BalloonText">
    <w:name w:val="Balloon Text"/>
    <w:basedOn w:val="Normal"/>
    <w:semiHidden/>
    <w:rsid w:val="00D01ECA"/>
    <w:rPr>
      <w:rFonts w:ascii="Tahoma" w:hAnsi="Tahoma" w:cs="Tahoma"/>
      <w:sz w:val="16"/>
      <w:szCs w:val="16"/>
    </w:rPr>
  </w:style>
  <w:style w:type="paragraph" w:styleId="ListBullet4">
    <w:name w:val="List Bullet 4"/>
    <w:basedOn w:val="Normal"/>
    <w:autoRedefine/>
    <w:rsid w:val="00D01ECA"/>
    <w:pPr>
      <w:numPr>
        <w:numId w:val="1"/>
      </w:numPr>
      <w:ind w:firstLine="108"/>
    </w:pPr>
  </w:style>
  <w:style w:type="character" w:customStyle="1" w:styleId="indent">
    <w:name w:val="indent"/>
    <w:rsid w:val="00D01ECA"/>
    <w:rPr>
      <w:rFonts w:ascii="Arial" w:hAnsi="Arial" w:cs="Arial" w:hint="default"/>
      <w:b w:val="0"/>
      <w:bCs w:val="0"/>
      <w:sz w:val="20"/>
      <w:szCs w:val="20"/>
    </w:rPr>
  </w:style>
  <w:style w:type="character" w:customStyle="1" w:styleId="EmailStyle25">
    <w:name w:val="EmailStyle25"/>
    <w:rsid w:val="00D01ECA"/>
    <w:rPr>
      <w:rFonts w:ascii="Arial" w:hAnsi="Arial" w:cs="Arial"/>
      <w:color w:val="000080"/>
      <w:sz w:val="20"/>
      <w:szCs w:val="20"/>
    </w:rPr>
  </w:style>
  <w:style w:type="character" w:customStyle="1" w:styleId="indent2">
    <w:name w:val="indent2"/>
    <w:rsid w:val="00D01ECA"/>
    <w:rPr>
      <w:rFonts w:ascii="Arial" w:hAnsi="Arial" w:cs="Arial" w:hint="default"/>
      <w:b w:val="0"/>
      <w:bCs w:val="0"/>
      <w:sz w:val="20"/>
      <w:szCs w:val="20"/>
    </w:rPr>
  </w:style>
  <w:style w:type="paragraph" w:styleId="Subtitle">
    <w:name w:val="Subtitle"/>
    <w:basedOn w:val="Normal"/>
    <w:qFormat/>
    <w:rsid w:val="00D01ECA"/>
    <w:pPr>
      <w:jc w:val="center"/>
    </w:pPr>
    <w:rPr>
      <w:b/>
      <w:bCs/>
      <w:szCs w:val="20"/>
      <w:u w:val="single"/>
    </w:rPr>
  </w:style>
  <w:style w:type="paragraph" w:styleId="ListNumber">
    <w:name w:val="List Number"/>
    <w:basedOn w:val="Normal"/>
    <w:rsid w:val="00D01ECA"/>
    <w:pPr>
      <w:numPr>
        <w:numId w:val="2"/>
      </w:numPr>
    </w:pPr>
    <w:rPr>
      <w:rFonts w:cs="Arial"/>
    </w:rPr>
  </w:style>
  <w:style w:type="paragraph" w:styleId="BlockText">
    <w:name w:val="Block Text"/>
    <w:basedOn w:val="Normal"/>
    <w:rsid w:val="00D01ECA"/>
    <w:pPr>
      <w:overflowPunct w:val="0"/>
      <w:autoSpaceDE w:val="0"/>
      <w:autoSpaceDN w:val="0"/>
      <w:adjustRightInd w:val="0"/>
      <w:ind w:left="720" w:right="-625" w:hanging="720"/>
      <w:textAlignment w:val="baseline"/>
    </w:pPr>
    <w:rPr>
      <w:sz w:val="20"/>
      <w:szCs w:val="20"/>
    </w:rPr>
  </w:style>
  <w:style w:type="paragraph" w:styleId="ListParagraph">
    <w:name w:val="List Paragraph"/>
    <w:basedOn w:val="Normal"/>
    <w:link w:val="ListParagraphChar"/>
    <w:uiPriority w:val="34"/>
    <w:qFormat/>
    <w:rsid w:val="00402D61"/>
    <w:pPr>
      <w:ind w:left="720"/>
    </w:pPr>
  </w:style>
  <w:style w:type="paragraph" w:customStyle="1" w:styleId="Style">
    <w:name w:val="Style"/>
    <w:basedOn w:val="FootnoteText"/>
    <w:rsid w:val="00D01ECA"/>
    <w:pPr>
      <w:spacing w:before="120"/>
      <w:ind w:left="0"/>
      <w:jc w:val="both"/>
    </w:pPr>
    <w:rPr>
      <w:bCs/>
      <w:lang w:eastAsia="en-US"/>
    </w:rPr>
  </w:style>
  <w:style w:type="character" w:customStyle="1" w:styleId="commontext1">
    <w:name w:val="commontext1"/>
    <w:rsid w:val="00D01ECA"/>
    <w:rPr>
      <w:b w:val="0"/>
      <w:bCs w:val="0"/>
    </w:rPr>
  </w:style>
  <w:style w:type="character" w:customStyle="1" w:styleId="text2">
    <w:name w:val="text2"/>
    <w:basedOn w:val="DefaultParagraphFont"/>
    <w:rsid w:val="00D01ECA"/>
  </w:style>
  <w:style w:type="character" w:customStyle="1" w:styleId="text1">
    <w:name w:val="text1"/>
    <w:rsid w:val="00D01ECA"/>
    <w:rPr>
      <w:rFonts w:ascii="Arial" w:hAnsi="Arial" w:cs="Arial" w:hint="default"/>
      <w:b w:val="0"/>
      <w:bCs w:val="0"/>
      <w:i w:val="0"/>
      <w:iCs w:val="0"/>
      <w:color w:val="000000"/>
      <w:sz w:val="24"/>
      <w:szCs w:val="24"/>
    </w:rPr>
  </w:style>
  <w:style w:type="paragraph" w:styleId="ListBullet">
    <w:name w:val="List Bullet"/>
    <w:basedOn w:val="Normal"/>
    <w:autoRedefine/>
    <w:rsid w:val="00165886"/>
    <w:pPr>
      <w:numPr>
        <w:numId w:val="23"/>
      </w:numPr>
    </w:pPr>
  </w:style>
  <w:style w:type="paragraph" w:customStyle="1" w:styleId="NormalWeb1">
    <w:name w:val="Normal (Web)1"/>
    <w:basedOn w:val="Normal"/>
    <w:rsid w:val="00D01ECA"/>
    <w:pPr>
      <w:spacing w:after="156"/>
    </w:pPr>
    <w:rPr>
      <w:lang w:eastAsia="en-GB"/>
    </w:rPr>
  </w:style>
  <w:style w:type="paragraph" w:customStyle="1" w:styleId="Text">
    <w:name w:val="Text"/>
    <w:basedOn w:val="Normal"/>
    <w:rsid w:val="00D01ECA"/>
    <w:pPr>
      <w:spacing w:line="480" w:lineRule="auto"/>
      <w:jc w:val="both"/>
    </w:pPr>
    <w:rPr>
      <w:lang w:eastAsia="en-GB"/>
    </w:rPr>
  </w:style>
  <w:style w:type="paragraph" w:customStyle="1" w:styleId="Pa13">
    <w:name w:val="Pa13"/>
    <w:basedOn w:val="Normal"/>
    <w:next w:val="Normal"/>
    <w:rsid w:val="00D01ECA"/>
    <w:pPr>
      <w:autoSpaceDE w:val="0"/>
      <w:autoSpaceDN w:val="0"/>
      <w:adjustRightInd w:val="0"/>
      <w:spacing w:line="241" w:lineRule="atLeast"/>
    </w:pPr>
    <w:rPr>
      <w:lang w:eastAsia="en-GB"/>
    </w:rPr>
  </w:style>
  <w:style w:type="paragraph" w:customStyle="1" w:styleId="Pa14">
    <w:name w:val="Pa14"/>
    <w:basedOn w:val="Normal"/>
    <w:next w:val="Normal"/>
    <w:rsid w:val="00D01ECA"/>
    <w:pPr>
      <w:autoSpaceDE w:val="0"/>
      <w:autoSpaceDN w:val="0"/>
      <w:adjustRightInd w:val="0"/>
      <w:spacing w:line="241" w:lineRule="atLeast"/>
    </w:pPr>
    <w:rPr>
      <w:lang w:eastAsia="en-GB"/>
    </w:rPr>
  </w:style>
  <w:style w:type="table" w:styleId="TableGrid">
    <w:name w:val="Table Grid"/>
    <w:basedOn w:val="TableNormal"/>
    <w:rsid w:val="00D01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D01ECA"/>
    <w:pPr>
      <w:tabs>
        <w:tab w:val="num" w:pos="754"/>
      </w:tabs>
      <w:spacing w:after="240"/>
      <w:ind w:left="754" w:hanging="357"/>
      <w:jc w:val="both"/>
      <w:outlineLvl w:val="0"/>
    </w:pPr>
    <w:rPr>
      <w:rFonts w:cs="Arial"/>
      <w:sz w:val="20"/>
      <w:szCs w:val="20"/>
      <w:lang w:eastAsia="en-GB"/>
    </w:rPr>
  </w:style>
  <w:style w:type="paragraph" w:customStyle="1" w:styleId="Pa1">
    <w:name w:val="Pa1"/>
    <w:basedOn w:val="Default"/>
    <w:next w:val="Default"/>
    <w:rsid w:val="00D01ECA"/>
    <w:pPr>
      <w:spacing w:before="80" w:after="120" w:line="241" w:lineRule="atLeast"/>
    </w:pPr>
    <w:rPr>
      <w:rFonts w:cs="Times New Roman"/>
      <w:color w:val="auto"/>
    </w:rPr>
  </w:style>
  <w:style w:type="paragraph" w:customStyle="1" w:styleId="Pa12">
    <w:name w:val="Pa12"/>
    <w:basedOn w:val="Default"/>
    <w:next w:val="Default"/>
    <w:rsid w:val="00D01ECA"/>
    <w:pPr>
      <w:spacing w:before="380" w:after="360" w:line="361" w:lineRule="atLeast"/>
    </w:pPr>
    <w:rPr>
      <w:rFonts w:cs="Times New Roman"/>
      <w:color w:val="auto"/>
    </w:rPr>
  </w:style>
  <w:style w:type="paragraph" w:customStyle="1" w:styleId="Pa3">
    <w:name w:val="Pa3"/>
    <w:basedOn w:val="Default"/>
    <w:next w:val="Default"/>
    <w:rsid w:val="00D01ECA"/>
    <w:pPr>
      <w:spacing w:after="340" w:line="481" w:lineRule="atLeast"/>
    </w:pPr>
    <w:rPr>
      <w:rFonts w:cs="Times New Roman"/>
      <w:color w:val="auto"/>
    </w:rPr>
  </w:style>
  <w:style w:type="character" w:customStyle="1" w:styleId="A2">
    <w:name w:val="A2"/>
    <w:rsid w:val="00D01ECA"/>
    <w:rPr>
      <w:rFonts w:cs="Arial"/>
      <w:b/>
      <w:bCs/>
      <w:color w:val="000000"/>
    </w:rPr>
  </w:style>
  <w:style w:type="paragraph" w:customStyle="1" w:styleId="Numbered">
    <w:name w:val="Numbered"/>
    <w:basedOn w:val="Normal"/>
    <w:rsid w:val="00D01ECA"/>
    <w:pPr>
      <w:numPr>
        <w:numId w:val="3"/>
      </w:numPr>
      <w:spacing w:after="240"/>
      <w:ind w:left="720"/>
    </w:pPr>
    <w:rPr>
      <w:lang w:val="en-US"/>
    </w:rPr>
  </w:style>
  <w:style w:type="paragraph" w:customStyle="1" w:styleId="DfESBullets">
    <w:name w:val="DfESBullets"/>
    <w:basedOn w:val="Normal"/>
    <w:rsid w:val="00D01ECA"/>
    <w:pPr>
      <w:numPr>
        <w:numId w:val="4"/>
      </w:numPr>
    </w:pPr>
  </w:style>
  <w:style w:type="character" w:styleId="CommentReference">
    <w:name w:val="annotation reference"/>
    <w:semiHidden/>
    <w:rsid w:val="00D01ECA"/>
    <w:rPr>
      <w:sz w:val="16"/>
      <w:szCs w:val="16"/>
    </w:rPr>
  </w:style>
  <w:style w:type="paragraph" w:styleId="CommentText">
    <w:name w:val="annotation text"/>
    <w:basedOn w:val="Normal"/>
    <w:link w:val="CommentTextChar"/>
    <w:semiHidden/>
    <w:rsid w:val="00D01ECA"/>
    <w:rPr>
      <w:sz w:val="20"/>
      <w:szCs w:val="20"/>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D01ECA"/>
    <w:pPr>
      <w:spacing w:after="120" w:line="240" w:lineRule="exact"/>
    </w:pPr>
    <w:rPr>
      <w:rFonts w:ascii="Verdana" w:hAnsi="Verdana"/>
      <w:sz w:val="20"/>
      <w:szCs w:val="20"/>
      <w:lang w:val="en-US"/>
    </w:rPr>
  </w:style>
  <w:style w:type="character" w:styleId="Strong">
    <w:name w:val="Strong"/>
    <w:qFormat/>
    <w:rsid w:val="00D01ECA"/>
    <w:rPr>
      <w:b/>
      <w:bCs/>
    </w:rPr>
  </w:style>
  <w:style w:type="paragraph" w:customStyle="1" w:styleId="number">
    <w:name w:val="number"/>
    <w:basedOn w:val="Normal"/>
    <w:rsid w:val="00D01ECA"/>
    <w:pPr>
      <w:spacing w:before="100" w:beforeAutospacing="1" w:after="100" w:afterAutospacing="1"/>
    </w:pPr>
    <w:rPr>
      <w:lang w:eastAsia="en-GB"/>
    </w:rPr>
  </w:style>
  <w:style w:type="paragraph" w:customStyle="1" w:styleId="Style1">
    <w:name w:val="Style1"/>
    <w:basedOn w:val="Normal"/>
    <w:rsid w:val="00D01ECA"/>
    <w:pPr>
      <w:tabs>
        <w:tab w:val="num" w:pos="1080"/>
        <w:tab w:val="num" w:pos="1192"/>
      </w:tabs>
      <w:spacing w:line="360" w:lineRule="auto"/>
      <w:ind w:left="1080" w:hanging="454"/>
    </w:pPr>
  </w:style>
  <w:style w:type="paragraph" w:customStyle="1" w:styleId="Style2">
    <w:name w:val="Style2"/>
    <w:basedOn w:val="Normal"/>
    <w:rsid w:val="00D01ECA"/>
    <w:pPr>
      <w:tabs>
        <w:tab w:val="num" w:pos="1080"/>
        <w:tab w:val="num" w:pos="1192"/>
      </w:tabs>
      <w:spacing w:line="360" w:lineRule="auto"/>
      <w:ind w:left="1080" w:hanging="454"/>
    </w:pPr>
  </w:style>
  <w:style w:type="numbering" w:customStyle="1" w:styleId="Style3">
    <w:name w:val="Style3"/>
    <w:basedOn w:val="NoList"/>
    <w:rsid w:val="00D01ECA"/>
    <w:pPr>
      <w:numPr>
        <w:numId w:val="5"/>
      </w:numPr>
    </w:pPr>
  </w:style>
  <w:style w:type="paragraph" w:styleId="PlainText">
    <w:name w:val="Plain Text"/>
    <w:basedOn w:val="Normal"/>
    <w:rsid w:val="00D01ECA"/>
    <w:rPr>
      <w:rFonts w:ascii="Courier New" w:hAnsi="Courier New" w:cs="Courier New"/>
      <w:sz w:val="20"/>
      <w:szCs w:val="20"/>
    </w:rPr>
  </w:style>
  <w:style w:type="paragraph" w:customStyle="1" w:styleId="SLIMSbodytext">
    <w:name w:val="SLIMS body text"/>
    <w:rsid w:val="00D01ECA"/>
    <w:pPr>
      <w:suppressAutoHyphens/>
      <w:spacing w:after="80" w:line="260" w:lineRule="exact"/>
    </w:pPr>
    <w:rPr>
      <w:rFonts w:ascii="TradeGothic Light" w:hAnsi="TradeGothic Light"/>
      <w:sz w:val="17"/>
      <w:lang w:eastAsia="en-US"/>
    </w:rPr>
  </w:style>
  <w:style w:type="paragraph" w:customStyle="1" w:styleId="letteredList">
    <w:name w:val="letteredList"/>
    <w:basedOn w:val="Normal"/>
    <w:rsid w:val="00D01ECA"/>
    <w:pPr>
      <w:spacing w:after="60"/>
    </w:pPr>
  </w:style>
  <w:style w:type="paragraph" w:customStyle="1" w:styleId="NormalJustified">
    <w:name w:val="Normal + Justified"/>
    <w:basedOn w:val="Normal"/>
    <w:rsid w:val="00D01ECA"/>
    <w:pPr>
      <w:jc w:val="both"/>
    </w:pPr>
    <w:rPr>
      <w:rFonts w:cs="Arial"/>
    </w:rPr>
  </w:style>
  <w:style w:type="paragraph" w:styleId="Title">
    <w:name w:val="Title"/>
    <w:basedOn w:val="Normal"/>
    <w:link w:val="TitleChar"/>
    <w:qFormat/>
    <w:rsid w:val="00D01ECA"/>
    <w:pPr>
      <w:jc w:val="center"/>
    </w:pPr>
    <w:rPr>
      <w:rFonts w:cs="Arial"/>
      <w:b/>
      <w:bCs/>
    </w:rPr>
  </w:style>
  <w:style w:type="character" w:customStyle="1" w:styleId="style81">
    <w:name w:val="style81"/>
    <w:rsid w:val="00D01ECA"/>
    <w:rPr>
      <w:color w:val="491D7C"/>
      <w:bdr w:val="none" w:sz="0" w:space="0" w:color="auto" w:frame="1"/>
    </w:rPr>
  </w:style>
  <w:style w:type="paragraph" w:customStyle="1" w:styleId="MyNormalNumbered">
    <w:name w:val="MyNormalNumbered"/>
    <w:basedOn w:val="Normal"/>
    <w:rsid w:val="00D01ECA"/>
    <w:pPr>
      <w:numPr>
        <w:numId w:val="6"/>
      </w:numPr>
      <w:spacing w:before="240" w:after="240"/>
    </w:pPr>
    <w:rPr>
      <w:lang w:eastAsia="en-GB"/>
    </w:rPr>
  </w:style>
  <w:style w:type="paragraph" w:customStyle="1" w:styleId="xl34">
    <w:name w:val="xl34"/>
    <w:basedOn w:val="Normal"/>
    <w:rsid w:val="004C211F"/>
    <w:pPr>
      <w:pBdr>
        <w:left w:val="single" w:sz="8" w:space="0" w:color="auto"/>
      </w:pBdr>
      <w:spacing w:before="100" w:beforeAutospacing="1" w:after="100" w:afterAutospacing="1"/>
    </w:pPr>
    <w:rPr>
      <w:rFonts w:ascii="Arial Unicode MS" w:eastAsia="Arial Unicode MS" w:hAnsi="Arial Unicode MS" w:cs="Arial Unicode MS"/>
    </w:rPr>
  </w:style>
  <w:style w:type="character" w:customStyle="1" w:styleId="HeaderChar">
    <w:name w:val="Header Char"/>
    <w:aliases w:val="B&amp;B Header Char"/>
    <w:link w:val="Header"/>
    <w:rsid w:val="0005058D"/>
    <w:rPr>
      <w:rFonts w:ascii="Arial" w:hAnsi="Arial"/>
      <w:sz w:val="24"/>
      <w:szCs w:val="24"/>
      <w:lang w:val="en-GB" w:eastAsia="en-US" w:bidi="ar-SA"/>
    </w:rPr>
  </w:style>
  <w:style w:type="paragraph" w:styleId="CommentSubject">
    <w:name w:val="annotation subject"/>
    <w:basedOn w:val="CommentText"/>
    <w:next w:val="CommentText"/>
    <w:semiHidden/>
    <w:rsid w:val="00983AB4"/>
    <w:rPr>
      <w:b/>
      <w:bCs/>
    </w:rPr>
  </w:style>
  <w:style w:type="character" w:customStyle="1" w:styleId="A3">
    <w:name w:val="A3"/>
    <w:rsid w:val="00D97B7C"/>
    <w:rPr>
      <w:rFonts w:cs="Helvetica 45 Light"/>
      <w:color w:val="000000"/>
      <w:sz w:val="16"/>
      <w:szCs w:val="16"/>
    </w:rPr>
  </w:style>
  <w:style w:type="character" w:customStyle="1" w:styleId="TitleChar">
    <w:name w:val="Title Char"/>
    <w:link w:val="Title"/>
    <w:rsid w:val="00D97B7C"/>
    <w:rPr>
      <w:rFonts w:ascii="Arial" w:hAnsi="Arial" w:cs="Arial"/>
      <w:b/>
      <w:bCs/>
      <w:sz w:val="24"/>
      <w:szCs w:val="24"/>
      <w:lang w:val="en-GB" w:eastAsia="en-US" w:bidi="ar-SA"/>
    </w:rPr>
  </w:style>
  <w:style w:type="character" w:styleId="HTMLAcronym">
    <w:name w:val="HTML Acronym"/>
    <w:basedOn w:val="DefaultParagraphFont"/>
    <w:rsid w:val="00A723B6"/>
  </w:style>
  <w:style w:type="character" w:customStyle="1" w:styleId="FooterChar">
    <w:name w:val="Footer Char"/>
    <w:link w:val="Footer"/>
    <w:semiHidden/>
    <w:rsid w:val="0064684D"/>
    <w:rPr>
      <w:rFonts w:ascii="Arial" w:hAnsi="Arial"/>
      <w:sz w:val="24"/>
      <w:szCs w:val="24"/>
      <w:lang w:val="en-GB" w:eastAsia="en-US" w:bidi="ar-SA"/>
    </w:rPr>
  </w:style>
  <w:style w:type="paragraph" w:customStyle="1" w:styleId="Default1">
    <w:name w:val="Default1"/>
    <w:basedOn w:val="BodyText"/>
    <w:rsid w:val="00B5017C"/>
    <w:pPr>
      <w:tabs>
        <w:tab w:val="num" w:pos="567"/>
      </w:tabs>
      <w:spacing w:after="120" w:line="240" w:lineRule="exact"/>
      <w:ind w:left="567" w:hanging="567"/>
    </w:pPr>
    <w:rPr>
      <w:rFonts w:eastAsia="Arial Unicode MS" w:cs="Arial"/>
    </w:rPr>
  </w:style>
  <w:style w:type="character" w:styleId="HTMLCite">
    <w:name w:val="HTML Cite"/>
    <w:rsid w:val="00A03D34"/>
    <w:rPr>
      <w:i w:val="0"/>
      <w:iCs w:val="0"/>
      <w:color w:val="008000"/>
    </w:rPr>
  </w:style>
  <w:style w:type="paragraph" w:customStyle="1" w:styleId="DefaultParagraphFontPara">
    <w:name w:val="Default Paragraph Font Para"/>
    <w:basedOn w:val="Normal"/>
    <w:rsid w:val="00CE0453"/>
    <w:pPr>
      <w:spacing w:before="60" w:after="120" w:line="240" w:lineRule="exact"/>
    </w:pPr>
    <w:rPr>
      <w:rFonts w:ascii="Verdana" w:hAnsi="Verdana"/>
      <w:sz w:val="20"/>
      <w:szCs w:val="20"/>
      <w:lang w:val="en-US"/>
    </w:rPr>
  </w:style>
  <w:style w:type="paragraph" w:customStyle="1" w:styleId="default0">
    <w:name w:val="default"/>
    <w:basedOn w:val="Normal"/>
    <w:rsid w:val="00DF129C"/>
    <w:pPr>
      <w:spacing w:before="100" w:beforeAutospacing="1" w:after="100" w:afterAutospacing="1"/>
    </w:pPr>
    <w:rPr>
      <w:rFonts w:ascii="Times New Roman" w:hAnsi="Times New Roman"/>
      <w:lang w:eastAsia="en-GB"/>
    </w:rPr>
  </w:style>
  <w:style w:type="paragraph" w:customStyle="1" w:styleId="msolistparagraph0">
    <w:name w:val="msolistparagraph"/>
    <w:basedOn w:val="Normal"/>
    <w:rsid w:val="00D20736"/>
    <w:pPr>
      <w:ind w:left="720"/>
    </w:pPr>
    <w:rPr>
      <w:rFonts w:ascii="Calibri" w:eastAsia="Calibri" w:hAnsi="Calibri"/>
      <w:sz w:val="22"/>
      <w:szCs w:val="22"/>
    </w:rPr>
  </w:style>
  <w:style w:type="paragraph" w:customStyle="1" w:styleId="Pa2">
    <w:name w:val="Pa2"/>
    <w:basedOn w:val="Default"/>
    <w:next w:val="Default"/>
    <w:rsid w:val="00D2263F"/>
    <w:pPr>
      <w:spacing w:line="221" w:lineRule="atLeast"/>
    </w:pPr>
    <w:rPr>
      <w:rFonts w:ascii="FS Me Light" w:eastAsia="MS Mincho" w:hAnsi="FS Me Light" w:cs="Times New Roman"/>
      <w:color w:val="auto"/>
      <w:lang w:eastAsia="ja-JP"/>
    </w:rPr>
  </w:style>
  <w:style w:type="character" w:customStyle="1" w:styleId="inplacedisplayid4siteid0">
    <w:name w:val="inplacedisplayid4siteid0"/>
    <w:basedOn w:val="DefaultParagraphFont"/>
    <w:rsid w:val="005B42B3"/>
  </w:style>
  <w:style w:type="paragraph" w:customStyle="1" w:styleId="CharChar2">
    <w:name w:val="Char Char2"/>
    <w:basedOn w:val="Normal"/>
    <w:rsid w:val="00720BC7"/>
    <w:pPr>
      <w:spacing w:before="60" w:after="120" w:line="240" w:lineRule="exact"/>
    </w:pPr>
    <w:rPr>
      <w:rFonts w:ascii="Verdana" w:hAnsi="Verdana" w:cs="Verdana"/>
      <w:sz w:val="20"/>
      <w:szCs w:val="20"/>
      <w:lang w:val="en-US"/>
    </w:rPr>
  </w:style>
  <w:style w:type="character" w:customStyle="1" w:styleId="CommentTextChar">
    <w:name w:val="Comment Text Char"/>
    <w:basedOn w:val="DefaultParagraphFont"/>
    <w:link w:val="CommentText"/>
    <w:semiHidden/>
    <w:rsid w:val="00A36FB1"/>
    <w:rPr>
      <w:rFonts w:ascii="Arial" w:hAnsi="Arial"/>
      <w:lang w:eastAsia="en-US"/>
    </w:rPr>
  </w:style>
  <w:style w:type="character" w:customStyle="1" w:styleId="ListParagraphChar">
    <w:name w:val="List Paragraph Char"/>
    <w:link w:val="ListParagraph"/>
    <w:uiPriority w:val="34"/>
    <w:locked/>
    <w:rsid w:val="00EB59BF"/>
    <w:rPr>
      <w:rFonts w:ascii="Arial" w:hAnsi="Arial"/>
      <w:sz w:val="24"/>
      <w:szCs w:val="24"/>
      <w:lang w:eastAsia="en-US"/>
    </w:rPr>
  </w:style>
  <w:style w:type="paragraph" w:customStyle="1" w:styleId="CharChar30">
    <w:name w:val="Char Char3"/>
    <w:basedOn w:val="Normal"/>
    <w:rsid w:val="00160CEC"/>
    <w:pPr>
      <w:spacing w:before="60" w:after="12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356">
      <w:bodyDiv w:val="1"/>
      <w:marLeft w:val="0"/>
      <w:marRight w:val="0"/>
      <w:marTop w:val="0"/>
      <w:marBottom w:val="0"/>
      <w:divBdr>
        <w:top w:val="none" w:sz="0" w:space="0" w:color="auto"/>
        <w:left w:val="none" w:sz="0" w:space="0" w:color="auto"/>
        <w:bottom w:val="none" w:sz="0" w:space="0" w:color="auto"/>
        <w:right w:val="none" w:sz="0" w:space="0" w:color="auto"/>
      </w:divBdr>
    </w:div>
    <w:div w:id="24867839">
      <w:bodyDiv w:val="1"/>
      <w:marLeft w:val="0"/>
      <w:marRight w:val="0"/>
      <w:marTop w:val="0"/>
      <w:marBottom w:val="0"/>
      <w:divBdr>
        <w:top w:val="none" w:sz="0" w:space="0" w:color="auto"/>
        <w:left w:val="none" w:sz="0" w:space="0" w:color="auto"/>
        <w:bottom w:val="none" w:sz="0" w:space="0" w:color="auto"/>
        <w:right w:val="none" w:sz="0" w:space="0" w:color="auto"/>
      </w:divBdr>
      <w:divsChild>
        <w:div w:id="1787043895">
          <w:marLeft w:val="0"/>
          <w:marRight w:val="0"/>
          <w:marTop w:val="0"/>
          <w:marBottom w:val="0"/>
          <w:divBdr>
            <w:top w:val="none" w:sz="0" w:space="0" w:color="auto"/>
            <w:left w:val="none" w:sz="0" w:space="0" w:color="auto"/>
            <w:bottom w:val="none" w:sz="0" w:space="0" w:color="auto"/>
            <w:right w:val="none" w:sz="0" w:space="0" w:color="auto"/>
          </w:divBdr>
        </w:div>
      </w:divsChild>
    </w:div>
    <w:div w:id="29769657">
      <w:bodyDiv w:val="1"/>
      <w:marLeft w:val="0"/>
      <w:marRight w:val="0"/>
      <w:marTop w:val="0"/>
      <w:marBottom w:val="0"/>
      <w:divBdr>
        <w:top w:val="none" w:sz="0" w:space="0" w:color="auto"/>
        <w:left w:val="none" w:sz="0" w:space="0" w:color="auto"/>
        <w:bottom w:val="none" w:sz="0" w:space="0" w:color="auto"/>
        <w:right w:val="none" w:sz="0" w:space="0" w:color="auto"/>
      </w:divBdr>
    </w:div>
    <w:div w:id="30422190">
      <w:bodyDiv w:val="1"/>
      <w:marLeft w:val="0"/>
      <w:marRight w:val="0"/>
      <w:marTop w:val="0"/>
      <w:marBottom w:val="0"/>
      <w:divBdr>
        <w:top w:val="none" w:sz="0" w:space="0" w:color="auto"/>
        <w:left w:val="none" w:sz="0" w:space="0" w:color="auto"/>
        <w:bottom w:val="none" w:sz="0" w:space="0" w:color="auto"/>
        <w:right w:val="none" w:sz="0" w:space="0" w:color="auto"/>
      </w:divBdr>
    </w:div>
    <w:div w:id="80107288">
      <w:bodyDiv w:val="1"/>
      <w:marLeft w:val="0"/>
      <w:marRight w:val="0"/>
      <w:marTop w:val="0"/>
      <w:marBottom w:val="0"/>
      <w:divBdr>
        <w:top w:val="none" w:sz="0" w:space="0" w:color="auto"/>
        <w:left w:val="none" w:sz="0" w:space="0" w:color="auto"/>
        <w:bottom w:val="none" w:sz="0" w:space="0" w:color="auto"/>
        <w:right w:val="none" w:sz="0" w:space="0" w:color="auto"/>
      </w:divBdr>
      <w:divsChild>
        <w:div w:id="153105135">
          <w:marLeft w:val="0"/>
          <w:marRight w:val="0"/>
          <w:marTop w:val="0"/>
          <w:marBottom w:val="0"/>
          <w:divBdr>
            <w:top w:val="none" w:sz="0" w:space="0" w:color="auto"/>
            <w:left w:val="none" w:sz="0" w:space="0" w:color="auto"/>
            <w:bottom w:val="none" w:sz="0" w:space="0" w:color="auto"/>
            <w:right w:val="none" w:sz="0" w:space="0" w:color="auto"/>
          </w:divBdr>
          <w:divsChild>
            <w:div w:id="18550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902">
      <w:bodyDiv w:val="1"/>
      <w:marLeft w:val="0"/>
      <w:marRight w:val="0"/>
      <w:marTop w:val="0"/>
      <w:marBottom w:val="0"/>
      <w:divBdr>
        <w:top w:val="none" w:sz="0" w:space="0" w:color="auto"/>
        <w:left w:val="none" w:sz="0" w:space="0" w:color="auto"/>
        <w:bottom w:val="none" w:sz="0" w:space="0" w:color="auto"/>
        <w:right w:val="none" w:sz="0" w:space="0" w:color="auto"/>
      </w:divBdr>
    </w:div>
    <w:div w:id="86578364">
      <w:bodyDiv w:val="1"/>
      <w:marLeft w:val="0"/>
      <w:marRight w:val="0"/>
      <w:marTop w:val="0"/>
      <w:marBottom w:val="0"/>
      <w:divBdr>
        <w:top w:val="none" w:sz="0" w:space="0" w:color="auto"/>
        <w:left w:val="none" w:sz="0" w:space="0" w:color="auto"/>
        <w:bottom w:val="none" w:sz="0" w:space="0" w:color="auto"/>
        <w:right w:val="none" w:sz="0" w:space="0" w:color="auto"/>
      </w:divBdr>
    </w:div>
    <w:div w:id="139737332">
      <w:bodyDiv w:val="1"/>
      <w:marLeft w:val="0"/>
      <w:marRight w:val="0"/>
      <w:marTop w:val="0"/>
      <w:marBottom w:val="0"/>
      <w:divBdr>
        <w:top w:val="none" w:sz="0" w:space="0" w:color="auto"/>
        <w:left w:val="none" w:sz="0" w:space="0" w:color="auto"/>
        <w:bottom w:val="none" w:sz="0" w:space="0" w:color="auto"/>
        <w:right w:val="none" w:sz="0" w:space="0" w:color="auto"/>
      </w:divBdr>
      <w:divsChild>
        <w:div w:id="140730318">
          <w:marLeft w:val="0"/>
          <w:marRight w:val="0"/>
          <w:marTop w:val="0"/>
          <w:marBottom w:val="0"/>
          <w:divBdr>
            <w:top w:val="none" w:sz="0" w:space="0" w:color="auto"/>
            <w:left w:val="none" w:sz="0" w:space="0" w:color="auto"/>
            <w:bottom w:val="none" w:sz="0" w:space="0" w:color="auto"/>
            <w:right w:val="none" w:sz="0" w:space="0" w:color="auto"/>
          </w:divBdr>
          <w:divsChild>
            <w:div w:id="884829475">
              <w:marLeft w:val="0"/>
              <w:marRight w:val="0"/>
              <w:marTop w:val="0"/>
              <w:marBottom w:val="0"/>
              <w:divBdr>
                <w:top w:val="none" w:sz="0" w:space="0" w:color="auto"/>
                <w:left w:val="none" w:sz="0" w:space="0" w:color="auto"/>
                <w:bottom w:val="none" w:sz="0" w:space="0" w:color="auto"/>
                <w:right w:val="none" w:sz="0" w:space="0" w:color="auto"/>
              </w:divBdr>
            </w:div>
            <w:div w:id="1072042421">
              <w:marLeft w:val="0"/>
              <w:marRight w:val="0"/>
              <w:marTop w:val="0"/>
              <w:marBottom w:val="0"/>
              <w:divBdr>
                <w:top w:val="none" w:sz="0" w:space="0" w:color="auto"/>
                <w:left w:val="none" w:sz="0" w:space="0" w:color="auto"/>
                <w:bottom w:val="none" w:sz="0" w:space="0" w:color="auto"/>
                <w:right w:val="none" w:sz="0" w:space="0" w:color="auto"/>
              </w:divBdr>
            </w:div>
            <w:div w:id="1337733585">
              <w:marLeft w:val="0"/>
              <w:marRight w:val="0"/>
              <w:marTop w:val="0"/>
              <w:marBottom w:val="0"/>
              <w:divBdr>
                <w:top w:val="none" w:sz="0" w:space="0" w:color="auto"/>
                <w:left w:val="none" w:sz="0" w:space="0" w:color="auto"/>
                <w:bottom w:val="none" w:sz="0" w:space="0" w:color="auto"/>
                <w:right w:val="none" w:sz="0" w:space="0" w:color="auto"/>
              </w:divBdr>
            </w:div>
            <w:div w:id="1501462455">
              <w:marLeft w:val="0"/>
              <w:marRight w:val="0"/>
              <w:marTop w:val="0"/>
              <w:marBottom w:val="0"/>
              <w:divBdr>
                <w:top w:val="none" w:sz="0" w:space="0" w:color="auto"/>
                <w:left w:val="none" w:sz="0" w:space="0" w:color="auto"/>
                <w:bottom w:val="none" w:sz="0" w:space="0" w:color="auto"/>
                <w:right w:val="none" w:sz="0" w:space="0" w:color="auto"/>
              </w:divBdr>
            </w:div>
            <w:div w:id="1630472732">
              <w:marLeft w:val="0"/>
              <w:marRight w:val="0"/>
              <w:marTop w:val="0"/>
              <w:marBottom w:val="0"/>
              <w:divBdr>
                <w:top w:val="none" w:sz="0" w:space="0" w:color="auto"/>
                <w:left w:val="none" w:sz="0" w:space="0" w:color="auto"/>
                <w:bottom w:val="none" w:sz="0" w:space="0" w:color="auto"/>
                <w:right w:val="none" w:sz="0" w:space="0" w:color="auto"/>
              </w:divBdr>
            </w:div>
            <w:div w:id="16808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8478">
      <w:bodyDiv w:val="1"/>
      <w:marLeft w:val="0"/>
      <w:marRight w:val="0"/>
      <w:marTop w:val="0"/>
      <w:marBottom w:val="0"/>
      <w:divBdr>
        <w:top w:val="none" w:sz="0" w:space="0" w:color="auto"/>
        <w:left w:val="none" w:sz="0" w:space="0" w:color="auto"/>
        <w:bottom w:val="none" w:sz="0" w:space="0" w:color="auto"/>
        <w:right w:val="none" w:sz="0" w:space="0" w:color="auto"/>
      </w:divBdr>
    </w:div>
    <w:div w:id="154801583">
      <w:bodyDiv w:val="1"/>
      <w:marLeft w:val="0"/>
      <w:marRight w:val="0"/>
      <w:marTop w:val="0"/>
      <w:marBottom w:val="0"/>
      <w:divBdr>
        <w:top w:val="none" w:sz="0" w:space="0" w:color="auto"/>
        <w:left w:val="none" w:sz="0" w:space="0" w:color="auto"/>
        <w:bottom w:val="none" w:sz="0" w:space="0" w:color="auto"/>
        <w:right w:val="none" w:sz="0" w:space="0" w:color="auto"/>
      </w:divBdr>
      <w:divsChild>
        <w:div w:id="2082563012">
          <w:marLeft w:val="0"/>
          <w:marRight w:val="0"/>
          <w:marTop w:val="0"/>
          <w:marBottom w:val="0"/>
          <w:divBdr>
            <w:top w:val="none" w:sz="0" w:space="0" w:color="auto"/>
            <w:left w:val="none" w:sz="0" w:space="0" w:color="auto"/>
            <w:bottom w:val="none" w:sz="0" w:space="0" w:color="auto"/>
            <w:right w:val="none" w:sz="0" w:space="0" w:color="auto"/>
          </w:divBdr>
        </w:div>
      </w:divsChild>
    </w:div>
    <w:div w:id="172649294">
      <w:bodyDiv w:val="1"/>
      <w:marLeft w:val="0"/>
      <w:marRight w:val="0"/>
      <w:marTop w:val="0"/>
      <w:marBottom w:val="0"/>
      <w:divBdr>
        <w:top w:val="none" w:sz="0" w:space="0" w:color="auto"/>
        <w:left w:val="none" w:sz="0" w:space="0" w:color="auto"/>
        <w:bottom w:val="none" w:sz="0" w:space="0" w:color="auto"/>
        <w:right w:val="none" w:sz="0" w:space="0" w:color="auto"/>
      </w:divBdr>
    </w:div>
    <w:div w:id="184366352">
      <w:bodyDiv w:val="1"/>
      <w:marLeft w:val="0"/>
      <w:marRight w:val="0"/>
      <w:marTop w:val="0"/>
      <w:marBottom w:val="0"/>
      <w:divBdr>
        <w:top w:val="none" w:sz="0" w:space="0" w:color="auto"/>
        <w:left w:val="none" w:sz="0" w:space="0" w:color="auto"/>
        <w:bottom w:val="none" w:sz="0" w:space="0" w:color="auto"/>
        <w:right w:val="none" w:sz="0" w:space="0" w:color="auto"/>
      </w:divBdr>
    </w:div>
    <w:div w:id="191849107">
      <w:bodyDiv w:val="1"/>
      <w:marLeft w:val="0"/>
      <w:marRight w:val="0"/>
      <w:marTop w:val="0"/>
      <w:marBottom w:val="0"/>
      <w:divBdr>
        <w:top w:val="none" w:sz="0" w:space="0" w:color="auto"/>
        <w:left w:val="none" w:sz="0" w:space="0" w:color="auto"/>
        <w:bottom w:val="none" w:sz="0" w:space="0" w:color="auto"/>
        <w:right w:val="none" w:sz="0" w:space="0" w:color="auto"/>
      </w:divBdr>
    </w:div>
    <w:div w:id="212734869">
      <w:bodyDiv w:val="1"/>
      <w:marLeft w:val="0"/>
      <w:marRight w:val="0"/>
      <w:marTop w:val="0"/>
      <w:marBottom w:val="0"/>
      <w:divBdr>
        <w:top w:val="none" w:sz="0" w:space="0" w:color="auto"/>
        <w:left w:val="none" w:sz="0" w:space="0" w:color="auto"/>
        <w:bottom w:val="none" w:sz="0" w:space="0" w:color="auto"/>
        <w:right w:val="none" w:sz="0" w:space="0" w:color="auto"/>
      </w:divBdr>
      <w:divsChild>
        <w:div w:id="336345829">
          <w:marLeft w:val="0"/>
          <w:marRight w:val="0"/>
          <w:marTop w:val="0"/>
          <w:marBottom w:val="0"/>
          <w:divBdr>
            <w:top w:val="none" w:sz="0" w:space="0" w:color="auto"/>
            <w:left w:val="none" w:sz="0" w:space="0" w:color="auto"/>
            <w:bottom w:val="none" w:sz="0" w:space="0" w:color="auto"/>
            <w:right w:val="none" w:sz="0" w:space="0" w:color="auto"/>
          </w:divBdr>
        </w:div>
      </w:divsChild>
    </w:div>
    <w:div w:id="224680174">
      <w:bodyDiv w:val="1"/>
      <w:marLeft w:val="0"/>
      <w:marRight w:val="0"/>
      <w:marTop w:val="0"/>
      <w:marBottom w:val="0"/>
      <w:divBdr>
        <w:top w:val="none" w:sz="0" w:space="0" w:color="auto"/>
        <w:left w:val="none" w:sz="0" w:space="0" w:color="auto"/>
        <w:bottom w:val="none" w:sz="0" w:space="0" w:color="auto"/>
        <w:right w:val="none" w:sz="0" w:space="0" w:color="auto"/>
      </w:divBdr>
    </w:div>
    <w:div w:id="241064375">
      <w:bodyDiv w:val="1"/>
      <w:marLeft w:val="0"/>
      <w:marRight w:val="0"/>
      <w:marTop w:val="0"/>
      <w:marBottom w:val="0"/>
      <w:divBdr>
        <w:top w:val="none" w:sz="0" w:space="0" w:color="auto"/>
        <w:left w:val="none" w:sz="0" w:space="0" w:color="auto"/>
        <w:bottom w:val="none" w:sz="0" w:space="0" w:color="auto"/>
        <w:right w:val="none" w:sz="0" w:space="0" w:color="auto"/>
      </w:divBdr>
      <w:divsChild>
        <w:div w:id="1741174635">
          <w:marLeft w:val="0"/>
          <w:marRight w:val="0"/>
          <w:marTop w:val="0"/>
          <w:marBottom w:val="0"/>
          <w:divBdr>
            <w:top w:val="none" w:sz="0" w:space="0" w:color="auto"/>
            <w:left w:val="none" w:sz="0" w:space="0" w:color="auto"/>
            <w:bottom w:val="none" w:sz="0" w:space="0" w:color="auto"/>
            <w:right w:val="none" w:sz="0" w:space="0" w:color="auto"/>
          </w:divBdr>
          <w:divsChild>
            <w:div w:id="11234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7295">
      <w:bodyDiv w:val="1"/>
      <w:marLeft w:val="0"/>
      <w:marRight w:val="0"/>
      <w:marTop w:val="0"/>
      <w:marBottom w:val="0"/>
      <w:divBdr>
        <w:top w:val="none" w:sz="0" w:space="0" w:color="auto"/>
        <w:left w:val="none" w:sz="0" w:space="0" w:color="auto"/>
        <w:bottom w:val="none" w:sz="0" w:space="0" w:color="auto"/>
        <w:right w:val="none" w:sz="0" w:space="0" w:color="auto"/>
      </w:divBdr>
    </w:div>
    <w:div w:id="284511568">
      <w:bodyDiv w:val="1"/>
      <w:marLeft w:val="0"/>
      <w:marRight w:val="0"/>
      <w:marTop w:val="0"/>
      <w:marBottom w:val="0"/>
      <w:divBdr>
        <w:top w:val="none" w:sz="0" w:space="0" w:color="auto"/>
        <w:left w:val="none" w:sz="0" w:space="0" w:color="auto"/>
        <w:bottom w:val="none" w:sz="0" w:space="0" w:color="auto"/>
        <w:right w:val="none" w:sz="0" w:space="0" w:color="auto"/>
      </w:divBdr>
      <w:divsChild>
        <w:div w:id="549264516">
          <w:marLeft w:val="0"/>
          <w:marRight w:val="0"/>
          <w:marTop w:val="0"/>
          <w:marBottom w:val="0"/>
          <w:divBdr>
            <w:top w:val="none" w:sz="0" w:space="0" w:color="auto"/>
            <w:left w:val="none" w:sz="0" w:space="0" w:color="auto"/>
            <w:bottom w:val="none" w:sz="0" w:space="0" w:color="auto"/>
            <w:right w:val="none" w:sz="0" w:space="0" w:color="auto"/>
          </w:divBdr>
          <w:divsChild>
            <w:div w:id="2088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6291">
      <w:bodyDiv w:val="1"/>
      <w:marLeft w:val="0"/>
      <w:marRight w:val="0"/>
      <w:marTop w:val="0"/>
      <w:marBottom w:val="0"/>
      <w:divBdr>
        <w:top w:val="none" w:sz="0" w:space="0" w:color="auto"/>
        <w:left w:val="none" w:sz="0" w:space="0" w:color="auto"/>
        <w:bottom w:val="none" w:sz="0" w:space="0" w:color="auto"/>
        <w:right w:val="none" w:sz="0" w:space="0" w:color="auto"/>
      </w:divBdr>
    </w:div>
    <w:div w:id="310528886">
      <w:bodyDiv w:val="1"/>
      <w:marLeft w:val="0"/>
      <w:marRight w:val="0"/>
      <w:marTop w:val="0"/>
      <w:marBottom w:val="0"/>
      <w:divBdr>
        <w:top w:val="none" w:sz="0" w:space="0" w:color="auto"/>
        <w:left w:val="none" w:sz="0" w:space="0" w:color="auto"/>
        <w:bottom w:val="none" w:sz="0" w:space="0" w:color="auto"/>
        <w:right w:val="none" w:sz="0" w:space="0" w:color="auto"/>
      </w:divBdr>
    </w:div>
    <w:div w:id="317000304">
      <w:bodyDiv w:val="1"/>
      <w:marLeft w:val="0"/>
      <w:marRight w:val="0"/>
      <w:marTop w:val="0"/>
      <w:marBottom w:val="0"/>
      <w:divBdr>
        <w:top w:val="none" w:sz="0" w:space="0" w:color="auto"/>
        <w:left w:val="none" w:sz="0" w:space="0" w:color="auto"/>
        <w:bottom w:val="none" w:sz="0" w:space="0" w:color="auto"/>
        <w:right w:val="none" w:sz="0" w:space="0" w:color="auto"/>
      </w:divBdr>
      <w:divsChild>
        <w:div w:id="1541816408">
          <w:marLeft w:val="418"/>
          <w:marRight w:val="0"/>
          <w:marTop w:val="0"/>
          <w:marBottom w:val="240"/>
          <w:divBdr>
            <w:top w:val="none" w:sz="0" w:space="0" w:color="auto"/>
            <w:left w:val="none" w:sz="0" w:space="0" w:color="auto"/>
            <w:bottom w:val="none" w:sz="0" w:space="0" w:color="auto"/>
            <w:right w:val="none" w:sz="0" w:space="0" w:color="auto"/>
          </w:divBdr>
        </w:div>
      </w:divsChild>
    </w:div>
    <w:div w:id="321660674">
      <w:bodyDiv w:val="1"/>
      <w:marLeft w:val="0"/>
      <w:marRight w:val="0"/>
      <w:marTop w:val="0"/>
      <w:marBottom w:val="0"/>
      <w:divBdr>
        <w:top w:val="none" w:sz="0" w:space="0" w:color="auto"/>
        <w:left w:val="none" w:sz="0" w:space="0" w:color="auto"/>
        <w:bottom w:val="none" w:sz="0" w:space="0" w:color="auto"/>
        <w:right w:val="none" w:sz="0" w:space="0" w:color="auto"/>
      </w:divBdr>
    </w:div>
    <w:div w:id="380710731">
      <w:bodyDiv w:val="1"/>
      <w:marLeft w:val="0"/>
      <w:marRight w:val="0"/>
      <w:marTop w:val="0"/>
      <w:marBottom w:val="0"/>
      <w:divBdr>
        <w:top w:val="none" w:sz="0" w:space="0" w:color="auto"/>
        <w:left w:val="none" w:sz="0" w:space="0" w:color="auto"/>
        <w:bottom w:val="none" w:sz="0" w:space="0" w:color="auto"/>
        <w:right w:val="none" w:sz="0" w:space="0" w:color="auto"/>
      </w:divBdr>
    </w:div>
    <w:div w:id="388581223">
      <w:bodyDiv w:val="1"/>
      <w:marLeft w:val="0"/>
      <w:marRight w:val="0"/>
      <w:marTop w:val="0"/>
      <w:marBottom w:val="0"/>
      <w:divBdr>
        <w:top w:val="none" w:sz="0" w:space="0" w:color="auto"/>
        <w:left w:val="none" w:sz="0" w:space="0" w:color="auto"/>
        <w:bottom w:val="none" w:sz="0" w:space="0" w:color="auto"/>
        <w:right w:val="none" w:sz="0" w:space="0" w:color="auto"/>
      </w:divBdr>
    </w:div>
    <w:div w:id="398290574">
      <w:bodyDiv w:val="1"/>
      <w:marLeft w:val="0"/>
      <w:marRight w:val="0"/>
      <w:marTop w:val="0"/>
      <w:marBottom w:val="0"/>
      <w:divBdr>
        <w:top w:val="none" w:sz="0" w:space="0" w:color="auto"/>
        <w:left w:val="none" w:sz="0" w:space="0" w:color="auto"/>
        <w:bottom w:val="none" w:sz="0" w:space="0" w:color="auto"/>
        <w:right w:val="none" w:sz="0" w:space="0" w:color="auto"/>
      </w:divBdr>
      <w:divsChild>
        <w:div w:id="1004865250">
          <w:marLeft w:val="0"/>
          <w:marRight w:val="0"/>
          <w:marTop w:val="0"/>
          <w:marBottom w:val="0"/>
          <w:divBdr>
            <w:top w:val="none" w:sz="0" w:space="0" w:color="auto"/>
            <w:left w:val="none" w:sz="0" w:space="0" w:color="auto"/>
            <w:bottom w:val="none" w:sz="0" w:space="0" w:color="auto"/>
            <w:right w:val="none" w:sz="0" w:space="0" w:color="auto"/>
          </w:divBdr>
        </w:div>
      </w:divsChild>
    </w:div>
    <w:div w:id="414471772">
      <w:bodyDiv w:val="1"/>
      <w:marLeft w:val="0"/>
      <w:marRight w:val="0"/>
      <w:marTop w:val="0"/>
      <w:marBottom w:val="0"/>
      <w:divBdr>
        <w:top w:val="none" w:sz="0" w:space="0" w:color="auto"/>
        <w:left w:val="none" w:sz="0" w:space="0" w:color="auto"/>
        <w:bottom w:val="none" w:sz="0" w:space="0" w:color="auto"/>
        <w:right w:val="none" w:sz="0" w:space="0" w:color="auto"/>
      </w:divBdr>
    </w:div>
    <w:div w:id="438256356">
      <w:bodyDiv w:val="1"/>
      <w:marLeft w:val="0"/>
      <w:marRight w:val="0"/>
      <w:marTop w:val="0"/>
      <w:marBottom w:val="0"/>
      <w:divBdr>
        <w:top w:val="none" w:sz="0" w:space="0" w:color="auto"/>
        <w:left w:val="none" w:sz="0" w:space="0" w:color="auto"/>
        <w:bottom w:val="none" w:sz="0" w:space="0" w:color="auto"/>
        <w:right w:val="none" w:sz="0" w:space="0" w:color="auto"/>
      </w:divBdr>
      <w:divsChild>
        <w:div w:id="2077244861">
          <w:marLeft w:val="0"/>
          <w:marRight w:val="0"/>
          <w:marTop w:val="0"/>
          <w:marBottom w:val="0"/>
          <w:divBdr>
            <w:top w:val="none" w:sz="0" w:space="0" w:color="auto"/>
            <w:left w:val="none" w:sz="0" w:space="0" w:color="auto"/>
            <w:bottom w:val="none" w:sz="0" w:space="0" w:color="auto"/>
            <w:right w:val="none" w:sz="0" w:space="0" w:color="auto"/>
          </w:divBdr>
        </w:div>
      </w:divsChild>
    </w:div>
    <w:div w:id="446119554">
      <w:bodyDiv w:val="1"/>
      <w:marLeft w:val="0"/>
      <w:marRight w:val="0"/>
      <w:marTop w:val="0"/>
      <w:marBottom w:val="0"/>
      <w:divBdr>
        <w:top w:val="none" w:sz="0" w:space="0" w:color="auto"/>
        <w:left w:val="none" w:sz="0" w:space="0" w:color="auto"/>
        <w:bottom w:val="none" w:sz="0" w:space="0" w:color="auto"/>
        <w:right w:val="none" w:sz="0" w:space="0" w:color="auto"/>
      </w:divBdr>
    </w:div>
    <w:div w:id="458105571">
      <w:bodyDiv w:val="1"/>
      <w:marLeft w:val="0"/>
      <w:marRight w:val="0"/>
      <w:marTop w:val="0"/>
      <w:marBottom w:val="0"/>
      <w:divBdr>
        <w:top w:val="none" w:sz="0" w:space="0" w:color="auto"/>
        <w:left w:val="none" w:sz="0" w:space="0" w:color="auto"/>
        <w:bottom w:val="none" w:sz="0" w:space="0" w:color="auto"/>
        <w:right w:val="none" w:sz="0" w:space="0" w:color="auto"/>
      </w:divBdr>
    </w:div>
    <w:div w:id="484010558">
      <w:bodyDiv w:val="1"/>
      <w:marLeft w:val="0"/>
      <w:marRight w:val="0"/>
      <w:marTop w:val="0"/>
      <w:marBottom w:val="0"/>
      <w:divBdr>
        <w:top w:val="none" w:sz="0" w:space="0" w:color="auto"/>
        <w:left w:val="none" w:sz="0" w:space="0" w:color="auto"/>
        <w:bottom w:val="none" w:sz="0" w:space="0" w:color="auto"/>
        <w:right w:val="none" w:sz="0" w:space="0" w:color="auto"/>
      </w:divBdr>
    </w:div>
    <w:div w:id="489105401">
      <w:bodyDiv w:val="1"/>
      <w:marLeft w:val="0"/>
      <w:marRight w:val="0"/>
      <w:marTop w:val="0"/>
      <w:marBottom w:val="0"/>
      <w:divBdr>
        <w:top w:val="none" w:sz="0" w:space="0" w:color="auto"/>
        <w:left w:val="none" w:sz="0" w:space="0" w:color="auto"/>
        <w:bottom w:val="none" w:sz="0" w:space="0" w:color="auto"/>
        <w:right w:val="none" w:sz="0" w:space="0" w:color="auto"/>
      </w:divBdr>
    </w:div>
    <w:div w:id="558051136">
      <w:bodyDiv w:val="1"/>
      <w:marLeft w:val="0"/>
      <w:marRight w:val="0"/>
      <w:marTop w:val="0"/>
      <w:marBottom w:val="0"/>
      <w:divBdr>
        <w:top w:val="none" w:sz="0" w:space="0" w:color="auto"/>
        <w:left w:val="none" w:sz="0" w:space="0" w:color="auto"/>
        <w:bottom w:val="none" w:sz="0" w:space="0" w:color="auto"/>
        <w:right w:val="none" w:sz="0" w:space="0" w:color="auto"/>
      </w:divBdr>
    </w:div>
    <w:div w:id="561408573">
      <w:bodyDiv w:val="1"/>
      <w:marLeft w:val="0"/>
      <w:marRight w:val="0"/>
      <w:marTop w:val="0"/>
      <w:marBottom w:val="0"/>
      <w:divBdr>
        <w:top w:val="none" w:sz="0" w:space="0" w:color="auto"/>
        <w:left w:val="none" w:sz="0" w:space="0" w:color="auto"/>
        <w:bottom w:val="none" w:sz="0" w:space="0" w:color="auto"/>
        <w:right w:val="none" w:sz="0" w:space="0" w:color="auto"/>
      </w:divBdr>
    </w:div>
    <w:div w:id="588579390">
      <w:bodyDiv w:val="1"/>
      <w:marLeft w:val="0"/>
      <w:marRight w:val="0"/>
      <w:marTop w:val="0"/>
      <w:marBottom w:val="0"/>
      <w:divBdr>
        <w:top w:val="none" w:sz="0" w:space="0" w:color="auto"/>
        <w:left w:val="none" w:sz="0" w:space="0" w:color="auto"/>
        <w:bottom w:val="none" w:sz="0" w:space="0" w:color="auto"/>
        <w:right w:val="none" w:sz="0" w:space="0" w:color="auto"/>
      </w:divBdr>
    </w:div>
    <w:div w:id="592011787">
      <w:bodyDiv w:val="1"/>
      <w:marLeft w:val="0"/>
      <w:marRight w:val="0"/>
      <w:marTop w:val="0"/>
      <w:marBottom w:val="0"/>
      <w:divBdr>
        <w:top w:val="none" w:sz="0" w:space="0" w:color="auto"/>
        <w:left w:val="none" w:sz="0" w:space="0" w:color="auto"/>
        <w:bottom w:val="none" w:sz="0" w:space="0" w:color="auto"/>
        <w:right w:val="none" w:sz="0" w:space="0" w:color="auto"/>
      </w:divBdr>
    </w:div>
    <w:div w:id="602540385">
      <w:bodyDiv w:val="1"/>
      <w:marLeft w:val="0"/>
      <w:marRight w:val="0"/>
      <w:marTop w:val="0"/>
      <w:marBottom w:val="0"/>
      <w:divBdr>
        <w:top w:val="none" w:sz="0" w:space="0" w:color="auto"/>
        <w:left w:val="none" w:sz="0" w:space="0" w:color="auto"/>
        <w:bottom w:val="none" w:sz="0" w:space="0" w:color="auto"/>
        <w:right w:val="none" w:sz="0" w:space="0" w:color="auto"/>
      </w:divBdr>
    </w:div>
    <w:div w:id="629165132">
      <w:bodyDiv w:val="1"/>
      <w:marLeft w:val="0"/>
      <w:marRight w:val="0"/>
      <w:marTop w:val="0"/>
      <w:marBottom w:val="0"/>
      <w:divBdr>
        <w:top w:val="none" w:sz="0" w:space="0" w:color="auto"/>
        <w:left w:val="none" w:sz="0" w:space="0" w:color="auto"/>
        <w:bottom w:val="none" w:sz="0" w:space="0" w:color="auto"/>
        <w:right w:val="none" w:sz="0" w:space="0" w:color="auto"/>
      </w:divBdr>
    </w:div>
    <w:div w:id="637301607">
      <w:bodyDiv w:val="1"/>
      <w:marLeft w:val="0"/>
      <w:marRight w:val="0"/>
      <w:marTop w:val="0"/>
      <w:marBottom w:val="0"/>
      <w:divBdr>
        <w:top w:val="none" w:sz="0" w:space="0" w:color="auto"/>
        <w:left w:val="none" w:sz="0" w:space="0" w:color="auto"/>
        <w:bottom w:val="none" w:sz="0" w:space="0" w:color="auto"/>
        <w:right w:val="none" w:sz="0" w:space="0" w:color="auto"/>
      </w:divBdr>
    </w:div>
    <w:div w:id="672300889">
      <w:bodyDiv w:val="1"/>
      <w:marLeft w:val="0"/>
      <w:marRight w:val="0"/>
      <w:marTop w:val="0"/>
      <w:marBottom w:val="0"/>
      <w:divBdr>
        <w:top w:val="none" w:sz="0" w:space="0" w:color="auto"/>
        <w:left w:val="none" w:sz="0" w:space="0" w:color="auto"/>
        <w:bottom w:val="none" w:sz="0" w:space="0" w:color="auto"/>
        <w:right w:val="none" w:sz="0" w:space="0" w:color="auto"/>
      </w:divBdr>
    </w:div>
    <w:div w:id="688487140">
      <w:bodyDiv w:val="1"/>
      <w:marLeft w:val="0"/>
      <w:marRight w:val="0"/>
      <w:marTop w:val="0"/>
      <w:marBottom w:val="0"/>
      <w:divBdr>
        <w:top w:val="none" w:sz="0" w:space="0" w:color="auto"/>
        <w:left w:val="none" w:sz="0" w:space="0" w:color="auto"/>
        <w:bottom w:val="none" w:sz="0" w:space="0" w:color="auto"/>
        <w:right w:val="none" w:sz="0" w:space="0" w:color="auto"/>
      </w:divBdr>
    </w:div>
    <w:div w:id="725570269">
      <w:bodyDiv w:val="1"/>
      <w:marLeft w:val="0"/>
      <w:marRight w:val="0"/>
      <w:marTop w:val="0"/>
      <w:marBottom w:val="0"/>
      <w:divBdr>
        <w:top w:val="none" w:sz="0" w:space="0" w:color="auto"/>
        <w:left w:val="none" w:sz="0" w:space="0" w:color="auto"/>
        <w:bottom w:val="none" w:sz="0" w:space="0" w:color="auto"/>
        <w:right w:val="none" w:sz="0" w:space="0" w:color="auto"/>
      </w:divBdr>
    </w:div>
    <w:div w:id="731121875">
      <w:bodyDiv w:val="1"/>
      <w:marLeft w:val="0"/>
      <w:marRight w:val="0"/>
      <w:marTop w:val="0"/>
      <w:marBottom w:val="0"/>
      <w:divBdr>
        <w:top w:val="none" w:sz="0" w:space="0" w:color="auto"/>
        <w:left w:val="none" w:sz="0" w:space="0" w:color="auto"/>
        <w:bottom w:val="none" w:sz="0" w:space="0" w:color="auto"/>
        <w:right w:val="none" w:sz="0" w:space="0" w:color="auto"/>
      </w:divBdr>
    </w:div>
    <w:div w:id="801926819">
      <w:bodyDiv w:val="1"/>
      <w:marLeft w:val="0"/>
      <w:marRight w:val="0"/>
      <w:marTop w:val="0"/>
      <w:marBottom w:val="0"/>
      <w:divBdr>
        <w:top w:val="none" w:sz="0" w:space="0" w:color="auto"/>
        <w:left w:val="none" w:sz="0" w:space="0" w:color="auto"/>
        <w:bottom w:val="none" w:sz="0" w:space="0" w:color="auto"/>
        <w:right w:val="none" w:sz="0" w:space="0" w:color="auto"/>
      </w:divBdr>
    </w:div>
    <w:div w:id="821889749">
      <w:bodyDiv w:val="1"/>
      <w:marLeft w:val="0"/>
      <w:marRight w:val="0"/>
      <w:marTop w:val="0"/>
      <w:marBottom w:val="0"/>
      <w:divBdr>
        <w:top w:val="none" w:sz="0" w:space="0" w:color="auto"/>
        <w:left w:val="none" w:sz="0" w:space="0" w:color="auto"/>
        <w:bottom w:val="none" w:sz="0" w:space="0" w:color="auto"/>
        <w:right w:val="none" w:sz="0" w:space="0" w:color="auto"/>
      </w:divBdr>
    </w:div>
    <w:div w:id="864975819">
      <w:bodyDiv w:val="1"/>
      <w:marLeft w:val="0"/>
      <w:marRight w:val="0"/>
      <w:marTop w:val="0"/>
      <w:marBottom w:val="0"/>
      <w:divBdr>
        <w:top w:val="none" w:sz="0" w:space="0" w:color="auto"/>
        <w:left w:val="none" w:sz="0" w:space="0" w:color="auto"/>
        <w:bottom w:val="none" w:sz="0" w:space="0" w:color="auto"/>
        <w:right w:val="none" w:sz="0" w:space="0" w:color="auto"/>
      </w:divBdr>
    </w:div>
    <w:div w:id="885331762">
      <w:bodyDiv w:val="1"/>
      <w:marLeft w:val="0"/>
      <w:marRight w:val="0"/>
      <w:marTop w:val="0"/>
      <w:marBottom w:val="0"/>
      <w:divBdr>
        <w:top w:val="none" w:sz="0" w:space="0" w:color="auto"/>
        <w:left w:val="none" w:sz="0" w:space="0" w:color="auto"/>
        <w:bottom w:val="none" w:sz="0" w:space="0" w:color="auto"/>
        <w:right w:val="none" w:sz="0" w:space="0" w:color="auto"/>
      </w:divBdr>
    </w:div>
    <w:div w:id="897014393">
      <w:bodyDiv w:val="1"/>
      <w:marLeft w:val="0"/>
      <w:marRight w:val="0"/>
      <w:marTop w:val="0"/>
      <w:marBottom w:val="0"/>
      <w:divBdr>
        <w:top w:val="none" w:sz="0" w:space="0" w:color="auto"/>
        <w:left w:val="none" w:sz="0" w:space="0" w:color="auto"/>
        <w:bottom w:val="none" w:sz="0" w:space="0" w:color="auto"/>
        <w:right w:val="none" w:sz="0" w:space="0" w:color="auto"/>
      </w:divBdr>
    </w:div>
    <w:div w:id="918059519">
      <w:bodyDiv w:val="1"/>
      <w:marLeft w:val="0"/>
      <w:marRight w:val="0"/>
      <w:marTop w:val="0"/>
      <w:marBottom w:val="0"/>
      <w:divBdr>
        <w:top w:val="none" w:sz="0" w:space="0" w:color="auto"/>
        <w:left w:val="none" w:sz="0" w:space="0" w:color="auto"/>
        <w:bottom w:val="none" w:sz="0" w:space="0" w:color="auto"/>
        <w:right w:val="none" w:sz="0" w:space="0" w:color="auto"/>
      </w:divBdr>
    </w:div>
    <w:div w:id="957176679">
      <w:bodyDiv w:val="1"/>
      <w:marLeft w:val="0"/>
      <w:marRight w:val="0"/>
      <w:marTop w:val="0"/>
      <w:marBottom w:val="0"/>
      <w:divBdr>
        <w:top w:val="none" w:sz="0" w:space="0" w:color="auto"/>
        <w:left w:val="none" w:sz="0" w:space="0" w:color="auto"/>
        <w:bottom w:val="none" w:sz="0" w:space="0" w:color="auto"/>
        <w:right w:val="none" w:sz="0" w:space="0" w:color="auto"/>
      </w:divBdr>
    </w:div>
    <w:div w:id="963581846">
      <w:bodyDiv w:val="1"/>
      <w:marLeft w:val="0"/>
      <w:marRight w:val="0"/>
      <w:marTop w:val="0"/>
      <w:marBottom w:val="0"/>
      <w:divBdr>
        <w:top w:val="none" w:sz="0" w:space="0" w:color="auto"/>
        <w:left w:val="none" w:sz="0" w:space="0" w:color="auto"/>
        <w:bottom w:val="none" w:sz="0" w:space="0" w:color="auto"/>
        <w:right w:val="none" w:sz="0" w:space="0" w:color="auto"/>
      </w:divBdr>
    </w:div>
    <w:div w:id="1031028187">
      <w:bodyDiv w:val="1"/>
      <w:marLeft w:val="0"/>
      <w:marRight w:val="0"/>
      <w:marTop w:val="0"/>
      <w:marBottom w:val="0"/>
      <w:divBdr>
        <w:top w:val="none" w:sz="0" w:space="0" w:color="auto"/>
        <w:left w:val="none" w:sz="0" w:space="0" w:color="auto"/>
        <w:bottom w:val="none" w:sz="0" w:space="0" w:color="auto"/>
        <w:right w:val="none" w:sz="0" w:space="0" w:color="auto"/>
      </w:divBdr>
    </w:div>
    <w:div w:id="1032538539">
      <w:bodyDiv w:val="1"/>
      <w:marLeft w:val="0"/>
      <w:marRight w:val="0"/>
      <w:marTop w:val="0"/>
      <w:marBottom w:val="0"/>
      <w:divBdr>
        <w:top w:val="none" w:sz="0" w:space="0" w:color="auto"/>
        <w:left w:val="none" w:sz="0" w:space="0" w:color="auto"/>
        <w:bottom w:val="none" w:sz="0" w:space="0" w:color="auto"/>
        <w:right w:val="none" w:sz="0" w:space="0" w:color="auto"/>
      </w:divBdr>
    </w:div>
    <w:div w:id="1047947986">
      <w:bodyDiv w:val="1"/>
      <w:marLeft w:val="0"/>
      <w:marRight w:val="0"/>
      <w:marTop w:val="0"/>
      <w:marBottom w:val="0"/>
      <w:divBdr>
        <w:top w:val="none" w:sz="0" w:space="0" w:color="auto"/>
        <w:left w:val="none" w:sz="0" w:space="0" w:color="auto"/>
        <w:bottom w:val="none" w:sz="0" w:space="0" w:color="auto"/>
        <w:right w:val="none" w:sz="0" w:space="0" w:color="auto"/>
      </w:divBdr>
    </w:div>
    <w:div w:id="1053966397">
      <w:bodyDiv w:val="1"/>
      <w:marLeft w:val="0"/>
      <w:marRight w:val="0"/>
      <w:marTop w:val="0"/>
      <w:marBottom w:val="0"/>
      <w:divBdr>
        <w:top w:val="none" w:sz="0" w:space="0" w:color="auto"/>
        <w:left w:val="none" w:sz="0" w:space="0" w:color="auto"/>
        <w:bottom w:val="none" w:sz="0" w:space="0" w:color="auto"/>
        <w:right w:val="none" w:sz="0" w:space="0" w:color="auto"/>
      </w:divBdr>
    </w:div>
    <w:div w:id="1108350428">
      <w:bodyDiv w:val="1"/>
      <w:marLeft w:val="0"/>
      <w:marRight w:val="0"/>
      <w:marTop w:val="0"/>
      <w:marBottom w:val="0"/>
      <w:divBdr>
        <w:top w:val="none" w:sz="0" w:space="0" w:color="auto"/>
        <w:left w:val="none" w:sz="0" w:space="0" w:color="auto"/>
        <w:bottom w:val="none" w:sz="0" w:space="0" w:color="auto"/>
        <w:right w:val="none" w:sz="0" w:space="0" w:color="auto"/>
      </w:divBdr>
    </w:div>
    <w:div w:id="1116099411">
      <w:bodyDiv w:val="1"/>
      <w:marLeft w:val="0"/>
      <w:marRight w:val="0"/>
      <w:marTop w:val="0"/>
      <w:marBottom w:val="0"/>
      <w:divBdr>
        <w:top w:val="none" w:sz="0" w:space="0" w:color="auto"/>
        <w:left w:val="none" w:sz="0" w:space="0" w:color="auto"/>
        <w:bottom w:val="none" w:sz="0" w:space="0" w:color="auto"/>
        <w:right w:val="none" w:sz="0" w:space="0" w:color="auto"/>
      </w:divBdr>
    </w:div>
    <w:div w:id="1126388133">
      <w:bodyDiv w:val="1"/>
      <w:marLeft w:val="0"/>
      <w:marRight w:val="0"/>
      <w:marTop w:val="0"/>
      <w:marBottom w:val="0"/>
      <w:divBdr>
        <w:top w:val="none" w:sz="0" w:space="0" w:color="auto"/>
        <w:left w:val="none" w:sz="0" w:space="0" w:color="auto"/>
        <w:bottom w:val="none" w:sz="0" w:space="0" w:color="auto"/>
        <w:right w:val="none" w:sz="0" w:space="0" w:color="auto"/>
      </w:divBdr>
    </w:div>
    <w:div w:id="1157649059">
      <w:bodyDiv w:val="1"/>
      <w:marLeft w:val="0"/>
      <w:marRight w:val="0"/>
      <w:marTop w:val="0"/>
      <w:marBottom w:val="0"/>
      <w:divBdr>
        <w:top w:val="none" w:sz="0" w:space="0" w:color="auto"/>
        <w:left w:val="none" w:sz="0" w:space="0" w:color="auto"/>
        <w:bottom w:val="none" w:sz="0" w:space="0" w:color="auto"/>
        <w:right w:val="none" w:sz="0" w:space="0" w:color="auto"/>
      </w:divBdr>
    </w:div>
    <w:div w:id="1166629731">
      <w:bodyDiv w:val="1"/>
      <w:marLeft w:val="0"/>
      <w:marRight w:val="0"/>
      <w:marTop w:val="0"/>
      <w:marBottom w:val="0"/>
      <w:divBdr>
        <w:top w:val="none" w:sz="0" w:space="0" w:color="auto"/>
        <w:left w:val="none" w:sz="0" w:space="0" w:color="auto"/>
        <w:bottom w:val="none" w:sz="0" w:space="0" w:color="auto"/>
        <w:right w:val="none" w:sz="0" w:space="0" w:color="auto"/>
      </w:divBdr>
      <w:divsChild>
        <w:div w:id="1756246164">
          <w:marLeft w:val="0"/>
          <w:marRight w:val="0"/>
          <w:marTop w:val="0"/>
          <w:marBottom w:val="0"/>
          <w:divBdr>
            <w:top w:val="none" w:sz="0" w:space="0" w:color="auto"/>
            <w:left w:val="none" w:sz="0" w:space="0" w:color="auto"/>
            <w:bottom w:val="none" w:sz="0" w:space="0" w:color="auto"/>
            <w:right w:val="none" w:sz="0" w:space="0" w:color="auto"/>
          </w:divBdr>
          <w:divsChild>
            <w:div w:id="333993679">
              <w:marLeft w:val="0"/>
              <w:marRight w:val="0"/>
              <w:marTop w:val="0"/>
              <w:marBottom w:val="0"/>
              <w:divBdr>
                <w:top w:val="none" w:sz="0" w:space="0" w:color="auto"/>
                <w:left w:val="none" w:sz="0" w:space="0" w:color="auto"/>
                <w:bottom w:val="none" w:sz="0" w:space="0" w:color="auto"/>
                <w:right w:val="none" w:sz="0" w:space="0" w:color="auto"/>
              </w:divBdr>
            </w:div>
            <w:div w:id="1142700426">
              <w:marLeft w:val="0"/>
              <w:marRight w:val="0"/>
              <w:marTop w:val="0"/>
              <w:marBottom w:val="0"/>
              <w:divBdr>
                <w:top w:val="none" w:sz="0" w:space="0" w:color="auto"/>
                <w:left w:val="none" w:sz="0" w:space="0" w:color="auto"/>
                <w:bottom w:val="none" w:sz="0" w:space="0" w:color="auto"/>
                <w:right w:val="none" w:sz="0" w:space="0" w:color="auto"/>
              </w:divBdr>
            </w:div>
            <w:div w:id="19892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1994">
      <w:bodyDiv w:val="1"/>
      <w:marLeft w:val="0"/>
      <w:marRight w:val="0"/>
      <w:marTop w:val="0"/>
      <w:marBottom w:val="0"/>
      <w:divBdr>
        <w:top w:val="none" w:sz="0" w:space="0" w:color="auto"/>
        <w:left w:val="none" w:sz="0" w:space="0" w:color="auto"/>
        <w:bottom w:val="none" w:sz="0" w:space="0" w:color="auto"/>
        <w:right w:val="none" w:sz="0" w:space="0" w:color="auto"/>
      </w:divBdr>
    </w:div>
    <w:div w:id="1228111392">
      <w:bodyDiv w:val="1"/>
      <w:marLeft w:val="0"/>
      <w:marRight w:val="0"/>
      <w:marTop w:val="0"/>
      <w:marBottom w:val="0"/>
      <w:divBdr>
        <w:top w:val="none" w:sz="0" w:space="0" w:color="auto"/>
        <w:left w:val="none" w:sz="0" w:space="0" w:color="auto"/>
        <w:bottom w:val="none" w:sz="0" w:space="0" w:color="auto"/>
        <w:right w:val="none" w:sz="0" w:space="0" w:color="auto"/>
      </w:divBdr>
    </w:div>
    <w:div w:id="1272780207">
      <w:bodyDiv w:val="1"/>
      <w:marLeft w:val="0"/>
      <w:marRight w:val="0"/>
      <w:marTop w:val="0"/>
      <w:marBottom w:val="0"/>
      <w:divBdr>
        <w:top w:val="none" w:sz="0" w:space="0" w:color="auto"/>
        <w:left w:val="none" w:sz="0" w:space="0" w:color="auto"/>
        <w:bottom w:val="none" w:sz="0" w:space="0" w:color="auto"/>
        <w:right w:val="none" w:sz="0" w:space="0" w:color="auto"/>
      </w:divBdr>
      <w:divsChild>
        <w:div w:id="1799295309">
          <w:marLeft w:val="0"/>
          <w:marRight w:val="0"/>
          <w:marTop w:val="0"/>
          <w:marBottom w:val="0"/>
          <w:divBdr>
            <w:top w:val="none" w:sz="0" w:space="0" w:color="auto"/>
            <w:left w:val="none" w:sz="0" w:space="0" w:color="auto"/>
            <w:bottom w:val="none" w:sz="0" w:space="0" w:color="auto"/>
            <w:right w:val="none" w:sz="0" w:space="0" w:color="auto"/>
          </w:divBdr>
          <w:divsChild>
            <w:div w:id="1279679334">
              <w:marLeft w:val="0"/>
              <w:marRight w:val="0"/>
              <w:marTop w:val="0"/>
              <w:marBottom w:val="0"/>
              <w:divBdr>
                <w:top w:val="none" w:sz="0" w:space="0" w:color="auto"/>
                <w:left w:val="none" w:sz="0" w:space="0" w:color="auto"/>
                <w:bottom w:val="none" w:sz="0" w:space="0" w:color="auto"/>
                <w:right w:val="none" w:sz="0" w:space="0" w:color="auto"/>
              </w:divBdr>
              <w:divsChild>
                <w:div w:id="744886245">
                  <w:marLeft w:val="0"/>
                  <w:marRight w:val="0"/>
                  <w:marTop w:val="0"/>
                  <w:marBottom w:val="0"/>
                  <w:divBdr>
                    <w:top w:val="none" w:sz="0" w:space="0" w:color="auto"/>
                    <w:left w:val="none" w:sz="0" w:space="0" w:color="auto"/>
                    <w:bottom w:val="none" w:sz="0" w:space="0" w:color="auto"/>
                    <w:right w:val="none" w:sz="0" w:space="0" w:color="auto"/>
                  </w:divBdr>
                  <w:divsChild>
                    <w:div w:id="1682587617">
                      <w:marLeft w:val="0"/>
                      <w:marRight w:val="0"/>
                      <w:marTop w:val="0"/>
                      <w:marBottom w:val="0"/>
                      <w:divBdr>
                        <w:top w:val="none" w:sz="0" w:space="0" w:color="auto"/>
                        <w:left w:val="none" w:sz="0" w:space="0" w:color="auto"/>
                        <w:bottom w:val="none" w:sz="0" w:space="0" w:color="auto"/>
                        <w:right w:val="none" w:sz="0" w:space="0" w:color="auto"/>
                      </w:divBdr>
                      <w:divsChild>
                        <w:div w:id="1931959865">
                          <w:marLeft w:val="0"/>
                          <w:marRight w:val="0"/>
                          <w:marTop w:val="0"/>
                          <w:marBottom w:val="0"/>
                          <w:divBdr>
                            <w:top w:val="none" w:sz="0" w:space="0" w:color="auto"/>
                            <w:left w:val="none" w:sz="0" w:space="0" w:color="auto"/>
                            <w:bottom w:val="none" w:sz="0" w:space="0" w:color="auto"/>
                            <w:right w:val="none" w:sz="0" w:space="0" w:color="auto"/>
                          </w:divBdr>
                          <w:divsChild>
                            <w:div w:id="3767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04950">
      <w:bodyDiv w:val="1"/>
      <w:marLeft w:val="0"/>
      <w:marRight w:val="0"/>
      <w:marTop w:val="0"/>
      <w:marBottom w:val="0"/>
      <w:divBdr>
        <w:top w:val="none" w:sz="0" w:space="0" w:color="auto"/>
        <w:left w:val="none" w:sz="0" w:space="0" w:color="auto"/>
        <w:bottom w:val="none" w:sz="0" w:space="0" w:color="auto"/>
        <w:right w:val="none" w:sz="0" w:space="0" w:color="auto"/>
      </w:divBdr>
    </w:div>
    <w:div w:id="1396932484">
      <w:bodyDiv w:val="1"/>
      <w:marLeft w:val="0"/>
      <w:marRight w:val="0"/>
      <w:marTop w:val="0"/>
      <w:marBottom w:val="0"/>
      <w:divBdr>
        <w:top w:val="none" w:sz="0" w:space="0" w:color="auto"/>
        <w:left w:val="none" w:sz="0" w:space="0" w:color="auto"/>
        <w:bottom w:val="none" w:sz="0" w:space="0" w:color="auto"/>
        <w:right w:val="none" w:sz="0" w:space="0" w:color="auto"/>
      </w:divBdr>
      <w:divsChild>
        <w:div w:id="1430465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8086943">
      <w:bodyDiv w:val="1"/>
      <w:marLeft w:val="0"/>
      <w:marRight w:val="0"/>
      <w:marTop w:val="0"/>
      <w:marBottom w:val="0"/>
      <w:divBdr>
        <w:top w:val="none" w:sz="0" w:space="0" w:color="auto"/>
        <w:left w:val="none" w:sz="0" w:space="0" w:color="auto"/>
        <w:bottom w:val="none" w:sz="0" w:space="0" w:color="auto"/>
        <w:right w:val="none" w:sz="0" w:space="0" w:color="auto"/>
      </w:divBdr>
    </w:div>
    <w:div w:id="1416199324">
      <w:bodyDiv w:val="1"/>
      <w:marLeft w:val="0"/>
      <w:marRight w:val="0"/>
      <w:marTop w:val="0"/>
      <w:marBottom w:val="0"/>
      <w:divBdr>
        <w:top w:val="none" w:sz="0" w:space="0" w:color="auto"/>
        <w:left w:val="none" w:sz="0" w:space="0" w:color="auto"/>
        <w:bottom w:val="none" w:sz="0" w:space="0" w:color="auto"/>
        <w:right w:val="none" w:sz="0" w:space="0" w:color="auto"/>
      </w:divBdr>
    </w:div>
    <w:div w:id="1448507755">
      <w:bodyDiv w:val="1"/>
      <w:marLeft w:val="0"/>
      <w:marRight w:val="0"/>
      <w:marTop w:val="0"/>
      <w:marBottom w:val="0"/>
      <w:divBdr>
        <w:top w:val="none" w:sz="0" w:space="0" w:color="auto"/>
        <w:left w:val="none" w:sz="0" w:space="0" w:color="auto"/>
        <w:bottom w:val="none" w:sz="0" w:space="0" w:color="auto"/>
        <w:right w:val="none" w:sz="0" w:space="0" w:color="auto"/>
      </w:divBdr>
      <w:divsChild>
        <w:div w:id="1093554344">
          <w:marLeft w:val="0"/>
          <w:marRight w:val="0"/>
          <w:marTop w:val="0"/>
          <w:marBottom w:val="0"/>
          <w:divBdr>
            <w:top w:val="none" w:sz="0" w:space="0" w:color="auto"/>
            <w:left w:val="none" w:sz="0" w:space="0" w:color="auto"/>
            <w:bottom w:val="none" w:sz="0" w:space="0" w:color="auto"/>
            <w:right w:val="none" w:sz="0" w:space="0" w:color="auto"/>
          </w:divBdr>
          <w:divsChild>
            <w:div w:id="13790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4286">
      <w:bodyDiv w:val="1"/>
      <w:marLeft w:val="0"/>
      <w:marRight w:val="0"/>
      <w:marTop w:val="0"/>
      <w:marBottom w:val="0"/>
      <w:divBdr>
        <w:top w:val="none" w:sz="0" w:space="0" w:color="auto"/>
        <w:left w:val="none" w:sz="0" w:space="0" w:color="auto"/>
        <w:bottom w:val="none" w:sz="0" w:space="0" w:color="auto"/>
        <w:right w:val="none" w:sz="0" w:space="0" w:color="auto"/>
      </w:divBdr>
    </w:div>
    <w:div w:id="1474369679">
      <w:bodyDiv w:val="1"/>
      <w:marLeft w:val="0"/>
      <w:marRight w:val="0"/>
      <w:marTop w:val="0"/>
      <w:marBottom w:val="0"/>
      <w:divBdr>
        <w:top w:val="none" w:sz="0" w:space="0" w:color="auto"/>
        <w:left w:val="none" w:sz="0" w:space="0" w:color="auto"/>
        <w:bottom w:val="none" w:sz="0" w:space="0" w:color="auto"/>
        <w:right w:val="none" w:sz="0" w:space="0" w:color="auto"/>
      </w:divBdr>
    </w:div>
    <w:div w:id="1488743300">
      <w:bodyDiv w:val="1"/>
      <w:marLeft w:val="0"/>
      <w:marRight w:val="0"/>
      <w:marTop w:val="0"/>
      <w:marBottom w:val="0"/>
      <w:divBdr>
        <w:top w:val="none" w:sz="0" w:space="0" w:color="auto"/>
        <w:left w:val="none" w:sz="0" w:space="0" w:color="auto"/>
        <w:bottom w:val="none" w:sz="0" w:space="0" w:color="auto"/>
        <w:right w:val="none" w:sz="0" w:space="0" w:color="auto"/>
      </w:divBdr>
    </w:div>
    <w:div w:id="1513639399">
      <w:bodyDiv w:val="1"/>
      <w:marLeft w:val="0"/>
      <w:marRight w:val="0"/>
      <w:marTop w:val="0"/>
      <w:marBottom w:val="0"/>
      <w:divBdr>
        <w:top w:val="none" w:sz="0" w:space="0" w:color="auto"/>
        <w:left w:val="none" w:sz="0" w:space="0" w:color="auto"/>
        <w:bottom w:val="none" w:sz="0" w:space="0" w:color="auto"/>
        <w:right w:val="none" w:sz="0" w:space="0" w:color="auto"/>
      </w:divBdr>
    </w:div>
    <w:div w:id="1534150289">
      <w:bodyDiv w:val="1"/>
      <w:marLeft w:val="0"/>
      <w:marRight w:val="0"/>
      <w:marTop w:val="0"/>
      <w:marBottom w:val="0"/>
      <w:divBdr>
        <w:top w:val="none" w:sz="0" w:space="0" w:color="auto"/>
        <w:left w:val="none" w:sz="0" w:space="0" w:color="auto"/>
        <w:bottom w:val="none" w:sz="0" w:space="0" w:color="auto"/>
        <w:right w:val="none" w:sz="0" w:space="0" w:color="auto"/>
      </w:divBdr>
    </w:div>
    <w:div w:id="1538008646">
      <w:bodyDiv w:val="1"/>
      <w:marLeft w:val="0"/>
      <w:marRight w:val="0"/>
      <w:marTop w:val="0"/>
      <w:marBottom w:val="0"/>
      <w:divBdr>
        <w:top w:val="none" w:sz="0" w:space="0" w:color="auto"/>
        <w:left w:val="none" w:sz="0" w:space="0" w:color="auto"/>
        <w:bottom w:val="none" w:sz="0" w:space="0" w:color="auto"/>
        <w:right w:val="none" w:sz="0" w:space="0" w:color="auto"/>
      </w:divBdr>
      <w:divsChild>
        <w:div w:id="694039621">
          <w:marLeft w:val="418"/>
          <w:marRight w:val="0"/>
          <w:marTop w:val="0"/>
          <w:marBottom w:val="240"/>
          <w:divBdr>
            <w:top w:val="none" w:sz="0" w:space="0" w:color="auto"/>
            <w:left w:val="none" w:sz="0" w:space="0" w:color="auto"/>
            <w:bottom w:val="none" w:sz="0" w:space="0" w:color="auto"/>
            <w:right w:val="none" w:sz="0" w:space="0" w:color="auto"/>
          </w:divBdr>
        </w:div>
      </w:divsChild>
    </w:div>
    <w:div w:id="1541629352">
      <w:bodyDiv w:val="1"/>
      <w:marLeft w:val="0"/>
      <w:marRight w:val="0"/>
      <w:marTop w:val="0"/>
      <w:marBottom w:val="0"/>
      <w:divBdr>
        <w:top w:val="none" w:sz="0" w:space="0" w:color="auto"/>
        <w:left w:val="none" w:sz="0" w:space="0" w:color="auto"/>
        <w:bottom w:val="none" w:sz="0" w:space="0" w:color="auto"/>
        <w:right w:val="none" w:sz="0" w:space="0" w:color="auto"/>
      </w:divBdr>
    </w:div>
    <w:div w:id="1542279374">
      <w:bodyDiv w:val="1"/>
      <w:marLeft w:val="0"/>
      <w:marRight w:val="0"/>
      <w:marTop w:val="0"/>
      <w:marBottom w:val="0"/>
      <w:divBdr>
        <w:top w:val="none" w:sz="0" w:space="0" w:color="auto"/>
        <w:left w:val="none" w:sz="0" w:space="0" w:color="auto"/>
        <w:bottom w:val="none" w:sz="0" w:space="0" w:color="auto"/>
        <w:right w:val="none" w:sz="0" w:space="0" w:color="auto"/>
      </w:divBdr>
    </w:div>
    <w:div w:id="1555046173">
      <w:bodyDiv w:val="1"/>
      <w:marLeft w:val="0"/>
      <w:marRight w:val="0"/>
      <w:marTop w:val="0"/>
      <w:marBottom w:val="0"/>
      <w:divBdr>
        <w:top w:val="none" w:sz="0" w:space="0" w:color="auto"/>
        <w:left w:val="none" w:sz="0" w:space="0" w:color="auto"/>
        <w:bottom w:val="none" w:sz="0" w:space="0" w:color="auto"/>
        <w:right w:val="none" w:sz="0" w:space="0" w:color="auto"/>
      </w:divBdr>
    </w:div>
    <w:div w:id="1591619842">
      <w:bodyDiv w:val="1"/>
      <w:marLeft w:val="0"/>
      <w:marRight w:val="0"/>
      <w:marTop w:val="0"/>
      <w:marBottom w:val="0"/>
      <w:divBdr>
        <w:top w:val="none" w:sz="0" w:space="0" w:color="auto"/>
        <w:left w:val="none" w:sz="0" w:space="0" w:color="auto"/>
        <w:bottom w:val="none" w:sz="0" w:space="0" w:color="auto"/>
        <w:right w:val="none" w:sz="0" w:space="0" w:color="auto"/>
      </w:divBdr>
    </w:div>
    <w:div w:id="1647929247">
      <w:bodyDiv w:val="1"/>
      <w:marLeft w:val="0"/>
      <w:marRight w:val="0"/>
      <w:marTop w:val="0"/>
      <w:marBottom w:val="0"/>
      <w:divBdr>
        <w:top w:val="none" w:sz="0" w:space="0" w:color="auto"/>
        <w:left w:val="none" w:sz="0" w:space="0" w:color="auto"/>
        <w:bottom w:val="none" w:sz="0" w:space="0" w:color="auto"/>
        <w:right w:val="none" w:sz="0" w:space="0" w:color="auto"/>
      </w:divBdr>
    </w:div>
    <w:div w:id="1664773470">
      <w:bodyDiv w:val="1"/>
      <w:marLeft w:val="0"/>
      <w:marRight w:val="0"/>
      <w:marTop w:val="0"/>
      <w:marBottom w:val="0"/>
      <w:divBdr>
        <w:top w:val="none" w:sz="0" w:space="0" w:color="auto"/>
        <w:left w:val="none" w:sz="0" w:space="0" w:color="auto"/>
        <w:bottom w:val="none" w:sz="0" w:space="0" w:color="auto"/>
        <w:right w:val="none" w:sz="0" w:space="0" w:color="auto"/>
      </w:divBdr>
    </w:div>
    <w:div w:id="1667048585">
      <w:bodyDiv w:val="1"/>
      <w:marLeft w:val="0"/>
      <w:marRight w:val="0"/>
      <w:marTop w:val="0"/>
      <w:marBottom w:val="0"/>
      <w:divBdr>
        <w:top w:val="none" w:sz="0" w:space="0" w:color="auto"/>
        <w:left w:val="none" w:sz="0" w:space="0" w:color="auto"/>
        <w:bottom w:val="none" w:sz="0" w:space="0" w:color="auto"/>
        <w:right w:val="none" w:sz="0" w:space="0" w:color="auto"/>
      </w:divBdr>
    </w:div>
    <w:div w:id="1668629173">
      <w:bodyDiv w:val="1"/>
      <w:marLeft w:val="0"/>
      <w:marRight w:val="0"/>
      <w:marTop w:val="0"/>
      <w:marBottom w:val="0"/>
      <w:divBdr>
        <w:top w:val="none" w:sz="0" w:space="0" w:color="auto"/>
        <w:left w:val="none" w:sz="0" w:space="0" w:color="auto"/>
        <w:bottom w:val="none" w:sz="0" w:space="0" w:color="auto"/>
        <w:right w:val="none" w:sz="0" w:space="0" w:color="auto"/>
      </w:divBdr>
    </w:div>
    <w:div w:id="1668902034">
      <w:bodyDiv w:val="1"/>
      <w:marLeft w:val="0"/>
      <w:marRight w:val="0"/>
      <w:marTop w:val="0"/>
      <w:marBottom w:val="0"/>
      <w:divBdr>
        <w:top w:val="none" w:sz="0" w:space="0" w:color="auto"/>
        <w:left w:val="none" w:sz="0" w:space="0" w:color="auto"/>
        <w:bottom w:val="none" w:sz="0" w:space="0" w:color="auto"/>
        <w:right w:val="none" w:sz="0" w:space="0" w:color="auto"/>
      </w:divBdr>
    </w:div>
    <w:div w:id="1676614616">
      <w:bodyDiv w:val="1"/>
      <w:marLeft w:val="0"/>
      <w:marRight w:val="0"/>
      <w:marTop w:val="0"/>
      <w:marBottom w:val="0"/>
      <w:divBdr>
        <w:top w:val="none" w:sz="0" w:space="0" w:color="auto"/>
        <w:left w:val="none" w:sz="0" w:space="0" w:color="auto"/>
        <w:bottom w:val="none" w:sz="0" w:space="0" w:color="auto"/>
        <w:right w:val="none" w:sz="0" w:space="0" w:color="auto"/>
      </w:divBdr>
    </w:div>
    <w:div w:id="1677072947">
      <w:bodyDiv w:val="1"/>
      <w:marLeft w:val="0"/>
      <w:marRight w:val="0"/>
      <w:marTop w:val="0"/>
      <w:marBottom w:val="0"/>
      <w:divBdr>
        <w:top w:val="none" w:sz="0" w:space="0" w:color="auto"/>
        <w:left w:val="none" w:sz="0" w:space="0" w:color="auto"/>
        <w:bottom w:val="none" w:sz="0" w:space="0" w:color="auto"/>
        <w:right w:val="none" w:sz="0" w:space="0" w:color="auto"/>
      </w:divBdr>
      <w:divsChild>
        <w:div w:id="839126897">
          <w:marLeft w:val="0"/>
          <w:marRight w:val="0"/>
          <w:marTop w:val="0"/>
          <w:marBottom w:val="0"/>
          <w:divBdr>
            <w:top w:val="none" w:sz="0" w:space="0" w:color="auto"/>
            <w:left w:val="none" w:sz="0" w:space="0" w:color="auto"/>
            <w:bottom w:val="none" w:sz="0" w:space="0" w:color="auto"/>
            <w:right w:val="none" w:sz="0" w:space="0" w:color="auto"/>
          </w:divBdr>
          <w:divsChild>
            <w:div w:id="42797164">
              <w:marLeft w:val="0"/>
              <w:marRight w:val="0"/>
              <w:marTop w:val="0"/>
              <w:marBottom w:val="0"/>
              <w:divBdr>
                <w:top w:val="none" w:sz="0" w:space="0" w:color="auto"/>
                <w:left w:val="none" w:sz="0" w:space="0" w:color="auto"/>
                <w:bottom w:val="none" w:sz="0" w:space="0" w:color="auto"/>
                <w:right w:val="none" w:sz="0" w:space="0" w:color="auto"/>
              </w:divBdr>
              <w:divsChild>
                <w:div w:id="2099861000">
                  <w:marLeft w:val="0"/>
                  <w:marRight w:val="0"/>
                  <w:marTop w:val="0"/>
                  <w:marBottom w:val="0"/>
                  <w:divBdr>
                    <w:top w:val="none" w:sz="0" w:space="0" w:color="auto"/>
                    <w:left w:val="none" w:sz="0" w:space="0" w:color="auto"/>
                    <w:bottom w:val="none" w:sz="0" w:space="0" w:color="auto"/>
                    <w:right w:val="none" w:sz="0" w:space="0" w:color="auto"/>
                  </w:divBdr>
                  <w:divsChild>
                    <w:div w:id="98719136">
                      <w:marLeft w:val="0"/>
                      <w:marRight w:val="0"/>
                      <w:marTop w:val="0"/>
                      <w:marBottom w:val="0"/>
                      <w:divBdr>
                        <w:top w:val="none" w:sz="0" w:space="0" w:color="auto"/>
                        <w:left w:val="none" w:sz="0" w:space="0" w:color="auto"/>
                        <w:bottom w:val="none" w:sz="0" w:space="0" w:color="auto"/>
                        <w:right w:val="none" w:sz="0" w:space="0" w:color="auto"/>
                      </w:divBdr>
                      <w:divsChild>
                        <w:div w:id="14216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430704">
      <w:bodyDiv w:val="1"/>
      <w:marLeft w:val="0"/>
      <w:marRight w:val="0"/>
      <w:marTop w:val="0"/>
      <w:marBottom w:val="0"/>
      <w:divBdr>
        <w:top w:val="none" w:sz="0" w:space="0" w:color="auto"/>
        <w:left w:val="none" w:sz="0" w:space="0" w:color="auto"/>
        <w:bottom w:val="none" w:sz="0" w:space="0" w:color="auto"/>
        <w:right w:val="none" w:sz="0" w:space="0" w:color="auto"/>
      </w:divBdr>
    </w:div>
    <w:div w:id="1706295866">
      <w:bodyDiv w:val="1"/>
      <w:marLeft w:val="0"/>
      <w:marRight w:val="0"/>
      <w:marTop w:val="0"/>
      <w:marBottom w:val="0"/>
      <w:divBdr>
        <w:top w:val="none" w:sz="0" w:space="0" w:color="auto"/>
        <w:left w:val="none" w:sz="0" w:space="0" w:color="auto"/>
        <w:bottom w:val="none" w:sz="0" w:space="0" w:color="auto"/>
        <w:right w:val="none" w:sz="0" w:space="0" w:color="auto"/>
      </w:divBdr>
    </w:div>
    <w:div w:id="1710035383">
      <w:bodyDiv w:val="1"/>
      <w:marLeft w:val="0"/>
      <w:marRight w:val="0"/>
      <w:marTop w:val="0"/>
      <w:marBottom w:val="0"/>
      <w:divBdr>
        <w:top w:val="none" w:sz="0" w:space="0" w:color="auto"/>
        <w:left w:val="none" w:sz="0" w:space="0" w:color="auto"/>
        <w:bottom w:val="none" w:sz="0" w:space="0" w:color="auto"/>
        <w:right w:val="none" w:sz="0" w:space="0" w:color="auto"/>
      </w:divBdr>
    </w:div>
    <w:div w:id="1737631470">
      <w:bodyDiv w:val="1"/>
      <w:marLeft w:val="0"/>
      <w:marRight w:val="0"/>
      <w:marTop w:val="0"/>
      <w:marBottom w:val="0"/>
      <w:divBdr>
        <w:top w:val="none" w:sz="0" w:space="0" w:color="auto"/>
        <w:left w:val="none" w:sz="0" w:space="0" w:color="auto"/>
        <w:bottom w:val="none" w:sz="0" w:space="0" w:color="auto"/>
        <w:right w:val="none" w:sz="0" w:space="0" w:color="auto"/>
      </w:divBdr>
    </w:div>
    <w:div w:id="1796828467">
      <w:bodyDiv w:val="1"/>
      <w:marLeft w:val="0"/>
      <w:marRight w:val="0"/>
      <w:marTop w:val="0"/>
      <w:marBottom w:val="0"/>
      <w:divBdr>
        <w:top w:val="none" w:sz="0" w:space="0" w:color="auto"/>
        <w:left w:val="none" w:sz="0" w:space="0" w:color="auto"/>
        <w:bottom w:val="none" w:sz="0" w:space="0" w:color="auto"/>
        <w:right w:val="none" w:sz="0" w:space="0" w:color="auto"/>
      </w:divBdr>
      <w:divsChild>
        <w:div w:id="1580870668">
          <w:marLeft w:val="0"/>
          <w:marRight w:val="0"/>
          <w:marTop w:val="0"/>
          <w:marBottom w:val="0"/>
          <w:divBdr>
            <w:top w:val="none" w:sz="0" w:space="0" w:color="auto"/>
            <w:left w:val="none" w:sz="0" w:space="0" w:color="auto"/>
            <w:bottom w:val="none" w:sz="0" w:space="0" w:color="auto"/>
            <w:right w:val="none" w:sz="0" w:space="0" w:color="auto"/>
          </w:divBdr>
          <w:divsChild>
            <w:div w:id="1695231322">
              <w:marLeft w:val="0"/>
              <w:marRight w:val="0"/>
              <w:marTop w:val="0"/>
              <w:marBottom w:val="0"/>
              <w:divBdr>
                <w:top w:val="none" w:sz="0" w:space="0" w:color="auto"/>
                <w:left w:val="none" w:sz="0" w:space="0" w:color="auto"/>
                <w:bottom w:val="none" w:sz="0" w:space="0" w:color="auto"/>
                <w:right w:val="none" w:sz="0" w:space="0" w:color="auto"/>
              </w:divBdr>
              <w:divsChild>
                <w:div w:id="529032175">
                  <w:marLeft w:val="0"/>
                  <w:marRight w:val="0"/>
                  <w:marTop w:val="0"/>
                  <w:marBottom w:val="0"/>
                  <w:divBdr>
                    <w:top w:val="none" w:sz="0" w:space="0" w:color="auto"/>
                    <w:left w:val="none" w:sz="0" w:space="0" w:color="auto"/>
                    <w:bottom w:val="none" w:sz="0" w:space="0" w:color="auto"/>
                    <w:right w:val="none" w:sz="0" w:space="0" w:color="auto"/>
                  </w:divBdr>
                  <w:divsChild>
                    <w:div w:id="6103260">
                      <w:marLeft w:val="0"/>
                      <w:marRight w:val="0"/>
                      <w:marTop w:val="0"/>
                      <w:marBottom w:val="0"/>
                      <w:divBdr>
                        <w:top w:val="none" w:sz="0" w:space="0" w:color="auto"/>
                        <w:left w:val="none" w:sz="0" w:space="0" w:color="auto"/>
                        <w:bottom w:val="none" w:sz="0" w:space="0" w:color="auto"/>
                        <w:right w:val="none" w:sz="0" w:space="0" w:color="auto"/>
                      </w:divBdr>
                      <w:divsChild>
                        <w:div w:id="14363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2315">
      <w:bodyDiv w:val="1"/>
      <w:marLeft w:val="0"/>
      <w:marRight w:val="0"/>
      <w:marTop w:val="0"/>
      <w:marBottom w:val="0"/>
      <w:divBdr>
        <w:top w:val="none" w:sz="0" w:space="0" w:color="auto"/>
        <w:left w:val="none" w:sz="0" w:space="0" w:color="auto"/>
        <w:bottom w:val="none" w:sz="0" w:space="0" w:color="auto"/>
        <w:right w:val="none" w:sz="0" w:space="0" w:color="auto"/>
      </w:divBdr>
    </w:div>
    <w:div w:id="1824855403">
      <w:bodyDiv w:val="1"/>
      <w:marLeft w:val="0"/>
      <w:marRight w:val="0"/>
      <w:marTop w:val="0"/>
      <w:marBottom w:val="0"/>
      <w:divBdr>
        <w:top w:val="none" w:sz="0" w:space="0" w:color="auto"/>
        <w:left w:val="none" w:sz="0" w:space="0" w:color="auto"/>
        <w:bottom w:val="none" w:sz="0" w:space="0" w:color="auto"/>
        <w:right w:val="none" w:sz="0" w:space="0" w:color="auto"/>
      </w:divBdr>
    </w:div>
    <w:div w:id="1836527293">
      <w:bodyDiv w:val="1"/>
      <w:marLeft w:val="0"/>
      <w:marRight w:val="0"/>
      <w:marTop w:val="0"/>
      <w:marBottom w:val="0"/>
      <w:divBdr>
        <w:top w:val="none" w:sz="0" w:space="0" w:color="auto"/>
        <w:left w:val="none" w:sz="0" w:space="0" w:color="auto"/>
        <w:bottom w:val="none" w:sz="0" w:space="0" w:color="auto"/>
        <w:right w:val="none" w:sz="0" w:space="0" w:color="auto"/>
      </w:divBdr>
      <w:divsChild>
        <w:div w:id="686174091">
          <w:marLeft w:val="0"/>
          <w:marRight w:val="0"/>
          <w:marTop w:val="0"/>
          <w:marBottom w:val="0"/>
          <w:divBdr>
            <w:top w:val="none" w:sz="0" w:space="0" w:color="auto"/>
            <w:left w:val="none" w:sz="0" w:space="0" w:color="auto"/>
            <w:bottom w:val="none" w:sz="0" w:space="0" w:color="auto"/>
            <w:right w:val="none" w:sz="0" w:space="0" w:color="auto"/>
          </w:divBdr>
        </w:div>
      </w:divsChild>
    </w:div>
    <w:div w:id="1886602485">
      <w:bodyDiv w:val="1"/>
      <w:marLeft w:val="0"/>
      <w:marRight w:val="0"/>
      <w:marTop w:val="0"/>
      <w:marBottom w:val="0"/>
      <w:divBdr>
        <w:top w:val="none" w:sz="0" w:space="0" w:color="auto"/>
        <w:left w:val="none" w:sz="0" w:space="0" w:color="auto"/>
        <w:bottom w:val="none" w:sz="0" w:space="0" w:color="auto"/>
        <w:right w:val="none" w:sz="0" w:space="0" w:color="auto"/>
      </w:divBdr>
    </w:div>
    <w:div w:id="1890804522">
      <w:bodyDiv w:val="1"/>
      <w:marLeft w:val="0"/>
      <w:marRight w:val="0"/>
      <w:marTop w:val="0"/>
      <w:marBottom w:val="0"/>
      <w:divBdr>
        <w:top w:val="none" w:sz="0" w:space="0" w:color="auto"/>
        <w:left w:val="none" w:sz="0" w:space="0" w:color="auto"/>
        <w:bottom w:val="none" w:sz="0" w:space="0" w:color="auto"/>
        <w:right w:val="none" w:sz="0" w:space="0" w:color="auto"/>
      </w:divBdr>
      <w:divsChild>
        <w:div w:id="1017734961">
          <w:marLeft w:val="0"/>
          <w:marRight w:val="0"/>
          <w:marTop w:val="0"/>
          <w:marBottom w:val="0"/>
          <w:divBdr>
            <w:top w:val="none" w:sz="0" w:space="0" w:color="auto"/>
            <w:left w:val="none" w:sz="0" w:space="0" w:color="auto"/>
            <w:bottom w:val="none" w:sz="0" w:space="0" w:color="auto"/>
            <w:right w:val="none" w:sz="0" w:space="0" w:color="auto"/>
          </w:divBdr>
          <w:divsChild>
            <w:div w:id="144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2452">
      <w:bodyDiv w:val="1"/>
      <w:marLeft w:val="0"/>
      <w:marRight w:val="0"/>
      <w:marTop w:val="0"/>
      <w:marBottom w:val="0"/>
      <w:divBdr>
        <w:top w:val="none" w:sz="0" w:space="0" w:color="auto"/>
        <w:left w:val="none" w:sz="0" w:space="0" w:color="auto"/>
        <w:bottom w:val="none" w:sz="0" w:space="0" w:color="auto"/>
        <w:right w:val="none" w:sz="0" w:space="0" w:color="auto"/>
      </w:divBdr>
    </w:div>
    <w:div w:id="1940603213">
      <w:bodyDiv w:val="1"/>
      <w:marLeft w:val="0"/>
      <w:marRight w:val="0"/>
      <w:marTop w:val="0"/>
      <w:marBottom w:val="0"/>
      <w:divBdr>
        <w:top w:val="none" w:sz="0" w:space="0" w:color="auto"/>
        <w:left w:val="none" w:sz="0" w:space="0" w:color="auto"/>
        <w:bottom w:val="none" w:sz="0" w:space="0" w:color="auto"/>
        <w:right w:val="none" w:sz="0" w:space="0" w:color="auto"/>
      </w:divBdr>
      <w:divsChild>
        <w:div w:id="1277642833">
          <w:marLeft w:val="0"/>
          <w:marRight w:val="0"/>
          <w:marTop w:val="0"/>
          <w:marBottom w:val="0"/>
          <w:divBdr>
            <w:top w:val="none" w:sz="0" w:space="0" w:color="auto"/>
            <w:left w:val="none" w:sz="0" w:space="0" w:color="auto"/>
            <w:bottom w:val="none" w:sz="0" w:space="0" w:color="auto"/>
            <w:right w:val="none" w:sz="0" w:space="0" w:color="auto"/>
          </w:divBdr>
          <w:divsChild>
            <w:div w:id="614562316">
              <w:marLeft w:val="0"/>
              <w:marRight w:val="0"/>
              <w:marTop w:val="0"/>
              <w:marBottom w:val="0"/>
              <w:divBdr>
                <w:top w:val="none" w:sz="0" w:space="0" w:color="auto"/>
                <w:left w:val="none" w:sz="0" w:space="0" w:color="auto"/>
                <w:bottom w:val="none" w:sz="0" w:space="0" w:color="auto"/>
                <w:right w:val="none" w:sz="0" w:space="0" w:color="auto"/>
              </w:divBdr>
              <w:divsChild>
                <w:div w:id="525873123">
                  <w:marLeft w:val="0"/>
                  <w:marRight w:val="0"/>
                  <w:marTop w:val="0"/>
                  <w:marBottom w:val="0"/>
                  <w:divBdr>
                    <w:top w:val="none" w:sz="0" w:space="0" w:color="auto"/>
                    <w:left w:val="none" w:sz="0" w:space="0" w:color="auto"/>
                    <w:bottom w:val="none" w:sz="0" w:space="0" w:color="auto"/>
                    <w:right w:val="none" w:sz="0" w:space="0" w:color="auto"/>
                  </w:divBdr>
                  <w:divsChild>
                    <w:div w:id="904145343">
                      <w:marLeft w:val="0"/>
                      <w:marRight w:val="0"/>
                      <w:marTop w:val="0"/>
                      <w:marBottom w:val="0"/>
                      <w:divBdr>
                        <w:top w:val="none" w:sz="0" w:space="0" w:color="auto"/>
                        <w:left w:val="none" w:sz="0" w:space="0" w:color="auto"/>
                        <w:bottom w:val="none" w:sz="0" w:space="0" w:color="auto"/>
                        <w:right w:val="none" w:sz="0" w:space="0" w:color="auto"/>
                      </w:divBdr>
                      <w:divsChild>
                        <w:div w:id="60257720">
                          <w:marLeft w:val="0"/>
                          <w:marRight w:val="0"/>
                          <w:marTop w:val="0"/>
                          <w:marBottom w:val="0"/>
                          <w:divBdr>
                            <w:top w:val="none" w:sz="0" w:space="0" w:color="auto"/>
                            <w:left w:val="none" w:sz="0" w:space="0" w:color="auto"/>
                            <w:bottom w:val="none" w:sz="0" w:space="0" w:color="auto"/>
                            <w:right w:val="none" w:sz="0" w:space="0" w:color="auto"/>
                          </w:divBdr>
                          <w:divsChild>
                            <w:div w:id="19013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2941">
      <w:bodyDiv w:val="1"/>
      <w:marLeft w:val="0"/>
      <w:marRight w:val="0"/>
      <w:marTop w:val="0"/>
      <w:marBottom w:val="0"/>
      <w:divBdr>
        <w:top w:val="none" w:sz="0" w:space="0" w:color="auto"/>
        <w:left w:val="none" w:sz="0" w:space="0" w:color="auto"/>
        <w:bottom w:val="none" w:sz="0" w:space="0" w:color="auto"/>
        <w:right w:val="none" w:sz="0" w:space="0" w:color="auto"/>
      </w:divBdr>
    </w:div>
    <w:div w:id="1968663413">
      <w:bodyDiv w:val="1"/>
      <w:marLeft w:val="0"/>
      <w:marRight w:val="0"/>
      <w:marTop w:val="0"/>
      <w:marBottom w:val="0"/>
      <w:divBdr>
        <w:top w:val="none" w:sz="0" w:space="0" w:color="auto"/>
        <w:left w:val="none" w:sz="0" w:space="0" w:color="auto"/>
        <w:bottom w:val="none" w:sz="0" w:space="0" w:color="auto"/>
        <w:right w:val="none" w:sz="0" w:space="0" w:color="auto"/>
      </w:divBdr>
    </w:div>
    <w:div w:id="1973903361">
      <w:bodyDiv w:val="1"/>
      <w:marLeft w:val="0"/>
      <w:marRight w:val="0"/>
      <w:marTop w:val="0"/>
      <w:marBottom w:val="0"/>
      <w:divBdr>
        <w:top w:val="none" w:sz="0" w:space="0" w:color="auto"/>
        <w:left w:val="none" w:sz="0" w:space="0" w:color="auto"/>
        <w:bottom w:val="none" w:sz="0" w:space="0" w:color="auto"/>
        <w:right w:val="none" w:sz="0" w:space="0" w:color="auto"/>
      </w:divBdr>
      <w:divsChild>
        <w:div w:id="1176112652">
          <w:marLeft w:val="0"/>
          <w:marRight w:val="0"/>
          <w:marTop w:val="0"/>
          <w:marBottom w:val="0"/>
          <w:divBdr>
            <w:top w:val="none" w:sz="0" w:space="0" w:color="auto"/>
            <w:left w:val="none" w:sz="0" w:space="0" w:color="auto"/>
            <w:bottom w:val="none" w:sz="0" w:space="0" w:color="auto"/>
            <w:right w:val="none" w:sz="0" w:space="0" w:color="auto"/>
          </w:divBdr>
          <w:divsChild>
            <w:div w:id="84641">
              <w:marLeft w:val="0"/>
              <w:marRight w:val="0"/>
              <w:marTop w:val="0"/>
              <w:marBottom w:val="0"/>
              <w:divBdr>
                <w:top w:val="none" w:sz="0" w:space="0" w:color="auto"/>
                <w:left w:val="none" w:sz="0" w:space="0" w:color="auto"/>
                <w:bottom w:val="none" w:sz="0" w:space="0" w:color="auto"/>
                <w:right w:val="none" w:sz="0" w:space="0" w:color="auto"/>
              </w:divBdr>
            </w:div>
            <w:div w:id="266348643">
              <w:marLeft w:val="0"/>
              <w:marRight w:val="0"/>
              <w:marTop w:val="0"/>
              <w:marBottom w:val="0"/>
              <w:divBdr>
                <w:top w:val="none" w:sz="0" w:space="0" w:color="auto"/>
                <w:left w:val="none" w:sz="0" w:space="0" w:color="auto"/>
                <w:bottom w:val="none" w:sz="0" w:space="0" w:color="auto"/>
                <w:right w:val="none" w:sz="0" w:space="0" w:color="auto"/>
              </w:divBdr>
            </w:div>
            <w:div w:id="426535628">
              <w:marLeft w:val="0"/>
              <w:marRight w:val="0"/>
              <w:marTop w:val="0"/>
              <w:marBottom w:val="0"/>
              <w:divBdr>
                <w:top w:val="none" w:sz="0" w:space="0" w:color="auto"/>
                <w:left w:val="none" w:sz="0" w:space="0" w:color="auto"/>
                <w:bottom w:val="none" w:sz="0" w:space="0" w:color="auto"/>
                <w:right w:val="none" w:sz="0" w:space="0" w:color="auto"/>
              </w:divBdr>
            </w:div>
            <w:div w:id="2017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21473">
      <w:bodyDiv w:val="1"/>
      <w:marLeft w:val="0"/>
      <w:marRight w:val="0"/>
      <w:marTop w:val="0"/>
      <w:marBottom w:val="0"/>
      <w:divBdr>
        <w:top w:val="none" w:sz="0" w:space="0" w:color="auto"/>
        <w:left w:val="none" w:sz="0" w:space="0" w:color="auto"/>
        <w:bottom w:val="none" w:sz="0" w:space="0" w:color="auto"/>
        <w:right w:val="none" w:sz="0" w:space="0" w:color="auto"/>
      </w:divBdr>
    </w:div>
    <w:div w:id="2025814036">
      <w:bodyDiv w:val="1"/>
      <w:marLeft w:val="0"/>
      <w:marRight w:val="0"/>
      <w:marTop w:val="0"/>
      <w:marBottom w:val="0"/>
      <w:divBdr>
        <w:top w:val="none" w:sz="0" w:space="0" w:color="auto"/>
        <w:left w:val="none" w:sz="0" w:space="0" w:color="auto"/>
        <w:bottom w:val="none" w:sz="0" w:space="0" w:color="auto"/>
        <w:right w:val="none" w:sz="0" w:space="0" w:color="auto"/>
      </w:divBdr>
    </w:div>
    <w:div w:id="2060787916">
      <w:bodyDiv w:val="1"/>
      <w:marLeft w:val="0"/>
      <w:marRight w:val="0"/>
      <w:marTop w:val="0"/>
      <w:marBottom w:val="0"/>
      <w:divBdr>
        <w:top w:val="none" w:sz="0" w:space="0" w:color="auto"/>
        <w:left w:val="none" w:sz="0" w:space="0" w:color="auto"/>
        <w:bottom w:val="none" w:sz="0" w:space="0" w:color="auto"/>
        <w:right w:val="none" w:sz="0" w:space="0" w:color="auto"/>
      </w:divBdr>
      <w:divsChild>
        <w:div w:id="1614437045">
          <w:marLeft w:val="0"/>
          <w:marRight w:val="0"/>
          <w:marTop w:val="0"/>
          <w:marBottom w:val="0"/>
          <w:divBdr>
            <w:top w:val="none" w:sz="0" w:space="0" w:color="auto"/>
            <w:left w:val="none" w:sz="0" w:space="0" w:color="auto"/>
            <w:bottom w:val="none" w:sz="0" w:space="0" w:color="auto"/>
            <w:right w:val="none" w:sz="0" w:space="0" w:color="auto"/>
          </w:divBdr>
          <w:divsChild>
            <w:div w:id="19759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668">
      <w:bodyDiv w:val="1"/>
      <w:marLeft w:val="0"/>
      <w:marRight w:val="0"/>
      <w:marTop w:val="0"/>
      <w:marBottom w:val="0"/>
      <w:divBdr>
        <w:top w:val="none" w:sz="0" w:space="0" w:color="auto"/>
        <w:left w:val="none" w:sz="0" w:space="0" w:color="auto"/>
        <w:bottom w:val="none" w:sz="0" w:space="0" w:color="auto"/>
        <w:right w:val="none" w:sz="0" w:space="0" w:color="auto"/>
      </w:divBdr>
    </w:div>
    <w:div w:id="2091850677">
      <w:bodyDiv w:val="1"/>
      <w:marLeft w:val="0"/>
      <w:marRight w:val="0"/>
      <w:marTop w:val="0"/>
      <w:marBottom w:val="0"/>
      <w:divBdr>
        <w:top w:val="none" w:sz="0" w:space="0" w:color="auto"/>
        <w:left w:val="none" w:sz="0" w:space="0" w:color="auto"/>
        <w:bottom w:val="none" w:sz="0" w:space="0" w:color="auto"/>
        <w:right w:val="none" w:sz="0" w:space="0" w:color="auto"/>
      </w:divBdr>
    </w:div>
    <w:div w:id="20951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gov.uk/government/publications/the-merlin-standard-guide-for-dwp-provider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uploads/system/uploads/attachment_data/file/261107/core-briefing-pack-for-providers-complaints-resolu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278159/pg-chapter-2.pdf"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gov.uk/government/uploads/system/uploads/attachment_data/file/278159/pg-chapter-2.pd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provider-referrals-and-payments-prap-system-for-dwp" TargetMode="External"/><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life-chances-through-procurement-guidance-for-dwp-contractors" TargetMode="External"/><Relationship Id="rId3" Type="http://schemas.openxmlformats.org/officeDocument/2006/relationships/hyperlink" Target="https://www.gov.uk/government/publications/new-enterprise-allowance-qualitative-evaluation-rr-836" TargetMode="External"/><Relationship Id="rId7" Type="http://schemas.openxmlformats.org/officeDocument/2006/relationships/hyperlink" Target="https://www.gov.uk/government/publications/universal-credit-and-self-employment-quick-guide/universal-credit-and-self-employment-quick-guide" TargetMode="External"/><Relationship Id="rId2" Type="http://schemas.openxmlformats.org/officeDocument/2006/relationships/hyperlink" Target="https://www.gov.uk/government/uploads/system/uploads/attachment_data/file/511542/boosting-enterprise-in-more-deprived-communities.pdf" TargetMode="External"/><Relationship Id="rId1" Type="http://schemas.openxmlformats.org/officeDocument/2006/relationships/hyperlink" Target="https://www.gov.uk/universal-credit" TargetMode="External"/><Relationship Id="rId6" Type="http://schemas.openxmlformats.org/officeDocument/2006/relationships/hyperlink" Target="https://www.gov.uk/government/statistics/new-enterprise-allowance-apr-2011-to-mar-2016" TargetMode="External"/><Relationship Id="rId5" Type="http://schemas.openxmlformats.org/officeDocument/2006/relationships/hyperlink" Target="https://www.gov.uk/government/publications/new-enterprise-allowance-survey" TargetMode="External"/><Relationship Id="rId4" Type="http://schemas.openxmlformats.org/officeDocument/2006/relationships/hyperlink" Target="https://www.gov.uk/government/statistics/new-enterprise-allowance-analysis-of-benefit-status-of-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24613-9B58-4352-B68B-C53B88FC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D015869A</Template>
  <TotalTime>5</TotalTime>
  <Pages>66</Pages>
  <Words>19484</Words>
  <Characters>104736</Characters>
  <Application>Microsoft Office Word</Application>
  <DocSecurity>0</DocSecurity>
  <Lines>872</Lines>
  <Paragraphs>247</Paragraphs>
  <ScaleCrop>false</ScaleCrop>
  <HeadingPairs>
    <vt:vector size="2" baseType="variant">
      <vt:variant>
        <vt:lpstr>Title</vt:lpstr>
      </vt:variant>
      <vt:variant>
        <vt:i4>1</vt:i4>
      </vt:variant>
    </vt:vector>
  </HeadingPairs>
  <TitlesOfParts>
    <vt:vector size="1" baseType="lpstr">
      <vt:lpstr>Phase One – flexible New Deal</vt:lpstr>
    </vt:vector>
  </TitlesOfParts>
  <Company>DWP</Company>
  <LinksUpToDate>false</LinksUpToDate>
  <CharactersWithSpaces>123973</CharactersWithSpaces>
  <SharedDoc>false</SharedDoc>
  <HLinks>
    <vt:vector size="216" baseType="variant">
      <vt:variant>
        <vt:i4>4325389</vt:i4>
      </vt:variant>
      <vt:variant>
        <vt:i4>105</vt:i4>
      </vt:variant>
      <vt:variant>
        <vt:i4>0</vt:i4>
      </vt:variant>
      <vt:variant>
        <vt:i4>5</vt:i4>
      </vt:variant>
      <vt:variant>
        <vt:lpwstr/>
      </vt:variant>
      <vt:variant>
        <vt:lpwstr>_Table_1</vt:lpwstr>
      </vt:variant>
      <vt:variant>
        <vt:i4>3473519</vt:i4>
      </vt:variant>
      <vt:variant>
        <vt:i4>102</vt:i4>
      </vt:variant>
      <vt:variant>
        <vt:i4>0</vt:i4>
      </vt:variant>
      <vt:variant>
        <vt:i4>5</vt:i4>
      </vt:variant>
      <vt:variant>
        <vt:lpwstr/>
      </vt:variant>
      <vt:variant>
        <vt:lpwstr>_5.__QUALITY,_1</vt:lpwstr>
      </vt:variant>
      <vt:variant>
        <vt:i4>7143439</vt:i4>
      </vt:variant>
      <vt:variant>
        <vt:i4>99</vt:i4>
      </vt:variant>
      <vt:variant>
        <vt:i4>0</vt:i4>
      </vt:variant>
      <vt:variant>
        <vt:i4>5</vt:i4>
      </vt:variant>
      <vt:variant>
        <vt:lpwstr>https://www.gov.uk/government/uploads/system/uploads/attachment_data/file/260425/pg-chapter-7.pdf</vt:lpwstr>
      </vt:variant>
      <vt:variant>
        <vt:lpwstr/>
      </vt:variant>
      <vt:variant>
        <vt:i4>4653144</vt:i4>
      </vt:variant>
      <vt:variant>
        <vt:i4>96</vt:i4>
      </vt:variant>
      <vt:variant>
        <vt:i4>0</vt:i4>
      </vt:variant>
      <vt:variant>
        <vt:i4>5</vt:i4>
      </vt:variant>
      <vt:variant>
        <vt:lpwstr/>
      </vt:variant>
      <vt:variant>
        <vt:lpwstr>_EVIDENCE_REQUIREMENTS</vt:lpwstr>
      </vt:variant>
      <vt:variant>
        <vt:i4>4259940</vt:i4>
      </vt:variant>
      <vt:variant>
        <vt:i4>93</vt:i4>
      </vt:variant>
      <vt:variant>
        <vt:i4>0</vt:i4>
      </vt:variant>
      <vt:variant>
        <vt:i4>5</vt:i4>
      </vt:variant>
      <vt:variant>
        <vt:lpwstr/>
      </vt:variant>
      <vt:variant>
        <vt:lpwstr>_SERVICE_DELIVERY_STANDARDS</vt:lpwstr>
      </vt:variant>
      <vt:variant>
        <vt:i4>6357105</vt:i4>
      </vt:variant>
      <vt:variant>
        <vt:i4>90</vt:i4>
      </vt:variant>
      <vt:variant>
        <vt:i4>0</vt:i4>
      </vt:variant>
      <vt:variant>
        <vt:i4>5</vt:i4>
      </vt:variant>
      <vt:variant>
        <vt:lpwstr>https://www.gov.uk/government/publications/the-merlin-standard-guide-for-dwp-providers</vt:lpwstr>
      </vt:variant>
      <vt:variant>
        <vt:lpwstr/>
      </vt:variant>
      <vt:variant>
        <vt:i4>5701708</vt:i4>
      </vt:variant>
      <vt:variant>
        <vt:i4>87</vt:i4>
      </vt:variant>
      <vt:variant>
        <vt:i4>0</vt:i4>
      </vt:variant>
      <vt:variant>
        <vt:i4>5</vt:i4>
      </vt:variant>
      <vt:variant>
        <vt:lpwstr/>
      </vt:variant>
      <vt:variant>
        <vt:lpwstr>_ADDITIONAL_INFORMATION</vt:lpwstr>
      </vt:variant>
      <vt:variant>
        <vt:i4>1310760</vt:i4>
      </vt:variant>
      <vt:variant>
        <vt:i4>84</vt:i4>
      </vt:variant>
      <vt:variant>
        <vt:i4>0</vt:i4>
      </vt:variant>
      <vt:variant>
        <vt:i4>5</vt:i4>
      </vt:variant>
      <vt:variant>
        <vt:lpwstr>https://www.gov.uk/government/uploads/system/uploads/attachment_data/file/261107/core-briefing-pack-for-providers-complaints-resolution.pdf</vt:lpwstr>
      </vt:variant>
      <vt:variant>
        <vt:lpwstr/>
      </vt:variant>
      <vt:variant>
        <vt:i4>6619141</vt:i4>
      </vt:variant>
      <vt:variant>
        <vt:i4>81</vt:i4>
      </vt:variant>
      <vt:variant>
        <vt:i4>0</vt:i4>
      </vt:variant>
      <vt:variant>
        <vt:i4>5</vt:i4>
      </vt:variant>
      <vt:variant>
        <vt:lpwstr>https://www.gov.uk/government/uploads/system/uploads/attachment_data/file/278159/pg-chapter-2.pdf</vt:lpwstr>
      </vt:variant>
      <vt:variant>
        <vt:lpwstr/>
      </vt:variant>
      <vt:variant>
        <vt:i4>3932261</vt:i4>
      </vt:variant>
      <vt:variant>
        <vt:i4>78</vt:i4>
      </vt:variant>
      <vt:variant>
        <vt:i4>0</vt:i4>
      </vt:variant>
      <vt:variant>
        <vt:i4>5</vt:i4>
      </vt:variant>
      <vt:variant>
        <vt:lpwstr>https://www.gov.uk/government/publications/provider-referrals-and-payments-prap-system-for-dwp</vt:lpwstr>
      </vt:variant>
      <vt:variant>
        <vt:lpwstr/>
      </vt:variant>
      <vt:variant>
        <vt:i4>4653144</vt:i4>
      </vt:variant>
      <vt:variant>
        <vt:i4>75</vt:i4>
      </vt:variant>
      <vt:variant>
        <vt:i4>0</vt:i4>
      </vt:variant>
      <vt:variant>
        <vt:i4>5</vt:i4>
      </vt:variant>
      <vt:variant>
        <vt:lpwstr/>
      </vt:variant>
      <vt:variant>
        <vt:lpwstr>_EVIDENCE_REQUIREMENTS</vt:lpwstr>
      </vt:variant>
      <vt:variant>
        <vt:i4>6815750</vt:i4>
      </vt:variant>
      <vt:variant>
        <vt:i4>72</vt:i4>
      </vt:variant>
      <vt:variant>
        <vt:i4>0</vt:i4>
      </vt:variant>
      <vt:variant>
        <vt:i4>5</vt:i4>
      </vt:variant>
      <vt:variant>
        <vt:lpwstr/>
      </vt:variant>
      <vt:variant>
        <vt:lpwstr>_CONTRACT_PACKAGES,_INDICATIVE</vt:lpwstr>
      </vt:variant>
      <vt:variant>
        <vt:i4>5701708</vt:i4>
      </vt:variant>
      <vt:variant>
        <vt:i4>69</vt:i4>
      </vt:variant>
      <vt:variant>
        <vt:i4>0</vt:i4>
      </vt:variant>
      <vt:variant>
        <vt:i4>5</vt:i4>
      </vt:variant>
      <vt:variant>
        <vt:lpwstr/>
      </vt:variant>
      <vt:variant>
        <vt:lpwstr>_ADDITIONAL_INFORMATION</vt:lpwstr>
      </vt:variant>
      <vt:variant>
        <vt:i4>4653144</vt:i4>
      </vt:variant>
      <vt:variant>
        <vt:i4>66</vt:i4>
      </vt:variant>
      <vt:variant>
        <vt:i4>0</vt:i4>
      </vt:variant>
      <vt:variant>
        <vt:i4>5</vt:i4>
      </vt:variant>
      <vt:variant>
        <vt:lpwstr/>
      </vt:variant>
      <vt:variant>
        <vt:lpwstr>_EVIDENCE_REQUIREMENTS</vt:lpwstr>
      </vt:variant>
      <vt:variant>
        <vt:i4>262205</vt:i4>
      </vt:variant>
      <vt:variant>
        <vt:i4>63</vt:i4>
      </vt:variant>
      <vt:variant>
        <vt:i4>0</vt:i4>
      </vt:variant>
      <vt:variant>
        <vt:i4>5</vt:i4>
      </vt:variant>
      <vt:variant>
        <vt:lpwstr/>
      </vt:variant>
      <vt:variant>
        <vt:lpwstr>_DEFINITIONS</vt:lpwstr>
      </vt:variant>
      <vt:variant>
        <vt:i4>2490422</vt:i4>
      </vt:variant>
      <vt:variant>
        <vt:i4>60</vt:i4>
      </vt:variant>
      <vt:variant>
        <vt:i4>0</vt:i4>
      </vt:variant>
      <vt:variant>
        <vt:i4>5</vt:i4>
      </vt:variant>
      <vt:variant>
        <vt:lpwstr/>
      </vt:variant>
      <vt:variant>
        <vt:lpwstr>_Employment_1</vt:lpwstr>
      </vt:variant>
      <vt:variant>
        <vt:i4>2490422</vt:i4>
      </vt:variant>
      <vt:variant>
        <vt:i4>57</vt:i4>
      </vt:variant>
      <vt:variant>
        <vt:i4>0</vt:i4>
      </vt:variant>
      <vt:variant>
        <vt:i4>5</vt:i4>
      </vt:variant>
      <vt:variant>
        <vt:lpwstr/>
      </vt:variant>
      <vt:variant>
        <vt:lpwstr>_Employment_1</vt:lpwstr>
      </vt:variant>
      <vt:variant>
        <vt:i4>262205</vt:i4>
      </vt:variant>
      <vt:variant>
        <vt:i4>54</vt:i4>
      </vt:variant>
      <vt:variant>
        <vt:i4>0</vt:i4>
      </vt:variant>
      <vt:variant>
        <vt:i4>5</vt:i4>
      </vt:variant>
      <vt:variant>
        <vt:lpwstr/>
      </vt:variant>
      <vt:variant>
        <vt:lpwstr>_DEFINITIONS</vt:lpwstr>
      </vt:variant>
      <vt:variant>
        <vt:i4>6815750</vt:i4>
      </vt:variant>
      <vt:variant>
        <vt:i4>51</vt:i4>
      </vt:variant>
      <vt:variant>
        <vt:i4>0</vt:i4>
      </vt:variant>
      <vt:variant>
        <vt:i4>5</vt:i4>
      </vt:variant>
      <vt:variant>
        <vt:lpwstr/>
      </vt:variant>
      <vt:variant>
        <vt:lpwstr>_CONTRACT_PACKAGES,_INDICATIVE</vt:lpwstr>
      </vt:variant>
      <vt:variant>
        <vt:i4>6815750</vt:i4>
      </vt:variant>
      <vt:variant>
        <vt:i4>48</vt:i4>
      </vt:variant>
      <vt:variant>
        <vt:i4>0</vt:i4>
      </vt:variant>
      <vt:variant>
        <vt:i4>5</vt:i4>
      </vt:variant>
      <vt:variant>
        <vt:lpwstr/>
      </vt:variant>
      <vt:variant>
        <vt:lpwstr>_CONTRACT_PACKAGES,_INDICATIVE</vt:lpwstr>
      </vt:variant>
      <vt:variant>
        <vt:i4>3473519</vt:i4>
      </vt:variant>
      <vt:variant>
        <vt:i4>45</vt:i4>
      </vt:variant>
      <vt:variant>
        <vt:i4>0</vt:i4>
      </vt:variant>
      <vt:variant>
        <vt:i4>5</vt:i4>
      </vt:variant>
      <vt:variant>
        <vt:lpwstr/>
      </vt:variant>
      <vt:variant>
        <vt:lpwstr>_5.__QUALITY,_1</vt:lpwstr>
      </vt:variant>
      <vt:variant>
        <vt:i4>6619141</vt:i4>
      </vt:variant>
      <vt:variant>
        <vt:i4>42</vt:i4>
      </vt:variant>
      <vt:variant>
        <vt:i4>0</vt:i4>
      </vt:variant>
      <vt:variant>
        <vt:i4>5</vt:i4>
      </vt:variant>
      <vt:variant>
        <vt:lpwstr>https://www.gov.uk/government/uploads/system/uploads/attachment_data/file/278159/pg-chapter-2.pdf</vt:lpwstr>
      </vt:variant>
      <vt:variant>
        <vt:lpwstr/>
      </vt:variant>
      <vt:variant>
        <vt:i4>5701708</vt:i4>
      </vt:variant>
      <vt:variant>
        <vt:i4>39</vt:i4>
      </vt:variant>
      <vt:variant>
        <vt:i4>0</vt:i4>
      </vt:variant>
      <vt:variant>
        <vt:i4>5</vt:i4>
      </vt:variant>
      <vt:variant>
        <vt:lpwstr/>
      </vt:variant>
      <vt:variant>
        <vt:lpwstr>_ADDITIONAL_INFORMATION</vt:lpwstr>
      </vt:variant>
      <vt:variant>
        <vt:i4>3014683</vt:i4>
      </vt:variant>
      <vt:variant>
        <vt:i4>36</vt:i4>
      </vt:variant>
      <vt:variant>
        <vt:i4>0</vt:i4>
      </vt:variant>
      <vt:variant>
        <vt:i4>5</vt:i4>
      </vt:variant>
      <vt:variant>
        <vt:lpwstr/>
      </vt:variant>
      <vt:variant>
        <vt:lpwstr>_3._PERFORMANCE_AND</vt:lpwstr>
      </vt:variant>
      <vt:variant>
        <vt:i4>6815750</vt:i4>
      </vt:variant>
      <vt:variant>
        <vt:i4>33</vt:i4>
      </vt:variant>
      <vt:variant>
        <vt:i4>0</vt:i4>
      </vt:variant>
      <vt:variant>
        <vt:i4>5</vt:i4>
      </vt:variant>
      <vt:variant>
        <vt:lpwstr/>
      </vt:variant>
      <vt:variant>
        <vt:lpwstr>_CONTRACT_PACKAGES,_INDICATIVE</vt:lpwstr>
      </vt:variant>
      <vt:variant>
        <vt:i4>4259954</vt:i4>
      </vt:variant>
      <vt:variant>
        <vt:i4>30</vt:i4>
      </vt:variant>
      <vt:variant>
        <vt:i4>0</vt:i4>
      </vt:variant>
      <vt:variant>
        <vt:i4>5</vt:i4>
      </vt:variant>
      <vt:variant>
        <vt:lpwstr/>
      </vt:variant>
      <vt:variant>
        <vt:lpwstr>_LIST_OF_ABBREVIATIONS</vt:lpwstr>
      </vt:variant>
      <vt:variant>
        <vt:i4>4522080</vt:i4>
      </vt:variant>
      <vt:variant>
        <vt:i4>27</vt:i4>
      </vt:variant>
      <vt:variant>
        <vt:i4>0</vt:i4>
      </vt:variant>
      <vt:variant>
        <vt:i4>5</vt:i4>
      </vt:variant>
      <vt:variant>
        <vt:lpwstr/>
      </vt:variant>
      <vt:variant>
        <vt:lpwstr>_GLOSSARY_OF_TERMS</vt:lpwstr>
      </vt:variant>
      <vt:variant>
        <vt:i4>5701708</vt:i4>
      </vt:variant>
      <vt:variant>
        <vt:i4>24</vt:i4>
      </vt:variant>
      <vt:variant>
        <vt:i4>0</vt:i4>
      </vt:variant>
      <vt:variant>
        <vt:i4>5</vt:i4>
      </vt:variant>
      <vt:variant>
        <vt:lpwstr/>
      </vt:variant>
      <vt:variant>
        <vt:lpwstr>_ADDITIONAL_INFORMATION</vt:lpwstr>
      </vt:variant>
      <vt:variant>
        <vt:i4>4259940</vt:i4>
      </vt:variant>
      <vt:variant>
        <vt:i4>21</vt:i4>
      </vt:variant>
      <vt:variant>
        <vt:i4>0</vt:i4>
      </vt:variant>
      <vt:variant>
        <vt:i4>5</vt:i4>
      </vt:variant>
      <vt:variant>
        <vt:lpwstr/>
      </vt:variant>
      <vt:variant>
        <vt:lpwstr>_SERVICE_DELIVERY_STANDARDS</vt:lpwstr>
      </vt:variant>
      <vt:variant>
        <vt:i4>5701756</vt:i4>
      </vt:variant>
      <vt:variant>
        <vt:i4>18</vt:i4>
      </vt:variant>
      <vt:variant>
        <vt:i4>0</vt:i4>
      </vt:variant>
      <vt:variant>
        <vt:i4>5</vt:i4>
      </vt:variant>
      <vt:variant>
        <vt:lpwstr/>
      </vt:variant>
      <vt:variant>
        <vt:lpwstr>_Community_Action_Programme</vt:lpwstr>
      </vt:variant>
      <vt:variant>
        <vt:i4>6815750</vt:i4>
      </vt:variant>
      <vt:variant>
        <vt:i4>15</vt:i4>
      </vt:variant>
      <vt:variant>
        <vt:i4>0</vt:i4>
      </vt:variant>
      <vt:variant>
        <vt:i4>5</vt:i4>
      </vt:variant>
      <vt:variant>
        <vt:lpwstr/>
      </vt:variant>
      <vt:variant>
        <vt:lpwstr>_CONTRACT_PACKAGES,_INDICATIVE</vt:lpwstr>
      </vt:variant>
      <vt:variant>
        <vt:i4>3473519</vt:i4>
      </vt:variant>
      <vt:variant>
        <vt:i4>12</vt:i4>
      </vt:variant>
      <vt:variant>
        <vt:i4>0</vt:i4>
      </vt:variant>
      <vt:variant>
        <vt:i4>5</vt:i4>
      </vt:variant>
      <vt:variant>
        <vt:lpwstr/>
      </vt:variant>
      <vt:variant>
        <vt:lpwstr>_5.__QUALITY,_1</vt:lpwstr>
      </vt:variant>
      <vt:variant>
        <vt:i4>1441830</vt:i4>
      </vt:variant>
      <vt:variant>
        <vt:i4>9</vt:i4>
      </vt:variant>
      <vt:variant>
        <vt:i4>0</vt:i4>
      </vt:variant>
      <vt:variant>
        <vt:i4>5</vt:i4>
      </vt:variant>
      <vt:variant>
        <vt:lpwstr/>
      </vt:variant>
      <vt:variant>
        <vt:lpwstr>_4._ADDITIONAL_INFORMATION</vt:lpwstr>
      </vt:variant>
      <vt:variant>
        <vt:i4>3014683</vt:i4>
      </vt:variant>
      <vt:variant>
        <vt:i4>6</vt:i4>
      </vt:variant>
      <vt:variant>
        <vt:i4>0</vt:i4>
      </vt:variant>
      <vt:variant>
        <vt:i4>5</vt:i4>
      </vt:variant>
      <vt:variant>
        <vt:lpwstr/>
      </vt:variant>
      <vt:variant>
        <vt:lpwstr>_3._PERFORMANCE_AND</vt:lpwstr>
      </vt:variant>
      <vt:variant>
        <vt:i4>2752520</vt:i4>
      </vt:variant>
      <vt:variant>
        <vt:i4>3</vt:i4>
      </vt:variant>
      <vt:variant>
        <vt:i4>0</vt:i4>
      </vt:variant>
      <vt:variant>
        <vt:i4>5</vt:i4>
      </vt:variant>
      <vt:variant>
        <vt:lpwstr/>
      </vt:variant>
      <vt:variant>
        <vt:lpwstr>_2._THE_SERVICE</vt:lpwstr>
      </vt:variant>
      <vt:variant>
        <vt:i4>7602280</vt:i4>
      </vt:variant>
      <vt:variant>
        <vt:i4>0</vt:i4>
      </vt:variant>
      <vt:variant>
        <vt:i4>0</vt:i4>
      </vt:variant>
      <vt:variant>
        <vt:i4>5</vt:i4>
      </vt:variant>
      <vt:variant>
        <vt:lpwstr/>
      </vt:variant>
      <vt:variant>
        <vt:lpwstr>_1._OVERVIEW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One – flexible New Deal</dc:title>
  <dc:creator>69343166</dc:creator>
  <cp:lastModifiedBy>Brennan Olivia DWP COMMERCIAL DIRECTORATE</cp:lastModifiedBy>
  <cp:revision>4</cp:revision>
  <cp:lastPrinted>2016-10-14T14:00:00Z</cp:lastPrinted>
  <dcterms:created xsi:type="dcterms:W3CDTF">2017-02-23T13:50:00Z</dcterms:created>
  <dcterms:modified xsi:type="dcterms:W3CDTF">2017-09-12T15:41:00Z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