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61F1C" w14:textId="54ACFAB5" w:rsidR="00606B0C" w:rsidRPr="007E380A" w:rsidRDefault="00B62A3B">
      <w:pPr>
        <w:rPr>
          <w:rFonts w:cs="Arial"/>
          <w:color w:val="000000" w:themeColor="text1"/>
        </w:rPr>
      </w:pPr>
      <w:r w:rsidRPr="007E380A">
        <w:rPr>
          <w:rFonts w:cs="Arial"/>
          <w:color w:val="000000" w:themeColor="text1"/>
        </w:rPr>
        <w:t>Additional Information:</w:t>
      </w:r>
    </w:p>
    <w:p w14:paraId="0B1AE49F" w14:textId="21C16CB3" w:rsidR="00B62A3B" w:rsidRPr="007E380A" w:rsidRDefault="00B62A3B">
      <w:pPr>
        <w:rPr>
          <w:rFonts w:cs="Arial"/>
          <w:color w:val="000000" w:themeColor="text1"/>
        </w:rPr>
      </w:pPr>
    </w:p>
    <w:p w14:paraId="7EB8DF7E" w14:textId="15E6B081" w:rsidR="00B62A3B" w:rsidRPr="007E380A" w:rsidRDefault="00B62A3B" w:rsidP="00B62A3B">
      <w:pPr>
        <w:rPr>
          <w:rFonts w:cs="Arial"/>
          <w:color w:val="000000" w:themeColor="text1"/>
          <w:sz w:val="20"/>
          <w:szCs w:val="20"/>
          <w:shd w:val="clear" w:color="auto" w:fill="FFFFFF"/>
        </w:rPr>
      </w:pPr>
      <w:r w:rsidRPr="00B62A3B">
        <w:rPr>
          <w:rFonts w:cs="Arial"/>
          <w:color w:val="000000" w:themeColor="text1"/>
          <w:sz w:val="20"/>
          <w:szCs w:val="20"/>
          <w:shd w:val="clear" w:color="auto" w:fill="FFFFFF"/>
        </w:rPr>
        <w:t>This procurement covers health sector requirements in England (Lots 1-3); airfield related works in the UK (Lot 4) and general construction works exceeding £80M in the UK (Lot 5).</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The framework is not intended to provide the main sourcing routes for new hospitals within the New Hospital Programme (NHP), although NHP does reserve the right to use it. Separate procurements and frameworks specifically for NHP are intended for the building of new hospitals covered by NHP.</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Building on past iterations of the framework, P23 brings the latest best practice in construction methods to the NHS and focuses on delivering greener facilities, reducing carbon emissions and promoting social value.</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 xml:space="preserve">P23 includes 3 England-wide, </w:t>
      </w:r>
      <w:proofErr w:type="gramStart"/>
      <w:r w:rsidRPr="00B62A3B">
        <w:rPr>
          <w:rFonts w:cs="Arial"/>
          <w:color w:val="000000" w:themeColor="text1"/>
          <w:sz w:val="20"/>
          <w:szCs w:val="20"/>
          <w:shd w:val="clear" w:color="auto" w:fill="FFFFFF"/>
        </w:rPr>
        <w:t>value based</w:t>
      </w:r>
      <w:proofErr w:type="gramEnd"/>
      <w:r w:rsidRPr="00B62A3B">
        <w:rPr>
          <w:rFonts w:cs="Arial"/>
          <w:color w:val="000000" w:themeColor="text1"/>
          <w:sz w:val="20"/>
          <w:szCs w:val="20"/>
          <w:shd w:val="clear" w:color="auto" w:fill="FFFFFF"/>
        </w:rPr>
        <w:t xml:space="preserve"> lots (1) &lt;£20m (2) £20-£70 (3) £70m+. Lot 1 is split geographically across the 7 NHS England and NHS Improvement regions, encouraging the inclusion of more regional and medium sized firms and increasing capacity.</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CWAS2 continues the principles of, and will run alongside, the Construction Works and Associated Services framework (RM6088) to provide additional market capacity in the areas covered by lots 4 &amp; 5.</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In line with the Construction Playbook, the frameworks realise the benefits of close collaboration and alliancing in terms of procurement, framework management and project delivery.</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This Prior Information Notice is to alert those within the Construction market of this upcoming procurement.</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 xml:space="preserve">Crown Commercial Service intends to hold information webinars following the launch of the procurement. If you are interested in attending a webinar </w:t>
      </w:r>
      <w:proofErr w:type="gramStart"/>
      <w:r w:rsidRPr="00B62A3B">
        <w:rPr>
          <w:rFonts w:cs="Arial"/>
          <w:color w:val="000000" w:themeColor="text1"/>
          <w:sz w:val="20"/>
          <w:szCs w:val="20"/>
          <w:shd w:val="clear" w:color="auto" w:fill="FFFFFF"/>
        </w:rPr>
        <w:t>session</w:t>
      </w:r>
      <w:proofErr w:type="gramEnd"/>
      <w:r w:rsidRPr="00B62A3B">
        <w:rPr>
          <w:rFonts w:cs="Arial"/>
          <w:color w:val="000000" w:themeColor="text1"/>
          <w:sz w:val="20"/>
          <w:szCs w:val="20"/>
          <w:shd w:val="clear" w:color="auto" w:fill="FFFFFF"/>
        </w:rPr>
        <w:t xml:space="preserve"> please express your interest by emailing construction@crowncommercial.gov.uk no later than midday on [insert day and date]. Further details will be provided to you.</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Your email must clearly state: the name of your organisation, and contact details for the individual(s) who will attend the webinar.</w:t>
      </w:r>
      <w:r w:rsidRPr="00B62A3B">
        <w:rPr>
          <w:rFonts w:cs="Arial"/>
          <w:color w:val="000000" w:themeColor="text1"/>
          <w:sz w:val="20"/>
          <w:szCs w:val="20"/>
        </w:rPr>
        <w:br/>
      </w:r>
      <w:r w:rsidRPr="00B62A3B">
        <w:rPr>
          <w:rFonts w:cs="Arial"/>
          <w:color w:val="000000" w:themeColor="text1"/>
          <w:sz w:val="20"/>
          <w:szCs w:val="20"/>
          <w:shd w:val="clear" w:color="auto" w:fill="FFFFFF"/>
        </w:rPr>
        <w:t xml:space="preserve">Crown Commercial Service (CCS) will use an </w:t>
      </w:r>
      <w:proofErr w:type="spellStart"/>
      <w:r w:rsidRPr="00B62A3B">
        <w:rPr>
          <w:rFonts w:cs="Arial"/>
          <w:color w:val="000000" w:themeColor="text1"/>
          <w:sz w:val="20"/>
          <w:szCs w:val="20"/>
          <w:shd w:val="clear" w:color="auto" w:fill="FFFFFF"/>
        </w:rPr>
        <w:t>eSourcing</w:t>
      </w:r>
      <w:proofErr w:type="spellEnd"/>
      <w:r w:rsidRPr="00B62A3B">
        <w:rPr>
          <w:rFonts w:cs="Arial"/>
          <w:color w:val="000000" w:themeColor="text1"/>
          <w:sz w:val="20"/>
          <w:szCs w:val="20"/>
          <w:shd w:val="clear" w:color="auto" w:fill="FFFFFF"/>
        </w:rPr>
        <w:t xml:space="preserve"> system for this competition and reserves the right to use an electronic auction. The </w:t>
      </w:r>
      <w:proofErr w:type="spellStart"/>
      <w:r w:rsidRPr="00B62A3B">
        <w:rPr>
          <w:rFonts w:cs="Arial"/>
          <w:color w:val="000000" w:themeColor="text1"/>
          <w:sz w:val="20"/>
          <w:szCs w:val="20"/>
          <w:shd w:val="clear" w:color="auto" w:fill="FFFFFF"/>
        </w:rPr>
        <w:t>eSourcing</w:t>
      </w:r>
      <w:proofErr w:type="spellEnd"/>
      <w:r w:rsidRPr="00B62A3B">
        <w:rPr>
          <w:rFonts w:cs="Arial"/>
          <w:color w:val="000000" w:themeColor="text1"/>
          <w:sz w:val="20"/>
          <w:szCs w:val="20"/>
          <w:shd w:val="clear" w:color="auto" w:fill="FFFFFF"/>
        </w:rPr>
        <w:t xml:space="preserve"> system we will use is [https://crowncommercialservice.bravosolution.co.uk].</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Please note that, to register, you must have a valid DUNS number (as provided by Dun and Bradstreet) for the organisation which you are registering, who will be entering into a contract if invited to do so.</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The date in II.3) is the estimated date of publication, please refer to the CCS website page https://www.crowncommercial.gov.uk/agreements/upcoming Crown for updates and monitor Tenders Electronic Daily for the publication of the contract notice.</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The Cyber Essentials scheme is mandatory for Central Government Contracts which involve handling personal information and providing certain ICT products and services. The Government is taking steps to further reduce the levels of cyber security risk in its supply chain through the Cyber Essentials scheme. The scheme defines a set of controls which, when properly implemented, will provide organisations with basic protection from the most prevalent forms of threat coming from the internet.</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The bidder may be awarded a contract but shall not enter into any call off contracts with buyers until they are able to demonstrate to CCS that they meet the technical requirements prescribed by the Cyber Essentials Scheme for services under and in connection with this procurement.</w:t>
      </w:r>
      <w:r w:rsidRPr="00B62A3B">
        <w:rPr>
          <w:rFonts w:cs="Arial"/>
          <w:color w:val="000000" w:themeColor="text1"/>
          <w:sz w:val="20"/>
          <w:szCs w:val="20"/>
        </w:rPr>
        <w:br/>
      </w:r>
      <w:r w:rsidRPr="00B62A3B">
        <w:rPr>
          <w:rFonts w:cs="Arial"/>
          <w:color w:val="000000" w:themeColor="text1"/>
          <w:sz w:val="20"/>
          <w:szCs w:val="20"/>
        </w:rPr>
        <w:br/>
      </w:r>
      <w:r w:rsidRPr="00B62A3B">
        <w:rPr>
          <w:rFonts w:cs="Arial"/>
          <w:color w:val="000000" w:themeColor="text1"/>
          <w:sz w:val="20"/>
          <w:szCs w:val="20"/>
          <w:shd w:val="clear" w:color="auto" w:fill="FFFFFF"/>
        </w:rPr>
        <w:t xml:space="preserve">The service that arise from this framework will involve the supplier holding material that has been assigned a protective marking under the Government Security Classifications Scheme (April 2014) of OFFICIAL/SENSITIVE. Bidders will be required to implement their solution in accordance with the </w:t>
      </w:r>
      <w:r w:rsidRPr="00B62A3B">
        <w:rPr>
          <w:rFonts w:cs="Arial"/>
          <w:color w:val="000000" w:themeColor="text1"/>
          <w:sz w:val="20"/>
          <w:szCs w:val="20"/>
          <w:shd w:val="clear" w:color="auto" w:fill="FFFFFF"/>
        </w:rPr>
        <w:lastRenderedPageBreak/>
        <w:t>RM6267 Schedule, “Security Guidance Version 1”, to meet RM6267 requirements. This will be released at the ITT stage.</w:t>
      </w:r>
      <w:r w:rsidRPr="00B62A3B">
        <w:rPr>
          <w:rFonts w:cs="Arial"/>
          <w:color w:val="000000" w:themeColor="text1"/>
          <w:sz w:val="20"/>
          <w:szCs w:val="20"/>
        </w:rPr>
        <w:br/>
      </w:r>
    </w:p>
    <w:p w14:paraId="4E0DF33E" w14:textId="4C619D33" w:rsidR="007E380A" w:rsidRPr="00D77F99" w:rsidRDefault="007E380A" w:rsidP="00B62A3B">
      <w:pPr>
        <w:rPr>
          <w:rFonts w:cs="Arial"/>
          <w:b/>
          <w:bCs/>
          <w:color w:val="000000" w:themeColor="text1"/>
          <w:sz w:val="20"/>
          <w:szCs w:val="20"/>
          <w:shd w:val="clear" w:color="auto" w:fill="FFFFFF"/>
        </w:rPr>
      </w:pPr>
      <w:r w:rsidRPr="00D77F99">
        <w:rPr>
          <w:rFonts w:cs="Arial"/>
          <w:b/>
          <w:bCs/>
          <w:color w:val="000000" w:themeColor="text1"/>
          <w:sz w:val="20"/>
          <w:szCs w:val="20"/>
          <w:shd w:val="clear" w:color="auto" w:fill="FFFFFF"/>
        </w:rPr>
        <w:t xml:space="preserve">Please note: in 2. Value Information, </w:t>
      </w:r>
      <w:proofErr w:type="gramStart"/>
      <w:r w:rsidRPr="00D77F99">
        <w:rPr>
          <w:rFonts w:cs="Arial"/>
          <w:b/>
          <w:bCs/>
          <w:color w:val="000000" w:themeColor="text1"/>
          <w:sz w:val="20"/>
          <w:szCs w:val="20"/>
          <w:shd w:val="clear" w:color="auto" w:fill="FFFFFF"/>
        </w:rPr>
        <w:t>Spend</w:t>
      </w:r>
      <w:proofErr w:type="gramEnd"/>
      <w:r w:rsidRPr="00D77F99">
        <w:rPr>
          <w:rFonts w:cs="Arial"/>
          <w:b/>
          <w:bCs/>
          <w:color w:val="000000" w:themeColor="text1"/>
          <w:sz w:val="20"/>
          <w:szCs w:val="20"/>
          <w:shd w:val="clear" w:color="auto" w:fill="FFFFFF"/>
        </w:rPr>
        <w:t xml:space="preserve"> profile by Financial Year should state:</w:t>
      </w:r>
    </w:p>
    <w:p w14:paraId="57D87BD4" w14:textId="271346BD" w:rsidR="007E380A" w:rsidRPr="00D77F99" w:rsidRDefault="007E380A" w:rsidP="00B62A3B">
      <w:pPr>
        <w:rPr>
          <w:rFonts w:cs="Arial"/>
          <w:b/>
          <w:bCs/>
          <w:color w:val="000000" w:themeColor="text1"/>
          <w:sz w:val="20"/>
          <w:szCs w:val="20"/>
          <w:shd w:val="clear" w:color="auto" w:fill="FFFFFF"/>
        </w:rPr>
      </w:pPr>
    </w:p>
    <w:p w14:paraId="66DE4DA7" w14:textId="73E54D1A" w:rsidR="007E380A" w:rsidRPr="007E380A" w:rsidRDefault="007E380A" w:rsidP="007E380A">
      <w:pPr>
        <w:rPr>
          <w:rFonts w:cs="Arial"/>
          <w:color w:val="000000" w:themeColor="text1"/>
        </w:rPr>
      </w:pPr>
      <w:r w:rsidRPr="007E380A">
        <w:rPr>
          <w:rFonts w:cs="Arial"/>
          <w:color w:val="000000" w:themeColor="text1"/>
        </w:rPr>
        <w:t>2021/2022</w:t>
      </w:r>
      <w:r w:rsidR="00D77F99">
        <w:rPr>
          <w:rFonts w:cs="Arial"/>
          <w:color w:val="000000" w:themeColor="text1"/>
        </w:rPr>
        <w:t>:</w:t>
      </w:r>
      <w:r w:rsidRPr="007E380A">
        <w:rPr>
          <w:rFonts w:cs="Arial"/>
          <w:color w:val="000000" w:themeColor="text1"/>
        </w:rPr>
        <w:t xml:space="preserve"> £6,000,000,000</w:t>
      </w:r>
    </w:p>
    <w:p w14:paraId="7955FF1E" w14:textId="3ECBCC5E" w:rsidR="007E380A" w:rsidRPr="007E380A" w:rsidRDefault="007E380A" w:rsidP="007E380A">
      <w:pPr>
        <w:rPr>
          <w:rFonts w:cs="Arial"/>
          <w:color w:val="000000" w:themeColor="text1"/>
        </w:rPr>
      </w:pPr>
      <w:r w:rsidRPr="007E380A">
        <w:rPr>
          <w:rFonts w:cs="Arial"/>
          <w:color w:val="000000" w:themeColor="text1"/>
        </w:rPr>
        <w:t>2022/2023</w:t>
      </w:r>
      <w:r w:rsidR="00D77F99">
        <w:rPr>
          <w:rFonts w:cs="Arial"/>
          <w:color w:val="000000" w:themeColor="text1"/>
        </w:rPr>
        <w:t>:</w:t>
      </w:r>
      <w:r w:rsidRPr="007E380A">
        <w:rPr>
          <w:rFonts w:cs="Arial"/>
          <w:color w:val="000000" w:themeColor="text1"/>
        </w:rPr>
        <w:t xml:space="preserve"> £6,000,000,000</w:t>
      </w:r>
    </w:p>
    <w:p w14:paraId="0BE2F310" w14:textId="2B6BF79C" w:rsidR="007E380A" w:rsidRPr="007E380A" w:rsidRDefault="007E380A" w:rsidP="007E380A">
      <w:pPr>
        <w:rPr>
          <w:rFonts w:cs="Arial"/>
          <w:color w:val="000000" w:themeColor="text1"/>
        </w:rPr>
      </w:pPr>
      <w:r w:rsidRPr="007E380A">
        <w:rPr>
          <w:rFonts w:cs="Arial"/>
          <w:color w:val="000000" w:themeColor="text1"/>
        </w:rPr>
        <w:t>2023/2024</w:t>
      </w:r>
      <w:r w:rsidR="00D77F99">
        <w:rPr>
          <w:rFonts w:cs="Arial"/>
          <w:color w:val="000000" w:themeColor="text1"/>
        </w:rPr>
        <w:t>:</w:t>
      </w:r>
      <w:r w:rsidRPr="007E380A">
        <w:rPr>
          <w:rFonts w:cs="Arial"/>
          <w:color w:val="000000" w:themeColor="text1"/>
        </w:rPr>
        <w:t xml:space="preserve"> £6,000,000,000</w:t>
      </w:r>
    </w:p>
    <w:p w14:paraId="5A9762F0" w14:textId="6806DDC2" w:rsidR="007E380A" w:rsidRPr="007E380A" w:rsidRDefault="007E380A" w:rsidP="007E380A">
      <w:pPr>
        <w:rPr>
          <w:rFonts w:cs="Arial"/>
          <w:color w:val="000000" w:themeColor="text1"/>
        </w:rPr>
      </w:pPr>
      <w:r w:rsidRPr="007E380A">
        <w:rPr>
          <w:rFonts w:cs="Arial"/>
          <w:color w:val="000000" w:themeColor="text1"/>
        </w:rPr>
        <w:t>2024/2025</w:t>
      </w:r>
      <w:r w:rsidR="00D77F99">
        <w:rPr>
          <w:rFonts w:cs="Arial"/>
          <w:color w:val="000000" w:themeColor="text1"/>
        </w:rPr>
        <w:t>:</w:t>
      </w:r>
      <w:r w:rsidRPr="007E380A">
        <w:rPr>
          <w:rFonts w:cs="Arial"/>
          <w:color w:val="000000" w:themeColor="text1"/>
        </w:rPr>
        <w:t xml:space="preserve"> £6,000,000,000</w:t>
      </w:r>
    </w:p>
    <w:p w14:paraId="298D8885" w14:textId="77777777" w:rsidR="007E380A" w:rsidRPr="00B62A3B" w:rsidRDefault="007E380A" w:rsidP="00B62A3B">
      <w:pPr>
        <w:rPr>
          <w:rFonts w:ascii="Times New Roman" w:hAnsi="Times New Roman"/>
        </w:rPr>
      </w:pPr>
    </w:p>
    <w:p w14:paraId="1473C6B4" w14:textId="77777777" w:rsidR="00B62A3B" w:rsidRDefault="00B62A3B"/>
    <w:sectPr w:rsidR="00B62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3B"/>
    <w:rsid w:val="00606B0C"/>
    <w:rsid w:val="007E380A"/>
    <w:rsid w:val="00B62A3B"/>
    <w:rsid w:val="00D77F99"/>
    <w:rsid w:val="00D8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E70967"/>
  <w15:chartTrackingRefBased/>
  <w15:docId w15:val="{5578825F-D65B-8D41-A52E-66D2D8F6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8E"/>
    <w:rPr>
      <w:rFonts w:ascii="Arial"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0239">
      <w:bodyDiv w:val="1"/>
      <w:marLeft w:val="0"/>
      <w:marRight w:val="0"/>
      <w:marTop w:val="0"/>
      <w:marBottom w:val="0"/>
      <w:divBdr>
        <w:top w:val="none" w:sz="0" w:space="0" w:color="auto"/>
        <w:left w:val="none" w:sz="0" w:space="0" w:color="auto"/>
        <w:bottom w:val="none" w:sz="0" w:space="0" w:color="auto"/>
        <w:right w:val="none" w:sz="0" w:space="0" w:color="auto"/>
      </w:divBdr>
    </w:div>
    <w:div w:id="762605609">
      <w:bodyDiv w:val="1"/>
      <w:marLeft w:val="0"/>
      <w:marRight w:val="0"/>
      <w:marTop w:val="0"/>
      <w:marBottom w:val="0"/>
      <w:divBdr>
        <w:top w:val="none" w:sz="0" w:space="0" w:color="auto"/>
        <w:left w:val="none" w:sz="0" w:space="0" w:color="auto"/>
        <w:bottom w:val="none" w:sz="0" w:space="0" w:color="auto"/>
        <w:right w:val="none" w:sz="0" w:space="0" w:color="auto"/>
      </w:divBdr>
    </w:div>
    <w:div w:id="10973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2021-07-20T14:56:00Z</dcterms:created>
  <dcterms:modified xsi:type="dcterms:W3CDTF">2021-07-21T10:50:00Z</dcterms:modified>
</cp:coreProperties>
</file>