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5"/>
        <w:gridCol w:w="7530"/>
      </w:tblGrid>
      <w:tr w:rsidR="43237DC3" w14:paraId="44E587C4" w14:textId="77777777" w:rsidTr="43237DC3">
        <w:trPr>
          <w:trHeight w:val="30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vAlign w:val="center"/>
          </w:tcPr>
          <w:p w14:paraId="074E2939" w14:textId="53A2FE5B" w:rsidR="43237DC3" w:rsidRDefault="43237DC3"/>
        </w:tc>
        <w:tc>
          <w:tcPr>
            <w:tcW w:w="7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E605F4" w14:textId="24685324" w:rsidR="43237DC3" w:rsidRDefault="43237DC3" w:rsidP="43237DC3">
            <w:pPr>
              <w:ind w:left="56"/>
              <w:rPr>
                <w:rFonts w:ascii="Arial" w:eastAsia="Arial" w:hAnsi="Arial" w:cs="Arial"/>
                <w:color w:val="000000" w:themeColor="text1"/>
              </w:rPr>
            </w:pPr>
            <w:r w:rsidRPr="43237DC3">
              <w:rPr>
                <w:rFonts w:ascii="Arial" w:eastAsia="Arial" w:hAnsi="Arial" w:cs="Arial"/>
                <w:b/>
                <w:bCs/>
                <w:color w:val="000000" w:themeColor="text1"/>
                <w:lang w:val="en-GB"/>
              </w:rPr>
              <w:t>Provision of prescribed medications for the West Northamptonshire Council’s stop smoking service</w:t>
            </w:r>
          </w:p>
        </w:tc>
      </w:tr>
      <w:tr w:rsidR="43237DC3" w14:paraId="65E256A8" w14:textId="77777777" w:rsidTr="43237DC3">
        <w:trPr>
          <w:trHeight w:val="300"/>
        </w:trPr>
        <w:tc>
          <w:tcPr>
            <w:tcW w:w="9045" w:type="dxa"/>
            <w:gridSpan w:val="2"/>
            <w:tcBorders>
              <w:top w:val="single" w:sz="6" w:space="0" w:color="000000" w:themeColor="text1"/>
              <w:left w:val="nil"/>
              <w:bottom w:val="single" w:sz="6" w:space="0" w:color="000000" w:themeColor="text1"/>
              <w:right w:val="nil"/>
            </w:tcBorders>
            <w:tcMar>
              <w:left w:w="105" w:type="dxa"/>
              <w:right w:w="105" w:type="dxa"/>
            </w:tcMar>
          </w:tcPr>
          <w:p w14:paraId="5CE5FFC3" w14:textId="61349300" w:rsidR="43237DC3" w:rsidRDefault="43237DC3" w:rsidP="43237DC3">
            <w:pPr>
              <w:rPr>
                <w:rFonts w:ascii="Arial" w:eastAsia="Arial" w:hAnsi="Arial" w:cs="Arial"/>
                <w:color w:val="000000" w:themeColor="text1"/>
              </w:rPr>
            </w:pPr>
          </w:p>
        </w:tc>
      </w:tr>
      <w:tr w:rsidR="43237DC3" w14:paraId="13839965"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tcPr>
          <w:p w14:paraId="13AA3AE8" w14:textId="24DD22D1" w:rsidR="43237DC3" w:rsidRDefault="43237DC3" w:rsidP="43237DC3">
            <w:pPr>
              <w:pStyle w:val="ListParagraph"/>
              <w:numPr>
                <w:ilvl w:val="0"/>
                <w:numId w:val="20"/>
              </w:numPr>
              <w:ind w:left="426" w:hanging="426"/>
              <w:rPr>
                <w:rFonts w:ascii="Arial" w:eastAsia="Arial" w:hAnsi="Arial" w:cs="Arial"/>
                <w:color w:val="FFFFFF" w:themeColor="background1"/>
              </w:rPr>
            </w:pPr>
            <w:r w:rsidRPr="43237DC3">
              <w:rPr>
                <w:rFonts w:ascii="Arial" w:eastAsia="Arial" w:hAnsi="Arial" w:cs="Arial"/>
                <w:b/>
                <w:bCs/>
                <w:color w:val="FFFFFF" w:themeColor="background1"/>
                <w:lang w:val="en-GB"/>
              </w:rPr>
              <w:t>Purpose</w:t>
            </w:r>
          </w:p>
        </w:tc>
      </w:tr>
      <w:tr w:rsidR="43237DC3" w14:paraId="55FC3E47"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F8C6E6" w14:textId="07F78732"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This specification is part of the contractual relationship between West Northamptonshire Council (the Council) and the Service Provider for the delivery of consultation, assessment and supply of prescribed medications for smoking cessation,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and Varenicline.</w:t>
            </w:r>
          </w:p>
          <w:p w14:paraId="4B738CBA" w14:textId="071A79C7" w:rsidR="43237DC3" w:rsidRDefault="43237DC3" w:rsidP="43237DC3">
            <w:pPr>
              <w:ind w:left="458"/>
              <w:jc w:val="both"/>
              <w:rPr>
                <w:rFonts w:ascii="Arial" w:eastAsia="Arial" w:hAnsi="Arial" w:cs="Arial"/>
                <w:color w:val="000000" w:themeColor="text1"/>
              </w:rPr>
            </w:pPr>
          </w:p>
          <w:p w14:paraId="15856AFF" w14:textId="05E987A6"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aim of the service is to increase the access to treatment options for smokers who wish to quit smoking.</w:t>
            </w:r>
          </w:p>
        </w:tc>
      </w:tr>
      <w:tr w:rsidR="43237DC3" w14:paraId="214DD3CF"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tcPr>
          <w:p w14:paraId="54E242CE" w14:textId="04E484A7" w:rsidR="43237DC3" w:rsidRDefault="43237DC3" w:rsidP="43237DC3">
            <w:pPr>
              <w:pStyle w:val="ListParagraph"/>
              <w:numPr>
                <w:ilvl w:val="0"/>
                <w:numId w:val="20"/>
              </w:numPr>
              <w:ind w:left="567" w:hanging="567"/>
              <w:rPr>
                <w:rFonts w:ascii="Arial" w:eastAsia="Arial" w:hAnsi="Arial" w:cs="Arial"/>
                <w:color w:val="FFFFFF" w:themeColor="background1"/>
              </w:rPr>
            </w:pPr>
            <w:r w:rsidRPr="43237DC3">
              <w:rPr>
                <w:rFonts w:ascii="Arial" w:eastAsia="Arial" w:hAnsi="Arial" w:cs="Arial"/>
                <w:b/>
                <w:bCs/>
                <w:color w:val="FFFFFF" w:themeColor="background1"/>
                <w:lang w:val="en-GB"/>
              </w:rPr>
              <w:t>Background</w:t>
            </w:r>
          </w:p>
        </w:tc>
      </w:tr>
      <w:tr w:rsidR="43237DC3" w14:paraId="23CA46AF"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2F9874" w14:textId="1DCDAAF5"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NICE guidance</w:t>
            </w:r>
            <w:r w:rsidRPr="43237DC3">
              <w:rPr>
                <w:rFonts w:ascii="Arial" w:eastAsia="Arial" w:hAnsi="Arial" w:cs="Arial"/>
                <w:color w:val="000000" w:themeColor="text1"/>
                <w:vertAlign w:val="superscript"/>
                <w:lang w:val="en-GB"/>
              </w:rPr>
              <w:t>1</w:t>
            </w:r>
            <w:r w:rsidRPr="43237DC3">
              <w:rPr>
                <w:rFonts w:ascii="Arial" w:eastAsia="Arial" w:hAnsi="Arial" w:cs="Arial"/>
                <w:color w:val="000000" w:themeColor="text1"/>
                <w:lang w:val="en-GB"/>
              </w:rPr>
              <w:t xml:space="preserve"> recommends two licensed </w:t>
            </w:r>
            <w:proofErr w:type="gramStart"/>
            <w:r w:rsidRPr="43237DC3">
              <w:rPr>
                <w:rFonts w:ascii="Arial" w:eastAsia="Arial" w:hAnsi="Arial" w:cs="Arial"/>
                <w:color w:val="000000" w:themeColor="text1"/>
                <w:lang w:val="en-GB"/>
              </w:rPr>
              <w:t>prescription</w:t>
            </w:r>
            <w:proofErr w:type="gramEnd"/>
            <w:r w:rsidRPr="43237DC3">
              <w:rPr>
                <w:rFonts w:ascii="Arial" w:eastAsia="Arial" w:hAnsi="Arial" w:cs="Arial"/>
                <w:color w:val="000000" w:themeColor="text1"/>
                <w:lang w:val="en-GB"/>
              </w:rPr>
              <w:t xml:space="preserve"> only medicines (POM) as defined by the Medicines Act 1968 and Prescription Only Medicines (Human Use) Order 1997. These are Varenicline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They are both subject to standard monitoring arrangements for adverse events via the Yellow Card Scheme.</w:t>
            </w:r>
          </w:p>
        </w:tc>
      </w:tr>
      <w:tr w:rsidR="43237DC3" w14:paraId="502150A5"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tcPr>
          <w:p w14:paraId="24A48F4A" w14:textId="4CB7B6E9" w:rsidR="43237DC3" w:rsidRDefault="43237DC3" w:rsidP="43237DC3">
            <w:pPr>
              <w:pStyle w:val="ListParagraph"/>
              <w:numPr>
                <w:ilvl w:val="0"/>
                <w:numId w:val="20"/>
              </w:numPr>
              <w:ind w:left="426" w:hanging="426"/>
              <w:rPr>
                <w:rFonts w:ascii="Arial" w:eastAsia="Arial" w:hAnsi="Arial" w:cs="Arial"/>
                <w:color w:val="FFFFFF" w:themeColor="background1"/>
              </w:rPr>
            </w:pPr>
            <w:r w:rsidRPr="43237DC3">
              <w:rPr>
                <w:rFonts w:ascii="Arial" w:eastAsia="Arial" w:hAnsi="Arial" w:cs="Arial"/>
                <w:b/>
                <w:bCs/>
                <w:color w:val="FFFFFF" w:themeColor="background1"/>
                <w:lang w:val="en-GB"/>
              </w:rPr>
              <w:t>Scope</w:t>
            </w:r>
          </w:p>
        </w:tc>
      </w:tr>
      <w:tr w:rsidR="43237DC3" w14:paraId="34F72A8E"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E5600" w14:textId="3F2BFC8E" w:rsidR="43237DC3" w:rsidRDefault="43237DC3" w:rsidP="43237DC3">
            <w:pPr>
              <w:pStyle w:val="ListParagraph"/>
              <w:numPr>
                <w:ilvl w:val="1"/>
                <w:numId w:val="20"/>
              </w:numPr>
              <w:pBdr>
                <w:top w:val="nil"/>
                <w:left w:val="nil"/>
                <w:bottom w:val="nil"/>
                <w:right w:val="nil"/>
                <w:between w:val="nil"/>
              </w:pBdr>
              <w:ind w:left="426" w:hanging="426"/>
              <w:jc w:val="both"/>
              <w:rPr>
                <w:rFonts w:ascii="Arial" w:eastAsia="Arial" w:hAnsi="Arial" w:cs="Arial"/>
                <w:color w:val="009900"/>
              </w:rPr>
            </w:pPr>
            <w:r w:rsidRPr="43237DC3">
              <w:rPr>
                <w:rFonts w:ascii="Arial" w:eastAsia="Arial" w:hAnsi="Arial" w:cs="Arial"/>
                <w:b/>
                <w:bCs/>
                <w:color w:val="009900"/>
                <w:lang w:val="en-GB"/>
              </w:rPr>
              <w:t>Scope</w:t>
            </w:r>
          </w:p>
          <w:p w14:paraId="5833E79F" w14:textId="4460047E" w:rsidR="43237DC3" w:rsidRDefault="43237DC3" w:rsidP="43237DC3">
            <w:pPr>
              <w:pBdr>
                <w:top w:val="nil"/>
                <w:left w:val="nil"/>
                <w:bottom w:val="nil"/>
                <w:right w:val="nil"/>
                <w:between w:val="nil"/>
              </w:pBdr>
              <w:ind w:left="720" w:hanging="363"/>
              <w:jc w:val="both"/>
              <w:rPr>
                <w:rFonts w:ascii="Arial" w:eastAsia="Arial" w:hAnsi="Arial" w:cs="Arial"/>
                <w:color w:val="009900"/>
              </w:rPr>
            </w:pPr>
          </w:p>
          <w:p w14:paraId="29B082CD" w14:textId="10169C76" w:rsidR="43237DC3" w:rsidRDefault="43237DC3" w:rsidP="43237DC3">
            <w:pPr>
              <w:jc w:val="both"/>
              <w:rPr>
                <w:rFonts w:ascii="Arial" w:eastAsia="Arial" w:hAnsi="Arial" w:cs="Arial"/>
                <w:color w:val="000000" w:themeColor="text1"/>
              </w:rPr>
            </w:pPr>
            <w:r w:rsidRPr="43237DC3">
              <w:rPr>
                <w:rFonts w:ascii="Arial" w:eastAsia="Arial" w:hAnsi="Arial" w:cs="Arial"/>
                <w:color w:val="000000" w:themeColor="text1"/>
                <w:lang w:val="en-GB"/>
              </w:rPr>
              <w:t xml:space="preserve">This contract relates solely to the provision of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via online pharmacy under a Patient Group Directions (PGD) or through an online GP service, for those patients who have been referred by West Northamptonshire’s Stop Smoking Service.  </w:t>
            </w:r>
          </w:p>
          <w:p w14:paraId="354B6373" w14:textId="6117354F" w:rsidR="43237DC3" w:rsidRDefault="43237DC3" w:rsidP="43237DC3">
            <w:pPr>
              <w:ind w:left="426" w:hanging="426"/>
              <w:jc w:val="both"/>
              <w:rPr>
                <w:rFonts w:ascii="Arial" w:eastAsia="Arial" w:hAnsi="Arial" w:cs="Arial"/>
                <w:color w:val="009900"/>
              </w:rPr>
            </w:pPr>
          </w:p>
          <w:p w14:paraId="15770E9A" w14:textId="1A01E36B" w:rsidR="43237DC3" w:rsidRDefault="43237DC3" w:rsidP="43237DC3">
            <w:pPr>
              <w:pStyle w:val="ListParagraph"/>
              <w:numPr>
                <w:ilvl w:val="1"/>
                <w:numId w:val="20"/>
              </w:numPr>
              <w:pBdr>
                <w:top w:val="nil"/>
                <w:left w:val="nil"/>
                <w:bottom w:val="nil"/>
                <w:right w:val="nil"/>
                <w:between w:val="nil"/>
              </w:pBdr>
              <w:ind w:left="426" w:hanging="426"/>
              <w:jc w:val="both"/>
              <w:rPr>
                <w:rFonts w:ascii="Arial" w:eastAsia="Arial" w:hAnsi="Arial" w:cs="Arial"/>
                <w:color w:val="009900"/>
              </w:rPr>
            </w:pPr>
            <w:r w:rsidRPr="43237DC3">
              <w:rPr>
                <w:rFonts w:ascii="Arial" w:eastAsia="Arial" w:hAnsi="Arial" w:cs="Arial"/>
                <w:b/>
                <w:bCs/>
                <w:color w:val="009900"/>
                <w:lang w:val="en-GB"/>
              </w:rPr>
              <w:t>Aims and objectives of service</w:t>
            </w:r>
          </w:p>
          <w:p w14:paraId="33569D6D" w14:textId="621590ED" w:rsidR="43237DC3" w:rsidRDefault="43237DC3" w:rsidP="43237DC3">
            <w:pPr>
              <w:jc w:val="both"/>
              <w:rPr>
                <w:rFonts w:ascii="Arial" w:eastAsia="Arial" w:hAnsi="Arial" w:cs="Arial"/>
                <w:color w:val="000000" w:themeColor="text1"/>
              </w:rPr>
            </w:pPr>
          </w:p>
          <w:p w14:paraId="242A6FC1" w14:textId="207FBA5D"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purpose of this service is to enable easy and equitable access to Varenicline (Champix)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The aim is that through ease of access to appropriate stop smoking treatments the service will contribute towards a reduction in smoking prevalence across West Northamptonshire by supporting high quality stop smoking service provision.</w:t>
            </w:r>
          </w:p>
          <w:p w14:paraId="3FC9A123" w14:textId="2BCDCF19" w:rsidR="43237DC3" w:rsidRDefault="43237DC3" w:rsidP="43237DC3">
            <w:pPr>
              <w:jc w:val="both"/>
              <w:rPr>
                <w:rFonts w:ascii="Arial" w:eastAsia="Arial" w:hAnsi="Arial" w:cs="Arial"/>
                <w:color w:val="000000" w:themeColor="text1"/>
              </w:rPr>
            </w:pPr>
          </w:p>
          <w:p w14:paraId="2346A1BB" w14:textId="2CF1371F" w:rsidR="43237DC3" w:rsidRDefault="43237DC3" w:rsidP="43237DC3">
            <w:pPr>
              <w:ind w:hanging="296"/>
              <w:jc w:val="both"/>
              <w:rPr>
                <w:rFonts w:ascii="Arial" w:eastAsia="Arial" w:hAnsi="Arial" w:cs="Arial"/>
                <w:color w:val="000000" w:themeColor="text1"/>
              </w:rPr>
            </w:pPr>
            <w:r w:rsidRPr="43237DC3">
              <w:rPr>
                <w:rFonts w:ascii="Arial" w:eastAsia="Arial" w:hAnsi="Arial" w:cs="Arial"/>
                <w:color w:val="000000" w:themeColor="text1"/>
                <w:lang w:val="en-GB"/>
              </w:rPr>
              <w:t xml:space="preserve">The objectives of the service are to: </w:t>
            </w:r>
          </w:p>
          <w:p w14:paraId="2FC3066A" w14:textId="1DBF72EF" w:rsidR="43237DC3" w:rsidRDefault="43237DC3" w:rsidP="43237DC3">
            <w:pPr>
              <w:ind w:hanging="296"/>
              <w:jc w:val="both"/>
              <w:rPr>
                <w:rFonts w:ascii="Arial" w:eastAsia="Arial" w:hAnsi="Arial" w:cs="Arial"/>
                <w:color w:val="000000" w:themeColor="text1"/>
              </w:rPr>
            </w:pPr>
          </w:p>
          <w:p w14:paraId="31437127" w14:textId="5848788E" w:rsidR="43237DC3" w:rsidRDefault="43237DC3" w:rsidP="43237DC3">
            <w:pPr>
              <w:pStyle w:val="ListParagraph"/>
              <w:numPr>
                <w:ilvl w:val="0"/>
                <w:numId w:val="19"/>
              </w:numPr>
              <w:pBdr>
                <w:top w:val="nil"/>
                <w:left w:val="nil"/>
                <w:bottom w:val="nil"/>
                <w:right w:val="nil"/>
                <w:between w:val="nil"/>
              </w:pBdr>
              <w:ind w:hanging="296"/>
              <w:jc w:val="both"/>
              <w:rPr>
                <w:rFonts w:ascii="Arial" w:eastAsia="Arial" w:hAnsi="Arial" w:cs="Arial"/>
                <w:color w:val="000000" w:themeColor="text1"/>
              </w:rPr>
            </w:pPr>
            <w:r w:rsidRPr="43237DC3">
              <w:rPr>
                <w:rFonts w:ascii="Arial" w:eastAsia="Arial" w:hAnsi="Arial" w:cs="Arial"/>
                <w:color w:val="000000" w:themeColor="text1"/>
                <w:lang w:val="en-GB"/>
              </w:rPr>
              <w:t xml:space="preserve">improve access to and choice of Stop Smoking services, specifically access to pharmacological smoking cessation </w:t>
            </w:r>
            <w:proofErr w:type="gramStart"/>
            <w:r w:rsidRPr="43237DC3">
              <w:rPr>
                <w:rFonts w:ascii="Arial" w:eastAsia="Arial" w:hAnsi="Arial" w:cs="Arial"/>
                <w:color w:val="000000" w:themeColor="text1"/>
                <w:lang w:val="en-GB"/>
              </w:rPr>
              <w:t>aids;</w:t>
            </w:r>
            <w:proofErr w:type="gramEnd"/>
          </w:p>
          <w:p w14:paraId="1D517DB6" w14:textId="4A2837A0" w:rsidR="43237DC3" w:rsidRDefault="43237DC3" w:rsidP="43237DC3">
            <w:pPr>
              <w:ind w:left="709" w:hanging="296"/>
              <w:jc w:val="both"/>
              <w:rPr>
                <w:rFonts w:ascii="Arial" w:eastAsia="Arial" w:hAnsi="Arial" w:cs="Arial"/>
                <w:color w:val="000000" w:themeColor="text1"/>
              </w:rPr>
            </w:pPr>
          </w:p>
          <w:p w14:paraId="509559F0" w14:textId="4DB88E02" w:rsidR="43237DC3" w:rsidRDefault="43237DC3" w:rsidP="43237DC3">
            <w:pPr>
              <w:pStyle w:val="ListParagraph"/>
              <w:numPr>
                <w:ilvl w:val="0"/>
                <w:numId w:val="19"/>
              </w:numPr>
              <w:pBdr>
                <w:top w:val="nil"/>
                <w:left w:val="nil"/>
                <w:bottom w:val="nil"/>
                <w:right w:val="nil"/>
                <w:between w:val="nil"/>
              </w:pBdr>
              <w:ind w:hanging="296"/>
              <w:jc w:val="both"/>
              <w:rPr>
                <w:rFonts w:ascii="Arial" w:eastAsia="Arial" w:hAnsi="Arial" w:cs="Arial"/>
                <w:color w:val="000000" w:themeColor="text1"/>
              </w:rPr>
            </w:pPr>
            <w:r w:rsidRPr="43237DC3">
              <w:rPr>
                <w:rFonts w:ascii="Arial" w:eastAsia="Arial" w:hAnsi="Arial" w:cs="Arial"/>
                <w:color w:val="000000" w:themeColor="text1"/>
                <w:lang w:val="en-GB"/>
              </w:rPr>
              <w:t xml:space="preserve">assist in the delivery of local smoking cessation </w:t>
            </w:r>
            <w:proofErr w:type="gramStart"/>
            <w:r w:rsidRPr="43237DC3">
              <w:rPr>
                <w:rFonts w:ascii="Arial" w:eastAsia="Arial" w:hAnsi="Arial" w:cs="Arial"/>
                <w:color w:val="000000" w:themeColor="text1"/>
                <w:lang w:val="en-GB"/>
              </w:rPr>
              <w:t>targets;</w:t>
            </w:r>
            <w:proofErr w:type="gramEnd"/>
          </w:p>
          <w:p w14:paraId="43524DC4" w14:textId="1FC8BE20" w:rsidR="43237DC3" w:rsidRDefault="43237DC3" w:rsidP="43237DC3">
            <w:pPr>
              <w:ind w:left="709" w:hanging="296"/>
              <w:jc w:val="both"/>
              <w:rPr>
                <w:rFonts w:ascii="Arial" w:eastAsia="Arial" w:hAnsi="Arial" w:cs="Arial"/>
                <w:color w:val="000000" w:themeColor="text1"/>
              </w:rPr>
            </w:pPr>
          </w:p>
          <w:p w14:paraId="0105FB3A" w14:textId="2A9F8459" w:rsidR="43237DC3" w:rsidRDefault="43237DC3" w:rsidP="43237DC3">
            <w:pPr>
              <w:pStyle w:val="ListParagraph"/>
              <w:numPr>
                <w:ilvl w:val="0"/>
                <w:numId w:val="19"/>
              </w:numPr>
              <w:pBdr>
                <w:top w:val="nil"/>
                <w:left w:val="nil"/>
                <w:bottom w:val="nil"/>
                <w:right w:val="nil"/>
                <w:between w:val="nil"/>
              </w:pBdr>
              <w:ind w:hanging="296"/>
              <w:jc w:val="both"/>
              <w:rPr>
                <w:rFonts w:ascii="Arial" w:eastAsia="Arial" w:hAnsi="Arial" w:cs="Arial"/>
                <w:color w:val="000000" w:themeColor="text1"/>
              </w:rPr>
            </w:pPr>
            <w:r w:rsidRPr="43237DC3">
              <w:rPr>
                <w:rFonts w:ascii="Arial" w:eastAsia="Arial" w:hAnsi="Arial" w:cs="Arial"/>
                <w:color w:val="000000" w:themeColor="text1"/>
                <w:lang w:val="en-GB"/>
              </w:rPr>
              <w:t xml:space="preserve">reduce smoking related illnesses and deaths by helping people to give up </w:t>
            </w:r>
            <w:proofErr w:type="gramStart"/>
            <w:r w:rsidRPr="43237DC3">
              <w:rPr>
                <w:rFonts w:ascii="Arial" w:eastAsia="Arial" w:hAnsi="Arial" w:cs="Arial"/>
                <w:color w:val="000000" w:themeColor="text1"/>
                <w:lang w:val="en-GB"/>
              </w:rPr>
              <w:t>smoking;</w:t>
            </w:r>
            <w:proofErr w:type="gramEnd"/>
            <w:r w:rsidRPr="43237DC3">
              <w:rPr>
                <w:rFonts w:ascii="Arial" w:eastAsia="Arial" w:hAnsi="Arial" w:cs="Arial"/>
                <w:color w:val="000000" w:themeColor="text1"/>
                <w:lang w:val="en-GB"/>
              </w:rPr>
              <w:t xml:space="preserve"> </w:t>
            </w:r>
          </w:p>
          <w:p w14:paraId="253F2D0A" w14:textId="3BEDD705" w:rsidR="43237DC3" w:rsidRDefault="43237DC3" w:rsidP="43237DC3">
            <w:pPr>
              <w:ind w:left="709" w:hanging="296"/>
              <w:jc w:val="both"/>
              <w:rPr>
                <w:rFonts w:ascii="Arial" w:eastAsia="Arial" w:hAnsi="Arial" w:cs="Arial"/>
                <w:color w:val="000000" w:themeColor="text1"/>
              </w:rPr>
            </w:pPr>
          </w:p>
          <w:p w14:paraId="79B0A931" w14:textId="3BAA2908" w:rsidR="43237DC3" w:rsidRDefault="43237DC3" w:rsidP="43237DC3">
            <w:pPr>
              <w:pStyle w:val="ListParagraph"/>
              <w:numPr>
                <w:ilvl w:val="0"/>
                <w:numId w:val="19"/>
              </w:numPr>
              <w:pBdr>
                <w:top w:val="nil"/>
                <w:left w:val="nil"/>
                <w:bottom w:val="nil"/>
                <w:right w:val="nil"/>
                <w:between w:val="nil"/>
              </w:pBdr>
              <w:ind w:hanging="296"/>
              <w:jc w:val="both"/>
              <w:rPr>
                <w:rFonts w:ascii="Arial" w:eastAsia="Arial" w:hAnsi="Arial" w:cs="Arial"/>
                <w:color w:val="000000" w:themeColor="text1"/>
              </w:rPr>
            </w:pPr>
            <w:r w:rsidRPr="43237DC3">
              <w:rPr>
                <w:rFonts w:ascii="Arial" w:eastAsia="Arial" w:hAnsi="Arial" w:cs="Arial"/>
                <w:color w:val="000000" w:themeColor="text1"/>
                <w:lang w:val="en-GB"/>
              </w:rPr>
              <w:t>improve the health of the population by reducing passive exposure to smoke.</w:t>
            </w:r>
          </w:p>
          <w:p w14:paraId="1D13A9F9" w14:textId="31D8BCC7" w:rsidR="43237DC3" w:rsidRDefault="43237DC3" w:rsidP="43237DC3">
            <w:pPr>
              <w:jc w:val="both"/>
              <w:rPr>
                <w:rFonts w:ascii="Arial" w:eastAsia="Arial" w:hAnsi="Arial" w:cs="Arial"/>
                <w:color w:val="000000" w:themeColor="text1"/>
              </w:rPr>
            </w:pPr>
            <w:r w:rsidRPr="43237DC3">
              <w:rPr>
                <w:rFonts w:ascii="Arial" w:eastAsia="Arial" w:hAnsi="Arial" w:cs="Arial"/>
                <w:color w:val="000000" w:themeColor="text1"/>
                <w:lang w:val="en-GB"/>
              </w:rPr>
              <w:t xml:space="preserve"> </w:t>
            </w:r>
          </w:p>
          <w:p w14:paraId="7E61B895" w14:textId="76AEB438" w:rsidR="43237DC3" w:rsidRDefault="43237DC3" w:rsidP="43237DC3">
            <w:pPr>
              <w:jc w:val="both"/>
              <w:rPr>
                <w:rFonts w:ascii="Arial" w:eastAsia="Arial" w:hAnsi="Arial" w:cs="Arial"/>
                <w:color w:val="009900"/>
              </w:rPr>
            </w:pPr>
            <w:r w:rsidRPr="43237DC3">
              <w:rPr>
                <w:rFonts w:ascii="Arial" w:eastAsia="Arial" w:hAnsi="Arial" w:cs="Arial"/>
                <w:b/>
                <w:bCs/>
                <w:color w:val="009900"/>
                <w:lang w:val="en-GB"/>
              </w:rPr>
              <w:t>3.3 Population covered</w:t>
            </w:r>
          </w:p>
          <w:p w14:paraId="280CBD68" w14:textId="01BF1473" w:rsidR="43237DC3" w:rsidRDefault="43237DC3" w:rsidP="43237DC3">
            <w:pPr>
              <w:jc w:val="both"/>
              <w:rPr>
                <w:rFonts w:ascii="Arial" w:eastAsia="Arial" w:hAnsi="Arial" w:cs="Arial"/>
                <w:color w:val="339966"/>
              </w:rPr>
            </w:pPr>
          </w:p>
          <w:p w14:paraId="656CAD5D" w14:textId="6779E74D"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Clients accessing the West Northamptonshire Stop Smoking Service, who are fulfilling the criteria set out in the West Northamptonshire Stop Smoking Service protocol, and who are referred to the Service by their Stop Smoking advisor.</w:t>
            </w:r>
          </w:p>
          <w:p w14:paraId="21904CD7" w14:textId="6207464F" w:rsidR="43237DC3" w:rsidRDefault="43237DC3" w:rsidP="43237DC3">
            <w:pPr>
              <w:jc w:val="both"/>
              <w:rPr>
                <w:rFonts w:ascii="Arial" w:eastAsia="Arial" w:hAnsi="Arial" w:cs="Arial"/>
                <w:color w:val="339966"/>
              </w:rPr>
            </w:pPr>
          </w:p>
          <w:p w14:paraId="4D92B9CC" w14:textId="2EE42566" w:rsidR="43237DC3" w:rsidRDefault="43237DC3" w:rsidP="43237DC3">
            <w:pPr>
              <w:pStyle w:val="ListParagraph"/>
              <w:numPr>
                <w:ilvl w:val="1"/>
                <w:numId w:val="18"/>
              </w:numPr>
              <w:jc w:val="both"/>
              <w:rPr>
                <w:rFonts w:ascii="Arial" w:eastAsia="Arial" w:hAnsi="Arial" w:cs="Arial"/>
                <w:color w:val="009900"/>
              </w:rPr>
            </w:pPr>
            <w:r w:rsidRPr="43237DC3">
              <w:rPr>
                <w:rFonts w:ascii="Arial" w:eastAsia="Arial" w:hAnsi="Arial" w:cs="Arial"/>
                <w:b/>
                <w:bCs/>
                <w:color w:val="009900"/>
                <w:lang w:val="en-GB"/>
              </w:rPr>
              <w:t>Any acceptance and exclusion criteria and thresholds</w:t>
            </w:r>
          </w:p>
          <w:p w14:paraId="4A1024FF" w14:textId="6D93DF45" w:rsidR="43237DC3" w:rsidRDefault="43237DC3" w:rsidP="43237DC3">
            <w:pPr>
              <w:jc w:val="both"/>
              <w:rPr>
                <w:rFonts w:ascii="Arial" w:eastAsia="Arial" w:hAnsi="Arial" w:cs="Arial"/>
                <w:color w:val="009900"/>
              </w:rPr>
            </w:pPr>
          </w:p>
          <w:p w14:paraId="6EA78480" w14:textId="23548E86"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This Service will provide access to Varenicline (Champix), as it is available,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This will be through an online pharmacy through a Patient Group Direction or via an online GP service. </w:t>
            </w:r>
          </w:p>
          <w:p w14:paraId="40397818" w14:textId="62B3CE66" w:rsidR="43237DC3" w:rsidRDefault="43237DC3" w:rsidP="43237DC3">
            <w:pPr>
              <w:ind w:left="458"/>
              <w:jc w:val="both"/>
              <w:rPr>
                <w:rFonts w:ascii="Arial" w:eastAsia="Arial" w:hAnsi="Arial" w:cs="Arial"/>
                <w:color w:val="000000" w:themeColor="text1"/>
              </w:rPr>
            </w:pPr>
          </w:p>
          <w:p w14:paraId="789318C1" w14:textId="7999B218"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Those eligible for the service are:</w:t>
            </w:r>
          </w:p>
          <w:p w14:paraId="3666B54A" w14:textId="449DB050" w:rsidR="43237DC3" w:rsidRDefault="43237DC3" w:rsidP="43237DC3">
            <w:pPr>
              <w:ind w:left="458"/>
              <w:jc w:val="both"/>
              <w:rPr>
                <w:rFonts w:ascii="Arial" w:eastAsia="Arial" w:hAnsi="Arial" w:cs="Arial"/>
                <w:color w:val="000000" w:themeColor="text1"/>
              </w:rPr>
            </w:pPr>
          </w:p>
          <w:p w14:paraId="6C5EC926" w14:textId="2A6D38C8"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Smokers aged 18 and over who are attending West Northamptonshire’s stop smoking service and have been assessed as sufficiently motivated to quit and have been referred to the service for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w:t>
            </w:r>
          </w:p>
          <w:p w14:paraId="216C760F" w14:textId="07BEA1AD" w:rsidR="43237DC3" w:rsidRDefault="43237DC3" w:rsidP="43237DC3">
            <w:pPr>
              <w:ind w:left="458"/>
              <w:jc w:val="both"/>
              <w:rPr>
                <w:rFonts w:ascii="Arial" w:eastAsia="Arial" w:hAnsi="Arial" w:cs="Arial"/>
                <w:color w:val="000000" w:themeColor="text1"/>
              </w:rPr>
            </w:pPr>
          </w:p>
          <w:p w14:paraId="13F991C2" w14:textId="20BEC2C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Overall clinical responsibility for the supply of Varenicline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lies with the clinician at the time of supply.  As the legal responsibility for issuing the product rests with the pharmacist the final choice of formulation is at the discretion of the pharmacist. Prescribing guidelines must be followed for the provision of Varenicline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w:t>
            </w:r>
          </w:p>
          <w:p w14:paraId="18F98639" w14:textId="317400E7" w:rsidR="43237DC3" w:rsidRDefault="43237DC3" w:rsidP="43237DC3">
            <w:pPr>
              <w:jc w:val="both"/>
              <w:rPr>
                <w:rFonts w:ascii="Arial" w:eastAsia="Arial" w:hAnsi="Arial" w:cs="Arial"/>
                <w:color w:val="009900"/>
              </w:rPr>
            </w:pPr>
          </w:p>
          <w:p w14:paraId="3CF85903" w14:textId="1D6121F3" w:rsidR="43237DC3" w:rsidRDefault="43237DC3" w:rsidP="43237DC3">
            <w:pPr>
              <w:pStyle w:val="ListParagraph"/>
              <w:numPr>
                <w:ilvl w:val="1"/>
                <w:numId w:val="18"/>
              </w:numPr>
              <w:jc w:val="both"/>
              <w:rPr>
                <w:rFonts w:ascii="Arial" w:eastAsia="Arial" w:hAnsi="Arial" w:cs="Arial"/>
                <w:color w:val="009900"/>
              </w:rPr>
            </w:pPr>
            <w:r w:rsidRPr="43237DC3">
              <w:rPr>
                <w:rFonts w:ascii="Arial" w:eastAsia="Arial" w:hAnsi="Arial" w:cs="Arial"/>
                <w:b/>
                <w:bCs/>
                <w:color w:val="009900"/>
                <w:lang w:val="en-GB"/>
              </w:rPr>
              <w:t xml:space="preserve"> Interdependencies with other services</w:t>
            </w:r>
          </w:p>
          <w:p w14:paraId="692F83D1" w14:textId="6E010525" w:rsidR="43237DC3" w:rsidRDefault="43237DC3" w:rsidP="43237DC3">
            <w:pPr>
              <w:jc w:val="both"/>
              <w:rPr>
                <w:rFonts w:ascii="Arial" w:eastAsia="Arial" w:hAnsi="Arial" w:cs="Arial"/>
                <w:color w:val="339966"/>
              </w:rPr>
            </w:pPr>
          </w:p>
          <w:p w14:paraId="4E3C517E" w14:textId="7FED9AF7"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West Northamptonshire Stop Smoking Service will provide one to one or group support for clients who wish to stop smoking.  This includes setting a target quit date and providing NRT products and/or e-cigarettes. This contract will enable the service to also include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or </w:t>
            </w:r>
            <w:proofErr w:type="gramStart"/>
            <w:r w:rsidRPr="43237DC3">
              <w:rPr>
                <w:rFonts w:ascii="Arial" w:eastAsia="Arial" w:hAnsi="Arial" w:cs="Arial"/>
                <w:color w:val="000000" w:themeColor="text1"/>
                <w:lang w:val="en-GB"/>
              </w:rPr>
              <w:t>Varenicline  via</w:t>
            </w:r>
            <w:proofErr w:type="gramEnd"/>
            <w:r w:rsidRPr="43237DC3">
              <w:rPr>
                <w:rFonts w:ascii="Arial" w:eastAsia="Arial" w:hAnsi="Arial" w:cs="Arial"/>
                <w:color w:val="000000" w:themeColor="text1"/>
                <w:lang w:val="en-GB"/>
              </w:rPr>
              <w:t xml:space="preserve"> a referral to an online service provision.</w:t>
            </w:r>
          </w:p>
          <w:p w14:paraId="24AF506B" w14:textId="6D290B27" w:rsidR="43237DC3" w:rsidRDefault="43237DC3" w:rsidP="43237DC3">
            <w:pPr>
              <w:jc w:val="both"/>
              <w:rPr>
                <w:rFonts w:ascii="Arial" w:eastAsia="Arial" w:hAnsi="Arial" w:cs="Arial"/>
                <w:color w:val="339966"/>
              </w:rPr>
            </w:pPr>
          </w:p>
          <w:p w14:paraId="2EAB732C" w14:textId="5CE5028B" w:rsidR="43237DC3" w:rsidRDefault="43237DC3" w:rsidP="43237DC3">
            <w:pPr>
              <w:pStyle w:val="ListParagraph"/>
              <w:numPr>
                <w:ilvl w:val="1"/>
                <w:numId w:val="17"/>
              </w:numPr>
              <w:jc w:val="both"/>
              <w:rPr>
                <w:rFonts w:ascii="Arial" w:eastAsia="Arial" w:hAnsi="Arial" w:cs="Arial"/>
                <w:color w:val="009900"/>
              </w:rPr>
            </w:pPr>
            <w:r w:rsidRPr="43237DC3">
              <w:rPr>
                <w:rFonts w:ascii="Arial" w:eastAsia="Arial" w:hAnsi="Arial" w:cs="Arial"/>
                <w:b/>
                <w:bCs/>
                <w:color w:val="009900"/>
                <w:lang w:val="en-GB"/>
              </w:rPr>
              <w:t xml:space="preserve">  Any activity planning assumptions</w:t>
            </w:r>
          </w:p>
          <w:p w14:paraId="4760EED9" w14:textId="3B37A888" w:rsidR="43237DC3" w:rsidRDefault="43237DC3" w:rsidP="43237DC3">
            <w:pPr>
              <w:ind w:left="360" w:firstLine="357"/>
              <w:jc w:val="both"/>
              <w:rPr>
                <w:rFonts w:ascii="Arial" w:eastAsia="Arial" w:hAnsi="Arial" w:cs="Arial"/>
                <w:color w:val="339966"/>
              </w:rPr>
            </w:pPr>
          </w:p>
          <w:p w14:paraId="54B73AA3" w14:textId="579241AA"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This Service will work in conjunction with the West Northamptonshire Stop Smoking Service as detailed in this specification.</w:t>
            </w:r>
          </w:p>
          <w:p w14:paraId="363155CC" w14:textId="0644C7A5" w:rsidR="43237DC3" w:rsidRDefault="43237DC3" w:rsidP="43237DC3">
            <w:pPr>
              <w:jc w:val="both"/>
              <w:rPr>
                <w:rFonts w:ascii="Arial" w:eastAsia="Arial" w:hAnsi="Arial" w:cs="Arial"/>
                <w:color w:val="000000" w:themeColor="text1"/>
              </w:rPr>
            </w:pPr>
          </w:p>
          <w:p w14:paraId="039EF9E1" w14:textId="4A9AAE0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Provider will have in place robust systems for the identification, mitigation and management of clinical and non-clinical risk.</w:t>
            </w:r>
          </w:p>
          <w:p w14:paraId="7050B8F8" w14:textId="1483C64A" w:rsidR="43237DC3" w:rsidRDefault="43237DC3" w:rsidP="43237DC3">
            <w:pPr>
              <w:jc w:val="both"/>
              <w:rPr>
                <w:rFonts w:ascii="Arial" w:eastAsia="Arial" w:hAnsi="Arial" w:cs="Arial"/>
                <w:color w:val="000000" w:themeColor="text1"/>
              </w:rPr>
            </w:pPr>
          </w:p>
          <w:p w14:paraId="4003CA91" w14:textId="5CE6DCFC" w:rsidR="43237DC3" w:rsidRDefault="43237DC3" w:rsidP="43237DC3">
            <w:pPr>
              <w:jc w:val="both"/>
              <w:rPr>
                <w:rFonts w:ascii="Arial" w:eastAsia="Arial" w:hAnsi="Arial" w:cs="Arial"/>
                <w:color w:val="000000" w:themeColor="text1"/>
              </w:rPr>
            </w:pPr>
          </w:p>
        </w:tc>
      </w:tr>
      <w:tr w:rsidR="43237DC3" w14:paraId="3273DFAD"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tcPr>
          <w:p w14:paraId="3F3F890D" w14:textId="32F842AC" w:rsidR="43237DC3" w:rsidRDefault="43237DC3" w:rsidP="43237DC3">
            <w:pPr>
              <w:pStyle w:val="ListParagraph"/>
              <w:numPr>
                <w:ilvl w:val="0"/>
                <w:numId w:val="20"/>
              </w:numPr>
              <w:ind w:left="567" w:hanging="567"/>
              <w:rPr>
                <w:rFonts w:ascii="Arial" w:eastAsia="Arial" w:hAnsi="Arial" w:cs="Arial"/>
                <w:color w:val="FFFFFF" w:themeColor="background1"/>
              </w:rPr>
            </w:pPr>
            <w:r w:rsidRPr="43237DC3">
              <w:rPr>
                <w:rFonts w:ascii="Arial" w:eastAsia="Arial" w:hAnsi="Arial" w:cs="Arial"/>
                <w:b/>
                <w:bCs/>
                <w:color w:val="FFFFFF" w:themeColor="background1"/>
                <w:lang w:val="en-GB"/>
              </w:rPr>
              <w:lastRenderedPageBreak/>
              <w:t>Service Provision</w:t>
            </w:r>
          </w:p>
        </w:tc>
      </w:tr>
      <w:tr w:rsidR="43237DC3" w14:paraId="3A1B8479"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7D69BC" w14:textId="224A5B98" w:rsidR="43237DC3" w:rsidRDefault="43237DC3" w:rsidP="43237DC3">
            <w:pPr>
              <w:pStyle w:val="ListParagraph"/>
              <w:numPr>
                <w:ilvl w:val="1"/>
                <w:numId w:val="20"/>
              </w:numPr>
              <w:pBdr>
                <w:top w:val="nil"/>
                <w:left w:val="nil"/>
                <w:bottom w:val="nil"/>
                <w:right w:val="nil"/>
                <w:between w:val="nil"/>
              </w:pBdr>
              <w:rPr>
                <w:rFonts w:ascii="Arial" w:eastAsia="Arial" w:hAnsi="Arial" w:cs="Arial"/>
                <w:color w:val="009900"/>
              </w:rPr>
            </w:pPr>
            <w:r w:rsidRPr="43237DC3">
              <w:rPr>
                <w:rFonts w:ascii="Arial" w:eastAsia="Arial" w:hAnsi="Arial" w:cs="Arial"/>
                <w:b/>
                <w:bCs/>
                <w:color w:val="009900"/>
                <w:lang w:val="en-GB"/>
              </w:rPr>
              <w:t>Stop Smoking Advisors</w:t>
            </w:r>
          </w:p>
          <w:p w14:paraId="0D94B138" w14:textId="58C31684" w:rsidR="43237DC3" w:rsidRDefault="43237DC3" w:rsidP="43237DC3">
            <w:pPr>
              <w:rPr>
                <w:rFonts w:ascii="Arial" w:eastAsia="Arial" w:hAnsi="Arial" w:cs="Arial"/>
                <w:color w:val="000000" w:themeColor="text1"/>
              </w:rPr>
            </w:pPr>
          </w:p>
          <w:p w14:paraId="5FBF92E4" w14:textId="6C2275C4"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customer will have seen a stop smoking advisor, who </w:t>
            </w:r>
            <w:proofErr w:type="gramStart"/>
            <w:r w:rsidRPr="43237DC3">
              <w:rPr>
                <w:rFonts w:ascii="Arial" w:eastAsia="Arial" w:hAnsi="Arial" w:cs="Arial"/>
                <w:color w:val="000000" w:themeColor="text1"/>
                <w:lang w:val="en-GB"/>
              </w:rPr>
              <w:t xml:space="preserve">will </w:t>
            </w:r>
            <w:r w:rsidRPr="43237DC3">
              <w:rPr>
                <w:rFonts w:ascii="Times New Roman" w:eastAsia="Times New Roman" w:hAnsi="Times New Roman" w:cs="Times New Roman"/>
                <w:color w:val="000000" w:themeColor="text1"/>
                <w:lang w:val="en-GB"/>
              </w:rPr>
              <w:t xml:space="preserve"> </w:t>
            </w:r>
            <w:r w:rsidRPr="43237DC3">
              <w:rPr>
                <w:rFonts w:ascii="Arial" w:eastAsia="Arial" w:hAnsi="Arial" w:cs="Arial"/>
                <w:color w:val="000000" w:themeColor="text1"/>
                <w:lang w:val="en-GB"/>
              </w:rPr>
              <w:t>assess</w:t>
            </w:r>
            <w:proofErr w:type="gramEnd"/>
            <w:r w:rsidRPr="43237DC3">
              <w:rPr>
                <w:rFonts w:ascii="Arial" w:eastAsia="Arial" w:hAnsi="Arial" w:cs="Arial"/>
                <w:color w:val="000000" w:themeColor="text1"/>
                <w:lang w:val="en-GB"/>
              </w:rPr>
              <w:t xml:space="preserve"> the Service User's motivation to quit and provide ongoing one to one motivational support throughout the quit attempt. If the Service User expresses a preference </w:t>
            </w:r>
            <w:r w:rsidRPr="43237DC3">
              <w:rPr>
                <w:rFonts w:ascii="Arial" w:eastAsia="Arial" w:hAnsi="Arial" w:cs="Arial"/>
                <w:color w:val="000000" w:themeColor="text1"/>
                <w:lang w:val="en-GB"/>
              </w:rPr>
              <w:lastRenderedPageBreak/>
              <w:t xml:space="preserve">for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the Stop Smoking Adviser will conduct an initial assessment for suitability and, if there are no contra-indications, refer the Service User to the service provider via Quit Manager or an online form.</w:t>
            </w:r>
          </w:p>
          <w:p w14:paraId="33D29E89" w14:textId="78C0F4E1" w:rsidR="43237DC3" w:rsidRDefault="43237DC3" w:rsidP="43237DC3">
            <w:pPr>
              <w:rPr>
                <w:rFonts w:ascii="Arial" w:eastAsia="Arial" w:hAnsi="Arial" w:cs="Arial"/>
                <w:color w:val="000000" w:themeColor="text1"/>
              </w:rPr>
            </w:pPr>
          </w:p>
          <w:p w14:paraId="61492A43" w14:textId="008268DE"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Stop Smoking Adviser must explain to the Service User that it will be the clinician’s decision </w:t>
            </w:r>
            <w:proofErr w:type="gramStart"/>
            <w:r w:rsidRPr="43237DC3">
              <w:rPr>
                <w:rFonts w:ascii="Arial" w:eastAsia="Arial" w:hAnsi="Arial" w:cs="Arial"/>
                <w:color w:val="000000" w:themeColor="text1"/>
                <w:lang w:val="en-GB"/>
              </w:rPr>
              <w:t>whether or not</w:t>
            </w:r>
            <w:proofErr w:type="gramEnd"/>
            <w:r w:rsidRPr="43237DC3">
              <w:rPr>
                <w:rFonts w:ascii="Arial" w:eastAsia="Arial" w:hAnsi="Arial" w:cs="Arial"/>
                <w:color w:val="000000" w:themeColor="text1"/>
                <w:lang w:val="en-GB"/>
              </w:rPr>
              <w:t xml:space="preserve">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is suitable option.</w:t>
            </w:r>
          </w:p>
          <w:p w14:paraId="5777091E" w14:textId="18F03289" w:rsidR="43237DC3" w:rsidRDefault="43237DC3" w:rsidP="43237DC3">
            <w:pPr>
              <w:rPr>
                <w:rFonts w:ascii="Arial" w:eastAsia="Arial" w:hAnsi="Arial" w:cs="Arial"/>
                <w:color w:val="000000" w:themeColor="text1"/>
              </w:rPr>
            </w:pPr>
          </w:p>
          <w:p w14:paraId="2BAA2DD0" w14:textId="57FDFA6F" w:rsidR="43237DC3" w:rsidRDefault="43237DC3" w:rsidP="43237DC3">
            <w:pPr>
              <w:rPr>
                <w:rFonts w:ascii="Arial" w:eastAsia="Arial" w:hAnsi="Arial" w:cs="Arial"/>
                <w:color w:val="009900"/>
              </w:rPr>
            </w:pPr>
            <w:r w:rsidRPr="43237DC3">
              <w:rPr>
                <w:rFonts w:ascii="Arial" w:eastAsia="Arial" w:hAnsi="Arial" w:cs="Arial"/>
                <w:b/>
                <w:bCs/>
                <w:color w:val="009900"/>
                <w:lang w:val="en-GB"/>
              </w:rPr>
              <w:t>4.2 The Service Provider</w:t>
            </w:r>
          </w:p>
          <w:p w14:paraId="42BB0E95" w14:textId="4BB19F76" w:rsidR="43237DC3" w:rsidRDefault="43237DC3" w:rsidP="43237DC3">
            <w:pPr>
              <w:ind w:left="567" w:firstLine="357"/>
              <w:rPr>
                <w:rFonts w:ascii="Arial" w:eastAsia="Arial" w:hAnsi="Arial" w:cs="Arial"/>
                <w:color w:val="FFFFFF" w:themeColor="background1"/>
              </w:rPr>
            </w:pPr>
          </w:p>
          <w:p w14:paraId="3AE9E28A" w14:textId="57BD6342"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Following referral, the Service Provider will contact the service user and provide an online appointment (via phone, Zoom, Microsoft Teams, or similar application) with a suitably qualified member of staff to assess the service user’s eligibility for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w:t>
            </w:r>
            <w:proofErr w:type="gramStart"/>
            <w:r w:rsidRPr="43237DC3">
              <w:rPr>
                <w:rFonts w:ascii="Arial" w:eastAsia="Arial" w:hAnsi="Arial" w:cs="Arial"/>
                <w:color w:val="000000" w:themeColor="text1"/>
                <w:lang w:val="en-GB"/>
              </w:rPr>
              <w:t>within  2</w:t>
            </w:r>
            <w:proofErr w:type="gramEnd"/>
            <w:r w:rsidRPr="43237DC3">
              <w:rPr>
                <w:rFonts w:ascii="Arial" w:eastAsia="Arial" w:hAnsi="Arial" w:cs="Arial"/>
                <w:color w:val="000000" w:themeColor="text1"/>
                <w:lang w:val="en-GB"/>
              </w:rPr>
              <w:t xml:space="preserve"> working days. The appointment must take place within 5 working days.</w:t>
            </w:r>
          </w:p>
          <w:p w14:paraId="520A0E6C" w14:textId="7865EB8D" w:rsidR="43237DC3" w:rsidRDefault="43237DC3" w:rsidP="43237DC3">
            <w:pPr>
              <w:ind w:left="458"/>
              <w:jc w:val="both"/>
              <w:rPr>
                <w:rFonts w:ascii="Arial" w:eastAsia="Arial" w:hAnsi="Arial" w:cs="Arial"/>
                <w:color w:val="000000" w:themeColor="text1"/>
              </w:rPr>
            </w:pPr>
          </w:p>
          <w:p w14:paraId="3A91566B" w14:textId="4E165D69"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If eligible, the Service Provider will post the medicine to the service user, following guidance on posting licensed medications.</w:t>
            </w:r>
          </w:p>
          <w:p w14:paraId="543590A0" w14:textId="0420103B" w:rsidR="43237DC3" w:rsidRDefault="43237DC3" w:rsidP="43237DC3">
            <w:pPr>
              <w:ind w:left="458"/>
              <w:jc w:val="both"/>
              <w:rPr>
                <w:rFonts w:ascii="Arial" w:eastAsia="Arial" w:hAnsi="Arial" w:cs="Arial"/>
                <w:color w:val="000000" w:themeColor="text1"/>
              </w:rPr>
            </w:pPr>
          </w:p>
          <w:p w14:paraId="02B76327" w14:textId="341CA7CC"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must ensure that all clinician’s involved in the provision of the service operate within clinical guidelines. If a pharmacist is dispensing the medicine this will be undertaken </w:t>
            </w:r>
            <w:proofErr w:type="gramStart"/>
            <w:r w:rsidRPr="43237DC3">
              <w:rPr>
                <w:rFonts w:ascii="Arial" w:eastAsia="Arial" w:hAnsi="Arial" w:cs="Arial"/>
                <w:color w:val="000000" w:themeColor="text1"/>
                <w:lang w:val="en-GB"/>
              </w:rPr>
              <w:t>under  a</w:t>
            </w:r>
            <w:proofErr w:type="gramEnd"/>
            <w:r w:rsidRPr="43237DC3">
              <w:rPr>
                <w:rFonts w:ascii="Arial" w:eastAsia="Arial" w:hAnsi="Arial" w:cs="Arial"/>
                <w:color w:val="000000" w:themeColor="text1"/>
                <w:lang w:val="en-GB"/>
              </w:rPr>
              <w:t xml:space="preserve"> Patient Group Directive based on the Specialist Pharmacist Service framework.</w:t>
            </w:r>
          </w:p>
          <w:p w14:paraId="44495280" w14:textId="37FB4106" w:rsidR="43237DC3" w:rsidRDefault="43237DC3" w:rsidP="43237DC3">
            <w:pPr>
              <w:ind w:left="458"/>
              <w:jc w:val="both"/>
              <w:rPr>
                <w:rFonts w:ascii="Arial" w:eastAsia="Arial" w:hAnsi="Arial" w:cs="Arial"/>
                <w:color w:val="000000" w:themeColor="text1"/>
              </w:rPr>
            </w:pPr>
          </w:p>
          <w:p w14:paraId="6313EDC9" w14:textId="09E97A07"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must assess the Service User for suitability for treatment and record the outcome in an agreed </w:t>
            </w:r>
            <w:proofErr w:type="gramStart"/>
            <w:r w:rsidRPr="43237DC3">
              <w:rPr>
                <w:rFonts w:ascii="Arial" w:eastAsia="Arial" w:hAnsi="Arial" w:cs="Arial"/>
                <w:color w:val="000000" w:themeColor="text1"/>
                <w:lang w:val="en-GB"/>
              </w:rPr>
              <w:t>format  with</w:t>
            </w:r>
            <w:proofErr w:type="gramEnd"/>
            <w:r w:rsidRPr="43237DC3">
              <w:rPr>
                <w:rFonts w:ascii="Arial" w:eastAsia="Arial" w:hAnsi="Arial" w:cs="Arial"/>
                <w:color w:val="000000" w:themeColor="text1"/>
                <w:lang w:val="en-GB"/>
              </w:rPr>
              <w:t xml:space="preserve"> the Stop Smoking Service’s Quit Manager portal.</w:t>
            </w:r>
          </w:p>
          <w:p w14:paraId="270A277D" w14:textId="59CB668C" w:rsidR="43237DC3" w:rsidRDefault="43237DC3" w:rsidP="43237DC3">
            <w:pPr>
              <w:ind w:left="458"/>
              <w:jc w:val="both"/>
              <w:rPr>
                <w:rFonts w:ascii="Arial" w:eastAsia="Arial" w:hAnsi="Arial" w:cs="Arial"/>
                <w:color w:val="000000" w:themeColor="text1"/>
              </w:rPr>
            </w:pPr>
          </w:p>
          <w:p w14:paraId="31170B71" w14:textId="4D4851C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In every case the Service Provider must inform the Service User's General Practitioner of the supply within two working days using an agreed template.</w:t>
            </w:r>
          </w:p>
          <w:p w14:paraId="0D7E6525" w14:textId="317A94F6" w:rsidR="43237DC3" w:rsidRDefault="43237DC3" w:rsidP="43237DC3">
            <w:pPr>
              <w:ind w:left="458"/>
              <w:jc w:val="both"/>
              <w:rPr>
                <w:rFonts w:ascii="Arial" w:eastAsia="Arial" w:hAnsi="Arial" w:cs="Arial"/>
                <w:color w:val="000000" w:themeColor="text1"/>
              </w:rPr>
            </w:pPr>
          </w:p>
          <w:p w14:paraId="1DA4907B" w14:textId="4648DFD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If the outcome of the initial assessment is to not supply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the Service Provider must inform the Stop Smoking Service so that an alternative treatment may be offered.</w:t>
            </w:r>
          </w:p>
          <w:p w14:paraId="39D7604D" w14:textId="1523954A" w:rsidR="43237DC3" w:rsidRDefault="43237DC3" w:rsidP="43237DC3">
            <w:pPr>
              <w:ind w:left="458"/>
              <w:jc w:val="both"/>
              <w:rPr>
                <w:rFonts w:ascii="Arial" w:eastAsia="Arial" w:hAnsi="Arial" w:cs="Arial"/>
                <w:color w:val="000000" w:themeColor="text1"/>
              </w:rPr>
            </w:pPr>
          </w:p>
          <w:p w14:paraId="325D6229" w14:textId="4CA453D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If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is withdrawn at any </w:t>
            </w:r>
            <w:proofErr w:type="gramStart"/>
            <w:r w:rsidRPr="43237DC3">
              <w:rPr>
                <w:rFonts w:ascii="Arial" w:eastAsia="Arial" w:hAnsi="Arial" w:cs="Arial"/>
                <w:color w:val="000000" w:themeColor="text1"/>
                <w:lang w:val="en-GB"/>
              </w:rPr>
              <w:t>stage</w:t>
            </w:r>
            <w:proofErr w:type="gramEnd"/>
            <w:r w:rsidRPr="43237DC3">
              <w:rPr>
                <w:rFonts w:ascii="Arial" w:eastAsia="Arial" w:hAnsi="Arial" w:cs="Arial"/>
                <w:color w:val="000000" w:themeColor="text1"/>
                <w:lang w:val="en-GB"/>
              </w:rPr>
              <w:t xml:space="preserve"> the Service Provider must inform the Service User's Stop Smoking Service within 2 working days so that an alternative treatment may be offered.</w:t>
            </w:r>
          </w:p>
          <w:p w14:paraId="3A9B67F9" w14:textId="51ECA8A1" w:rsidR="43237DC3" w:rsidRDefault="43237DC3" w:rsidP="43237DC3">
            <w:pPr>
              <w:ind w:left="458"/>
              <w:jc w:val="both"/>
              <w:rPr>
                <w:rFonts w:ascii="Arial" w:eastAsia="Arial" w:hAnsi="Arial" w:cs="Arial"/>
                <w:color w:val="000000" w:themeColor="text1"/>
              </w:rPr>
            </w:pPr>
          </w:p>
          <w:p w14:paraId="300295E8" w14:textId="04EACE7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shall maintain a record of supply using an agreed recording system, which is currently Quit Manager. The Service Provider should update this at each appointment to provide an ongoing information about the client's most recent appointment.</w:t>
            </w:r>
          </w:p>
          <w:p w14:paraId="1915811E" w14:textId="3D765EE4" w:rsidR="43237DC3" w:rsidRDefault="43237DC3" w:rsidP="43237DC3">
            <w:pPr>
              <w:ind w:left="458"/>
              <w:jc w:val="both"/>
              <w:rPr>
                <w:rFonts w:ascii="Arial" w:eastAsia="Arial" w:hAnsi="Arial" w:cs="Arial"/>
                <w:color w:val="000000" w:themeColor="text1"/>
              </w:rPr>
            </w:pPr>
          </w:p>
          <w:p w14:paraId="0BE76D97" w14:textId="2155219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pharmacist must supply medicines in an appropriately labelled pack, including the Patient Information Leaflet.</w:t>
            </w:r>
          </w:p>
        </w:tc>
      </w:tr>
      <w:tr w:rsidR="43237DC3" w14:paraId="1948D123"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95959" w:themeFill="text1" w:themeFillTint="A6"/>
            <w:tcMar>
              <w:left w:w="105" w:type="dxa"/>
              <w:right w:w="105" w:type="dxa"/>
            </w:tcMar>
          </w:tcPr>
          <w:p w14:paraId="446EFD2A" w14:textId="4E3C9E0A" w:rsidR="43237DC3" w:rsidRDefault="43237DC3" w:rsidP="43237DC3">
            <w:pPr>
              <w:pStyle w:val="ListParagraph"/>
              <w:numPr>
                <w:ilvl w:val="0"/>
                <w:numId w:val="20"/>
              </w:numPr>
              <w:ind w:left="567" w:hanging="567"/>
              <w:rPr>
                <w:rFonts w:ascii="Arial" w:eastAsia="Arial" w:hAnsi="Arial" w:cs="Arial"/>
                <w:color w:val="FFFFFF" w:themeColor="background1"/>
              </w:rPr>
            </w:pPr>
            <w:r w:rsidRPr="43237DC3">
              <w:rPr>
                <w:rFonts w:ascii="Arial" w:eastAsia="Arial" w:hAnsi="Arial" w:cs="Arial"/>
                <w:b/>
                <w:bCs/>
                <w:color w:val="FFFFFF" w:themeColor="background1"/>
                <w:lang w:val="en-GB"/>
              </w:rPr>
              <w:lastRenderedPageBreak/>
              <w:t>Applicable Service Standards</w:t>
            </w:r>
          </w:p>
        </w:tc>
      </w:tr>
      <w:tr w:rsidR="43237DC3" w14:paraId="36DD9F2B"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CD75F9" w14:textId="5A5B3AC5" w:rsidR="43237DC3" w:rsidRDefault="43237DC3" w:rsidP="43237DC3">
            <w:pPr>
              <w:rPr>
                <w:rFonts w:ascii="Arial" w:eastAsia="Arial" w:hAnsi="Arial" w:cs="Arial"/>
                <w:color w:val="000000" w:themeColor="text1"/>
              </w:rPr>
            </w:pPr>
          </w:p>
          <w:p w14:paraId="3095A195" w14:textId="71FB9794" w:rsidR="43237DC3" w:rsidRDefault="43237DC3" w:rsidP="43237DC3">
            <w:pPr>
              <w:pStyle w:val="ListParagraph"/>
              <w:numPr>
                <w:ilvl w:val="1"/>
                <w:numId w:val="20"/>
              </w:numPr>
              <w:ind w:left="426" w:hanging="426"/>
              <w:rPr>
                <w:rFonts w:ascii="Arial" w:eastAsia="Arial" w:hAnsi="Arial" w:cs="Arial"/>
                <w:color w:val="009900"/>
              </w:rPr>
            </w:pPr>
            <w:r w:rsidRPr="43237DC3">
              <w:rPr>
                <w:rFonts w:ascii="Arial" w:eastAsia="Arial" w:hAnsi="Arial" w:cs="Arial"/>
                <w:b/>
                <w:bCs/>
                <w:color w:val="009900"/>
                <w:lang w:val="en-GB"/>
              </w:rPr>
              <w:t xml:space="preserve">  Applicable national standards (e.g. NICE)</w:t>
            </w:r>
          </w:p>
          <w:p w14:paraId="57DAF168" w14:textId="5D23412E" w:rsidR="43237DC3" w:rsidRDefault="43237DC3" w:rsidP="43237DC3">
            <w:pPr>
              <w:ind w:left="426" w:hanging="426"/>
              <w:rPr>
                <w:rFonts w:ascii="Arial" w:eastAsia="Arial" w:hAnsi="Arial" w:cs="Arial"/>
                <w:color w:val="000000" w:themeColor="text1"/>
              </w:rPr>
            </w:pPr>
          </w:p>
          <w:p w14:paraId="21C6E1F3" w14:textId="00A136C9"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is evidence based and must be delivered in accordance with the following: </w:t>
            </w:r>
          </w:p>
          <w:p w14:paraId="1607943B" w14:textId="488FE6A1" w:rsidR="43237DC3" w:rsidRDefault="43237DC3" w:rsidP="43237DC3">
            <w:pPr>
              <w:ind w:left="426" w:hanging="426"/>
              <w:jc w:val="both"/>
              <w:rPr>
                <w:rFonts w:ascii="Arial" w:eastAsia="Arial" w:hAnsi="Arial" w:cs="Arial"/>
                <w:color w:val="000000" w:themeColor="text1"/>
              </w:rPr>
            </w:pPr>
            <w:r w:rsidRPr="43237DC3">
              <w:rPr>
                <w:rFonts w:ascii="Arial" w:eastAsia="Arial" w:hAnsi="Arial" w:cs="Arial"/>
                <w:color w:val="000000" w:themeColor="text1"/>
                <w:lang w:val="en-GB"/>
              </w:rPr>
              <w:t>•</w:t>
            </w:r>
            <w:r>
              <w:tab/>
            </w:r>
            <w:r w:rsidRPr="43237DC3">
              <w:rPr>
                <w:rFonts w:ascii="Times New Roman" w:eastAsia="Times New Roman" w:hAnsi="Times New Roman" w:cs="Times New Roman"/>
                <w:color w:val="000000" w:themeColor="text1"/>
                <w:lang w:val="en-GB"/>
              </w:rPr>
              <w:t xml:space="preserve"> </w:t>
            </w:r>
            <w:hyperlink r:id="rId8" w:anchor=":~:text=7%2C%201.12.,as%20a%20stop%2Dsmoking%20intervention.">
              <w:r w:rsidRPr="43237DC3">
                <w:rPr>
                  <w:rStyle w:val="Hyperlink"/>
                  <w:rFonts w:ascii="Times New Roman" w:eastAsia="Times New Roman" w:hAnsi="Times New Roman" w:cs="Times New Roman"/>
                  <w:color w:val="0000FF"/>
                  <w:lang w:val="en-GB"/>
                </w:rPr>
                <w:t>Surveillance decision | Evidence | Tobacco: preventing uptake, promoting quitting and treating dependence | Guidance | NICE</w:t>
              </w:r>
            </w:hyperlink>
            <w:r w:rsidRPr="43237DC3">
              <w:rPr>
                <w:rFonts w:ascii="Arial" w:eastAsia="Arial" w:hAnsi="Arial" w:cs="Arial"/>
                <w:color w:val="000000" w:themeColor="text1"/>
                <w:lang w:val="en-GB"/>
              </w:rPr>
              <w:t xml:space="preserve"> </w:t>
            </w:r>
          </w:p>
          <w:p w14:paraId="189B927B" w14:textId="01141212" w:rsidR="43237DC3" w:rsidRDefault="43237DC3" w:rsidP="43237DC3">
            <w:pPr>
              <w:ind w:left="426" w:hanging="426"/>
              <w:jc w:val="both"/>
              <w:rPr>
                <w:rFonts w:ascii="Arial" w:eastAsia="Arial" w:hAnsi="Arial" w:cs="Arial"/>
                <w:color w:val="000000" w:themeColor="text1"/>
              </w:rPr>
            </w:pPr>
            <w:r w:rsidRPr="43237DC3">
              <w:rPr>
                <w:rFonts w:ascii="Arial" w:eastAsia="Arial" w:hAnsi="Arial" w:cs="Arial"/>
                <w:color w:val="000000" w:themeColor="text1"/>
                <w:lang w:val="en-GB"/>
              </w:rPr>
              <w:t>NICE Guidance - PH10 “Smoking cessation services in primary care, pharmacies, local authorities and workplaces, particularly for manual working groups, pregnant women and hard to reach communities.”</w:t>
            </w:r>
          </w:p>
          <w:p w14:paraId="5410BD2B" w14:textId="44E460C9" w:rsidR="43237DC3" w:rsidRDefault="43237DC3" w:rsidP="43237DC3">
            <w:pPr>
              <w:ind w:left="426" w:hanging="426"/>
              <w:jc w:val="both"/>
              <w:rPr>
                <w:rFonts w:ascii="Arial" w:eastAsia="Arial" w:hAnsi="Arial" w:cs="Arial"/>
                <w:color w:val="000000" w:themeColor="text1"/>
              </w:rPr>
            </w:pPr>
            <w:r w:rsidRPr="43237DC3">
              <w:rPr>
                <w:rFonts w:ascii="Arial" w:eastAsia="Arial" w:hAnsi="Arial" w:cs="Arial"/>
                <w:color w:val="000000" w:themeColor="text1"/>
                <w:lang w:val="en-GB"/>
              </w:rPr>
              <w:t>•</w:t>
            </w:r>
            <w:r>
              <w:tab/>
            </w:r>
            <w:r w:rsidRPr="43237DC3">
              <w:rPr>
                <w:rFonts w:ascii="Arial" w:eastAsia="Arial" w:hAnsi="Arial" w:cs="Arial"/>
                <w:color w:val="000000" w:themeColor="text1"/>
                <w:lang w:val="en-GB"/>
              </w:rPr>
              <w:t>NICE Technology Appraisal - TA123 “Varenicline for smoking cessation”</w:t>
            </w:r>
          </w:p>
          <w:p w14:paraId="471C0EAD" w14:textId="1511F3C5" w:rsidR="43237DC3" w:rsidRDefault="43237DC3" w:rsidP="43237DC3">
            <w:pPr>
              <w:ind w:left="426" w:hanging="426"/>
              <w:jc w:val="both"/>
              <w:rPr>
                <w:rFonts w:ascii="Arial" w:eastAsia="Arial" w:hAnsi="Arial" w:cs="Arial"/>
                <w:color w:val="000000" w:themeColor="text1"/>
              </w:rPr>
            </w:pPr>
            <w:r w:rsidRPr="43237DC3">
              <w:rPr>
                <w:rFonts w:ascii="Arial" w:eastAsia="Arial" w:hAnsi="Arial" w:cs="Arial"/>
                <w:color w:val="000000" w:themeColor="text1"/>
                <w:lang w:val="en-GB"/>
              </w:rPr>
              <w:t>•</w:t>
            </w:r>
            <w:r>
              <w:tab/>
            </w:r>
            <w:r w:rsidRPr="43237DC3">
              <w:rPr>
                <w:rFonts w:ascii="Arial" w:eastAsia="Arial" w:hAnsi="Arial" w:cs="Arial"/>
                <w:color w:val="000000" w:themeColor="text1"/>
                <w:lang w:val="en-GB"/>
              </w:rPr>
              <w:t>NICE Guidance - PH1 “Brief Interventions and Referral for smoking cessation in primary care and other settings”</w:t>
            </w:r>
          </w:p>
          <w:p w14:paraId="73ADCEB2" w14:textId="3DAB984E" w:rsidR="43237DC3" w:rsidRDefault="43237DC3" w:rsidP="43237DC3">
            <w:pPr>
              <w:pStyle w:val="ListParagraph"/>
              <w:numPr>
                <w:ilvl w:val="0"/>
                <w:numId w:val="15"/>
              </w:numPr>
              <w:pBdr>
                <w:top w:val="nil"/>
                <w:left w:val="nil"/>
                <w:bottom w:val="nil"/>
                <w:right w:val="nil"/>
                <w:between w:val="nil"/>
              </w:pBdr>
              <w:spacing w:after="200" w:line="276" w:lineRule="auto"/>
              <w:ind w:left="426" w:hanging="426"/>
              <w:jc w:val="both"/>
              <w:rPr>
                <w:rFonts w:ascii="Arial" w:eastAsia="Arial" w:hAnsi="Arial" w:cs="Arial"/>
                <w:color w:val="000000" w:themeColor="text1"/>
              </w:rPr>
            </w:pPr>
            <w:r w:rsidRPr="43237DC3">
              <w:rPr>
                <w:rFonts w:ascii="Arial" w:eastAsia="Arial" w:hAnsi="Arial" w:cs="Arial"/>
                <w:color w:val="000000" w:themeColor="text1"/>
                <w:lang w:val="en-GB"/>
              </w:rPr>
              <w:t xml:space="preserve">Care Quality Commission’s Essential standards of quality and safety </w:t>
            </w:r>
            <w:hyperlink r:id="rId9">
              <w:r w:rsidRPr="43237DC3">
                <w:rPr>
                  <w:rStyle w:val="Hyperlink"/>
                  <w:rFonts w:ascii="Arial" w:eastAsia="Arial" w:hAnsi="Arial" w:cs="Arial"/>
                  <w:color w:val="0000FF"/>
                  <w:lang w:val="en-GB"/>
                </w:rPr>
                <w:t>http://www.cqc.org.uk/sites/default/files/documents/gac_-_dec_2011_update.pdf</w:t>
              </w:r>
            </w:hyperlink>
          </w:p>
          <w:p w14:paraId="22802649" w14:textId="7B68BBA6"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must also comply with Standards for registered pharmacies as set out by the General Pharmaceutical Council/ General Medical Council as well as qualities set out by NHS England.</w:t>
            </w:r>
          </w:p>
          <w:p w14:paraId="50FE74C8" w14:textId="6150E4D9" w:rsidR="43237DC3" w:rsidRDefault="43237DC3" w:rsidP="43237DC3">
            <w:pPr>
              <w:ind w:left="458"/>
              <w:jc w:val="both"/>
              <w:rPr>
                <w:rFonts w:ascii="Arial" w:eastAsia="Arial" w:hAnsi="Arial" w:cs="Arial"/>
                <w:color w:val="000000" w:themeColor="text1"/>
              </w:rPr>
            </w:pPr>
          </w:p>
          <w:p w14:paraId="59C2DC48" w14:textId="61B77A71"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must comply with the requirements of the Equality Act </w:t>
            </w:r>
            <w:proofErr w:type="gramStart"/>
            <w:r w:rsidRPr="43237DC3">
              <w:rPr>
                <w:rFonts w:ascii="Arial" w:eastAsia="Arial" w:hAnsi="Arial" w:cs="Arial"/>
                <w:color w:val="000000" w:themeColor="text1"/>
                <w:lang w:val="en-GB"/>
              </w:rPr>
              <w:t>2010, and</w:t>
            </w:r>
            <w:proofErr w:type="gramEnd"/>
            <w:r w:rsidRPr="43237DC3">
              <w:rPr>
                <w:rFonts w:ascii="Arial" w:eastAsia="Arial" w:hAnsi="Arial" w:cs="Arial"/>
                <w:color w:val="000000" w:themeColor="text1"/>
                <w:lang w:val="en-GB"/>
              </w:rPr>
              <w:t xml:space="preserve"> will not treat one group of people less favourably than others because of their age, disability, gender reassignment, marriage and civil partnership, pregnancy and maternity, religion and belief, sex or sexual orientation.</w:t>
            </w:r>
          </w:p>
          <w:p w14:paraId="0411C637" w14:textId="39ABA787" w:rsidR="43237DC3" w:rsidRDefault="43237DC3" w:rsidP="43237DC3">
            <w:pPr>
              <w:jc w:val="both"/>
              <w:rPr>
                <w:rFonts w:ascii="Arial" w:eastAsia="Arial" w:hAnsi="Arial" w:cs="Arial"/>
                <w:color w:val="000000" w:themeColor="text1"/>
              </w:rPr>
            </w:pPr>
          </w:p>
          <w:p w14:paraId="54714FE8" w14:textId="3C6FCF0C" w:rsidR="43237DC3" w:rsidRDefault="43237DC3" w:rsidP="43237DC3">
            <w:pPr>
              <w:pStyle w:val="ListParagraph"/>
              <w:numPr>
                <w:ilvl w:val="1"/>
                <w:numId w:val="20"/>
              </w:numPr>
              <w:ind w:left="426" w:hanging="426"/>
              <w:rPr>
                <w:rFonts w:ascii="Arial" w:eastAsia="Arial" w:hAnsi="Arial" w:cs="Arial"/>
                <w:color w:val="009900"/>
              </w:rPr>
            </w:pPr>
            <w:r w:rsidRPr="43237DC3">
              <w:rPr>
                <w:rFonts w:ascii="Arial" w:eastAsia="Arial" w:hAnsi="Arial" w:cs="Arial"/>
                <w:b/>
                <w:bCs/>
                <w:color w:val="009900"/>
                <w:lang w:val="en-GB"/>
              </w:rPr>
              <w:t xml:space="preserve">  Applicable local standards and terms of service</w:t>
            </w:r>
          </w:p>
          <w:p w14:paraId="6D86CC54" w14:textId="6360B8AD" w:rsidR="43237DC3" w:rsidRDefault="43237DC3" w:rsidP="43237DC3">
            <w:pPr>
              <w:ind w:left="426" w:hanging="426"/>
              <w:rPr>
                <w:rFonts w:ascii="Arial" w:eastAsia="Arial" w:hAnsi="Arial" w:cs="Arial"/>
                <w:color w:val="000000" w:themeColor="text1"/>
              </w:rPr>
            </w:pPr>
          </w:p>
          <w:p w14:paraId="7459F6E3" w14:textId="3D01A53E"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operate and provide the service in accordance with this specification unless altered/changed by agreement with the Council.</w:t>
            </w:r>
          </w:p>
          <w:p w14:paraId="078AAE07" w14:textId="573D0E9D" w:rsidR="43237DC3" w:rsidRDefault="43237DC3" w:rsidP="43237DC3">
            <w:pPr>
              <w:ind w:left="458"/>
              <w:jc w:val="both"/>
              <w:rPr>
                <w:rFonts w:ascii="Arial" w:eastAsia="Arial" w:hAnsi="Arial" w:cs="Arial"/>
                <w:color w:val="000000" w:themeColor="text1"/>
              </w:rPr>
            </w:pPr>
          </w:p>
          <w:p w14:paraId="5E733A9D" w14:textId="132694B2"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A contract agreement will be signed by the service provider and will be subject to operational and performance review by the Council. </w:t>
            </w:r>
          </w:p>
          <w:p w14:paraId="253425F8" w14:textId="00C81486" w:rsidR="43237DC3" w:rsidRDefault="43237DC3" w:rsidP="43237DC3">
            <w:pPr>
              <w:ind w:left="709" w:hanging="709"/>
              <w:jc w:val="both"/>
              <w:rPr>
                <w:rFonts w:ascii="Arial" w:eastAsia="Arial" w:hAnsi="Arial" w:cs="Arial"/>
                <w:color w:val="000000" w:themeColor="text1"/>
              </w:rPr>
            </w:pPr>
          </w:p>
          <w:p w14:paraId="61FAA3AB" w14:textId="7E3B251B" w:rsidR="43237DC3" w:rsidRDefault="43237DC3" w:rsidP="43237DC3">
            <w:pPr>
              <w:pStyle w:val="ListParagraph"/>
              <w:numPr>
                <w:ilvl w:val="1"/>
                <w:numId w:val="20"/>
              </w:numPr>
              <w:ind w:left="426" w:hanging="426"/>
              <w:rPr>
                <w:rFonts w:ascii="Arial" w:eastAsia="Arial" w:hAnsi="Arial" w:cs="Arial"/>
                <w:color w:val="009900"/>
              </w:rPr>
            </w:pPr>
            <w:r w:rsidRPr="43237DC3">
              <w:rPr>
                <w:rFonts w:ascii="Arial" w:eastAsia="Arial" w:hAnsi="Arial" w:cs="Arial"/>
                <w:b/>
                <w:bCs/>
                <w:color w:val="009900"/>
                <w:lang w:val="en-GB"/>
              </w:rPr>
              <w:t>Service standards and principles</w:t>
            </w:r>
          </w:p>
          <w:p w14:paraId="6ED5C0DA" w14:textId="313D7655" w:rsidR="43237DC3" w:rsidRDefault="43237DC3" w:rsidP="43237DC3">
            <w:pPr>
              <w:ind w:left="426" w:firstLine="357"/>
              <w:rPr>
                <w:rFonts w:ascii="Arial" w:eastAsia="Arial" w:hAnsi="Arial" w:cs="Arial"/>
                <w:color w:val="009900"/>
              </w:rPr>
            </w:pPr>
          </w:p>
          <w:p w14:paraId="47E08DE7" w14:textId="0F44CAF2"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ensure that Standard Operating Procedures (SOPs) are in po do </w:t>
            </w:r>
            <w:proofErr w:type="spellStart"/>
            <w:proofErr w:type="gramStart"/>
            <w:r w:rsidRPr="43237DC3">
              <w:rPr>
                <w:rFonts w:ascii="Arial" w:eastAsia="Arial" w:hAnsi="Arial" w:cs="Arial"/>
                <w:color w:val="000000" w:themeColor="text1"/>
                <w:lang w:val="en-GB"/>
              </w:rPr>
              <w:t>so.lace</w:t>
            </w:r>
            <w:proofErr w:type="spellEnd"/>
            <w:proofErr w:type="gramEnd"/>
            <w:r w:rsidRPr="43237DC3">
              <w:rPr>
                <w:rFonts w:ascii="Arial" w:eastAsia="Arial" w:hAnsi="Arial" w:cs="Arial"/>
                <w:color w:val="000000" w:themeColor="text1"/>
                <w:lang w:val="en-GB"/>
              </w:rPr>
              <w:t xml:space="preserve"> for the service and ensure that all </w:t>
            </w:r>
            <w:proofErr w:type="spellStart"/>
            <w:r w:rsidRPr="43237DC3">
              <w:rPr>
                <w:rFonts w:ascii="Arial" w:eastAsia="Arial" w:hAnsi="Arial" w:cs="Arial"/>
                <w:color w:val="000000" w:themeColor="text1"/>
                <w:lang w:val="en-GB"/>
              </w:rPr>
              <w:t>clinican’s</w:t>
            </w:r>
            <w:proofErr w:type="spellEnd"/>
            <w:r w:rsidRPr="43237DC3">
              <w:rPr>
                <w:rFonts w:ascii="Arial" w:eastAsia="Arial" w:hAnsi="Arial" w:cs="Arial"/>
                <w:color w:val="000000" w:themeColor="text1"/>
                <w:lang w:val="en-GB"/>
              </w:rPr>
              <w:t xml:space="preserve"> and members of staff involved in delivering the service are aware of them and work in accordance with them. The Service Provider shall keep and retain a record of all training activity and make it available to the Council for inspection when required t</w:t>
            </w:r>
          </w:p>
          <w:p w14:paraId="54AB404D" w14:textId="4F590359" w:rsidR="43237DC3" w:rsidRDefault="43237DC3" w:rsidP="43237DC3">
            <w:pPr>
              <w:ind w:left="458"/>
              <w:jc w:val="both"/>
              <w:rPr>
                <w:rFonts w:ascii="Arial" w:eastAsia="Arial" w:hAnsi="Arial" w:cs="Arial"/>
                <w:color w:val="000000" w:themeColor="text1"/>
              </w:rPr>
            </w:pPr>
          </w:p>
          <w:p w14:paraId="434C22A9" w14:textId="0B3D8E5A"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Service Users will be seen as individuals, and the Service will be personalised to the needs of the individual and dedicated to promoting the independence, well-being and dignity of every Service User who engages with the Service.</w:t>
            </w:r>
          </w:p>
          <w:p w14:paraId="29D54317" w14:textId="60B095EA" w:rsidR="43237DC3" w:rsidRDefault="43237DC3" w:rsidP="43237DC3">
            <w:pPr>
              <w:ind w:left="458"/>
              <w:jc w:val="both"/>
              <w:rPr>
                <w:rFonts w:ascii="Arial" w:eastAsia="Arial" w:hAnsi="Arial" w:cs="Arial"/>
                <w:color w:val="000000" w:themeColor="text1"/>
              </w:rPr>
            </w:pPr>
          </w:p>
          <w:p w14:paraId="2A9F107D" w14:textId="639D435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will be accessible to all and will take account of culture, religion, race, gender, age, disability and sexuality. The Service Provider will ensure that it meets legal obligations with regards to all relevant equality and human rights legislation.</w:t>
            </w:r>
          </w:p>
          <w:p w14:paraId="303D337E" w14:textId="5D5CEB1B" w:rsidR="43237DC3" w:rsidRDefault="43237DC3" w:rsidP="43237DC3">
            <w:pPr>
              <w:ind w:left="458"/>
              <w:jc w:val="both"/>
              <w:rPr>
                <w:rFonts w:ascii="Arial" w:eastAsia="Arial" w:hAnsi="Arial" w:cs="Arial"/>
                <w:color w:val="000000" w:themeColor="text1"/>
              </w:rPr>
            </w:pPr>
          </w:p>
          <w:p w14:paraId="3EDB0A10" w14:textId="51C6C7B9"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ensure that information acquired </w:t>
            </w:r>
            <w:proofErr w:type="gramStart"/>
            <w:r w:rsidRPr="43237DC3">
              <w:rPr>
                <w:rFonts w:ascii="Arial" w:eastAsia="Arial" w:hAnsi="Arial" w:cs="Arial"/>
                <w:color w:val="000000" w:themeColor="text1"/>
                <w:lang w:val="en-GB"/>
              </w:rPr>
              <w:t>during the course of</w:t>
            </w:r>
            <w:proofErr w:type="gramEnd"/>
            <w:r w:rsidRPr="43237DC3">
              <w:rPr>
                <w:rFonts w:ascii="Arial" w:eastAsia="Arial" w:hAnsi="Arial" w:cs="Arial"/>
                <w:color w:val="000000" w:themeColor="text1"/>
                <w:lang w:val="en-GB"/>
              </w:rPr>
              <w:t xml:space="preserve"> providing the Service is only shared and disclosed with the consent of the Service User as outlined in the NHS code of confidentiality and other associated documents.</w:t>
            </w:r>
          </w:p>
          <w:p w14:paraId="67099216" w14:textId="3DE76871" w:rsidR="43237DC3" w:rsidRDefault="43237DC3" w:rsidP="43237DC3">
            <w:pPr>
              <w:ind w:left="709" w:hanging="709"/>
              <w:jc w:val="both"/>
              <w:rPr>
                <w:rFonts w:ascii="Arial" w:eastAsia="Arial" w:hAnsi="Arial" w:cs="Arial"/>
                <w:color w:val="000000" w:themeColor="text1"/>
              </w:rPr>
            </w:pPr>
          </w:p>
          <w:p w14:paraId="23CBC9C6" w14:textId="15015B05"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ensure that there are necessary safeguards for, and appropriate use of, Service User and personal information to ensure that such information is dealt with legally, securely, efficiently and effectively, in order to deliver the best possible </w:t>
            </w:r>
            <w:proofErr w:type="gramStart"/>
            <w:r w:rsidRPr="43237DC3">
              <w:rPr>
                <w:rFonts w:ascii="Arial" w:eastAsia="Arial" w:hAnsi="Arial" w:cs="Arial"/>
                <w:color w:val="000000" w:themeColor="text1"/>
                <w:lang w:val="en-GB"/>
              </w:rPr>
              <w:t>high quality</w:t>
            </w:r>
            <w:proofErr w:type="gramEnd"/>
            <w:r w:rsidRPr="43237DC3">
              <w:rPr>
                <w:rFonts w:ascii="Arial" w:eastAsia="Arial" w:hAnsi="Arial" w:cs="Arial"/>
                <w:color w:val="000000" w:themeColor="text1"/>
                <w:lang w:val="en-GB"/>
              </w:rPr>
              <w:t xml:space="preserve"> care. This will be in accordance with relevant legislation and best practice guidelines such GDPR (2018) and the Caldicott Principles.</w:t>
            </w:r>
          </w:p>
          <w:p w14:paraId="014F35AD" w14:textId="07227602" w:rsidR="43237DC3" w:rsidRDefault="43237DC3" w:rsidP="43237DC3">
            <w:pPr>
              <w:ind w:left="458"/>
              <w:jc w:val="both"/>
              <w:rPr>
                <w:rFonts w:ascii="Arial" w:eastAsia="Arial" w:hAnsi="Arial" w:cs="Arial"/>
                <w:color w:val="000000" w:themeColor="text1"/>
              </w:rPr>
            </w:pPr>
          </w:p>
          <w:p w14:paraId="6B865110" w14:textId="00795839"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not make any changes to the Service, without prior written approval from the Council.</w:t>
            </w:r>
          </w:p>
          <w:p w14:paraId="3F2AF2AF" w14:textId="31E85ABF" w:rsidR="43237DC3" w:rsidRDefault="43237DC3" w:rsidP="43237DC3">
            <w:pPr>
              <w:ind w:left="709" w:hanging="709"/>
              <w:jc w:val="both"/>
              <w:rPr>
                <w:rFonts w:ascii="Arial" w:eastAsia="Arial" w:hAnsi="Arial" w:cs="Arial"/>
                <w:color w:val="000000" w:themeColor="text1"/>
              </w:rPr>
            </w:pPr>
          </w:p>
          <w:p w14:paraId="407C18B0" w14:textId="5E734F6F" w:rsidR="43237DC3" w:rsidRDefault="43237DC3" w:rsidP="43237DC3">
            <w:pPr>
              <w:ind w:left="709" w:hanging="709"/>
              <w:jc w:val="both"/>
              <w:rPr>
                <w:rFonts w:ascii="Arial" w:eastAsia="Arial" w:hAnsi="Arial" w:cs="Arial"/>
                <w:color w:val="000000" w:themeColor="text1"/>
              </w:rPr>
            </w:pPr>
            <w:r w:rsidRPr="43237DC3">
              <w:rPr>
                <w:rFonts w:ascii="Arial" w:eastAsia="Arial" w:hAnsi="Arial" w:cs="Arial"/>
                <w:color w:val="000000" w:themeColor="text1"/>
                <w:u w:val="single"/>
                <w:lang w:val="en-GB"/>
              </w:rPr>
              <w:t>Training and Competency</w:t>
            </w:r>
          </w:p>
          <w:p w14:paraId="1C83DA41" w14:textId="223C69F3" w:rsidR="43237DC3" w:rsidRDefault="43237DC3" w:rsidP="43237DC3">
            <w:pPr>
              <w:jc w:val="both"/>
              <w:rPr>
                <w:rFonts w:ascii="Arial" w:eastAsia="Arial" w:hAnsi="Arial" w:cs="Arial"/>
                <w:color w:val="000000" w:themeColor="text1"/>
              </w:rPr>
            </w:pPr>
          </w:p>
          <w:p w14:paraId="25E4D85C" w14:textId="700BCB8D" w:rsidR="43237DC3" w:rsidRDefault="43237DC3" w:rsidP="43237DC3">
            <w:pPr>
              <w:jc w:val="both"/>
              <w:rPr>
                <w:rFonts w:ascii="Arial" w:eastAsia="Arial" w:hAnsi="Arial" w:cs="Arial"/>
                <w:color w:val="000000" w:themeColor="text1"/>
              </w:rPr>
            </w:pPr>
            <w:r w:rsidRPr="43237DC3">
              <w:rPr>
                <w:rFonts w:ascii="Arial" w:eastAsia="Arial" w:hAnsi="Arial" w:cs="Arial"/>
                <w:color w:val="000000" w:themeColor="text1"/>
                <w:lang w:val="en-GB"/>
              </w:rPr>
              <w:t xml:space="preserve">For pharmacists: </w:t>
            </w:r>
          </w:p>
          <w:p w14:paraId="50040034" w14:textId="03296A28" w:rsidR="43237DC3" w:rsidRDefault="43237DC3" w:rsidP="43237DC3">
            <w:pPr>
              <w:jc w:val="both"/>
              <w:rPr>
                <w:rFonts w:ascii="Arial" w:eastAsia="Arial" w:hAnsi="Arial" w:cs="Arial"/>
                <w:color w:val="000000" w:themeColor="text1"/>
              </w:rPr>
            </w:pPr>
            <w:proofErr w:type="gramStart"/>
            <w:r w:rsidRPr="43237DC3">
              <w:rPr>
                <w:rFonts w:ascii="Arial" w:eastAsia="Arial" w:hAnsi="Arial" w:cs="Arial"/>
                <w:color w:val="000000" w:themeColor="text1"/>
                <w:lang w:val="en-GB"/>
              </w:rPr>
              <w:t>In order to</w:t>
            </w:r>
            <w:proofErr w:type="gramEnd"/>
            <w:r w:rsidRPr="43237DC3">
              <w:rPr>
                <w:rFonts w:ascii="Arial" w:eastAsia="Arial" w:hAnsi="Arial" w:cs="Arial"/>
                <w:color w:val="000000" w:themeColor="text1"/>
                <w:lang w:val="en-GB"/>
              </w:rPr>
              <w:t xml:space="preserve"> deliver the service on behalf of the Council pharmacists must:</w:t>
            </w:r>
          </w:p>
          <w:p w14:paraId="087BC592" w14:textId="60F2B614" w:rsidR="43237DC3" w:rsidRDefault="43237DC3" w:rsidP="43237DC3">
            <w:pPr>
              <w:ind w:left="709" w:firstLine="357"/>
              <w:jc w:val="both"/>
              <w:rPr>
                <w:rFonts w:ascii="Arial" w:eastAsia="Arial" w:hAnsi="Arial" w:cs="Arial"/>
                <w:color w:val="000000" w:themeColor="text1"/>
              </w:rPr>
            </w:pPr>
          </w:p>
          <w:p w14:paraId="0372F8DC" w14:textId="43F69D02" w:rsidR="43237DC3" w:rsidRDefault="43237DC3" w:rsidP="43237DC3">
            <w:pPr>
              <w:pStyle w:val="ListParagraph"/>
              <w:numPr>
                <w:ilvl w:val="0"/>
                <w:numId w:val="13"/>
              </w:numPr>
              <w:jc w:val="both"/>
              <w:rPr>
                <w:rFonts w:ascii="Arial" w:eastAsia="Arial" w:hAnsi="Arial" w:cs="Arial"/>
                <w:color w:val="000000" w:themeColor="text1"/>
              </w:rPr>
            </w:pPr>
            <w:r w:rsidRPr="43237DC3">
              <w:rPr>
                <w:rFonts w:ascii="Arial" w:eastAsia="Arial" w:hAnsi="Arial" w:cs="Arial"/>
                <w:color w:val="000000" w:themeColor="text1"/>
                <w:lang w:val="en-GB"/>
              </w:rPr>
              <w:t>be registered with the General Pharmaceutical Council (</w:t>
            </w:r>
            <w:proofErr w:type="spellStart"/>
            <w:r w:rsidRPr="43237DC3">
              <w:rPr>
                <w:rFonts w:ascii="Arial" w:eastAsia="Arial" w:hAnsi="Arial" w:cs="Arial"/>
                <w:color w:val="000000" w:themeColor="text1"/>
                <w:lang w:val="en-GB"/>
              </w:rPr>
              <w:t>GPhC</w:t>
            </w:r>
            <w:proofErr w:type="spellEnd"/>
            <w:proofErr w:type="gramStart"/>
            <w:r w:rsidRPr="43237DC3">
              <w:rPr>
                <w:rFonts w:ascii="Arial" w:eastAsia="Arial" w:hAnsi="Arial" w:cs="Arial"/>
                <w:color w:val="000000" w:themeColor="text1"/>
                <w:lang w:val="en-GB"/>
              </w:rPr>
              <w:t>);</w:t>
            </w:r>
            <w:proofErr w:type="gramEnd"/>
            <w:r w:rsidRPr="43237DC3">
              <w:rPr>
                <w:rFonts w:ascii="Arial" w:eastAsia="Arial" w:hAnsi="Arial" w:cs="Arial"/>
                <w:color w:val="000000" w:themeColor="text1"/>
                <w:lang w:val="en-GB"/>
              </w:rPr>
              <w:t xml:space="preserve"> </w:t>
            </w:r>
          </w:p>
          <w:p w14:paraId="133C03E3" w14:textId="75CE6CFC" w:rsidR="43237DC3" w:rsidRDefault="43237DC3" w:rsidP="43237DC3">
            <w:pPr>
              <w:ind w:left="1080" w:firstLine="356"/>
              <w:jc w:val="both"/>
              <w:rPr>
                <w:rFonts w:ascii="Arial" w:eastAsia="Arial" w:hAnsi="Arial" w:cs="Arial"/>
                <w:color w:val="000000" w:themeColor="text1"/>
              </w:rPr>
            </w:pPr>
          </w:p>
          <w:p w14:paraId="1A9F65C2" w14:textId="0F131E90" w:rsidR="43237DC3" w:rsidRDefault="43237DC3" w:rsidP="43237DC3">
            <w:pPr>
              <w:pStyle w:val="ListParagraph"/>
              <w:numPr>
                <w:ilvl w:val="0"/>
                <w:numId w:val="13"/>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be working in a pharmacy contracted to NHS </w:t>
            </w:r>
            <w:proofErr w:type="gramStart"/>
            <w:r w:rsidRPr="43237DC3">
              <w:rPr>
                <w:rFonts w:ascii="Arial" w:eastAsia="Arial" w:hAnsi="Arial" w:cs="Arial"/>
                <w:color w:val="000000" w:themeColor="text1"/>
                <w:lang w:val="en-GB"/>
              </w:rPr>
              <w:t>England;</w:t>
            </w:r>
            <w:proofErr w:type="gramEnd"/>
          </w:p>
          <w:p w14:paraId="5A3C63D9" w14:textId="72C6EB9A" w:rsidR="43237DC3" w:rsidRDefault="43237DC3" w:rsidP="43237DC3">
            <w:pPr>
              <w:pBdr>
                <w:top w:val="nil"/>
                <w:left w:val="nil"/>
                <w:bottom w:val="nil"/>
                <w:right w:val="nil"/>
                <w:between w:val="nil"/>
              </w:pBdr>
              <w:ind w:hanging="363"/>
              <w:rPr>
                <w:rFonts w:ascii="Arial" w:eastAsia="Arial" w:hAnsi="Arial" w:cs="Arial"/>
                <w:color w:val="000000" w:themeColor="text1"/>
              </w:rPr>
            </w:pPr>
          </w:p>
          <w:p w14:paraId="681D3A34" w14:textId="17B52EA5" w:rsidR="43237DC3" w:rsidRDefault="43237DC3" w:rsidP="43237DC3">
            <w:pPr>
              <w:pStyle w:val="ListParagraph"/>
              <w:numPr>
                <w:ilvl w:val="0"/>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Have completed relevant training, which includes:</w:t>
            </w:r>
          </w:p>
          <w:p w14:paraId="71C2CC1F" w14:textId="5158AF95" w:rsidR="43237DC3" w:rsidRDefault="43237DC3" w:rsidP="43237DC3">
            <w:pPr>
              <w:pStyle w:val="ListParagraph"/>
              <w:numPr>
                <w:ilvl w:val="1"/>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Attending the Varenicline Accreditation Event</w:t>
            </w:r>
          </w:p>
          <w:p w14:paraId="6E5A184A" w14:textId="68CD30BD" w:rsidR="43237DC3" w:rsidRDefault="43237DC3" w:rsidP="43237DC3">
            <w:pPr>
              <w:pStyle w:val="ListParagraph"/>
              <w:numPr>
                <w:ilvl w:val="1"/>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 xml:space="preserve">Attended a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Accreditation Event</w:t>
            </w:r>
          </w:p>
          <w:p w14:paraId="285AFF45" w14:textId="4AF21CF7" w:rsidR="43237DC3" w:rsidRDefault="43237DC3" w:rsidP="43237DC3">
            <w:pPr>
              <w:pStyle w:val="ListParagraph"/>
              <w:numPr>
                <w:ilvl w:val="1"/>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 xml:space="preserve">Knowledge of NICE Competency Framework for Health Professional using Patient Group Directions </w:t>
            </w:r>
            <w:hyperlink r:id="rId10" w:anchor="using-patient-group-directions">
              <w:r w:rsidRPr="43237DC3">
                <w:rPr>
                  <w:rStyle w:val="Hyperlink"/>
                  <w:rFonts w:ascii="Arial" w:eastAsia="Arial" w:hAnsi="Arial" w:cs="Arial"/>
                  <w:lang w:val="en-GB"/>
                </w:rPr>
                <w:t>http://publications.nice.org.uk/patient-group-directionsmpg2/recommendations#using-patient-group-directions</w:t>
              </w:r>
            </w:hyperlink>
            <w:r w:rsidRPr="43237DC3">
              <w:rPr>
                <w:rFonts w:ascii="Arial" w:eastAsia="Arial" w:hAnsi="Arial" w:cs="Arial"/>
                <w:color w:val="000000" w:themeColor="text1"/>
                <w:lang w:val="en-GB"/>
              </w:rPr>
              <w:t xml:space="preserve"> </w:t>
            </w:r>
          </w:p>
          <w:p w14:paraId="69CCC724" w14:textId="0A727608" w:rsidR="43237DC3" w:rsidRDefault="43237DC3" w:rsidP="43237DC3">
            <w:pPr>
              <w:pStyle w:val="ListParagraph"/>
              <w:numPr>
                <w:ilvl w:val="1"/>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Completed the CPPE PGD Certificate</w:t>
            </w:r>
          </w:p>
          <w:p w14:paraId="73571168" w14:textId="69C97E58" w:rsidR="43237DC3" w:rsidRDefault="43237DC3" w:rsidP="43237DC3">
            <w:pPr>
              <w:pStyle w:val="ListParagraph"/>
              <w:numPr>
                <w:ilvl w:val="1"/>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Attended training in using Quit Manager</w:t>
            </w:r>
          </w:p>
          <w:p w14:paraId="625AE6DF" w14:textId="01EC5370" w:rsidR="43237DC3" w:rsidRDefault="43237DC3" w:rsidP="43237DC3">
            <w:pPr>
              <w:pBdr>
                <w:top w:val="nil"/>
                <w:left w:val="nil"/>
                <w:bottom w:val="nil"/>
                <w:right w:val="nil"/>
                <w:between w:val="nil"/>
              </w:pBdr>
              <w:ind w:left="1800" w:hanging="363"/>
              <w:rPr>
                <w:rFonts w:ascii="Arial" w:eastAsia="Arial" w:hAnsi="Arial" w:cs="Arial"/>
                <w:color w:val="000000" w:themeColor="text1"/>
              </w:rPr>
            </w:pPr>
          </w:p>
          <w:p w14:paraId="51557F3B" w14:textId="485874AE" w:rsidR="43237DC3" w:rsidRDefault="43237DC3" w:rsidP="43237DC3">
            <w:pPr>
              <w:pStyle w:val="ListParagraph"/>
              <w:numPr>
                <w:ilvl w:val="0"/>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Have adequate indemnity insurance to cover the tasks they are undertaking.</w:t>
            </w:r>
          </w:p>
          <w:p w14:paraId="081FE42F" w14:textId="336854A5" w:rsidR="43237DC3" w:rsidRDefault="43237DC3" w:rsidP="43237DC3">
            <w:pPr>
              <w:pBdr>
                <w:top w:val="nil"/>
                <w:left w:val="nil"/>
                <w:bottom w:val="nil"/>
                <w:right w:val="nil"/>
                <w:between w:val="nil"/>
              </w:pBdr>
              <w:ind w:left="720" w:hanging="363"/>
              <w:jc w:val="both"/>
              <w:rPr>
                <w:rFonts w:ascii="Arial" w:eastAsia="Arial" w:hAnsi="Arial" w:cs="Arial"/>
                <w:color w:val="000000" w:themeColor="text1"/>
              </w:rPr>
            </w:pPr>
          </w:p>
          <w:p w14:paraId="0AE0EBA2" w14:textId="03DF4BD2" w:rsidR="43237DC3" w:rsidRDefault="43237DC3" w:rsidP="43237DC3">
            <w:pPr>
              <w:pStyle w:val="ListParagraph"/>
              <w:numPr>
                <w:ilvl w:val="0"/>
                <w:numId w:val="13"/>
              </w:numPr>
              <w:pBdr>
                <w:top w:val="nil"/>
                <w:left w:val="nil"/>
                <w:bottom w:val="nil"/>
                <w:right w:val="nil"/>
                <w:between w:val="nil"/>
              </w:pBdr>
              <w:spacing w:line="276" w:lineRule="auto"/>
              <w:jc w:val="both"/>
              <w:rPr>
                <w:rFonts w:ascii="Arial" w:eastAsia="Arial" w:hAnsi="Arial" w:cs="Arial"/>
                <w:color w:val="000000" w:themeColor="text1"/>
              </w:rPr>
            </w:pPr>
            <w:r w:rsidRPr="43237DC3">
              <w:rPr>
                <w:rFonts w:ascii="Arial" w:eastAsia="Arial" w:hAnsi="Arial" w:cs="Arial"/>
                <w:color w:val="000000" w:themeColor="text1"/>
                <w:lang w:val="en-GB"/>
              </w:rPr>
              <w:lastRenderedPageBreak/>
              <w:t xml:space="preserve">Undertake Continuing Professional Development and to make this information available on </w:t>
            </w:r>
            <w:proofErr w:type="gramStart"/>
            <w:r w:rsidRPr="43237DC3">
              <w:rPr>
                <w:rFonts w:ascii="Arial" w:eastAsia="Arial" w:hAnsi="Arial" w:cs="Arial"/>
                <w:color w:val="000000" w:themeColor="text1"/>
                <w:lang w:val="en-GB"/>
              </w:rPr>
              <w:t>request;</w:t>
            </w:r>
            <w:proofErr w:type="gramEnd"/>
          </w:p>
          <w:p w14:paraId="04E7FC31" w14:textId="534C9A48" w:rsidR="43237DC3" w:rsidRDefault="43237DC3" w:rsidP="43237DC3">
            <w:pPr>
              <w:pBdr>
                <w:top w:val="nil"/>
                <w:left w:val="nil"/>
                <w:bottom w:val="nil"/>
                <w:right w:val="nil"/>
                <w:between w:val="nil"/>
              </w:pBdr>
              <w:ind w:left="720" w:hanging="363"/>
              <w:rPr>
                <w:rFonts w:ascii="Arial" w:eastAsia="Arial" w:hAnsi="Arial" w:cs="Arial"/>
                <w:color w:val="000000" w:themeColor="text1"/>
              </w:rPr>
            </w:pPr>
          </w:p>
          <w:p w14:paraId="3FE93451" w14:textId="1807279A" w:rsidR="43237DC3" w:rsidRDefault="43237DC3" w:rsidP="43237DC3">
            <w:pPr>
              <w:pStyle w:val="ListParagraph"/>
              <w:numPr>
                <w:ilvl w:val="0"/>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The pharmacist should be aware of any change to the recommendations for the medicine listed. It is the responsibility of the individual pharmacist to keep up to date with continued professional development and to work within the limitations of the individual practice.</w:t>
            </w:r>
          </w:p>
          <w:p w14:paraId="4167E950" w14:textId="2753CCA2" w:rsidR="43237DC3" w:rsidRDefault="43237DC3" w:rsidP="43237DC3">
            <w:pPr>
              <w:pBdr>
                <w:top w:val="nil"/>
                <w:left w:val="nil"/>
                <w:bottom w:val="nil"/>
                <w:right w:val="nil"/>
                <w:between w:val="nil"/>
              </w:pBdr>
              <w:ind w:left="720" w:hanging="363"/>
              <w:rPr>
                <w:rFonts w:ascii="Arial" w:eastAsia="Arial" w:hAnsi="Arial" w:cs="Arial"/>
                <w:color w:val="000000" w:themeColor="text1"/>
              </w:rPr>
            </w:pPr>
          </w:p>
          <w:p w14:paraId="6C7D8679" w14:textId="5C88C465" w:rsidR="43237DC3" w:rsidRDefault="43237DC3" w:rsidP="43237DC3">
            <w:pPr>
              <w:pStyle w:val="ListParagraph"/>
              <w:numPr>
                <w:ilvl w:val="0"/>
                <w:numId w:val="13"/>
              </w:numPr>
              <w:pBdr>
                <w:top w:val="nil"/>
                <w:left w:val="nil"/>
                <w:bottom w:val="nil"/>
                <w:right w:val="nil"/>
                <w:between w:val="nil"/>
              </w:pBdr>
              <w:spacing w:line="276" w:lineRule="auto"/>
              <w:jc w:val="both"/>
              <w:rPr>
                <w:rFonts w:ascii="Arial" w:eastAsia="Arial" w:hAnsi="Arial" w:cs="Arial"/>
                <w:color w:val="000000" w:themeColor="text1"/>
              </w:rPr>
            </w:pPr>
            <w:r w:rsidRPr="43237DC3">
              <w:rPr>
                <w:rFonts w:ascii="Arial" w:eastAsia="Arial" w:hAnsi="Arial" w:cs="Arial"/>
                <w:color w:val="000000" w:themeColor="text1"/>
                <w:lang w:val="en-GB"/>
              </w:rPr>
              <w:t xml:space="preserve">Make themselves familiar with the content of the Patient Group Direction for the supply of Varenicline and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tablets.</w:t>
            </w:r>
          </w:p>
          <w:p w14:paraId="3AD157D4" w14:textId="621E33C9" w:rsidR="43237DC3" w:rsidRDefault="43237DC3" w:rsidP="43237DC3">
            <w:pPr>
              <w:pBdr>
                <w:top w:val="nil"/>
                <w:left w:val="nil"/>
                <w:bottom w:val="nil"/>
                <w:right w:val="nil"/>
                <w:between w:val="nil"/>
              </w:pBdr>
              <w:spacing w:line="276" w:lineRule="auto"/>
              <w:ind w:left="317"/>
              <w:jc w:val="both"/>
              <w:rPr>
                <w:rFonts w:ascii="Arial" w:eastAsia="Arial" w:hAnsi="Arial" w:cs="Arial"/>
                <w:color w:val="000000" w:themeColor="text1"/>
              </w:rPr>
            </w:pPr>
            <w:r w:rsidRPr="43237DC3">
              <w:rPr>
                <w:rFonts w:ascii="Arial" w:eastAsia="Arial" w:hAnsi="Arial" w:cs="Arial"/>
                <w:color w:val="000000" w:themeColor="text1"/>
                <w:lang w:val="en-GB"/>
              </w:rPr>
              <w:t>For GPs:</w:t>
            </w:r>
          </w:p>
          <w:p w14:paraId="5A21B581" w14:textId="594779F2" w:rsidR="43237DC3" w:rsidRDefault="43237DC3" w:rsidP="43237DC3">
            <w:pPr>
              <w:pBdr>
                <w:top w:val="nil"/>
                <w:left w:val="nil"/>
                <w:bottom w:val="nil"/>
                <w:right w:val="nil"/>
                <w:between w:val="nil"/>
              </w:pBdr>
              <w:spacing w:line="276" w:lineRule="auto"/>
              <w:ind w:left="317"/>
              <w:jc w:val="both"/>
              <w:rPr>
                <w:rFonts w:ascii="Arial" w:eastAsia="Arial" w:hAnsi="Arial" w:cs="Arial"/>
                <w:color w:val="000000" w:themeColor="text1"/>
              </w:rPr>
            </w:pPr>
            <w:proofErr w:type="gramStart"/>
            <w:r w:rsidRPr="43237DC3">
              <w:rPr>
                <w:rFonts w:ascii="Arial" w:eastAsia="Arial" w:hAnsi="Arial" w:cs="Arial"/>
                <w:color w:val="000000" w:themeColor="text1"/>
                <w:lang w:val="en-GB"/>
              </w:rPr>
              <w:t>In order to</w:t>
            </w:r>
            <w:proofErr w:type="gramEnd"/>
            <w:r w:rsidRPr="43237DC3">
              <w:rPr>
                <w:rFonts w:ascii="Arial" w:eastAsia="Arial" w:hAnsi="Arial" w:cs="Arial"/>
                <w:color w:val="000000" w:themeColor="text1"/>
                <w:lang w:val="en-GB"/>
              </w:rPr>
              <w:t xml:space="preserve"> deliver the service on behalf of the Council GPs must:</w:t>
            </w:r>
          </w:p>
          <w:p w14:paraId="6493CD1A" w14:textId="4D6996E9" w:rsidR="43237DC3" w:rsidRDefault="43237DC3" w:rsidP="43237DC3">
            <w:pPr>
              <w:pStyle w:val="ListParagraph"/>
              <w:numPr>
                <w:ilvl w:val="0"/>
                <w:numId w:val="13"/>
              </w:numPr>
              <w:pBdr>
                <w:top w:val="nil"/>
                <w:left w:val="nil"/>
                <w:bottom w:val="nil"/>
                <w:right w:val="nil"/>
                <w:between w:val="nil"/>
              </w:pBdr>
              <w:spacing w:after="200" w:line="276" w:lineRule="auto"/>
              <w:rPr>
                <w:rFonts w:ascii="Arial" w:eastAsia="Arial" w:hAnsi="Arial" w:cs="Arial"/>
                <w:color w:val="000000" w:themeColor="text1"/>
              </w:rPr>
            </w:pPr>
            <w:r w:rsidRPr="43237DC3">
              <w:rPr>
                <w:rFonts w:ascii="Arial" w:eastAsia="Arial" w:hAnsi="Arial" w:cs="Arial"/>
                <w:color w:val="000000" w:themeColor="text1"/>
                <w:lang w:val="en-GB"/>
              </w:rPr>
              <w:t xml:space="preserve">Hold a General Medical Service/PMS or APMS contract </w:t>
            </w:r>
          </w:p>
          <w:p w14:paraId="202BDB4A" w14:textId="49AF008A" w:rsidR="43237DC3" w:rsidRDefault="43237DC3" w:rsidP="43237DC3">
            <w:pPr>
              <w:pStyle w:val="ListParagraph"/>
              <w:numPr>
                <w:ilvl w:val="0"/>
                <w:numId w:val="13"/>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Have adequate indemnity insurance to cover the tasks they are undertaking.</w:t>
            </w:r>
          </w:p>
          <w:p w14:paraId="712B4E1D" w14:textId="0233F809" w:rsidR="43237DC3" w:rsidRDefault="43237DC3" w:rsidP="43237DC3">
            <w:pPr>
              <w:pStyle w:val="ListParagraph"/>
              <w:numPr>
                <w:ilvl w:val="0"/>
                <w:numId w:val="13"/>
              </w:numPr>
              <w:pBdr>
                <w:top w:val="nil"/>
                <w:left w:val="nil"/>
                <w:bottom w:val="nil"/>
                <w:right w:val="nil"/>
                <w:between w:val="nil"/>
              </w:pBdr>
              <w:spacing w:line="276" w:lineRule="auto"/>
              <w:jc w:val="both"/>
              <w:rPr>
                <w:rFonts w:ascii="Arial" w:eastAsia="Arial" w:hAnsi="Arial" w:cs="Arial"/>
                <w:color w:val="000000" w:themeColor="text1"/>
              </w:rPr>
            </w:pPr>
            <w:r w:rsidRPr="43237DC3">
              <w:rPr>
                <w:rFonts w:ascii="Arial" w:eastAsia="Arial" w:hAnsi="Arial" w:cs="Arial"/>
                <w:color w:val="000000" w:themeColor="text1"/>
                <w:lang w:val="en-GB"/>
              </w:rPr>
              <w:t>Complete training in how to use Quit Manger</w:t>
            </w:r>
          </w:p>
          <w:p w14:paraId="52EA6974" w14:textId="769A61E7" w:rsidR="43237DC3" w:rsidRDefault="43237DC3" w:rsidP="43237DC3">
            <w:pPr>
              <w:pStyle w:val="ListParagraph"/>
              <w:numPr>
                <w:ilvl w:val="0"/>
                <w:numId w:val="13"/>
              </w:numPr>
              <w:pBdr>
                <w:top w:val="nil"/>
                <w:left w:val="nil"/>
                <w:bottom w:val="nil"/>
                <w:right w:val="nil"/>
                <w:between w:val="nil"/>
              </w:pBdr>
              <w:spacing w:after="200" w:line="276" w:lineRule="auto"/>
              <w:rPr>
                <w:rFonts w:ascii="Arial" w:eastAsia="Arial" w:hAnsi="Arial" w:cs="Arial"/>
                <w:color w:val="000000" w:themeColor="text1"/>
              </w:rPr>
            </w:pPr>
            <w:r w:rsidRPr="43237DC3">
              <w:rPr>
                <w:rFonts w:ascii="Arial" w:eastAsia="Arial" w:hAnsi="Arial" w:cs="Arial"/>
                <w:color w:val="000000" w:themeColor="text1"/>
                <w:lang w:val="en-GB"/>
              </w:rPr>
              <w:t>The clinician should be aware of any change to the recommendations for the medicine listed. It is the responsibility of the individual clinician to keep up to date with continued professional development and to work within the limitations of the individual practice.</w:t>
            </w:r>
          </w:p>
        </w:tc>
      </w:tr>
      <w:tr w:rsidR="43237DC3" w14:paraId="7B65ACA9"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Mar>
              <w:left w:w="105" w:type="dxa"/>
              <w:right w:w="105" w:type="dxa"/>
            </w:tcMar>
          </w:tcPr>
          <w:p w14:paraId="4F6F7B77" w14:textId="018FE63D" w:rsidR="43237DC3" w:rsidRDefault="43237DC3" w:rsidP="43237DC3">
            <w:pPr>
              <w:rPr>
                <w:rFonts w:ascii="Arial" w:eastAsia="Arial" w:hAnsi="Arial" w:cs="Arial"/>
                <w:color w:val="FFFFFF" w:themeColor="background1"/>
              </w:rPr>
            </w:pPr>
            <w:r w:rsidRPr="43237DC3">
              <w:rPr>
                <w:rFonts w:ascii="Arial" w:eastAsia="Arial" w:hAnsi="Arial" w:cs="Arial"/>
                <w:b/>
                <w:bCs/>
                <w:color w:val="FFFFFF" w:themeColor="background1"/>
                <w:lang w:val="en-GB"/>
              </w:rPr>
              <w:lastRenderedPageBreak/>
              <w:t>6.0 Service Description</w:t>
            </w:r>
          </w:p>
        </w:tc>
      </w:tr>
      <w:tr w:rsidR="43237DC3" w14:paraId="46AF9795"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AC5541" w14:textId="2BFF38E1" w:rsidR="43237DC3" w:rsidRDefault="43237DC3" w:rsidP="43237DC3">
            <w:pPr>
              <w:jc w:val="both"/>
              <w:rPr>
                <w:rFonts w:ascii="Arial" w:eastAsia="Arial" w:hAnsi="Arial" w:cs="Arial"/>
                <w:color w:val="000000" w:themeColor="text1"/>
              </w:rPr>
            </w:pPr>
          </w:p>
          <w:p w14:paraId="3D325210" w14:textId="671171FD" w:rsidR="43237DC3" w:rsidRDefault="43237DC3" w:rsidP="43237DC3">
            <w:pPr>
              <w:pStyle w:val="ListParagraph"/>
              <w:numPr>
                <w:ilvl w:val="0"/>
                <w:numId w:val="12"/>
              </w:numPr>
              <w:jc w:val="both"/>
              <w:rPr>
                <w:rFonts w:ascii="Arial" w:eastAsia="Arial" w:hAnsi="Arial" w:cs="Arial"/>
                <w:color w:val="000000" w:themeColor="text1"/>
              </w:rPr>
            </w:pPr>
            <w:r w:rsidRPr="43237DC3">
              <w:rPr>
                <w:rFonts w:ascii="Arial" w:eastAsia="Arial" w:hAnsi="Arial" w:cs="Arial"/>
                <w:color w:val="000000" w:themeColor="text1"/>
                <w:lang w:val="en-GB"/>
              </w:rPr>
              <w:t>The Service Provider has a duty to ensure that all staff involved in the provision of this service have the relevant knowledge, skills and are appropriately trained in the provision of this service.</w:t>
            </w:r>
          </w:p>
          <w:p w14:paraId="52BD8430" w14:textId="5B65FD8E" w:rsidR="43237DC3" w:rsidRDefault="43237DC3" w:rsidP="43237DC3">
            <w:pPr>
              <w:jc w:val="both"/>
              <w:rPr>
                <w:rFonts w:ascii="Arial" w:eastAsia="Arial" w:hAnsi="Arial" w:cs="Arial"/>
                <w:color w:val="000000" w:themeColor="text1"/>
              </w:rPr>
            </w:pPr>
          </w:p>
          <w:p w14:paraId="736C70BD" w14:textId="11F4D66F" w:rsidR="43237DC3" w:rsidRDefault="43237DC3" w:rsidP="43237DC3">
            <w:pPr>
              <w:pStyle w:val="ListParagraph"/>
              <w:numPr>
                <w:ilvl w:val="0"/>
                <w:numId w:val="12"/>
              </w:numPr>
              <w:jc w:val="both"/>
              <w:rPr>
                <w:rFonts w:ascii="Arial" w:eastAsia="Arial" w:hAnsi="Arial" w:cs="Arial"/>
                <w:color w:val="000000" w:themeColor="text1"/>
              </w:rPr>
            </w:pPr>
            <w:r w:rsidRPr="43237DC3">
              <w:rPr>
                <w:rFonts w:ascii="Arial" w:eastAsia="Arial" w:hAnsi="Arial" w:cs="Arial"/>
                <w:color w:val="000000" w:themeColor="text1"/>
                <w:lang w:val="en-GB"/>
              </w:rPr>
              <w:t>The Service Provider has a duty to ensure that all staff involved in the provision of this service are aware of and act in accordance with local protocols and national guidance.</w:t>
            </w:r>
          </w:p>
          <w:p w14:paraId="7F171A11" w14:textId="6627403A" w:rsidR="43237DC3" w:rsidRDefault="43237DC3" w:rsidP="43237DC3">
            <w:pPr>
              <w:pBdr>
                <w:top w:val="nil"/>
                <w:left w:val="nil"/>
                <w:bottom w:val="nil"/>
                <w:right w:val="nil"/>
                <w:between w:val="nil"/>
              </w:pBdr>
              <w:ind w:hanging="363"/>
              <w:rPr>
                <w:rFonts w:ascii="Arial" w:eastAsia="Arial" w:hAnsi="Arial" w:cs="Arial"/>
                <w:color w:val="000000" w:themeColor="text1"/>
              </w:rPr>
            </w:pPr>
          </w:p>
          <w:p w14:paraId="52A41AAC" w14:textId="15FFA659" w:rsidR="43237DC3" w:rsidRDefault="43237DC3" w:rsidP="43237DC3">
            <w:pPr>
              <w:pStyle w:val="ListParagraph"/>
              <w:numPr>
                <w:ilvl w:val="0"/>
                <w:numId w:val="12"/>
              </w:numPr>
              <w:pBdr>
                <w:top w:val="nil"/>
                <w:left w:val="nil"/>
                <w:bottom w:val="nil"/>
                <w:right w:val="nil"/>
                <w:between w:val="nil"/>
              </w:pBdr>
              <w:jc w:val="both"/>
              <w:rPr>
                <w:rFonts w:ascii="Arial" w:eastAsia="Arial" w:hAnsi="Arial" w:cs="Arial"/>
                <w:color w:val="000000" w:themeColor="text1"/>
              </w:rPr>
            </w:pPr>
            <w:r w:rsidRPr="43237DC3">
              <w:rPr>
                <w:rFonts w:ascii="Arial" w:eastAsia="Arial" w:hAnsi="Arial" w:cs="Arial"/>
                <w:color w:val="000000" w:themeColor="text1"/>
                <w:lang w:val="en-GB"/>
              </w:rPr>
              <w:t xml:space="preserve">Should the Service Provider have any concerns about the appropriateness of the recommended therapy they will discuss this with the </w:t>
            </w:r>
            <w:proofErr w:type="spellStart"/>
            <w:r w:rsidRPr="43237DC3">
              <w:rPr>
                <w:rFonts w:ascii="Arial" w:eastAsia="Arial" w:hAnsi="Arial" w:cs="Arial"/>
                <w:color w:val="000000" w:themeColor="text1"/>
                <w:lang w:val="en-GB"/>
              </w:rPr>
              <w:t>the</w:t>
            </w:r>
            <w:proofErr w:type="spellEnd"/>
            <w:r w:rsidRPr="43237DC3">
              <w:rPr>
                <w:rFonts w:ascii="Arial" w:eastAsia="Arial" w:hAnsi="Arial" w:cs="Arial"/>
                <w:color w:val="000000" w:themeColor="text1"/>
                <w:lang w:val="en-GB"/>
              </w:rPr>
              <w:t xml:space="preserve"> stop smoking advisor or service </w:t>
            </w:r>
            <w:proofErr w:type="gramStart"/>
            <w:r w:rsidRPr="43237DC3">
              <w:rPr>
                <w:rFonts w:ascii="Arial" w:eastAsia="Arial" w:hAnsi="Arial" w:cs="Arial"/>
                <w:color w:val="000000" w:themeColor="text1"/>
                <w:lang w:val="en-GB"/>
              </w:rPr>
              <w:t>manager  before</w:t>
            </w:r>
            <w:proofErr w:type="gramEnd"/>
            <w:r w:rsidRPr="43237DC3">
              <w:rPr>
                <w:rFonts w:ascii="Arial" w:eastAsia="Arial" w:hAnsi="Arial" w:cs="Arial"/>
                <w:color w:val="000000" w:themeColor="text1"/>
                <w:lang w:val="en-GB"/>
              </w:rPr>
              <w:t xml:space="preserve"> making a supply and agree a course of action.</w:t>
            </w:r>
          </w:p>
          <w:p w14:paraId="17B4F96D" w14:textId="252CEFA4" w:rsidR="43237DC3" w:rsidRDefault="43237DC3" w:rsidP="43237DC3">
            <w:pPr>
              <w:jc w:val="both"/>
              <w:rPr>
                <w:rFonts w:ascii="Arial" w:eastAsia="Arial" w:hAnsi="Arial" w:cs="Arial"/>
                <w:color w:val="000000" w:themeColor="text1"/>
              </w:rPr>
            </w:pPr>
          </w:p>
          <w:p w14:paraId="1F6B6DA7" w14:textId="3968DBBC" w:rsidR="43237DC3" w:rsidRDefault="43237DC3" w:rsidP="43237DC3">
            <w:pPr>
              <w:pStyle w:val="ListParagraph"/>
              <w:numPr>
                <w:ilvl w:val="0"/>
                <w:numId w:val="11"/>
              </w:numPr>
              <w:jc w:val="both"/>
              <w:rPr>
                <w:rFonts w:ascii="Arial" w:eastAsia="Arial" w:hAnsi="Arial" w:cs="Arial"/>
                <w:color w:val="000000" w:themeColor="text1"/>
              </w:rPr>
            </w:pPr>
            <w:r w:rsidRPr="43237DC3">
              <w:rPr>
                <w:rFonts w:ascii="Arial" w:eastAsia="Arial" w:hAnsi="Arial" w:cs="Arial"/>
                <w:color w:val="000000" w:themeColor="text1"/>
                <w:lang w:val="en-GB"/>
              </w:rPr>
              <w:t>The clinician should identify treatment options that have proven effectiveness and maximise commitment to the target quit date ensuring the client understands the ongoing support and monitoring arrangements and is provided with appropriate information and advice.</w:t>
            </w:r>
          </w:p>
          <w:p w14:paraId="566F65EF" w14:textId="0F2F4A5A" w:rsidR="43237DC3" w:rsidRDefault="43237DC3" w:rsidP="43237DC3">
            <w:pPr>
              <w:jc w:val="both"/>
              <w:rPr>
                <w:rFonts w:ascii="Arial" w:eastAsia="Arial" w:hAnsi="Arial" w:cs="Arial"/>
                <w:color w:val="000000" w:themeColor="text1"/>
              </w:rPr>
            </w:pPr>
          </w:p>
          <w:p w14:paraId="76508A0E" w14:textId="2A073B4A" w:rsidR="43237DC3" w:rsidRDefault="43237DC3" w:rsidP="43237DC3">
            <w:pPr>
              <w:pStyle w:val="ListParagraph"/>
              <w:numPr>
                <w:ilvl w:val="0"/>
                <w:numId w:val="11"/>
              </w:numPr>
              <w:pBdr>
                <w:top w:val="nil"/>
                <w:left w:val="nil"/>
                <w:bottom w:val="nil"/>
                <w:right w:val="nil"/>
                <w:between w:val="nil"/>
              </w:pBdr>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should maintain appropriate records using Quit Manager to ensure ongoing service delivery and audit.  </w:t>
            </w:r>
          </w:p>
          <w:p w14:paraId="01185D1B" w14:textId="05A4E09C" w:rsidR="43237DC3" w:rsidRDefault="43237DC3" w:rsidP="43237DC3">
            <w:pPr>
              <w:pBdr>
                <w:top w:val="nil"/>
                <w:left w:val="nil"/>
                <w:bottom w:val="nil"/>
                <w:right w:val="nil"/>
                <w:between w:val="nil"/>
              </w:pBdr>
              <w:ind w:left="720" w:hanging="363"/>
              <w:rPr>
                <w:rFonts w:ascii="Arial" w:eastAsia="Arial" w:hAnsi="Arial" w:cs="Arial"/>
                <w:color w:val="000000" w:themeColor="text1"/>
              </w:rPr>
            </w:pPr>
          </w:p>
          <w:p w14:paraId="005A3E35" w14:textId="2A0A4375" w:rsidR="43237DC3" w:rsidRDefault="43237DC3" w:rsidP="43237DC3">
            <w:pPr>
              <w:pStyle w:val="ListParagraph"/>
              <w:numPr>
                <w:ilvl w:val="0"/>
                <w:numId w:val="11"/>
              </w:numPr>
              <w:pBdr>
                <w:top w:val="nil"/>
                <w:left w:val="nil"/>
                <w:bottom w:val="nil"/>
                <w:right w:val="nil"/>
                <w:between w:val="nil"/>
              </w:pBdr>
              <w:jc w:val="both"/>
              <w:rPr>
                <w:rFonts w:ascii="Arial" w:eastAsia="Arial" w:hAnsi="Arial" w:cs="Arial"/>
                <w:color w:val="000000" w:themeColor="text1"/>
              </w:rPr>
            </w:pPr>
            <w:r w:rsidRPr="43237DC3">
              <w:rPr>
                <w:rFonts w:ascii="Arial" w:eastAsia="Arial" w:hAnsi="Arial" w:cs="Arial"/>
                <w:color w:val="000000" w:themeColor="text1"/>
                <w:lang w:val="en-GB"/>
              </w:rPr>
              <w:lastRenderedPageBreak/>
              <w:t xml:space="preserve">The product(s) supplied must be labelled in accordance with the requirements of the Medicines, Ethics and Practice published by </w:t>
            </w:r>
            <w:proofErr w:type="spellStart"/>
            <w:r w:rsidRPr="43237DC3">
              <w:rPr>
                <w:rFonts w:ascii="Arial" w:eastAsia="Arial" w:hAnsi="Arial" w:cs="Arial"/>
                <w:color w:val="000000" w:themeColor="text1"/>
                <w:lang w:val="en-GB"/>
              </w:rPr>
              <w:t>GPhC</w:t>
            </w:r>
            <w:proofErr w:type="spellEnd"/>
            <w:r w:rsidRPr="43237DC3">
              <w:rPr>
                <w:rFonts w:ascii="Arial" w:eastAsia="Arial" w:hAnsi="Arial" w:cs="Arial"/>
                <w:color w:val="000000" w:themeColor="text1"/>
                <w:lang w:val="en-GB"/>
              </w:rPr>
              <w:t>.</w:t>
            </w:r>
          </w:p>
          <w:p w14:paraId="3B00F4CC" w14:textId="20261E24" w:rsidR="43237DC3" w:rsidRDefault="43237DC3" w:rsidP="43237DC3">
            <w:pPr>
              <w:ind w:left="720" w:firstLine="357"/>
              <w:jc w:val="both"/>
              <w:rPr>
                <w:rFonts w:ascii="Arial" w:eastAsia="Arial" w:hAnsi="Arial" w:cs="Arial"/>
                <w:color w:val="000000" w:themeColor="text1"/>
              </w:rPr>
            </w:pPr>
          </w:p>
          <w:p w14:paraId="5BBA4B5E" w14:textId="43078E77" w:rsidR="43237DC3" w:rsidRDefault="43237DC3" w:rsidP="43237DC3">
            <w:pPr>
              <w:jc w:val="both"/>
              <w:rPr>
                <w:rFonts w:ascii="Arial" w:eastAsia="Arial" w:hAnsi="Arial" w:cs="Arial"/>
                <w:color w:val="000000" w:themeColor="text1"/>
              </w:rPr>
            </w:pPr>
          </w:p>
          <w:p w14:paraId="60BE0DDC" w14:textId="6BFE96C5" w:rsidR="43237DC3" w:rsidRDefault="43237DC3" w:rsidP="43237DC3">
            <w:pPr>
              <w:jc w:val="both"/>
              <w:rPr>
                <w:rFonts w:ascii="Arial" w:eastAsia="Arial" w:hAnsi="Arial" w:cs="Arial"/>
                <w:color w:val="009900"/>
              </w:rPr>
            </w:pPr>
            <w:r w:rsidRPr="43237DC3">
              <w:rPr>
                <w:rFonts w:ascii="Arial" w:eastAsia="Arial" w:hAnsi="Arial" w:cs="Arial"/>
                <w:b/>
                <w:bCs/>
                <w:color w:val="009900"/>
                <w:lang w:val="en-GB"/>
              </w:rPr>
              <w:t>6.1 Obligations of the service provider</w:t>
            </w:r>
          </w:p>
          <w:p w14:paraId="7866294F" w14:textId="0A9D3B51" w:rsidR="43237DC3" w:rsidRDefault="43237DC3" w:rsidP="43237DC3">
            <w:pPr>
              <w:jc w:val="both"/>
              <w:rPr>
                <w:rFonts w:ascii="Arial" w:eastAsia="Arial" w:hAnsi="Arial" w:cs="Arial"/>
                <w:color w:val="000000" w:themeColor="text1"/>
              </w:rPr>
            </w:pPr>
          </w:p>
          <w:p w14:paraId="111349B0" w14:textId="30D1C39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must dispense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or Varenicline in accordance with timescales described in the Stop Smoking Service protocol. </w:t>
            </w:r>
          </w:p>
          <w:p w14:paraId="4629FFA5" w14:textId="5C5B9C1C" w:rsidR="43237DC3" w:rsidRDefault="43237DC3" w:rsidP="43237DC3">
            <w:pPr>
              <w:ind w:left="458"/>
              <w:jc w:val="both"/>
              <w:rPr>
                <w:rFonts w:ascii="Arial" w:eastAsia="Arial" w:hAnsi="Arial" w:cs="Arial"/>
                <w:color w:val="000000" w:themeColor="text1"/>
              </w:rPr>
            </w:pPr>
          </w:p>
          <w:p w14:paraId="2CA588AF" w14:textId="21D0714E"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record all information relating to the dispensing in the service users personal medical record and in Quit Manager. </w:t>
            </w:r>
          </w:p>
          <w:p w14:paraId="0AEFC0C1" w14:textId="16A976A3" w:rsidR="43237DC3" w:rsidRDefault="43237DC3" w:rsidP="43237DC3">
            <w:pPr>
              <w:ind w:left="458"/>
              <w:jc w:val="both"/>
              <w:rPr>
                <w:rFonts w:ascii="Arial" w:eastAsia="Arial" w:hAnsi="Arial" w:cs="Arial"/>
                <w:color w:val="000000" w:themeColor="text1"/>
              </w:rPr>
            </w:pPr>
          </w:p>
          <w:p w14:paraId="57C4C779" w14:textId="11AF773A"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Staff responsible for the service must participate in any on-going training, review and competency assessment related to the service. </w:t>
            </w:r>
          </w:p>
          <w:p w14:paraId="4C2CBE1A" w14:textId="00C43EBE" w:rsidR="43237DC3" w:rsidRDefault="43237DC3" w:rsidP="43237DC3">
            <w:pPr>
              <w:ind w:left="458"/>
              <w:jc w:val="both"/>
              <w:rPr>
                <w:rFonts w:ascii="Arial" w:eastAsia="Arial" w:hAnsi="Arial" w:cs="Arial"/>
                <w:color w:val="000000" w:themeColor="text1"/>
              </w:rPr>
            </w:pPr>
          </w:p>
          <w:p w14:paraId="7A4B057E" w14:textId="2E7AC458"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review its standard operating procedures (SOPs) and referral pathways for the service on an annual basis. </w:t>
            </w:r>
          </w:p>
          <w:p w14:paraId="3D2ED38E" w14:textId="53F81E79" w:rsidR="43237DC3" w:rsidRDefault="43237DC3" w:rsidP="43237DC3">
            <w:pPr>
              <w:widowControl w:val="0"/>
              <w:tabs>
                <w:tab w:val="left" w:pos="204"/>
                <w:tab w:val="left" w:pos="5040"/>
              </w:tabs>
              <w:jc w:val="both"/>
              <w:rPr>
                <w:rFonts w:ascii="Arial" w:eastAsia="Arial" w:hAnsi="Arial" w:cs="Arial"/>
                <w:color w:val="000000" w:themeColor="text1"/>
              </w:rPr>
            </w:pPr>
          </w:p>
          <w:p w14:paraId="04A71F45" w14:textId="3E0EFB59"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be able to demonstrate that all staff involved in the provision of the service have undertaken Continuing Professional Development (CPD) relevant to this service. </w:t>
            </w:r>
          </w:p>
          <w:p w14:paraId="5354C9D1" w14:textId="03302029" w:rsidR="43237DC3" w:rsidRDefault="43237DC3" w:rsidP="43237DC3">
            <w:pPr>
              <w:ind w:left="458"/>
              <w:jc w:val="both"/>
              <w:rPr>
                <w:rFonts w:ascii="Arial" w:eastAsia="Arial" w:hAnsi="Arial" w:cs="Arial"/>
                <w:color w:val="000000" w:themeColor="text1"/>
              </w:rPr>
            </w:pPr>
          </w:p>
          <w:p w14:paraId="2AE4CE0F" w14:textId="47477EE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co-operate with any locally agreed audits and assessments of service user experience. </w:t>
            </w:r>
          </w:p>
          <w:p w14:paraId="183A873E" w14:textId="296512BB" w:rsidR="43237DC3" w:rsidRDefault="43237DC3" w:rsidP="43237DC3">
            <w:pPr>
              <w:ind w:left="458"/>
              <w:jc w:val="both"/>
              <w:rPr>
                <w:rFonts w:ascii="Arial" w:eastAsia="Arial" w:hAnsi="Arial" w:cs="Arial"/>
                <w:color w:val="000000" w:themeColor="text1"/>
              </w:rPr>
            </w:pPr>
          </w:p>
          <w:p w14:paraId="3A8BBAD3" w14:textId="466CD83F"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report any complaints to the Council.</w:t>
            </w:r>
          </w:p>
          <w:p w14:paraId="37B0769F" w14:textId="50D45367" w:rsidR="43237DC3" w:rsidRDefault="43237DC3" w:rsidP="43237DC3">
            <w:pPr>
              <w:ind w:left="458"/>
              <w:jc w:val="both"/>
              <w:rPr>
                <w:rFonts w:ascii="Arial" w:eastAsia="Arial" w:hAnsi="Arial" w:cs="Arial"/>
                <w:color w:val="000000" w:themeColor="text1"/>
              </w:rPr>
            </w:pPr>
          </w:p>
          <w:p w14:paraId="2CE9DF73" w14:textId="7F228534"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co-operate with any audit of the service where there is reasonable evidence to suggest non-compliance with the terms of service.</w:t>
            </w:r>
          </w:p>
          <w:p w14:paraId="7BBFF512" w14:textId="7C41EA0B" w:rsidR="43237DC3" w:rsidRDefault="43237DC3" w:rsidP="43237DC3">
            <w:pPr>
              <w:ind w:left="458"/>
              <w:jc w:val="both"/>
              <w:rPr>
                <w:rFonts w:ascii="Arial" w:eastAsia="Arial" w:hAnsi="Arial" w:cs="Arial"/>
                <w:color w:val="000000" w:themeColor="text1"/>
              </w:rPr>
            </w:pPr>
          </w:p>
          <w:p w14:paraId="727FBB47" w14:textId="0B83C30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have robust risk management process in place, including:</w:t>
            </w:r>
          </w:p>
          <w:p w14:paraId="1BBD6181" w14:textId="3D5325E2" w:rsidR="43237DC3" w:rsidRDefault="43237DC3" w:rsidP="43237DC3">
            <w:pPr>
              <w:pStyle w:val="ListParagraph"/>
              <w:numPr>
                <w:ilvl w:val="1"/>
                <w:numId w:val="10"/>
              </w:numPr>
              <w:pBdr>
                <w:top w:val="nil"/>
                <w:left w:val="nil"/>
                <w:bottom w:val="nil"/>
                <w:right w:val="nil"/>
                <w:between w:val="nil"/>
              </w:pBdr>
              <w:spacing w:line="276" w:lineRule="auto"/>
              <w:rPr>
                <w:rFonts w:ascii="Arial" w:eastAsia="Arial" w:hAnsi="Arial" w:cs="Arial"/>
                <w:color w:val="000000" w:themeColor="text1"/>
              </w:rPr>
            </w:pPr>
            <w:r w:rsidRPr="43237DC3">
              <w:rPr>
                <w:rFonts w:ascii="Arial" w:eastAsia="Arial" w:hAnsi="Arial" w:cs="Arial"/>
                <w:color w:val="000000" w:themeColor="text1"/>
                <w:lang w:val="en-GB"/>
              </w:rPr>
              <w:t>Incident reporting and investigation processes</w:t>
            </w:r>
          </w:p>
          <w:p w14:paraId="0ECEDC07" w14:textId="4CAF0232" w:rsidR="43237DC3" w:rsidRDefault="43237DC3" w:rsidP="43237DC3">
            <w:pPr>
              <w:pStyle w:val="ListParagraph"/>
              <w:numPr>
                <w:ilvl w:val="1"/>
                <w:numId w:val="10"/>
              </w:numPr>
              <w:pBdr>
                <w:top w:val="nil"/>
                <w:left w:val="nil"/>
                <w:bottom w:val="nil"/>
                <w:right w:val="nil"/>
                <w:between w:val="nil"/>
              </w:pBdr>
              <w:spacing w:after="200" w:line="276" w:lineRule="auto"/>
              <w:rPr>
                <w:rFonts w:ascii="Arial" w:eastAsia="Arial" w:hAnsi="Arial" w:cs="Arial"/>
                <w:color w:val="000000" w:themeColor="text1"/>
              </w:rPr>
            </w:pPr>
            <w:r w:rsidRPr="43237DC3">
              <w:rPr>
                <w:rFonts w:ascii="Arial" w:eastAsia="Arial" w:hAnsi="Arial" w:cs="Arial"/>
                <w:color w:val="000000" w:themeColor="text1"/>
                <w:lang w:val="en-GB"/>
              </w:rPr>
              <w:t>Complaints processes.</w:t>
            </w:r>
          </w:p>
          <w:p w14:paraId="1F82CA2C" w14:textId="54491A9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report all serious untoward incidents to the Council and provide details of recommendations and actions taken as a result.</w:t>
            </w:r>
          </w:p>
          <w:p w14:paraId="1D14993B" w14:textId="0EF0B96F" w:rsidR="43237DC3" w:rsidRDefault="43237DC3" w:rsidP="43237DC3">
            <w:pPr>
              <w:ind w:left="458"/>
              <w:jc w:val="both"/>
              <w:rPr>
                <w:rFonts w:ascii="Arial" w:eastAsia="Arial" w:hAnsi="Arial" w:cs="Arial"/>
                <w:color w:val="000000" w:themeColor="text1"/>
              </w:rPr>
            </w:pPr>
          </w:p>
          <w:p w14:paraId="367A8201" w14:textId="6438DCAB"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shall only charge the consultation and postage charges set out in their quote. The medication charges will be varied in line with the British National </w:t>
            </w:r>
            <w:proofErr w:type="spellStart"/>
            <w:r w:rsidRPr="43237DC3">
              <w:rPr>
                <w:rFonts w:ascii="Arial" w:eastAsia="Arial" w:hAnsi="Arial" w:cs="Arial"/>
                <w:color w:val="000000" w:themeColor="text1"/>
                <w:lang w:val="en-GB"/>
              </w:rPr>
              <w:t>Formualry</w:t>
            </w:r>
            <w:proofErr w:type="spellEnd"/>
            <w:r w:rsidRPr="43237DC3">
              <w:rPr>
                <w:rFonts w:ascii="Arial" w:eastAsia="Arial" w:hAnsi="Arial" w:cs="Arial"/>
                <w:color w:val="000000" w:themeColor="text1"/>
                <w:lang w:val="en-GB"/>
              </w:rPr>
              <w:t xml:space="preserve"> (BNF) as agreed with the Council.</w:t>
            </w:r>
          </w:p>
          <w:p w14:paraId="732FDF75" w14:textId="0051B531" w:rsidR="43237DC3" w:rsidRDefault="43237DC3" w:rsidP="43237DC3">
            <w:pPr>
              <w:ind w:left="458"/>
              <w:jc w:val="both"/>
              <w:rPr>
                <w:rFonts w:ascii="Arial" w:eastAsia="Arial" w:hAnsi="Arial" w:cs="Arial"/>
                <w:color w:val="000000" w:themeColor="text1"/>
              </w:rPr>
            </w:pPr>
          </w:p>
          <w:p w14:paraId="6C8AA941" w14:textId="7A40B055" w:rsidR="43237DC3" w:rsidRDefault="43237DC3" w:rsidP="43237DC3">
            <w:pPr>
              <w:rPr>
                <w:rFonts w:ascii="Arial" w:eastAsia="Arial" w:hAnsi="Arial" w:cs="Arial"/>
                <w:color w:val="00B050"/>
              </w:rPr>
            </w:pPr>
            <w:r w:rsidRPr="43237DC3">
              <w:rPr>
                <w:rFonts w:ascii="Arial" w:eastAsia="Arial" w:hAnsi="Arial" w:cs="Arial"/>
                <w:b/>
                <w:bCs/>
                <w:color w:val="00B050"/>
                <w:lang w:val="en-GB"/>
              </w:rPr>
              <w:t>6.2 Obligations of West Northamptonshire Council’s (WNC) Stop Smoking Service</w:t>
            </w:r>
          </w:p>
          <w:p w14:paraId="17716263" w14:textId="3EC9324E" w:rsidR="43237DC3" w:rsidRDefault="43237DC3" w:rsidP="43237DC3">
            <w:pPr>
              <w:widowControl w:val="0"/>
              <w:tabs>
                <w:tab w:val="left" w:pos="204"/>
                <w:tab w:val="left" w:pos="5040"/>
              </w:tabs>
              <w:jc w:val="both"/>
              <w:rPr>
                <w:rFonts w:ascii="Arial" w:eastAsia="Arial" w:hAnsi="Arial" w:cs="Arial"/>
                <w:color w:val="000000" w:themeColor="text1"/>
              </w:rPr>
            </w:pPr>
          </w:p>
          <w:p w14:paraId="274A2D80" w14:textId="745F4D2F"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lastRenderedPageBreak/>
              <w:t>The Council will provide a framework for recording relevant service information for the purposes of audit and claiming payment.</w:t>
            </w:r>
          </w:p>
          <w:p w14:paraId="77F18EFB" w14:textId="5E9FBC56" w:rsidR="43237DC3" w:rsidRDefault="43237DC3" w:rsidP="43237DC3">
            <w:pPr>
              <w:ind w:left="458"/>
              <w:jc w:val="both"/>
              <w:rPr>
                <w:rFonts w:ascii="Arial" w:eastAsia="Arial" w:hAnsi="Arial" w:cs="Arial"/>
                <w:color w:val="000000" w:themeColor="text1"/>
              </w:rPr>
            </w:pPr>
          </w:p>
          <w:p w14:paraId="35B1AD6A" w14:textId="20F9642C"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Council will be responsible for the promotion of the service locally including the development of publicity materials. </w:t>
            </w:r>
          </w:p>
          <w:p w14:paraId="3A4EFC66" w14:textId="6F4B16D4" w:rsidR="43237DC3" w:rsidRDefault="43237DC3" w:rsidP="43237DC3">
            <w:pPr>
              <w:ind w:left="458"/>
              <w:jc w:val="both"/>
              <w:rPr>
                <w:rFonts w:ascii="Arial" w:eastAsia="Arial" w:hAnsi="Arial" w:cs="Arial"/>
                <w:color w:val="000000" w:themeColor="text1"/>
              </w:rPr>
            </w:pPr>
          </w:p>
          <w:p w14:paraId="10C62F79" w14:textId="4CB1FA1E"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Council will provide details of allied services which staff can use to signpost clients who require further assistance. </w:t>
            </w:r>
          </w:p>
          <w:p w14:paraId="7E8B0BF1" w14:textId="3B8CA202" w:rsidR="43237DC3" w:rsidRDefault="43237DC3" w:rsidP="43237DC3">
            <w:pPr>
              <w:ind w:left="458"/>
              <w:jc w:val="both"/>
              <w:rPr>
                <w:rFonts w:ascii="Arial" w:eastAsia="Arial" w:hAnsi="Arial" w:cs="Arial"/>
                <w:color w:val="000000" w:themeColor="text1"/>
              </w:rPr>
            </w:pPr>
          </w:p>
          <w:p w14:paraId="40BA2F66" w14:textId="7FCDE96D"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Council will periodically review the service. </w:t>
            </w:r>
          </w:p>
          <w:p w14:paraId="774B750D" w14:textId="718FAD1B" w:rsidR="43237DC3" w:rsidRDefault="43237DC3" w:rsidP="43237DC3">
            <w:pPr>
              <w:ind w:left="458"/>
              <w:jc w:val="both"/>
              <w:rPr>
                <w:rFonts w:ascii="Arial" w:eastAsia="Arial" w:hAnsi="Arial" w:cs="Arial"/>
                <w:color w:val="000000" w:themeColor="text1"/>
              </w:rPr>
            </w:pPr>
          </w:p>
          <w:p w14:paraId="422866A2" w14:textId="39517E1A"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w:t>
            </w:r>
            <w:proofErr w:type="gramStart"/>
            <w:r w:rsidRPr="43237DC3">
              <w:rPr>
                <w:rFonts w:ascii="Arial" w:eastAsia="Arial" w:hAnsi="Arial" w:cs="Arial"/>
                <w:color w:val="000000" w:themeColor="text1"/>
                <w:lang w:val="en-GB"/>
              </w:rPr>
              <w:t>Council  reserve</w:t>
            </w:r>
            <w:proofErr w:type="gramEnd"/>
            <w:r w:rsidRPr="43237DC3">
              <w:rPr>
                <w:rFonts w:ascii="Arial" w:eastAsia="Arial" w:hAnsi="Arial" w:cs="Arial"/>
                <w:color w:val="000000" w:themeColor="text1"/>
                <w:lang w:val="en-GB"/>
              </w:rPr>
              <w:t xml:space="preserve"> the right to vary this contract if circumstances change. Variations will be made in writing.</w:t>
            </w:r>
          </w:p>
          <w:p w14:paraId="4C6C27CA" w14:textId="3C2DBA3B" w:rsidR="43237DC3" w:rsidRDefault="43237DC3" w:rsidP="43237DC3">
            <w:pPr>
              <w:jc w:val="both"/>
              <w:rPr>
                <w:rFonts w:ascii="Arial" w:eastAsia="Arial" w:hAnsi="Arial" w:cs="Arial"/>
                <w:color w:val="000000" w:themeColor="text1"/>
              </w:rPr>
            </w:pPr>
          </w:p>
        </w:tc>
      </w:tr>
      <w:tr w:rsidR="43237DC3" w14:paraId="12A082F2"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Mar>
              <w:left w:w="105" w:type="dxa"/>
              <w:right w:w="105" w:type="dxa"/>
            </w:tcMar>
          </w:tcPr>
          <w:p w14:paraId="0FEA0A4F" w14:textId="3F86C2E0" w:rsidR="43237DC3" w:rsidRDefault="43237DC3" w:rsidP="43237DC3">
            <w:pPr>
              <w:jc w:val="both"/>
              <w:rPr>
                <w:rFonts w:ascii="Arial" w:eastAsia="Arial" w:hAnsi="Arial" w:cs="Arial"/>
                <w:color w:val="FFFFFF" w:themeColor="background1"/>
              </w:rPr>
            </w:pPr>
            <w:r w:rsidRPr="43237DC3">
              <w:rPr>
                <w:rFonts w:ascii="Arial" w:eastAsia="Arial" w:hAnsi="Arial" w:cs="Arial"/>
                <w:b/>
                <w:bCs/>
                <w:color w:val="FFFFFF" w:themeColor="background1"/>
                <w:lang w:val="en-GB"/>
              </w:rPr>
              <w:lastRenderedPageBreak/>
              <w:t>7.0 Access</w:t>
            </w:r>
          </w:p>
        </w:tc>
      </w:tr>
      <w:tr w:rsidR="43237DC3" w14:paraId="01DA90AC"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ECF5C2" w14:textId="72B87BB1" w:rsidR="43237DC3" w:rsidRDefault="43237DC3" w:rsidP="43237DC3">
            <w:pPr>
              <w:jc w:val="both"/>
              <w:rPr>
                <w:rFonts w:ascii="Arial" w:eastAsia="Arial" w:hAnsi="Arial" w:cs="Arial"/>
                <w:color w:val="000000" w:themeColor="text1"/>
              </w:rPr>
            </w:pPr>
          </w:p>
          <w:p w14:paraId="6C4E6805" w14:textId="35FA7A9C"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will be available at a minimum Monday to Friday, 7am until 7pm. </w:t>
            </w:r>
          </w:p>
          <w:p w14:paraId="0E8312B7" w14:textId="094E7BC9" w:rsidR="43237DC3" w:rsidRDefault="43237DC3" w:rsidP="43237DC3">
            <w:pPr>
              <w:ind w:left="458"/>
              <w:jc w:val="both"/>
              <w:rPr>
                <w:rFonts w:ascii="Arial" w:eastAsia="Arial" w:hAnsi="Arial" w:cs="Arial"/>
                <w:color w:val="000000" w:themeColor="text1"/>
              </w:rPr>
            </w:pPr>
          </w:p>
          <w:p w14:paraId="2DEA91BF" w14:textId="7BE12624"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will only be available to Service Users referred by Stop Smoking Advisers with the appropriate authority of the Council delivered or contracted Stop Smoking Service provider.</w:t>
            </w:r>
          </w:p>
          <w:p w14:paraId="78A92B84" w14:textId="5D866CD6" w:rsidR="43237DC3" w:rsidRDefault="43237DC3" w:rsidP="43237DC3">
            <w:pPr>
              <w:ind w:left="458"/>
              <w:jc w:val="both"/>
              <w:rPr>
                <w:rFonts w:ascii="Arial" w:eastAsia="Arial" w:hAnsi="Arial" w:cs="Arial"/>
                <w:color w:val="000000" w:themeColor="text1"/>
              </w:rPr>
            </w:pPr>
          </w:p>
          <w:p w14:paraId="17562024" w14:textId="2059A831"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assess the suitability for a Service User to receive Varenicline or </w:t>
            </w:r>
            <w:proofErr w:type="spellStart"/>
            <w:r w:rsidRPr="43237DC3">
              <w:rPr>
                <w:rFonts w:ascii="Arial" w:eastAsia="Arial" w:hAnsi="Arial" w:cs="Arial"/>
                <w:color w:val="000000" w:themeColor="text1"/>
                <w:lang w:val="en-GB"/>
              </w:rPr>
              <w:t>Cytisine</w:t>
            </w:r>
            <w:proofErr w:type="spellEnd"/>
            <w:r w:rsidRPr="43237DC3">
              <w:rPr>
                <w:rFonts w:ascii="Arial" w:eastAsia="Arial" w:hAnsi="Arial" w:cs="Arial"/>
                <w:color w:val="000000" w:themeColor="text1"/>
                <w:lang w:val="en-GB"/>
              </w:rPr>
              <w:t xml:space="preserve"> to ensure they meet the clinical criteria.</w:t>
            </w:r>
          </w:p>
          <w:p w14:paraId="50000354" w14:textId="382AD6C2" w:rsidR="43237DC3" w:rsidRDefault="43237DC3" w:rsidP="43237DC3">
            <w:pPr>
              <w:jc w:val="both"/>
              <w:rPr>
                <w:rFonts w:ascii="Arial" w:eastAsia="Arial" w:hAnsi="Arial" w:cs="Arial"/>
                <w:color w:val="000000" w:themeColor="text1"/>
              </w:rPr>
            </w:pPr>
          </w:p>
          <w:p w14:paraId="435F1A1A" w14:textId="5226484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will be available to Service Users over 18 years of age who meet the inclusion criteria.</w:t>
            </w:r>
          </w:p>
        </w:tc>
      </w:tr>
      <w:tr w:rsidR="43237DC3" w14:paraId="1506800D" w14:textId="77777777" w:rsidTr="43237DC3">
        <w:trPr>
          <w:trHeight w:val="300"/>
        </w:trPr>
        <w:tc>
          <w:tcPr>
            <w:tcW w:w="90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Mar>
              <w:left w:w="105" w:type="dxa"/>
              <w:right w:w="105" w:type="dxa"/>
            </w:tcMar>
          </w:tcPr>
          <w:p w14:paraId="46019E50" w14:textId="3ED0D767" w:rsidR="43237DC3" w:rsidRDefault="43237DC3" w:rsidP="43237DC3">
            <w:pPr>
              <w:rPr>
                <w:rFonts w:ascii="Arial" w:eastAsia="Arial" w:hAnsi="Arial" w:cs="Arial"/>
                <w:color w:val="FFFFFF" w:themeColor="background1"/>
              </w:rPr>
            </w:pPr>
            <w:proofErr w:type="gramStart"/>
            <w:r w:rsidRPr="43237DC3">
              <w:rPr>
                <w:rFonts w:ascii="Arial" w:eastAsia="Arial" w:hAnsi="Arial" w:cs="Arial"/>
                <w:b/>
                <w:bCs/>
                <w:color w:val="FFFFFF" w:themeColor="background1"/>
                <w:lang w:val="en-GB"/>
              </w:rPr>
              <w:t>8.0  Data</w:t>
            </w:r>
            <w:proofErr w:type="gramEnd"/>
            <w:r w:rsidRPr="43237DC3">
              <w:rPr>
                <w:rFonts w:ascii="Arial" w:eastAsia="Arial" w:hAnsi="Arial" w:cs="Arial"/>
                <w:b/>
                <w:bCs/>
                <w:color w:val="FFFFFF" w:themeColor="background1"/>
                <w:lang w:val="en-GB"/>
              </w:rPr>
              <w:t xml:space="preserve"> Requirements and Record Keeping</w:t>
            </w:r>
          </w:p>
        </w:tc>
      </w:tr>
      <w:tr w:rsidR="43237DC3" w14:paraId="62CDCDEC" w14:textId="77777777" w:rsidTr="43237DC3">
        <w:trPr>
          <w:trHeight w:val="300"/>
        </w:trPr>
        <w:tc>
          <w:tcPr>
            <w:tcW w:w="9045" w:type="dxa"/>
            <w:gridSpan w:val="2"/>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03C7E2A0" w14:textId="75C1D502" w:rsidR="43237DC3" w:rsidRDefault="43237DC3" w:rsidP="43237DC3">
            <w:pPr>
              <w:ind w:left="644" w:firstLine="357"/>
              <w:rPr>
                <w:rFonts w:ascii="Arial" w:eastAsia="Arial" w:hAnsi="Arial" w:cs="Arial"/>
                <w:color w:val="000000" w:themeColor="text1"/>
              </w:rPr>
            </w:pPr>
          </w:p>
          <w:p w14:paraId="1E8DC1B3" w14:textId="12E4F50E"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be responsible for maintaining records for the </w:t>
            </w:r>
            <w:proofErr w:type="gramStart"/>
            <w:r w:rsidRPr="43237DC3">
              <w:rPr>
                <w:rFonts w:ascii="Arial" w:eastAsia="Arial" w:hAnsi="Arial" w:cs="Arial"/>
                <w:color w:val="000000" w:themeColor="text1"/>
                <w:lang w:val="en-GB"/>
              </w:rPr>
              <w:t>period of time</w:t>
            </w:r>
            <w:proofErr w:type="gramEnd"/>
            <w:r w:rsidRPr="43237DC3">
              <w:rPr>
                <w:rFonts w:ascii="Arial" w:eastAsia="Arial" w:hAnsi="Arial" w:cs="Arial"/>
                <w:color w:val="000000" w:themeColor="text1"/>
                <w:lang w:val="en-GB"/>
              </w:rPr>
              <w:t xml:space="preserve"> required by data protection legislation.</w:t>
            </w:r>
          </w:p>
          <w:p w14:paraId="1E1E66D8" w14:textId="03FE2AE4" w:rsidR="43237DC3" w:rsidRDefault="43237DC3" w:rsidP="43237DC3">
            <w:pPr>
              <w:ind w:left="458"/>
              <w:jc w:val="both"/>
              <w:rPr>
                <w:rFonts w:ascii="Arial" w:eastAsia="Arial" w:hAnsi="Arial" w:cs="Arial"/>
                <w:color w:val="000000" w:themeColor="text1"/>
              </w:rPr>
            </w:pPr>
          </w:p>
          <w:p w14:paraId="2329FBE5" w14:textId="28D4F2A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Personal data must be protected in accordance with the provisions and principles of GDPR 2018.</w:t>
            </w:r>
          </w:p>
          <w:p w14:paraId="439AA97E" w14:textId="47290A8A" w:rsidR="43237DC3" w:rsidRDefault="43237DC3" w:rsidP="43237DC3">
            <w:pPr>
              <w:ind w:left="458"/>
              <w:jc w:val="both"/>
              <w:rPr>
                <w:rFonts w:ascii="Arial" w:eastAsia="Arial" w:hAnsi="Arial" w:cs="Arial"/>
                <w:color w:val="000000" w:themeColor="text1"/>
              </w:rPr>
            </w:pPr>
          </w:p>
          <w:p w14:paraId="5A714127" w14:textId="774CF717"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maintain training records and self-declarations of competency in accordance with this specification and will show evidence of this to The Council as and when requested.</w:t>
            </w:r>
          </w:p>
          <w:p w14:paraId="30D1371F" w14:textId="3939B03C" w:rsidR="43237DC3" w:rsidRDefault="43237DC3" w:rsidP="43237DC3">
            <w:pPr>
              <w:ind w:left="458"/>
              <w:jc w:val="both"/>
              <w:rPr>
                <w:rFonts w:ascii="Arial" w:eastAsia="Arial" w:hAnsi="Arial" w:cs="Arial"/>
                <w:color w:val="000000" w:themeColor="text1"/>
              </w:rPr>
            </w:pPr>
          </w:p>
          <w:p w14:paraId="4F10CF11" w14:textId="096F604A"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must keep all records for a minimum period of 7 years.  </w:t>
            </w:r>
          </w:p>
          <w:p w14:paraId="4A9C581A" w14:textId="089FBF3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Electronic records must also be kept and available for this period. </w:t>
            </w:r>
          </w:p>
          <w:p w14:paraId="216CB4A5" w14:textId="36619A55" w:rsidR="43237DC3" w:rsidRDefault="43237DC3" w:rsidP="43237DC3">
            <w:pPr>
              <w:ind w:left="458"/>
              <w:jc w:val="both"/>
              <w:rPr>
                <w:rFonts w:ascii="Arial" w:eastAsia="Arial" w:hAnsi="Arial" w:cs="Arial"/>
                <w:color w:val="000000" w:themeColor="text1"/>
              </w:rPr>
            </w:pPr>
          </w:p>
          <w:p w14:paraId="1C6FAA54" w14:textId="2F00FD16"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Records will be kept by the service provider in a secure and confidential manner. Records must be destroyed in a confidential manner.</w:t>
            </w:r>
          </w:p>
          <w:p w14:paraId="0F6F6D96" w14:textId="103D1101" w:rsidR="43237DC3" w:rsidRDefault="43237DC3" w:rsidP="43237DC3">
            <w:pPr>
              <w:ind w:left="458"/>
              <w:jc w:val="both"/>
              <w:rPr>
                <w:rFonts w:ascii="Arial" w:eastAsia="Arial" w:hAnsi="Arial" w:cs="Arial"/>
                <w:color w:val="000000" w:themeColor="text1"/>
              </w:rPr>
            </w:pPr>
          </w:p>
          <w:p w14:paraId="1CE36B43" w14:textId="099BE284"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lastRenderedPageBreak/>
              <w:t>The consultation and its outcome should be recorded in Quit Manager. A brief outline of the Quit Manager system is provided in Appendix 1.</w:t>
            </w:r>
          </w:p>
          <w:p w14:paraId="61DA80AA" w14:textId="0201990C" w:rsidR="43237DC3" w:rsidRDefault="43237DC3" w:rsidP="43237DC3">
            <w:pPr>
              <w:ind w:left="458"/>
              <w:jc w:val="both"/>
              <w:rPr>
                <w:rFonts w:ascii="Arial" w:eastAsia="Arial" w:hAnsi="Arial" w:cs="Arial"/>
                <w:color w:val="000000" w:themeColor="text1"/>
              </w:rPr>
            </w:pPr>
          </w:p>
          <w:p w14:paraId="1F1D16C2" w14:textId="3329456C"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Records maintained in association with this service must be made available to the Council on request for audit and verification purposes subject to prevailing data legislation provisions.</w:t>
            </w:r>
          </w:p>
        </w:tc>
      </w:tr>
      <w:tr w:rsidR="43237DC3" w14:paraId="79B6E41D" w14:textId="77777777" w:rsidTr="43237DC3">
        <w:trPr>
          <w:trHeight w:val="300"/>
        </w:trPr>
        <w:tc>
          <w:tcPr>
            <w:tcW w:w="9045" w:type="dxa"/>
            <w:gridSpan w:val="2"/>
            <w:tcBorders>
              <w:top w:val="nil"/>
              <w:left w:val="single" w:sz="6" w:space="0" w:color="000000" w:themeColor="text1"/>
              <w:bottom w:val="single" w:sz="6" w:space="0" w:color="000000" w:themeColor="text1"/>
              <w:right w:val="single" w:sz="6" w:space="0" w:color="000000" w:themeColor="text1"/>
            </w:tcBorders>
          </w:tcPr>
          <w:p w14:paraId="16F59D91" w14:textId="5C614E6F" w:rsidR="43237DC3" w:rsidRDefault="43237DC3" w:rsidP="43237DC3">
            <w:pPr>
              <w:jc w:val="both"/>
              <w:rPr>
                <w:rFonts w:ascii="Arial" w:eastAsia="Arial" w:hAnsi="Arial" w:cs="Arial"/>
                <w:color w:val="000000" w:themeColor="text1"/>
              </w:rPr>
            </w:pPr>
          </w:p>
          <w:p w14:paraId="335262FA" w14:textId="4DB6AB5A" w:rsidR="43237DC3" w:rsidRDefault="43237DC3" w:rsidP="43237DC3">
            <w:pPr>
              <w:jc w:val="both"/>
              <w:rPr>
                <w:rFonts w:ascii="Arial" w:eastAsia="Arial" w:hAnsi="Arial" w:cs="Arial"/>
                <w:color w:val="008000"/>
              </w:rPr>
            </w:pPr>
            <w:r w:rsidRPr="43237DC3">
              <w:rPr>
                <w:rFonts w:ascii="Arial" w:eastAsia="Arial" w:hAnsi="Arial" w:cs="Arial"/>
                <w:b/>
                <w:bCs/>
                <w:color w:val="008000"/>
                <w:lang w:val="en-GB"/>
              </w:rPr>
              <w:t>Service Provision and Continuity</w:t>
            </w:r>
          </w:p>
          <w:p w14:paraId="11DB5828" w14:textId="57883995" w:rsidR="43237DC3" w:rsidRDefault="43237DC3" w:rsidP="43237DC3">
            <w:pPr>
              <w:jc w:val="both"/>
              <w:rPr>
                <w:rFonts w:ascii="Arial" w:eastAsia="Arial" w:hAnsi="Arial" w:cs="Arial"/>
                <w:color w:val="000000" w:themeColor="text1"/>
              </w:rPr>
            </w:pPr>
          </w:p>
          <w:p w14:paraId="3EA8D18B" w14:textId="18EEE1F0" w:rsidR="43237DC3" w:rsidRDefault="43237DC3" w:rsidP="43237DC3">
            <w:pPr>
              <w:jc w:val="both"/>
              <w:rPr>
                <w:rFonts w:ascii="Arial" w:eastAsia="Arial" w:hAnsi="Arial" w:cs="Arial"/>
                <w:color w:val="000000" w:themeColor="text1"/>
              </w:rPr>
            </w:pPr>
            <w:r w:rsidRPr="43237DC3">
              <w:rPr>
                <w:rFonts w:ascii="Arial" w:eastAsia="Arial" w:hAnsi="Arial" w:cs="Arial"/>
                <w:color w:val="000000" w:themeColor="text1"/>
                <w:lang w:val="en-GB"/>
              </w:rPr>
              <w:t>1 month before the service is to commence the Provider shall provide a mobilisation plan detailing as a minimum,</w:t>
            </w:r>
          </w:p>
          <w:p w14:paraId="5B1D66CB" w14:textId="6FBF4F94"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Arrangements for how you will deliver all elements of the </w:t>
            </w:r>
            <w:proofErr w:type="gramStart"/>
            <w:r w:rsidRPr="43237DC3">
              <w:rPr>
                <w:rFonts w:ascii="Arial" w:eastAsia="Arial" w:hAnsi="Arial" w:cs="Arial"/>
                <w:color w:val="000000" w:themeColor="text1"/>
                <w:lang w:val="en-GB"/>
              </w:rPr>
              <w:t>service;</w:t>
            </w:r>
            <w:proofErr w:type="gramEnd"/>
            <w:r w:rsidRPr="43237DC3">
              <w:rPr>
                <w:rFonts w:ascii="Arial" w:eastAsia="Arial" w:hAnsi="Arial" w:cs="Arial"/>
                <w:color w:val="000000" w:themeColor="text1"/>
                <w:lang w:val="en-GB"/>
              </w:rPr>
              <w:t xml:space="preserve">   </w:t>
            </w:r>
          </w:p>
          <w:p w14:paraId="56299532" w14:textId="765FC038"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A workforce plan including any </w:t>
            </w:r>
            <w:proofErr w:type="gramStart"/>
            <w:r w:rsidRPr="43237DC3">
              <w:rPr>
                <w:rFonts w:ascii="Arial" w:eastAsia="Arial" w:hAnsi="Arial" w:cs="Arial"/>
                <w:color w:val="000000" w:themeColor="text1"/>
                <w:lang w:val="en-GB"/>
              </w:rPr>
              <w:t>training;</w:t>
            </w:r>
            <w:proofErr w:type="gramEnd"/>
            <w:r w:rsidRPr="43237DC3">
              <w:rPr>
                <w:rFonts w:ascii="Arial" w:eastAsia="Arial" w:hAnsi="Arial" w:cs="Arial"/>
                <w:color w:val="000000" w:themeColor="text1"/>
                <w:lang w:val="en-GB"/>
              </w:rPr>
              <w:t xml:space="preserve">  </w:t>
            </w:r>
          </w:p>
          <w:p w14:paraId="527836CA" w14:textId="34BF6929"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The arrangements for suitable times and locations for service delivery or the details of how you will access appropriate </w:t>
            </w:r>
            <w:proofErr w:type="gramStart"/>
            <w:r w:rsidRPr="43237DC3">
              <w:rPr>
                <w:rFonts w:ascii="Arial" w:eastAsia="Arial" w:hAnsi="Arial" w:cs="Arial"/>
                <w:color w:val="000000" w:themeColor="text1"/>
                <w:lang w:val="en-GB"/>
              </w:rPr>
              <w:t>populations;</w:t>
            </w:r>
            <w:proofErr w:type="gramEnd"/>
            <w:r w:rsidRPr="43237DC3">
              <w:rPr>
                <w:rFonts w:ascii="Arial" w:eastAsia="Arial" w:hAnsi="Arial" w:cs="Arial"/>
                <w:color w:val="000000" w:themeColor="text1"/>
                <w:lang w:val="en-GB"/>
              </w:rPr>
              <w:t xml:space="preserve">   </w:t>
            </w:r>
          </w:p>
          <w:p w14:paraId="6F85A184" w14:textId="43C18D43"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Clinical Governance arrangements, including management, clinical and safeguarding supervision and quality </w:t>
            </w:r>
            <w:proofErr w:type="gramStart"/>
            <w:r w:rsidRPr="43237DC3">
              <w:rPr>
                <w:rFonts w:ascii="Arial" w:eastAsia="Arial" w:hAnsi="Arial" w:cs="Arial"/>
                <w:color w:val="000000" w:themeColor="text1"/>
                <w:lang w:val="en-GB"/>
              </w:rPr>
              <w:t>assurance;</w:t>
            </w:r>
            <w:proofErr w:type="gramEnd"/>
            <w:r w:rsidRPr="43237DC3">
              <w:rPr>
                <w:rFonts w:ascii="Arial" w:eastAsia="Arial" w:hAnsi="Arial" w:cs="Arial"/>
                <w:color w:val="000000" w:themeColor="text1"/>
                <w:lang w:val="en-GB"/>
              </w:rPr>
              <w:t xml:space="preserve">   </w:t>
            </w:r>
          </w:p>
          <w:p w14:paraId="11224AF7" w14:textId="0A14143A"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 xml:space="preserve">Safeguarding policies and procedures in line with National and Local </w:t>
            </w:r>
            <w:proofErr w:type="gramStart"/>
            <w:r w:rsidRPr="43237DC3">
              <w:rPr>
                <w:rFonts w:ascii="Arial" w:eastAsia="Arial" w:hAnsi="Arial" w:cs="Arial"/>
                <w:color w:val="000000" w:themeColor="text1"/>
                <w:lang w:val="en-GB"/>
              </w:rPr>
              <w:t>Guidance;</w:t>
            </w:r>
            <w:proofErr w:type="gramEnd"/>
            <w:r w:rsidRPr="43237DC3">
              <w:rPr>
                <w:rFonts w:ascii="Arial" w:eastAsia="Arial" w:hAnsi="Arial" w:cs="Arial"/>
                <w:color w:val="000000" w:themeColor="text1"/>
                <w:lang w:val="en-GB"/>
              </w:rPr>
              <w:t xml:space="preserve">  </w:t>
            </w:r>
          </w:p>
          <w:p w14:paraId="332A50BD" w14:textId="44C883C8"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A Business Continuity Plan; and</w:t>
            </w:r>
          </w:p>
          <w:p w14:paraId="14EED44B" w14:textId="1AE0DD06" w:rsidR="43237DC3" w:rsidRDefault="43237DC3" w:rsidP="43237DC3">
            <w:pPr>
              <w:pStyle w:val="ListParagraph"/>
              <w:numPr>
                <w:ilvl w:val="0"/>
                <w:numId w:val="9"/>
              </w:numPr>
              <w:jc w:val="both"/>
              <w:rPr>
                <w:rFonts w:ascii="Arial" w:eastAsia="Arial" w:hAnsi="Arial" w:cs="Arial"/>
                <w:color w:val="000000" w:themeColor="text1"/>
              </w:rPr>
            </w:pPr>
            <w:r w:rsidRPr="43237DC3">
              <w:rPr>
                <w:rFonts w:ascii="Arial" w:eastAsia="Arial" w:hAnsi="Arial" w:cs="Arial"/>
                <w:color w:val="000000" w:themeColor="text1"/>
                <w:lang w:val="en-GB"/>
              </w:rPr>
              <w:t>Proof of insurance.</w:t>
            </w:r>
          </w:p>
          <w:p w14:paraId="7B116A78" w14:textId="4FA7C799" w:rsidR="43237DC3" w:rsidRDefault="43237DC3" w:rsidP="43237DC3">
            <w:pPr>
              <w:jc w:val="both"/>
              <w:rPr>
                <w:rFonts w:ascii="Arial" w:eastAsia="Arial" w:hAnsi="Arial" w:cs="Arial"/>
                <w:color w:val="000000" w:themeColor="text1"/>
              </w:rPr>
            </w:pPr>
          </w:p>
          <w:p w14:paraId="4E2D85D6" w14:textId="0F913503"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It is the responsibility of the service provider to have a process in place which ensures that all new staff and locums are aware of all services provided by the pharmacy and commissioned by the Council and must maintain continuity of service during and after staff changes. The Service provider shall develop and maintain a business continuity plan that sets how it will maintain the service.</w:t>
            </w:r>
          </w:p>
          <w:p w14:paraId="6F6DF48D" w14:textId="40C6ADC7" w:rsidR="43237DC3" w:rsidRDefault="43237DC3" w:rsidP="43237DC3">
            <w:pPr>
              <w:jc w:val="both"/>
              <w:rPr>
                <w:rFonts w:ascii="Arial" w:eastAsia="Arial" w:hAnsi="Arial" w:cs="Arial"/>
                <w:color w:val="000000" w:themeColor="text1"/>
              </w:rPr>
            </w:pPr>
          </w:p>
          <w:p w14:paraId="3755D85E" w14:textId="2A3CC2F2" w:rsidR="43237DC3" w:rsidRDefault="43237DC3" w:rsidP="43237DC3">
            <w:pPr>
              <w:jc w:val="both"/>
              <w:rPr>
                <w:rFonts w:ascii="Arial" w:eastAsia="Arial" w:hAnsi="Arial" w:cs="Arial"/>
                <w:color w:val="538135"/>
              </w:rPr>
            </w:pPr>
            <w:r w:rsidRPr="43237DC3">
              <w:rPr>
                <w:rFonts w:ascii="Arial" w:eastAsia="Arial" w:hAnsi="Arial" w:cs="Arial"/>
                <w:b/>
                <w:bCs/>
                <w:color w:val="538135"/>
                <w:lang w:val="en-GB"/>
              </w:rPr>
              <w:t>Monitoring and reporting</w:t>
            </w:r>
          </w:p>
          <w:p w14:paraId="475ED316" w14:textId="7718B04B" w:rsidR="43237DC3" w:rsidRDefault="43237DC3" w:rsidP="43237DC3">
            <w:pPr>
              <w:jc w:val="both"/>
              <w:rPr>
                <w:rFonts w:ascii="Arial" w:eastAsia="Arial" w:hAnsi="Arial" w:cs="Arial"/>
                <w:color w:val="000000" w:themeColor="text1"/>
              </w:rPr>
            </w:pPr>
          </w:p>
          <w:p w14:paraId="1C924E0F" w14:textId="75401117"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Service Provider will be expected to report quarterly on the KPIs, set out below. The Service Provider shall provide a service narrative report to accompany the KPI report detailing key service highlights and achievements, challenges within the service and the associated mitigation, plus the key learning covering the content set out as a minimum the information detailed in Appendix 2. Quarterly meetings will be held with the Council to review the service.</w:t>
            </w:r>
          </w:p>
          <w:p w14:paraId="6D08508E" w14:textId="4D9E5E36" w:rsidR="43237DC3" w:rsidRDefault="43237DC3" w:rsidP="43237DC3">
            <w:pPr>
              <w:ind w:left="458"/>
              <w:jc w:val="both"/>
              <w:rPr>
                <w:rFonts w:ascii="Arial" w:eastAsia="Arial" w:hAnsi="Arial" w:cs="Arial"/>
                <w:color w:val="000000" w:themeColor="text1"/>
              </w:rPr>
            </w:pPr>
          </w:p>
          <w:p w14:paraId="45B27426" w14:textId="73EB51BD"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A quality and assurance document will be required quarterly to ensure the Council can be assured about the Service Provision as detailed in Appendix 2.</w:t>
            </w:r>
          </w:p>
          <w:p w14:paraId="6C09C36A" w14:textId="21F80963" w:rsidR="43237DC3" w:rsidRDefault="43237DC3" w:rsidP="43237DC3">
            <w:pPr>
              <w:ind w:left="458"/>
              <w:jc w:val="both"/>
              <w:rPr>
                <w:rFonts w:ascii="Arial" w:eastAsia="Arial" w:hAnsi="Arial" w:cs="Arial"/>
                <w:color w:val="000000" w:themeColor="text1"/>
              </w:rPr>
            </w:pPr>
          </w:p>
          <w:p w14:paraId="12A19862" w14:textId="37590FD0" w:rsidR="43237DC3" w:rsidRDefault="43237DC3"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Each year the Service Provider shall provide, in an agreed format, to the Council with an annual report setting out the last year’s activity. This report shall be provided by April 30</w:t>
            </w:r>
            <w:r w:rsidRPr="43237DC3">
              <w:rPr>
                <w:rFonts w:ascii="Arial" w:eastAsia="Arial" w:hAnsi="Arial" w:cs="Arial"/>
                <w:color w:val="000000" w:themeColor="text1"/>
                <w:vertAlign w:val="superscript"/>
                <w:lang w:val="en-GB"/>
              </w:rPr>
              <w:t>th</w:t>
            </w:r>
            <w:r w:rsidRPr="43237DC3">
              <w:rPr>
                <w:rFonts w:ascii="Arial" w:eastAsia="Arial" w:hAnsi="Arial" w:cs="Arial"/>
                <w:color w:val="000000" w:themeColor="text1"/>
                <w:lang w:val="en-GB"/>
              </w:rPr>
              <w:t xml:space="preserve"> each year covering the previous April 1</w:t>
            </w:r>
            <w:r w:rsidRPr="43237DC3">
              <w:rPr>
                <w:rFonts w:ascii="Arial" w:eastAsia="Arial" w:hAnsi="Arial" w:cs="Arial"/>
                <w:color w:val="000000" w:themeColor="text1"/>
                <w:vertAlign w:val="superscript"/>
                <w:lang w:val="en-GB"/>
              </w:rPr>
              <w:t>st</w:t>
            </w:r>
            <w:r w:rsidRPr="43237DC3">
              <w:rPr>
                <w:rFonts w:ascii="Arial" w:eastAsia="Arial" w:hAnsi="Arial" w:cs="Arial"/>
                <w:color w:val="000000" w:themeColor="text1"/>
                <w:lang w:val="en-GB"/>
              </w:rPr>
              <w:t xml:space="preserve"> to March 31</w:t>
            </w:r>
            <w:r w:rsidRPr="43237DC3">
              <w:rPr>
                <w:rFonts w:ascii="Arial" w:eastAsia="Arial" w:hAnsi="Arial" w:cs="Arial"/>
                <w:color w:val="000000" w:themeColor="text1"/>
                <w:vertAlign w:val="superscript"/>
                <w:lang w:val="en-GB"/>
              </w:rPr>
              <w:t>st</w:t>
            </w:r>
            <w:r w:rsidRPr="43237DC3">
              <w:rPr>
                <w:rFonts w:ascii="Arial" w:eastAsia="Arial" w:hAnsi="Arial" w:cs="Arial"/>
                <w:color w:val="000000" w:themeColor="text1"/>
                <w:lang w:val="en-GB"/>
              </w:rPr>
              <w:t>.</w:t>
            </w:r>
          </w:p>
          <w:p w14:paraId="4CE662DE" w14:textId="5F3CA368" w:rsidR="43237DC3" w:rsidRDefault="43237DC3" w:rsidP="43237DC3">
            <w:pPr>
              <w:jc w:val="both"/>
              <w:rPr>
                <w:rFonts w:ascii="Arial" w:eastAsia="Arial" w:hAnsi="Arial" w:cs="Arial"/>
                <w:color w:val="538135"/>
              </w:rPr>
            </w:pPr>
          </w:p>
          <w:p w14:paraId="40A0BE1A" w14:textId="16F60AFC" w:rsidR="43237DC3" w:rsidRDefault="43237DC3" w:rsidP="43237DC3">
            <w:pPr>
              <w:jc w:val="both"/>
              <w:rPr>
                <w:rFonts w:ascii="Arial" w:eastAsia="Arial" w:hAnsi="Arial" w:cs="Arial"/>
                <w:color w:val="000000" w:themeColor="text1"/>
              </w:rPr>
            </w:pPr>
            <w:r w:rsidRPr="43237DC3">
              <w:rPr>
                <w:rFonts w:ascii="Arial" w:eastAsia="Arial" w:hAnsi="Arial" w:cs="Arial"/>
                <w:b/>
                <w:bCs/>
                <w:color w:val="000000" w:themeColor="text1"/>
                <w:lang w:val="en-GB"/>
              </w:rPr>
              <w:t>KPI’s</w:t>
            </w:r>
          </w:p>
          <w:p w14:paraId="109B6A49" w14:textId="240AD609" w:rsidR="43237DC3" w:rsidRDefault="43237DC3" w:rsidP="43237DC3">
            <w:pPr>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35"/>
            </w:tblGrid>
            <w:tr w:rsidR="43237DC3" w14:paraId="6638D7DF"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133427" w14:textId="56418BF8" w:rsidR="43237DC3" w:rsidRDefault="43237DC3" w:rsidP="43237DC3">
                  <w:pPr>
                    <w:rPr>
                      <w:rFonts w:ascii="Arial" w:eastAsia="Arial" w:hAnsi="Arial" w:cs="Arial"/>
                    </w:rPr>
                  </w:pPr>
                  <w:r w:rsidRPr="43237DC3">
                    <w:rPr>
                      <w:rFonts w:ascii="Arial" w:eastAsia="Arial" w:hAnsi="Arial" w:cs="Arial"/>
                      <w:b/>
                      <w:bCs/>
                      <w:lang w:val="en-GB"/>
                    </w:rPr>
                    <w:t>Performance indicator</w:t>
                  </w:r>
                </w:p>
              </w:tc>
            </w:tr>
            <w:tr w:rsidR="43237DC3" w14:paraId="2EDF7BDA"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24CADF" w14:textId="72A08108" w:rsidR="43237DC3" w:rsidRDefault="43237DC3" w:rsidP="43237DC3">
                  <w:pPr>
                    <w:rPr>
                      <w:rFonts w:ascii="Arial" w:eastAsia="Arial" w:hAnsi="Arial" w:cs="Arial"/>
                    </w:rPr>
                  </w:pPr>
                  <w:r w:rsidRPr="43237DC3">
                    <w:rPr>
                      <w:rFonts w:ascii="Arial" w:eastAsia="Arial" w:hAnsi="Arial" w:cs="Arial"/>
                      <w:lang w:val="en-GB"/>
                    </w:rPr>
                    <w:t xml:space="preserve">Number of people referred for </w:t>
                  </w:r>
                  <w:proofErr w:type="spellStart"/>
                  <w:r w:rsidRPr="43237DC3">
                    <w:rPr>
                      <w:rFonts w:ascii="Arial" w:eastAsia="Arial" w:hAnsi="Arial" w:cs="Arial"/>
                      <w:lang w:val="en-GB"/>
                    </w:rPr>
                    <w:t>Cytisine</w:t>
                  </w:r>
                  <w:proofErr w:type="spellEnd"/>
                </w:p>
              </w:tc>
            </w:tr>
            <w:tr w:rsidR="43237DC3" w14:paraId="29562BC4"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DBFE5" w14:textId="2498A2B5" w:rsidR="43237DC3" w:rsidRDefault="43237DC3" w:rsidP="43237DC3">
                  <w:pPr>
                    <w:rPr>
                      <w:rFonts w:ascii="Arial" w:eastAsia="Arial" w:hAnsi="Arial" w:cs="Arial"/>
                    </w:rPr>
                  </w:pPr>
                  <w:r w:rsidRPr="43237DC3">
                    <w:rPr>
                      <w:rFonts w:ascii="Arial" w:eastAsia="Arial" w:hAnsi="Arial" w:cs="Arial"/>
                      <w:lang w:val="en-GB"/>
                    </w:rPr>
                    <w:t xml:space="preserve">Number of people given </w:t>
                  </w:r>
                  <w:proofErr w:type="spellStart"/>
                  <w:r w:rsidRPr="43237DC3">
                    <w:rPr>
                      <w:rFonts w:ascii="Arial" w:eastAsia="Arial" w:hAnsi="Arial" w:cs="Arial"/>
                      <w:lang w:val="en-GB"/>
                    </w:rPr>
                    <w:t>Cytisine</w:t>
                  </w:r>
                  <w:proofErr w:type="spellEnd"/>
                </w:p>
              </w:tc>
            </w:tr>
            <w:tr w:rsidR="43237DC3" w14:paraId="00C6BB0F"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B922E" w14:textId="06A057C4" w:rsidR="43237DC3" w:rsidRDefault="43237DC3" w:rsidP="43237DC3">
                  <w:pPr>
                    <w:rPr>
                      <w:rFonts w:ascii="Arial" w:eastAsia="Arial" w:hAnsi="Arial" w:cs="Arial"/>
                    </w:rPr>
                  </w:pPr>
                  <w:r w:rsidRPr="43237DC3">
                    <w:rPr>
                      <w:rFonts w:ascii="Arial" w:eastAsia="Arial" w:hAnsi="Arial" w:cs="Arial"/>
                      <w:lang w:val="en-GB"/>
                    </w:rPr>
                    <w:t>Number of people referred for Varenicline</w:t>
                  </w:r>
                </w:p>
              </w:tc>
            </w:tr>
            <w:tr w:rsidR="43237DC3" w14:paraId="192AF962"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D43DD5" w14:textId="16A9B140" w:rsidR="43237DC3" w:rsidRDefault="43237DC3" w:rsidP="43237DC3">
                  <w:pPr>
                    <w:rPr>
                      <w:rFonts w:ascii="Arial" w:eastAsia="Arial" w:hAnsi="Arial" w:cs="Arial"/>
                    </w:rPr>
                  </w:pPr>
                  <w:r w:rsidRPr="43237DC3">
                    <w:rPr>
                      <w:rFonts w:ascii="Arial" w:eastAsia="Arial" w:hAnsi="Arial" w:cs="Arial"/>
                      <w:lang w:val="en-GB"/>
                    </w:rPr>
                    <w:t>Number of people given Varenicline</w:t>
                  </w:r>
                </w:p>
              </w:tc>
            </w:tr>
            <w:tr w:rsidR="43237DC3" w14:paraId="6FF3E3EC"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69DBBB" w14:textId="57719EC3" w:rsidR="43237DC3" w:rsidRDefault="43237DC3" w:rsidP="43237DC3">
                  <w:pPr>
                    <w:rPr>
                      <w:rFonts w:ascii="Arial" w:eastAsia="Arial" w:hAnsi="Arial" w:cs="Arial"/>
                    </w:rPr>
                  </w:pPr>
                  <w:r w:rsidRPr="43237DC3">
                    <w:rPr>
                      <w:rFonts w:ascii="Arial" w:eastAsia="Arial" w:hAnsi="Arial" w:cs="Arial"/>
                      <w:lang w:val="en-GB"/>
                    </w:rPr>
                    <w:t xml:space="preserve">Average time taken to </w:t>
                  </w:r>
                  <w:proofErr w:type="gramStart"/>
                  <w:r w:rsidRPr="43237DC3">
                    <w:rPr>
                      <w:rFonts w:ascii="Arial" w:eastAsia="Arial" w:hAnsi="Arial" w:cs="Arial"/>
                      <w:lang w:val="en-GB"/>
                    </w:rPr>
                    <w:t>make contact with</w:t>
                  </w:r>
                  <w:proofErr w:type="gramEnd"/>
                  <w:r w:rsidRPr="43237DC3">
                    <w:rPr>
                      <w:rFonts w:ascii="Arial" w:eastAsia="Arial" w:hAnsi="Arial" w:cs="Arial"/>
                      <w:lang w:val="en-GB"/>
                    </w:rPr>
                    <w:t xml:space="preserve"> referrals</w:t>
                  </w:r>
                </w:p>
              </w:tc>
            </w:tr>
            <w:tr w:rsidR="43237DC3" w14:paraId="7A5C9319"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8E372B" w14:textId="4A997DB1" w:rsidR="43237DC3" w:rsidRDefault="43237DC3" w:rsidP="43237DC3">
                  <w:pPr>
                    <w:rPr>
                      <w:rFonts w:ascii="Arial" w:eastAsia="Arial" w:hAnsi="Arial" w:cs="Arial"/>
                    </w:rPr>
                  </w:pPr>
                  <w:r w:rsidRPr="43237DC3">
                    <w:rPr>
                      <w:rFonts w:ascii="Arial" w:eastAsia="Arial" w:hAnsi="Arial" w:cs="Arial"/>
                      <w:lang w:val="en-GB"/>
                    </w:rPr>
                    <w:t>Average time taken to see referrals</w:t>
                  </w:r>
                </w:p>
              </w:tc>
            </w:tr>
            <w:tr w:rsidR="43237DC3" w14:paraId="71BAD8C8"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6520BD" w14:textId="1D602E3A" w:rsidR="43237DC3" w:rsidRDefault="43237DC3" w:rsidP="43237DC3">
                  <w:pPr>
                    <w:rPr>
                      <w:rFonts w:ascii="Arial" w:eastAsia="Arial" w:hAnsi="Arial" w:cs="Arial"/>
                    </w:rPr>
                  </w:pPr>
                  <w:r w:rsidRPr="43237DC3">
                    <w:rPr>
                      <w:rFonts w:ascii="Arial" w:eastAsia="Arial" w:hAnsi="Arial" w:cs="Arial"/>
                      <w:lang w:val="en-GB"/>
                    </w:rPr>
                    <w:t>Number of complaints (and copies of complaints and responses)</w:t>
                  </w:r>
                </w:p>
              </w:tc>
            </w:tr>
            <w:tr w:rsidR="43237DC3" w14:paraId="5EEDCAAA"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6502A2" w14:textId="201E6265" w:rsidR="43237DC3" w:rsidRDefault="43237DC3" w:rsidP="43237DC3">
                  <w:pPr>
                    <w:rPr>
                      <w:rFonts w:ascii="Arial" w:eastAsia="Arial" w:hAnsi="Arial" w:cs="Arial"/>
                    </w:rPr>
                  </w:pPr>
                  <w:r w:rsidRPr="43237DC3">
                    <w:rPr>
                      <w:rFonts w:ascii="Arial" w:eastAsia="Arial" w:hAnsi="Arial" w:cs="Arial"/>
                      <w:lang w:val="en-GB"/>
                    </w:rPr>
                    <w:t>Number of people where the Service was declined</w:t>
                  </w:r>
                </w:p>
              </w:tc>
            </w:tr>
            <w:tr w:rsidR="43237DC3" w14:paraId="1A6B4D6B" w14:textId="77777777" w:rsidTr="43237DC3">
              <w:trPr>
                <w:trHeight w:val="300"/>
              </w:trPr>
              <w:tc>
                <w:tcPr>
                  <w:tcW w:w="8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8609EB" w14:textId="154FC1ED" w:rsidR="43237DC3" w:rsidRDefault="43237DC3" w:rsidP="43237DC3">
                  <w:pPr>
                    <w:rPr>
                      <w:rFonts w:ascii="Arial" w:eastAsia="Arial" w:hAnsi="Arial" w:cs="Arial"/>
                    </w:rPr>
                  </w:pPr>
                  <w:r w:rsidRPr="43237DC3">
                    <w:rPr>
                      <w:rFonts w:ascii="Arial" w:eastAsia="Arial" w:hAnsi="Arial" w:cs="Arial"/>
                      <w:lang w:val="en-GB"/>
                    </w:rPr>
                    <w:t>The reasons for the Service to be declined</w:t>
                  </w:r>
                </w:p>
              </w:tc>
            </w:tr>
          </w:tbl>
          <w:p w14:paraId="4901C236" w14:textId="4EBCD473" w:rsidR="43237DC3" w:rsidRDefault="43237DC3" w:rsidP="43237DC3">
            <w:pPr>
              <w:jc w:val="both"/>
              <w:rPr>
                <w:rFonts w:ascii="Arial" w:eastAsia="Arial" w:hAnsi="Arial" w:cs="Arial"/>
                <w:color w:val="000000" w:themeColor="text1"/>
              </w:rPr>
            </w:pPr>
          </w:p>
          <w:p w14:paraId="6ED0FBE3" w14:textId="669FA9F2" w:rsidR="43237DC3" w:rsidRDefault="43237DC3" w:rsidP="43237DC3">
            <w:pPr>
              <w:jc w:val="both"/>
              <w:rPr>
                <w:rFonts w:ascii="Arial" w:eastAsia="Arial" w:hAnsi="Arial" w:cs="Arial"/>
                <w:color w:val="000000" w:themeColor="text1"/>
              </w:rPr>
            </w:pPr>
          </w:p>
        </w:tc>
      </w:tr>
    </w:tbl>
    <w:p w14:paraId="3D95057C" w14:textId="022419C2" w:rsidR="005959B2" w:rsidRDefault="38EA6BD2" w:rsidP="43237DC3">
      <w:pPr>
        <w:pStyle w:val="ListParagraph"/>
        <w:numPr>
          <w:ilvl w:val="0"/>
          <w:numId w:val="8"/>
        </w:numPr>
        <w:pBdr>
          <w:top w:val="nil"/>
          <w:left w:val="nil"/>
          <w:bottom w:val="nil"/>
          <w:right w:val="nil"/>
          <w:between w:val="nil"/>
        </w:pBdr>
        <w:ind w:left="567" w:hanging="567"/>
        <w:rPr>
          <w:rFonts w:ascii="Arial" w:eastAsia="Arial" w:hAnsi="Arial" w:cs="Arial"/>
          <w:color w:val="000000" w:themeColor="text1"/>
        </w:rPr>
      </w:pPr>
      <w:r w:rsidRPr="43237DC3">
        <w:rPr>
          <w:rFonts w:ascii="Arial" w:eastAsia="Arial" w:hAnsi="Arial" w:cs="Arial"/>
          <w:b/>
          <w:bCs/>
          <w:color w:val="000000" w:themeColor="text1"/>
          <w:lang w:val="en-GB"/>
        </w:rPr>
        <w:lastRenderedPageBreak/>
        <w:t>Appendixes and/or Annexes</w:t>
      </w:r>
    </w:p>
    <w:p w14:paraId="7D5D3195" w14:textId="4E497986" w:rsidR="005959B2" w:rsidRDefault="005959B2" w:rsidP="43237DC3">
      <w:pPr>
        <w:rPr>
          <w:rFonts w:ascii="Arial" w:eastAsia="Arial" w:hAnsi="Arial" w:cs="Arial"/>
          <w:color w:val="000000" w:themeColor="text1"/>
        </w:rPr>
      </w:pPr>
    </w:p>
    <w:p w14:paraId="2561BEA8" w14:textId="0DC99649" w:rsidR="005959B2" w:rsidRDefault="005959B2" w:rsidP="43237DC3">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5"/>
        <w:gridCol w:w="8235"/>
      </w:tblGrid>
      <w:tr w:rsidR="43237DC3" w14:paraId="5A6306BF" w14:textId="77777777" w:rsidTr="43237DC3">
        <w:trPr>
          <w:trHeight w:val="30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vAlign w:val="center"/>
          </w:tcPr>
          <w:p w14:paraId="7C9B752D" w14:textId="4B82E32B" w:rsidR="43237DC3" w:rsidRDefault="43237DC3" w:rsidP="43237DC3">
            <w:pPr>
              <w:tabs>
                <w:tab w:val="right" w:pos="9072"/>
              </w:tabs>
              <w:jc w:val="center"/>
              <w:rPr>
                <w:rFonts w:ascii="Arial" w:eastAsia="Arial" w:hAnsi="Arial" w:cs="Arial"/>
                <w:color w:val="000000" w:themeColor="text1"/>
              </w:rPr>
            </w:pPr>
            <w:r w:rsidRPr="43237DC3">
              <w:rPr>
                <w:rFonts w:ascii="Arial" w:eastAsia="Arial" w:hAnsi="Arial" w:cs="Arial"/>
                <w:b/>
                <w:bCs/>
                <w:color w:val="000000" w:themeColor="text1"/>
                <w:lang w:val="en-GB"/>
              </w:rPr>
              <w:t>No.</w:t>
            </w:r>
          </w:p>
        </w:tc>
        <w:tc>
          <w:tcPr>
            <w:tcW w:w="8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vAlign w:val="center"/>
          </w:tcPr>
          <w:p w14:paraId="7B90A0EC" w14:textId="19F3095E" w:rsidR="43237DC3" w:rsidRDefault="43237DC3" w:rsidP="43237DC3">
            <w:pPr>
              <w:tabs>
                <w:tab w:val="right" w:pos="9072"/>
              </w:tabs>
              <w:jc w:val="center"/>
              <w:rPr>
                <w:rFonts w:ascii="Arial" w:eastAsia="Arial" w:hAnsi="Arial" w:cs="Arial"/>
                <w:color w:val="000000" w:themeColor="text1"/>
              </w:rPr>
            </w:pPr>
            <w:r w:rsidRPr="43237DC3">
              <w:rPr>
                <w:rFonts w:ascii="Arial" w:eastAsia="Arial" w:hAnsi="Arial" w:cs="Arial"/>
                <w:b/>
                <w:bCs/>
                <w:color w:val="000000" w:themeColor="text1"/>
                <w:lang w:val="en-GB"/>
              </w:rPr>
              <w:t>Document Name</w:t>
            </w:r>
          </w:p>
        </w:tc>
      </w:tr>
      <w:tr w:rsidR="43237DC3" w14:paraId="211B57EE" w14:textId="77777777" w:rsidTr="43237DC3">
        <w:trPr>
          <w:trHeight w:val="30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tcPr>
          <w:p w14:paraId="3B587C3D" w14:textId="30D5CEC7" w:rsidR="43237DC3" w:rsidRDefault="43237DC3" w:rsidP="43237DC3">
            <w:pPr>
              <w:pStyle w:val="ListParagraph"/>
              <w:numPr>
                <w:ilvl w:val="0"/>
                <w:numId w:val="7"/>
              </w:numPr>
              <w:pBdr>
                <w:top w:val="nil"/>
                <w:left w:val="nil"/>
                <w:bottom w:val="nil"/>
                <w:right w:val="nil"/>
                <w:between w:val="nil"/>
              </w:pBdr>
              <w:spacing w:after="120"/>
              <w:ind w:left="0" w:firstLine="0"/>
              <w:rPr>
                <w:rFonts w:ascii="Arial" w:eastAsia="Arial" w:hAnsi="Arial" w:cs="Arial"/>
                <w:color w:val="000000" w:themeColor="text1"/>
              </w:rPr>
            </w:pPr>
          </w:p>
        </w:tc>
        <w:tc>
          <w:tcPr>
            <w:tcW w:w="8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tcPr>
          <w:p w14:paraId="7F1E4C1A" w14:textId="0CC27F1A" w:rsidR="43237DC3" w:rsidRDefault="43237DC3" w:rsidP="43237DC3">
            <w:pPr>
              <w:tabs>
                <w:tab w:val="right" w:pos="9072"/>
              </w:tabs>
              <w:spacing w:after="120"/>
              <w:rPr>
                <w:rFonts w:ascii="Arial" w:eastAsia="Arial" w:hAnsi="Arial" w:cs="Arial"/>
                <w:color w:val="000000" w:themeColor="text1"/>
              </w:rPr>
            </w:pPr>
            <w:r w:rsidRPr="43237DC3">
              <w:rPr>
                <w:rFonts w:ascii="Arial" w:eastAsia="Arial" w:hAnsi="Arial" w:cs="Arial"/>
                <w:color w:val="000000" w:themeColor="text1"/>
                <w:lang w:val="en-GB"/>
              </w:rPr>
              <w:t>Appendix 1: Quit Manager</w:t>
            </w:r>
          </w:p>
        </w:tc>
      </w:tr>
      <w:tr w:rsidR="43237DC3" w14:paraId="56A24C5C" w14:textId="77777777" w:rsidTr="43237DC3">
        <w:trPr>
          <w:trHeight w:val="300"/>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tcPr>
          <w:p w14:paraId="483FA76F" w14:textId="6CBA550A" w:rsidR="43237DC3" w:rsidRDefault="43237DC3" w:rsidP="43237DC3">
            <w:pPr>
              <w:pStyle w:val="ListParagraph"/>
              <w:numPr>
                <w:ilvl w:val="0"/>
                <w:numId w:val="7"/>
              </w:numPr>
              <w:pBdr>
                <w:top w:val="nil"/>
                <w:left w:val="nil"/>
                <w:bottom w:val="nil"/>
                <w:right w:val="nil"/>
                <w:between w:val="nil"/>
              </w:pBdr>
              <w:spacing w:after="120"/>
              <w:ind w:left="0" w:firstLine="0"/>
              <w:rPr>
                <w:rFonts w:ascii="Arial" w:eastAsia="Arial" w:hAnsi="Arial" w:cs="Arial"/>
                <w:color w:val="000000" w:themeColor="text1"/>
              </w:rPr>
            </w:pPr>
          </w:p>
        </w:tc>
        <w:tc>
          <w:tcPr>
            <w:tcW w:w="8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cMar>
              <w:top w:w="15" w:type="dxa"/>
              <w:left w:w="105" w:type="dxa"/>
              <w:bottom w:w="15" w:type="dxa"/>
              <w:right w:w="105" w:type="dxa"/>
            </w:tcMar>
          </w:tcPr>
          <w:p w14:paraId="2D241D5F" w14:textId="4B1ABF37" w:rsidR="43237DC3" w:rsidRDefault="43237DC3" w:rsidP="43237DC3">
            <w:pPr>
              <w:tabs>
                <w:tab w:val="right" w:pos="9072"/>
              </w:tabs>
              <w:spacing w:after="120"/>
              <w:rPr>
                <w:rFonts w:ascii="Arial" w:eastAsia="Arial" w:hAnsi="Arial" w:cs="Arial"/>
                <w:color w:val="000000" w:themeColor="text1"/>
              </w:rPr>
            </w:pPr>
            <w:r w:rsidRPr="43237DC3">
              <w:rPr>
                <w:rFonts w:ascii="Arial" w:eastAsia="Arial" w:hAnsi="Arial" w:cs="Arial"/>
                <w:color w:val="000000" w:themeColor="text1"/>
                <w:lang w:val="en-GB"/>
              </w:rPr>
              <w:t>Appendix 2: Reporting requirement</w:t>
            </w:r>
          </w:p>
        </w:tc>
      </w:tr>
    </w:tbl>
    <w:p w14:paraId="40E4EE54" w14:textId="7A84013A" w:rsidR="005959B2" w:rsidRDefault="005959B2" w:rsidP="43237DC3">
      <w:pPr>
        <w:rPr>
          <w:rFonts w:ascii="Arial" w:eastAsia="Arial" w:hAnsi="Arial" w:cs="Arial"/>
          <w:color w:val="000000" w:themeColor="text1"/>
          <w:sz w:val="22"/>
          <w:szCs w:val="22"/>
        </w:rPr>
      </w:pPr>
    </w:p>
    <w:p w14:paraId="3CE97769" w14:textId="1059D601" w:rsidR="005959B2" w:rsidRDefault="005959B2" w:rsidP="43237DC3">
      <w:pPr>
        <w:rPr>
          <w:rFonts w:ascii="Arial" w:eastAsia="Arial" w:hAnsi="Arial" w:cs="Arial"/>
          <w:color w:val="000000" w:themeColor="text1"/>
          <w:sz w:val="22"/>
          <w:szCs w:val="22"/>
        </w:rPr>
      </w:pPr>
    </w:p>
    <w:p w14:paraId="643F64C6" w14:textId="2A76563E" w:rsidR="005959B2" w:rsidRDefault="38EA6BD2" w:rsidP="43237DC3">
      <w:pP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Appendix 1: Quit Manager</w:t>
      </w:r>
    </w:p>
    <w:p w14:paraId="5AE6FCAC" w14:textId="767DAB3D" w:rsidR="005959B2" w:rsidRDefault="005959B2" w:rsidP="43237DC3">
      <w:pPr>
        <w:rPr>
          <w:rFonts w:ascii="Arial" w:eastAsia="Arial" w:hAnsi="Arial" w:cs="Arial"/>
          <w:color w:val="000000" w:themeColor="text1"/>
          <w:sz w:val="22"/>
          <w:szCs w:val="22"/>
        </w:rPr>
      </w:pPr>
    </w:p>
    <w:p w14:paraId="27CA9D02" w14:textId="6EA28993"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sz w:val="22"/>
          <w:szCs w:val="22"/>
          <w:lang w:val="en-GB"/>
        </w:rPr>
        <w:t xml:space="preserve">Quit </w:t>
      </w:r>
      <w:r w:rsidRPr="43237DC3">
        <w:rPr>
          <w:rFonts w:ascii="Arial" w:eastAsia="Arial" w:hAnsi="Arial" w:cs="Arial"/>
          <w:color w:val="000000" w:themeColor="text1"/>
          <w:lang w:val="en-GB"/>
        </w:rPr>
        <w:t>Manager is a client/ patient management and reporting solution for stop smoking services. The Council has purchased Quit Manager and will give the Service Prover access to the system free of charge.</w:t>
      </w:r>
    </w:p>
    <w:p w14:paraId="518EF005" w14:textId="0217DB12" w:rsidR="005959B2" w:rsidRDefault="005959B2" w:rsidP="43237DC3">
      <w:pPr>
        <w:ind w:left="458"/>
        <w:jc w:val="both"/>
        <w:rPr>
          <w:rFonts w:ascii="Arial" w:eastAsia="Arial" w:hAnsi="Arial" w:cs="Arial"/>
          <w:color w:val="000000" w:themeColor="text1"/>
        </w:rPr>
      </w:pPr>
    </w:p>
    <w:p w14:paraId="341D56A5" w14:textId="681D83DE"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Quit Manager allows the storage of information about a clients stop smoking </w:t>
      </w:r>
      <w:proofErr w:type="gramStart"/>
      <w:r w:rsidRPr="43237DC3">
        <w:rPr>
          <w:rFonts w:ascii="Arial" w:eastAsia="Arial" w:hAnsi="Arial" w:cs="Arial"/>
          <w:color w:val="000000" w:themeColor="text1"/>
          <w:lang w:val="en-GB"/>
        </w:rPr>
        <w:t>support</w:t>
      </w:r>
      <w:proofErr w:type="gramEnd"/>
      <w:r w:rsidRPr="43237DC3">
        <w:rPr>
          <w:rFonts w:ascii="Arial" w:eastAsia="Arial" w:hAnsi="Arial" w:cs="Arial"/>
          <w:color w:val="000000" w:themeColor="text1"/>
          <w:lang w:val="en-GB"/>
        </w:rPr>
        <w:t xml:space="preserve"> and the treatment offered.</w:t>
      </w:r>
    </w:p>
    <w:p w14:paraId="79943763" w14:textId="21D73A76" w:rsidR="005959B2" w:rsidRDefault="005959B2" w:rsidP="43237DC3">
      <w:pPr>
        <w:ind w:left="458"/>
        <w:jc w:val="both"/>
        <w:rPr>
          <w:rFonts w:ascii="Arial" w:eastAsia="Arial" w:hAnsi="Arial" w:cs="Arial"/>
          <w:color w:val="000000" w:themeColor="text1"/>
        </w:rPr>
      </w:pPr>
    </w:p>
    <w:p w14:paraId="33B210FA" w14:textId="10743DF4"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Special categories of data can be collected which includes health data like medical history and smoking history. It also includes information about a </w:t>
      </w:r>
      <w:proofErr w:type="gramStart"/>
      <w:r w:rsidRPr="43237DC3">
        <w:rPr>
          <w:rFonts w:ascii="Arial" w:eastAsia="Arial" w:hAnsi="Arial" w:cs="Arial"/>
          <w:color w:val="000000" w:themeColor="text1"/>
          <w:lang w:val="en-GB"/>
        </w:rPr>
        <w:t>clients</w:t>
      </w:r>
      <w:proofErr w:type="gramEnd"/>
      <w:r w:rsidRPr="43237DC3">
        <w:rPr>
          <w:rFonts w:ascii="Arial" w:eastAsia="Arial" w:hAnsi="Arial" w:cs="Arial"/>
          <w:color w:val="000000" w:themeColor="text1"/>
          <w:lang w:val="en-GB"/>
        </w:rPr>
        <w:t xml:space="preserve"> previous attempts to stop smoking, the current stop smoking plan and any treatment provided. Special categories of data also include ethnicity, gender, age and employment status. </w:t>
      </w:r>
      <w:r w:rsidRPr="43237DC3">
        <w:rPr>
          <w:rFonts w:ascii="Arial" w:eastAsia="Arial" w:hAnsi="Arial" w:cs="Arial"/>
          <w:color w:val="000000" w:themeColor="text1"/>
          <w:lang w:val="en-GB"/>
        </w:rPr>
        <w:lastRenderedPageBreak/>
        <w:t>This helps the Council know which groups are using its services and whether some of them need extra help or support.</w:t>
      </w:r>
    </w:p>
    <w:p w14:paraId="47EBC70E" w14:textId="1649FF28" w:rsidR="005959B2" w:rsidRDefault="005959B2" w:rsidP="43237DC3">
      <w:pPr>
        <w:ind w:left="458"/>
        <w:jc w:val="both"/>
        <w:rPr>
          <w:rFonts w:ascii="Arial" w:eastAsia="Arial" w:hAnsi="Arial" w:cs="Arial"/>
          <w:color w:val="000000" w:themeColor="text1"/>
        </w:rPr>
      </w:pPr>
    </w:p>
    <w:p w14:paraId="7B3CCB4F" w14:textId="042900F2"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Quit Manager is also used as a picking and dispensing platform for treatment offered to clients. We </w:t>
      </w:r>
      <w:proofErr w:type="gramStart"/>
      <w:r w:rsidRPr="43237DC3">
        <w:rPr>
          <w:rFonts w:ascii="Arial" w:eastAsia="Arial" w:hAnsi="Arial" w:cs="Arial"/>
          <w:color w:val="000000" w:themeColor="text1"/>
          <w:lang w:val="en-GB"/>
        </w:rPr>
        <w:t>are able to</w:t>
      </w:r>
      <w:proofErr w:type="gramEnd"/>
      <w:r w:rsidRPr="43237DC3">
        <w:rPr>
          <w:rFonts w:ascii="Arial" w:eastAsia="Arial" w:hAnsi="Arial" w:cs="Arial"/>
          <w:color w:val="000000" w:themeColor="text1"/>
          <w:lang w:val="en-GB"/>
        </w:rPr>
        <w:t xml:space="preserve"> see what products have been requested and posted out to clients.</w:t>
      </w:r>
    </w:p>
    <w:p w14:paraId="44CBF349" w14:textId="1FF40266" w:rsidR="005959B2" w:rsidRDefault="005959B2" w:rsidP="43237DC3">
      <w:pPr>
        <w:ind w:left="458"/>
        <w:jc w:val="both"/>
        <w:rPr>
          <w:rFonts w:ascii="Arial" w:eastAsia="Arial" w:hAnsi="Arial" w:cs="Arial"/>
          <w:color w:val="000000" w:themeColor="text1"/>
        </w:rPr>
      </w:pPr>
    </w:p>
    <w:p w14:paraId="0860D090" w14:textId="4343F6DF"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 xml:space="preserve">The Service Provider will be given access to Quit Manager to record the contact with a referred client, the result of the consultation(s) and the prescription of medication. </w:t>
      </w:r>
    </w:p>
    <w:p w14:paraId="3EACEC5B" w14:textId="0B3EEEA8" w:rsidR="005959B2" w:rsidRDefault="005959B2" w:rsidP="43237DC3">
      <w:pPr>
        <w:ind w:left="458"/>
        <w:jc w:val="both"/>
        <w:rPr>
          <w:rFonts w:ascii="Arial" w:eastAsia="Arial" w:hAnsi="Arial" w:cs="Arial"/>
          <w:color w:val="000000" w:themeColor="text1"/>
        </w:rPr>
      </w:pPr>
    </w:p>
    <w:p w14:paraId="141D60E1" w14:textId="2B8F6501" w:rsidR="005959B2" w:rsidRDefault="38EA6BD2" w:rsidP="43237DC3">
      <w:pPr>
        <w:ind w:left="458"/>
        <w:jc w:val="both"/>
        <w:rPr>
          <w:rFonts w:ascii="Arial" w:eastAsia="Arial" w:hAnsi="Arial" w:cs="Arial"/>
          <w:color w:val="000000" w:themeColor="text1"/>
        </w:rPr>
      </w:pPr>
      <w:r w:rsidRPr="43237DC3">
        <w:rPr>
          <w:rFonts w:ascii="Arial" w:eastAsia="Arial" w:hAnsi="Arial" w:cs="Arial"/>
          <w:color w:val="000000" w:themeColor="text1"/>
          <w:lang w:val="en-GB"/>
        </w:rPr>
        <w:t>The Council shall provide training on Quit Manager to the Service Provider’s staff and provide the associated manuals and documentation for the system’s use for free.</w:t>
      </w:r>
    </w:p>
    <w:p w14:paraId="5F110264" w14:textId="703D40CF" w:rsidR="005959B2" w:rsidRDefault="005959B2" w:rsidP="43237DC3">
      <w:pPr>
        <w:ind w:left="458"/>
        <w:jc w:val="both"/>
        <w:rPr>
          <w:rFonts w:ascii="Arial" w:eastAsia="Arial" w:hAnsi="Arial" w:cs="Arial"/>
          <w:color w:val="000000" w:themeColor="text1"/>
        </w:rPr>
      </w:pPr>
    </w:p>
    <w:p w14:paraId="09FE5F82" w14:textId="7D0DE41A" w:rsidR="005959B2" w:rsidRDefault="38EA6BD2" w:rsidP="43237DC3">
      <w:pP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Appendix 2: Reporting requirement</w:t>
      </w:r>
    </w:p>
    <w:p w14:paraId="3FB03C5B" w14:textId="43521A10" w:rsidR="005959B2" w:rsidRDefault="005959B2" w:rsidP="43237DC3">
      <w:pPr>
        <w:rPr>
          <w:rFonts w:ascii="Arial" w:eastAsia="Arial" w:hAnsi="Arial" w:cs="Arial"/>
          <w:color w:val="000000" w:themeColor="text1"/>
          <w:sz w:val="22"/>
          <w:szCs w:val="22"/>
        </w:rPr>
      </w:pPr>
    </w:p>
    <w:p w14:paraId="3742709A" w14:textId="6B0BEED8"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Service provider report</w:t>
      </w:r>
      <w:r w:rsidRPr="43237DC3">
        <w:rPr>
          <w:rFonts w:ascii="Arial" w:eastAsia="Arial" w:hAnsi="Arial" w:cs="Arial"/>
          <w:color w:val="000000" w:themeColor="text1"/>
          <w:sz w:val="22"/>
          <w:szCs w:val="22"/>
          <w:lang w:val="en-GB"/>
        </w:rPr>
        <w:t> </w:t>
      </w:r>
      <w:r w:rsidRPr="43237DC3">
        <w:rPr>
          <w:rFonts w:ascii="Arial" w:eastAsia="Arial" w:hAnsi="Arial" w:cs="Arial"/>
          <w:b/>
          <w:bCs/>
          <w:color w:val="000000" w:themeColor="text1"/>
          <w:sz w:val="22"/>
          <w:szCs w:val="22"/>
          <w:lang w:val="en-GB"/>
        </w:rPr>
        <w:t>content requirement</w:t>
      </w:r>
    </w:p>
    <w:p w14:paraId="0B9C7173" w14:textId="77ABB539"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3434AF89" w14:textId="5B80A38D"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Service: </w:t>
      </w:r>
    </w:p>
    <w:p w14:paraId="6AB6E630" w14:textId="3A3E582A"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Provider: </w:t>
      </w:r>
    </w:p>
    <w:p w14:paraId="4D4518F9" w14:textId="2451A736"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Monitoring period: </w:t>
      </w:r>
    </w:p>
    <w:p w14:paraId="49974982" w14:textId="4426F775"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Person completing the report: </w:t>
      </w:r>
    </w:p>
    <w:p w14:paraId="6AB741C7" w14:textId="50FD6779"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Provider lead signed off: </w:t>
      </w:r>
    </w:p>
    <w:p w14:paraId="1452F87D" w14:textId="5D1B56A7"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015E0395" w14:textId="13E2C849"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Report</w:t>
      </w:r>
      <w:r w:rsidRPr="43237DC3">
        <w:rPr>
          <w:rFonts w:ascii="Arial" w:eastAsia="Arial" w:hAnsi="Arial" w:cs="Arial"/>
          <w:color w:val="000000" w:themeColor="text1"/>
          <w:sz w:val="22"/>
          <w:szCs w:val="22"/>
          <w:lang w:val="en-GB"/>
        </w:rPr>
        <w:t> </w:t>
      </w:r>
    </w:p>
    <w:p w14:paraId="54DF9DC9" w14:textId="0FDFD055"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09C56328" w14:textId="51C15152"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Overview covering: </w:t>
      </w:r>
    </w:p>
    <w:p w14:paraId="0468D8A4" w14:textId="09AA1ABB"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5"/>
      </w:tblGrid>
      <w:tr w:rsidR="43237DC3" w14:paraId="178ECB24" w14:textId="77777777" w:rsidTr="43237DC3">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FB2AC" w14:textId="3C1B03D4"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Aims and Objectives</w:t>
            </w:r>
            <w:r w:rsidRPr="43237DC3">
              <w:rPr>
                <w:rFonts w:ascii="Arial" w:eastAsia="Arial" w:hAnsi="Arial" w:cs="Arial"/>
                <w:color w:val="000000" w:themeColor="text1"/>
                <w:sz w:val="22"/>
                <w:szCs w:val="22"/>
                <w:lang w:val="en-GB"/>
              </w:rPr>
              <w:t>  </w:t>
            </w:r>
          </w:p>
        </w:tc>
      </w:tr>
      <w:tr w:rsidR="43237DC3" w14:paraId="5CEA2B57" w14:textId="77777777" w:rsidTr="43237DC3">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70D11" w14:textId="2383937C"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Key service highlights and positive achievements</w:t>
            </w:r>
            <w:r w:rsidRPr="43237DC3">
              <w:rPr>
                <w:rFonts w:ascii="Arial" w:eastAsia="Arial" w:hAnsi="Arial" w:cs="Arial"/>
                <w:color w:val="000000" w:themeColor="text1"/>
                <w:sz w:val="22"/>
                <w:szCs w:val="22"/>
                <w:lang w:val="en-GB"/>
              </w:rPr>
              <w:t>  </w:t>
            </w:r>
          </w:p>
          <w:p w14:paraId="3AD56737" w14:textId="56D22F39"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i.e. what has gone well and resulted in positive outcomes for the service, what improvements have been implemented?</w:t>
            </w:r>
            <w:r w:rsidRPr="43237DC3">
              <w:rPr>
                <w:rFonts w:ascii="Arial" w:eastAsia="Arial" w:hAnsi="Arial" w:cs="Arial"/>
                <w:color w:val="000000" w:themeColor="text1"/>
                <w:sz w:val="22"/>
                <w:szCs w:val="22"/>
                <w:lang w:val="en-GB"/>
              </w:rPr>
              <w:t>  </w:t>
            </w:r>
          </w:p>
        </w:tc>
      </w:tr>
      <w:tr w:rsidR="43237DC3" w14:paraId="1B05F6A1" w14:textId="77777777" w:rsidTr="43237DC3">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6CD4A0" w14:textId="2FEA2981"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lastRenderedPageBreak/>
              <w:t>Challenges within service affecting delivery and any mitigation</w:t>
            </w:r>
            <w:r w:rsidRPr="43237DC3">
              <w:rPr>
                <w:rFonts w:ascii="Arial" w:eastAsia="Arial" w:hAnsi="Arial" w:cs="Arial"/>
                <w:color w:val="000000" w:themeColor="text1"/>
                <w:sz w:val="22"/>
                <w:szCs w:val="22"/>
                <w:lang w:val="en-GB"/>
              </w:rPr>
              <w:t>  </w:t>
            </w:r>
          </w:p>
          <w:p w14:paraId="0588F159" w14:textId="61F766EB"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I.e. What is causing challenges within the service?</w:t>
            </w:r>
            <w:r w:rsidRPr="43237DC3">
              <w:rPr>
                <w:rFonts w:ascii="Arial" w:eastAsia="Arial" w:hAnsi="Arial" w:cs="Arial"/>
                <w:color w:val="000000" w:themeColor="text1"/>
                <w:sz w:val="22"/>
                <w:szCs w:val="22"/>
                <w:lang w:val="en-GB"/>
              </w:rPr>
              <w:t>  </w:t>
            </w:r>
          </w:p>
          <w:p w14:paraId="7853A35B" w14:textId="2B3B4E03"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Is this affecting service delivery?</w:t>
            </w:r>
            <w:r w:rsidRPr="43237DC3">
              <w:rPr>
                <w:rFonts w:ascii="Arial" w:eastAsia="Arial" w:hAnsi="Arial" w:cs="Arial"/>
                <w:color w:val="000000" w:themeColor="text1"/>
                <w:sz w:val="22"/>
                <w:szCs w:val="22"/>
                <w:lang w:val="en-GB"/>
              </w:rPr>
              <w:t>  </w:t>
            </w:r>
          </w:p>
          <w:p w14:paraId="561C2BEA" w14:textId="22325DA4"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Are there associated/identified risks around these challenges?</w:t>
            </w:r>
            <w:r w:rsidRPr="43237DC3">
              <w:rPr>
                <w:rFonts w:ascii="Arial" w:eastAsia="Arial" w:hAnsi="Arial" w:cs="Arial"/>
                <w:color w:val="000000" w:themeColor="text1"/>
                <w:sz w:val="22"/>
                <w:szCs w:val="22"/>
                <w:lang w:val="en-GB"/>
              </w:rPr>
              <w:t>  </w:t>
            </w:r>
          </w:p>
          <w:p w14:paraId="32B49528" w14:textId="6072C455"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What has been implemented to mitigate these risks/challenges?</w:t>
            </w:r>
            <w:r w:rsidRPr="43237DC3">
              <w:rPr>
                <w:rFonts w:ascii="Arial" w:eastAsia="Arial" w:hAnsi="Arial" w:cs="Arial"/>
                <w:color w:val="000000" w:themeColor="text1"/>
                <w:sz w:val="22"/>
                <w:szCs w:val="22"/>
                <w:lang w:val="en-GB"/>
              </w:rPr>
              <w:t>  </w:t>
            </w:r>
          </w:p>
          <w:p w14:paraId="7C87BB6C" w14:textId="45F595F7"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i/>
                <w:iCs/>
                <w:color w:val="000000" w:themeColor="text1"/>
                <w:sz w:val="22"/>
                <w:szCs w:val="22"/>
                <w:lang w:val="en-GB"/>
              </w:rPr>
              <w:t>How will this be reviewed and what is the timeline for this?</w:t>
            </w:r>
            <w:r w:rsidRPr="43237DC3">
              <w:rPr>
                <w:rFonts w:ascii="Arial" w:eastAsia="Arial" w:hAnsi="Arial" w:cs="Arial"/>
                <w:color w:val="000000" w:themeColor="text1"/>
                <w:sz w:val="22"/>
                <w:szCs w:val="22"/>
                <w:lang w:val="en-GB"/>
              </w:rPr>
              <w:t>  </w:t>
            </w:r>
          </w:p>
        </w:tc>
      </w:tr>
      <w:tr w:rsidR="43237DC3" w14:paraId="24292AC8" w14:textId="77777777" w:rsidTr="43237DC3">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A407C" w14:textId="6E1681C2"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Key Learning: </w:t>
            </w:r>
            <w:r w:rsidRPr="43237DC3">
              <w:rPr>
                <w:rFonts w:ascii="Arial" w:eastAsia="Arial" w:hAnsi="Arial" w:cs="Arial"/>
                <w:color w:val="000000" w:themeColor="text1"/>
                <w:sz w:val="22"/>
                <w:szCs w:val="22"/>
                <w:lang w:val="en-GB"/>
              </w:rPr>
              <w:t>  </w:t>
            </w:r>
          </w:p>
          <w:p w14:paraId="5C405456" w14:textId="46E83D7E"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Effectively highlight and record key learning points and incorporate them into improvement strategies during the project cycle and for future endeavours.   </w:t>
            </w:r>
          </w:p>
        </w:tc>
      </w:tr>
      <w:tr w:rsidR="43237DC3" w14:paraId="33A4BF19" w14:textId="77777777" w:rsidTr="43237DC3">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2BA96" w14:textId="416B370D"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Focus for the next quarter:</w:t>
            </w:r>
            <w:r w:rsidRPr="43237DC3">
              <w:rPr>
                <w:rFonts w:ascii="Arial" w:eastAsia="Arial" w:hAnsi="Arial" w:cs="Arial"/>
                <w:color w:val="000000" w:themeColor="text1"/>
                <w:sz w:val="22"/>
                <w:szCs w:val="22"/>
                <w:lang w:val="en-GB"/>
              </w:rPr>
              <w:t> </w:t>
            </w:r>
          </w:p>
          <w:p w14:paraId="57517FEA" w14:textId="037BD161" w:rsidR="43237DC3" w:rsidRDefault="43237DC3"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What are the key focus areas for the next quarter? </w:t>
            </w:r>
          </w:p>
        </w:tc>
      </w:tr>
    </w:tbl>
    <w:p w14:paraId="26BD1BB9" w14:textId="4F44B802" w:rsidR="005959B2" w:rsidRDefault="38EA6BD2" w:rsidP="43237DC3">
      <w:pPr>
        <w:pBdr>
          <w:top w:val="nil"/>
          <w:left w:val="nil"/>
          <w:bottom w:val="nil"/>
          <w:right w:val="nil"/>
          <w:between w:val="nil"/>
        </w:pBdr>
        <w:ind w:left="1080"/>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7966AB77" w14:textId="5C88BDC2" w:rsidR="005959B2" w:rsidRDefault="38EA6BD2" w:rsidP="43237DC3">
      <w:pPr>
        <w:pBdr>
          <w:top w:val="nil"/>
          <w:left w:val="nil"/>
          <w:bottom w:val="nil"/>
          <w:right w:val="nil"/>
          <w:between w:val="nil"/>
        </w:pBd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Progress against mobilisation/delivery/service development plan (operational report):</w:t>
      </w:r>
      <w:r w:rsidRPr="43237DC3">
        <w:rPr>
          <w:rFonts w:ascii="Arial" w:eastAsia="Arial" w:hAnsi="Arial" w:cs="Arial"/>
          <w:color w:val="000000" w:themeColor="text1"/>
          <w:sz w:val="22"/>
          <w:szCs w:val="22"/>
          <w:lang w:val="en-GB"/>
        </w:rPr>
        <w:t> </w:t>
      </w:r>
    </w:p>
    <w:p w14:paraId="27496FA6" w14:textId="2B9B12E8"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Actions set against timeline and progress against the actions </w:t>
      </w:r>
    </w:p>
    <w:p w14:paraId="0CA56821" w14:textId="4F62D575"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0AC8AE51" w14:textId="7D56CF75" w:rsidR="005959B2" w:rsidRDefault="38EA6BD2" w:rsidP="43237DC3">
      <w:pPr>
        <w:pBdr>
          <w:top w:val="nil"/>
          <w:left w:val="nil"/>
          <w:bottom w:val="nil"/>
          <w:right w:val="nil"/>
          <w:between w:val="nil"/>
        </w:pBd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Coms and marketing:</w:t>
      </w:r>
      <w:r w:rsidRPr="43237DC3">
        <w:rPr>
          <w:rFonts w:ascii="Arial" w:eastAsia="Arial" w:hAnsi="Arial" w:cs="Arial"/>
          <w:color w:val="000000" w:themeColor="text1"/>
          <w:sz w:val="22"/>
          <w:szCs w:val="22"/>
          <w:lang w:val="en-GB"/>
        </w:rPr>
        <w:t> </w:t>
      </w:r>
    </w:p>
    <w:p w14:paraId="3912E66E" w14:textId="108EA21A"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Show coms and marketing plan and provide a short narrative on progress, any areas of additional management and any implications the Council needs to be aware of. </w:t>
      </w:r>
    </w:p>
    <w:p w14:paraId="4446882D" w14:textId="3CA4608A"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6C247B63" w14:textId="6B6CABB1" w:rsidR="005959B2" w:rsidRDefault="38EA6BD2" w:rsidP="43237DC3">
      <w:pPr>
        <w:pBdr>
          <w:top w:val="nil"/>
          <w:left w:val="nil"/>
          <w:bottom w:val="nil"/>
          <w:right w:val="nil"/>
          <w:between w:val="nil"/>
        </w:pBd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Finance:</w:t>
      </w:r>
      <w:r w:rsidRPr="43237DC3">
        <w:rPr>
          <w:rFonts w:ascii="Arial" w:eastAsia="Arial" w:hAnsi="Arial" w:cs="Arial"/>
          <w:color w:val="000000" w:themeColor="text1"/>
          <w:sz w:val="22"/>
          <w:szCs w:val="22"/>
          <w:lang w:val="en-GB"/>
        </w:rPr>
        <w:t> </w:t>
      </w:r>
    </w:p>
    <w:p w14:paraId="7B4628A7" w14:textId="7DBB1CCC"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Report on spend to date against profiled and total spend from agreement. </w:t>
      </w:r>
    </w:p>
    <w:p w14:paraId="281D2309" w14:textId="7FBAD97D"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Short narrative, any areas of additional management and any implications the Council needs to be aware of.  </w:t>
      </w:r>
    </w:p>
    <w:p w14:paraId="51DE7A33" w14:textId="5224A041"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01AE7545" w14:textId="03CED6B9" w:rsidR="005959B2" w:rsidRDefault="38EA6BD2" w:rsidP="43237DC3">
      <w:pPr>
        <w:pBdr>
          <w:top w:val="nil"/>
          <w:left w:val="nil"/>
          <w:bottom w:val="nil"/>
          <w:right w:val="nil"/>
          <w:between w:val="nil"/>
        </w:pBd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Data:</w:t>
      </w:r>
      <w:r w:rsidRPr="43237DC3">
        <w:rPr>
          <w:rFonts w:ascii="Arial" w:eastAsia="Arial" w:hAnsi="Arial" w:cs="Arial"/>
          <w:color w:val="000000" w:themeColor="text1"/>
          <w:sz w:val="22"/>
          <w:szCs w:val="22"/>
          <w:lang w:val="en-GB"/>
        </w:rPr>
        <w:t> </w:t>
      </w:r>
    </w:p>
    <w:p w14:paraId="1FA8B620" w14:textId="02C61054"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0AF0EFF5" w14:textId="50E015AE" w:rsidR="005959B2" w:rsidRDefault="38EA6BD2" w:rsidP="43237DC3">
      <w:pPr>
        <w:pBdr>
          <w:top w:val="nil"/>
          <w:left w:val="nil"/>
          <w:bottom w:val="nil"/>
          <w:right w:val="nil"/>
          <w:between w:val="nil"/>
        </w:pBd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Quantitative data</w:t>
      </w:r>
      <w:r w:rsidRPr="43237DC3">
        <w:rPr>
          <w:rFonts w:ascii="Arial" w:eastAsia="Arial" w:hAnsi="Arial" w:cs="Arial"/>
          <w:color w:val="000000" w:themeColor="text1"/>
          <w:sz w:val="22"/>
          <w:szCs w:val="22"/>
          <w:lang w:val="en-GB"/>
        </w:rPr>
        <w:t> </w:t>
      </w:r>
    </w:p>
    <w:p w14:paraId="0AA4923D" w14:textId="666A0791"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Progress against KPI’s set out in the agreement or otherwise agreed with the Council.</w:t>
      </w:r>
      <w:r w:rsidRPr="43237DC3">
        <w:rPr>
          <w:rFonts w:ascii="Times New Roman" w:eastAsia="Times New Roman" w:hAnsi="Times New Roman" w:cs="Times New Roman"/>
          <w:color w:val="000000" w:themeColor="text1"/>
          <w:lang w:val="en-GB"/>
        </w:rPr>
        <w:t> </w:t>
      </w:r>
    </w:p>
    <w:p w14:paraId="47EA9390" w14:textId="125AFF3B"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Other quantitative data about the activity</w:t>
      </w:r>
      <w:r w:rsidRPr="43237DC3">
        <w:rPr>
          <w:rFonts w:ascii="Times New Roman" w:eastAsia="Times New Roman" w:hAnsi="Times New Roman" w:cs="Times New Roman"/>
          <w:color w:val="000000" w:themeColor="text1"/>
          <w:lang w:val="en-GB"/>
        </w:rPr>
        <w:t> </w:t>
      </w:r>
    </w:p>
    <w:p w14:paraId="171BDEAB" w14:textId="3D0FCDF2"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Short narrative, any areas of additional management and any implications the Council needs to be aware of. </w:t>
      </w:r>
    </w:p>
    <w:p w14:paraId="2344E773" w14:textId="62E18781"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Qualitative data</w:t>
      </w:r>
      <w:r w:rsidRPr="43237DC3">
        <w:rPr>
          <w:rFonts w:ascii="Arial" w:eastAsia="Arial" w:hAnsi="Arial" w:cs="Arial"/>
          <w:color w:val="000000" w:themeColor="text1"/>
          <w:sz w:val="22"/>
          <w:szCs w:val="22"/>
          <w:lang w:val="en-GB"/>
        </w:rPr>
        <w:t> </w:t>
      </w:r>
    </w:p>
    <w:p w14:paraId="0C47C165" w14:textId="7763545C"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Customer feedback</w:t>
      </w:r>
      <w:r w:rsidRPr="43237DC3">
        <w:rPr>
          <w:rFonts w:ascii="Times New Roman" w:eastAsia="Times New Roman" w:hAnsi="Times New Roman" w:cs="Times New Roman"/>
          <w:color w:val="000000" w:themeColor="text1"/>
          <w:lang w:val="en-GB"/>
        </w:rPr>
        <w:t> </w:t>
      </w:r>
    </w:p>
    <w:p w14:paraId="5A034296" w14:textId="68950AFC"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Customer survey results</w:t>
      </w:r>
      <w:r w:rsidRPr="43237DC3">
        <w:rPr>
          <w:rFonts w:ascii="Times New Roman" w:eastAsia="Times New Roman" w:hAnsi="Times New Roman" w:cs="Times New Roman"/>
          <w:color w:val="000000" w:themeColor="text1"/>
          <w:lang w:val="en-GB"/>
        </w:rPr>
        <w:t> </w:t>
      </w:r>
    </w:p>
    <w:p w14:paraId="3B2DA2D2" w14:textId="22CF2170"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Case studies</w:t>
      </w:r>
      <w:r w:rsidRPr="43237DC3">
        <w:rPr>
          <w:rFonts w:ascii="Times New Roman" w:eastAsia="Times New Roman" w:hAnsi="Times New Roman" w:cs="Times New Roman"/>
          <w:color w:val="000000" w:themeColor="text1"/>
          <w:lang w:val="en-GB"/>
        </w:rPr>
        <w:t> </w:t>
      </w:r>
    </w:p>
    <w:p w14:paraId="7D604FB7" w14:textId="239F8FCC"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lastRenderedPageBreak/>
        <w:t>Other engagement</w:t>
      </w:r>
      <w:r w:rsidRPr="43237DC3">
        <w:rPr>
          <w:rFonts w:ascii="Times New Roman" w:eastAsia="Times New Roman" w:hAnsi="Times New Roman" w:cs="Times New Roman"/>
          <w:color w:val="000000" w:themeColor="text1"/>
          <w:lang w:val="en-GB"/>
        </w:rPr>
        <w:t> </w:t>
      </w:r>
    </w:p>
    <w:p w14:paraId="0CE33678" w14:textId="51D16F21" w:rsidR="005959B2" w:rsidRDefault="38EA6BD2" w:rsidP="43237DC3">
      <w:pPr>
        <w:pStyle w:val="ListParagraph"/>
        <w:numPr>
          <w:ilvl w:val="0"/>
          <w:numId w:val="6"/>
        </w:numPr>
        <w:pBdr>
          <w:top w:val="nil"/>
          <w:left w:val="nil"/>
          <w:bottom w:val="nil"/>
          <w:right w:val="nil"/>
          <w:between w:val="nil"/>
        </w:pBdr>
        <w:ind w:left="1080" w:hanging="654"/>
        <w:rPr>
          <w:rFonts w:ascii="Times New Roman" w:eastAsia="Times New Roman" w:hAnsi="Times New Roman" w:cs="Times New Roman"/>
          <w:color w:val="000000" w:themeColor="text1"/>
        </w:rPr>
      </w:pPr>
      <w:r w:rsidRPr="43237DC3">
        <w:rPr>
          <w:rFonts w:ascii="Arial" w:eastAsia="Arial" w:hAnsi="Arial" w:cs="Arial"/>
          <w:color w:val="000000" w:themeColor="text1"/>
          <w:sz w:val="22"/>
          <w:szCs w:val="22"/>
          <w:lang w:val="en-GB"/>
        </w:rPr>
        <w:t>Complaints/Compliments</w:t>
      </w:r>
      <w:r w:rsidRPr="43237DC3">
        <w:rPr>
          <w:rFonts w:ascii="Times New Roman" w:eastAsia="Times New Roman" w:hAnsi="Times New Roman" w:cs="Times New Roman"/>
          <w:color w:val="000000" w:themeColor="text1"/>
          <w:lang w:val="en-GB"/>
        </w:rPr>
        <w:t> </w:t>
      </w:r>
    </w:p>
    <w:p w14:paraId="2D3B40D9" w14:textId="15256CBD" w:rsidR="005959B2" w:rsidRDefault="38EA6BD2" w:rsidP="43237DC3">
      <w:pPr>
        <w:pStyle w:val="ListParagraph"/>
        <w:numPr>
          <w:ilvl w:val="0"/>
          <w:numId w:val="6"/>
        </w:numPr>
        <w:pBdr>
          <w:top w:val="nil"/>
          <w:left w:val="nil"/>
          <w:bottom w:val="nil"/>
          <w:right w:val="nil"/>
          <w:between w:val="nil"/>
        </w:pBdr>
        <w:ind w:left="1080" w:hanging="65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Short narrative, any areas of additional management and any implications the Council needs to be aware of.  </w:t>
      </w:r>
    </w:p>
    <w:p w14:paraId="1FA00181" w14:textId="49EB3762"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26B1B0E1" w14:textId="2EACDB84"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Impact/outcome</w:t>
      </w:r>
      <w:r w:rsidRPr="43237DC3">
        <w:rPr>
          <w:rFonts w:ascii="Arial" w:eastAsia="Arial" w:hAnsi="Arial" w:cs="Arial"/>
          <w:color w:val="000000" w:themeColor="text1"/>
          <w:sz w:val="22"/>
          <w:szCs w:val="22"/>
          <w:lang w:val="en-GB"/>
        </w:rPr>
        <w:t> </w:t>
      </w:r>
    </w:p>
    <w:p w14:paraId="7482545B" w14:textId="2D3A7FE8"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 </w:t>
      </w:r>
    </w:p>
    <w:p w14:paraId="6C2D5D63" w14:textId="742A54DB"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Other operational information (workbook information as set out in the contract)</w:t>
      </w:r>
      <w:r w:rsidRPr="43237DC3">
        <w:rPr>
          <w:rFonts w:ascii="Arial" w:eastAsia="Arial" w:hAnsi="Arial" w:cs="Arial"/>
          <w:color w:val="000000" w:themeColor="text1"/>
          <w:sz w:val="22"/>
          <w:szCs w:val="22"/>
          <w:lang w:val="en-GB"/>
        </w:rPr>
        <w:t> </w:t>
      </w:r>
    </w:p>
    <w:p w14:paraId="7A473D8B" w14:textId="364B57B6" w:rsidR="005959B2" w:rsidRDefault="38EA6BD2" w:rsidP="43237DC3">
      <w:pPr>
        <w:pBdr>
          <w:top w:val="nil"/>
          <w:left w:val="nil"/>
          <w:bottom w:val="nil"/>
          <w:right w:val="nil"/>
          <w:between w:val="nil"/>
        </w:pBd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Provide details of any, </w:t>
      </w:r>
    </w:p>
    <w:p w14:paraId="54915E52" w14:textId="507400EC" w:rsidR="005959B2" w:rsidRDefault="38EA6BD2" w:rsidP="43237DC3">
      <w:pPr>
        <w:pStyle w:val="ListParagraph"/>
        <w:numPr>
          <w:ilvl w:val="0"/>
          <w:numId w:val="5"/>
        </w:numPr>
        <w:pBdr>
          <w:top w:val="nil"/>
          <w:left w:val="nil"/>
          <w:bottom w:val="nil"/>
          <w:right w:val="nil"/>
          <w:between w:val="nil"/>
        </w:pBdr>
        <w:ind w:left="1140" w:firstLine="285"/>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Incidents  </w:t>
      </w:r>
    </w:p>
    <w:p w14:paraId="6EE049C1" w14:textId="5E933C49" w:rsidR="005959B2" w:rsidRDefault="38EA6BD2" w:rsidP="43237DC3">
      <w:pPr>
        <w:pStyle w:val="ListParagraph"/>
        <w:numPr>
          <w:ilvl w:val="0"/>
          <w:numId w:val="4"/>
        </w:numPr>
        <w:pBdr>
          <w:top w:val="nil"/>
          <w:left w:val="nil"/>
          <w:bottom w:val="nil"/>
          <w:right w:val="nil"/>
          <w:between w:val="nil"/>
        </w:pBdr>
        <w:ind w:left="1140" w:firstLine="285"/>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Policies and procedures where explicitly referenced, i.e. insurance  </w:t>
      </w:r>
    </w:p>
    <w:p w14:paraId="7D0368D4" w14:textId="1C291A72" w:rsidR="005959B2" w:rsidRDefault="38EA6BD2" w:rsidP="43237DC3">
      <w:pPr>
        <w:pStyle w:val="ListParagraph"/>
        <w:numPr>
          <w:ilvl w:val="0"/>
          <w:numId w:val="3"/>
        </w:numPr>
        <w:pBdr>
          <w:top w:val="nil"/>
          <w:left w:val="nil"/>
          <w:bottom w:val="nil"/>
          <w:right w:val="nil"/>
          <w:between w:val="nil"/>
        </w:pBdr>
        <w:ind w:left="1140" w:firstLine="285"/>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Risk register  </w:t>
      </w:r>
    </w:p>
    <w:p w14:paraId="0029CDCF" w14:textId="3DA23C02" w:rsidR="005959B2" w:rsidRDefault="38EA6BD2" w:rsidP="43237DC3">
      <w:pPr>
        <w:pStyle w:val="ListParagraph"/>
        <w:numPr>
          <w:ilvl w:val="0"/>
          <w:numId w:val="2"/>
        </w:numPr>
        <w:pBdr>
          <w:top w:val="nil"/>
          <w:left w:val="nil"/>
          <w:bottom w:val="nil"/>
          <w:right w:val="nil"/>
          <w:between w:val="nil"/>
        </w:pBdr>
        <w:ind w:left="1140" w:firstLine="285"/>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Safeguarding etc. </w:t>
      </w:r>
    </w:p>
    <w:p w14:paraId="56F4CC58" w14:textId="515C1974" w:rsidR="005959B2" w:rsidRDefault="005959B2" w:rsidP="43237DC3">
      <w:pPr>
        <w:rPr>
          <w:rFonts w:ascii="Arial" w:eastAsia="Arial" w:hAnsi="Arial" w:cs="Arial"/>
          <w:color w:val="000000" w:themeColor="text1"/>
          <w:sz w:val="22"/>
          <w:szCs w:val="22"/>
        </w:rPr>
      </w:pPr>
    </w:p>
    <w:p w14:paraId="50F6062D" w14:textId="1916F748" w:rsidR="005959B2" w:rsidRDefault="38EA6BD2" w:rsidP="43237DC3">
      <w:pPr>
        <w:ind w:left="284"/>
        <w:rPr>
          <w:rFonts w:ascii="Arial" w:eastAsia="Arial" w:hAnsi="Arial" w:cs="Arial"/>
          <w:color w:val="000000" w:themeColor="text1"/>
          <w:sz w:val="22"/>
          <w:szCs w:val="22"/>
        </w:rPr>
      </w:pPr>
      <w:r w:rsidRPr="43237DC3">
        <w:rPr>
          <w:rFonts w:ascii="Arial" w:eastAsia="Arial" w:hAnsi="Arial" w:cs="Arial"/>
          <w:b/>
          <w:bCs/>
          <w:color w:val="000000" w:themeColor="text1"/>
          <w:sz w:val="22"/>
          <w:szCs w:val="22"/>
          <w:lang w:val="en-GB"/>
        </w:rPr>
        <w:t>Quality and assurance report</w:t>
      </w:r>
    </w:p>
    <w:p w14:paraId="0CDAA822" w14:textId="1278F76C" w:rsidR="005959B2" w:rsidRDefault="005959B2" w:rsidP="43237DC3">
      <w:pPr>
        <w:rPr>
          <w:rFonts w:ascii="Arial" w:eastAsia="Arial" w:hAnsi="Arial" w:cs="Arial"/>
          <w:color w:val="000000" w:themeColor="text1"/>
          <w:sz w:val="22"/>
          <w:szCs w:val="22"/>
        </w:rPr>
      </w:pPr>
    </w:p>
    <w:p w14:paraId="4C95F4D2" w14:textId="3D5A405E" w:rsidR="005959B2" w:rsidRDefault="38EA6BD2" w:rsidP="43237DC3">
      <w:pPr>
        <w:ind w:left="284"/>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The Service Provider shall provide quality and assurance data each quarter in a format set out by the Council covering, but not be limited to,</w:t>
      </w:r>
    </w:p>
    <w:p w14:paraId="07F01CB4" w14:textId="74085117" w:rsidR="005959B2" w:rsidRDefault="38EA6BD2" w:rsidP="43237DC3">
      <w:pPr>
        <w:pStyle w:val="ListParagraph"/>
        <w:numPr>
          <w:ilvl w:val="0"/>
          <w:numId w:val="1"/>
        </w:numP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Insurance</w:t>
      </w:r>
    </w:p>
    <w:p w14:paraId="1DB58A03" w14:textId="68A70196" w:rsidR="005959B2" w:rsidRDefault="38EA6BD2" w:rsidP="43237DC3">
      <w:pPr>
        <w:pStyle w:val="ListParagraph"/>
        <w:numPr>
          <w:ilvl w:val="0"/>
          <w:numId w:val="1"/>
        </w:numP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Business continuity</w:t>
      </w:r>
    </w:p>
    <w:p w14:paraId="2BD095C4" w14:textId="7538EA19" w:rsidR="005959B2" w:rsidRDefault="38EA6BD2" w:rsidP="43237DC3">
      <w:pPr>
        <w:pStyle w:val="ListParagraph"/>
        <w:numPr>
          <w:ilvl w:val="0"/>
          <w:numId w:val="1"/>
        </w:numP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Staffing and staff training</w:t>
      </w:r>
    </w:p>
    <w:p w14:paraId="6ABA258D" w14:textId="705122A1" w:rsidR="005959B2" w:rsidRDefault="38EA6BD2" w:rsidP="43237DC3">
      <w:pPr>
        <w:pStyle w:val="ListParagraph"/>
        <w:numPr>
          <w:ilvl w:val="0"/>
          <w:numId w:val="1"/>
        </w:numP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Safeguarding, whistleblowing, complaints, incidents, accidents, information governance data, associated management and actions.</w:t>
      </w:r>
    </w:p>
    <w:p w14:paraId="2CD21E2B" w14:textId="76F0AE6A" w:rsidR="005959B2" w:rsidRDefault="38EA6BD2" w:rsidP="43237DC3">
      <w:pPr>
        <w:pStyle w:val="ListParagraph"/>
        <w:numPr>
          <w:ilvl w:val="0"/>
          <w:numId w:val="1"/>
        </w:numPr>
        <w:rPr>
          <w:rFonts w:ascii="Arial" w:eastAsia="Arial" w:hAnsi="Arial" w:cs="Arial"/>
          <w:color w:val="000000" w:themeColor="text1"/>
          <w:sz w:val="22"/>
          <w:szCs w:val="22"/>
        </w:rPr>
      </w:pPr>
      <w:r w:rsidRPr="43237DC3">
        <w:rPr>
          <w:rFonts w:ascii="Arial" w:eastAsia="Arial" w:hAnsi="Arial" w:cs="Arial"/>
          <w:color w:val="000000" w:themeColor="text1"/>
          <w:sz w:val="22"/>
          <w:szCs w:val="22"/>
          <w:lang w:val="en-GB"/>
        </w:rPr>
        <w:t>Policies and procedures of the Service Provider relevant to the Service provision.</w:t>
      </w:r>
    </w:p>
    <w:p w14:paraId="726CA36E" w14:textId="24783E8F" w:rsidR="005959B2" w:rsidRDefault="005959B2" w:rsidP="43237DC3">
      <w:pPr>
        <w:rPr>
          <w:rFonts w:ascii="Arial" w:eastAsia="Arial" w:hAnsi="Arial" w:cs="Arial"/>
          <w:color w:val="000000" w:themeColor="text1"/>
          <w:sz w:val="22"/>
          <w:szCs w:val="22"/>
        </w:rPr>
      </w:pPr>
    </w:p>
    <w:p w14:paraId="48577478" w14:textId="1767DE6D" w:rsidR="005959B2" w:rsidRDefault="005959B2" w:rsidP="43237DC3">
      <w:pPr>
        <w:pBdr>
          <w:top w:val="nil"/>
          <w:left w:val="nil"/>
          <w:bottom w:val="nil"/>
          <w:right w:val="nil"/>
          <w:between w:val="nil"/>
        </w:pBdr>
        <w:ind w:hanging="363"/>
        <w:rPr>
          <w:rFonts w:ascii="Arial" w:eastAsia="Arial" w:hAnsi="Arial" w:cs="Arial"/>
          <w:color w:val="000000" w:themeColor="text1"/>
        </w:rPr>
      </w:pPr>
    </w:p>
    <w:p w14:paraId="11721693" w14:textId="394AABD3" w:rsidR="005959B2" w:rsidRDefault="38EA6BD2" w:rsidP="43237DC3">
      <w:pPr>
        <w:rPr>
          <w:rFonts w:ascii="Arial" w:eastAsia="Arial" w:hAnsi="Arial" w:cs="Arial"/>
          <w:color w:val="000000" w:themeColor="text1"/>
        </w:rPr>
      </w:pPr>
      <w:r w:rsidRPr="43237DC3">
        <w:rPr>
          <w:rFonts w:ascii="Arial" w:eastAsia="Arial" w:hAnsi="Arial" w:cs="Arial"/>
          <w:b/>
          <w:bCs/>
          <w:color w:val="000000" w:themeColor="text1"/>
          <w:lang w:val="en-GB"/>
        </w:rPr>
        <w:t>Data Management / General Data Protection Regulation (GDPR)</w:t>
      </w:r>
    </w:p>
    <w:p w14:paraId="1373E331" w14:textId="25D00852" w:rsidR="005959B2" w:rsidRDefault="005959B2" w:rsidP="43237DC3">
      <w:pPr>
        <w:rPr>
          <w:rFonts w:ascii="Arial" w:eastAsia="Arial" w:hAnsi="Arial" w:cs="Arial"/>
          <w:color w:val="000000" w:themeColor="text1"/>
        </w:rPr>
      </w:pPr>
    </w:p>
    <w:p w14:paraId="711B84A7" w14:textId="437E14B1" w:rsidR="005959B2" w:rsidRDefault="38EA6BD2" w:rsidP="43237DC3">
      <w:pPr>
        <w:ind w:left="426"/>
        <w:jc w:val="both"/>
        <w:rPr>
          <w:rFonts w:ascii="Arial" w:eastAsia="Arial" w:hAnsi="Arial" w:cs="Arial"/>
          <w:color w:val="000000" w:themeColor="text1"/>
        </w:rPr>
      </w:pPr>
      <w:r w:rsidRPr="43237DC3">
        <w:rPr>
          <w:rFonts w:ascii="Arial" w:eastAsia="Arial" w:hAnsi="Arial" w:cs="Arial"/>
          <w:color w:val="000000" w:themeColor="text1"/>
          <w:lang w:val="en-GB"/>
        </w:rPr>
        <w:t xml:space="preserve">The Authority takes the processing of data seriously and applies security and privacy policies and procedures to ensure that all personal data within, or passing through the Authority, will be handled in accordance with the provisions of the appropriate UK GDPR, the Data Protection Act 2018, or any other legislation, regulation or other statutory </w:t>
      </w:r>
      <w:proofErr w:type="gramStart"/>
      <w:r w:rsidRPr="43237DC3">
        <w:rPr>
          <w:rFonts w:ascii="Arial" w:eastAsia="Arial" w:hAnsi="Arial" w:cs="Arial"/>
          <w:color w:val="000000" w:themeColor="text1"/>
          <w:lang w:val="en-GB"/>
        </w:rPr>
        <w:t>instrument  (</w:t>
      </w:r>
      <w:proofErr w:type="gramEnd"/>
      <w:r w:rsidRPr="43237DC3">
        <w:rPr>
          <w:rFonts w:ascii="Arial" w:eastAsia="Arial" w:hAnsi="Arial" w:cs="Arial"/>
          <w:color w:val="000000" w:themeColor="text1"/>
          <w:lang w:val="en-GB"/>
        </w:rPr>
        <w:t>the Data Protection Legislation).</w:t>
      </w:r>
    </w:p>
    <w:p w14:paraId="119E166C" w14:textId="156DF620" w:rsidR="005959B2" w:rsidRDefault="005959B2" w:rsidP="43237DC3">
      <w:pPr>
        <w:ind w:left="426"/>
        <w:jc w:val="both"/>
        <w:rPr>
          <w:rFonts w:ascii="Arial" w:eastAsia="Arial" w:hAnsi="Arial" w:cs="Arial"/>
          <w:color w:val="000000" w:themeColor="text1"/>
        </w:rPr>
      </w:pPr>
    </w:p>
    <w:p w14:paraId="7C138B6E" w14:textId="29F7F7E6" w:rsidR="005959B2" w:rsidRDefault="38EA6BD2" w:rsidP="43237DC3">
      <w:pPr>
        <w:ind w:left="426"/>
        <w:jc w:val="both"/>
        <w:rPr>
          <w:rFonts w:ascii="Arial" w:eastAsia="Arial" w:hAnsi="Arial" w:cs="Arial"/>
          <w:color w:val="000000" w:themeColor="text1"/>
        </w:rPr>
      </w:pPr>
      <w:r w:rsidRPr="43237DC3">
        <w:rPr>
          <w:rFonts w:ascii="Arial" w:eastAsia="Arial" w:hAnsi="Arial" w:cs="Arial"/>
          <w:color w:val="000000" w:themeColor="text1"/>
          <w:lang w:val="en-GB"/>
        </w:rPr>
        <w:t xml:space="preserve">Any Bidder who wishes to </w:t>
      </w:r>
      <w:proofErr w:type="gramStart"/>
      <w:r w:rsidRPr="43237DC3">
        <w:rPr>
          <w:rFonts w:ascii="Arial" w:eastAsia="Arial" w:hAnsi="Arial" w:cs="Arial"/>
          <w:color w:val="000000" w:themeColor="text1"/>
          <w:lang w:val="en-GB"/>
        </w:rPr>
        <w:t>enter into</w:t>
      </w:r>
      <w:proofErr w:type="gramEnd"/>
      <w:r w:rsidRPr="43237DC3">
        <w:rPr>
          <w:rFonts w:ascii="Arial" w:eastAsia="Arial" w:hAnsi="Arial" w:cs="Arial"/>
          <w:color w:val="000000" w:themeColor="text1"/>
          <w:lang w:val="en-GB"/>
        </w:rPr>
        <w:t xml:space="preserve"> a contract for the provision of goods, works or services with the Authority in which the processing of personal data is involved, must be able to demonstrate that they are fully compliant with the provisions of the Data Protection Legislation.</w:t>
      </w:r>
    </w:p>
    <w:p w14:paraId="412F9F6F" w14:textId="7008098C" w:rsidR="005959B2" w:rsidRDefault="005959B2" w:rsidP="43237DC3">
      <w:pPr>
        <w:ind w:left="426"/>
        <w:jc w:val="both"/>
        <w:rPr>
          <w:rFonts w:ascii="Arial" w:eastAsia="Arial" w:hAnsi="Arial" w:cs="Arial"/>
          <w:color w:val="000000" w:themeColor="text1"/>
        </w:rPr>
      </w:pPr>
    </w:p>
    <w:p w14:paraId="4E9EEA63" w14:textId="673EFBB2" w:rsidR="005959B2" w:rsidRDefault="38EA6BD2" w:rsidP="43237DC3">
      <w:pPr>
        <w:ind w:left="426"/>
        <w:jc w:val="both"/>
        <w:rPr>
          <w:rFonts w:ascii="Arial" w:eastAsia="Arial" w:hAnsi="Arial" w:cs="Arial"/>
          <w:color w:val="000000" w:themeColor="text1"/>
        </w:rPr>
      </w:pPr>
      <w:r w:rsidRPr="43237DC3">
        <w:rPr>
          <w:rFonts w:ascii="Arial" w:eastAsia="Arial" w:hAnsi="Arial" w:cs="Arial"/>
          <w:color w:val="000000" w:themeColor="text1"/>
          <w:lang w:val="en-GB"/>
        </w:rPr>
        <w:t>Any Bidder required to comply with the provisions of the Data Protection Legislation may incur costs in doing so, especially where new systems or processes are required to be adopted. Bidders are reminded these costs are attributable to conducting business in the EU, and not supplying the UK public sector, and all Bidders are accordingly required to manage their own costs in relation to compliance.</w:t>
      </w:r>
    </w:p>
    <w:p w14:paraId="7A4B1D85" w14:textId="33D7B28D" w:rsidR="005959B2" w:rsidRDefault="005959B2" w:rsidP="43237DC3">
      <w:pPr>
        <w:ind w:left="426"/>
        <w:jc w:val="both"/>
        <w:rPr>
          <w:rFonts w:ascii="Arial" w:eastAsia="Arial" w:hAnsi="Arial" w:cs="Arial"/>
          <w:color w:val="000000" w:themeColor="text1"/>
        </w:rPr>
      </w:pPr>
    </w:p>
    <w:p w14:paraId="510327C7" w14:textId="5069E81F" w:rsidR="005959B2" w:rsidRDefault="38EA6BD2" w:rsidP="43237DC3">
      <w:pPr>
        <w:ind w:left="426"/>
        <w:jc w:val="both"/>
        <w:rPr>
          <w:rFonts w:ascii="Arial" w:eastAsia="Arial" w:hAnsi="Arial" w:cs="Arial"/>
          <w:color w:val="000000" w:themeColor="text1"/>
        </w:rPr>
      </w:pPr>
      <w:r w:rsidRPr="43237DC3">
        <w:rPr>
          <w:rFonts w:ascii="Arial" w:eastAsia="Arial" w:hAnsi="Arial" w:cs="Arial"/>
          <w:color w:val="000000" w:themeColor="text1"/>
          <w:lang w:val="en-GB"/>
        </w:rPr>
        <w:t>The Authority will not accept any liability clause in any Contract that seeks to indemnify the Bidder, as data processor, against fines under the provisions of the Data Protection Legislation. The legal penalty regime under the Data Protection Legislation has been extended directly to data processors to ensure better performance and enhanced protection for personal data, and any indemnification of Bidders as data processors for any Data Protection Legislation breaches resulting in fines or court claims undermines these principles.</w:t>
      </w:r>
    </w:p>
    <w:p w14:paraId="2C078E63" w14:textId="72822448" w:rsidR="005959B2" w:rsidRDefault="005959B2"/>
    <w:sectPr w:rsidR="00595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4A01"/>
    <w:multiLevelType w:val="multilevel"/>
    <w:tmpl w:val="7DC212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8C6E5"/>
    <w:multiLevelType w:val="multilevel"/>
    <w:tmpl w:val="710E93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63FD7B"/>
    <w:multiLevelType w:val="multilevel"/>
    <w:tmpl w:val="EF66E3E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B3789"/>
    <w:multiLevelType w:val="multilevel"/>
    <w:tmpl w:val="AE989AB0"/>
    <w:lvl w:ilvl="0">
      <w:start w:val="1"/>
      <w:numFmt w:val="decimal"/>
      <w:lvlText w:val="%1."/>
      <w:lvlJc w:val="left"/>
      <w:pPr>
        <w:ind w:left="720" w:hanging="360"/>
      </w:pPr>
    </w:lvl>
    <w:lvl w:ilvl="1">
      <w:start w:val="3"/>
      <w:numFmt w:val="decimal"/>
      <w:lvlText w:val="%1.%2"/>
      <w:lvlJc w:val="left"/>
      <w:pPr>
        <w:ind w:left="36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A6B120"/>
    <w:multiLevelType w:val="multilevel"/>
    <w:tmpl w:val="07B4E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87F98"/>
    <w:multiLevelType w:val="multilevel"/>
    <w:tmpl w:val="324C1862"/>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CE86B"/>
    <w:multiLevelType w:val="multilevel"/>
    <w:tmpl w:val="F3DCEA3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74B601"/>
    <w:multiLevelType w:val="multilevel"/>
    <w:tmpl w:val="55D643E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8B097"/>
    <w:multiLevelType w:val="multilevel"/>
    <w:tmpl w:val="3222B94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B825BB"/>
    <w:multiLevelType w:val="multilevel"/>
    <w:tmpl w:val="B664A33C"/>
    <w:lvl w:ilvl="0">
      <w:start w:val="1"/>
      <w:numFmt w:val="decimal"/>
      <w:lvlText w:val="%1."/>
      <w:lvlJc w:val="left"/>
      <w:pPr>
        <w:ind w:left="720" w:hanging="360"/>
      </w:pPr>
    </w:lvl>
    <w:lvl w:ilvl="1">
      <w:start w:val="2"/>
      <w:numFmt w:val="decimal"/>
      <w:lvlText w:val="%1.%2"/>
      <w:lvlJc w:val="left"/>
      <w:pPr>
        <w:ind w:left="72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EC0E0B"/>
    <w:multiLevelType w:val="multilevel"/>
    <w:tmpl w:val="961C5B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4BE4DF1"/>
    <w:multiLevelType w:val="multilevel"/>
    <w:tmpl w:val="0532CC8E"/>
    <w:lvl w:ilvl="0">
      <w:start w:val="1"/>
      <w:numFmt w:val="decimal"/>
      <w:lvlText w:val="%1."/>
      <w:lvlJc w:val="left"/>
      <w:pPr>
        <w:ind w:left="720" w:hanging="360"/>
      </w:pPr>
    </w:lvl>
    <w:lvl w:ilvl="1">
      <w:start w:val="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329858"/>
    <w:multiLevelType w:val="multilevel"/>
    <w:tmpl w:val="1CA8C01E"/>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AF2959"/>
    <w:multiLevelType w:val="multilevel"/>
    <w:tmpl w:val="D374C8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648B48"/>
    <w:multiLevelType w:val="hybridMultilevel"/>
    <w:tmpl w:val="F4BC7A76"/>
    <w:lvl w:ilvl="0" w:tplc="8FFAFDD8">
      <w:start w:val="1"/>
      <w:numFmt w:val="bullet"/>
      <w:lvlText w:val="●"/>
      <w:lvlJc w:val="left"/>
      <w:pPr>
        <w:ind w:left="1080" w:hanging="360"/>
      </w:pPr>
      <w:rPr>
        <w:rFonts w:ascii="Noto Sans Symbols" w:hAnsi="Noto Sans Symbols" w:hint="default"/>
      </w:rPr>
    </w:lvl>
    <w:lvl w:ilvl="1" w:tplc="02B2DC3C">
      <w:start w:val="1"/>
      <w:numFmt w:val="bullet"/>
      <w:lvlText w:val="o"/>
      <w:lvlJc w:val="left"/>
      <w:pPr>
        <w:ind w:left="1800" w:hanging="360"/>
      </w:pPr>
      <w:rPr>
        <w:rFonts w:ascii="Noto Sans Symbols" w:hAnsi="Noto Sans Symbols" w:hint="default"/>
      </w:rPr>
    </w:lvl>
    <w:lvl w:ilvl="2" w:tplc="911088AE">
      <w:start w:val="1"/>
      <w:numFmt w:val="bullet"/>
      <w:lvlText w:val=""/>
      <w:lvlJc w:val="left"/>
      <w:pPr>
        <w:ind w:left="2160" w:hanging="360"/>
      </w:pPr>
      <w:rPr>
        <w:rFonts w:ascii="Wingdings" w:hAnsi="Wingdings" w:hint="default"/>
      </w:rPr>
    </w:lvl>
    <w:lvl w:ilvl="3" w:tplc="DBFCEE9A">
      <w:start w:val="1"/>
      <w:numFmt w:val="bullet"/>
      <w:lvlText w:val=""/>
      <w:lvlJc w:val="left"/>
      <w:pPr>
        <w:ind w:left="2880" w:hanging="360"/>
      </w:pPr>
      <w:rPr>
        <w:rFonts w:ascii="Symbol" w:hAnsi="Symbol" w:hint="default"/>
      </w:rPr>
    </w:lvl>
    <w:lvl w:ilvl="4" w:tplc="4ABCA4A0">
      <w:start w:val="1"/>
      <w:numFmt w:val="bullet"/>
      <w:lvlText w:val="o"/>
      <w:lvlJc w:val="left"/>
      <w:pPr>
        <w:ind w:left="3600" w:hanging="360"/>
      </w:pPr>
      <w:rPr>
        <w:rFonts w:ascii="Courier New" w:hAnsi="Courier New" w:hint="default"/>
      </w:rPr>
    </w:lvl>
    <w:lvl w:ilvl="5" w:tplc="170C9082">
      <w:start w:val="1"/>
      <w:numFmt w:val="bullet"/>
      <w:lvlText w:val=""/>
      <w:lvlJc w:val="left"/>
      <w:pPr>
        <w:ind w:left="4320" w:hanging="360"/>
      </w:pPr>
      <w:rPr>
        <w:rFonts w:ascii="Wingdings" w:hAnsi="Wingdings" w:hint="default"/>
      </w:rPr>
    </w:lvl>
    <w:lvl w:ilvl="6" w:tplc="3FB676B2">
      <w:start w:val="1"/>
      <w:numFmt w:val="bullet"/>
      <w:lvlText w:val=""/>
      <w:lvlJc w:val="left"/>
      <w:pPr>
        <w:ind w:left="5040" w:hanging="360"/>
      </w:pPr>
      <w:rPr>
        <w:rFonts w:ascii="Symbol" w:hAnsi="Symbol" w:hint="default"/>
      </w:rPr>
    </w:lvl>
    <w:lvl w:ilvl="7" w:tplc="2B2CC1B8">
      <w:start w:val="1"/>
      <w:numFmt w:val="bullet"/>
      <w:lvlText w:val="o"/>
      <w:lvlJc w:val="left"/>
      <w:pPr>
        <w:ind w:left="5760" w:hanging="360"/>
      </w:pPr>
      <w:rPr>
        <w:rFonts w:ascii="Courier New" w:hAnsi="Courier New" w:hint="default"/>
      </w:rPr>
    </w:lvl>
    <w:lvl w:ilvl="8" w:tplc="219CD22A">
      <w:start w:val="1"/>
      <w:numFmt w:val="bullet"/>
      <w:lvlText w:val=""/>
      <w:lvlJc w:val="left"/>
      <w:pPr>
        <w:ind w:left="6480" w:hanging="360"/>
      </w:pPr>
      <w:rPr>
        <w:rFonts w:ascii="Wingdings" w:hAnsi="Wingdings" w:hint="default"/>
      </w:rPr>
    </w:lvl>
  </w:abstractNum>
  <w:abstractNum w:abstractNumId="15" w15:restartNumberingAfterBreak="0">
    <w:nsid w:val="68E35FFA"/>
    <w:multiLevelType w:val="multilevel"/>
    <w:tmpl w:val="33F0ED2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741BBE"/>
    <w:multiLevelType w:val="multilevel"/>
    <w:tmpl w:val="72767B84"/>
    <w:lvl w:ilvl="0">
      <w:start w:val="1"/>
      <w:numFmt w:val="decimal"/>
      <w:lvlText w:val="%1."/>
      <w:lvlJc w:val="left"/>
      <w:pPr>
        <w:ind w:left="720" w:hanging="360"/>
      </w:pPr>
    </w:lvl>
    <w:lvl w:ilvl="1">
      <w:start w:val="5"/>
      <w:numFmt w:val="decimal"/>
      <w:lvlText w:val="%1.%2"/>
      <w:lvlJc w:val="left"/>
      <w:pPr>
        <w:ind w:left="36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6E3A0"/>
    <w:multiLevelType w:val="multilevel"/>
    <w:tmpl w:val="E61C866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C96D45"/>
    <w:multiLevelType w:val="multilevel"/>
    <w:tmpl w:val="EAECE95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8135BF"/>
    <w:multiLevelType w:val="hybridMultilevel"/>
    <w:tmpl w:val="15269BA8"/>
    <w:lvl w:ilvl="0" w:tplc="219A6AD6">
      <w:start w:val="1"/>
      <w:numFmt w:val="bullet"/>
      <w:lvlText w:val=""/>
      <w:lvlJc w:val="left"/>
      <w:pPr>
        <w:ind w:left="720" w:hanging="360"/>
      </w:pPr>
      <w:rPr>
        <w:rFonts w:ascii="Symbol" w:hAnsi="Symbol" w:hint="default"/>
      </w:rPr>
    </w:lvl>
    <w:lvl w:ilvl="1" w:tplc="FE20A01C">
      <w:start w:val="1"/>
      <w:numFmt w:val="bullet"/>
      <w:lvlText w:val="o"/>
      <w:lvlJc w:val="left"/>
      <w:pPr>
        <w:ind w:left="1440" w:hanging="360"/>
      </w:pPr>
      <w:rPr>
        <w:rFonts w:ascii="Courier New" w:hAnsi="Courier New" w:hint="default"/>
      </w:rPr>
    </w:lvl>
    <w:lvl w:ilvl="2" w:tplc="F2D2FAAE">
      <w:start w:val="1"/>
      <w:numFmt w:val="bullet"/>
      <w:lvlText w:val=""/>
      <w:lvlJc w:val="left"/>
      <w:pPr>
        <w:ind w:left="2160" w:hanging="360"/>
      </w:pPr>
      <w:rPr>
        <w:rFonts w:ascii="Wingdings" w:hAnsi="Wingdings" w:hint="default"/>
      </w:rPr>
    </w:lvl>
    <w:lvl w:ilvl="3" w:tplc="6A268DC0">
      <w:start w:val="1"/>
      <w:numFmt w:val="bullet"/>
      <w:lvlText w:val=""/>
      <w:lvlJc w:val="left"/>
      <w:pPr>
        <w:ind w:left="2880" w:hanging="360"/>
      </w:pPr>
      <w:rPr>
        <w:rFonts w:ascii="Symbol" w:hAnsi="Symbol" w:hint="default"/>
      </w:rPr>
    </w:lvl>
    <w:lvl w:ilvl="4" w:tplc="97A8B304">
      <w:start w:val="1"/>
      <w:numFmt w:val="bullet"/>
      <w:lvlText w:val="o"/>
      <w:lvlJc w:val="left"/>
      <w:pPr>
        <w:ind w:left="3600" w:hanging="360"/>
      </w:pPr>
      <w:rPr>
        <w:rFonts w:ascii="Courier New" w:hAnsi="Courier New" w:hint="default"/>
      </w:rPr>
    </w:lvl>
    <w:lvl w:ilvl="5" w:tplc="1F1AB412">
      <w:start w:val="1"/>
      <w:numFmt w:val="bullet"/>
      <w:lvlText w:val=""/>
      <w:lvlJc w:val="left"/>
      <w:pPr>
        <w:ind w:left="4320" w:hanging="360"/>
      </w:pPr>
      <w:rPr>
        <w:rFonts w:ascii="Wingdings" w:hAnsi="Wingdings" w:hint="default"/>
      </w:rPr>
    </w:lvl>
    <w:lvl w:ilvl="6" w:tplc="BD84FBA8">
      <w:start w:val="1"/>
      <w:numFmt w:val="bullet"/>
      <w:lvlText w:val=""/>
      <w:lvlJc w:val="left"/>
      <w:pPr>
        <w:ind w:left="5040" w:hanging="360"/>
      </w:pPr>
      <w:rPr>
        <w:rFonts w:ascii="Symbol" w:hAnsi="Symbol" w:hint="default"/>
      </w:rPr>
    </w:lvl>
    <w:lvl w:ilvl="7" w:tplc="110C3F28">
      <w:start w:val="1"/>
      <w:numFmt w:val="bullet"/>
      <w:lvlText w:val="o"/>
      <w:lvlJc w:val="left"/>
      <w:pPr>
        <w:ind w:left="5760" w:hanging="360"/>
      </w:pPr>
      <w:rPr>
        <w:rFonts w:ascii="Courier New" w:hAnsi="Courier New" w:hint="default"/>
      </w:rPr>
    </w:lvl>
    <w:lvl w:ilvl="8" w:tplc="31C8221E">
      <w:start w:val="1"/>
      <w:numFmt w:val="bullet"/>
      <w:lvlText w:val=""/>
      <w:lvlJc w:val="left"/>
      <w:pPr>
        <w:ind w:left="6480" w:hanging="360"/>
      </w:pPr>
      <w:rPr>
        <w:rFonts w:ascii="Wingdings" w:hAnsi="Wingdings" w:hint="default"/>
      </w:rPr>
    </w:lvl>
  </w:abstractNum>
  <w:num w:numId="1" w16cid:durableId="10107935">
    <w:abstractNumId w:val="4"/>
  </w:num>
  <w:num w:numId="2" w16cid:durableId="1108743669">
    <w:abstractNumId w:val="17"/>
  </w:num>
  <w:num w:numId="3" w16cid:durableId="2029478657">
    <w:abstractNumId w:val="13"/>
  </w:num>
  <w:num w:numId="4" w16cid:durableId="260189914">
    <w:abstractNumId w:val="6"/>
  </w:num>
  <w:num w:numId="5" w16cid:durableId="922681880">
    <w:abstractNumId w:val="18"/>
  </w:num>
  <w:num w:numId="6" w16cid:durableId="1738672820">
    <w:abstractNumId w:val="15"/>
  </w:num>
  <w:num w:numId="7" w16cid:durableId="1195194583">
    <w:abstractNumId w:val="10"/>
  </w:num>
  <w:num w:numId="8" w16cid:durableId="1915895782">
    <w:abstractNumId w:val="12"/>
  </w:num>
  <w:num w:numId="9" w16cid:durableId="922841729">
    <w:abstractNumId w:val="1"/>
  </w:num>
  <w:num w:numId="10" w16cid:durableId="1923180673">
    <w:abstractNumId w:val="19"/>
  </w:num>
  <w:num w:numId="11" w16cid:durableId="2112360797">
    <w:abstractNumId w:val="2"/>
  </w:num>
  <w:num w:numId="12" w16cid:durableId="2054036813">
    <w:abstractNumId w:val="7"/>
  </w:num>
  <w:num w:numId="13" w16cid:durableId="2079861179">
    <w:abstractNumId w:val="14"/>
  </w:num>
  <w:num w:numId="14" w16cid:durableId="1666975487">
    <w:abstractNumId w:val="9"/>
  </w:num>
  <w:num w:numId="15" w16cid:durableId="1276863290">
    <w:abstractNumId w:val="8"/>
  </w:num>
  <w:num w:numId="16" w16cid:durableId="824934032">
    <w:abstractNumId w:val="5"/>
  </w:num>
  <w:num w:numId="17" w16cid:durableId="1658224565">
    <w:abstractNumId w:val="16"/>
  </w:num>
  <w:num w:numId="18" w16cid:durableId="1057389591">
    <w:abstractNumId w:val="3"/>
  </w:num>
  <w:num w:numId="19" w16cid:durableId="1474252450">
    <w:abstractNumId w:val="0"/>
  </w:num>
  <w:num w:numId="20" w16cid:durableId="577448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6EC60"/>
    <w:rsid w:val="002824A1"/>
    <w:rsid w:val="003B2DB2"/>
    <w:rsid w:val="005623B8"/>
    <w:rsid w:val="005959B2"/>
    <w:rsid w:val="009C34E3"/>
    <w:rsid w:val="009C683A"/>
    <w:rsid w:val="00BE5F0F"/>
    <w:rsid w:val="13340337"/>
    <w:rsid w:val="1C0A1233"/>
    <w:rsid w:val="3766EC60"/>
    <w:rsid w:val="38EA6BD2"/>
    <w:rsid w:val="4323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EC60"/>
  <w15:chartTrackingRefBased/>
  <w15:docId w15:val="{916F699D-D28A-4EF7-8C6D-758816A8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237DC3"/>
    <w:pPr>
      <w:ind w:left="720"/>
      <w:contextualSpacing/>
    </w:pPr>
  </w:style>
  <w:style w:type="character" w:styleId="Hyperlink">
    <w:name w:val="Hyperlink"/>
    <w:basedOn w:val="DefaultParagraphFont"/>
    <w:uiPriority w:val="99"/>
    <w:unhideWhenUsed/>
    <w:rsid w:val="43237DC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9/resources/2024-exceptional-surveillance-of-tobacco-preventing-uptake-promoting-quitting-and-treating-dependence-nice-guideline-ng209-13312648045/chapter/Surveillance-decision?tab=evid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publications.nice.org.uk/patient-group-directionsmpg2/recommendations" TargetMode="External"/><Relationship Id="rId4" Type="http://schemas.openxmlformats.org/officeDocument/2006/relationships/numbering" Target="numbering.xml"/><Relationship Id="rId9" Type="http://schemas.openxmlformats.org/officeDocument/2006/relationships/hyperlink" Target="http://www.cqc.org.uk/sites/default/files/documents/gac_-_dec_2011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544c571-fe10-4c4a-85ce-c2860ec41c92" xsi:nil="true"/>
    <Notes xmlns="f544c571-fe10-4c4a-85ce-c2860ec41c92" xsi:nil="true"/>
    <lcf76f155ced4ddcb4097134ff3c332f xmlns="f544c571-fe10-4c4a-85ce-c2860ec41c92">
      <Terms xmlns="http://schemas.microsoft.com/office/infopath/2007/PartnerControls"/>
    </lcf76f155ced4ddcb4097134ff3c332f>
    <TaxCatchAll xmlns="09738965-8df3-467b-84a2-9d78fd3a2e2b" xsi:nil="true"/>
  </documentManagement>
</p:properties>
</file>

<file path=customXml/itemProps1.xml><?xml version="1.0" encoding="utf-8"?>
<ds:datastoreItem xmlns:ds="http://schemas.openxmlformats.org/officeDocument/2006/customXml" ds:itemID="{F2D07EFC-6CFB-4893-91D6-FCDE5F22D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16CBB-7FD6-439D-9E1E-47A15DA85460}">
  <ds:schemaRefs>
    <ds:schemaRef ds:uri="http://schemas.microsoft.com/sharepoint/v3/contenttype/forms"/>
  </ds:schemaRefs>
</ds:datastoreItem>
</file>

<file path=customXml/itemProps3.xml><?xml version="1.0" encoding="utf-8"?>
<ds:datastoreItem xmlns:ds="http://schemas.openxmlformats.org/officeDocument/2006/customXml" ds:itemID="{2D015E21-8CE0-47E0-AA56-8E27C82A6395}">
  <ds:schemaRefs>
    <ds:schemaRef ds:uri="http://schemas.microsoft.com/office/2006/metadata/properties"/>
    <ds:schemaRef ds:uri="http://schemas.microsoft.com/office/infopath/2007/PartnerControls"/>
    <ds:schemaRef ds:uri="f544c571-fe10-4c4a-85ce-c2860ec41c92"/>
    <ds:schemaRef ds:uri="09738965-8df3-467b-84a2-9d78fd3a2e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3743</Words>
  <Characters>21337</Characters>
  <Application>Microsoft Office Word</Application>
  <DocSecurity>0</DocSecurity>
  <Lines>177</Lines>
  <Paragraphs>50</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Garnett</dc:creator>
  <cp:keywords/>
  <dc:description/>
  <cp:lastModifiedBy>Nick Garnett</cp:lastModifiedBy>
  <cp:revision>2</cp:revision>
  <dcterms:created xsi:type="dcterms:W3CDTF">2025-03-11T15:48:00Z</dcterms:created>
  <dcterms:modified xsi:type="dcterms:W3CDTF">2025-03-11T15:48:00Z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y fmtid="{D5CDD505-2E9C-101B-9397-08002B2CF9AE}" pid="3" name="MediaServiceImageTags">
    <vt:lpwstr/>
  </property>
</Properties>
</file>