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  <w:sz w:val="52"/>
          <w:szCs w:val="52"/>
        </w:rPr>
      </w:pPr>
    </w:p>
    <w:p w:rsidR="00842A11" w:rsidRPr="00842A11" w:rsidRDefault="00842A11" w:rsidP="00842A11">
      <w:pPr>
        <w:jc w:val="center"/>
        <w:rPr>
          <w:rFonts w:cstheme="minorHAnsi"/>
          <w:b/>
          <w:sz w:val="52"/>
          <w:szCs w:val="52"/>
        </w:rPr>
      </w:pPr>
    </w:p>
    <w:p w:rsidR="00842A11" w:rsidRPr="00842A11" w:rsidRDefault="00652ECF" w:rsidP="00842A11">
      <w:pPr>
        <w:jc w:val="center"/>
        <w:rPr>
          <w:rFonts w:cstheme="minorHAnsi"/>
          <w:b/>
          <w:sz w:val="52"/>
          <w:szCs w:val="52"/>
        </w:rPr>
      </w:pPr>
      <w:r>
        <w:rPr>
          <w:rFonts w:cstheme="minorHAnsi"/>
          <w:b/>
          <w:sz w:val="52"/>
          <w:szCs w:val="52"/>
        </w:rPr>
        <w:t>Integrated C</w:t>
      </w:r>
      <w:r w:rsidR="00842A11" w:rsidRPr="00842A11">
        <w:rPr>
          <w:rFonts w:cstheme="minorHAnsi"/>
          <w:b/>
          <w:sz w:val="52"/>
          <w:szCs w:val="52"/>
        </w:rPr>
        <w:t>ommunity Anticoagulation Service</w:t>
      </w:r>
    </w:p>
    <w:p w:rsidR="00842A11" w:rsidRPr="00842A11" w:rsidRDefault="00842A11" w:rsidP="00842A11">
      <w:pPr>
        <w:jc w:val="center"/>
        <w:rPr>
          <w:rFonts w:cstheme="minorHAnsi"/>
          <w:b/>
          <w:sz w:val="52"/>
          <w:szCs w:val="52"/>
        </w:rPr>
      </w:pPr>
    </w:p>
    <w:p w:rsidR="00842A11" w:rsidRPr="00842A11" w:rsidRDefault="00842A11" w:rsidP="00842A11">
      <w:pPr>
        <w:jc w:val="center"/>
        <w:rPr>
          <w:rFonts w:cstheme="minorHAnsi"/>
          <w:b/>
          <w:sz w:val="52"/>
          <w:szCs w:val="52"/>
        </w:rPr>
      </w:pPr>
      <w:r w:rsidRPr="00842A11">
        <w:rPr>
          <w:rFonts w:cstheme="minorHAnsi"/>
          <w:b/>
          <w:sz w:val="52"/>
          <w:szCs w:val="52"/>
        </w:rPr>
        <w:t>Memorandum of Information (MOI)</w:t>
      </w:r>
    </w:p>
    <w:p w:rsidR="00842A11" w:rsidRPr="00842A11" w:rsidRDefault="00842A11" w:rsidP="00842A11">
      <w:pPr>
        <w:jc w:val="center"/>
        <w:rPr>
          <w:rFonts w:cstheme="minorHAnsi"/>
          <w:b/>
          <w:sz w:val="52"/>
          <w:szCs w:val="52"/>
        </w:rPr>
      </w:pPr>
    </w:p>
    <w:p w:rsidR="00842A11" w:rsidRPr="00842A11" w:rsidRDefault="00842A11" w:rsidP="00842A11">
      <w:pPr>
        <w:jc w:val="center"/>
        <w:rPr>
          <w:rFonts w:cstheme="minorHAnsi"/>
          <w:b/>
          <w:sz w:val="52"/>
          <w:szCs w:val="52"/>
        </w:rPr>
      </w:pPr>
    </w:p>
    <w:p w:rsidR="00842A11" w:rsidRPr="00842A11" w:rsidRDefault="00842A11" w:rsidP="00842A11">
      <w:pPr>
        <w:jc w:val="center"/>
        <w:rPr>
          <w:rFonts w:cstheme="minorHAnsi"/>
          <w:b/>
          <w:sz w:val="52"/>
          <w:szCs w:val="52"/>
        </w:rPr>
      </w:pPr>
    </w:p>
    <w:p w:rsidR="00842A11" w:rsidRPr="00842A11" w:rsidRDefault="00842A11" w:rsidP="00842A11">
      <w:pPr>
        <w:jc w:val="center"/>
        <w:rPr>
          <w:rFonts w:cstheme="minorHAnsi"/>
          <w:b/>
          <w:sz w:val="52"/>
          <w:szCs w:val="52"/>
        </w:rPr>
      </w:pPr>
    </w:p>
    <w:p w:rsidR="00842A11" w:rsidRPr="00842A11" w:rsidRDefault="00842A11" w:rsidP="00842A11">
      <w:pPr>
        <w:spacing w:after="0"/>
        <w:jc w:val="center"/>
        <w:rPr>
          <w:rFonts w:cstheme="minorHAnsi"/>
          <w:b/>
          <w:sz w:val="52"/>
          <w:szCs w:val="52"/>
        </w:rPr>
      </w:pPr>
      <w:r w:rsidRPr="00842A11">
        <w:rPr>
          <w:rFonts w:cstheme="minorHAnsi"/>
          <w:b/>
          <w:sz w:val="52"/>
          <w:szCs w:val="52"/>
        </w:rPr>
        <w:t>NHS Croydon</w:t>
      </w:r>
    </w:p>
    <w:p w:rsidR="00842A11" w:rsidRPr="00842A11" w:rsidRDefault="00842A11" w:rsidP="00842A11">
      <w:pPr>
        <w:spacing w:after="0"/>
        <w:jc w:val="center"/>
        <w:rPr>
          <w:rFonts w:cstheme="minorHAnsi"/>
          <w:b/>
          <w:sz w:val="52"/>
          <w:szCs w:val="52"/>
        </w:rPr>
      </w:pPr>
      <w:r w:rsidRPr="00842A11">
        <w:rPr>
          <w:rFonts w:cstheme="minorHAnsi"/>
          <w:b/>
          <w:sz w:val="52"/>
          <w:szCs w:val="52"/>
        </w:rPr>
        <w:t>Clinical Commissioning Group (CCG)</w:t>
      </w: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  <w:sz w:val="52"/>
          <w:szCs w:val="52"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A44045" w:rsidRDefault="00842A11" w:rsidP="003A162D">
      <w:pPr>
        <w:pStyle w:val="ListParagraph"/>
        <w:keepNext/>
        <w:keepLines/>
        <w:numPr>
          <w:ilvl w:val="0"/>
          <w:numId w:val="5"/>
        </w:numPr>
        <w:tabs>
          <w:tab w:val="left" w:pos="284"/>
        </w:tabs>
        <w:spacing w:after="0" w:line="240" w:lineRule="auto"/>
        <w:ind w:hanging="720"/>
        <w:outlineLvl w:val="0"/>
        <w:rPr>
          <w:rFonts w:eastAsiaTheme="majorEastAsia" w:cstheme="minorHAnsi"/>
          <w:b/>
          <w:bCs/>
          <w:lang w:eastAsia="en-GB"/>
        </w:rPr>
      </w:pPr>
      <w:bookmarkStart w:id="1" w:name="_Toc450055207"/>
      <w:r w:rsidRPr="00A44045">
        <w:rPr>
          <w:rFonts w:eastAsiaTheme="majorEastAsia" w:cstheme="minorHAnsi"/>
          <w:b/>
          <w:bCs/>
          <w:lang w:eastAsia="en-GB"/>
        </w:rPr>
        <w:t>Purpose</w:t>
      </w:r>
      <w:bookmarkEnd w:id="1"/>
    </w:p>
    <w:p w:rsidR="00842A11" w:rsidRPr="00842A11" w:rsidRDefault="00A44045" w:rsidP="003A162D">
      <w:pPr>
        <w:tabs>
          <w:tab w:val="left" w:pos="284"/>
        </w:tabs>
        <w:spacing w:after="0" w:line="240" w:lineRule="auto"/>
        <w:ind w:hanging="720"/>
        <w:rPr>
          <w:rFonts w:cstheme="minorHAnsi"/>
        </w:rPr>
      </w:pPr>
      <w:r>
        <w:rPr>
          <w:rFonts w:cstheme="minorHAnsi"/>
          <w:lang w:eastAsia="en-GB"/>
        </w:rPr>
        <w:tab/>
      </w:r>
      <w:r w:rsidR="00842A11" w:rsidRPr="00842A11">
        <w:rPr>
          <w:rFonts w:cstheme="minorHAnsi"/>
          <w:lang w:eastAsia="en-GB"/>
        </w:rPr>
        <w:t xml:space="preserve">The purpose of this Memorandum of Information (MOI) is to </w:t>
      </w:r>
      <w:r w:rsidR="00842A11" w:rsidRPr="00842A11">
        <w:rPr>
          <w:rFonts w:cstheme="minorHAnsi"/>
        </w:rPr>
        <w:t>inform the potential competitive tendering of a community anticoagulation service for NHS Croydon Clinical Commissioning Group.</w:t>
      </w:r>
    </w:p>
    <w:p w:rsidR="00842A11" w:rsidRPr="00842A11" w:rsidRDefault="00842A11" w:rsidP="003A162D">
      <w:pPr>
        <w:tabs>
          <w:tab w:val="left" w:pos="284"/>
        </w:tabs>
        <w:spacing w:after="0" w:line="240" w:lineRule="auto"/>
        <w:ind w:hanging="720"/>
        <w:rPr>
          <w:rFonts w:cstheme="minorHAnsi"/>
        </w:rPr>
      </w:pPr>
    </w:p>
    <w:p w:rsidR="00842A11" w:rsidRPr="00842A11" w:rsidRDefault="00A44045" w:rsidP="003A162D">
      <w:pPr>
        <w:tabs>
          <w:tab w:val="left" w:pos="284"/>
        </w:tabs>
        <w:spacing w:after="0" w:line="240" w:lineRule="auto"/>
        <w:ind w:hanging="720"/>
        <w:rPr>
          <w:rFonts w:cstheme="minorHAnsi"/>
        </w:rPr>
      </w:pPr>
      <w:r>
        <w:rPr>
          <w:rFonts w:cstheme="minorHAnsi"/>
        </w:rPr>
        <w:tab/>
      </w:r>
      <w:r w:rsidR="00842A11" w:rsidRPr="00842A11">
        <w:rPr>
          <w:rFonts w:cstheme="minorHAnsi"/>
        </w:rPr>
        <w:t>The MOI is intended only as a preliminary background explanat</w:t>
      </w:r>
      <w:r w:rsidR="003A162D">
        <w:rPr>
          <w:rFonts w:cstheme="minorHAnsi"/>
        </w:rPr>
        <w:t>ion for the procurement of the s</w:t>
      </w:r>
      <w:r w:rsidR="00842A11" w:rsidRPr="00842A11">
        <w:rPr>
          <w:rFonts w:cstheme="minorHAnsi"/>
        </w:rPr>
        <w:t>ervice. It is in no way intended to form the basis of any decision on the terms upon which the CCG will enter in to any contractual relationship.</w:t>
      </w:r>
    </w:p>
    <w:p w:rsidR="003A162D" w:rsidRDefault="003A162D" w:rsidP="003A162D">
      <w:pPr>
        <w:keepNext/>
        <w:keepLines/>
        <w:tabs>
          <w:tab w:val="left" w:pos="284"/>
        </w:tabs>
        <w:spacing w:after="0" w:line="240" w:lineRule="auto"/>
        <w:outlineLvl w:val="0"/>
        <w:rPr>
          <w:rFonts w:eastAsiaTheme="majorEastAsia" w:cstheme="minorHAnsi"/>
          <w:b/>
          <w:bCs/>
          <w:lang w:eastAsia="en-GB"/>
        </w:rPr>
      </w:pPr>
      <w:bookmarkStart w:id="2" w:name="_Toc450055208"/>
    </w:p>
    <w:p w:rsidR="00842A11" w:rsidRPr="00A44045" w:rsidRDefault="00A44045" w:rsidP="003A162D">
      <w:pPr>
        <w:keepNext/>
        <w:keepLines/>
        <w:tabs>
          <w:tab w:val="left" w:pos="284"/>
        </w:tabs>
        <w:spacing w:after="0" w:line="240" w:lineRule="auto"/>
        <w:outlineLvl w:val="0"/>
        <w:rPr>
          <w:rFonts w:eastAsiaTheme="majorEastAsia" w:cstheme="minorHAnsi"/>
          <w:b/>
          <w:bCs/>
          <w:lang w:eastAsia="en-GB"/>
        </w:rPr>
      </w:pPr>
      <w:r>
        <w:rPr>
          <w:rFonts w:eastAsiaTheme="majorEastAsia" w:cstheme="minorHAnsi"/>
          <w:b/>
          <w:bCs/>
          <w:lang w:eastAsia="en-GB"/>
        </w:rPr>
        <w:t xml:space="preserve">2. </w:t>
      </w:r>
      <w:r w:rsidR="00842A11" w:rsidRPr="00A44045">
        <w:rPr>
          <w:rFonts w:eastAsiaTheme="majorEastAsia" w:cstheme="minorHAnsi"/>
          <w:b/>
          <w:bCs/>
          <w:lang w:eastAsia="en-GB"/>
        </w:rPr>
        <w:t>Definition</w:t>
      </w:r>
      <w:bookmarkEnd w:id="2"/>
    </w:p>
    <w:p w:rsidR="005A1D45" w:rsidRPr="00A44045" w:rsidRDefault="00A44045" w:rsidP="003A162D">
      <w:pPr>
        <w:tabs>
          <w:tab w:val="left" w:pos="284"/>
        </w:tabs>
        <w:spacing w:after="0" w:line="240" w:lineRule="auto"/>
        <w:ind w:hanging="720"/>
        <w:rPr>
          <w:rFonts w:cstheme="minorHAnsi"/>
          <w:lang w:eastAsia="en-GB"/>
        </w:rPr>
      </w:pPr>
      <w:r>
        <w:rPr>
          <w:rFonts w:cstheme="minorHAnsi"/>
          <w:lang w:eastAsia="en-GB"/>
        </w:rPr>
        <w:tab/>
      </w:r>
      <w:r w:rsidR="00842A11" w:rsidRPr="00842A11">
        <w:rPr>
          <w:rFonts w:cstheme="minorHAnsi"/>
          <w:lang w:eastAsia="en-GB"/>
        </w:rPr>
        <w:t xml:space="preserve">The CCG wishes to commission </w:t>
      </w:r>
      <w:r w:rsidR="00652ECF">
        <w:rPr>
          <w:rFonts w:cstheme="minorHAnsi"/>
          <w:lang w:eastAsia="en-GB"/>
        </w:rPr>
        <w:t xml:space="preserve">an integrated </w:t>
      </w:r>
      <w:r w:rsidR="00842A11">
        <w:rPr>
          <w:rFonts w:cstheme="minorHAnsi"/>
          <w:lang w:eastAsia="en-GB"/>
        </w:rPr>
        <w:t xml:space="preserve">community anticoagulation service for </w:t>
      </w:r>
      <w:r w:rsidR="003A162D">
        <w:rPr>
          <w:rFonts w:cstheme="minorHAnsi"/>
          <w:lang w:eastAsia="en-GB"/>
        </w:rPr>
        <w:t xml:space="preserve">Croydon residents ensuring </w:t>
      </w:r>
      <w:r w:rsidR="00842A11" w:rsidRPr="00842A11">
        <w:rPr>
          <w:rFonts w:cstheme="minorHAnsi"/>
          <w:lang w:eastAsia="en-GB"/>
        </w:rPr>
        <w:t xml:space="preserve">safe, high </w:t>
      </w:r>
      <w:r w:rsidR="003A162D" w:rsidRPr="00842A11">
        <w:rPr>
          <w:rFonts w:cstheme="minorHAnsi"/>
          <w:lang w:eastAsia="en-GB"/>
        </w:rPr>
        <w:t>quality</w:t>
      </w:r>
      <w:r w:rsidR="003A162D">
        <w:rPr>
          <w:rFonts w:cstheme="minorHAnsi"/>
          <w:lang w:eastAsia="en-GB"/>
        </w:rPr>
        <w:t xml:space="preserve"> and innovative</w:t>
      </w:r>
      <w:r w:rsidR="00517062">
        <w:rPr>
          <w:rFonts w:cstheme="minorHAnsi"/>
          <w:lang w:eastAsia="en-GB"/>
        </w:rPr>
        <w:t xml:space="preserve"> anticoagulation </w:t>
      </w:r>
      <w:r w:rsidR="003A162D">
        <w:rPr>
          <w:rFonts w:cstheme="minorHAnsi"/>
          <w:lang w:eastAsia="en-GB"/>
        </w:rPr>
        <w:t>services are provided</w:t>
      </w:r>
      <w:r w:rsidR="00842A11" w:rsidRPr="00842A11">
        <w:rPr>
          <w:rFonts w:cstheme="minorHAnsi"/>
          <w:lang w:eastAsia="en-GB"/>
        </w:rPr>
        <w:t xml:space="preserve"> across the London Borough of Croydon, in line with </w:t>
      </w:r>
      <w:r w:rsidR="00517062">
        <w:rPr>
          <w:rFonts w:cstheme="minorHAnsi"/>
          <w:lang w:eastAsia="en-GB"/>
        </w:rPr>
        <w:t>the CCG’s</w:t>
      </w:r>
      <w:r w:rsidR="00842A11" w:rsidRPr="00842A11">
        <w:rPr>
          <w:rFonts w:cstheme="minorHAnsi"/>
          <w:lang w:eastAsia="en-GB"/>
        </w:rPr>
        <w:t xml:space="preserve"> strategic vision. </w:t>
      </w:r>
    </w:p>
    <w:p w:rsidR="003A162D" w:rsidRDefault="003A162D" w:rsidP="003A162D">
      <w:pPr>
        <w:keepNext/>
        <w:keepLines/>
        <w:tabs>
          <w:tab w:val="left" w:pos="284"/>
        </w:tabs>
        <w:spacing w:after="0" w:line="240" w:lineRule="auto"/>
        <w:outlineLvl w:val="0"/>
        <w:rPr>
          <w:rFonts w:eastAsiaTheme="majorEastAsia" w:cstheme="minorHAnsi"/>
          <w:b/>
          <w:bCs/>
          <w:lang w:eastAsia="en-GB"/>
        </w:rPr>
      </w:pPr>
      <w:bookmarkStart w:id="3" w:name="_Toc450055209"/>
    </w:p>
    <w:p w:rsidR="00A44045" w:rsidRPr="00A44045" w:rsidRDefault="008C488E" w:rsidP="003A162D">
      <w:pPr>
        <w:keepNext/>
        <w:keepLines/>
        <w:tabs>
          <w:tab w:val="left" w:pos="284"/>
        </w:tabs>
        <w:spacing w:after="0" w:line="240" w:lineRule="auto"/>
        <w:outlineLvl w:val="0"/>
        <w:rPr>
          <w:rFonts w:eastAsiaTheme="majorEastAsia" w:cstheme="minorHAnsi"/>
          <w:b/>
          <w:bCs/>
          <w:lang w:eastAsia="en-GB"/>
        </w:rPr>
      </w:pPr>
      <w:r>
        <w:rPr>
          <w:rFonts w:eastAsiaTheme="majorEastAsia" w:cstheme="minorHAnsi"/>
          <w:b/>
          <w:bCs/>
          <w:lang w:eastAsia="en-GB"/>
        </w:rPr>
        <w:t>3.</w:t>
      </w:r>
      <w:r w:rsidR="00A44045">
        <w:rPr>
          <w:rFonts w:eastAsiaTheme="majorEastAsia" w:cstheme="minorHAnsi"/>
          <w:b/>
          <w:bCs/>
          <w:lang w:eastAsia="en-GB"/>
        </w:rPr>
        <w:t xml:space="preserve"> </w:t>
      </w:r>
      <w:bookmarkEnd w:id="3"/>
      <w:r w:rsidR="00D64F1D">
        <w:rPr>
          <w:rFonts w:eastAsiaTheme="majorEastAsia" w:cstheme="minorHAnsi"/>
          <w:b/>
          <w:bCs/>
          <w:lang w:eastAsia="en-GB"/>
        </w:rPr>
        <w:t>Service and Scope</w:t>
      </w:r>
    </w:p>
    <w:p w:rsidR="003A162D" w:rsidRDefault="003A162D" w:rsidP="003A162D">
      <w:pPr>
        <w:keepNext/>
        <w:keepLines/>
        <w:spacing w:after="0" w:line="240" w:lineRule="auto"/>
        <w:outlineLvl w:val="1"/>
        <w:rPr>
          <w:rFonts w:eastAsiaTheme="majorEastAsia" w:cstheme="minorHAnsi"/>
          <w:b/>
          <w:bCs/>
        </w:rPr>
      </w:pPr>
      <w:bookmarkStart w:id="4" w:name="_Toc450055210"/>
    </w:p>
    <w:p w:rsidR="0020671C" w:rsidRDefault="00D64F1D" w:rsidP="003A162D">
      <w:pPr>
        <w:keepNext/>
        <w:keepLines/>
        <w:spacing w:after="0" w:line="240" w:lineRule="auto"/>
        <w:outlineLvl w:val="1"/>
        <w:rPr>
          <w:rFonts w:cstheme="minorHAnsi"/>
          <w:lang w:eastAsia="en-GB"/>
        </w:rPr>
      </w:pPr>
      <w:bookmarkStart w:id="5" w:name="_Toc450055212"/>
      <w:bookmarkEnd w:id="4"/>
      <w:r>
        <w:rPr>
          <w:rFonts w:eastAsiaTheme="majorEastAsia" w:cstheme="minorHAnsi"/>
          <w:bCs/>
        </w:rPr>
        <w:t>3.1</w:t>
      </w:r>
      <w:r w:rsidR="00A44045" w:rsidRPr="008C488E">
        <w:rPr>
          <w:rFonts w:eastAsiaTheme="majorEastAsia" w:cstheme="minorHAnsi"/>
          <w:bCs/>
        </w:rPr>
        <w:t xml:space="preserve"> </w:t>
      </w:r>
      <w:bookmarkEnd w:id="5"/>
      <w:r w:rsidR="008C488E" w:rsidRPr="008C488E">
        <w:rPr>
          <w:rFonts w:eastAsiaTheme="majorEastAsia" w:cstheme="minorHAnsi"/>
          <w:bCs/>
        </w:rPr>
        <w:t>Current a</w:t>
      </w:r>
      <w:r w:rsidR="00A44045" w:rsidRPr="008C488E">
        <w:rPr>
          <w:rFonts w:eastAsiaTheme="majorEastAsia" w:cstheme="minorHAnsi"/>
          <w:bCs/>
        </w:rPr>
        <w:t>nticoagulation services</w:t>
      </w:r>
    </w:p>
    <w:p w:rsidR="00A44045" w:rsidRPr="009D7237" w:rsidRDefault="00A44045" w:rsidP="003A162D">
      <w:pPr>
        <w:spacing w:after="0" w:line="240" w:lineRule="auto"/>
        <w:rPr>
          <w:rFonts w:cstheme="minorHAnsi"/>
          <w:lang w:eastAsia="en-GB"/>
        </w:rPr>
      </w:pPr>
      <w:r w:rsidRPr="009D7237">
        <w:rPr>
          <w:rFonts w:cstheme="minorHAnsi"/>
          <w:lang w:eastAsia="en-GB"/>
        </w:rPr>
        <w:t xml:space="preserve">The current </w:t>
      </w:r>
      <w:r w:rsidR="00627A43" w:rsidRPr="009D7237">
        <w:rPr>
          <w:rFonts w:cstheme="minorHAnsi"/>
          <w:lang w:eastAsia="en-GB"/>
        </w:rPr>
        <w:t xml:space="preserve">community </w:t>
      </w:r>
      <w:r w:rsidRPr="009D7237">
        <w:rPr>
          <w:rFonts w:cstheme="minorHAnsi"/>
          <w:lang w:eastAsia="en-GB"/>
        </w:rPr>
        <w:t xml:space="preserve">anticoagulation service for non-complex cases is provided </w:t>
      </w:r>
      <w:r w:rsidR="003A162D" w:rsidRPr="009D7237">
        <w:rPr>
          <w:rFonts w:cstheme="minorHAnsi"/>
          <w:lang w:eastAsia="en-GB"/>
        </w:rPr>
        <w:t xml:space="preserve">by </w:t>
      </w:r>
      <w:r w:rsidRPr="009D7237">
        <w:rPr>
          <w:rFonts w:cstheme="minorHAnsi"/>
          <w:lang w:eastAsia="en-GB"/>
        </w:rPr>
        <w:t>Boots UK Ltd. The service</w:t>
      </w:r>
      <w:r w:rsidR="00627A43" w:rsidRPr="009D7237">
        <w:rPr>
          <w:rFonts w:cstheme="minorHAnsi"/>
          <w:lang w:eastAsia="en-GB"/>
        </w:rPr>
        <w:t>s’</w:t>
      </w:r>
      <w:r w:rsidRPr="009D7237">
        <w:rPr>
          <w:rFonts w:cstheme="minorHAnsi"/>
          <w:lang w:eastAsia="en-GB"/>
        </w:rPr>
        <w:t xml:space="preserve"> remit is </w:t>
      </w:r>
      <w:r w:rsidR="00AB731D">
        <w:rPr>
          <w:rFonts w:cstheme="minorHAnsi"/>
          <w:lang w:eastAsia="en-GB"/>
        </w:rPr>
        <w:t>to</w:t>
      </w:r>
      <w:r w:rsidRPr="009D7237">
        <w:rPr>
          <w:rFonts w:cstheme="minorHAnsi"/>
          <w:lang w:eastAsia="en-GB"/>
        </w:rPr>
        <w:t xml:space="preserve"> provid</w:t>
      </w:r>
      <w:r w:rsidR="00AB731D">
        <w:rPr>
          <w:rFonts w:cstheme="minorHAnsi"/>
          <w:lang w:eastAsia="en-GB"/>
        </w:rPr>
        <w:t>e</w:t>
      </w:r>
      <w:r w:rsidRPr="009D7237">
        <w:rPr>
          <w:rFonts w:cstheme="minorHAnsi"/>
          <w:lang w:eastAsia="en-GB"/>
        </w:rPr>
        <w:t xml:space="preserve"> Warfarin for </w:t>
      </w:r>
      <w:r w:rsidR="009C564A" w:rsidRPr="009D7237">
        <w:rPr>
          <w:rFonts w:cstheme="minorHAnsi"/>
          <w:lang w:eastAsia="en-GB"/>
        </w:rPr>
        <w:t xml:space="preserve">non-complex </w:t>
      </w:r>
      <w:r w:rsidRPr="009D7237">
        <w:rPr>
          <w:rFonts w:cstheme="minorHAnsi"/>
          <w:lang w:eastAsia="en-GB"/>
        </w:rPr>
        <w:t>patients with AF. Patients are able to access nine</w:t>
      </w:r>
      <w:r w:rsidR="009C564A" w:rsidRPr="009D7237">
        <w:rPr>
          <w:rFonts w:cstheme="minorHAnsi"/>
          <w:lang w:eastAsia="en-GB"/>
        </w:rPr>
        <w:t xml:space="preserve"> different Boots sites for clinic appointments for initiation and monitoring of their </w:t>
      </w:r>
      <w:r w:rsidR="009D7237" w:rsidRPr="009D7237">
        <w:rPr>
          <w:rFonts w:cstheme="minorHAnsi"/>
          <w:lang w:eastAsia="en-GB"/>
        </w:rPr>
        <w:t xml:space="preserve">Warfarin treatment. </w:t>
      </w:r>
    </w:p>
    <w:p w:rsidR="00F15F3D" w:rsidRPr="009D7237" w:rsidRDefault="00F15F3D" w:rsidP="003A162D">
      <w:pPr>
        <w:spacing w:after="0" w:line="240" w:lineRule="auto"/>
        <w:rPr>
          <w:rFonts w:cstheme="minorHAnsi"/>
          <w:lang w:eastAsia="en-GB"/>
        </w:rPr>
      </w:pPr>
    </w:p>
    <w:p w:rsidR="009C564A" w:rsidRDefault="00517062" w:rsidP="003A162D">
      <w:pPr>
        <w:spacing w:after="0" w:line="240" w:lineRule="auto"/>
        <w:rPr>
          <w:rFonts w:cstheme="minorHAnsi"/>
          <w:lang w:eastAsia="en-GB"/>
        </w:rPr>
      </w:pPr>
      <w:r>
        <w:rPr>
          <w:rFonts w:cstheme="minorHAnsi"/>
          <w:lang w:eastAsia="en-GB"/>
        </w:rPr>
        <w:t>A</w:t>
      </w:r>
      <w:r w:rsidR="009C564A" w:rsidRPr="009D7237">
        <w:rPr>
          <w:rFonts w:cstheme="minorHAnsi"/>
          <w:lang w:eastAsia="en-GB"/>
        </w:rPr>
        <w:t xml:space="preserve"> secondary care </w:t>
      </w:r>
      <w:r w:rsidR="00627A43" w:rsidRPr="009D7237">
        <w:rPr>
          <w:rFonts w:cstheme="minorHAnsi"/>
          <w:lang w:eastAsia="en-GB"/>
        </w:rPr>
        <w:t xml:space="preserve">anticoagulation </w:t>
      </w:r>
      <w:r w:rsidR="009C564A" w:rsidRPr="009D7237">
        <w:rPr>
          <w:rFonts w:cstheme="minorHAnsi"/>
          <w:lang w:eastAsia="en-GB"/>
        </w:rPr>
        <w:t xml:space="preserve">service </w:t>
      </w:r>
      <w:r w:rsidR="00627A43" w:rsidRPr="009D7237">
        <w:rPr>
          <w:rFonts w:cstheme="minorHAnsi"/>
          <w:lang w:eastAsia="en-GB"/>
        </w:rPr>
        <w:t xml:space="preserve">is </w:t>
      </w:r>
      <w:r w:rsidR="009C564A" w:rsidRPr="009D7237">
        <w:rPr>
          <w:rFonts w:cstheme="minorHAnsi"/>
          <w:lang w:eastAsia="en-GB"/>
        </w:rPr>
        <w:t>provided by Croydon University Hospital (CUH)</w:t>
      </w:r>
      <w:r w:rsidR="00B309CF" w:rsidRPr="009D7237">
        <w:rPr>
          <w:rFonts w:cstheme="minorHAnsi"/>
          <w:lang w:eastAsia="en-GB"/>
        </w:rPr>
        <w:t xml:space="preserve">. This service </w:t>
      </w:r>
      <w:r w:rsidR="009C564A" w:rsidRPr="009D7237">
        <w:rPr>
          <w:rFonts w:cstheme="minorHAnsi"/>
          <w:lang w:eastAsia="en-GB"/>
        </w:rPr>
        <w:t xml:space="preserve">provides </w:t>
      </w:r>
      <w:r w:rsidR="00B309CF" w:rsidRPr="009D7237">
        <w:rPr>
          <w:rFonts w:cstheme="minorHAnsi"/>
          <w:lang w:eastAsia="en-GB"/>
        </w:rPr>
        <w:t>anticoagulation</w:t>
      </w:r>
      <w:r w:rsidR="009C564A" w:rsidRPr="009D7237">
        <w:rPr>
          <w:rFonts w:cstheme="minorHAnsi"/>
          <w:lang w:eastAsia="en-GB"/>
        </w:rPr>
        <w:t xml:space="preserve"> for all other patient groups</w:t>
      </w:r>
      <w:r w:rsidR="00BE5993" w:rsidRPr="009D7237">
        <w:rPr>
          <w:rFonts w:cstheme="minorHAnsi"/>
          <w:lang w:eastAsia="en-GB"/>
        </w:rPr>
        <w:t xml:space="preserve"> who do not fit the criteria for the Boots </w:t>
      </w:r>
      <w:r w:rsidR="009D7237" w:rsidRPr="009D7237">
        <w:rPr>
          <w:rFonts w:cstheme="minorHAnsi"/>
          <w:lang w:eastAsia="en-GB"/>
        </w:rPr>
        <w:t xml:space="preserve">AF Warfarin community anticoagulation service. </w:t>
      </w:r>
      <w:r w:rsidR="009D7237">
        <w:rPr>
          <w:rFonts w:cstheme="minorHAnsi"/>
          <w:lang w:eastAsia="en-GB"/>
        </w:rPr>
        <w:t>This includes the provision of a full range of anticoagulant medications</w:t>
      </w:r>
      <w:r>
        <w:rPr>
          <w:rFonts w:cstheme="minorHAnsi"/>
          <w:lang w:eastAsia="en-GB"/>
        </w:rPr>
        <w:t xml:space="preserve"> and treatments</w:t>
      </w:r>
      <w:r w:rsidR="009D7237">
        <w:rPr>
          <w:rFonts w:cstheme="minorHAnsi"/>
          <w:lang w:eastAsia="en-GB"/>
        </w:rPr>
        <w:t xml:space="preserve"> for people </w:t>
      </w:r>
      <w:r w:rsidR="00BE5993" w:rsidRPr="009D7237">
        <w:rPr>
          <w:rFonts w:cstheme="minorHAnsi"/>
          <w:lang w:eastAsia="en-GB"/>
        </w:rPr>
        <w:t>with</w:t>
      </w:r>
      <w:r w:rsidR="00627A43" w:rsidRPr="009D7237">
        <w:rPr>
          <w:rFonts w:cstheme="minorHAnsi"/>
          <w:lang w:eastAsia="en-GB"/>
        </w:rPr>
        <w:t xml:space="preserve"> complex comorbidities, or </w:t>
      </w:r>
      <w:r w:rsidR="009D7237">
        <w:rPr>
          <w:rFonts w:cstheme="minorHAnsi"/>
          <w:lang w:eastAsia="en-GB"/>
        </w:rPr>
        <w:t xml:space="preserve">for </w:t>
      </w:r>
      <w:r>
        <w:rPr>
          <w:rFonts w:cstheme="minorHAnsi"/>
          <w:lang w:eastAsia="en-GB"/>
        </w:rPr>
        <w:t>people who</w:t>
      </w:r>
      <w:r w:rsidR="00627A43" w:rsidRPr="009D7237">
        <w:rPr>
          <w:rFonts w:cstheme="minorHAnsi"/>
          <w:lang w:eastAsia="en-GB"/>
        </w:rPr>
        <w:t xml:space="preserve"> require frequent specialist monitoring. </w:t>
      </w:r>
      <w:r w:rsidR="009D7237">
        <w:rPr>
          <w:rFonts w:cstheme="minorHAnsi"/>
          <w:lang w:eastAsia="en-GB"/>
        </w:rPr>
        <w:t>In addition, t</w:t>
      </w:r>
      <w:r w:rsidR="00BE5993" w:rsidRPr="009D7237">
        <w:rPr>
          <w:rFonts w:cstheme="minorHAnsi"/>
          <w:lang w:eastAsia="en-GB"/>
        </w:rPr>
        <w:t>he CUH service provides a domiciliary</w:t>
      </w:r>
      <w:r w:rsidR="009D7237" w:rsidRPr="009D7237">
        <w:rPr>
          <w:rFonts w:cstheme="minorHAnsi"/>
          <w:lang w:eastAsia="en-GB"/>
        </w:rPr>
        <w:t xml:space="preserve"> service for bed-bound patients across the anticoagulation pathway.</w:t>
      </w:r>
      <w:r w:rsidR="009D7237">
        <w:rPr>
          <w:rFonts w:cstheme="minorHAnsi"/>
          <w:lang w:eastAsia="en-GB"/>
        </w:rPr>
        <w:t xml:space="preserve"> </w:t>
      </w:r>
    </w:p>
    <w:p w:rsidR="003A162D" w:rsidRDefault="003A162D" w:rsidP="003A162D">
      <w:pPr>
        <w:spacing w:after="0" w:line="240" w:lineRule="auto"/>
        <w:rPr>
          <w:rFonts w:cstheme="minorHAnsi"/>
          <w:lang w:eastAsia="en-GB"/>
        </w:rPr>
      </w:pPr>
    </w:p>
    <w:p w:rsidR="002F060B" w:rsidRPr="00B9429D" w:rsidRDefault="00BE5993" w:rsidP="002F060B">
      <w:pPr>
        <w:keepNext/>
        <w:numPr>
          <w:ilvl w:val="1"/>
          <w:numId w:val="0"/>
        </w:numPr>
        <w:tabs>
          <w:tab w:val="num" w:pos="720"/>
        </w:tabs>
        <w:spacing w:before="60" w:after="60" w:line="240" w:lineRule="auto"/>
        <w:ind w:left="720" w:hanging="720"/>
        <w:jc w:val="both"/>
        <w:outlineLvl w:val="1"/>
        <w:rPr>
          <w:rFonts w:eastAsia="Arial" w:cstheme="minorHAnsi"/>
          <w:bCs/>
          <w:iCs/>
          <w:lang w:eastAsia="en-GB"/>
        </w:rPr>
      </w:pPr>
      <w:r w:rsidRPr="008C488E">
        <w:rPr>
          <w:rFonts w:cstheme="minorHAnsi"/>
          <w:lang w:eastAsia="en-GB"/>
        </w:rPr>
        <w:t xml:space="preserve">3.4 </w:t>
      </w:r>
      <w:bookmarkStart w:id="6" w:name="_Toc160245617"/>
      <w:bookmarkStart w:id="7" w:name="_Toc160947921"/>
      <w:bookmarkStart w:id="8" w:name="_Toc160959938"/>
      <w:bookmarkStart w:id="9" w:name="_Toc380067631"/>
      <w:r w:rsidR="008C488E" w:rsidRPr="008C488E">
        <w:rPr>
          <w:rFonts w:eastAsia="Arial" w:cstheme="minorHAnsi"/>
          <w:bCs/>
          <w:iCs/>
          <w:lang w:eastAsia="en-GB"/>
        </w:rPr>
        <w:t>Scope of s</w:t>
      </w:r>
      <w:r w:rsidR="002F060B" w:rsidRPr="00B9429D">
        <w:rPr>
          <w:rFonts w:eastAsia="Arial" w:cstheme="minorHAnsi"/>
          <w:bCs/>
          <w:iCs/>
          <w:lang w:eastAsia="en-GB"/>
        </w:rPr>
        <w:t>ervices</w:t>
      </w:r>
      <w:bookmarkEnd w:id="6"/>
      <w:bookmarkEnd w:id="7"/>
      <w:bookmarkEnd w:id="8"/>
      <w:bookmarkEnd w:id="9"/>
    </w:p>
    <w:p w:rsidR="002F060B" w:rsidRPr="00B9429D" w:rsidRDefault="002F060B" w:rsidP="002F060B">
      <w:pPr>
        <w:spacing w:after="0" w:line="240" w:lineRule="auto"/>
        <w:rPr>
          <w:rFonts w:eastAsia="Times New Roman" w:cstheme="minorHAnsi"/>
          <w:lang w:eastAsia="en-GB"/>
        </w:rPr>
      </w:pPr>
      <w:r w:rsidRPr="00B9429D" w:rsidDel="00D358BE">
        <w:rPr>
          <w:rFonts w:eastAsia="Times New Roman" w:cstheme="minorHAnsi"/>
          <w:lang w:eastAsia="en-GB"/>
        </w:rPr>
        <w:t xml:space="preserve">The scope of </w:t>
      </w:r>
      <w:r w:rsidRPr="00B9429D">
        <w:rPr>
          <w:rFonts w:eastAsia="Times New Roman" w:cstheme="minorHAnsi"/>
          <w:lang w:eastAsia="en-GB"/>
        </w:rPr>
        <w:t xml:space="preserve">the </w:t>
      </w:r>
      <w:r w:rsidR="00987E51">
        <w:rPr>
          <w:rFonts w:eastAsia="Times New Roman" w:cstheme="minorHAnsi"/>
          <w:lang w:eastAsia="en-GB"/>
        </w:rPr>
        <w:t>service</w:t>
      </w:r>
      <w:r w:rsidRPr="00B9429D">
        <w:rPr>
          <w:rFonts w:eastAsia="Times New Roman" w:cstheme="minorHAnsi"/>
          <w:lang w:eastAsia="en-GB"/>
        </w:rPr>
        <w:t xml:space="preserve"> for procuremen</w:t>
      </w:r>
      <w:r w:rsidR="00517062">
        <w:rPr>
          <w:rFonts w:eastAsia="Times New Roman" w:cstheme="minorHAnsi"/>
          <w:lang w:eastAsia="en-GB"/>
        </w:rPr>
        <w:t xml:space="preserve">t has been developed by Croydon </w:t>
      </w:r>
      <w:r w:rsidRPr="00B9429D">
        <w:rPr>
          <w:rFonts w:eastAsia="Times New Roman" w:cstheme="minorHAnsi"/>
          <w:lang w:eastAsia="en-GB"/>
        </w:rPr>
        <w:t xml:space="preserve">CCG </w:t>
      </w:r>
      <w:r w:rsidR="00987E51">
        <w:rPr>
          <w:rFonts w:eastAsia="Times New Roman" w:cstheme="minorHAnsi"/>
          <w:lang w:eastAsia="en-GB"/>
        </w:rPr>
        <w:t>in response to</w:t>
      </w:r>
      <w:r w:rsidRPr="00B9429D">
        <w:rPr>
          <w:rFonts w:eastAsia="Times New Roman" w:cstheme="minorHAnsi"/>
          <w:lang w:eastAsia="en-GB"/>
        </w:rPr>
        <w:t xml:space="preserve"> th</w:t>
      </w:r>
      <w:r>
        <w:rPr>
          <w:rFonts w:eastAsia="Times New Roman" w:cstheme="minorHAnsi"/>
          <w:lang w:eastAsia="en-GB"/>
        </w:rPr>
        <w:t xml:space="preserve">e needs of the local community. </w:t>
      </w:r>
    </w:p>
    <w:p w:rsidR="00BE5993" w:rsidRPr="00BE5993" w:rsidRDefault="00BE5993" w:rsidP="003A162D">
      <w:pPr>
        <w:spacing w:after="0" w:line="240" w:lineRule="auto"/>
        <w:rPr>
          <w:rFonts w:cstheme="minorHAnsi"/>
          <w:b/>
          <w:lang w:eastAsia="en-GB"/>
        </w:rPr>
      </w:pPr>
    </w:p>
    <w:p w:rsidR="002F060B" w:rsidRPr="002F060B" w:rsidRDefault="00BE5993" w:rsidP="00652ECF">
      <w:pPr>
        <w:spacing w:after="0" w:line="240" w:lineRule="auto"/>
        <w:rPr>
          <w:rFonts w:eastAsia="Arial" w:cstheme="minorHAnsi"/>
          <w:snapToGrid w:val="0"/>
          <w:lang w:eastAsia="en-GB"/>
        </w:rPr>
      </w:pPr>
      <w:r>
        <w:rPr>
          <w:rFonts w:cstheme="minorHAnsi"/>
          <w:lang w:eastAsia="en-GB"/>
        </w:rPr>
        <w:t>The CCG is seeking to procure a</w:t>
      </w:r>
      <w:r w:rsidR="00D64F1D">
        <w:rPr>
          <w:rFonts w:cstheme="minorHAnsi"/>
          <w:lang w:eastAsia="en-GB"/>
        </w:rPr>
        <w:t>n I</w:t>
      </w:r>
      <w:r w:rsidR="0020671C">
        <w:rPr>
          <w:rFonts w:cstheme="minorHAnsi"/>
          <w:lang w:eastAsia="en-GB"/>
        </w:rPr>
        <w:t>ntegrated</w:t>
      </w:r>
      <w:r w:rsidR="00D64F1D">
        <w:rPr>
          <w:rFonts w:cstheme="minorHAnsi"/>
          <w:lang w:eastAsia="en-GB"/>
        </w:rPr>
        <w:t xml:space="preserve"> Community Anticoagulation S</w:t>
      </w:r>
      <w:r>
        <w:rPr>
          <w:rFonts w:cstheme="minorHAnsi"/>
          <w:lang w:eastAsia="en-GB"/>
        </w:rPr>
        <w:t xml:space="preserve">ervice. </w:t>
      </w:r>
      <w:r w:rsidR="00517062">
        <w:rPr>
          <w:rFonts w:cstheme="minorHAnsi"/>
        </w:rPr>
        <w:t>The</w:t>
      </w:r>
      <w:r w:rsidR="0020671C" w:rsidRPr="005A1D45">
        <w:rPr>
          <w:rFonts w:cstheme="minorHAnsi"/>
        </w:rPr>
        <w:t xml:space="preserve"> </w:t>
      </w:r>
      <w:r w:rsidR="0020671C">
        <w:rPr>
          <w:rFonts w:cstheme="minorHAnsi"/>
        </w:rPr>
        <w:t>CCG has not mandated a specific way of delivering the</w:t>
      </w:r>
      <w:r w:rsidR="0020671C" w:rsidRPr="005A1D45">
        <w:rPr>
          <w:rFonts w:cstheme="minorHAnsi"/>
        </w:rPr>
        <w:t xml:space="preserve"> </w:t>
      </w:r>
      <w:r w:rsidR="0020671C">
        <w:rPr>
          <w:rFonts w:cstheme="minorHAnsi"/>
        </w:rPr>
        <w:t xml:space="preserve">service, </w:t>
      </w:r>
      <w:r w:rsidR="00517062">
        <w:rPr>
          <w:rFonts w:cstheme="minorHAnsi"/>
        </w:rPr>
        <w:t xml:space="preserve">and </w:t>
      </w:r>
      <w:r w:rsidR="0020671C">
        <w:rPr>
          <w:rFonts w:cstheme="minorHAnsi"/>
        </w:rPr>
        <w:t>providers are encouraged to</w:t>
      </w:r>
      <w:r w:rsidR="00D64F1D">
        <w:rPr>
          <w:rFonts w:cstheme="minorHAnsi"/>
        </w:rPr>
        <w:t xml:space="preserve"> propose</w:t>
      </w:r>
      <w:r w:rsidR="0020671C">
        <w:rPr>
          <w:rFonts w:cstheme="minorHAnsi"/>
        </w:rPr>
        <w:t xml:space="preserve"> innovative </w:t>
      </w:r>
      <w:r w:rsidR="00D64F1D">
        <w:rPr>
          <w:rFonts w:cstheme="minorHAnsi"/>
        </w:rPr>
        <w:t xml:space="preserve">ways </w:t>
      </w:r>
      <w:r w:rsidR="0020671C">
        <w:rPr>
          <w:rFonts w:cstheme="minorHAnsi"/>
        </w:rPr>
        <w:t xml:space="preserve">to deliver </w:t>
      </w:r>
      <w:r w:rsidR="00C935D0">
        <w:rPr>
          <w:rFonts w:cstheme="minorHAnsi"/>
        </w:rPr>
        <w:t>the service</w:t>
      </w:r>
      <w:r w:rsidR="0020671C">
        <w:rPr>
          <w:rFonts w:cstheme="minorHAnsi"/>
        </w:rPr>
        <w:t xml:space="preserve"> out of hospital.</w:t>
      </w:r>
      <w:r w:rsidR="00652ECF">
        <w:rPr>
          <w:rFonts w:cstheme="minorHAnsi"/>
        </w:rPr>
        <w:t xml:space="preserve"> </w:t>
      </w:r>
      <w:r w:rsidR="00652ECF">
        <w:rPr>
          <w:rFonts w:eastAsia="Arial" w:cstheme="minorHAnsi"/>
          <w:lang w:eastAsia="en-GB"/>
        </w:rPr>
        <w:t xml:space="preserve">A key objective of the service will be to clearly </w:t>
      </w:r>
      <w:r w:rsidR="00652ECF" w:rsidRPr="00B9429D">
        <w:rPr>
          <w:rFonts w:eastAsia="Arial" w:cstheme="minorHAnsi"/>
          <w:snapToGrid w:val="0"/>
          <w:lang w:eastAsia="en-GB"/>
        </w:rPr>
        <w:t xml:space="preserve">demonstrate a movement in the </w:t>
      </w:r>
      <w:r w:rsidR="00652ECF">
        <w:rPr>
          <w:rFonts w:eastAsia="Arial" w:cstheme="minorHAnsi"/>
          <w:snapToGrid w:val="0"/>
          <w:lang w:eastAsia="en-GB"/>
        </w:rPr>
        <w:t xml:space="preserve">existing </w:t>
      </w:r>
      <w:r w:rsidR="00652ECF" w:rsidRPr="00B9429D">
        <w:rPr>
          <w:rFonts w:eastAsia="Arial" w:cstheme="minorHAnsi"/>
          <w:snapToGrid w:val="0"/>
          <w:lang w:eastAsia="en-GB"/>
        </w:rPr>
        <w:t>clinical threshold for accessing</w:t>
      </w:r>
      <w:r w:rsidR="00652ECF">
        <w:rPr>
          <w:rFonts w:eastAsia="Arial" w:cstheme="minorHAnsi"/>
          <w:snapToGrid w:val="0"/>
          <w:lang w:eastAsia="en-GB"/>
        </w:rPr>
        <w:t xml:space="preserve"> community</w:t>
      </w:r>
      <w:r w:rsidR="00652ECF" w:rsidRPr="00B9429D">
        <w:rPr>
          <w:rFonts w:eastAsia="Arial" w:cstheme="minorHAnsi"/>
          <w:snapToGrid w:val="0"/>
          <w:lang w:eastAsia="en-GB"/>
        </w:rPr>
        <w:t xml:space="preserve"> services for assessment, diagnosis and treatment</w:t>
      </w:r>
      <w:r w:rsidR="00652ECF">
        <w:rPr>
          <w:rFonts w:eastAsia="Arial" w:cstheme="minorHAnsi"/>
          <w:snapToGrid w:val="0"/>
          <w:lang w:eastAsia="en-GB"/>
        </w:rPr>
        <w:t>, with a view to moving the majority</w:t>
      </w:r>
      <w:r w:rsidR="00517062">
        <w:rPr>
          <w:rFonts w:eastAsia="Arial" w:cstheme="minorHAnsi"/>
          <w:snapToGrid w:val="0"/>
          <w:lang w:eastAsia="en-GB"/>
        </w:rPr>
        <w:t xml:space="preserve"> of</w:t>
      </w:r>
      <w:r w:rsidR="00652ECF">
        <w:rPr>
          <w:rFonts w:eastAsia="Arial" w:cstheme="minorHAnsi"/>
          <w:snapToGrid w:val="0"/>
          <w:lang w:eastAsia="en-GB"/>
        </w:rPr>
        <w:t xml:space="preserve">, or all </w:t>
      </w:r>
      <w:r w:rsidR="00A9023C">
        <w:rPr>
          <w:rFonts w:eastAsia="Arial" w:cstheme="minorHAnsi"/>
          <w:snapToGrid w:val="0"/>
          <w:lang w:eastAsia="en-GB"/>
        </w:rPr>
        <w:t xml:space="preserve">of the exiting </w:t>
      </w:r>
      <w:r w:rsidR="00652ECF">
        <w:rPr>
          <w:rFonts w:eastAsia="Arial" w:cstheme="minorHAnsi"/>
          <w:snapToGrid w:val="0"/>
          <w:lang w:eastAsia="en-GB"/>
        </w:rPr>
        <w:t>anticoagulation care into</w:t>
      </w:r>
      <w:r w:rsidR="00A9023C">
        <w:rPr>
          <w:rFonts w:eastAsia="Arial" w:cstheme="minorHAnsi"/>
          <w:snapToGrid w:val="0"/>
          <w:lang w:eastAsia="en-GB"/>
        </w:rPr>
        <w:t xml:space="preserve"> </w:t>
      </w:r>
      <w:r w:rsidR="0087623C">
        <w:rPr>
          <w:rFonts w:eastAsia="Arial" w:cstheme="minorHAnsi"/>
          <w:snapToGrid w:val="0"/>
          <w:lang w:eastAsia="en-GB"/>
        </w:rPr>
        <w:t>the</w:t>
      </w:r>
      <w:r w:rsidR="00652ECF">
        <w:rPr>
          <w:rFonts w:eastAsia="Arial" w:cstheme="minorHAnsi"/>
          <w:snapToGrid w:val="0"/>
          <w:lang w:eastAsia="en-GB"/>
        </w:rPr>
        <w:t xml:space="preserve"> community </w:t>
      </w:r>
      <w:r w:rsidR="00A9023C">
        <w:rPr>
          <w:rFonts w:eastAsia="Arial" w:cstheme="minorHAnsi"/>
          <w:snapToGrid w:val="0"/>
          <w:lang w:eastAsia="en-GB"/>
        </w:rPr>
        <w:t xml:space="preserve">setting </w:t>
      </w:r>
      <w:r w:rsidR="0087623C">
        <w:rPr>
          <w:rFonts w:eastAsia="Arial" w:cstheme="minorHAnsi"/>
          <w:snapToGrid w:val="0"/>
          <w:lang w:eastAsia="en-GB"/>
        </w:rPr>
        <w:t xml:space="preserve">as </w:t>
      </w:r>
      <w:r w:rsidR="00A9023C">
        <w:rPr>
          <w:rFonts w:eastAsia="Arial" w:cstheme="minorHAnsi"/>
          <w:snapToGrid w:val="0"/>
          <w:lang w:eastAsia="en-GB"/>
        </w:rPr>
        <w:t xml:space="preserve">outlined below: </w:t>
      </w:r>
    </w:p>
    <w:p w:rsidR="00652ECF" w:rsidRPr="005A1D45" w:rsidRDefault="00652ECF" w:rsidP="00BE5993">
      <w:pPr>
        <w:spacing w:after="0" w:line="240" w:lineRule="auto"/>
        <w:rPr>
          <w:rFonts w:cstheme="minorHAnsi"/>
        </w:rPr>
      </w:pPr>
    </w:p>
    <w:p w:rsidR="0020671C" w:rsidRDefault="008C488E" w:rsidP="008C488E">
      <w:pPr>
        <w:pStyle w:val="ListParagraph"/>
        <w:spacing w:after="0" w:line="240" w:lineRule="auto"/>
        <w:ind w:left="426"/>
        <w:rPr>
          <w:rFonts w:cstheme="minorHAnsi"/>
        </w:rPr>
      </w:pP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. </w:t>
      </w:r>
      <w:r w:rsidR="0020671C" w:rsidRPr="0020671C">
        <w:rPr>
          <w:rFonts w:cstheme="minorHAnsi"/>
        </w:rPr>
        <w:t xml:space="preserve">Non-complex </w:t>
      </w:r>
      <w:r w:rsidR="0020671C">
        <w:rPr>
          <w:rFonts w:cstheme="minorHAnsi"/>
        </w:rPr>
        <w:t xml:space="preserve">anticoagulation </w:t>
      </w:r>
      <w:r w:rsidR="0020671C" w:rsidRPr="0020671C">
        <w:rPr>
          <w:rFonts w:cstheme="minorHAnsi"/>
        </w:rPr>
        <w:t xml:space="preserve">care </w:t>
      </w:r>
      <w:r w:rsidR="00D53BC9">
        <w:rPr>
          <w:rFonts w:cstheme="minorHAnsi"/>
        </w:rPr>
        <w:t>for patients with a range of conditions and comorbidities</w:t>
      </w:r>
      <w:r>
        <w:rPr>
          <w:rFonts w:cstheme="minorHAnsi"/>
        </w:rPr>
        <w:t xml:space="preserve"> e.g. </w:t>
      </w:r>
    </w:p>
    <w:p w:rsidR="00D53BC9" w:rsidRDefault="00D53BC9" w:rsidP="00D53BC9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 w:rsidRPr="00652ECF">
        <w:rPr>
          <w:rFonts w:cstheme="minorHAnsi"/>
        </w:rPr>
        <w:t>Initiation</w:t>
      </w:r>
      <w:r>
        <w:rPr>
          <w:rFonts w:cstheme="minorHAnsi"/>
        </w:rPr>
        <w:t>, monitoring and cessation of</w:t>
      </w:r>
      <w:r w:rsidRPr="00652ECF">
        <w:rPr>
          <w:rFonts w:cstheme="minorHAnsi"/>
        </w:rPr>
        <w:t xml:space="preserve"> Warfarin</w:t>
      </w:r>
    </w:p>
    <w:p w:rsidR="00D53BC9" w:rsidRDefault="00D53BC9" w:rsidP="00D53BC9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Initiation and cessation of</w:t>
      </w:r>
      <w:r w:rsidRPr="00652ECF">
        <w:rPr>
          <w:rFonts w:cstheme="minorHAnsi"/>
        </w:rPr>
        <w:t xml:space="preserve"> LWMH </w:t>
      </w:r>
    </w:p>
    <w:p w:rsidR="00D53BC9" w:rsidRPr="003C2DC2" w:rsidRDefault="00D53BC9" w:rsidP="00D53BC9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 xml:space="preserve">Initiation of </w:t>
      </w:r>
      <w:r w:rsidRPr="00652ECF">
        <w:rPr>
          <w:rFonts w:cstheme="minorHAnsi"/>
        </w:rPr>
        <w:t xml:space="preserve">Direct </w:t>
      </w:r>
      <w:r>
        <w:rPr>
          <w:rFonts w:cstheme="minorHAnsi"/>
        </w:rPr>
        <w:t xml:space="preserve">Oral </w:t>
      </w:r>
      <w:r w:rsidRPr="00D53BC9">
        <w:rPr>
          <w:rFonts w:cstheme="minorHAnsi"/>
        </w:rPr>
        <w:t xml:space="preserve">Anticoagulants (DOACs) </w:t>
      </w:r>
    </w:p>
    <w:p w:rsidR="00D53BC9" w:rsidRDefault="00D53BC9" w:rsidP="00D53BC9">
      <w:pPr>
        <w:pStyle w:val="ListParagraph"/>
        <w:spacing w:after="0" w:line="240" w:lineRule="auto"/>
        <w:ind w:left="1418"/>
        <w:rPr>
          <w:rFonts w:cstheme="minorHAnsi"/>
        </w:rPr>
      </w:pPr>
    </w:p>
    <w:p w:rsidR="00D53BC9" w:rsidRPr="008C488E" w:rsidRDefault="00652ECF" w:rsidP="008C488E">
      <w:pPr>
        <w:pStyle w:val="ListParagraph"/>
        <w:numPr>
          <w:ilvl w:val="0"/>
          <w:numId w:val="12"/>
        </w:numPr>
        <w:spacing w:after="0" w:line="240" w:lineRule="auto"/>
        <w:ind w:left="709" w:hanging="283"/>
        <w:rPr>
          <w:rFonts w:cstheme="minorHAnsi"/>
        </w:rPr>
      </w:pPr>
      <w:r w:rsidRPr="008C488E">
        <w:rPr>
          <w:rFonts w:cstheme="minorHAnsi"/>
        </w:rPr>
        <w:t>Complex care to be delivered in a community setting</w:t>
      </w:r>
      <w:r w:rsidR="004A2307" w:rsidRPr="008C488E">
        <w:rPr>
          <w:rFonts w:cstheme="minorHAnsi"/>
        </w:rPr>
        <w:t>, which may require consultant or medical review</w:t>
      </w:r>
      <w:r w:rsidR="00D53BC9" w:rsidRPr="008C488E">
        <w:rPr>
          <w:rFonts w:cstheme="minorHAnsi"/>
        </w:rPr>
        <w:t xml:space="preserve"> for patients with a range of conditions with complex comorbidities, or for people who require frequent specialist  input/review </w:t>
      </w:r>
      <w:r w:rsidR="008C488E">
        <w:rPr>
          <w:rFonts w:cstheme="minorHAnsi"/>
        </w:rPr>
        <w:t>e.g.</w:t>
      </w:r>
    </w:p>
    <w:p w:rsidR="00D53BC9" w:rsidRDefault="00652ECF" w:rsidP="003C2DC2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 w:rsidRPr="00652ECF">
        <w:rPr>
          <w:rFonts w:cstheme="minorHAnsi"/>
        </w:rPr>
        <w:t>Initiation</w:t>
      </w:r>
      <w:r w:rsidR="00D53BC9">
        <w:rPr>
          <w:rFonts w:cstheme="minorHAnsi"/>
        </w:rPr>
        <w:t>, monitoring and cessation</w:t>
      </w:r>
      <w:r>
        <w:rPr>
          <w:rFonts w:cstheme="minorHAnsi"/>
        </w:rPr>
        <w:t xml:space="preserve"> of</w:t>
      </w:r>
      <w:r w:rsidRPr="00652ECF">
        <w:rPr>
          <w:rFonts w:cstheme="minorHAnsi"/>
        </w:rPr>
        <w:t xml:space="preserve"> Warfarin</w:t>
      </w:r>
    </w:p>
    <w:p w:rsidR="00652ECF" w:rsidRDefault="00D53BC9" w:rsidP="00D53BC9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Initiation and cessation of</w:t>
      </w:r>
      <w:r w:rsidR="00652ECF" w:rsidRPr="00652ECF">
        <w:rPr>
          <w:rFonts w:cstheme="minorHAnsi"/>
        </w:rPr>
        <w:t xml:space="preserve"> LWMH </w:t>
      </w:r>
    </w:p>
    <w:p w:rsidR="00D53BC9" w:rsidRDefault="00D53BC9" w:rsidP="00D53BC9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lastRenderedPageBreak/>
        <w:t xml:space="preserve">Initiation of </w:t>
      </w:r>
      <w:r w:rsidRPr="00652ECF">
        <w:rPr>
          <w:rFonts w:cstheme="minorHAnsi"/>
        </w:rPr>
        <w:t xml:space="preserve">Direct </w:t>
      </w:r>
      <w:r>
        <w:rPr>
          <w:rFonts w:cstheme="minorHAnsi"/>
        </w:rPr>
        <w:t xml:space="preserve">Oral </w:t>
      </w:r>
      <w:r w:rsidRPr="00D53BC9">
        <w:rPr>
          <w:rFonts w:cstheme="minorHAnsi"/>
        </w:rPr>
        <w:t xml:space="preserve">Anticoagulants (DOACs) </w:t>
      </w:r>
    </w:p>
    <w:p w:rsidR="004E0BB7" w:rsidRDefault="00AE2D8C" w:rsidP="004E0BB7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 w:rsidRPr="00D53BC9">
        <w:rPr>
          <w:rFonts w:cstheme="minorHAnsi"/>
        </w:rPr>
        <w:t>Bridging</w:t>
      </w:r>
    </w:p>
    <w:p w:rsidR="004E0BB7" w:rsidRDefault="004E0BB7" w:rsidP="004E0BB7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 w:rsidRPr="004E0BB7">
        <w:rPr>
          <w:rFonts w:cstheme="minorHAnsi"/>
        </w:rPr>
        <w:t xml:space="preserve">Counselling for patients unstable on Warfarin an and consideration of alternative </w:t>
      </w:r>
      <w:r>
        <w:rPr>
          <w:rFonts w:cstheme="minorHAnsi"/>
        </w:rPr>
        <w:t xml:space="preserve"> </w:t>
      </w:r>
    </w:p>
    <w:p w:rsidR="004E0BB7" w:rsidRPr="004E0BB7" w:rsidRDefault="004E0BB7" w:rsidP="004E0BB7">
      <w:pPr>
        <w:pStyle w:val="ListParagraph"/>
        <w:spacing w:after="0" w:line="240" w:lineRule="auto"/>
        <w:ind w:left="993"/>
        <w:rPr>
          <w:rFonts w:cstheme="minorHAnsi"/>
        </w:rPr>
      </w:pPr>
      <w:r>
        <w:rPr>
          <w:rFonts w:cstheme="minorHAnsi"/>
        </w:rPr>
        <w:t xml:space="preserve">         </w:t>
      </w:r>
      <w:proofErr w:type="gramStart"/>
      <w:r w:rsidRPr="004E0BB7">
        <w:rPr>
          <w:rFonts w:cstheme="minorHAnsi"/>
        </w:rPr>
        <w:t>treatment</w:t>
      </w:r>
      <w:proofErr w:type="gramEnd"/>
    </w:p>
    <w:p w:rsidR="004E0BB7" w:rsidRPr="004E0BB7" w:rsidRDefault="004E0BB7" w:rsidP="004E0BB7">
      <w:pPr>
        <w:spacing w:after="0" w:line="240" w:lineRule="auto"/>
        <w:rPr>
          <w:rFonts w:cstheme="minorHAnsi"/>
        </w:rPr>
      </w:pPr>
    </w:p>
    <w:p w:rsidR="002327E4" w:rsidRDefault="008C488E" w:rsidP="000C6DE4">
      <w:pPr>
        <w:tabs>
          <w:tab w:val="left" w:pos="993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NB. </w:t>
      </w:r>
      <w:r w:rsidR="0051542E">
        <w:rPr>
          <w:rFonts w:cstheme="minorHAnsi"/>
        </w:rPr>
        <w:t xml:space="preserve">The patients who fit the profile for complex care </w:t>
      </w:r>
      <w:r w:rsidR="002327E4">
        <w:rPr>
          <w:rFonts w:cstheme="minorHAnsi"/>
        </w:rPr>
        <w:t>may include:</w:t>
      </w:r>
    </w:p>
    <w:p w:rsidR="0051542E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Known hereditary or acquired bleeding disorder or thrombophilia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Clinically significant bleeding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Within 72 hours of major surgery with risk of severe bleeding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Within 48 hours postpartum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Pregnancy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Drugs where interactions may lead to significantly increased risk of bleeding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Have had a DVT/PE in the previous month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Congenital heart disease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Liver failure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 xml:space="preserve">Documented evidence of haemorrhage in the previous 6 months including GI and </w:t>
      </w:r>
    </w:p>
    <w:p w:rsidR="002327E4" w:rsidRDefault="002327E4" w:rsidP="002327E4">
      <w:pPr>
        <w:pStyle w:val="ListParagraph"/>
        <w:spacing w:after="0" w:line="240" w:lineRule="auto"/>
        <w:ind w:left="993" w:firstLine="447"/>
        <w:rPr>
          <w:rFonts w:cstheme="minorHAnsi"/>
        </w:rPr>
      </w:pPr>
      <w:proofErr w:type="gramStart"/>
      <w:r>
        <w:rPr>
          <w:rFonts w:cstheme="minorHAnsi"/>
        </w:rPr>
        <w:t>stroke</w:t>
      </w:r>
      <w:proofErr w:type="gramEnd"/>
      <w:r>
        <w:rPr>
          <w:rFonts w:cstheme="minorHAnsi"/>
        </w:rPr>
        <w:t xml:space="preserve"> 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Antiphospholipid syndrome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Children under 18 years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On Chemotherapy for cancer</w:t>
      </w:r>
    </w:p>
    <w:p w:rsidR="0051542E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Substance misuse</w:t>
      </w:r>
    </w:p>
    <w:p w:rsidR="0051542E" w:rsidRPr="000C6DE4" w:rsidRDefault="0051542E" w:rsidP="008C488E">
      <w:pPr>
        <w:tabs>
          <w:tab w:val="left" w:pos="993"/>
        </w:tabs>
        <w:spacing w:after="0" w:line="240" w:lineRule="auto"/>
        <w:ind w:left="426"/>
        <w:rPr>
          <w:rFonts w:cstheme="minorHAnsi"/>
        </w:rPr>
      </w:pPr>
    </w:p>
    <w:p w:rsidR="0051542E" w:rsidRDefault="0051542E" w:rsidP="008C488E">
      <w:pPr>
        <w:pStyle w:val="ListParagraph"/>
        <w:numPr>
          <w:ilvl w:val="0"/>
          <w:numId w:val="12"/>
        </w:numPr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Ongoing clinical review for patients who remain with the service as clinically indicated at least annually</w:t>
      </w:r>
    </w:p>
    <w:p w:rsidR="0051542E" w:rsidRDefault="0051542E" w:rsidP="008C488E">
      <w:pPr>
        <w:pStyle w:val="ListParagraph"/>
        <w:spacing w:after="0" w:line="240" w:lineRule="auto"/>
        <w:ind w:left="709" w:hanging="283"/>
        <w:rPr>
          <w:rFonts w:cstheme="minorHAnsi"/>
        </w:rPr>
      </w:pPr>
    </w:p>
    <w:p w:rsidR="0020671C" w:rsidRDefault="00C935D0" w:rsidP="008C488E">
      <w:pPr>
        <w:pStyle w:val="ListParagraph"/>
        <w:numPr>
          <w:ilvl w:val="0"/>
          <w:numId w:val="12"/>
        </w:numPr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Domiciliary care for both complex and non-complex patients on a range of anticoagul</w:t>
      </w:r>
      <w:r w:rsidR="000C6DE4">
        <w:rPr>
          <w:rFonts w:cstheme="minorHAnsi"/>
        </w:rPr>
        <w:t>ation</w:t>
      </w:r>
      <w:r>
        <w:rPr>
          <w:rFonts w:cstheme="minorHAnsi"/>
        </w:rPr>
        <w:t xml:space="preserve"> medications</w:t>
      </w:r>
    </w:p>
    <w:p w:rsidR="00652ECF" w:rsidRDefault="00652ECF" w:rsidP="008C488E">
      <w:pPr>
        <w:pStyle w:val="ListParagraph"/>
        <w:spacing w:after="0" w:line="240" w:lineRule="auto"/>
        <w:ind w:left="709" w:hanging="283"/>
        <w:rPr>
          <w:rFonts w:cstheme="minorHAnsi"/>
        </w:rPr>
      </w:pPr>
    </w:p>
    <w:p w:rsidR="00854A00" w:rsidRDefault="0051542E" w:rsidP="008C488E">
      <w:pPr>
        <w:pStyle w:val="ListParagraph"/>
        <w:numPr>
          <w:ilvl w:val="0"/>
          <w:numId w:val="12"/>
        </w:numPr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Provision of support for s</w:t>
      </w:r>
      <w:r w:rsidR="00C935D0">
        <w:rPr>
          <w:rFonts w:cstheme="minorHAnsi"/>
        </w:rPr>
        <w:t>elf-monitoring for appropriate patients</w:t>
      </w:r>
      <w:r w:rsidR="000C6DE4">
        <w:rPr>
          <w:rFonts w:cstheme="minorHAnsi"/>
        </w:rPr>
        <w:t xml:space="preserve"> on warfarin</w:t>
      </w:r>
    </w:p>
    <w:p w:rsidR="0090467B" w:rsidRPr="0090467B" w:rsidRDefault="0090467B" w:rsidP="008C488E">
      <w:pPr>
        <w:pStyle w:val="ListParagraph"/>
        <w:ind w:left="709" w:hanging="283"/>
        <w:rPr>
          <w:rFonts w:cstheme="minorHAnsi"/>
        </w:rPr>
      </w:pPr>
    </w:p>
    <w:p w:rsidR="0090467B" w:rsidRDefault="0090467B" w:rsidP="008C488E">
      <w:pPr>
        <w:pStyle w:val="ListParagraph"/>
        <w:numPr>
          <w:ilvl w:val="0"/>
          <w:numId w:val="12"/>
        </w:numPr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Patient and GP education to improve outcomes across the whole anticoagulation pathway</w:t>
      </w:r>
    </w:p>
    <w:p w:rsidR="0090467B" w:rsidRPr="0090467B" w:rsidRDefault="0090467B" w:rsidP="008C488E">
      <w:pPr>
        <w:pStyle w:val="ListParagraph"/>
        <w:ind w:left="709" w:hanging="283"/>
        <w:rPr>
          <w:rFonts w:cstheme="minorHAnsi"/>
        </w:rPr>
      </w:pPr>
    </w:p>
    <w:p w:rsidR="0090467B" w:rsidRDefault="0090467B" w:rsidP="008C488E">
      <w:pPr>
        <w:pStyle w:val="ListParagraph"/>
        <w:numPr>
          <w:ilvl w:val="0"/>
          <w:numId w:val="12"/>
        </w:numPr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Warfarin reversal (vitamin k administration) where clinically appropriate</w:t>
      </w:r>
    </w:p>
    <w:p w:rsidR="00461414" w:rsidRDefault="00461414" w:rsidP="005A1D45">
      <w:pPr>
        <w:spacing w:after="0" w:line="240" w:lineRule="auto"/>
        <w:rPr>
          <w:rFonts w:cstheme="minorHAnsi"/>
        </w:rPr>
      </w:pPr>
    </w:p>
    <w:p w:rsidR="008C488E" w:rsidRPr="008C488E" w:rsidRDefault="008C488E" w:rsidP="008C488E">
      <w:pPr>
        <w:keepNext/>
        <w:numPr>
          <w:ilvl w:val="1"/>
          <w:numId w:val="0"/>
        </w:numPr>
        <w:tabs>
          <w:tab w:val="num" w:pos="720"/>
        </w:tabs>
        <w:spacing w:before="60" w:after="60" w:line="240" w:lineRule="auto"/>
        <w:jc w:val="both"/>
        <w:outlineLvl w:val="1"/>
        <w:rPr>
          <w:rFonts w:eastAsia="Arial" w:cstheme="minorHAnsi"/>
          <w:b/>
          <w:bCs/>
          <w:iCs/>
          <w:lang w:eastAsia="en-GB"/>
        </w:rPr>
      </w:pPr>
      <w:r>
        <w:rPr>
          <w:rFonts w:cstheme="minorHAnsi"/>
          <w:b/>
          <w:lang w:eastAsia="en-GB"/>
        </w:rPr>
        <w:t>4.</w:t>
      </w:r>
      <w:r w:rsidRPr="00BE5993">
        <w:rPr>
          <w:rFonts w:cstheme="minorHAnsi"/>
          <w:b/>
          <w:lang w:eastAsia="en-GB"/>
        </w:rPr>
        <w:t xml:space="preserve"> </w:t>
      </w:r>
      <w:r>
        <w:rPr>
          <w:rFonts w:eastAsia="Arial" w:cstheme="minorHAnsi"/>
          <w:b/>
          <w:bCs/>
          <w:iCs/>
          <w:lang w:eastAsia="en-GB"/>
        </w:rPr>
        <w:t xml:space="preserve">Anticipated activity </w:t>
      </w:r>
    </w:p>
    <w:p w:rsidR="008C488E" w:rsidRDefault="008C488E" w:rsidP="005A1D45">
      <w:pPr>
        <w:spacing w:after="0" w:line="240" w:lineRule="auto"/>
        <w:rPr>
          <w:rFonts w:cstheme="minorHAnsi"/>
        </w:rPr>
      </w:pPr>
    </w:p>
    <w:p w:rsidR="00751B0A" w:rsidRDefault="00751B0A" w:rsidP="005A1D45">
      <w:pPr>
        <w:spacing w:after="0" w:line="240" w:lineRule="auto"/>
        <w:rPr>
          <w:rFonts w:cstheme="minorHAnsi"/>
        </w:rPr>
      </w:pPr>
      <w:r>
        <w:rPr>
          <w:rFonts w:cstheme="minorHAnsi"/>
        </w:rPr>
        <w:t>C</w:t>
      </w:r>
      <w:r w:rsidR="004E0BB7">
        <w:rPr>
          <w:rFonts w:cstheme="minorHAnsi"/>
        </w:rPr>
        <w:t xml:space="preserve">urrently </w:t>
      </w:r>
      <w:r>
        <w:rPr>
          <w:rFonts w:cstheme="minorHAnsi"/>
        </w:rPr>
        <w:t xml:space="preserve">there </w:t>
      </w:r>
      <w:r w:rsidR="00AF1585">
        <w:rPr>
          <w:rFonts w:cstheme="minorHAnsi"/>
        </w:rPr>
        <w:t>are approximately 4000</w:t>
      </w:r>
      <w:r>
        <w:rPr>
          <w:rFonts w:cstheme="minorHAnsi"/>
        </w:rPr>
        <w:t xml:space="preserve"> </w:t>
      </w:r>
      <w:r w:rsidR="004E0BB7">
        <w:rPr>
          <w:rFonts w:cstheme="minorHAnsi"/>
        </w:rPr>
        <w:t>people receiving treatment within the anticoagulation pathway</w:t>
      </w:r>
      <w:r>
        <w:rPr>
          <w:rFonts w:cstheme="minorHAnsi"/>
        </w:rPr>
        <w:t xml:space="preserve"> in Croydon</w:t>
      </w:r>
      <w:r w:rsidR="004E0BB7">
        <w:rPr>
          <w:rFonts w:cstheme="minorHAnsi"/>
        </w:rPr>
        <w:t xml:space="preserve">. </w:t>
      </w:r>
      <w:r>
        <w:rPr>
          <w:rFonts w:cstheme="minorHAnsi"/>
        </w:rPr>
        <w:t>Approximately</w:t>
      </w:r>
      <w:r w:rsidR="009B13A8">
        <w:rPr>
          <w:rFonts w:cstheme="minorHAnsi"/>
        </w:rPr>
        <w:t xml:space="preserve"> 60% of these people are receiving their care in a secondary care setting</w:t>
      </w:r>
      <w:r>
        <w:rPr>
          <w:rFonts w:cstheme="minorHAnsi"/>
        </w:rPr>
        <w:t>.</w:t>
      </w:r>
      <w:r w:rsidR="009B13A8">
        <w:rPr>
          <w:rFonts w:cstheme="minorHAnsi"/>
        </w:rPr>
        <w:t xml:space="preserve"> However, the </w:t>
      </w:r>
      <w:r>
        <w:rPr>
          <w:rFonts w:cstheme="minorHAnsi"/>
        </w:rPr>
        <w:t>CCG are seeking to contract with a provider who will be able to deliver</w:t>
      </w:r>
      <w:r w:rsidR="00933FF2">
        <w:rPr>
          <w:rFonts w:cstheme="minorHAnsi"/>
        </w:rPr>
        <w:t xml:space="preserve"> </w:t>
      </w:r>
      <w:r>
        <w:rPr>
          <w:rFonts w:cstheme="minorHAnsi"/>
        </w:rPr>
        <w:t xml:space="preserve">the majority, if not all anticoagulation care in a community setting. </w:t>
      </w:r>
      <w:r w:rsidR="00A26AD3">
        <w:rPr>
          <w:rFonts w:cstheme="minorHAnsi"/>
        </w:rPr>
        <w:t>It is anticipated that if hospital-based service</w:t>
      </w:r>
      <w:r w:rsidR="00AF1585">
        <w:rPr>
          <w:rFonts w:cstheme="minorHAnsi"/>
        </w:rPr>
        <w:t xml:space="preserve">s are </w:t>
      </w:r>
      <w:r w:rsidR="00A26AD3">
        <w:rPr>
          <w:rFonts w:cstheme="minorHAnsi"/>
        </w:rPr>
        <w:t xml:space="preserve">required, that only </w:t>
      </w:r>
      <w:r w:rsidR="00AF1585">
        <w:rPr>
          <w:rFonts w:cstheme="minorHAnsi"/>
        </w:rPr>
        <w:t>10-15%</w:t>
      </w:r>
      <w:r w:rsidR="00A26AD3">
        <w:rPr>
          <w:rFonts w:cstheme="minorHAnsi"/>
        </w:rPr>
        <w:t xml:space="preserve"> of the service caseload (complex patients) would require treatment in such a setting. </w:t>
      </w:r>
    </w:p>
    <w:p w:rsidR="00751B0A" w:rsidRPr="00517062" w:rsidRDefault="00751B0A" w:rsidP="005A1D45">
      <w:pPr>
        <w:spacing w:after="0" w:line="240" w:lineRule="auto"/>
        <w:rPr>
          <w:rFonts w:cstheme="minorHAnsi"/>
        </w:rPr>
      </w:pPr>
    </w:p>
    <w:p w:rsidR="00A57DF5" w:rsidRDefault="00231ACA" w:rsidP="005A1D4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Below is the current indicative cost range which is subject to further review: </w:t>
      </w:r>
    </w:p>
    <w:p w:rsidR="00A57DF5" w:rsidRDefault="00A57DF5" w:rsidP="005A1D45">
      <w:pPr>
        <w:spacing w:after="0" w:line="240" w:lineRule="auto"/>
        <w:rPr>
          <w:rFonts w:cstheme="minorHAnsi"/>
        </w:rPr>
      </w:pPr>
    </w:p>
    <w:tbl>
      <w:tblPr>
        <w:tblW w:w="5350" w:type="pct"/>
        <w:tblInd w:w="-176" w:type="dxa"/>
        <w:tblLook w:val="04A0" w:firstRow="1" w:lastRow="0" w:firstColumn="1" w:lastColumn="0" w:noHBand="0" w:noVBand="1"/>
      </w:tblPr>
      <w:tblGrid>
        <w:gridCol w:w="2603"/>
        <w:gridCol w:w="3815"/>
        <w:gridCol w:w="3471"/>
      </w:tblGrid>
      <w:tr w:rsidR="00231ACA" w:rsidTr="00677F35">
        <w:trPr>
          <w:trHeight w:val="270"/>
        </w:trPr>
        <w:tc>
          <w:tcPr>
            <w:tcW w:w="1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vAlign w:val="center"/>
            <w:hideMark/>
          </w:tcPr>
          <w:p w:rsidR="00231ACA" w:rsidRDefault="00231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Patient type</w:t>
            </w:r>
          </w:p>
        </w:tc>
        <w:tc>
          <w:tcPr>
            <w:tcW w:w="1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vAlign w:val="center"/>
            <w:hideMark/>
          </w:tcPr>
          <w:p w:rsidR="00231ACA" w:rsidRDefault="00231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Appointment type</w:t>
            </w:r>
          </w:p>
        </w:tc>
        <w:tc>
          <w:tcPr>
            <w:tcW w:w="1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vAlign w:val="center"/>
            <w:hideMark/>
          </w:tcPr>
          <w:p w:rsidR="00231ACA" w:rsidRDefault="00231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Unit cost (indicative, excl. VAT)</w:t>
            </w:r>
          </w:p>
        </w:tc>
      </w:tr>
      <w:tr w:rsidR="00231ACA" w:rsidTr="00677F35">
        <w:trPr>
          <w:trHeight w:val="586"/>
        </w:trPr>
        <w:tc>
          <w:tcPr>
            <w:tcW w:w="13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4D79B"/>
            <w:vAlign w:val="center"/>
          </w:tcPr>
          <w:p w:rsidR="00231ACA" w:rsidRDefault="00231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Non-complex (clinic)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vAlign w:val="center"/>
            <w:hideMark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FA: Warfarin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231ACA" w:rsidRDefault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£30-4</w:t>
            </w:r>
            <w:r w:rsidR="00231ACA"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</w:tr>
      <w:tr w:rsidR="00231ACA" w:rsidTr="00677F35">
        <w:trPr>
          <w:trHeight w:val="6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D79B"/>
            <w:vAlign w:val="center"/>
            <w:hideMark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FU: Warfarin monitoring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77F35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~ £12.50 for each patient that is monitored in a month</w:t>
            </w:r>
            <w:r w:rsidR="00677F35">
              <w:rPr>
                <w:rFonts w:eastAsia="Times New Roman" w:cstheme="minorHAnsi"/>
                <w:color w:val="000000"/>
                <w:lang w:eastAsia="en-GB"/>
              </w:rPr>
              <w:t xml:space="preserve"> (i.e. 12 payments of £12.50 if monitored every month for a year).</w:t>
            </w:r>
          </w:p>
        </w:tc>
      </w:tr>
      <w:tr w:rsidR="00231ACA" w:rsidTr="00677F35">
        <w:trPr>
          <w:trHeight w:val="8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D79B"/>
            <w:vAlign w:val="center"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FA: DOACs or other medication</w:t>
            </w:r>
          </w:p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£40-50</w:t>
            </w:r>
          </w:p>
        </w:tc>
      </w:tr>
      <w:tr w:rsidR="00231ACA" w:rsidTr="00677F3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D79B"/>
            <w:vAlign w:val="center"/>
            <w:hideMark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FU: DOACs or other medication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£20-25  </w:t>
            </w:r>
          </w:p>
        </w:tc>
      </w:tr>
      <w:tr w:rsidR="00677F35" w:rsidTr="00677F35">
        <w:trPr>
          <w:trHeight w:val="772"/>
        </w:trPr>
        <w:tc>
          <w:tcPr>
            <w:tcW w:w="131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4D79B"/>
            <w:vAlign w:val="center"/>
          </w:tcPr>
          <w:p w:rsidR="00677F35" w:rsidRDefault="00677F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677F35" w:rsidRDefault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Non-complex  (domiciliary) </w:t>
            </w:r>
          </w:p>
          <w:p w:rsidR="00677F35" w:rsidRDefault="00677F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D79B"/>
            <w:vAlign w:val="center"/>
            <w:hideMark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FA: Warfarin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£40-50</w:t>
            </w:r>
          </w:p>
        </w:tc>
      </w:tr>
      <w:tr w:rsidR="00677F35" w:rsidTr="00677F35">
        <w:trPr>
          <w:trHeight w:val="694"/>
        </w:trPr>
        <w:tc>
          <w:tcPr>
            <w:tcW w:w="1316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4D79B"/>
            <w:vAlign w:val="center"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D79B"/>
            <w:vAlign w:val="center"/>
            <w:hideMark/>
          </w:tcPr>
          <w:p w:rsidR="00677F35" w:rsidRDefault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FU: Warfarin monitoring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£25-30</w:t>
            </w:r>
          </w:p>
        </w:tc>
      </w:tr>
      <w:tr w:rsidR="00677F35" w:rsidTr="00677F35">
        <w:trPr>
          <w:trHeight w:val="694"/>
        </w:trPr>
        <w:tc>
          <w:tcPr>
            <w:tcW w:w="1316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4D79B"/>
            <w:vAlign w:val="bottom"/>
          </w:tcPr>
          <w:p w:rsidR="00677F35" w:rsidRDefault="00677F35" w:rsidP="00677F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D79B"/>
            <w:vAlign w:val="bottom"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FA: DOACs or other medication</w:t>
            </w:r>
          </w:p>
          <w:p w:rsidR="00677F35" w:rsidRDefault="00677F35" w:rsidP="00677F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£55-60</w:t>
            </w:r>
          </w:p>
        </w:tc>
      </w:tr>
      <w:tr w:rsidR="00677F35" w:rsidTr="00677F35">
        <w:trPr>
          <w:trHeight w:val="694"/>
        </w:trPr>
        <w:tc>
          <w:tcPr>
            <w:tcW w:w="1316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4D79B"/>
            <w:vAlign w:val="center"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D79B"/>
            <w:vAlign w:val="center"/>
          </w:tcPr>
          <w:p w:rsidR="00677F35" w:rsidRDefault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FU: DOACs or other medication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£25-35</w:t>
            </w:r>
          </w:p>
        </w:tc>
      </w:tr>
      <w:tr w:rsidR="00677F35" w:rsidTr="005F5B3B">
        <w:trPr>
          <w:trHeight w:val="747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677F35" w:rsidRDefault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Complex (clinic)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677F35" w:rsidRDefault="00677F35">
            <w:pPr>
              <w:pStyle w:val="ListParagraph"/>
              <w:spacing w:after="0" w:line="240" w:lineRule="auto"/>
              <w:ind w:left="31"/>
              <w:rPr>
                <w:rFonts w:cstheme="minorHAnsi"/>
              </w:rPr>
            </w:pPr>
            <w:r>
              <w:rPr>
                <w:rFonts w:cstheme="minorHAnsi"/>
              </w:rPr>
              <w:t>FA: all medications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  <w:hideMark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£50-55</w:t>
            </w:r>
          </w:p>
        </w:tc>
      </w:tr>
      <w:tr w:rsidR="00677F35" w:rsidTr="005F5B3B">
        <w:trPr>
          <w:trHeight w:val="747"/>
        </w:trPr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:rsidR="00677F35" w:rsidRDefault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:rsidR="00677F35" w:rsidRDefault="00677F35">
            <w:pPr>
              <w:pStyle w:val="ListParagraph"/>
              <w:spacing w:after="0" w:line="240" w:lineRule="auto"/>
              <w:ind w:left="31"/>
              <w:rPr>
                <w:rFonts w:cstheme="minorHAnsi"/>
              </w:rPr>
            </w:pPr>
            <w:r>
              <w:rPr>
                <w:rFonts w:cstheme="minorHAnsi"/>
              </w:rPr>
              <w:t>FU: all medications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£30 -35</w:t>
            </w:r>
          </w:p>
        </w:tc>
      </w:tr>
      <w:tr w:rsidR="00677F35" w:rsidTr="007434B0">
        <w:trPr>
          <w:trHeight w:val="747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:rsidR="00677F35" w:rsidRDefault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Complex (domiciliary)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:rsidR="00677F35" w:rsidRDefault="00677F35">
            <w:pPr>
              <w:pStyle w:val="ListParagraph"/>
              <w:spacing w:after="0" w:line="240" w:lineRule="auto"/>
              <w:ind w:left="31"/>
              <w:rPr>
                <w:rFonts w:cstheme="minorHAnsi"/>
              </w:rPr>
            </w:pPr>
            <w:r>
              <w:rPr>
                <w:rFonts w:cstheme="minorHAnsi"/>
              </w:rPr>
              <w:t>FA: all medications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£60-65</w:t>
            </w:r>
          </w:p>
        </w:tc>
      </w:tr>
      <w:tr w:rsidR="00677F35" w:rsidTr="007434B0">
        <w:trPr>
          <w:trHeight w:val="747"/>
        </w:trPr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:rsidR="00677F35" w:rsidRDefault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:rsidR="00677F35" w:rsidRDefault="00677F35">
            <w:pPr>
              <w:pStyle w:val="ListParagraph"/>
              <w:spacing w:after="0" w:line="240" w:lineRule="auto"/>
              <w:ind w:left="31"/>
              <w:rPr>
                <w:rFonts w:cstheme="minorHAnsi"/>
              </w:rPr>
            </w:pPr>
            <w:r>
              <w:rPr>
                <w:rFonts w:cstheme="minorHAnsi"/>
              </w:rPr>
              <w:t>FU: all medications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£35-40</w:t>
            </w:r>
          </w:p>
        </w:tc>
      </w:tr>
    </w:tbl>
    <w:p w:rsidR="00177FEA" w:rsidRDefault="00177FEA" w:rsidP="005A1D45">
      <w:pPr>
        <w:spacing w:after="0" w:line="240" w:lineRule="auto"/>
        <w:rPr>
          <w:rFonts w:cstheme="minorHAnsi"/>
        </w:rPr>
      </w:pPr>
    </w:p>
    <w:p w:rsidR="008C488E" w:rsidRPr="00B9429D" w:rsidRDefault="008C488E" w:rsidP="008C488E">
      <w:pPr>
        <w:keepNext/>
        <w:numPr>
          <w:ilvl w:val="1"/>
          <w:numId w:val="0"/>
        </w:numPr>
        <w:tabs>
          <w:tab w:val="num" w:pos="720"/>
        </w:tabs>
        <w:spacing w:before="60" w:after="60" w:line="240" w:lineRule="auto"/>
        <w:ind w:left="720" w:hanging="720"/>
        <w:jc w:val="both"/>
        <w:outlineLvl w:val="1"/>
        <w:rPr>
          <w:rFonts w:eastAsia="Arial" w:cstheme="minorHAnsi"/>
          <w:b/>
          <w:bCs/>
          <w:iCs/>
          <w:lang w:eastAsia="en-GB"/>
        </w:rPr>
      </w:pPr>
      <w:r>
        <w:rPr>
          <w:rFonts w:cstheme="minorHAnsi"/>
          <w:b/>
          <w:lang w:eastAsia="en-GB"/>
        </w:rPr>
        <w:t>5.</w:t>
      </w:r>
      <w:r w:rsidRPr="00BE5993">
        <w:rPr>
          <w:rFonts w:cstheme="minorHAnsi"/>
          <w:b/>
          <w:lang w:eastAsia="en-GB"/>
        </w:rPr>
        <w:t xml:space="preserve"> </w:t>
      </w:r>
      <w:r>
        <w:rPr>
          <w:rFonts w:eastAsia="Arial" w:cstheme="minorHAnsi"/>
          <w:b/>
          <w:bCs/>
          <w:iCs/>
          <w:lang w:eastAsia="en-GB"/>
        </w:rPr>
        <w:t>Expected outcomes</w:t>
      </w:r>
    </w:p>
    <w:p w:rsidR="008C488E" w:rsidRDefault="008C488E" w:rsidP="000C6DE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Local outcomes</w:t>
      </w:r>
    </w:p>
    <w:p w:rsidR="00B9429D" w:rsidRPr="00B9429D" w:rsidRDefault="00B9429D" w:rsidP="000C6DE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It is anticipated that</w:t>
      </w:r>
      <w:r w:rsidR="008F78F8" w:rsidRPr="00B9429D">
        <w:rPr>
          <w:rFonts w:asciiTheme="minorHAnsi" w:eastAsiaTheme="minorHAnsi" w:hAnsiTheme="minorHAnsi" w:cstheme="minorHAnsi"/>
          <w:sz w:val="22"/>
          <w:szCs w:val="22"/>
        </w:rPr>
        <w:t xml:space="preserve"> commissioning a </w:t>
      </w:r>
      <w:r w:rsidRPr="00B9429D">
        <w:rPr>
          <w:rFonts w:asciiTheme="minorHAnsi" w:eastAsiaTheme="minorHAnsi" w:hAnsiTheme="minorHAnsi" w:cstheme="minorHAnsi"/>
          <w:sz w:val="22"/>
          <w:szCs w:val="22"/>
        </w:rPr>
        <w:t xml:space="preserve">community anticoagulation </w:t>
      </w:r>
      <w:r w:rsidR="008F78F8" w:rsidRPr="00B9429D">
        <w:rPr>
          <w:rFonts w:asciiTheme="minorHAnsi" w:eastAsiaTheme="minorHAnsi" w:hAnsiTheme="minorHAnsi" w:cstheme="minorHAnsi"/>
          <w:sz w:val="22"/>
          <w:szCs w:val="22"/>
        </w:rPr>
        <w:t xml:space="preserve">service </w:t>
      </w:r>
      <w:r>
        <w:rPr>
          <w:rFonts w:asciiTheme="minorHAnsi" w:eastAsiaTheme="minorHAnsi" w:hAnsiTheme="minorHAnsi" w:cstheme="minorHAnsi"/>
          <w:sz w:val="22"/>
          <w:szCs w:val="22"/>
        </w:rPr>
        <w:t>will result in the</w:t>
      </w:r>
      <w:r w:rsidR="008F78F8" w:rsidRPr="00B9429D">
        <w:rPr>
          <w:rFonts w:asciiTheme="minorHAnsi" w:eastAsiaTheme="minorHAnsi" w:hAnsiTheme="minorHAnsi" w:cstheme="minorHAnsi"/>
          <w:sz w:val="22"/>
          <w:szCs w:val="22"/>
        </w:rPr>
        <w:t xml:space="preserve"> following local outcomes:</w:t>
      </w:r>
    </w:p>
    <w:p w:rsidR="00B9429D" w:rsidRPr="00B9429D" w:rsidRDefault="00B9429D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Significant r</w:t>
      </w:r>
      <w:r w:rsidRPr="00B9429D">
        <w:rPr>
          <w:rFonts w:eastAsia="Times New Roman" w:cstheme="minorHAnsi"/>
          <w:bCs/>
        </w:rPr>
        <w:t xml:space="preserve">eduction in secondary care activity </w:t>
      </w:r>
    </w:p>
    <w:p w:rsidR="00B9429D" w:rsidRDefault="00B9429D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Cs/>
        </w:rPr>
      </w:pPr>
      <w:r w:rsidRPr="00B9429D">
        <w:rPr>
          <w:rFonts w:eastAsia="Times New Roman" w:cstheme="minorHAnsi"/>
          <w:bCs/>
        </w:rPr>
        <w:t>Improve</w:t>
      </w:r>
      <w:r>
        <w:rPr>
          <w:rFonts w:eastAsia="Times New Roman" w:cstheme="minorHAnsi"/>
          <w:bCs/>
        </w:rPr>
        <w:t>d</w:t>
      </w:r>
      <w:r w:rsidRPr="00B9429D">
        <w:rPr>
          <w:rFonts w:eastAsia="Times New Roman" w:cstheme="minorHAnsi"/>
          <w:bCs/>
        </w:rPr>
        <w:t xml:space="preserve"> clinical outcomes for patients</w:t>
      </w:r>
    </w:p>
    <w:p w:rsidR="0087623C" w:rsidRPr="00B9429D" w:rsidRDefault="0087623C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High levels of patient satisfaction with their care</w:t>
      </w:r>
    </w:p>
    <w:p w:rsidR="00B9429D" w:rsidRPr="00B9429D" w:rsidRDefault="00B9429D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Cs/>
        </w:rPr>
      </w:pPr>
      <w:r w:rsidRPr="00B9429D">
        <w:rPr>
          <w:rFonts w:eastAsia="Times New Roman" w:cstheme="minorHAnsi"/>
          <w:bCs/>
        </w:rPr>
        <w:t xml:space="preserve">Increased knowledge within general practice regarding </w:t>
      </w:r>
      <w:r w:rsidR="0087623C">
        <w:rPr>
          <w:rFonts w:eastAsia="Times New Roman" w:cstheme="minorHAnsi"/>
          <w:bCs/>
        </w:rPr>
        <w:t>a</w:t>
      </w:r>
      <w:r>
        <w:rPr>
          <w:rFonts w:eastAsia="Times New Roman" w:cstheme="minorHAnsi"/>
          <w:bCs/>
        </w:rPr>
        <w:t xml:space="preserve">nticoagulation </w:t>
      </w:r>
      <w:r w:rsidRPr="00B9429D">
        <w:rPr>
          <w:rFonts w:eastAsia="Times New Roman" w:cstheme="minorHAnsi"/>
          <w:bCs/>
        </w:rPr>
        <w:t xml:space="preserve"> </w:t>
      </w:r>
    </w:p>
    <w:p w:rsidR="00B9429D" w:rsidRPr="00B9429D" w:rsidRDefault="00B9429D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Cs/>
        </w:rPr>
      </w:pPr>
      <w:r w:rsidRPr="00B9429D">
        <w:rPr>
          <w:rFonts w:eastAsia="Times New Roman" w:cstheme="minorHAnsi"/>
          <w:bCs/>
        </w:rPr>
        <w:t xml:space="preserve">Standardised </w:t>
      </w:r>
      <w:r>
        <w:rPr>
          <w:rFonts w:eastAsia="Times New Roman" w:cstheme="minorHAnsi"/>
          <w:bCs/>
        </w:rPr>
        <w:t xml:space="preserve">educational </w:t>
      </w:r>
      <w:r w:rsidRPr="00B9429D">
        <w:rPr>
          <w:rFonts w:eastAsia="Times New Roman" w:cstheme="minorHAnsi"/>
          <w:bCs/>
        </w:rPr>
        <w:t>tools and resources for GPs and patients</w:t>
      </w:r>
    </w:p>
    <w:p w:rsidR="00B9429D" w:rsidRPr="00B9429D" w:rsidRDefault="00B9429D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Cs/>
        </w:rPr>
      </w:pPr>
      <w:r w:rsidRPr="00B9429D">
        <w:rPr>
          <w:rFonts w:eastAsia="Times New Roman" w:cstheme="minorHAnsi"/>
          <w:bCs/>
        </w:rPr>
        <w:t>Ensure waiting times for patients are met within 5 working days</w:t>
      </w:r>
    </w:p>
    <w:p w:rsidR="00B9429D" w:rsidRPr="00B9429D" w:rsidRDefault="00B9429D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Cs/>
        </w:rPr>
      </w:pPr>
      <w:r w:rsidRPr="00B9429D">
        <w:rPr>
          <w:rFonts w:eastAsia="Times New Roman" w:cstheme="minorHAnsi"/>
          <w:bCs/>
        </w:rPr>
        <w:t xml:space="preserve">Improve the clinical pathway by continued development of anticoagulation services </w:t>
      </w:r>
    </w:p>
    <w:p w:rsidR="00B9429D" w:rsidRPr="00B9429D" w:rsidRDefault="00B9429D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/>
          <w:bCs/>
        </w:rPr>
      </w:pPr>
      <w:r w:rsidRPr="00B9429D">
        <w:rPr>
          <w:rFonts w:eastAsia="Times New Roman" w:cstheme="minorHAnsi"/>
          <w:bCs/>
        </w:rPr>
        <w:t xml:space="preserve">Reduce health inequalities by </w:t>
      </w:r>
      <w:r w:rsidR="002F060B">
        <w:rPr>
          <w:rFonts w:eastAsia="Times New Roman" w:cstheme="minorHAnsi"/>
          <w:bCs/>
        </w:rPr>
        <w:t xml:space="preserve">providing equitable </w:t>
      </w:r>
      <w:r w:rsidRPr="00B9429D">
        <w:rPr>
          <w:rFonts w:eastAsia="Times New Roman" w:cstheme="minorHAnsi"/>
          <w:bCs/>
        </w:rPr>
        <w:t xml:space="preserve">access to </w:t>
      </w:r>
      <w:r w:rsidR="00F7606C">
        <w:rPr>
          <w:rFonts w:eastAsia="Times New Roman" w:cstheme="minorHAnsi"/>
          <w:bCs/>
        </w:rPr>
        <w:t xml:space="preserve">medication and </w:t>
      </w:r>
      <w:r w:rsidR="002F060B">
        <w:rPr>
          <w:rFonts w:eastAsia="Times New Roman" w:cstheme="minorHAnsi"/>
          <w:bCs/>
        </w:rPr>
        <w:t xml:space="preserve">anticoagulation </w:t>
      </w:r>
      <w:r w:rsidRPr="00B9429D">
        <w:rPr>
          <w:rFonts w:eastAsia="Times New Roman" w:cstheme="minorHAnsi"/>
          <w:bCs/>
        </w:rPr>
        <w:t>services</w:t>
      </w:r>
      <w:r w:rsidR="002F060B">
        <w:rPr>
          <w:rFonts w:eastAsia="Times New Roman" w:cstheme="minorHAnsi"/>
          <w:bCs/>
        </w:rPr>
        <w:t xml:space="preserve">. </w:t>
      </w:r>
    </w:p>
    <w:p w:rsidR="00B9429D" w:rsidRPr="00B9429D" w:rsidRDefault="00B9429D" w:rsidP="00B9429D">
      <w:pPr>
        <w:spacing w:before="60" w:after="60" w:line="240" w:lineRule="auto"/>
        <w:ind w:left="720"/>
        <w:jc w:val="both"/>
        <w:rPr>
          <w:rFonts w:eastAsia="Times New Roman" w:cstheme="minorHAnsi"/>
          <w:lang w:eastAsia="en-GB"/>
        </w:rPr>
      </w:pPr>
    </w:p>
    <w:sectPr w:rsidR="00B9429D" w:rsidRPr="00B94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F8F" w:rsidRDefault="00AA7F8F" w:rsidP="00B90405">
      <w:pPr>
        <w:spacing w:after="0" w:line="240" w:lineRule="auto"/>
      </w:pPr>
      <w:r>
        <w:separator/>
      </w:r>
    </w:p>
  </w:endnote>
  <w:endnote w:type="continuationSeparator" w:id="0">
    <w:p w:rsidR="00AA7F8F" w:rsidRDefault="00AA7F8F" w:rsidP="00B9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F8F" w:rsidRDefault="00AA7F8F" w:rsidP="00B90405">
      <w:pPr>
        <w:spacing w:after="0" w:line="240" w:lineRule="auto"/>
      </w:pPr>
      <w:r>
        <w:separator/>
      </w:r>
    </w:p>
  </w:footnote>
  <w:footnote w:type="continuationSeparator" w:id="0">
    <w:p w:rsidR="00AA7F8F" w:rsidRDefault="00AA7F8F" w:rsidP="00B90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399E"/>
    <w:multiLevelType w:val="hybridMultilevel"/>
    <w:tmpl w:val="20E4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01017"/>
    <w:multiLevelType w:val="hybridMultilevel"/>
    <w:tmpl w:val="31201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CE23A3"/>
    <w:multiLevelType w:val="hybridMultilevel"/>
    <w:tmpl w:val="A394F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134D0"/>
    <w:multiLevelType w:val="hybridMultilevel"/>
    <w:tmpl w:val="848E9E7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3F745CE"/>
    <w:multiLevelType w:val="hybridMultilevel"/>
    <w:tmpl w:val="66FE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01616"/>
    <w:multiLevelType w:val="hybridMultilevel"/>
    <w:tmpl w:val="20E4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1686C"/>
    <w:multiLevelType w:val="hybridMultilevel"/>
    <w:tmpl w:val="577A3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17658"/>
    <w:multiLevelType w:val="hybridMultilevel"/>
    <w:tmpl w:val="42DC4210"/>
    <w:lvl w:ilvl="0" w:tplc="F16A098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72391"/>
    <w:multiLevelType w:val="hybridMultilevel"/>
    <w:tmpl w:val="3F062E1C"/>
    <w:lvl w:ilvl="0" w:tplc="3F6473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A44B4"/>
    <w:multiLevelType w:val="hybridMultilevel"/>
    <w:tmpl w:val="BCF6B7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90C6D21"/>
    <w:multiLevelType w:val="hybridMultilevel"/>
    <w:tmpl w:val="19D8E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71DBA"/>
    <w:multiLevelType w:val="hybridMultilevel"/>
    <w:tmpl w:val="1A22EE6C"/>
    <w:lvl w:ilvl="0" w:tplc="304E90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1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45"/>
    <w:rsid w:val="000671CC"/>
    <w:rsid w:val="0007361C"/>
    <w:rsid w:val="000A45AB"/>
    <w:rsid w:val="000C6DE4"/>
    <w:rsid w:val="00177FEA"/>
    <w:rsid w:val="00201BD2"/>
    <w:rsid w:val="0020671C"/>
    <w:rsid w:val="00231ACA"/>
    <w:rsid w:val="002327E4"/>
    <w:rsid w:val="00256441"/>
    <w:rsid w:val="0026277A"/>
    <w:rsid w:val="002D32F9"/>
    <w:rsid w:val="002F060B"/>
    <w:rsid w:val="00314481"/>
    <w:rsid w:val="00326B63"/>
    <w:rsid w:val="00336352"/>
    <w:rsid w:val="00353533"/>
    <w:rsid w:val="003A162D"/>
    <w:rsid w:val="003C2DC2"/>
    <w:rsid w:val="003E037C"/>
    <w:rsid w:val="00436394"/>
    <w:rsid w:val="00453399"/>
    <w:rsid w:val="00461414"/>
    <w:rsid w:val="004A2307"/>
    <w:rsid w:val="004C7CB3"/>
    <w:rsid w:val="004E0BB7"/>
    <w:rsid w:val="004E6646"/>
    <w:rsid w:val="00501D38"/>
    <w:rsid w:val="0051542E"/>
    <w:rsid w:val="00517062"/>
    <w:rsid w:val="00552148"/>
    <w:rsid w:val="005A1D45"/>
    <w:rsid w:val="005A6B63"/>
    <w:rsid w:val="005B0D2C"/>
    <w:rsid w:val="00627A43"/>
    <w:rsid w:val="00652ECF"/>
    <w:rsid w:val="00677F35"/>
    <w:rsid w:val="006E2689"/>
    <w:rsid w:val="00751B0A"/>
    <w:rsid w:val="007A458C"/>
    <w:rsid w:val="00842A11"/>
    <w:rsid w:val="00854A00"/>
    <w:rsid w:val="00867679"/>
    <w:rsid w:val="0087623C"/>
    <w:rsid w:val="008C488E"/>
    <w:rsid w:val="008E09D7"/>
    <w:rsid w:val="008F78F8"/>
    <w:rsid w:val="0090467B"/>
    <w:rsid w:val="0091662B"/>
    <w:rsid w:val="00933FF2"/>
    <w:rsid w:val="0094570F"/>
    <w:rsid w:val="00987E51"/>
    <w:rsid w:val="009B13A8"/>
    <w:rsid w:val="009C564A"/>
    <w:rsid w:val="009D7237"/>
    <w:rsid w:val="00A11941"/>
    <w:rsid w:val="00A26AD3"/>
    <w:rsid w:val="00A425D7"/>
    <w:rsid w:val="00A44045"/>
    <w:rsid w:val="00A57DF5"/>
    <w:rsid w:val="00A9023C"/>
    <w:rsid w:val="00AA7F8F"/>
    <w:rsid w:val="00AB1BAC"/>
    <w:rsid w:val="00AB731D"/>
    <w:rsid w:val="00AC49BD"/>
    <w:rsid w:val="00AE2D8C"/>
    <w:rsid w:val="00AF1585"/>
    <w:rsid w:val="00AF239C"/>
    <w:rsid w:val="00B309CF"/>
    <w:rsid w:val="00B54A51"/>
    <w:rsid w:val="00B86DB0"/>
    <w:rsid w:val="00B90405"/>
    <w:rsid w:val="00B9429D"/>
    <w:rsid w:val="00BE5993"/>
    <w:rsid w:val="00C4568E"/>
    <w:rsid w:val="00C8394D"/>
    <w:rsid w:val="00C935D0"/>
    <w:rsid w:val="00D538ED"/>
    <w:rsid w:val="00D53BC9"/>
    <w:rsid w:val="00D64F1D"/>
    <w:rsid w:val="00DA73F4"/>
    <w:rsid w:val="00DD20F6"/>
    <w:rsid w:val="00E62733"/>
    <w:rsid w:val="00E80CEA"/>
    <w:rsid w:val="00F15F3D"/>
    <w:rsid w:val="00F24A87"/>
    <w:rsid w:val="00F73614"/>
    <w:rsid w:val="00F7606C"/>
    <w:rsid w:val="00FB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405"/>
  </w:style>
  <w:style w:type="paragraph" w:styleId="Footer">
    <w:name w:val="footer"/>
    <w:basedOn w:val="Normal"/>
    <w:link w:val="FooterChar"/>
    <w:uiPriority w:val="99"/>
    <w:unhideWhenUsed/>
    <w:rsid w:val="00B90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405"/>
  </w:style>
  <w:style w:type="character" w:styleId="Hyperlink">
    <w:name w:val="Hyperlink"/>
    <w:basedOn w:val="DefaultParagraphFont"/>
    <w:uiPriority w:val="99"/>
    <w:unhideWhenUsed/>
    <w:rsid w:val="00B904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A11"/>
    <w:pPr>
      <w:ind w:left="720"/>
      <w:contextualSpacing/>
    </w:pPr>
  </w:style>
  <w:style w:type="table" w:styleId="TableGrid">
    <w:name w:val="Table Grid"/>
    <w:basedOn w:val="TableNormal"/>
    <w:uiPriority w:val="59"/>
    <w:rsid w:val="008F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405"/>
  </w:style>
  <w:style w:type="paragraph" w:styleId="Footer">
    <w:name w:val="footer"/>
    <w:basedOn w:val="Normal"/>
    <w:link w:val="FooterChar"/>
    <w:uiPriority w:val="99"/>
    <w:unhideWhenUsed/>
    <w:rsid w:val="00B90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405"/>
  </w:style>
  <w:style w:type="character" w:styleId="Hyperlink">
    <w:name w:val="Hyperlink"/>
    <w:basedOn w:val="DefaultParagraphFont"/>
    <w:uiPriority w:val="99"/>
    <w:unhideWhenUsed/>
    <w:rsid w:val="00B904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A11"/>
    <w:pPr>
      <w:ind w:left="720"/>
      <w:contextualSpacing/>
    </w:pPr>
  </w:style>
  <w:style w:type="table" w:styleId="TableGrid">
    <w:name w:val="Table Grid"/>
    <w:basedOn w:val="TableNormal"/>
    <w:uiPriority w:val="59"/>
    <w:rsid w:val="008F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E44E-B1D2-45E0-BCC8-FFFA5354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London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Clinch Nick (Croydon CCG)</dc:creator>
  <cp:lastModifiedBy>David Brownlow</cp:lastModifiedBy>
  <cp:revision>2</cp:revision>
  <dcterms:created xsi:type="dcterms:W3CDTF">2017-07-17T14:30:00Z</dcterms:created>
  <dcterms:modified xsi:type="dcterms:W3CDTF">2017-07-17T14:30:00Z</dcterms:modified>
</cp:coreProperties>
</file>