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A6EE6" w14:textId="77777777" w:rsidR="00A079A2" w:rsidRPr="00A079A2" w:rsidRDefault="00A079A2" w:rsidP="00A079A2">
      <w:pPr>
        <w:spacing w:line="240" w:lineRule="auto"/>
        <w:contextualSpacing/>
        <w:jc w:val="center"/>
        <w:rPr>
          <w:rFonts w:ascii="Arial" w:hAnsi="Arial" w:cs="Arial"/>
          <w:b/>
          <w:bCs/>
        </w:rPr>
      </w:pPr>
      <w:bookmarkStart w:id="0" w:name="_GoBack"/>
      <w:bookmarkEnd w:id="0"/>
      <w:r w:rsidRPr="00A079A2">
        <w:rPr>
          <w:rFonts w:ascii="Arial" w:hAnsi="Arial" w:cs="Arial"/>
          <w:b/>
          <w:bCs/>
        </w:rPr>
        <w:t>SCHEDULE P</w:t>
      </w:r>
    </w:p>
    <w:p w14:paraId="7E6D4717" w14:textId="77777777" w:rsidR="00A079A2" w:rsidRPr="00A079A2" w:rsidRDefault="00A079A2" w:rsidP="00A079A2">
      <w:pPr>
        <w:spacing w:line="240" w:lineRule="auto"/>
        <w:contextualSpacing/>
        <w:jc w:val="center"/>
        <w:rPr>
          <w:rFonts w:ascii="Arial" w:hAnsi="Arial" w:cs="Arial"/>
          <w:b/>
          <w:bCs/>
        </w:rPr>
      </w:pPr>
    </w:p>
    <w:p w14:paraId="414D3FE1" w14:textId="77777777" w:rsidR="00A079A2" w:rsidRPr="0080156C" w:rsidRDefault="00A079A2" w:rsidP="00A079A2">
      <w:pPr>
        <w:spacing w:line="240" w:lineRule="auto"/>
        <w:contextualSpacing/>
        <w:jc w:val="center"/>
        <w:rPr>
          <w:rFonts w:ascii="Arial Bold" w:hAnsi="Arial Bold" w:cs="Arial"/>
          <w:b/>
          <w:bCs/>
          <w:caps/>
        </w:rPr>
      </w:pPr>
      <w:r w:rsidRPr="0080156C">
        <w:rPr>
          <w:rFonts w:ascii="Arial Bold" w:hAnsi="Arial Bold" w:cs="Arial"/>
          <w:b/>
          <w:bCs/>
          <w:caps/>
        </w:rPr>
        <w:t>Government Furnished Assets (GFA) Register</w:t>
      </w:r>
    </w:p>
    <w:p w14:paraId="4B9884C3" w14:textId="77777777" w:rsidR="00A079A2" w:rsidRPr="00A079A2" w:rsidRDefault="00A079A2" w:rsidP="00A079A2">
      <w:pPr>
        <w:spacing w:line="240" w:lineRule="auto"/>
        <w:contextualSpacing/>
        <w:rPr>
          <w:rFonts w:ascii="Arial" w:hAnsi="Arial" w:cs="Arial"/>
        </w:rPr>
      </w:pPr>
    </w:p>
    <w:p w14:paraId="352A0781" w14:textId="77777777" w:rsidR="00A079A2" w:rsidRDefault="00A079A2" w:rsidP="00A079A2">
      <w:pPr>
        <w:pStyle w:val="ListParagraph"/>
        <w:numPr>
          <w:ilvl w:val="0"/>
          <w:numId w:val="1"/>
        </w:numPr>
        <w:spacing w:line="240" w:lineRule="auto"/>
        <w:ind w:left="426" w:hanging="426"/>
        <w:rPr>
          <w:rFonts w:ascii="Arial" w:hAnsi="Arial" w:cs="Arial"/>
          <w:bCs/>
        </w:rPr>
      </w:pPr>
      <w:r w:rsidRPr="00A079A2">
        <w:rPr>
          <w:rFonts w:ascii="Arial" w:hAnsi="Arial" w:cs="Arial"/>
          <w:bCs/>
        </w:rPr>
        <w:t>Whilst reasonable endeavours will be made, the Authority cannot guarantee that the delivery date for any requested GFA will be met. If the Authority fails to meet expected timelines the Contractor shall not be liable for any consequential delay to Contract turnaround times. For the avoidance of doubt, such delays directly caused by the Authority failing to supply GFA shall be exempt from any penalty or liability including those imposed within the Key Performance Indicator process.</w:t>
      </w:r>
    </w:p>
    <w:p w14:paraId="286EB176" w14:textId="77777777" w:rsidR="00A079A2" w:rsidRDefault="00A079A2" w:rsidP="00A079A2">
      <w:pPr>
        <w:pStyle w:val="ListParagraph"/>
        <w:spacing w:line="240" w:lineRule="auto"/>
        <w:ind w:left="426"/>
        <w:rPr>
          <w:rFonts w:ascii="Arial" w:hAnsi="Arial" w:cs="Arial"/>
          <w:bCs/>
        </w:rPr>
      </w:pPr>
    </w:p>
    <w:p w14:paraId="399ACE4A" w14:textId="77777777" w:rsidR="00A079A2" w:rsidRPr="00A079A2" w:rsidRDefault="00A079A2" w:rsidP="00A079A2">
      <w:pPr>
        <w:pStyle w:val="ListParagraph"/>
        <w:numPr>
          <w:ilvl w:val="0"/>
          <w:numId w:val="1"/>
        </w:numPr>
        <w:spacing w:line="240" w:lineRule="auto"/>
        <w:ind w:left="426" w:hanging="426"/>
        <w:rPr>
          <w:rFonts w:ascii="Arial" w:hAnsi="Arial" w:cs="Arial"/>
          <w:bCs/>
        </w:rPr>
      </w:pPr>
      <w:r w:rsidRPr="00A079A2">
        <w:rPr>
          <w:rFonts w:ascii="Arial" w:hAnsi="Arial" w:cs="Arial"/>
          <w:bCs/>
        </w:rPr>
        <w:t>The Contractor shall observe any instructions from the Authority regarding the use of any GFA issued for the purposes of this Contract, including the restoration of GFA back to the Authority if so required by the Authority’s project manager.</w:t>
      </w:r>
    </w:p>
    <w:p w14:paraId="02E8BF3C" w14:textId="77777777" w:rsidR="00A079A2" w:rsidRPr="00A079A2" w:rsidRDefault="00A079A2" w:rsidP="00A079A2">
      <w:pPr>
        <w:spacing w:line="240" w:lineRule="auto"/>
        <w:contextualSpacing/>
        <w:rPr>
          <w:rFonts w:ascii="Arial" w:hAnsi="Arial" w:cs="Arial"/>
        </w:rPr>
      </w:pPr>
      <w:r w:rsidRPr="00A079A2">
        <w:rPr>
          <w:rFonts w:ascii="Arial" w:hAnsi="Arial" w:cs="Arial"/>
        </w:rPr>
        <w:t xml:space="preserve">The following table lists all </w:t>
      </w:r>
      <w:r w:rsidRPr="00A079A2">
        <w:rPr>
          <w:rFonts w:ascii="Arial" w:hAnsi="Arial" w:cs="Arial"/>
          <w:b/>
          <w:bCs/>
        </w:rPr>
        <w:t xml:space="preserve">Contract Support Items </w:t>
      </w:r>
      <w:r w:rsidRPr="00A079A2">
        <w:rPr>
          <w:rFonts w:ascii="Arial" w:hAnsi="Arial" w:cs="Arial"/>
        </w:rPr>
        <w:t>to be stored under this Contract.</w:t>
      </w:r>
    </w:p>
    <w:p w14:paraId="35FD05D0" w14:textId="77777777" w:rsidR="00A079A2" w:rsidRPr="00A079A2" w:rsidRDefault="00A079A2" w:rsidP="00A079A2">
      <w:pPr>
        <w:spacing w:line="240" w:lineRule="auto"/>
        <w:contextualSpacing/>
        <w:rPr>
          <w:rFonts w:ascii="Arial" w:hAnsi="Arial" w:cs="Arial"/>
        </w:rPr>
      </w:pPr>
      <w:r w:rsidRPr="00A079A2">
        <w:rPr>
          <w:rFonts w:ascii="Arial" w:hAnsi="Arial" w:cs="Arial"/>
        </w:rPr>
        <w:tab/>
      </w:r>
    </w:p>
    <w:p w14:paraId="46D4CC10" w14:textId="77777777" w:rsidR="00A079A2" w:rsidRPr="00A079A2" w:rsidRDefault="00A079A2" w:rsidP="00A079A2">
      <w:pPr>
        <w:spacing w:line="240" w:lineRule="auto"/>
        <w:contextualSpacing/>
        <w:rPr>
          <w:rFonts w:ascii="Arial" w:hAnsi="Arial" w:cs="Arial"/>
        </w:rPr>
      </w:pPr>
    </w:p>
    <w:tbl>
      <w:tblPr>
        <w:tblStyle w:val="TableGrid"/>
        <w:tblW w:w="9889" w:type="dxa"/>
        <w:tblInd w:w="-113" w:type="dxa"/>
        <w:tblLayout w:type="fixed"/>
        <w:tblLook w:val="04A0" w:firstRow="1" w:lastRow="0" w:firstColumn="1" w:lastColumn="0" w:noHBand="0" w:noVBand="1"/>
      </w:tblPr>
      <w:tblGrid>
        <w:gridCol w:w="895"/>
        <w:gridCol w:w="4040"/>
        <w:gridCol w:w="3107"/>
        <w:gridCol w:w="1847"/>
      </w:tblGrid>
      <w:tr w:rsidR="00A079A2" w:rsidRPr="00A079A2" w14:paraId="672B1F56" w14:textId="77777777" w:rsidTr="004F6982">
        <w:trPr>
          <w:trHeight w:val="311"/>
        </w:trPr>
        <w:tc>
          <w:tcPr>
            <w:tcW w:w="895" w:type="dxa"/>
          </w:tcPr>
          <w:p w14:paraId="6CA567F0" w14:textId="77777777" w:rsidR="00A079A2" w:rsidRPr="00A079A2" w:rsidRDefault="00A079A2" w:rsidP="00A079A2">
            <w:pPr>
              <w:spacing w:after="160"/>
              <w:contextualSpacing/>
              <w:rPr>
                <w:rFonts w:ascii="Arial" w:hAnsi="Arial" w:cs="Arial"/>
                <w:b/>
              </w:rPr>
            </w:pPr>
            <w:r w:rsidRPr="00A079A2">
              <w:rPr>
                <w:rFonts w:ascii="Arial" w:hAnsi="Arial" w:cs="Arial"/>
                <w:b/>
              </w:rPr>
              <w:t>Serial</w:t>
            </w:r>
          </w:p>
        </w:tc>
        <w:tc>
          <w:tcPr>
            <w:tcW w:w="4040" w:type="dxa"/>
          </w:tcPr>
          <w:p w14:paraId="20915222" w14:textId="77777777" w:rsidR="00A079A2" w:rsidRPr="00A079A2" w:rsidRDefault="00A079A2" w:rsidP="00A079A2">
            <w:pPr>
              <w:spacing w:after="160"/>
              <w:contextualSpacing/>
              <w:rPr>
                <w:rFonts w:ascii="Arial" w:hAnsi="Arial" w:cs="Arial"/>
                <w:b/>
              </w:rPr>
            </w:pPr>
            <w:r w:rsidRPr="00A079A2">
              <w:rPr>
                <w:rFonts w:ascii="Arial" w:hAnsi="Arial" w:cs="Arial"/>
                <w:b/>
              </w:rPr>
              <w:t>Item</w:t>
            </w:r>
          </w:p>
        </w:tc>
        <w:tc>
          <w:tcPr>
            <w:tcW w:w="3107" w:type="dxa"/>
          </w:tcPr>
          <w:p w14:paraId="0208A438" w14:textId="77777777" w:rsidR="00A079A2" w:rsidRPr="00A079A2" w:rsidRDefault="00A079A2" w:rsidP="00A079A2">
            <w:pPr>
              <w:spacing w:after="160"/>
              <w:contextualSpacing/>
              <w:rPr>
                <w:rFonts w:ascii="Arial" w:hAnsi="Arial" w:cs="Arial"/>
                <w:b/>
              </w:rPr>
            </w:pPr>
            <w:r w:rsidRPr="00A079A2">
              <w:rPr>
                <w:rFonts w:ascii="Arial" w:hAnsi="Arial" w:cs="Arial"/>
                <w:b/>
              </w:rPr>
              <w:t>Start Date</w:t>
            </w:r>
          </w:p>
        </w:tc>
        <w:tc>
          <w:tcPr>
            <w:tcW w:w="1847" w:type="dxa"/>
          </w:tcPr>
          <w:p w14:paraId="20909EDC" w14:textId="77777777" w:rsidR="00A079A2" w:rsidRPr="00A079A2" w:rsidRDefault="00A079A2" w:rsidP="00A079A2">
            <w:pPr>
              <w:spacing w:after="160"/>
              <w:contextualSpacing/>
              <w:rPr>
                <w:rFonts w:ascii="Arial" w:hAnsi="Arial" w:cs="Arial"/>
                <w:b/>
              </w:rPr>
            </w:pPr>
            <w:r w:rsidRPr="00A079A2">
              <w:rPr>
                <w:rFonts w:ascii="Arial" w:hAnsi="Arial" w:cs="Arial"/>
                <w:b/>
              </w:rPr>
              <w:t>End Date</w:t>
            </w:r>
          </w:p>
        </w:tc>
      </w:tr>
      <w:tr w:rsidR="00A079A2" w:rsidRPr="00A079A2" w14:paraId="2411AF19" w14:textId="77777777" w:rsidTr="004F6982">
        <w:trPr>
          <w:trHeight w:val="2123"/>
        </w:trPr>
        <w:tc>
          <w:tcPr>
            <w:tcW w:w="895" w:type="dxa"/>
          </w:tcPr>
          <w:p w14:paraId="7C5E06AC" w14:textId="77777777" w:rsidR="00A079A2" w:rsidRPr="00A079A2" w:rsidRDefault="00A079A2" w:rsidP="00A079A2">
            <w:pPr>
              <w:spacing w:after="160"/>
              <w:contextualSpacing/>
              <w:rPr>
                <w:rFonts w:ascii="Arial" w:hAnsi="Arial" w:cs="Arial"/>
              </w:rPr>
            </w:pPr>
            <w:r w:rsidRPr="00A079A2">
              <w:rPr>
                <w:rFonts w:ascii="Arial" w:hAnsi="Arial" w:cs="Arial"/>
              </w:rPr>
              <w:t>GFF 1</w:t>
            </w:r>
          </w:p>
        </w:tc>
        <w:tc>
          <w:tcPr>
            <w:tcW w:w="4040" w:type="dxa"/>
          </w:tcPr>
          <w:p w14:paraId="3E32EBEC" w14:textId="77777777" w:rsidR="00A079A2" w:rsidRPr="00A079A2" w:rsidRDefault="00A079A2" w:rsidP="00A079A2">
            <w:pPr>
              <w:spacing w:after="160"/>
              <w:contextualSpacing/>
              <w:rPr>
                <w:rFonts w:ascii="Arial" w:hAnsi="Arial" w:cs="Arial"/>
              </w:rPr>
            </w:pPr>
            <w:r w:rsidRPr="00A079A2">
              <w:rPr>
                <w:rFonts w:ascii="Arial" w:hAnsi="Arial" w:cs="Arial"/>
              </w:rPr>
              <w:t>Access to on on-site accommodation; desk or desk booking facilities, and IT facilities for up to four (4) members of the Contractor Delivery Team each working day at MOD Abbey Wood.</w:t>
            </w:r>
          </w:p>
        </w:tc>
        <w:tc>
          <w:tcPr>
            <w:tcW w:w="3107" w:type="dxa"/>
          </w:tcPr>
          <w:p w14:paraId="429184E4" w14:textId="77777777" w:rsidR="00A079A2" w:rsidRPr="00A079A2" w:rsidRDefault="00A079A2" w:rsidP="00A079A2">
            <w:pPr>
              <w:spacing w:after="160"/>
              <w:contextualSpacing/>
              <w:rPr>
                <w:rFonts w:ascii="Arial" w:hAnsi="Arial" w:cs="Arial"/>
              </w:rPr>
            </w:pPr>
            <w:r w:rsidRPr="00A079A2">
              <w:rPr>
                <w:rFonts w:ascii="Arial" w:hAnsi="Arial" w:cs="Arial"/>
              </w:rPr>
              <w:t>Agreement Date</w:t>
            </w:r>
          </w:p>
        </w:tc>
        <w:tc>
          <w:tcPr>
            <w:tcW w:w="1847" w:type="dxa"/>
          </w:tcPr>
          <w:p w14:paraId="63A3F598" w14:textId="77777777" w:rsidR="00A079A2" w:rsidRPr="00A079A2" w:rsidRDefault="00A079A2" w:rsidP="00A079A2">
            <w:pPr>
              <w:spacing w:after="160"/>
              <w:contextualSpacing/>
              <w:rPr>
                <w:rFonts w:ascii="Arial" w:hAnsi="Arial" w:cs="Arial"/>
              </w:rPr>
            </w:pPr>
            <w:r w:rsidRPr="00A079A2">
              <w:rPr>
                <w:rFonts w:ascii="Arial" w:hAnsi="Arial" w:cs="Arial"/>
              </w:rPr>
              <w:t>2 years from Agreement Commencement Date</w:t>
            </w:r>
          </w:p>
        </w:tc>
      </w:tr>
      <w:tr w:rsidR="00A079A2" w:rsidRPr="00A079A2" w14:paraId="5F657A9C" w14:textId="77777777" w:rsidTr="004F6982">
        <w:trPr>
          <w:trHeight w:val="2123"/>
        </w:trPr>
        <w:tc>
          <w:tcPr>
            <w:tcW w:w="895" w:type="dxa"/>
          </w:tcPr>
          <w:p w14:paraId="5577149E" w14:textId="77777777" w:rsidR="00A079A2" w:rsidRPr="00A079A2" w:rsidRDefault="00A079A2" w:rsidP="00A079A2">
            <w:pPr>
              <w:spacing w:after="160"/>
              <w:contextualSpacing/>
              <w:rPr>
                <w:rFonts w:ascii="Arial" w:hAnsi="Arial" w:cs="Arial"/>
              </w:rPr>
            </w:pPr>
            <w:r w:rsidRPr="00A079A2">
              <w:rPr>
                <w:rFonts w:ascii="Arial" w:hAnsi="Arial" w:cs="Arial"/>
              </w:rPr>
              <w:t>GFF 2</w:t>
            </w:r>
          </w:p>
        </w:tc>
        <w:tc>
          <w:tcPr>
            <w:tcW w:w="4040" w:type="dxa"/>
          </w:tcPr>
          <w:p w14:paraId="545ED6A0" w14:textId="77777777" w:rsidR="00A079A2" w:rsidRPr="00A079A2" w:rsidRDefault="00A079A2" w:rsidP="00A079A2">
            <w:pPr>
              <w:spacing w:after="160"/>
              <w:contextualSpacing/>
              <w:rPr>
                <w:rFonts w:ascii="Arial" w:hAnsi="Arial" w:cs="Arial"/>
              </w:rPr>
            </w:pPr>
            <w:r w:rsidRPr="00A079A2">
              <w:rPr>
                <w:rFonts w:ascii="Arial" w:hAnsi="Arial" w:cs="Arial"/>
              </w:rPr>
              <w:t>Access to on-site accommodation; desk or desk booking facilities, and IT facilities for each Resource provided under the Initial Approved Tasking Order at the Authority location specified in the Initial Approved Tasking Order.</w:t>
            </w:r>
          </w:p>
        </w:tc>
        <w:tc>
          <w:tcPr>
            <w:tcW w:w="3107" w:type="dxa"/>
          </w:tcPr>
          <w:p w14:paraId="555CA12C" w14:textId="77777777" w:rsidR="00A079A2" w:rsidRPr="00A079A2" w:rsidRDefault="00A079A2" w:rsidP="00A079A2">
            <w:pPr>
              <w:spacing w:after="160"/>
              <w:contextualSpacing/>
              <w:rPr>
                <w:rFonts w:ascii="Arial" w:hAnsi="Arial" w:cs="Arial"/>
              </w:rPr>
            </w:pPr>
            <w:r w:rsidRPr="00A079A2">
              <w:rPr>
                <w:rFonts w:ascii="Arial" w:hAnsi="Arial" w:cs="Arial"/>
              </w:rPr>
              <w:t>Start date for each resource as specified in the Initial Approved Tasking Order.</w:t>
            </w:r>
          </w:p>
        </w:tc>
        <w:tc>
          <w:tcPr>
            <w:tcW w:w="1847" w:type="dxa"/>
          </w:tcPr>
          <w:p w14:paraId="5DA00826" w14:textId="77777777" w:rsidR="00A079A2" w:rsidRPr="00A079A2" w:rsidRDefault="00A079A2" w:rsidP="00A079A2">
            <w:pPr>
              <w:spacing w:after="160"/>
              <w:contextualSpacing/>
              <w:rPr>
                <w:rFonts w:ascii="Arial" w:hAnsi="Arial" w:cs="Arial"/>
              </w:rPr>
            </w:pPr>
            <w:r w:rsidRPr="00A079A2">
              <w:rPr>
                <w:rFonts w:ascii="Arial" w:hAnsi="Arial" w:cs="Arial"/>
              </w:rPr>
              <w:t>Demobilisation of the Resource</w:t>
            </w:r>
          </w:p>
        </w:tc>
      </w:tr>
      <w:tr w:rsidR="00A079A2" w:rsidRPr="00A079A2" w14:paraId="7B817F0E" w14:textId="77777777" w:rsidTr="004F6982">
        <w:trPr>
          <w:trHeight w:val="2851"/>
        </w:trPr>
        <w:tc>
          <w:tcPr>
            <w:tcW w:w="895" w:type="dxa"/>
          </w:tcPr>
          <w:p w14:paraId="531DA696" w14:textId="77777777" w:rsidR="00A079A2" w:rsidRPr="00A079A2" w:rsidRDefault="00A079A2" w:rsidP="00A079A2">
            <w:pPr>
              <w:spacing w:after="160"/>
              <w:contextualSpacing/>
              <w:rPr>
                <w:rFonts w:ascii="Arial" w:hAnsi="Arial" w:cs="Arial"/>
              </w:rPr>
            </w:pPr>
            <w:r w:rsidRPr="00A079A2">
              <w:rPr>
                <w:rFonts w:ascii="Arial" w:hAnsi="Arial" w:cs="Arial"/>
              </w:rPr>
              <w:t>GFF 3</w:t>
            </w:r>
          </w:p>
        </w:tc>
        <w:tc>
          <w:tcPr>
            <w:tcW w:w="4040" w:type="dxa"/>
          </w:tcPr>
          <w:p w14:paraId="338CA242" w14:textId="77777777" w:rsidR="00A079A2" w:rsidRPr="00A079A2" w:rsidRDefault="00A079A2" w:rsidP="00A079A2">
            <w:pPr>
              <w:spacing w:after="160"/>
              <w:contextualSpacing/>
              <w:rPr>
                <w:rFonts w:ascii="Arial" w:hAnsi="Arial" w:cs="Arial"/>
              </w:rPr>
            </w:pPr>
            <w:r w:rsidRPr="00A079A2">
              <w:rPr>
                <w:rFonts w:ascii="Arial" w:hAnsi="Arial" w:cs="Arial"/>
              </w:rPr>
              <w:t>Unless specified otherwise in that Tasking Order, Access to on-site accommodation desk or desk booking facilities, and IT facilities for all Engaged Personnel provided under an Approved Tasking Order or Approved Project at the Authority location specified in the relevant Tasking Order.</w:t>
            </w:r>
          </w:p>
        </w:tc>
        <w:tc>
          <w:tcPr>
            <w:tcW w:w="3107" w:type="dxa"/>
          </w:tcPr>
          <w:p w14:paraId="353988AE" w14:textId="77777777" w:rsidR="00A079A2" w:rsidRPr="00A079A2" w:rsidRDefault="00A079A2" w:rsidP="00A079A2">
            <w:pPr>
              <w:spacing w:after="160"/>
              <w:contextualSpacing/>
              <w:rPr>
                <w:rFonts w:ascii="Arial" w:hAnsi="Arial" w:cs="Arial"/>
              </w:rPr>
            </w:pPr>
            <w:r w:rsidRPr="00A079A2">
              <w:rPr>
                <w:rFonts w:ascii="Arial" w:hAnsi="Arial" w:cs="Arial"/>
              </w:rPr>
              <w:t>Start date of the relevant Tasking Order.</w:t>
            </w:r>
          </w:p>
        </w:tc>
        <w:tc>
          <w:tcPr>
            <w:tcW w:w="1847" w:type="dxa"/>
          </w:tcPr>
          <w:p w14:paraId="7B3D58B8" w14:textId="77777777" w:rsidR="00A079A2" w:rsidRPr="00A079A2" w:rsidRDefault="00A079A2" w:rsidP="00A079A2">
            <w:pPr>
              <w:spacing w:after="160"/>
              <w:contextualSpacing/>
              <w:rPr>
                <w:rFonts w:ascii="Arial" w:hAnsi="Arial" w:cs="Arial"/>
              </w:rPr>
            </w:pPr>
            <w:r w:rsidRPr="00A079A2">
              <w:rPr>
                <w:rFonts w:ascii="Arial" w:hAnsi="Arial" w:cs="Arial"/>
              </w:rPr>
              <w:t>End date of the relevant Tasking Order.</w:t>
            </w:r>
          </w:p>
        </w:tc>
      </w:tr>
    </w:tbl>
    <w:p w14:paraId="31F431CD" w14:textId="77777777" w:rsidR="00A079A2" w:rsidRPr="00A079A2" w:rsidRDefault="00A079A2" w:rsidP="00A079A2">
      <w:pPr>
        <w:spacing w:line="240" w:lineRule="auto"/>
        <w:contextualSpacing/>
        <w:rPr>
          <w:rFonts w:ascii="Arial" w:hAnsi="Arial" w:cs="Arial"/>
        </w:rPr>
      </w:pPr>
    </w:p>
    <w:p w14:paraId="002746BD" w14:textId="77777777" w:rsidR="00C10740" w:rsidRPr="00A079A2" w:rsidRDefault="00C10740" w:rsidP="00A079A2">
      <w:pPr>
        <w:spacing w:line="240" w:lineRule="auto"/>
        <w:contextualSpacing/>
        <w:rPr>
          <w:rFonts w:ascii="Arial" w:hAnsi="Arial" w:cs="Arial"/>
        </w:rPr>
      </w:pPr>
    </w:p>
    <w:sectPr w:rsidR="00C10740" w:rsidRPr="00A079A2" w:rsidSect="005D31D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341EF" w14:textId="77777777" w:rsidR="008137BA" w:rsidRDefault="008137BA">
      <w:pPr>
        <w:spacing w:after="0" w:line="240" w:lineRule="auto"/>
      </w:pPr>
      <w:r>
        <w:separator/>
      </w:r>
    </w:p>
  </w:endnote>
  <w:endnote w:type="continuationSeparator" w:id="0">
    <w:p w14:paraId="7C2A59BB" w14:textId="77777777" w:rsidR="008137BA" w:rsidRDefault="0081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B38FD" w14:textId="568A838B" w:rsidR="00C0000D" w:rsidRPr="0080156C" w:rsidRDefault="008137BA" w:rsidP="00C0000D">
    <w:pPr>
      <w:pStyle w:val="Header"/>
      <w:jc w:val="center"/>
      <w:rPr>
        <w:rFonts w:ascii="Arial" w:hAnsi="Arial" w:cs="Arial"/>
      </w:rPr>
    </w:pPr>
  </w:p>
  <w:sdt>
    <w:sdtPr>
      <w:id w:val="1186634748"/>
      <w:docPartObj>
        <w:docPartGallery w:val="Page Numbers (Bottom of Page)"/>
        <w:docPartUnique/>
      </w:docPartObj>
    </w:sdtPr>
    <w:sdtEndPr>
      <w:rPr>
        <w:noProof/>
      </w:rPr>
    </w:sdtEndPr>
    <w:sdtContent>
      <w:p w14:paraId="304B2FF1" w14:textId="69BE66BF" w:rsidR="006B08C3" w:rsidRDefault="00A079A2" w:rsidP="0080156C">
        <w:pPr>
          <w:pStyle w:val="Footer"/>
          <w:jc w:val="right"/>
        </w:pPr>
        <w:r>
          <w:fldChar w:fldCharType="begin"/>
        </w:r>
        <w:r>
          <w:instrText xml:space="preserve"> PAGE   \* MERGEFORMAT </w:instrText>
        </w:r>
        <w:r>
          <w:fldChar w:fldCharType="separate"/>
        </w:r>
        <w:r w:rsidR="000740F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9F888" w14:textId="77777777" w:rsidR="008137BA" w:rsidRDefault="008137BA">
      <w:pPr>
        <w:spacing w:after="0" w:line="240" w:lineRule="auto"/>
      </w:pPr>
      <w:r>
        <w:separator/>
      </w:r>
    </w:p>
  </w:footnote>
  <w:footnote w:type="continuationSeparator" w:id="0">
    <w:p w14:paraId="1D403398" w14:textId="77777777" w:rsidR="008137BA" w:rsidRDefault="00813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8CF91" w14:textId="7722C772" w:rsidR="0080156C" w:rsidRPr="00A0252E" w:rsidRDefault="0080156C" w:rsidP="0080156C">
    <w:pPr>
      <w:pStyle w:val="Footer"/>
      <w:jc w:val="center"/>
      <w:rPr>
        <w:rFonts w:cs="Arial"/>
      </w:rPr>
    </w:pPr>
    <w:r w:rsidRPr="00A0252E">
      <w:rPr>
        <w:rFonts w:cs="Arial"/>
      </w:rPr>
      <w:t>SCHEDULE P: GOVERNMENT FURNISHED ASSETS</w:t>
    </w:r>
  </w:p>
  <w:p w14:paraId="2DE92505" w14:textId="77777777" w:rsidR="00256586" w:rsidRPr="00A0252E" w:rsidRDefault="008137BA" w:rsidP="0080156C">
    <w:pPr>
      <w:pStyle w:val="Header"/>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952A8"/>
    <w:multiLevelType w:val="hybridMultilevel"/>
    <w:tmpl w:val="F6409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9A2"/>
    <w:rsid w:val="000740FF"/>
    <w:rsid w:val="00377447"/>
    <w:rsid w:val="003B5405"/>
    <w:rsid w:val="0080156C"/>
    <w:rsid w:val="008137BA"/>
    <w:rsid w:val="00890728"/>
    <w:rsid w:val="00A0252E"/>
    <w:rsid w:val="00A079A2"/>
    <w:rsid w:val="00C10740"/>
    <w:rsid w:val="00F44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0E837"/>
  <w15:chartTrackingRefBased/>
  <w15:docId w15:val="{9E95D530-D50C-432E-9825-9EDE9236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9A2"/>
  </w:style>
  <w:style w:type="table" w:styleId="TableGrid">
    <w:name w:val="Table Grid"/>
    <w:basedOn w:val="TableNormal"/>
    <w:uiPriority w:val="39"/>
    <w:rsid w:val="00A07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79A2"/>
    <w:pPr>
      <w:tabs>
        <w:tab w:val="center" w:pos="4513"/>
        <w:tab w:val="right" w:pos="9026"/>
      </w:tabs>
      <w:autoSpaceDN w:val="0"/>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A079A2"/>
    <w:rPr>
      <w:rFonts w:ascii="Arial" w:eastAsia="Times New Roman" w:hAnsi="Arial" w:cs="Times New Roman"/>
      <w:szCs w:val="24"/>
    </w:rPr>
  </w:style>
  <w:style w:type="paragraph" w:styleId="NormalWeb">
    <w:name w:val="Normal (Web)"/>
    <w:basedOn w:val="Normal"/>
    <w:uiPriority w:val="99"/>
    <w:semiHidden/>
    <w:unhideWhenUsed/>
    <w:rsid w:val="00A079A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079A2"/>
    <w:pPr>
      <w:ind w:left="720"/>
      <w:contextualSpacing/>
    </w:pPr>
  </w:style>
  <w:style w:type="paragraph" w:styleId="BalloonText">
    <w:name w:val="Balloon Text"/>
    <w:basedOn w:val="Normal"/>
    <w:link w:val="BalloonTextChar"/>
    <w:uiPriority w:val="99"/>
    <w:semiHidden/>
    <w:unhideWhenUsed/>
    <w:rsid w:val="00A07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9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2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Sahaab Professional 1 (DES Comrcl-PSS-Lead )</dc:creator>
  <cp:keywords/>
  <dc:description/>
  <cp:lastModifiedBy>Field, David Mr</cp:lastModifiedBy>
  <cp:revision>2</cp:revision>
  <dcterms:created xsi:type="dcterms:W3CDTF">2018-03-27T14:04:00Z</dcterms:created>
  <dcterms:modified xsi:type="dcterms:W3CDTF">2018-03-27T14:04:00Z</dcterms:modified>
</cp:coreProperties>
</file>