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5400F" w14:textId="77777777" w:rsidR="00DD15F6" w:rsidRDefault="00DD15F6">
      <w:pPr>
        <w:spacing w:after="0"/>
        <w:jc w:val="left"/>
        <w:rPr>
          <w:rFonts w:ascii="Arial" w:eastAsia="Arial" w:hAnsi="Arial"/>
          <w:b/>
          <w:sz w:val="36"/>
          <w:szCs w:val="36"/>
        </w:rPr>
      </w:pPr>
    </w:p>
    <w:p w14:paraId="1F575339" w14:textId="77777777" w:rsidR="00DD15F6" w:rsidRDefault="00FC73B3">
      <w:pPr>
        <w:jc w:val="left"/>
        <w:rPr>
          <w:rFonts w:ascii="Arial" w:eastAsia="Arial" w:hAnsi="Arial"/>
          <w:sz w:val="24"/>
          <w:szCs w:val="24"/>
        </w:rPr>
      </w:pPr>
      <w:r>
        <w:rPr>
          <w:rFonts w:ascii="Arial" w:eastAsia="Arial" w:hAnsi="Arial"/>
          <w:b/>
          <w:sz w:val="36"/>
          <w:szCs w:val="36"/>
        </w:rPr>
        <w:t>Call-Off Schedule 2 (Staff Transfer)</w:t>
      </w:r>
    </w:p>
    <w:p w14:paraId="74206807" w14:textId="77777777" w:rsidR="00DD15F6" w:rsidRDefault="00DD15F6">
      <w:pPr>
        <w:keepNext/>
        <w:pBdr>
          <w:top w:val="nil"/>
          <w:left w:val="nil"/>
          <w:bottom w:val="nil"/>
          <w:right w:val="nil"/>
          <w:between w:val="nil"/>
        </w:pBdr>
        <w:jc w:val="left"/>
        <w:rPr>
          <w:rFonts w:ascii="Arial" w:eastAsia="Arial" w:hAnsi="Arial"/>
          <w:b/>
          <w:smallCaps/>
          <w:color w:val="000000"/>
          <w:sz w:val="24"/>
          <w:szCs w:val="24"/>
        </w:rPr>
      </w:pPr>
    </w:p>
    <w:p w14:paraId="1A43C8D6" w14:textId="77777777" w:rsidR="00DD15F6" w:rsidRDefault="00FC73B3">
      <w:pPr>
        <w:keepNext/>
        <w:numPr>
          <w:ilvl w:val="0"/>
          <w:numId w:val="14"/>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357C699F" w14:textId="77777777" w:rsidR="00DD15F6" w:rsidRDefault="00FC73B3">
      <w:pPr>
        <w:keepNext/>
        <w:numPr>
          <w:ilvl w:val="1"/>
          <w:numId w:val="14"/>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 xml:space="preserve">In this Schedule, the following words have the following meanings and they shall supplement Joint Schedule </w:t>
      </w:r>
      <w:proofErr w:type="gramStart"/>
      <w:r>
        <w:rPr>
          <w:rFonts w:ascii="Arial" w:eastAsia="Arial" w:hAnsi="Arial"/>
          <w:color w:val="000000"/>
          <w:sz w:val="24"/>
          <w:szCs w:val="24"/>
        </w:rPr>
        <w:t>1  (</w:t>
      </w:r>
      <w:proofErr w:type="gramEnd"/>
      <w:r>
        <w:rPr>
          <w:rFonts w:ascii="Arial" w:eastAsia="Arial" w:hAnsi="Arial"/>
          <w:color w:val="000000"/>
          <w:sz w:val="24"/>
          <w:szCs w:val="24"/>
        </w:rPr>
        <w:t>Definitions):</w:t>
      </w:r>
    </w:p>
    <w:tbl>
      <w:tblPr>
        <w:tblStyle w:val="a"/>
        <w:tblW w:w="9026" w:type="dxa"/>
        <w:tblLayout w:type="fixed"/>
        <w:tblLook w:val="0400" w:firstRow="0" w:lastRow="0" w:firstColumn="0" w:lastColumn="0" w:noHBand="0" w:noVBand="1"/>
      </w:tblPr>
      <w:tblGrid>
        <w:gridCol w:w="2917"/>
        <w:gridCol w:w="6109"/>
      </w:tblGrid>
      <w:tr w:rsidR="00DD15F6" w14:paraId="1FB2AB35" w14:textId="77777777">
        <w:trPr>
          <w:cantSplit/>
        </w:trPr>
        <w:tc>
          <w:tcPr>
            <w:tcW w:w="2917" w:type="dxa"/>
          </w:tcPr>
          <w:p w14:paraId="00ECD53A" w14:textId="77777777" w:rsidR="00DD15F6" w:rsidRDefault="00FC73B3">
            <w:pPr>
              <w:pBdr>
                <w:top w:val="nil"/>
                <w:left w:val="nil"/>
                <w:bottom w:val="nil"/>
                <w:right w:val="nil"/>
                <w:between w:val="nil"/>
              </w:pBdr>
              <w:spacing w:after="0"/>
              <w:ind w:left="706"/>
              <w:jc w:val="left"/>
              <w:rPr>
                <w:rFonts w:ascii="Arial" w:eastAsia="Arial" w:hAnsi="Arial"/>
                <w:b/>
                <w:color w:val="000000"/>
                <w:sz w:val="24"/>
                <w:szCs w:val="24"/>
                <w:highlight w:val="green"/>
              </w:rPr>
            </w:pPr>
            <w:r>
              <w:rPr>
                <w:rFonts w:ascii="Arial" w:eastAsia="Arial" w:hAnsi="Arial"/>
                <w:b/>
                <w:color w:val="000000"/>
                <w:sz w:val="24"/>
                <w:szCs w:val="24"/>
              </w:rPr>
              <w:t>"Employee Liability"</w:t>
            </w:r>
          </w:p>
        </w:tc>
        <w:tc>
          <w:tcPr>
            <w:tcW w:w="6109" w:type="dxa"/>
          </w:tcPr>
          <w:p w14:paraId="18BCCB18" w14:textId="77777777" w:rsidR="00DD15F6" w:rsidRDefault="00FC73B3">
            <w:pPr>
              <w:numPr>
                <w:ilvl w:val="0"/>
                <w:numId w:val="11"/>
              </w:numPr>
              <w:tabs>
                <w:tab w:val="left" w:pos="-179"/>
                <w:tab w:val="left" w:pos="-9"/>
              </w:tabs>
              <w:spacing w:after="120"/>
              <w:jc w:val="left"/>
              <w:rPr>
                <w:rFonts w:ascii="Arial" w:eastAsia="Arial" w:hAnsi="Arial"/>
                <w:b/>
                <w:sz w:val="24"/>
                <w:szCs w:val="24"/>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DC813F7" w14:textId="77777777" w:rsidR="00DD15F6" w:rsidRDefault="00FC73B3">
            <w:pPr>
              <w:numPr>
                <w:ilvl w:val="1"/>
                <w:numId w:val="11"/>
              </w:numPr>
              <w:tabs>
                <w:tab w:val="left" w:pos="-576"/>
                <w:tab w:val="left" w:pos="144"/>
              </w:tabs>
              <w:spacing w:after="120"/>
              <w:ind w:hanging="545"/>
              <w:jc w:val="left"/>
              <w:rPr>
                <w:rFonts w:ascii="Arial" w:eastAsia="Arial" w:hAnsi="Arial"/>
                <w:b/>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DD15F6" w14:paraId="5E2B15D0" w14:textId="77777777">
        <w:trPr>
          <w:cantSplit/>
        </w:trPr>
        <w:tc>
          <w:tcPr>
            <w:tcW w:w="2917" w:type="dxa"/>
          </w:tcPr>
          <w:p w14:paraId="245EE27D" w14:textId="77777777" w:rsidR="00DD15F6" w:rsidRDefault="00DD15F6">
            <w:pPr>
              <w:pBdr>
                <w:top w:val="nil"/>
                <w:left w:val="nil"/>
                <w:bottom w:val="nil"/>
                <w:right w:val="nil"/>
                <w:between w:val="nil"/>
              </w:pBdr>
              <w:spacing w:after="0"/>
              <w:ind w:left="706"/>
              <w:jc w:val="left"/>
              <w:rPr>
                <w:rFonts w:ascii="Arial" w:eastAsia="Arial" w:hAnsi="Arial"/>
                <w:b/>
                <w:color w:val="000000"/>
                <w:sz w:val="24"/>
                <w:szCs w:val="24"/>
              </w:rPr>
            </w:pPr>
          </w:p>
        </w:tc>
        <w:tc>
          <w:tcPr>
            <w:tcW w:w="6109" w:type="dxa"/>
          </w:tcPr>
          <w:p w14:paraId="6723A984" w14:textId="77777777" w:rsidR="00DD15F6" w:rsidRDefault="00FC73B3">
            <w:pPr>
              <w:numPr>
                <w:ilvl w:val="1"/>
                <w:numId w:val="11"/>
              </w:numPr>
              <w:tabs>
                <w:tab w:val="left" w:pos="-576"/>
                <w:tab w:val="left" w:pos="144"/>
              </w:tabs>
              <w:spacing w:after="120"/>
              <w:ind w:hanging="545"/>
              <w:jc w:val="left"/>
              <w:rPr>
                <w:rFonts w:ascii="Arial" w:eastAsia="Arial" w:hAnsi="Arial"/>
                <w:sz w:val="24"/>
                <w:szCs w:val="24"/>
              </w:rPr>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DD15F6" w14:paraId="05C59147" w14:textId="77777777">
        <w:trPr>
          <w:cantSplit/>
        </w:trPr>
        <w:tc>
          <w:tcPr>
            <w:tcW w:w="2917" w:type="dxa"/>
          </w:tcPr>
          <w:p w14:paraId="35F0C174" w14:textId="77777777" w:rsidR="00DD15F6" w:rsidRDefault="00DD15F6">
            <w:pPr>
              <w:pBdr>
                <w:top w:val="nil"/>
                <w:left w:val="nil"/>
                <w:bottom w:val="nil"/>
                <w:right w:val="nil"/>
                <w:between w:val="nil"/>
              </w:pBdr>
              <w:spacing w:after="0"/>
              <w:ind w:left="706"/>
              <w:jc w:val="left"/>
              <w:rPr>
                <w:rFonts w:ascii="Arial" w:eastAsia="Arial" w:hAnsi="Arial"/>
                <w:b/>
                <w:color w:val="000000"/>
                <w:sz w:val="24"/>
                <w:szCs w:val="24"/>
              </w:rPr>
            </w:pPr>
          </w:p>
        </w:tc>
        <w:tc>
          <w:tcPr>
            <w:tcW w:w="6109" w:type="dxa"/>
          </w:tcPr>
          <w:p w14:paraId="703A4067" w14:textId="77777777" w:rsidR="00DD15F6" w:rsidRDefault="00FC73B3">
            <w:pPr>
              <w:numPr>
                <w:ilvl w:val="1"/>
                <w:numId w:val="11"/>
              </w:numPr>
              <w:tabs>
                <w:tab w:val="left" w:pos="-576"/>
                <w:tab w:val="left" w:pos="144"/>
              </w:tabs>
              <w:spacing w:after="120"/>
              <w:ind w:hanging="545"/>
              <w:jc w:val="left"/>
              <w:rPr>
                <w:rFonts w:ascii="Arial" w:eastAsia="Arial" w:hAnsi="Arial"/>
                <w:sz w:val="24"/>
                <w:szCs w:val="24"/>
              </w:rPr>
            </w:pPr>
            <w:r>
              <w:rPr>
                <w:rFonts w:ascii="Arial" w:eastAsia="Arial" w:hAnsi="Arial"/>
                <w:sz w:val="24"/>
                <w:szCs w:val="24"/>
              </w:rPr>
              <w:t xml:space="preserve">compensation for discrimination on grounds </w:t>
            </w:r>
            <w:proofErr w:type="gramStart"/>
            <w:r>
              <w:rPr>
                <w:rFonts w:ascii="Arial" w:eastAsia="Arial" w:hAnsi="Arial"/>
                <w:sz w:val="24"/>
                <w:szCs w:val="24"/>
              </w:rPr>
              <w:t>of  sex</w:t>
            </w:r>
            <w:proofErr w:type="gramEnd"/>
            <w:r>
              <w:rPr>
                <w:rFonts w:ascii="Arial" w:eastAsia="Arial" w:hAnsi="Arial"/>
                <w:sz w:val="24"/>
                <w:szCs w:val="24"/>
              </w:rPr>
              <w:t xml:space="preserve">, race, disability, age, religion or belief, gender reassignment, marriage or civil partnership, pregnancy and maternity  or sexual orientation or claims for equal pay; </w:t>
            </w:r>
          </w:p>
        </w:tc>
      </w:tr>
      <w:tr w:rsidR="00DD15F6" w14:paraId="3D1CD35E" w14:textId="77777777">
        <w:trPr>
          <w:cantSplit/>
        </w:trPr>
        <w:tc>
          <w:tcPr>
            <w:tcW w:w="2917" w:type="dxa"/>
          </w:tcPr>
          <w:p w14:paraId="07630CF7" w14:textId="77777777" w:rsidR="00DD15F6" w:rsidRDefault="00DD15F6">
            <w:pPr>
              <w:pBdr>
                <w:top w:val="nil"/>
                <w:left w:val="nil"/>
                <w:bottom w:val="nil"/>
                <w:right w:val="nil"/>
                <w:between w:val="nil"/>
              </w:pBdr>
              <w:spacing w:after="0"/>
              <w:ind w:left="706"/>
              <w:jc w:val="left"/>
              <w:rPr>
                <w:rFonts w:ascii="Arial" w:eastAsia="Arial" w:hAnsi="Arial"/>
                <w:b/>
                <w:color w:val="000000"/>
                <w:sz w:val="24"/>
                <w:szCs w:val="24"/>
              </w:rPr>
            </w:pPr>
          </w:p>
        </w:tc>
        <w:tc>
          <w:tcPr>
            <w:tcW w:w="6109" w:type="dxa"/>
          </w:tcPr>
          <w:p w14:paraId="7DF50DBC" w14:textId="77777777" w:rsidR="00DD15F6" w:rsidRDefault="00FC73B3">
            <w:pPr>
              <w:numPr>
                <w:ilvl w:val="1"/>
                <w:numId w:val="11"/>
              </w:numPr>
              <w:tabs>
                <w:tab w:val="left" w:pos="-576"/>
                <w:tab w:val="left" w:pos="144"/>
              </w:tabs>
              <w:spacing w:after="120"/>
              <w:ind w:hanging="545"/>
              <w:jc w:val="left"/>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DD15F6" w14:paraId="13AC4FED" w14:textId="77777777">
        <w:trPr>
          <w:cantSplit/>
        </w:trPr>
        <w:tc>
          <w:tcPr>
            <w:tcW w:w="2917" w:type="dxa"/>
          </w:tcPr>
          <w:p w14:paraId="15E5908C" w14:textId="77777777" w:rsidR="00DD15F6" w:rsidRDefault="00DD15F6">
            <w:pPr>
              <w:pBdr>
                <w:top w:val="nil"/>
                <w:left w:val="nil"/>
                <w:bottom w:val="nil"/>
                <w:right w:val="nil"/>
                <w:between w:val="nil"/>
              </w:pBdr>
              <w:spacing w:after="0"/>
              <w:ind w:left="706"/>
              <w:jc w:val="left"/>
              <w:rPr>
                <w:rFonts w:ascii="Arial" w:eastAsia="Arial" w:hAnsi="Arial"/>
                <w:b/>
                <w:color w:val="000000"/>
                <w:sz w:val="24"/>
                <w:szCs w:val="24"/>
              </w:rPr>
            </w:pPr>
          </w:p>
        </w:tc>
        <w:tc>
          <w:tcPr>
            <w:tcW w:w="6109" w:type="dxa"/>
          </w:tcPr>
          <w:p w14:paraId="22E704B5" w14:textId="77777777" w:rsidR="00DD15F6" w:rsidRDefault="00FC73B3">
            <w:pPr>
              <w:numPr>
                <w:ilvl w:val="1"/>
                <w:numId w:val="11"/>
              </w:numPr>
              <w:tabs>
                <w:tab w:val="left" w:pos="-576"/>
                <w:tab w:val="left" w:pos="144"/>
              </w:tabs>
              <w:spacing w:after="120"/>
              <w:ind w:hanging="545"/>
              <w:jc w:val="left"/>
              <w:rPr>
                <w:rFonts w:ascii="Arial" w:eastAsia="Arial" w:hAnsi="Arial"/>
                <w:b/>
                <w:i/>
                <w:sz w:val="24"/>
                <w:szCs w:val="24"/>
              </w:rPr>
            </w:pPr>
            <w:r>
              <w:rPr>
                <w:rFonts w:ascii="Arial" w:eastAsia="Arial" w:hAnsi="Arial"/>
                <w:sz w:val="24"/>
                <w:szCs w:val="24"/>
              </w:rPr>
              <w:t xml:space="preserve">outstanding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DD15F6" w14:paraId="48660F46" w14:textId="77777777">
        <w:trPr>
          <w:cantSplit/>
        </w:trPr>
        <w:tc>
          <w:tcPr>
            <w:tcW w:w="2917" w:type="dxa"/>
          </w:tcPr>
          <w:p w14:paraId="5482E51A" w14:textId="77777777" w:rsidR="00DD15F6" w:rsidRDefault="00DD15F6">
            <w:pPr>
              <w:keepNext/>
              <w:pBdr>
                <w:top w:val="nil"/>
                <w:left w:val="nil"/>
                <w:bottom w:val="nil"/>
                <w:right w:val="nil"/>
                <w:between w:val="nil"/>
              </w:pBdr>
              <w:spacing w:after="0"/>
              <w:ind w:left="706"/>
              <w:jc w:val="left"/>
              <w:rPr>
                <w:rFonts w:ascii="Arial" w:eastAsia="Arial" w:hAnsi="Arial"/>
                <w:b/>
                <w:color w:val="000000"/>
                <w:sz w:val="24"/>
                <w:szCs w:val="24"/>
              </w:rPr>
            </w:pPr>
          </w:p>
        </w:tc>
        <w:tc>
          <w:tcPr>
            <w:tcW w:w="6109" w:type="dxa"/>
          </w:tcPr>
          <w:p w14:paraId="3C9C0484" w14:textId="77777777" w:rsidR="00DD15F6" w:rsidRDefault="00FC73B3">
            <w:pPr>
              <w:numPr>
                <w:ilvl w:val="1"/>
                <w:numId w:val="11"/>
              </w:numPr>
              <w:tabs>
                <w:tab w:val="left" w:pos="-576"/>
                <w:tab w:val="left" w:pos="144"/>
              </w:tabs>
              <w:spacing w:after="120"/>
              <w:ind w:hanging="545"/>
              <w:jc w:val="left"/>
              <w:rPr>
                <w:rFonts w:ascii="Arial" w:eastAsia="Arial" w:hAnsi="Arial"/>
                <w:b/>
                <w:i/>
                <w:sz w:val="24"/>
                <w:szCs w:val="24"/>
              </w:rPr>
            </w:pPr>
            <w:r>
              <w:rPr>
                <w:rFonts w:ascii="Arial" w:eastAsia="Arial" w:hAnsi="Arial"/>
                <w:sz w:val="24"/>
                <w:szCs w:val="24"/>
              </w:rPr>
              <w:t>claims whether in tort, contract or statute or otherwise;</w:t>
            </w:r>
          </w:p>
        </w:tc>
      </w:tr>
      <w:tr w:rsidR="00DD15F6" w14:paraId="5C93FEEC" w14:textId="77777777">
        <w:trPr>
          <w:cantSplit/>
        </w:trPr>
        <w:tc>
          <w:tcPr>
            <w:tcW w:w="2917" w:type="dxa"/>
          </w:tcPr>
          <w:p w14:paraId="0E64C9AC" w14:textId="77777777" w:rsidR="00DD15F6" w:rsidRDefault="00DD15F6">
            <w:pPr>
              <w:pBdr>
                <w:top w:val="nil"/>
                <w:left w:val="nil"/>
                <w:bottom w:val="nil"/>
                <w:right w:val="nil"/>
                <w:between w:val="nil"/>
              </w:pBdr>
              <w:spacing w:after="0"/>
              <w:ind w:left="706"/>
              <w:jc w:val="left"/>
              <w:rPr>
                <w:rFonts w:ascii="Arial" w:eastAsia="Arial" w:hAnsi="Arial"/>
                <w:b/>
                <w:color w:val="000000"/>
                <w:sz w:val="24"/>
                <w:szCs w:val="24"/>
              </w:rPr>
            </w:pPr>
          </w:p>
        </w:tc>
        <w:tc>
          <w:tcPr>
            <w:tcW w:w="6109" w:type="dxa"/>
          </w:tcPr>
          <w:p w14:paraId="4B998BC6" w14:textId="77777777" w:rsidR="00DD15F6" w:rsidRDefault="00FC73B3">
            <w:pPr>
              <w:pBdr>
                <w:top w:val="nil"/>
                <w:left w:val="nil"/>
                <w:bottom w:val="nil"/>
                <w:right w:val="nil"/>
                <w:between w:val="nil"/>
              </w:pBdr>
              <w:tabs>
                <w:tab w:val="left" w:pos="235"/>
              </w:tabs>
              <w:spacing w:before="120" w:after="120"/>
              <w:jc w:val="left"/>
              <w:rPr>
                <w:rFonts w:ascii="Arial" w:eastAsia="Arial" w:hAnsi="Arial"/>
                <w:color w:val="000000"/>
                <w:sz w:val="24"/>
                <w:szCs w:val="24"/>
              </w:rPr>
            </w:pPr>
            <w:r>
              <w:rPr>
                <w:rFonts w:ascii="Arial" w:eastAsia="Arial" w:hAnsi="Arial"/>
                <w:color w:val="000000"/>
                <w:sz w:val="24"/>
                <w:szCs w:val="24"/>
              </w:rPr>
              <w:t>any investigation by the Equality and Human Rights Commission or other enforcement, regulatory or supervisory body and of implementing any requirements which may arise from such investigation;</w:t>
            </w:r>
          </w:p>
        </w:tc>
      </w:tr>
      <w:tr w:rsidR="00DD15F6" w14:paraId="71E9CBA1" w14:textId="77777777">
        <w:trPr>
          <w:cantSplit/>
        </w:trPr>
        <w:tc>
          <w:tcPr>
            <w:tcW w:w="2917" w:type="dxa"/>
          </w:tcPr>
          <w:p w14:paraId="34A79554"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t>"Former Supplier"</w:t>
            </w:r>
          </w:p>
        </w:tc>
        <w:tc>
          <w:tcPr>
            <w:tcW w:w="6109" w:type="dxa"/>
          </w:tcPr>
          <w:p w14:paraId="1C187915" w14:textId="77777777" w:rsidR="00DD15F6" w:rsidRDefault="00FC73B3">
            <w:pPr>
              <w:pBdr>
                <w:top w:val="nil"/>
                <w:left w:val="nil"/>
                <w:bottom w:val="nil"/>
                <w:right w:val="nil"/>
                <w:between w:val="nil"/>
              </w:pBdr>
              <w:tabs>
                <w:tab w:val="left" w:pos="235"/>
              </w:tabs>
              <w:spacing w:before="120" w:after="120"/>
              <w:jc w:val="left"/>
              <w:rPr>
                <w:rFonts w:ascii="Arial" w:eastAsia="Arial" w:hAnsi="Arial"/>
                <w:color w:val="000000"/>
                <w:sz w:val="24"/>
                <w:szCs w:val="24"/>
              </w:rPr>
            </w:pPr>
            <w:r>
              <w:rPr>
                <w:rFonts w:ascii="Arial" w:eastAsia="Arial" w:hAnsi="Arial"/>
                <w:color w:val="000000"/>
                <w:sz w:val="24"/>
                <w:szCs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DD15F6" w14:paraId="7030E34E" w14:textId="77777777">
        <w:trPr>
          <w:cantSplit/>
        </w:trPr>
        <w:tc>
          <w:tcPr>
            <w:tcW w:w="2917" w:type="dxa"/>
          </w:tcPr>
          <w:p w14:paraId="3135D7C0"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Pr>
          <w:p w14:paraId="79A2A8C1" w14:textId="77777777" w:rsidR="00DD15F6" w:rsidRDefault="00FC73B3">
            <w:pPr>
              <w:pBdr>
                <w:top w:val="nil"/>
                <w:left w:val="nil"/>
                <w:bottom w:val="nil"/>
                <w:right w:val="nil"/>
                <w:between w:val="nil"/>
              </w:pBdr>
              <w:tabs>
                <w:tab w:val="left" w:pos="235"/>
              </w:tabs>
              <w:spacing w:before="120" w:after="120"/>
              <w:jc w:val="left"/>
              <w:rPr>
                <w:rFonts w:ascii="Arial" w:eastAsia="Arial" w:hAnsi="Arial"/>
                <w:color w:val="000000"/>
                <w:sz w:val="24"/>
                <w:szCs w:val="24"/>
              </w:rPr>
            </w:pPr>
            <w:r>
              <w:rPr>
                <w:rFonts w:ascii="Arial" w:eastAsia="Arial" w:hAnsi="Arial"/>
                <w:color w:val="000000"/>
                <w:sz w:val="24"/>
                <w:szCs w:val="24"/>
              </w:rPr>
              <w:t xml:space="preserve">the partial termination of the relevant Contract to the extent that it relates to the provision of any part of the Services as further provided for in Clause 10.4 (When CCS or the Buyer can end this </w:t>
            </w:r>
            <w:proofErr w:type="gramStart"/>
            <w:r>
              <w:rPr>
                <w:rFonts w:ascii="Arial" w:eastAsia="Arial" w:hAnsi="Arial"/>
                <w:color w:val="000000"/>
                <w:sz w:val="24"/>
                <w:szCs w:val="24"/>
              </w:rPr>
              <w:t>contract )</w:t>
            </w:r>
            <w:proofErr w:type="gramEnd"/>
            <w:r>
              <w:rPr>
                <w:rFonts w:ascii="Arial" w:eastAsia="Arial" w:hAnsi="Arial"/>
                <w:color w:val="000000"/>
                <w:sz w:val="24"/>
                <w:szCs w:val="24"/>
              </w:rPr>
              <w:t xml:space="preserve"> or 10.6 (When the Supplier can end the contract);</w:t>
            </w:r>
          </w:p>
        </w:tc>
      </w:tr>
      <w:tr w:rsidR="00DD15F6" w14:paraId="041C0B07" w14:textId="77777777">
        <w:trPr>
          <w:cantSplit/>
        </w:trPr>
        <w:tc>
          <w:tcPr>
            <w:tcW w:w="2917" w:type="dxa"/>
          </w:tcPr>
          <w:p w14:paraId="1E8D1675"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t>"Relevant Transfer"</w:t>
            </w:r>
          </w:p>
        </w:tc>
        <w:tc>
          <w:tcPr>
            <w:tcW w:w="6109" w:type="dxa"/>
          </w:tcPr>
          <w:p w14:paraId="25A3485E" w14:textId="77777777" w:rsidR="00DD15F6" w:rsidRDefault="00FC73B3">
            <w:pPr>
              <w:pBdr>
                <w:top w:val="nil"/>
                <w:left w:val="nil"/>
                <w:bottom w:val="nil"/>
                <w:right w:val="nil"/>
                <w:between w:val="nil"/>
              </w:pBdr>
              <w:tabs>
                <w:tab w:val="left" w:pos="34"/>
              </w:tabs>
              <w:spacing w:before="120" w:after="120"/>
              <w:jc w:val="left"/>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DD15F6" w14:paraId="446C2877" w14:textId="77777777">
        <w:trPr>
          <w:cantSplit/>
        </w:trPr>
        <w:tc>
          <w:tcPr>
            <w:tcW w:w="2917" w:type="dxa"/>
          </w:tcPr>
          <w:p w14:paraId="42DFCCF5"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t>"Relevant Transfer Date"</w:t>
            </w:r>
          </w:p>
        </w:tc>
        <w:tc>
          <w:tcPr>
            <w:tcW w:w="6109" w:type="dxa"/>
          </w:tcPr>
          <w:p w14:paraId="1EC69C70" w14:textId="77777777" w:rsidR="00DD15F6" w:rsidRDefault="00FC73B3">
            <w:pPr>
              <w:pBdr>
                <w:top w:val="nil"/>
                <w:left w:val="nil"/>
                <w:bottom w:val="nil"/>
                <w:right w:val="nil"/>
                <w:between w:val="nil"/>
              </w:pBdr>
              <w:tabs>
                <w:tab w:val="left" w:pos="34"/>
              </w:tabs>
              <w:spacing w:before="120" w:after="120"/>
              <w:jc w:val="left"/>
              <w:rPr>
                <w:rFonts w:ascii="Arial" w:eastAsia="Arial" w:hAnsi="Arial"/>
                <w:color w:val="000000"/>
                <w:sz w:val="24"/>
                <w:szCs w:val="24"/>
                <w:highlight w:val="green"/>
              </w:rPr>
            </w:pPr>
            <w:r>
              <w:rPr>
                <w:rFonts w:ascii="Arial" w:eastAsia="Arial" w:hAnsi="Arial"/>
                <w:color w:val="000000"/>
                <w:sz w:val="24"/>
                <w:szCs w:val="24"/>
              </w:rPr>
              <w:t>in relation to a Relevant Transfer, the date upon which the Relevant Transfer takes place, and for the purposes of Part D: Pensions, shall include the Commencement Date, where appropriate;</w:t>
            </w:r>
          </w:p>
        </w:tc>
      </w:tr>
      <w:tr w:rsidR="00DD15F6" w14:paraId="4B7A153B" w14:textId="77777777">
        <w:trPr>
          <w:cantSplit/>
        </w:trPr>
        <w:tc>
          <w:tcPr>
            <w:tcW w:w="2917" w:type="dxa"/>
          </w:tcPr>
          <w:p w14:paraId="0459246B"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t>"Supplier's Final Supplier Personnel List"</w:t>
            </w:r>
          </w:p>
        </w:tc>
        <w:tc>
          <w:tcPr>
            <w:tcW w:w="6109" w:type="dxa"/>
          </w:tcPr>
          <w:p w14:paraId="6AD6BF69" w14:textId="77777777" w:rsidR="00DD15F6" w:rsidRDefault="00FC73B3">
            <w:pPr>
              <w:pBdr>
                <w:top w:val="nil"/>
                <w:left w:val="nil"/>
                <w:bottom w:val="nil"/>
                <w:right w:val="nil"/>
                <w:between w:val="nil"/>
              </w:pBdr>
              <w:tabs>
                <w:tab w:val="left" w:pos="34"/>
              </w:tabs>
              <w:spacing w:before="120" w:after="120"/>
              <w:jc w:val="left"/>
              <w:rPr>
                <w:rFonts w:ascii="Arial" w:eastAsia="Arial" w:hAnsi="Arial"/>
                <w:color w:val="000000"/>
                <w:sz w:val="24"/>
                <w:szCs w:val="24"/>
              </w:rPr>
            </w:pPr>
            <w:r>
              <w:rPr>
                <w:rFonts w:ascii="Arial" w:eastAsia="Arial" w:hAnsi="Arial"/>
                <w:color w:val="000000"/>
                <w:sz w:val="24"/>
                <w:szCs w:val="24"/>
              </w:rPr>
              <w:t>a list provided by the Supplier of all Supplier Personnel whose will transfer under the Employment Regulations on the Service Transfer Date;</w:t>
            </w:r>
          </w:p>
        </w:tc>
      </w:tr>
      <w:tr w:rsidR="00DD15F6" w14:paraId="7D2A14F6" w14:textId="77777777">
        <w:trPr>
          <w:cantSplit/>
        </w:trPr>
        <w:tc>
          <w:tcPr>
            <w:tcW w:w="2917" w:type="dxa"/>
          </w:tcPr>
          <w:p w14:paraId="258D5C77"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t>"Supplier's Provisional Supplier Personnel List"</w:t>
            </w:r>
          </w:p>
        </w:tc>
        <w:tc>
          <w:tcPr>
            <w:tcW w:w="6109" w:type="dxa"/>
          </w:tcPr>
          <w:p w14:paraId="3B210784" w14:textId="77777777" w:rsidR="00DD15F6" w:rsidRDefault="00FC73B3">
            <w:pPr>
              <w:pBdr>
                <w:top w:val="nil"/>
                <w:left w:val="nil"/>
                <w:bottom w:val="nil"/>
                <w:right w:val="nil"/>
                <w:between w:val="nil"/>
              </w:pBdr>
              <w:spacing w:before="120" w:after="120"/>
              <w:ind w:left="34"/>
              <w:jc w:val="left"/>
              <w:rPr>
                <w:rFonts w:ascii="Arial" w:eastAsia="Arial" w:hAnsi="Arial"/>
                <w:color w:val="000000"/>
                <w:sz w:val="24"/>
                <w:szCs w:val="24"/>
              </w:rPr>
            </w:pPr>
            <w:r>
              <w:rPr>
                <w:rFonts w:ascii="Arial" w:eastAsia="Arial" w:hAnsi="Arial"/>
                <w:color w:val="000000"/>
                <w:sz w:val="24"/>
                <w:szCs w:val="24"/>
              </w:rPr>
              <w:t xml:space="preserve">a list prepared and updated by the Supplier of all Supplier Personnel who are at the date of the </w:t>
            </w:r>
            <w:proofErr w:type="gramStart"/>
            <w:r>
              <w:rPr>
                <w:rFonts w:ascii="Arial" w:eastAsia="Arial" w:hAnsi="Arial"/>
                <w:color w:val="000000"/>
                <w:sz w:val="24"/>
                <w:szCs w:val="24"/>
              </w:rPr>
              <w:t>list  wholly</w:t>
            </w:r>
            <w:proofErr w:type="gramEnd"/>
            <w:r>
              <w:rPr>
                <w:rFonts w:ascii="Arial" w:eastAsia="Arial" w:hAnsi="Arial"/>
                <w:color w:val="000000"/>
                <w:sz w:val="24"/>
                <w:szCs w:val="24"/>
              </w:rPr>
              <w:t xml:space="preserve"> or mainly engaged in or assigned to the provision of the Services or any relevant part of the Services which it is envisaged as at the date of such list will no longer be provided by the Supplier;</w:t>
            </w:r>
          </w:p>
        </w:tc>
      </w:tr>
      <w:tr w:rsidR="00DD15F6" w14:paraId="12DD0617" w14:textId="77777777">
        <w:trPr>
          <w:cantSplit/>
        </w:trPr>
        <w:tc>
          <w:tcPr>
            <w:tcW w:w="2917" w:type="dxa"/>
          </w:tcPr>
          <w:p w14:paraId="5273228B" w14:textId="77777777" w:rsidR="00DD15F6" w:rsidRDefault="00FC73B3">
            <w:pPr>
              <w:keepNext/>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lastRenderedPageBreak/>
              <w:t>"Staffing Information"</w:t>
            </w:r>
          </w:p>
        </w:tc>
        <w:tc>
          <w:tcPr>
            <w:tcW w:w="6109" w:type="dxa"/>
          </w:tcPr>
          <w:p w14:paraId="26010E08" w14:textId="77777777" w:rsidR="00DD15F6" w:rsidRDefault="00FC73B3">
            <w:pPr>
              <w:keepNext/>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11841317" w14:textId="77777777" w:rsidR="00DD15F6" w:rsidRDefault="00FC73B3">
            <w:pPr>
              <w:keepNext/>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DD15F6" w14:paraId="4D3FB183" w14:textId="77777777">
        <w:trPr>
          <w:cantSplit/>
        </w:trPr>
        <w:tc>
          <w:tcPr>
            <w:tcW w:w="2917" w:type="dxa"/>
          </w:tcPr>
          <w:p w14:paraId="443F64B1"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4F06A6F4" w14:textId="77777777" w:rsidR="00DD15F6" w:rsidRDefault="00FC73B3">
            <w:pPr>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DD15F6" w14:paraId="3F33CB25" w14:textId="77777777">
        <w:trPr>
          <w:cantSplit/>
        </w:trPr>
        <w:tc>
          <w:tcPr>
            <w:tcW w:w="2917" w:type="dxa"/>
          </w:tcPr>
          <w:p w14:paraId="1F89C463"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033FBC9F" w14:textId="77777777" w:rsidR="00DD15F6" w:rsidRDefault="00FC73B3">
            <w:p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DD15F6" w14:paraId="25BFA631" w14:textId="77777777">
        <w:trPr>
          <w:cantSplit/>
        </w:trPr>
        <w:tc>
          <w:tcPr>
            <w:tcW w:w="2917" w:type="dxa"/>
          </w:tcPr>
          <w:p w14:paraId="41052ACD"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7E47DB94" w14:textId="77777777" w:rsidR="00DD15F6" w:rsidRDefault="00FC73B3">
            <w:pPr>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DD15F6" w14:paraId="429CD8B2" w14:textId="77777777">
        <w:trPr>
          <w:cantSplit/>
        </w:trPr>
        <w:tc>
          <w:tcPr>
            <w:tcW w:w="2917" w:type="dxa"/>
          </w:tcPr>
          <w:p w14:paraId="44576F28"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695024B3" w14:textId="77777777" w:rsidR="00DD15F6" w:rsidRDefault="00FC73B3">
            <w:pPr>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their wag</w:t>
            </w:r>
            <w:bookmarkStart w:id="0" w:name="_GoBack"/>
            <w:bookmarkEnd w:id="0"/>
            <w:r>
              <w:rPr>
                <w:rFonts w:ascii="Arial" w:eastAsia="Arial" w:hAnsi="Arial"/>
                <w:color w:val="000000"/>
                <w:sz w:val="24"/>
                <w:szCs w:val="24"/>
              </w:rPr>
              <w:t xml:space="preserve">es, salaries, bonuses and </w:t>
            </w:r>
            <w:proofErr w:type="gramStart"/>
            <w:r>
              <w:rPr>
                <w:rFonts w:ascii="Arial" w:eastAsia="Arial" w:hAnsi="Arial"/>
                <w:color w:val="000000"/>
                <w:sz w:val="24"/>
                <w:szCs w:val="24"/>
              </w:rPr>
              <w:t>profit sharing</w:t>
            </w:r>
            <w:proofErr w:type="gramEnd"/>
            <w:r>
              <w:rPr>
                <w:rFonts w:ascii="Arial" w:eastAsia="Arial" w:hAnsi="Arial"/>
                <w:color w:val="000000"/>
                <w:sz w:val="24"/>
                <w:szCs w:val="24"/>
              </w:rPr>
              <w:t xml:space="preserve"> arrangements as applicable;</w:t>
            </w:r>
          </w:p>
        </w:tc>
      </w:tr>
      <w:tr w:rsidR="00DD15F6" w14:paraId="11B0106B" w14:textId="77777777">
        <w:trPr>
          <w:cantSplit/>
        </w:trPr>
        <w:tc>
          <w:tcPr>
            <w:tcW w:w="2917" w:type="dxa"/>
          </w:tcPr>
          <w:p w14:paraId="1631ED33"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14656A6A" w14:textId="77777777" w:rsidR="00DD15F6" w:rsidRDefault="00FC73B3">
            <w:pPr>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DD15F6" w14:paraId="08F2EF0C" w14:textId="77777777">
        <w:trPr>
          <w:cantSplit/>
        </w:trPr>
        <w:tc>
          <w:tcPr>
            <w:tcW w:w="2917" w:type="dxa"/>
          </w:tcPr>
          <w:p w14:paraId="2A729D48"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0A08A6C8" w14:textId="77777777" w:rsidR="00DD15F6" w:rsidRDefault="00FC73B3">
            <w:pPr>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any outstanding or potential contractual, statutory or other liabilities in respect of such individuals (including in respect of personal injury claims);</w:t>
            </w:r>
          </w:p>
        </w:tc>
      </w:tr>
      <w:tr w:rsidR="00DD15F6" w14:paraId="303E5055" w14:textId="77777777">
        <w:trPr>
          <w:cantSplit/>
        </w:trPr>
        <w:tc>
          <w:tcPr>
            <w:tcW w:w="2917" w:type="dxa"/>
          </w:tcPr>
          <w:p w14:paraId="6AC94F29"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47EED3C0" w14:textId="77777777" w:rsidR="00DD15F6" w:rsidRDefault="00FC73B3">
            <w:pPr>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t xml:space="preserve">details of any such individuals on long term sickness absence, parental leave, maternity leave or other authorised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absence; </w:t>
            </w:r>
          </w:p>
        </w:tc>
      </w:tr>
      <w:tr w:rsidR="00DD15F6" w14:paraId="5DC04EE8" w14:textId="77777777">
        <w:trPr>
          <w:cantSplit/>
        </w:trPr>
        <w:tc>
          <w:tcPr>
            <w:tcW w:w="2917" w:type="dxa"/>
          </w:tcPr>
          <w:p w14:paraId="619C8FB7"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4E423A38" w14:textId="77777777" w:rsidR="00DD15F6" w:rsidRDefault="00FC73B3">
            <w:pPr>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DD15F6" w14:paraId="7C3F3111" w14:textId="77777777">
        <w:trPr>
          <w:cantSplit/>
        </w:trPr>
        <w:tc>
          <w:tcPr>
            <w:tcW w:w="2917" w:type="dxa"/>
          </w:tcPr>
          <w:p w14:paraId="35A00EF2" w14:textId="77777777" w:rsidR="00DD15F6" w:rsidRDefault="00DD15F6">
            <w:pPr>
              <w:pBdr>
                <w:top w:val="nil"/>
                <w:left w:val="nil"/>
                <w:bottom w:val="nil"/>
                <w:right w:val="nil"/>
                <w:between w:val="nil"/>
              </w:pBdr>
              <w:spacing w:before="120" w:after="120"/>
              <w:ind w:left="709"/>
              <w:jc w:val="left"/>
              <w:rPr>
                <w:rFonts w:ascii="Arial" w:eastAsia="Arial" w:hAnsi="Arial"/>
                <w:b/>
                <w:color w:val="000000"/>
                <w:sz w:val="24"/>
                <w:szCs w:val="24"/>
              </w:rPr>
            </w:pPr>
          </w:p>
        </w:tc>
        <w:tc>
          <w:tcPr>
            <w:tcW w:w="6109" w:type="dxa"/>
          </w:tcPr>
          <w:p w14:paraId="586A2CA2" w14:textId="77777777" w:rsidR="00DD15F6" w:rsidRDefault="00FC73B3">
            <w:pPr>
              <w:pBdr>
                <w:top w:val="nil"/>
                <w:left w:val="nil"/>
                <w:bottom w:val="nil"/>
                <w:right w:val="nil"/>
                <w:between w:val="nil"/>
              </w:pBdr>
              <w:spacing w:before="120" w:after="120"/>
              <w:ind w:left="720" w:hanging="720"/>
              <w:jc w:val="left"/>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any other "employee liability information" as such term is defined in regulation 11 of the Employment Regulations;</w:t>
            </w:r>
          </w:p>
        </w:tc>
      </w:tr>
      <w:tr w:rsidR="00DD15F6" w14:paraId="04D109F4" w14:textId="77777777">
        <w:trPr>
          <w:cantSplit/>
        </w:trPr>
        <w:tc>
          <w:tcPr>
            <w:tcW w:w="2917" w:type="dxa"/>
          </w:tcPr>
          <w:p w14:paraId="1F4A60CC"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t>"Term"</w:t>
            </w:r>
          </w:p>
        </w:tc>
        <w:tc>
          <w:tcPr>
            <w:tcW w:w="6109" w:type="dxa"/>
          </w:tcPr>
          <w:p w14:paraId="03704343" w14:textId="77777777" w:rsidR="00DD15F6" w:rsidRDefault="00FC73B3">
            <w:p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DD15F6" w14:paraId="5C8F7E48" w14:textId="77777777">
        <w:trPr>
          <w:cantSplit/>
        </w:trPr>
        <w:tc>
          <w:tcPr>
            <w:tcW w:w="2917" w:type="dxa"/>
          </w:tcPr>
          <w:p w14:paraId="62779A59"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rPr>
            </w:pPr>
            <w:r>
              <w:rPr>
                <w:rFonts w:ascii="Arial" w:eastAsia="Arial" w:hAnsi="Arial"/>
                <w:b/>
                <w:color w:val="000000"/>
                <w:sz w:val="24"/>
                <w:szCs w:val="24"/>
              </w:rPr>
              <w:t>"Transferring Buyer Employees"</w:t>
            </w:r>
          </w:p>
        </w:tc>
        <w:tc>
          <w:tcPr>
            <w:tcW w:w="6109" w:type="dxa"/>
          </w:tcPr>
          <w:p w14:paraId="216937D4" w14:textId="77777777" w:rsidR="00DD15F6" w:rsidRDefault="00FC73B3">
            <w:p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those employees of the Buyer to whom the Employment Regulations will apply on the Relevant Transfer Date and whose names are provided to the Supplier on or prior to the Relevant Transfer Date;</w:t>
            </w:r>
          </w:p>
        </w:tc>
      </w:tr>
      <w:tr w:rsidR="00DD15F6" w14:paraId="2AFC0A43" w14:textId="77777777">
        <w:trPr>
          <w:cantSplit/>
        </w:trPr>
        <w:tc>
          <w:tcPr>
            <w:tcW w:w="2917" w:type="dxa"/>
          </w:tcPr>
          <w:p w14:paraId="07EC67D3" w14:textId="77777777" w:rsidR="00DD15F6" w:rsidRDefault="00FC73B3">
            <w:pPr>
              <w:pBdr>
                <w:top w:val="nil"/>
                <w:left w:val="nil"/>
                <w:bottom w:val="nil"/>
                <w:right w:val="nil"/>
                <w:between w:val="nil"/>
              </w:pBdr>
              <w:spacing w:before="120" w:after="120"/>
              <w:ind w:left="709"/>
              <w:jc w:val="left"/>
              <w:rPr>
                <w:rFonts w:ascii="Arial" w:eastAsia="Arial" w:hAnsi="Arial"/>
                <w:b/>
                <w:color w:val="000000"/>
                <w:sz w:val="24"/>
                <w:szCs w:val="24"/>
                <w:highlight w:val="green"/>
              </w:rPr>
            </w:pPr>
            <w:r>
              <w:rPr>
                <w:rFonts w:ascii="Arial" w:eastAsia="Arial" w:hAnsi="Arial"/>
                <w:b/>
                <w:color w:val="000000"/>
                <w:sz w:val="24"/>
                <w:szCs w:val="24"/>
              </w:rPr>
              <w:t>"Transferring Former Supplier Employees"</w:t>
            </w:r>
          </w:p>
        </w:tc>
        <w:tc>
          <w:tcPr>
            <w:tcW w:w="6109" w:type="dxa"/>
          </w:tcPr>
          <w:p w14:paraId="1357D110" w14:textId="77777777" w:rsidR="00DD15F6" w:rsidRDefault="00FC73B3">
            <w:pPr>
              <w:pBdr>
                <w:top w:val="nil"/>
                <w:left w:val="nil"/>
                <w:bottom w:val="nil"/>
                <w:right w:val="nil"/>
                <w:between w:val="nil"/>
              </w:pBdr>
              <w:spacing w:before="120" w:after="120"/>
              <w:jc w:val="left"/>
              <w:rPr>
                <w:rFonts w:ascii="Arial" w:eastAsia="Arial" w:hAnsi="Arial"/>
                <w:color w:val="000000"/>
                <w:sz w:val="24"/>
                <w:szCs w:val="24"/>
                <w:highlight w:val="green"/>
              </w:rPr>
            </w:pPr>
            <w:r>
              <w:rPr>
                <w:rFonts w:ascii="Arial" w:eastAsia="Arial" w:hAnsi="Arial"/>
                <w:color w:val="000000"/>
                <w:sz w:val="24"/>
                <w:szCs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22226FB4" w14:textId="77777777" w:rsidR="00DD15F6" w:rsidRDefault="00FC73B3">
      <w:pPr>
        <w:keepNext/>
        <w:numPr>
          <w:ilvl w:val="0"/>
          <w:numId w:val="14"/>
        </w:numPr>
        <w:pBdr>
          <w:top w:val="nil"/>
          <w:left w:val="nil"/>
          <w:bottom w:val="nil"/>
          <w:right w:val="nil"/>
          <w:between w:val="nil"/>
        </w:pBdr>
        <w:spacing w:before="120"/>
        <w:jc w:val="left"/>
        <w:rPr>
          <w:rFonts w:ascii="Arial" w:eastAsia="Arial" w:hAnsi="Arial"/>
          <w:b/>
          <w:smallCaps/>
          <w:color w:val="000000"/>
          <w:sz w:val="24"/>
          <w:szCs w:val="24"/>
        </w:rPr>
      </w:pPr>
      <w:r>
        <w:rPr>
          <w:rFonts w:ascii="Arial" w:eastAsia="Arial" w:hAnsi="Arial"/>
          <w:b/>
          <w:smallCaps/>
          <w:color w:val="000000"/>
          <w:sz w:val="24"/>
          <w:szCs w:val="24"/>
        </w:rPr>
        <w:t>INTERPRETATION</w:t>
      </w:r>
    </w:p>
    <w:p w14:paraId="1E240B2F" w14:textId="77777777" w:rsidR="00DD15F6" w:rsidRDefault="00FC73B3">
      <w:pPr>
        <w:ind w:left="357"/>
        <w:jc w:val="left"/>
        <w:rPr>
          <w:rFonts w:ascii="Arial" w:eastAsia="Arial" w:hAnsi="Arial"/>
          <w:b/>
          <w:sz w:val="24"/>
          <w:szCs w:val="24"/>
        </w:rPr>
      </w:pPr>
      <w:r>
        <w:rPr>
          <w:rFonts w:ascii="Arial" w:eastAsia="Arial" w:hAnsi="Arial"/>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67CDC5CA" w14:textId="77777777" w:rsidR="00DD15F6" w:rsidRDefault="00FC73B3">
      <w:pPr>
        <w:keepNext/>
        <w:numPr>
          <w:ilvl w:val="0"/>
          <w:numId w:val="14"/>
        </w:numPr>
        <w:pBdr>
          <w:top w:val="nil"/>
          <w:left w:val="nil"/>
          <w:bottom w:val="nil"/>
          <w:right w:val="nil"/>
          <w:between w:val="nil"/>
        </w:pBdr>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5C29CDAB" w14:textId="77777777" w:rsidR="00DD15F6" w:rsidRDefault="00FC73B3">
      <w:pPr>
        <w:ind w:left="357"/>
        <w:jc w:val="left"/>
        <w:rPr>
          <w:rFonts w:ascii="Arial" w:eastAsia="Arial" w:hAnsi="Arial"/>
          <w:sz w:val="24"/>
          <w:szCs w:val="24"/>
        </w:rPr>
      </w:pPr>
      <w:r>
        <w:rPr>
          <w:rFonts w:ascii="Arial" w:eastAsia="Arial" w:hAnsi="Arial"/>
          <w:sz w:val="24"/>
          <w:szCs w:val="24"/>
        </w:rPr>
        <w:t>Only the following parts of this Schedule shall apply to this Call Off Contract:</w:t>
      </w:r>
    </w:p>
    <w:p w14:paraId="4AC3F98E" w14:textId="5CB3F0C2" w:rsidR="00DD15F6" w:rsidRDefault="00FC73B3">
      <w:pPr>
        <w:numPr>
          <w:ilvl w:val="1"/>
          <w:numId w:val="9"/>
        </w:numPr>
        <w:spacing w:after="0" w:line="259" w:lineRule="auto"/>
        <w:jc w:val="left"/>
        <w:rPr>
          <w:rFonts w:ascii="Arial" w:eastAsia="Arial" w:hAnsi="Arial"/>
          <w:sz w:val="24"/>
          <w:szCs w:val="24"/>
        </w:rPr>
      </w:pPr>
      <w:r>
        <w:rPr>
          <w:rFonts w:ascii="Arial" w:eastAsia="Arial" w:hAnsi="Arial"/>
          <w:sz w:val="24"/>
          <w:szCs w:val="24"/>
        </w:rPr>
        <w:t xml:space="preserve">Part C (No Staff Transfer </w:t>
      </w:r>
      <w:r w:rsidR="003562AB">
        <w:rPr>
          <w:rFonts w:ascii="Arial" w:eastAsia="Arial" w:hAnsi="Arial"/>
          <w:sz w:val="24"/>
          <w:szCs w:val="24"/>
        </w:rPr>
        <w:t>on</w:t>
      </w:r>
      <w:r>
        <w:rPr>
          <w:rFonts w:ascii="Arial" w:eastAsia="Arial" w:hAnsi="Arial"/>
          <w:sz w:val="24"/>
          <w:szCs w:val="24"/>
        </w:rPr>
        <w:t xml:space="preserve"> Start Date)]</w:t>
      </w:r>
    </w:p>
    <w:p w14:paraId="5B498DA8" w14:textId="77777777" w:rsidR="00DD15F6" w:rsidRDefault="00FC73B3">
      <w:pPr>
        <w:numPr>
          <w:ilvl w:val="1"/>
          <w:numId w:val="9"/>
        </w:numPr>
        <w:spacing w:after="0" w:line="259" w:lineRule="auto"/>
        <w:jc w:val="left"/>
        <w:rPr>
          <w:rFonts w:ascii="Arial" w:eastAsia="Arial" w:hAnsi="Arial"/>
          <w:sz w:val="24"/>
          <w:szCs w:val="24"/>
        </w:rPr>
      </w:pPr>
      <w:r>
        <w:rPr>
          <w:rFonts w:ascii="Arial" w:eastAsia="Arial" w:hAnsi="Arial"/>
          <w:sz w:val="24"/>
          <w:szCs w:val="24"/>
        </w:rPr>
        <w:t xml:space="preserve">Part D (Pensions) </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p>
    <w:p w14:paraId="2FCC5467" w14:textId="77777777" w:rsidR="00DD15F6" w:rsidRDefault="00FC73B3">
      <w:pPr>
        <w:numPr>
          <w:ilvl w:val="3"/>
          <w:numId w:val="9"/>
        </w:numPr>
        <w:spacing w:after="0" w:line="259" w:lineRule="auto"/>
        <w:jc w:val="left"/>
        <w:rPr>
          <w:rFonts w:ascii="Arial" w:eastAsia="Arial" w:hAnsi="Arial"/>
          <w:sz w:val="24"/>
          <w:szCs w:val="24"/>
        </w:rPr>
      </w:pPr>
      <w:r>
        <w:rPr>
          <w:rFonts w:ascii="Arial" w:eastAsia="Arial" w:hAnsi="Arial"/>
          <w:sz w:val="24"/>
          <w:szCs w:val="24"/>
        </w:rPr>
        <w:t xml:space="preserve"> - Annex D1 (CSPS) </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p>
    <w:p w14:paraId="4CCEBC3F" w14:textId="77777777" w:rsidR="00DD15F6" w:rsidRDefault="00DD15F6">
      <w:pPr>
        <w:spacing w:after="0" w:line="259" w:lineRule="auto"/>
        <w:ind w:left="2880"/>
        <w:jc w:val="left"/>
        <w:rPr>
          <w:rFonts w:ascii="Arial" w:eastAsia="Arial" w:hAnsi="Arial"/>
          <w:sz w:val="24"/>
          <w:szCs w:val="24"/>
        </w:rPr>
      </w:pPr>
    </w:p>
    <w:p w14:paraId="3218AC02" w14:textId="77777777" w:rsidR="00DD15F6" w:rsidRDefault="00FC73B3">
      <w:pPr>
        <w:numPr>
          <w:ilvl w:val="1"/>
          <w:numId w:val="9"/>
        </w:numPr>
        <w:spacing w:after="0" w:line="259" w:lineRule="auto"/>
        <w:jc w:val="left"/>
        <w:rPr>
          <w:rFonts w:ascii="Arial" w:eastAsia="Arial" w:hAnsi="Arial"/>
          <w:sz w:val="24"/>
          <w:szCs w:val="24"/>
        </w:rPr>
      </w:pPr>
      <w:r>
        <w:rPr>
          <w:rFonts w:ascii="Arial" w:eastAsia="Arial" w:hAnsi="Arial"/>
          <w:sz w:val="24"/>
          <w:szCs w:val="24"/>
        </w:rPr>
        <w:t>Part E (Staff Transfer on Exit)</w:t>
      </w:r>
    </w:p>
    <w:p w14:paraId="778B8A83" w14:textId="77777777" w:rsidR="00DD15F6" w:rsidRDefault="00DD15F6">
      <w:pPr>
        <w:ind w:left="357"/>
        <w:jc w:val="left"/>
        <w:rPr>
          <w:rFonts w:ascii="Arial" w:eastAsia="Arial" w:hAnsi="Arial"/>
          <w:sz w:val="24"/>
          <w:szCs w:val="24"/>
        </w:rPr>
      </w:pPr>
    </w:p>
    <w:p w14:paraId="3F4DAFDD" w14:textId="2826EB22" w:rsidR="003562AB" w:rsidRDefault="003562AB" w:rsidP="003562AB">
      <w:pPr>
        <w:pStyle w:val="Heading1"/>
        <w:keepNext/>
        <w:numPr>
          <w:ilvl w:val="0"/>
          <w:numId w:val="0"/>
        </w:numPr>
        <w:ind w:left="1440"/>
        <w:jc w:val="left"/>
        <w:rPr>
          <w:rFonts w:ascii="Arial Bold" w:eastAsia="Arial Bold" w:hAnsi="Arial Bold" w:cs="Arial Bold"/>
          <w:sz w:val="36"/>
          <w:szCs w:val="36"/>
        </w:rPr>
      </w:pPr>
      <w:r>
        <w:rPr>
          <w:rFonts w:ascii="Arial Bold" w:eastAsia="Arial Bold" w:hAnsi="Arial Bold" w:cs="Arial Bold"/>
          <w:sz w:val="36"/>
          <w:szCs w:val="36"/>
        </w:rPr>
        <w:t xml:space="preserve"> </w:t>
      </w:r>
    </w:p>
    <w:p w14:paraId="5CC1B219" w14:textId="7DEDA91C" w:rsidR="00DD15F6" w:rsidRDefault="00FC73B3">
      <w:pPr>
        <w:pStyle w:val="Heading1"/>
        <w:numPr>
          <w:ilvl w:val="0"/>
          <w:numId w:val="4"/>
        </w:numPr>
        <w:jc w:val="left"/>
        <w:rPr>
          <w:rFonts w:ascii="Arial Bold" w:eastAsia="Arial Bold" w:hAnsi="Arial Bold" w:cs="Arial Bold"/>
          <w:sz w:val="36"/>
          <w:szCs w:val="36"/>
        </w:rPr>
      </w:pPr>
      <w:r>
        <w:rPr>
          <w:rFonts w:ascii="Arial Bold" w:eastAsia="Arial Bold" w:hAnsi="Arial Bold" w:cs="Arial Bold"/>
          <w:sz w:val="36"/>
          <w:szCs w:val="36"/>
        </w:rPr>
        <w:t>Part C: No Staff Transfer on the Start Date</w:t>
      </w:r>
    </w:p>
    <w:p w14:paraId="0DDA453F" w14:textId="77777777" w:rsidR="00DD15F6" w:rsidRDefault="00FC73B3">
      <w:pPr>
        <w:keepNext/>
        <w:numPr>
          <w:ilvl w:val="0"/>
          <w:numId w:val="10"/>
        </w:numPr>
        <w:pBdr>
          <w:top w:val="nil"/>
          <w:left w:val="nil"/>
          <w:bottom w:val="nil"/>
          <w:right w:val="nil"/>
          <w:between w:val="nil"/>
        </w:pBdr>
        <w:spacing w:before="120"/>
        <w:ind w:left="357" w:hanging="357"/>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there is a staff transfer</w:t>
      </w:r>
    </w:p>
    <w:p w14:paraId="099F4567" w14:textId="77777777" w:rsidR="00DD15F6" w:rsidRDefault="00FC73B3">
      <w:pPr>
        <w:numPr>
          <w:ilvl w:val="1"/>
          <w:numId w:val="10"/>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1" w:name="_heading=h.49x2ik5" w:colFirst="0" w:colLast="0"/>
      <w:bookmarkEnd w:id="1"/>
      <w:r>
        <w:rPr>
          <w:rFonts w:ascii="Arial" w:eastAsia="Arial" w:hAnsi="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3E3626C8" w14:textId="77777777" w:rsidR="00DD15F6" w:rsidRDefault="00FC73B3">
      <w:pPr>
        <w:keepNext/>
        <w:numPr>
          <w:ilvl w:val="1"/>
          <w:numId w:val="10"/>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2" w:name="_heading=h.2p2csry" w:colFirst="0" w:colLast="0"/>
      <w:bookmarkEnd w:id="2"/>
      <w:r>
        <w:rPr>
          <w:rFonts w:ascii="Arial" w:eastAsia="Arial" w:hAnsi="Arial"/>
          <w:color w:val="000000"/>
          <w:sz w:val="24"/>
          <w:szCs w:val="24"/>
        </w:rP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3E7AA07F" w14:textId="77777777" w:rsidR="00DD15F6" w:rsidRDefault="00FC73B3">
      <w:pPr>
        <w:numPr>
          <w:ilvl w:val="2"/>
          <w:numId w:val="10"/>
        </w:numPr>
        <w:pBdr>
          <w:top w:val="nil"/>
          <w:left w:val="nil"/>
          <w:bottom w:val="nil"/>
          <w:right w:val="nil"/>
          <w:between w:val="nil"/>
        </w:pBdr>
        <w:spacing w:before="120" w:after="120"/>
        <w:jc w:val="left"/>
        <w:rPr>
          <w:rFonts w:ascii="Arial" w:eastAsia="Arial" w:hAnsi="Arial"/>
          <w:color w:val="000000"/>
          <w:sz w:val="24"/>
          <w:szCs w:val="24"/>
        </w:rPr>
      </w:pPr>
      <w:bookmarkStart w:id="3" w:name="_heading=h.147n2zr" w:colFirst="0" w:colLast="0"/>
      <w:bookmarkEnd w:id="3"/>
      <w:r>
        <w:rPr>
          <w:rFonts w:ascii="Arial" w:eastAsia="Arial" w:hAnsi="Arial"/>
          <w:color w:val="000000"/>
          <w:sz w:val="24"/>
          <w:szCs w:val="24"/>
        </w:rPr>
        <w:t>the Supplier will, within 5 Working Days of becoming aware of that fact, notify the Buyer in writing;</w:t>
      </w:r>
    </w:p>
    <w:p w14:paraId="016BF9D0" w14:textId="77777777" w:rsidR="00DD15F6" w:rsidRDefault="00FC73B3">
      <w:pPr>
        <w:numPr>
          <w:ilvl w:val="2"/>
          <w:numId w:val="10"/>
        </w:numPr>
        <w:pBdr>
          <w:top w:val="nil"/>
          <w:left w:val="nil"/>
          <w:bottom w:val="nil"/>
          <w:right w:val="nil"/>
          <w:between w:val="nil"/>
        </w:pBdr>
        <w:spacing w:before="120" w:after="120"/>
        <w:jc w:val="left"/>
        <w:rPr>
          <w:rFonts w:ascii="Arial" w:eastAsia="Arial" w:hAnsi="Arial"/>
          <w:color w:val="000000"/>
          <w:sz w:val="24"/>
          <w:szCs w:val="24"/>
        </w:rPr>
      </w:pPr>
      <w:bookmarkStart w:id="4" w:name="_heading=h.3o7alnk" w:colFirst="0" w:colLast="0"/>
      <w:bookmarkEnd w:id="4"/>
      <w:r>
        <w:rPr>
          <w:rFonts w:ascii="Arial" w:eastAsia="Arial" w:hAnsi="Arial"/>
          <w:color w:val="000000"/>
          <w:sz w:val="24"/>
          <w:szCs w:val="24"/>
        </w:rPr>
        <w:t>the Buyer may offer employment to such person, or take such other steps as it considered appropriate to resolve the matter, within 10 Working Days of receipt of notice from the Supplier;</w:t>
      </w:r>
    </w:p>
    <w:p w14:paraId="265B5397" w14:textId="77777777" w:rsidR="00DD15F6" w:rsidRDefault="00FC73B3">
      <w:pPr>
        <w:numPr>
          <w:ilvl w:val="2"/>
          <w:numId w:val="10"/>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if such offer of employment is accepted, the Supplier shall immediately release the person from its employment;</w:t>
      </w:r>
    </w:p>
    <w:p w14:paraId="18A29616" w14:textId="77777777" w:rsidR="00DD15F6" w:rsidRDefault="00FC73B3">
      <w:pPr>
        <w:numPr>
          <w:ilvl w:val="2"/>
          <w:numId w:val="10"/>
        </w:numPr>
        <w:pBdr>
          <w:top w:val="nil"/>
          <w:left w:val="nil"/>
          <w:bottom w:val="nil"/>
          <w:right w:val="nil"/>
          <w:between w:val="nil"/>
        </w:pBdr>
        <w:spacing w:before="120" w:after="120"/>
        <w:jc w:val="left"/>
        <w:rPr>
          <w:rFonts w:ascii="Arial" w:eastAsia="Arial" w:hAnsi="Arial"/>
          <w:color w:val="000000"/>
          <w:sz w:val="24"/>
          <w:szCs w:val="24"/>
        </w:rPr>
      </w:pPr>
      <w:bookmarkStart w:id="5" w:name="_heading=h.23ckvvd" w:colFirst="0" w:colLast="0"/>
      <w:bookmarkEnd w:id="5"/>
      <w:r>
        <w:rPr>
          <w:rFonts w:ascii="Arial" w:eastAsia="Arial" w:hAnsi="Arial"/>
          <w:color w:val="000000"/>
          <w:sz w:val="24"/>
          <w:szCs w:val="24"/>
        </w:rPr>
        <w:t>if after the period referred to in Paragraph 1.2.2 no such offer has been made, or such offer has been made but not accepted, the Supplier may within 5 Working Days give notice to terminate the employment of such person;</w:t>
      </w:r>
    </w:p>
    <w:p w14:paraId="30647AE2" w14:textId="77777777" w:rsidR="00DD15F6" w:rsidRDefault="00FC73B3">
      <w:pPr>
        <w:keepNext/>
        <w:ind w:left="993"/>
        <w:jc w:val="left"/>
        <w:rPr>
          <w:rFonts w:ascii="Arial" w:eastAsia="Arial" w:hAnsi="Arial"/>
          <w:sz w:val="24"/>
          <w:szCs w:val="24"/>
        </w:rPr>
      </w:pPr>
      <w:r>
        <w:rPr>
          <w:rFonts w:ascii="Arial" w:eastAsia="Arial" w:hAnsi="Arial"/>
          <w:sz w:val="24"/>
          <w:szCs w:val="24"/>
        </w:rPr>
        <w:t>and subject to the Supplier's compliance with Paragraphs 1.2.1 to 1.2.4:</w:t>
      </w:r>
    </w:p>
    <w:p w14:paraId="19CB0ABB" w14:textId="77777777" w:rsidR="00DD15F6" w:rsidRDefault="00FC73B3">
      <w:pPr>
        <w:numPr>
          <w:ilvl w:val="3"/>
          <w:numId w:val="10"/>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 xml:space="preserve">the Buyer will indemnify the Supplier and/or the relevant Sub-contractor against all Employee Liabilities arising out of the termination of the employment of any of the Buyer's employees referred to in Paragraph 1.2; and </w:t>
      </w:r>
    </w:p>
    <w:p w14:paraId="1D6762DE" w14:textId="77777777" w:rsidR="00DD15F6" w:rsidRDefault="00FC73B3">
      <w:pPr>
        <w:numPr>
          <w:ilvl w:val="3"/>
          <w:numId w:val="10"/>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the Buyer will procure that the Former Supplier indemnifies the Supplier and/or any Sub-contractor against all Employee Liabilities arising out of termination of the employment of the employees of the Former Supplier referred to in Paragraph 1.2.</w:t>
      </w:r>
    </w:p>
    <w:p w14:paraId="22489FF3" w14:textId="77777777" w:rsidR="00DD15F6" w:rsidRDefault="00FC73B3">
      <w:pPr>
        <w:keepNext/>
        <w:numPr>
          <w:ilvl w:val="1"/>
          <w:numId w:val="10"/>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6" w:name="_heading=h.ihv636" w:colFirst="0" w:colLast="0"/>
      <w:bookmarkEnd w:id="6"/>
      <w:r>
        <w:rPr>
          <w:rFonts w:ascii="Arial" w:eastAsia="Arial" w:hAnsi="Arial"/>
          <w:color w:val="000000"/>
          <w:sz w:val="24"/>
          <w:szCs w:val="24"/>
        </w:rPr>
        <w:t>The indemnities in Paragraph 1.2 shall not apply to any claim:</w:t>
      </w:r>
    </w:p>
    <w:p w14:paraId="572CFF6F" w14:textId="77777777" w:rsidR="00DD15F6" w:rsidRDefault="00FC73B3">
      <w:pPr>
        <w:numPr>
          <w:ilvl w:val="2"/>
          <w:numId w:val="10"/>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745038D3" w14:textId="77777777" w:rsidR="00DD15F6" w:rsidRDefault="00FC73B3">
      <w:pPr>
        <w:numPr>
          <w:ilvl w:val="2"/>
          <w:numId w:val="10"/>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any claim that the termination of employment was unfair because the Supplier and/or any Sub-contractor neglected to follow a fair dismissal procedure</w:t>
      </w:r>
    </w:p>
    <w:p w14:paraId="44A0E399" w14:textId="77777777" w:rsidR="00DD15F6" w:rsidRDefault="00FC73B3">
      <w:pPr>
        <w:numPr>
          <w:ilvl w:val="1"/>
          <w:numId w:val="10"/>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7" w:name="_heading=h.32hioqz" w:colFirst="0" w:colLast="0"/>
      <w:bookmarkEnd w:id="7"/>
      <w:r>
        <w:rPr>
          <w:rFonts w:ascii="Arial" w:eastAsia="Arial" w:hAnsi="Arial"/>
          <w:color w:val="000000"/>
          <w:sz w:val="24"/>
          <w:szCs w:val="24"/>
        </w:rPr>
        <w:t>The indemnities in Paragraph 1.2 shall not apply to any termination of employment occurring later than 3 Months from the Commencement Date.</w:t>
      </w:r>
    </w:p>
    <w:p w14:paraId="6B48429D" w14:textId="77777777" w:rsidR="00DD15F6" w:rsidRDefault="00FC73B3">
      <w:pPr>
        <w:numPr>
          <w:ilvl w:val="1"/>
          <w:numId w:val="10"/>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8" w:name="_heading=h.1hmsyys" w:colFirst="0" w:colLast="0"/>
      <w:bookmarkEnd w:id="8"/>
      <w:r>
        <w:rPr>
          <w:rFonts w:ascii="Arial" w:eastAsia="Arial" w:hAnsi="Arial"/>
          <w:color w:val="000000"/>
          <w:sz w:val="24"/>
          <w:szCs w:val="24"/>
        </w:rPr>
        <w:lastRenderedPageBreak/>
        <w:t>If the Supplier and/or the Sub-contractor does not comply with Paragraph 1.2, all Employee Liabilities in relation to such employees shall remain with the Supplier and/or the Sub-contractor and the Supplier shall (</w:t>
      </w:r>
      <w:proofErr w:type="spellStart"/>
      <w:r>
        <w:rPr>
          <w:rFonts w:ascii="Arial" w:eastAsia="Arial" w:hAnsi="Arial"/>
          <w:color w:val="000000"/>
          <w:sz w:val="24"/>
          <w:szCs w:val="24"/>
        </w:rPr>
        <w:t>i</w:t>
      </w:r>
      <w:proofErr w:type="spellEnd"/>
      <w:r>
        <w:rPr>
          <w:rFonts w:ascii="Arial" w:eastAsia="Arial" w:hAnsi="Arial"/>
          <w:color w:val="000000"/>
          <w:sz w:val="24"/>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4E307FAA" w14:textId="77777777" w:rsidR="00DD15F6" w:rsidRDefault="00FC73B3">
      <w:pPr>
        <w:keepNext/>
        <w:numPr>
          <w:ilvl w:val="0"/>
          <w:numId w:val="10"/>
        </w:numPr>
        <w:pBdr>
          <w:top w:val="nil"/>
          <w:left w:val="nil"/>
          <w:bottom w:val="nil"/>
          <w:right w:val="nil"/>
          <w:between w:val="nil"/>
        </w:pBdr>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359E75B3" w14:textId="77777777" w:rsidR="00DD15F6" w:rsidRDefault="00FC73B3">
      <w:pPr>
        <w:ind w:left="357"/>
        <w:jc w:val="left"/>
        <w:rPr>
          <w:rFonts w:ascii="Arial" w:eastAsia="Arial" w:hAnsi="Arial"/>
          <w:sz w:val="24"/>
          <w:szCs w:val="24"/>
        </w:rPr>
      </w:pPr>
      <w:r>
        <w:rPr>
          <w:rFonts w:ascii="Arial" w:eastAsia="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1B161ECF" w14:textId="77777777" w:rsidR="00DD15F6" w:rsidRDefault="00FC73B3">
      <w:pPr>
        <w:pStyle w:val="Heading1"/>
        <w:keepNext/>
        <w:jc w:val="left"/>
        <w:rPr>
          <w:rFonts w:ascii="Arial Bold" w:eastAsia="Arial Bold" w:hAnsi="Arial Bold" w:cs="Arial Bold"/>
          <w:b w:val="0"/>
          <w:sz w:val="36"/>
          <w:szCs w:val="36"/>
        </w:rPr>
      </w:pPr>
      <w:r>
        <w:br w:type="page"/>
      </w:r>
      <w:r>
        <w:rPr>
          <w:rFonts w:ascii="Arial Bold" w:eastAsia="Arial Bold" w:hAnsi="Arial Bold" w:cs="Arial Bold"/>
          <w:sz w:val="36"/>
          <w:szCs w:val="36"/>
        </w:rPr>
        <w:lastRenderedPageBreak/>
        <w:t>Part D: Pensions</w:t>
      </w:r>
    </w:p>
    <w:p w14:paraId="3AA8A951" w14:textId="77777777" w:rsidR="00DD15F6" w:rsidRDefault="00FC73B3">
      <w:pPr>
        <w:keepNext/>
        <w:numPr>
          <w:ilvl w:val="0"/>
          <w:numId w:val="12"/>
        </w:numPr>
        <w:pBdr>
          <w:top w:val="nil"/>
          <w:left w:val="nil"/>
          <w:bottom w:val="nil"/>
          <w:right w:val="nil"/>
          <w:between w:val="nil"/>
        </w:pBdr>
        <w:spacing w:before="120"/>
        <w:ind w:left="357" w:hanging="357"/>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73745227" w14:textId="77777777" w:rsidR="00DD15F6" w:rsidRDefault="00FC73B3">
      <w:pPr>
        <w:keepNext/>
        <w:ind w:left="357"/>
        <w:jc w:val="left"/>
        <w:rPr>
          <w:rFonts w:ascii="Arial" w:eastAsia="Arial" w:hAnsi="Arial"/>
          <w:sz w:val="24"/>
          <w:szCs w:val="24"/>
        </w:rPr>
      </w:pPr>
      <w:r>
        <w:rPr>
          <w:rFonts w:ascii="Arial" w:eastAsia="Arial" w:hAnsi="Arial"/>
          <w:sz w:val="24"/>
          <w:szCs w:val="24"/>
        </w:rPr>
        <w:t>In this Part D, the following words have the following meanings and they shall supplement Joint Schedule 1 (Definitions), and shall be deemed to include the definitions set out in the Annexes:</w:t>
      </w:r>
    </w:p>
    <w:tbl>
      <w:tblPr>
        <w:tblStyle w:val="a0"/>
        <w:tblW w:w="9026" w:type="dxa"/>
        <w:tblLayout w:type="fixed"/>
        <w:tblLook w:val="0400" w:firstRow="0" w:lastRow="0" w:firstColumn="0" w:lastColumn="0" w:noHBand="0" w:noVBand="1"/>
      </w:tblPr>
      <w:tblGrid>
        <w:gridCol w:w="3050"/>
        <w:gridCol w:w="5976"/>
      </w:tblGrid>
      <w:tr w:rsidR="00DD15F6" w14:paraId="6D2FCB34" w14:textId="77777777">
        <w:trPr>
          <w:cantSplit/>
        </w:trPr>
        <w:tc>
          <w:tcPr>
            <w:tcW w:w="3050" w:type="dxa"/>
            <w:shd w:val="clear" w:color="auto" w:fill="auto"/>
          </w:tcPr>
          <w:p w14:paraId="5080982E" w14:textId="77777777" w:rsidR="00DD15F6" w:rsidRDefault="00FC73B3">
            <w:pPr>
              <w:spacing w:before="120" w:after="120"/>
              <w:ind w:left="720"/>
              <w:jc w:val="left"/>
              <w:rPr>
                <w:rFonts w:ascii="Arial" w:eastAsia="Arial" w:hAnsi="Arial"/>
                <w:b/>
                <w:sz w:val="24"/>
                <w:szCs w:val="24"/>
              </w:rPr>
            </w:pPr>
            <w:r>
              <w:rPr>
                <w:rFonts w:ascii="Arial" w:eastAsia="Arial" w:hAnsi="Arial"/>
                <w:b/>
                <w:sz w:val="24"/>
                <w:szCs w:val="24"/>
              </w:rPr>
              <w:t>"Actuary"</w:t>
            </w:r>
          </w:p>
        </w:tc>
        <w:tc>
          <w:tcPr>
            <w:tcW w:w="5976" w:type="dxa"/>
            <w:shd w:val="clear" w:color="auto" w:fill="auto"/>
          </w:tcPr>
          <w:p w14:paraId="705AF9D8" w14:textId="77777777" w:rsidR="00DD15F6" w:rsidRDefault="00FC73B3">
            <w:pPr>
              <w:tabs>
                <w:tab w:val="left" w:pos="235"/>
              </w:tabs>
              <w:spacing w:before="120" w:after="120"/>
              <w:jc w:val="left"/>
              <w:rPr>
                <w:rFonts w:ascii="Arial" w:eastAsia="Arial" w:hAnsi="Arial"/>
                <w:color w:val="000000"/>
                <w:sz w:val="24"/>
                <w:szCs w:val="24"/>
              </w:rPr>
            </w:pPr>
            <w:r>
              <w:rPr>
                <w:rFonts w:ascii="Arial" w:eastAsia="Arial" w:hAnsi="Arial"/>
                <w:color w:val="000000"/>
                <w:sz w:val="24"/>
                <w:szCs w:val="24"/>
              </w:rPr>
              <w:t>a Fellow of the Institute and Faculty of Actuaries;</w:t>
            </w:r>
          </w:p>
        </w:tc>
      </w:tr>
      <w:tr w:rsidR="00DD15F6" w14:paraId="441F0AB3" w14:textId="77777777">
        <w:trPr>
          <w:cantSplit/>
        </w:trPr>
        <w:tc>
          <w:tcPr>
            <w:tcW w:w="3050" w:type="dxa"/>
            <w:shd w:val="clear" w:color="auto" w:fill="auto"/>
          </w:tcPr>
          <w:p w14:paraId="5D936DEB" w14:textId="77777777" w:rsidR="00DD15F6" w:rsidRDefault="00FC73B3">
            <w:pPr>
              <w:spacing w:before="120" w:after="120"/>
              <w:ind w:left="720"/>
              <w:jc w:val="left"/>
              <w:rPr>
                <w:rFonts w:ascii="Arial" w:eastAsia="Arial" w:hAnsi="Arial"/>
                <w:b/>
                <w:sz w:val="24"/>
                <w:szCs w:val="24"/>
              </w:rPr>
            </w:pPr>
            <w:r>
              <w:rPr>
                <w:rFonts w:ascii="Arial" w:eastAsia="Arial" w:hAnsi="Arial"/>
                <w:b/>
                <w:sz w:val="24"/>
                <w:szCs w:val="24"/>
              </w:rPr>
              <w:t>"Admission Agreement"</w:t>
            </w:r>
          </w:p>
        </w:tc>
        <w:tc>
          <w:tcPr>
            <w:tcW w:w="5976" w:type="dxa"/>
            <w:shd w:val="clear" w:color="auto" w:fill="auto"/>
          </w:tcPr>
          <w:p w14:paraId="7BECBD17" w14:textId="77777777" w:rsidR="00DD15F6" w:rsidRDefault="00FC73B3">
            <w:pPr>
              <w:tabs>
                <w:tab w:val="left" w:pos="235"/>
              </w:tabs>
              <w:spacing w:before="120" w:after="120"/>
              <w:jc w:val="left"/>
              <w:rPr>
                <w:rFonts w:ascii="Arial" w:eastAsia="Arial" w:hAnsi="Arial"/>
                <w:sz w:val="24"/>
                <w:szCs w:val="24"/>
              </w:rPr>
            </w:pPr>
            <w:r>
              <w:rPr>
                <w:rFonts w:ascii="Arial" w:eastAsia="Arial" w:hAnsi="Arial"/>
                <w:sz w:val="24"/>
                <w:szCs w:val="24"/>
              </w:rPr>
              <w:t>means either or both of the CSPS Admission Agreement (as defined in Annex D1: CSPS) or the LGPS Admission Agreement) as defined in Annex D3: LGPS), as the context requires;</w:t>
            </w:r>
          </w:p>
        </w:tc>
      </w:tr>
      <w:tr w:rsidR="00DD15F6" w14:paraId="59A7D3B3" w14:textId="77777777">
        <w:trPr>
          <w:cantSplit/>
        </w:trPr>
        <w:tc>
          <w:tcPr>
            <w:tcW w:w="3050" w:type="dxa"/>
            <w:shd w:val="clear" w:color="auto" w:fill="auto"/>
          </w:tcPr>
          <w:p w14:paraId="75EA4BDE"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"Broadly Comparable"</w:t>
            </w:r>
          </w:p>
        </w:tc>
        <w:tc>
          <w:tcPr>
            <w:tcW w:w="5976" w:type="dxa"/>
            <w:shd w:val="clear" w:color="auto" w:fill="auto"/>
          </w:tcPr>
          <w:p w14:paraId="386D717E" w14:textId="77777777" w:rsidR="00DD15F6" w:rsidRDefault="00FC73B3">
            <w:pPr>
              <w:widowControl w:val="0"/>
              <w:numPr>
                <w:ilvl w:val="0"/>
                <w:numId w:val="16"/>
              </w:numPr>
              <w:tabs>
                <w:tab w:val="left" w:pos="695"/>
              </w:tabs>
              <w:spacing w:before="120" w:after="120"/>
              <w:ind w:left="691" w:hanging="648"/>
              <w:jc w:val="left"/>
              <w:rPr>
                <w:rFonts w:ascii="Arial" w:eastAsia="Arial" w:hAnsi="Arial"/>
                <w:sz w:val="24"/>
                <w:szCs w:val="24"/>
              </w:rPr>
            </w:pPr>
            <w:r>
              <w:rPr>
                <w:rFonts w:ascii="Arial" w:eastAsia="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DD15F6" w14:paraId="4322C47C" w14:textId="77777777">
        <w:trPr>
          <w:cantSplit/>
        </w:trPr>
        <w:tc>
          <w:tcPr>
            <w:tcW w:w="3050" w:type="dxa"/>
            <w:shd w:val="clear" w:color="auto" w:fill="auto"/>
          </w:tcPr>
          <w:p w14:paraId="16716D92" w14:textId="77777777" w:rsidR="00DD15F6" w:rsidRDefault="00DD15F6">
            <w:pPr>
              <w:widowControl w:val="0"/>
              <w:spacing w:before="120" w:after="120"/>
              <w:ind w:left="720"/>
              <w:jc w:val="left"/>
              <w:rPr>
                <w:rFonts w:ascii="Arial" w:eastAsia="Arial" w:hAnsi="Arial"/>
                <w:b/>
                <w:sz w:val="24"/>
                <w:szCs w:val="24"/>
              </w:rPr>
            </w:pPr>
          </w:p>
        </w:tc>
        <w:tc>
          <w:tcPr>
            <w:tcW w:w="5976" w:type="dxa"/>
            <w:shd w:val="clear" w:color="auto" w:fill="auto"/>
          </w:tcPr>
          <w:p w14:paraId="188530F7" w14:textId="77777777" w:rsidR="00DD15F6" w:rsidRDefault="00FC73B3">
            <w:pPr>
              <w:widowControl w:val="0"/>
              <w:numPr>
                <w:ilvl w:val="0"/>
                <w:numId w:val="16"/>
              </w:numPr>
              <w:tabs>
                <w:tab w:val="left" w:pos="695"/>
              </w:tabs>
              <w:spacing w:before="120" w:after="120"/>
              <w:ind w:left="695" w:hanging="646"/>
              <w:jc w:val="left"/>
              <w:rPr>
                <w:rFonts w:ascii="Arial" w:eastAsia="Arial" w:hAnsi="Arial"/>
                <w:sz w:val="24"/>
                <w:szCs w:val="24"/>
              </w:rPr>
            </w:pPr>
            <w:r>
              <w:rPr>
                <w:rFonts w:ascii="Arial" w:eastAsia="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48B42CAD" w14:textId="77777777" w:rsidR="00DD15F6" w:rsidRDefault="00FC73B3">
            <w:pPr>
              <w:tabs>
                <w:tab w:val="left" w:pos="235"/>
              </w:tabs>
              <w:spacing w:before="120" w:after="120"/>
              <w:jc w:val="left"/>
              <w:rPr>
                <w:rFonts w:ascii="Arial" w:eastAsia="Arial" w:hAnsi="Arial"/>
                <w:sz w:val="24"/>
                <w:szCs w:val="24"/>
              </w:rPr>
            </w:pPr>
            <w:r>
              <w:rPr>
                <w:rFonts w:ascii="Arial" w:eastAsia="Arial" w:hAnsi="Arial"/>
                <w:sz w:val="24"/>
                <w:szCs w:val="24"/>
              </w:rPr>
              <w:t>and "</w:t>
            </w:r>
            <w:r>
              <w:rPr>
                <w:rFonts w:ascii="Arial" w:eastAsia="Arial" w:hAnsi="Arial"/>
                <w:b/>
                <w:sz w:val="24"/>
                <w:szCs w:val="24"/>
              </w:rPr>
              <w:t>Broad Comparability</w:t>
            </w:r>
            <w:r>
              <w:rPr>
                <w:rFonts w:ascii="Arial" w:eastAsia="Arial" w:hAnsi="Arial"/>
                <w:sz w:val="24"/>
                <w:szCs w:val="24"/>
              </w:rPr>
              <w:t>" shall be construed accordingly;</w:t>
            </w:r>
          </w:p>
        </w:tc>
      </w:tr>
      <w:tr w:rsidR="00DD15F6" w14:paraId="542C0DE7" w14:textId="77777777">
        <w:trPr>
          <w:cantSplit/>
        </w:trPr>
        <w:tc>
          <w:tcPr>
            <w:tcW w:w="3050" w:type="dxa"/>
            <w:shd w:val="clear" w:color="auto" w:fill="auto"/>
          </w:tcPr>
          <w:p w14:paraId="27D8A882"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"CSPS"</w:t>
            </w:r>
          </w:p>
        </w:tc>
        <w:tc>
          <w:tcPr>
            <w:tcW w:w="5976" w:type="dxa"/>
            <w:shd w:val="clear" w:color="auto" w:fill="auto"/>
          </w:tcPr>
          <w:p w14:paraId="3DC54670" w14:textId="77777777" w:rsidR="00DD15F6" w:rsidRDefault="00FC73B3">
            <w:pPr>
              <w:widowControl w:val="0"/>
              <w:spacing w:before="120" w:after="120"/>
              <w:jc w:val="left"/>
              <w:rPr>
                <w:rFonts w:ascii="Arial" w:eastAsia="Arial" w:hAnsi="Arial"/>
                <w:sz w:val="24"/>
                <w:szCs w:val="24"/>
              </w:rPr>
            </w:pPr>
            <w:r>
              <w:rPr>
                <w:rFonts w:ascii="Arial" w:eastAsia="Arial" w:hAnsi="Arial"/>
                <w:sz w:val="24"/>
                <w:szCs w:val="24"/>
              </w:rPr>
              <w:t xml:space="preserve">the schemes as defined in Annex D1 to this Part D; </w:t>
            </w:r>
          </w:p>
        </w:tc>
      </w:tr>
      <w:tr w:rsidR="00DD15F6" w14:paraId="2756AC00" w14:textId="77777777">
        <w:trPr>
          <w:cantSplit/>
        </w:trPr>
        <w:tc>
          <w:tcPr>
            <w:tcW w:w="3050" w:type="dxa"/>
            <w:shd w:val="clear" w:color="auto" w:fill="auto"/>
          </w:tcPr>
          <w:p w14:paraId="391E413E"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"Fair Deal Employees"</w:t>
            </w:r>
          </w:p>
        </w:tc>
        <w:tc>
          <w:tcPr>
            <w:tcW w:w="5976" w:type="dxa"/>
            <w:shd w:val="clear" w:color="auto" w:fill="auto"/>
          </w:tcPr>
          <w:p w14:paraId="58B9B7B2" w14:textId="77777777" w:rsidR="00DD15F6" w:rsidRDefault="00FC73B3">
            <w:pPr>
              <w:widowControl w:val="0"/>
              <w:spacing w:before="120" w:after="120"/>
              <w:jc w:val="left"/>
              <w:rPr>
                <w:rFonts w:ascii="Arial" w:eastAsia="Arial" w:hAnsi="Arial"/>
                <w:sz w:val="24"/>
                <w:szCs w:val="24"/>
              </w:rPr>
            </w:pPr>
            <w:r>
              <w:rPr>
                <w:rFonts w:ascii="Arial" w:eastAsia="Arial" w:hAnsi="Arial"/>
                <w:sz w:val="24"/>
                <w:szCs w:val="24"/>
              </w:rPr>
              <w:t>those:</w:t>
            </w:r>
          </w:p>
          <w:p w14:paraId="67C90F23" w14:textId="77777777" w:rsidR="00DD15F6" w:rsidRDefault="00FC73B3">
            <w:pPr>
              <w:widowControl w:val="0"/>
              <w:numPr>
                <w:ilvl w:val="0"/>
                <w:numId w:val="13"/>
              </w:numPr>
              <w:tabs>
                <w:tab w:val="left" w:pos="695"/>
              </w:tabs>
              <w:spacing w:before="120" w:after="120"/>
              <w:ind w:left="743" w:hanging="709"/>
              <w:jc w:val="left"/>
              <w:rPr>
                <w:rFonts w:ascii="Arial" w:eastAsia="Arial" w:hAnsi="Arial"/>
                <w:sz w:val="24"/>
                <w:szCs w:val="24"/>
              </w:rPr>
            </w:pPr>
            <w:r>
              <w:rPr>
                <w:rFonts w:ascii="Arial" w:eastAsia="Arial" w:hAnsi="Arial"/>
                <w:sz w:val="24"/>
                <w:szCs w:val="24"/>
              </w:rPr>
              <w:t xml:space="preserve">Transferring Buyer Employees; and/or </w:t>
            </w:r>
          </w:p>
        </w:tc>
      </w:tr>
      <w:tr w:rsidR="00DD15F6" w14:paraId="7A028D2B" w14:textId="77777777">
        <w:trPr>
          <w:cantSplit/>
        </w:trPr>
        <w:tc>
          <w:tcPr>
            <w:tcW w:w="3050" w:type="dxa"/>
            <w:shd w:val="clear" w:color="auto" w:fill="auto"/>
          </w:tcPr>
          <w:p w14:paraId="43114043" w14:textId="77777777" w:rsidR="00DD15F6" w:rsidRDefault="00DD15F6">
            <w:pPr>
              <w:widowControl w:val="0"/>
              <w:spacing w:before="120" w:after="120"/>
              <w:ind w:left="720"/>
              <w:jc w:val="left"/>
              <w:rPr>
                <w:rFonts w:ascii="Arial" w:eastAsia="Arial" w:hAnsi="Arial"/>
                <w:b/>
                <w:sz w:val="24"/>
                <w:szCs w:val="24"/>
              </w:rPr>
            </w:pPr>
          </w:p>
        </w:tc>
        <w:tc>
          <w:tcPr>
            <w:tcW w:w="5976" w:type="dxa"/>
            <w:shd w:val="clear" w:color="auto" w:fill="auto"/>
          </w:tcPr>
          <w:p w14:paraId="07DB1007" w14:textId="77777777" w:rsidR="00DD15F6" w:rsidRDefault="00FC73B3">
            <w:pPr>
              <w:widowControl w:val="0"/>
              <w:numPr>
                <w:ilvl w:val="0"/>
                <w:numId w:val="13"/>
              </w:numPr>
              <w:tabs>
                <w:tab w:val="left" w:pos="695"/>
              </w:tabs>
              <w:spacing w:before="120" w:after="120"/>
              <w:ind w:left="695" w:hanging="646"/>
              <w:jc w:val="left"/>
              <w:rPr>
                <w:rFonts w:ascii="Arial" w:eastAsia="Arial" w:hAnsi="Arial"/>
                <w:sz w:val="24"/>
                <w:szCs w:val="24"/>
              </w:rPr>
            </w:pPr>
            <w:r>
              <w:rPr>
                <w:rFonts w:ascii="Arial" w:eastAsia="Arial" w:hAnsi="Arial"/>
                <w:sz w:val="24"/>
                <w:szCs w:val="24"/>
              </w:rPr>
              <w:t>Transferring Former Supplier Employees; and/or</w:t>
            </w:r>
          </w:p>
        </w:tc>
      </w:tr>
      <w:tr w:rsidR="00DD15F6" w14:paraId="2B890BFF" w14:textId="77777777">
        <w:trPr>
          <w:cantSplit/>
        </w:trPr>
        <w:tc>
          <w:tcPr>
            <w:tcW w:w="3050" w:type="dxa"/>
            <w:shd w:val="clear" w:color="auto" w:fill="auto"/>
          </w:tcPr>
          <w:p w14:paraId="4EEEA667" w14:textId="77777777" w:rsidR="00DD15F6" w:rsidRDefault="00DD15F6">
            <w:pPr>
              <w:widowControl w:val="0"/>
              <w:spacing w:before="120" w:after="120"/>
              <w:ind w:left="720"/>
              <w:jc w:val="left"/>
              <w:rPr>
                <w:rFonts w:ascii="Arial" w:eastAsia="Arial" w:hAnsi="Arial"/>
                <w:b/>
                <w:sz w:val="24"/>
                <w:szCs w:val="24"/>
              </w:rPr>
            </w:pPr>
          </w:p>
        </w:tc>
        <w:tc>
          <w:tcPr>
            <w:tcW w:w="5976" w:type="dxa"/>
            <w:shd w:val="clear" w:color="auto" w:fill="auto"/>
          </w:tcPr>
          <w:p w14:paraId="347299F5" w14:textId="77777777" w:rsidR="00DD15F6" w:rsidRDefault="00FC73B3">
            <w:pPr>
              <w:widowControl w:val="0"/>
              <w:numPr>
                <w:ilvl w:val="0"/>
                <w:numId w:val="13"/>
              </w:numPr>
              <w:tabs>
                <w:tab w:val="left" w:pos="695"/>
              </w:tabs>
              <w:spacing w:before="120" w:after="120"/>
              <w:ind w:left="695" w:hanging="646"/>
              <w:jc w:val="left"/>
              <w:rPr>
                <w:rFonts w:ascii="Arial" w:eastAsia="Arial" w:hAnsi="Arial"/>
                <w:sz w:val="24"/>
                <w:szCs w:val="24"/>
              </w:rPr>
            </w:pPr>
            <w:r>
              <w:rPr>
                <w:rFonts w:ascii="Arial" w:eastAsia="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tc>
      </w:tr>
      <w:tr w:rsidR="00DD15F6" w14:paraId="349BA2DE" w14:textId="77777777">
        <w:trPr>
          <w:cantSplit/>
        </w:trPr>
        <w:tc>
          <w:tcPr>
            <w:tcW w:w="3050" w:type="dxa"/>
            <w:shd w:val="clear" w:color="auto" w:fill="auto"/>
          </w:tcPr>
          <w:p w14:paraId="439DEDC2" w14:textId="77777777" w:rsidR="00DD15F6" w:rsidRDefault="00DD15F6">
            <w:pPr>
              <w:keepNext/>
              <w:widowControl w:val="0"/>
              <w:spacing w:before="120" w:after="120"/>
              <w:ind w:left="720"/>
              <w:jc w:val="left"/>
              <w:rPr>
                <w:rFonts w:ascii="Arial" w:eastAsia="Arial" w:hAnsi="Arial"/>
                <w:b/>
                <w:sz w:val="24"/>
                <w:szCs w:val="24"/>
              </w:rPr>
            </w:pPr>
          </w:p>
        </w:tc>
        <w:tc>
          <w:tcPr>
            <w:tcW w:w="5976" w:type="dxa"/>
            <w:shd w:val="clear" w:color="auto" w:fill="auto"/>
          </w:tcPr>
          <w:p w14:paraId="1CB70731" w14:textId="77777777" w:rsidR="00DD15F6" w:rsidRDefault="00FC73B3">
            <w:pPr>
              <w:widowControl w:val="0"/>
              <w:numPr>
                <w:ilvl w:val="0"/>
                <w:numId w:val="13"/>
              </w:numPr>
              <w:tabs>
                <w:tab w:val="left" w:pos="695"/>
              </w:tabs>
              <w:spacing w:before="120" w:after="120"/>
              <w:ind w:left="695" w:hanging="646"/>
              <w:jc w:val="left"/>
              <w:rPr>
                <w:rFonts w:ascii="Arial" w:eastAsia="Arial" w:hAnsi="Arial"/>
                <w:sz w:val="24"/>
                <w:szCs w:val="24"/>
              </w:rPr>
            </w:pPr>
            <w:r>
              <w:rPr>
                <w:rFonts w:ascii="Arial" w:eastAsia="Arial" w:hAnsi="Arial"/>
                <w:sz w:val="24"/>
                <w:szCs w:val="24"/>
              </w:rPr>
              <w:t xml:space="preserve">where the Former Supplier becomes the Supplier those employees; </w:t>
            </w:r>
          </w:p>
        </w:tc>
      </w:tr>
      <w:tr w:rsidR="00DD15F6" w14:paraId="4538450D" w14:textId="77777777">
        <w:trPr>
          <w:cantSplit/>
        </w:trPr>
        <w:tc>
          <w:tcPr>
            <w:tcW w:w="3050" w:type="dxa"/>
            <w:shd w:val="clear" w:color="auto" w:fill="auto"/>
          </w:tcPr>
          <w:p w14:paraId="51C3DDBD" w14:textId="77777777" w:rsidR="00DD15F6" w:rsidRDefault="00DD15F6">
            <w:pPr>
              <w:widowControl w:val="0"/>
              <w:spacing w:before="120" w:after="120"/>
              <w:ind w:left="720"/>
              <w:jc w:val="left"/>
              <w:rPr>
                <w:rFonts w:ascii="Arial" w:eastAsia="Arial" w:hAnsi="Arial"/>
                <w:b/>
                <w:sz w:val="24"/>
                <w:szCs w:val="24"/>
              </w:rPr>
            </w:pPr>
          </w:p>
        </w:tc>
        <w:tc>
          <w:tcPr>
            <w:tcW w:w="5976" w:type="dxa"/>
            <w:shd w:val="clear" w:color="auto" w:fill="auto"/>
          </w:tcPr>
          <w:p w14:paraId="621E7340" w14:textId="77777777" w:rsidR="00DD15F6" w:rsidRDefault="00FC73B3">
            <w:pPr>
              <w:widowControl w:val="0"/>
              <w:spacing w:before="120" w:after="120"/>
              <w:jc w:val="left"/>
              <w:rPr>
                <w:rFonts w:ascii="Arial" w:eastAsia="Arial" w:hAnsi="Arial"/>
                <w:sz w:val="24"/>
                <w:szCs w:val="24"/>
              </w:rPr>
            </w:pPr>
            <w:r>
              <w:rPr>
                <w:rFonts w:ascii="Arial" w:eastAsia="Arial" w:hAnsi="Arial"/>
                <w:sz w:val="24"/>
                <w:szCs w:val="24"/>
              </w:rPr>
              <w:t>who at the Commencement Date or Relevant Transfer Date (as appropriate) are or become entitled to New Fair Deal protection in respect of any of the Statutory Schemes as notified by the Buyer;</w:t>
            </w:r>
          </w:p>
        </w:tc>
      </w:tr>
      <w:tr w:rsidR="00DD15F6" w14:paraId="259F7F21" w14:textId="77777777">
        <w:trPr>
          <w:cantSplit/>
        </w:trPr>
        <w:tc>
          <w:tcPr>
            <w:tcW w:w="3050" w:type="dxa"/>
            <w:shd w:val="clear" w:color="auto" w:fill="auto"/>
          </w:tcPr>
          <w:p w14:paraId="1ABDE5A8"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"Fair Deal Schemes"</w:t>
            </w:r>
          </w:p>
        </w:tc>
        <w:tc>
          <w:tcPr>
            <w:tcW w:w="5976" w:type="dxa"/>
            <w:shd w:val="clear" w:color="auto" w:fill="auto"/>
          </w:tcPr>
          <w:p w14:paraId="02202105" w14:textId="77777777" w:rsidR="00DD15F6" w:rsidRDefault="00FC73B3">
            <w:pPr>
              <w:widowControl w:val="0"/>
              <w:spacing w:before="120" w:after="120"/>
              <w:jc w:val="left"/>
              <w:rPr>
                <w:rFonts w:ascii="Arial" w:eastAsia="Arial" w:hAnsi="Arial"/>
                <w:sz w:val="24"/>
                <w:szCs w:val="24"/>
              </w:rPr>
            </w:pPr>
            <w:r>
              <w:rPr>
                <w:rFonts w:ascii="Arial" w:eastAsia="Arial" w:hAnsi="Arial"/>
                <w:sz w:val="24"/>
                <w:szCs w:val="24"/>
              </w:rPr>
              <w:t>means the relevant Statutory Scheme or a Broadly Comparable pension scheme;</w:t>
            </w:r>
          </w:p>
        </w:tc>
      </w:tr>
      <w:tr w:rsidR="00DD15F6" w14:paraId="444E85A9" w14:textId="77777777">
        <w:trPr>
          <w:cantSplit/>
        </w:trPr>
        <w:tc>
          <w:tcPr>
            <w:tcW w:w="3050" w:type="dxa"/>
            <w:shd w:val="clear" w:color="auto" w:fill="auto"/>
          </w:tcPr>
          <w:p w14:paraId="72DCE550"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"Fund Actuary"</w:t>
            </w:r>
          </w:p>
        </w:tc>
        <w:tc>
          <w:tcPr>
            <w:tcW w:w="5976" w:type="dxa"/>
            <w:shd w:val="clear" w:color="auto" w:fill="auto"/>
          </w:tcPr>
          <w:p w14:paraId="1F56141E" w14:textId="77777777" w:rsidR="00DD15F6" w:rsidRDefault="00FC73B3">
            <w:pPr>
              <w:widowControl w:val="0"/>
              <w:spacing w:before="120" w:after="120"/>
              <w:jc w:val="left"/>
              <w:rPr>
                <w:rFonts w:ascii="Arial" w:eastAsia="Arial" w:hAnsi="Arial"/>
                <w:sz w:val="24"/>
                <w:szCs w:val="24"/>
              </w:rPr>
            </w:pPr>
            <w:r>
              <w:rPr>
                <w:rFonts w:ascii="Arial" w:eastAsia="Arial" w:hAnsi="Arial"/>
                <w:sz w:val="24"/>
                <w:szCs w:val="24"/>
              </w:rPr>
              <w:t>means Fund Actuary as defined in Annex D3 to this Part D;</w:t>
            </w:r>
          </w:p>
        </w:tc>
      </w:tr>
      <w:tr w:rsidR="00DD15F6" w14:paraId="2A2074D7" w14:textId="77777777">
        <w:trPr>
          <w:cantSplit/>
        </w:trPr>
        <w:tc>
          <w:tcPr>
            <w:tcW w:w="3050" w:type="dxa"/>
            <w:shd w:val="clear" w:color="auto" w:fill="auto"/>
          </w:tcPr>
          <w:p w14:paraId="136A782B"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"LGPS"</w:t>
            </w:r>
          </w:p>
        </w:tc>
        <w:tc>
          <w:tcPr>
            <w:tcW w:w="5976" w:type="dxa"/>
            <w:shd w:val="clear" w:color="auto" w:fill="auto"/>
          </w:tcPr>
          <w:p w14:paraId="7690BFF1" w14:textId="77777777" w:rsidR="00DD15F6" w:rsidRDefault="00FC73B3">
            <w:pPr>
              <w:widowControl w:val="0"/>
              <w:spacing w:before="120" w:after="120"/>
              <w:jc w:val="left"/>
              <w:rPr>
                <w:rFonts w:ascii="Arial" w:eastAsia="Arial" w:hAnsi="Arial"/>
                <w:sz w:val="24"/>
                <w:szCs w:val="24"/>
              </w:rPr>
            </w:pPr>
            <w:r>
              <w:rPr>
                <w:rFonts w:ascii="Arial" w:eastAsia="Arial" w:hAnsi="Arial"/>
                <w:sz w:val="24"/>
                <w:szCs w:val="24"/>
              </w:rPr>
              <w:t>the schemes as defined in Annex D3 to this Part D;</w:t>
            </w:r>
          </w:p>
        </w:tc>
      </w:tr>
      <w:tr w:rsidR="00DD15F6" w14:paraId="2C13B722" w14:textId="77777777">
        <w:trPr>
          <w:cantSplit/>
        </w:trPr>
        <w:tc>
          <w:tcPr>
            <w:tcW w:w="3050" w:type="dxa"/>
            <w:shd w:val="clear" w:color="auto" w:fill="auto"/>
          </w:tcPr>
          <w:p w14:paraId="3A2F3259"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"NHSPS"</w:t>
            </w:r>
          </w:p>
        </w:tc>
        <w:tc>
          <w:tcPr>
            <w:tcW w:w="5976" w:type="dxa"/>
            <w:shd w:val="clear" w:color="auto" w:fill="auto"/>
          </w:tcPr>
          <w:p w14:paraId="3FAB5CCB" w14:textId="77777777" w:rsidR="00DD15F6" w:rsidRDefault="00FC73B3">
            <w:pPr>
              <w:keepNext/>
              <w:widowControl w:val="0"/>
              <w:spacing w:before="120" w:after="120"/>
              <w:jc w:val="left"/>
              <w:rPr>
                <w:rFonts w:ascii="Arial" w:eastAsia="Arial" w:hAnsi="Arial"/>
                <w:sz w:val="24"/>
                <w:szCs w:val="24"/>
              </w:rPr>
            </w:pPr>
            <w:r>
              <w:rPr>
                <w:rFonts w:ascii="Arial" w:eastAsia="Arial" w:hAnsi="Arial"/>
                <w:sz w:val="24"/>
                <w:szCs w:val="24"/>
              </w:rPr>
              <w:t xml:space="preserve">the </w:t>
            </w:r>
            <w:proofErr w:type="gramStart"/>
            <w:r>
              <w:rPr>
                <w:rFonts w:ascii="Arial" w:eastAsia="Arial" w:hAnsi="Arial"/>
                <w:sz w:val="24"/>
                <w:szCs w:val="24"/>
              </w:rPr>
              <w:t>schemes  as</w:t>
            </w:r>
            <w:proofErr w:type="gramEnd"/>
            <w:r>
              <w:rPr>
                <w:rFonts w:ascii="Arial" w:eastAsia="Arial" w:hAnsi="Arial"/>
                <w:sz w:val="24"/>
                <w:szCs w:val="24"/>
              </w:rPr>
              <w:t xml:space="preserve"> defined in Annex D2 to this Part D;</w:t>
            </w:r>
          </w:p>
        </w:tc>
      </w:tr>
      <w:tr w:rsidR="00DD15F6" w14:paraId="0119E578" w14:textId="77777777">
        <w:trPr>
          <w:cantSplit/>
        </w:trPr>
        <w:tc>
          <w:tcPr>
            <w:tcW w:w="3050" w:type="dxa"/>
            <w:shd w:val="clear" w:color="auto" w:fill="auto"/>
          </w:tcPr>
          <w:p w14:paraId="0B654F99"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"New Fair Deal"</w:t>
            </w:r>
          </w:p>
        </w:tc>
        <w:tc>
          <w:tcPr>
            <w:tcW w:w="5976" w:type="dxa"/>
            <w:shd w:val="clear" w:color="auto" w:fill="auto"/>
          </w:tcPr>
          <w:p w14:paraId="48AB558E" w14:textId="77777777" w:rsidR="00DD15F6" w:rsidRDefault="00FC73B3">
            <w:pPr>
              <w:spacing w:before="120" w:after="120"/>
              <w:jc w:val="left"/>
              <w:rPr>
                <w:rFonts w:ascii="Arial" w:eastAsia="Arial" w:hAnsi="Arial"/>
                <w:sz w:val="24"/>
                <w:szCs w:val="24"/>
              </w:rPr>
            </w:pPr>
            <w:r>
              <w:rPr>
                <w:rFonts w:ascii="Arial" w:eastAsia="Arial" w:hAnsi="Arial"/>
                <w:sz w:val="24"/>
                <w:szCs w:val="24"/>
              </w:rPr>
              <w:t>the revised Fair Deal position set out in the HM Treasury guidance:  "</w:t>
            </w:r>
            <w:r>
              <w:rPr>
                <w:rFonts w:ascii="Arial" w:eastAsia="Arial" w:hAnsi="Arial"/>
                <w:i/>
                <w:sz w:val="24"/>
                <w:szCs w:val="24"/>
              </w:rPr>
              <w:t>Fair Deal for Staff Pensions: Staff Transfer from Central Government</w:t>
            </w:r>
            <w:r>
              <w:rPr>
                <w:rFonts w:ascii="Arial" w:eastAsia="Arial" w:hAnsi="Arial"/>
                <w:sz w:val="24"/>
                <w:szCs w:val="24"/>
              </w:rPr>
              <w:t>" issued in October 2013 including:</w:t>
            </w:r>
          </w:p>
          <w:p w14:paraId="6FFE1288" w14:textId="77777777" w:rsidR="00DD15F6" w:rsidRDefault="00FC73B3">
            <w:pPr>
              <w:widowControl w:val="0"/>
              <w:numPr>
                <w:ilvl w:val="0"/>
                <w:numId w:val="7"/>
              </w:numPr>
              <w:tabs>
                <w:tab w:val="left" w:pos="695"/>
              </w:tabs>
              <w:spacing w:before="120" w:after="120"/>
              <w:ind w:left="743" w:hanging="709"/>
              <w:jc w:val="left"/>
              <w:rPr>
                <w:rFonts w:ascii="Arial" w:eastAsia="Arial" w:hAnsi="Arial"/>
                <w:sz w:val="24"/>
                <w:szCs w:val="24"/>
              </w:rPr>
            </w:pPr>
            <w:r>
              <w:rPr>
                <w:rFonts w:ascii="Arial" w:eastAsia="Arial" w:hAnsi="Arial"/>
                <w:sz w:val="24"/>
                <w:szCs w:val="24"/>
              </w:rPr>
              <w:t>any amendments to that document immediately prior to the Relevant Transfer Date; and</w:t>
            </w:r>
          </w:p>
        </w:tc>
      </w:tr>
      <w:tr w:rsidR="00DD15F6" w14:paraId="7D297A5F" w14:textId="77777777">
        <w:trPr>
          <w:cantSplit/>
        </w:trPr>
        <w:tc>
          <w:tcPr>
            <w:tcW w:w="3050" w:type="dxa"/>
            <w:shd w:val="clear" w:color="auto" w:fill="auto"/>
          </w:tcPr>
          <w:p w14:paraId="5984DC06" w14:textId="77777777" w:rsidR="00DD15F6" w:rsidRDefault="00DD15F6">
            <w:pPr>
              <w:widowControl w:val="0"/>
              <w:spacing w:before="120" w:after="120"/>
              <w:ind w:left="720"/>
              <w:jc w:val="left"/>
              <w:rPr>
                <w:rFonts w:ascii="Arial" w:eastAsia="Arial" w:hAnsi="Arial"/>
                <w:b/>
                <w:sz w:val="24"/>
                <w:szCs w:val="24"/>
              </w:rPr>
            </w:pPr>
          </w:p>
        </w:tc>
        <w:tc>
          <w:tcPr>
            <w:tcW w:w="5976" w:type="dxa"/>
            <w:shd w:val="clear" w:color="auto" w:fill="auto"/>
          </w:tcPr>
          <w:p w14:paraId="58F9AB32" w14:textId="77777777" w:rsidR="00DD15F6" w:rsidRDefault="00FC73B3">
            <w:pPr>
              <w:widowControl w:val="0"/>
              <w:numPr>
                <w:ilvl w:val="0"/>
                <w:numId w:val="7"/>
              </w:numPr>
              <w:tabs>
                <w:tab w:val="left" w:pos="695"/>
              </w:tabs>
              <w:spacing w:before="120" w:after="120"/>
              <w:ind w:left="695" w:hanging="646"/>
              <w:jc w:val="left"/>
              <w:rPr>
                <w:rFonts w:ascii="Arial" w:eastAsia="Arial" w:hAnsi="Arial"/>
                <w:sz w:val="24"/>
                <w:szCs w:val="24"/>
              </w:rPr>
            </w:pPr>
            <w:r>
              <w:rPr>
                <w:rFonts w:ascii="Arial" w:eastAsia="Arial" w:hAnsi="Arial"/>
                <w:sz w:val="24"/>
                <w:szCs w:val="24"/>
              </w:rPr>
              <w:t>any similar pension protection in accordance with the subsequent Annex D1-D3 inclusive as notified to the Supplier by the CCS or Buyer; and</w:t>
            </w:r>
          </w:p>
        </w:tc>
      </w:tr>
      <w:tr w:rsidR="00DD15F6" w14:paraId="63354F9D" w14:textId="77777777">
        <w:trPr>
          <w:cantSplit/>
        </w:trPr>
        <w:tc>
          <w:tcPr>
            <w:tcW w:w="3050" w:type="dxa"/>
            <w:shd w:val="clear" w:color="auto" w:fill="auto"/>
          </w:tcPr>
          <w:p w14:paraId="3B488D37" w14:textId="77777777" w:rsidR="00DD15F6" w:rsidRDefault="00FC73B3">
            <w:pPr>
              <w:widowControl w:val="0"/>
              <w:spacing w:before="120" w:after="120"/>
              <w:ind w:left="720"/>
              <w:jc w:val="left"/>
              <w:rPr>
                <w:rFonts w:ascii="Arial" w:eastAsia="Arial" w:hAnsi="Arial"/>
                <w:b/>
                <w:sz w:val="24"/>
                <w:szCs w:val="24"/>
              </w:rPr>
            </w:pPr>
            <w:r>
              <w:rPr>
                <w:rFonts w:ascii="Arial" w:eastAsia="Arial" w:hAnsi="Arial"/>
                <w:b/>
                <w:sz w:val="24"/>
                <w:szCs w:val="24"/>
              </w:rPr>
              <w:t>"Statutory Schemes"</w:t>
            </w:r>
          </w:p>
        </w:tc>
        <w:tc>
          <w:tcPr>
            <w:tcW w:w="5976" w:type="dxa"/>
            <w:shd w:val="clear" w:color="auto" w:fill="auto"/>
          </w:tcPr>
          <w:p w14:paraId="695E56D0" w14:textId="77777777" w:rsidR="00DD15F6" w:rsidRDefault="00FC73B3">
            <w:pPr>
              <w:spacing w:before="120" w:after="120"/>
              <w:jc w:val="left"/>
              <w:rPr>
                <w:rFonts w:ascii="Arial" w:eastAsia="Arial" w:hAnsi="Arial"/>
                <w:sz w:val="24"/>
                <w:szCs w:val="24"/>
              </w:rPr>
            </w:pPr>
            <w:r>
              <w:rPr>
                <w:rFonts w:ascii="Arial" w:eastAsia="Arial" w:hAnsi="Arial"/>
                <w:sz w:val="24"/>
                <w:szCs w:val="24"/>
              </w:rPr>
              <w:t>means the CSPS, NHSPS or LGPS.</w:t>
            </w:r>
          </w:p>
        </w:tc>
      </w:tr>
    </w:tbl>
    <w:p w14:paraId="0F3C2303" w14:textId="77777777" w:rsidR="00DD15F6" w:rsidRDefault="00FC73B3">
      <w:pPr>
        <w:keepNext/>
        <w:numPr>
          <w:ilvl w:val="0"/>
          <w:numId w:val="12"/>
        </w:numPr>
        <w:pBdr>
          <w:top w:val="nil"/>
          <w:left w:val="nil"/>
          <w:bottom w:val="nil"/>
          <w:right w:val="nil"/>
          <w:between w:val="nil"/>
        </w:pBdr>
        <w:spacing w:before="120"/>
        <w:jc w:val="left"/>
        <w:rPr>
          <w:rFonts w:ascii="Arial Bold" w:eastAsia="Arial Bold" w:hAnsi="Arial Bold" w:cs="Arial Bold"/>
          <w:b/>
          <w:color w:val="000000"/>
          <w:sz w:val="24"/>
          <w:szCs w:val="24"/>
          <w:u w:val="single"/>
        </w:rPr>
      </w:pPr>
      <w:r>
        <w:rPr>
          <w:rFonts w:ascii="Arial Bold" w:eastAsia="Arial Bold" w:hAnsi="Arial Bold" w:cs="Arial Bold"/>
          <w:b/>
          <w:color w:val="000000"/>
          <w:sz w:val="24"/>
          <w:szCs w:val="24"/>
        </w:rPr>
        <w:t>Supplier obligations to participate in the pension schemes</w:t>
      </w:r>
    </w:p>
    <w:p w14:paraId="1117EFED" w14:textId="77777777" w:rsidR="00DD15F6" w:rsidRDefault="00FC73B3">
      <w:pPr>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In respect of all or any Fair Deal Employees each of Annex D1: CSPS, Annex D2: NHSPS and/or Annex D3: LGPS shall apply, as appropriate.</w:t>
      </w:r>
    </w:p>
    <w:p w14:paraId="5E5C15A9" w14:textId="77777777" w:rsidR="00DD15F6" w:rsidRDefault="00FC73B3">
      <w:pPr>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 xml:space="preserve">The Supplier undertakes to do all such things and execute any documents (including any relevant Admission Agreement and/or Direction Letter, if </w:t>
      </w:r>
      <w:r>
        <w:rPr>
          <w:rFonts w:ascii="Arial" w:eastAsia="Arial" w:hAnsi="Arial"/>
          <w:color w:val="000000"/>
          <w:sz w:val="24"/>
          <w:szCs w:val="24"/>
        </w:rPr>
        <w:lastRenderedPageBreak/>
        <w:t>necessary) as may be required to enable the Supplier to participate in the appropriate Statutory Scheme in respect of the Fair Deal Employees and shall bear its own costs in such regard.</w:t>
      </w:r>
    </w:p>
    <w:p w14:paraId="0DB7E7F0"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The Supplier undertakes:</w:t>
      </w:r>
    </w:p>
    <w:p w14:paraId="6349991C"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1983A67C"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6A969852" w14:textId="77777777" w:rsidR="00DD15F6" w:rsidRDefault="00FC73B3">
      <w:pPr>
        <w:keepNext/>
        <w:numPr>
          <w:ilvl w:val="0"/>
          <w:numId w:val="1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2E5E6140"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The Supplier undertakes to the Buyer</w:t>
      </w:r>
      <w:r>
        <w:rPr>
          <w:rFonts w:ascii="Arial" w:eastAsia="Arial" w:hAnsi="Arial"/>
          <w:i/>
          <w:color w:val="000000"/>
          <w:sz w:val="24"/>
          <w:szCs w:val="24"/>
        </w:rPr>
        <w:t>:</w:t>
      </w:r>
    </w:p>
    <w:p w14:paraId="75C59775"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bookmarkStart w:id="9" w:name="_heading=h.41mghml" w:colFirst="0" w:colLast="0"/>
      <w:bookmarkEnd w:id="9"/>
      <w:r>
        <w:rPr>
          <w:rFonts w:ascii="Arial" w:eastAsia="Arial" w:hAnsi="Arial"/>
          <w:color w:val="000000"/>
          <w:sz w:val="24"/>
          <w:szCs w:val="24"/>
        </w:rPr>
        <w:t>to provide all information which the Buyer</w:t>
      </w:r>
      <w:r>
        <w:rPr>
          <w:rFonts w:ascii="Arial" w:eastAsia="Arial" w:hAnsi="Arial"/>
          <w:i/>
          <w:color w:val="000000"/>
          <w:sz w:val="24"/>
          <w:szCs w:val="24"/>
        </w:rPr>
        <w:t xml:space="preserve"> </w:t>
      </w:r>
      <w:r>
        <w:rPr>
          <w:rFonts w:ascii="Arial" w:eastAsia="Arial" w:hAnsi="Arial"/>
          <w:color w:val="000000"/>
          <w:sz w:val="24"/>
          <w:szCs w:val="24"/>
        </w:rPr>
        <w:t>may reasonably request concerning matters referred to in this Part D as expeditiously as possible; and</w:t>
      </w:r>
    </w:p>
    <w:p w14:paraId="38506116"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7EA94CF3" w14:textId="77777777" w:rsidR="00DD15F6" w:rsidRDefault="00FC73B3">
      <w:pPr>
        <w:keepNext/>
        <w:numPr>
          <w:ilvl w:val="0"/>
          <w:numId w:val="1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3FF9FCD0" w14:textId="77777777" w:rsidR="00DD15F6" w:rsidRDefault="00FC73B3">
      <w:pPr>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The Supplier undertakes to the Buyer</w:t>
      </w:r>
      <w:r>
        <w:rPr>
          <w:rFonts w:ascii="Arial" w:eastAsia="Arial" w:hAnsi="Arial"/>
          <w:i/>
          <w:color w:val="000000"/>
          <w:sz w:val="24"/>
          <w:szCs w:val="24"/>
        </w:rPr>
        <w:t xml:space="preserve">  </w:t>
      </w:r>
      <w:r>
        <w:rPr>
          <w:rFonts w:ascii="Arial" w:eastAsia="Arial" w:hAnsi="Arial"/>
          <w:color w:val="000000"/>
          <w:sz w:val="24"/>
          <w:szCs w:val="24"/>
        </w:rPr>
        <w:t>to indemnify and keep indemnified CCS, NHS Pensions the Buyer</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74649F2F"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10" w:name="_heading=h.2grqrue" w:colFirst="0" w:colLast="0"/>
      <w:bookmarkEnd w:id="10"/>
      <w:r>
        <w:rPr>
          <w:rFonts w:ascii="Arial" w:eastAsia="Arial" w:hAnsi="Arial"/>
          <w:color w:val="000000"/>
          <w:sz w:val="24"/>
          <w:szCs w:val="24"/>
        </w:rPr>
        <w:t>The Supplier hereby indemnifies the CCS, NHS Pensions, the Buyer</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t>
      </w:r>
      <w:proofErr w:type="gramStart"/>
      <w:r>
        <w:rPr>
          <w:rFonts w:ascii="Arial" w:eastAsia="Arial" w:hAnsi="Arial"/>
          <w:color w:val="000000"/>
          <w:sz w:val="24"/>
          <w:szCs w:val="24"/>
        </w:rPr>
        <w:t>which</w:t>
      </w:r>
      <w:proofErr w:type="gramEnd"/>
      <w:r>
        <w:rPr>
          <w:rFonts w:ascii="Arial" w:eastAsia="Arial" w:hAnsi="Arial"/>
          <w:color w:val="000000"/>
          <w:sz w:val="24"/>
          <w:szCs w:val="24"/>
        </w:rPr>
        <w:t xml:space="preserve"> Losses:</w:t>
      </w:r>
    </w:p>
    <w:p w14:paraId="533BD64B"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bookmarkStart w:id="11" w:name="_heading=h.vx1227" w:colFirst="0" w:colLast="0"/>
      <w:bookmarkEnd w:id="11"/>
      <w:r>
        <w:rPr>
          <w:rFonts w:ascii="Arial" w:eastAsia="Arial" w:hAnsi="Arial"/>
          <w:color w:val="000000"/>
          <w:sz w:val="24"/>
          <w:szCs w:val="24"/>
        </w:rPr>
        <w:t>relate to pension rights in respect of periods of employment on and after the Relevant Transfer Date until the date of termination or expiry of this Contract; or</w:t>
      </w:r>
    </w:p>
    <w:p w14:paraId="3998DDC7"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bookmarkStart w:id="12" w:name="_heading=h.3fwokq0" w:colFirst="0" w:colLast="0"/>
      <w:bookmarkEnd w:id="12"/>
      <w:r>
        <w:rPr>
          <w:rFonts w:ascii="Arial" w:eastAsia="Arial" w:hAnsi="Arial"/>
          <w:color w:val="000000"/>
          <w:sz w:val="24"/>
          <w:szCs w:val="24"/>
        </w:rPr>
        <w:lastRenderedPageBreak/>
        <w:t xml:space="preserve">arise out of the failure of the Supplier and/or any relevant Sub-contractor to comply with the provisions of this Part D before the date of termination or expiry of this Contract. </w:t>
      </w:r>
    </w:p>
    <w:p w14:paraId="3880EFAA"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The indemnities in this Part D and its Annexes:</w:t>
      </w:r>
    </w:p>
    <w:p w14:paraId="45771477"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shall survive termination of this Contract; and</w:t>
      </w:r>
    </w:p>
    <w:p w14:paraId="0458EC8E"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shall not be affected by the caps on liability contained in Clause 11 (How much you can be held responsible for).</w:t>
      </w:r>
    </w:p>
    <w:p w14:paraId="6277B676" w14:textId="77777777" w:rsidR="00DD15F6" w:rsidRDefault="00FC73B3">
      <w:pPr>
        <w:keepNext/>
        <w:numPr>
          <w:ilvl w:val="0"/>
          <w:numId w:val="1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259FB385"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7AB6C94F"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 xml:space="preserve">who will act as an expert and not as an arbitrator; </w:t>
      </w:r>
    </w:p>
    <w:p w14:paraId="5155CD4A"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 xml:space="preserve">whose decision will be final and binding on the CCS and/or the Buyer and/or the Supplier; and </w:t>
      </w:r>
    </w:p>
    <w:p w14:paraId="63B177CE"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whose expenses shall be borne equally by the CCS and/or the Buyer and/or the Supplier unless the independent Actuary shall otherwise direct.</w:t>
      </w:r>
    </w:p>
    <w:p w14:paraId="2A4E1791" w14:textId="77777777" w:rsidR="00DD15F6" w:rsidRDefault="00FC73B3">
      <w:pPr>
        <w:keepNext/>
        <w:numPr>
          <w:ilvl w:val="0"/>
          <w:numId w:val="12"/>
        </w:numPr>
        <w:pBdr>
          <w:top w:val="nil"/>
          <w:left w:val="nil"/>
          <w:bottom w:val="nil"/>
          <w:right w:val="nil"/>
          <w:between w:val="nil"/>
        </w:pBdr>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Other people’s rights</w:t>
      </w:r>
    </w:p>
    <w:p w14:paraId="10EAE793" w14:textId="77777777" w:rsidR="00DD15F6" w:rsidRDefault="00FC73B3">
      <w:pPr>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1EC2BA56" w14:textId="77777777" w:rsidR="00DD15F6" w:rsidRDefault="00FC73B3">
      <w:pPr>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2F73371B" w14:textId="77777777" w:rsidR="00DD15F6" w:rsidRDefault="00FC73B3">
      <w:pPr>
        <w:keepNext/>
        <w:numPr>
          <w:ilvl w:val="0"/>
          <w:numId w:val="12"/>
        </w:numPr>
        <w:pBdr>
          <w:top w:val="nil"/>
          <w:left w:val="nil"/>
          <w:bottom w:val="nil"/>
          <w:right w:val="nil"/>
          <w:between w:val="nil"/>
        </w:pBdr>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breach of this Part D</w:t>
      </w:r>
    </w:p>
    <w:p w14:paraId="7215D3AF"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The Supplier agrees to notify the Buyer</w:t>
      </w:r>
      <w:r>
        <w:rPr>
          <w:rFonts w:ascii="Arial" w:eastAsia="Arial" w:hAnsi="Arial"/>
          <w:i/>
          <w:color w:val="000000"/>
          <w:sz w:val="24"/>
          <w:szCs w:val="24"/>
        </w:rPr>
        <w:t xml:space="preserve"> </w:t>
      </w:r>
      <w:r>
        <w:rPr>
          <w:rFonts w:ascii="Arial" w:eastAsia="Arial" w:hAnsi="Arial"/>
          <w:color w:val="000000"/>
          <w:sz w:val="24"/>
          <w:szCs w:val="24"/>
        </w:rPr>
        <w:t>should it breach any obligations it has under this Part D and agrees that the Buyer</w:t>
      </w:r>
      <w:r>
        <w:rPr>
          <w:rFonts w:ascii="Arial" w:eastAsia="Arial" w:hAnsi="Arial"/>
          <w:i/>
          <w:color w:val="000000"/>
          <w:sz w:val="24"/>
          <w:szCs w:val="24"/>
        </w:rPr>
        <w:t xml:space="preserve"> </w:t>
      </w:r>
      <w:r>
        <w:rPr>
          <w:rFonts w:ascii="Arial" w:eastAsia="Arial" w:hAnsi="Arial"/>
          <w:color w:val="000000"/>
          <w:sz w:val="24"/>
          <w:szCs w:val="24"/>
        </w:rPr>
        <w:t>shall be entitled to terminate its Contract for material Default in the event that the Supplier:</w:t>
      </w:r>
    </w:p>
    <w:p w14:paraId="4A66C859"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commits an irremediable breach of any provision or obligation it has under this Part D; or</w:t>
      </w:r>
    </w:p>
    <w:p w14:paraId="6420EE33"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5E5EFBA2" w14:textId="77777777" w:rsidR="00DD15F6" w:rsidRDefault="00FC73B3">
      <w:pPr>
        <w:keepNext/>
        <w:numPr>
          <w:ilvl w:val="0"/>
          <w:numId w:val="12"/>
        </w:numPr>
        <w:pBdr>
          <w:top w:val="nil"/>
          <w:left w:val="nil"/>
          <w:bottom w:val="nil"/>
          <w:right w:val="nil"/>
          <w:between w:val="nil"/>
        </w:pBdr>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Transferring New Fair Deal Employees</w:t>
      </w:r>
    </w:p>
    <w:p w14:paraId="7CE85F46"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Save on expiry or termination of this Contract, if the employment of any Fair Deal Employee transfers to another employer (by way of a transfer under the Employment Regulations) the Supplier shall and shall procure that any relevant Sub-Contractor shall:</w:t>
      </w:r>
    </w:p>
    <w:p w14:paraId="799BF012"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consult with and inform those Fair Deal Employees of the pension provisions relating to that transfer; and</w:t>
      </w:r>
    </w:p>
    <w:p w14:paraId="6E55D540"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procure that the employer to which the Fair Deal Employees are transferred (the </w:t>
      </w:r>
      <w:r>
        <w:rPr>
          <w:rFonts w:ascii="Arial" w:eastAsia="Arial" w:hAnsi="Arial"/>
          <w:b/>
          <w:color w:val="000000"/>
          <w:sz w:val="24"/>
          <w:szCs w:val="24"/>
        </w:rPr>
        <w:t>"New Employer"</w:t>
      </w:r>
      <w:r>
        <w:rPr>
          <w:rFonts w:ascii="Arial" w:eastAsia="Arial" w:hAnsi="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6DE2FC0C" w14:textId="77777777" w:rsidR="00DD15F6" w:rsidRDefault="00FC73B3">
      <w:pPr>
        <w:keepNext/>
        <w:numPr>
          <w:ilvl w:val="0"/>
          <w:numId w:val="12"/>
        </w:numPr>
        <w:pBdr>
          <w:top w:val="nil"/>
          <w:left w:val="nil"/>
          <w:bottom w:val="nil"/>
          <w:right w:val="nil"/>
          <w:between w:val="nil"/>
        </w:pBdr>
        <w:spacing w:before="120"/>
        <w:jc w:val="left"/>
        <w:rPr>
          <w:rFonts w:ascii="Arial" w:eastAsia="Arial" w:hAnsi="Arial"/>
          <w:b/>
          <w:smallCaps/>
          <w:color w:val="000000"/>
          <w:sz w:val="24"/>
          <w:szCs w:val="24"/>
        </w:rPr>
      </w:pPr>
      <w:r>
        <w:rPr>
          <w:rFonts w:ascii="Arial" w:eastAsia="Arial" w:hAnsi="Arial"/>
          <w:b/>
          <w:smallCaps/>
          <w:color w:val="000000"/>
          <w:sz w:val="24"/>
          <w:szCs w:val="24"/>
        </w:rPr>
        <w:t>W</w:t>
      </w:r>
      <w:r>
        <w:rPr>
          <w:rFonts w:ascii="Arial Bold" w:eastAsia="Arial Bold" w:hAnsi="Arial Bold" w:cs="Arial Bold"/>
          <w:b/>
          <w:color w:val="000000"/>
          <w:sz w:val="24"/>
          <w:szCs w:val="24"/>
        </w:rPr>
        <w:t>hat happens to pensions if this Contract ends</w:t>
      </w:r>
    </w:p>
    <w:p w14:paraId="37EC45AE" w14:textId="77777777" w:rsidR="00DD15F6" w:rsidRDefault="00FC73B3">
      <w:pPr>
        <w:ind w:left="357"/>
        <w:jc w:val="left"/>
        <w:rPr>
          <w:rFonts w:ascii="Arial" w:eastAsia="Arial" w:hAnsi="Arial"/>
          <w:sz w:val="24"/>
          <w:szCs w:val="24"/>
        </w:rPr>
      </w:pPr>
      <w:r>
        <w:rPr>
          <w:rFonts w:ascii="Arial" w:eastAsia="Arial" w:hAnsi="Arial"/>
          <w:sz w:val="24"/>
          <w:szCs w:val="24"/>
        </w:rPr>
        <w:t xml:space="preserve">The provisions of Part E: Staff Transfer </w:t>
      </w:r>
      <w:proofErr w:type="gramStart"/>
      <w:r>
        <w:rPr>
          <w:rFonts w:ascii="Arial" w:eastAsia="Arial" w:hAnsi="Arial"/>
          <w:sz w:val="24"/>
          <w:szCs w:val="24"/>
        </w:rPr>
        <w:t>On</w:t>
      </w:r>
      <w:proofErr w:type="gramEnd"/>
      <w:r>
        <w:rPr>
          <w:rFonts w:ascii="Arial" w:eastAsia="Arial" w:hAnsi="Arial"/>
          <w:sz w:val="24"/>
          <w:szCs w:val="24"/>
        </w:rPr>
        <w:t xml:space="preserve"> Exit (Mandatory) apply in relation to pension issues on expiry or termination of this Contract.</w:t>
      </w:r>
    </w:p>
    <w:p w14:paraId="7E39FEA5" w14:textId="77777777" w:rsidR="00DD15F6" w:rsidRDefault="00FC73B3">
      <w:pPr>
        <w:keepNext/>
        <w:numPr>
          <w:ilvl w:val="0"/>
          <w:numId w:val="1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w:eastAsia="Arial" w:hAnsi="Arial"/>
          <w:b/>
          <w:smallCaps/>
          <w:color w:val="000000"/>
          <w:sz w:val="24"/>
          <w:szCs w:val="24"/>
        </w:rPr>
        <w:t>B</w:t>
      </w:r>
      <w:r>
        <w:rPr>
          <w:rFonts w:ascii="Arial Bold" w:eastAsia="Arial Bold" w:hAnsi="Arial Bold" w:cs="Arial Bold"/>
          <w:b/>
          <w:color w:val="000000"/>
          <w:sz w:val="24"/>
          <w:szCs w:val="24"/>
        </w:rPr>
        <w:t>roadly Comparable Pension Schemes</w:t>
      </w:r>
    </w:p>
    <w:p w14:paraId="11EB095D"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13" w:name="_heading=h.1v1yuxt" w:colFirst="0" w:colLast="0"/>
      <w:bookmarkEnd w:id="13"/>
      <w:r>
        <w:rPr>
          <w:rFonts w:ascii="Arial" w:eastAsia="Arial" w:hAnsi="Arial"/>
          <w:color w:val="000000"/>
          <w:sz w:val="24"/>
          <w:szCs w:val="24"/>
        </w:rPr>
        <w:t>If either:</w:t>
      </w:r>
    </w:p>
    <w:p w14:paraId="00D2ED5C"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the terms of any of Paragraphs 2.2 of Annex D1: CSPS, 5.2 of Annex D2: NHSPS and or 4 of Annex D3: LGPS apply; and/or</w:t>
      </w:r>
    </w:p>
    <w:p w14:paraId="36E89B38"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1497810C" w14:textId="77777777" w:rsidR="00DD15F6" w:rsidRDefault="00FC73B3">
      <w:pPr>
        <w:ind w:left="992"/>
        <w:jc w:val="left"/>
        <w:rPr>
          <w:rFonts w:ascii="Arial" w:eastAsia="Arial" w:hAnsi="Arial"/>
          <w:sz w:val="24"/>
          <w:szCs w:val="24"/>
        </w:rPr>
      </w:pPr>
      <w:r>
        <w:rPr>
          <w:rFonts w:ascii="Arial" w:eastAsia="Arial" w:hAnsi="Arial"/>
          <w:sz w:val="24"/>
          <w:szCs w:val="24"/>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133E762A" w14:textId="77777777" w:rsidR="00DD15F6" w:rsidRDefault="00FC73B3">
      <w:pPr>
        <w:keepNext/>
        <w:numPr>
          <w:ilvl w:val="1"/>
          <w:numId w:val="12"/>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Where the Supplier has set up a Broadly Comparable pension scheme or schemes pursuant to the provisions of Paragraph 10.1, the Supplier shall (and shall procure that any of its Sub-contractors shall):</w:t>
      </w:r>
    </w:p>
    <w:p w14:paraId="5E47E3B3"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 xml:space="preserve">supply to the </w:t>
      </w:r>
      <w:proofErr w:type="gramStart"/>
      <w:r>
        <w:rPr>
          <w:rFonts w:ascii="Arial" w:eastAsia="Arial" w:hAnsi="Arial"/>
          <w:color w:val="000000"/>
          <w:sz w:val="24"/>
          <w:szCs w:val="24"/>
        </w:rPr>
        <w:t>Buyer  details</w:t>
      </w:r>
      <w:proofErr w:type="gramEnd"/>
      <w:r>
        <w:rPr>
          <w:rFonts w:ascii="Arial" w:eastAsia="Arial" w:hAnsi="Arial"/>
          <w:color w:val="000000"/>
          <w:sz w:val="24"/>
          <w:szCs w:val="24"/>
        </w:rPr>
        <w:t xml:space="preserve"> of its (or its Sub-contractor’s) Broadly Comparable pension scheme and provide a full copy of the valid certificate of broad comparability covering all relevant </w:t>
      </w:r>
      <w:r>
        <w:rPr>
          <w:rFonts w:ascii="Arial" w:eastAsia="Arial" w:hAnsi="Arial"/>
          <w:color w:val="000000"/>
          <w:sz w:val="24"/>
          <w:szCs w:val="24"/>
        </w:rPr>
        <w:lastRenderedPageBreak/>
        <w:t>Fair Deal Employees, as soon as it is able to do so and in any event no later than 28 days before the Relevant Transfer Date;</w:t>
      </w:r>
    </w:p>
    <w:p w14:paraId="06F73DF2"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fully fund any such Broadly Comparable pension scheme in accordance with the funding requirements set by that Broadly Comparable pension scheme’s Actuary or by the Government Actuary’s Department for the period ending on the Service Transfer Date;</w:t>
      </w:r>
    </w:p>
    <w:p w14:paraId="56102050"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43B48E21"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00BD6581"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bookmarkStart w:id="14" w:name="_heading=h.4f1mdlm" w:colFirst="0" w:colLast="0"/>
      <w:bookmarkEnd w:id="14"/>
      <w:r>
        <w:rPr>
          <w:rFonts w:ascii="Arial" w:eastAsia="Arial" w:hAnsi="Arial"/>
          <w:color w:val="000000"/>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rFonts w:ascii="Arial" w:eastAsia="Arial" w:hAnsi="Arial"/>
          <w:b/>
          <w:color w:val="000000"/>
          <w:sz w:val="24"/>
          <w:szCs w:val="24"/>
        </w:rPr>
        <w:t>"Shortfall"</w:t>
      </w:r>
      <w:r>
        <w:rPr>
          <w:rFonts w:ascii="Arial" w:eastAsia="Arial" w:hAnsi="Arial"/>
          <w:color w:val="000000"/>
          <w:sz w:val="24"/>
          <w:szCs w:val="24"/>
        </w:rPr>
        <w:t xml:space="preserve">), the Supplier or the Sub-contractor (as agreed between them) must pay the Statutory Scheme, as required, provided that in the absence of any agreement between the Supplier and any Sub-contractor, the Shortfall shall be paid by the </w:t>
      </w:r>
      <w:proofErr w:type="gramStart"/>
      <w:r>
        <w:rPr>
          <w:rFonts w:ascii="Arial" w:eastAsia="Arial" w:hAnsi="Arial"/>
          <w:color w:val="000000"/>
          <w:sz w:val="24"/>
          <w:szCs w:val="24"/>
        </w:rPr>
        <w:t>Supplier;  and</w:t>
      </w:r>
      <w:proofErr w:type="gramEnd"/>
    </w:p>
    <w:p w14:paraId="7CEBAD59" w14:textId="77777777" w:rsidR="00DD15F6" w:rsidRDefault="00FC73B3">
      <w:pPr>
        <w:numPr>
          <w:ilvl w:val="2"/>
          <w:numId w:val="12"/>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indemnify CCS and/or the Buyer and/or NHS Pension and/or CSPS and/or the relevant Administering Authority and/or on demand for any failure to pay the Shortfall as required under Paragraph 10.2.5 above.</w:t>
      </w:r>
    </w:p>
    <w:p w14:paraId="786624F8" w14:textId="77777777" w:rsidR="00DD15F6" w:rsidRDefault="00FC73B3">
      <w:pPr>
        <w:jc w:val="left"/>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D1: </w:t>
      </w:r>
    </w:p>
    <w:p w14:paraId="01A52A38" w14:textId="77777777" w:rsidR="00DD15F6" w:rsidRDefault="00FC73B3">
      <w:pPr>
        <w:jc w:val="left"/>
        <w:rPr>
          <w:rFonts w:ascii="Arial Bold" w:eastAsia="Arial Bold" w:hAnsi="Arial Bold" w:cs="Arial Bold"/>
          <w:sz w:val="36"/>
          <w:szCs w:val="36"/>
        </w:rPr>
      </w:pPr>
      <w:r>
        <w:rPr>
          <w:rFonts w:ascii="Arial Bold" w:eastAsia="Arial Bold" w:hAnsi="Arial Bold" w:cs="Arial Bold"/>
          <w:b/>
          <w:sz w:val="36"/>
          <w:szCs w:val="36"/>
        </w:rPr>
        <w:t>Civil Service Pensions Schemes (CSPS)</w:t>
      </w:r>
    </w:p>
    <w:p w14:paraId="38515E04" w14:textId="77777777" w:rsidR="00DD15F6" w:rsidRDefault="00FC73B3">
      <w:pPr>
        <w:keepNext/>
        <w:numPr>
          <w:ilvl w:val="0"/>
          <w:numId w:val="15"/>
        </w:numPr>
        <w:pBdr>
          <w:top w:val="nil"/>
          <w:left w:val="nil"/>
          <w:bottom w:val="nil"/>
          <w:right w:val="nil"/>
          <w:between w:val="nil"/>
        </w:pBdr>
        <w:spacing w:before="120"/>
        <w:ind w:left="357" w:hanging="357"/>
        <w:jc w:val="left"/>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249097B9" w14:textId="77777777" w:rsidR="00DD15F6" w:rsidRDefault="00FC73B3">
      <w:pPr>
        <w:keepNext/>
        <w:ind w:left="368" w:hanging="11"/>
        <w:jc w:val="left"/>
        <w:rPr>
          <w:rFonts w:ascii="Arial" w:eastAsia="Arial" w:hAnsi="Arial"/>
          <w:sz w:val="24"/>
          <w:szCs w:val="24"/>
        </w:rPr>
      </w:pPr>
      <w:r>
        <w:rPr>
          <w:rFonts w:ascii="Arial" w:eastAsia="Arial" w:hAnsi="Arial"/>
          <w:sz w:val="24"/>
          <w:szCs w:val="24"/>
        </w:rPr>
        <w:t>In this Annex D1: CSPS to Part D: Pensions, the following words have the following meanings and they shall supplement Joint Schedule 1 (Definitions):</w:t>
      </w:r>
    </w:p>
    <w:tbl>
      <w:tblPr>
        <w:tblStyle w:val="a1"/>
        <w:tblW w:w="9378" w:type="dxa"/>
        <w:tblLayout w:type="fixed"/>
        <w:tblLook w:val="0400" w:firstRow="0" w:lastRow="0" w:firstColumn="0" w:lastColumn="0" w:noHBand="0" w:noVBand="1"/>
      </w:tblPr>
      <w:tblGrid>
        <w:gridCol w:w="2835"/>
        <w:gridCol w:w="6543"/>
      </w:tblGrid>
      <w:tr w:rsidR="00DD15F6" w14:paraId="04668715" w14:textId="77777777">
        <w:trPr>
          <w:cantSplit/>
        </w:trPr>
        <w:tc>
          <w:tcPr>
            <w:tcW w:w="2835" w:type="dxa"/>
          </w:tcPr>
          <w:p w14:paraId="5A195219" w14:textId="77777777" w:rsidR="00DD15F6" w:rsidRDefault="00FC73B3">
            <w:pPr>
              <w:spacing w:before="120" w:after="120"/>
              <w:ind w:left="709"/>
              <w:jc w:val="left"/>
              <w:rPr>
                <w:rFonts w:ascii="Arial" w:eastAsia="Arial" w:hAnsi="Arial"/>
                <w:b/>
                <w:color w:val="000000"/>
                <w:sz w:val="24"/>
                <w:szCs w:val="24"/>
              </w:rPr>
            </w:pPr>
            <w:r>
              <w:rPr>
                <w:rFonts w:ascii="Arial" w:eastAsia="Arial" w:hAnsi="Arial"/>
                <w:b/>
                <w:color w:val="000000"/>
                <w:sz w:val="24"/>
                <w:szCs w:val="24"/>
              </w:rPr>
              <w:t>"CSPS Admission Agreement"</w:t>
            </w:r>
          </w:p>
        </w:tc>
        <w:tc>
          <w:tcPr>
            <w:tcW w:w="6543" w:type="dxa"/>
          </w:tcPr>
          <w:p w14:paraId="186F6446" w14:textId="77777777" w:rsidR="00DD15F6" w:rsidRDefault="00FC73B3">
            <w:pPr>
              <w:tabs>
                <w:tab w:val="left" w:pos="235"/>
              </w:tabs>
              <w:spacing w:before="120" w:after="120"/>
              <w:jc w:val="left"/>
              <w:rPr>
                <w:rFonts w:ascii="Arial" w:eastAsia="Arial" w:hAnsi="Arial"/>
                <w:color w:val="000000"/>
                <w:sz w:val="24"/>
                <w:szCs w:val="24"/>
              </w:rPr>
            </w:pPr>
            <w:r>
              <w:rPr>
                <w:rFonts w:ascii="Arial" w:eastAsia="Arial" w:hAnsi="Arial"/>
                <w:color w:val="000000"/>
                <w:sz w:val="24"/>
                <w:szCs w:val="24"/>
              </w:rPr>
              <w:t>an admission agreement in the form available on the Civil Service Pensions website immediately prior to the Relevant Transfer Date to be entered into for the CSPS in respect of the Services;</w:t>
            </w:r>
          </w:p>
        </w:tc>
      </w:tr>
      <w:tr w:rsidR="00DD15F6" w14:paraId="4EE02A29" w14:textId="77777777">
        <w:trPr>
          <w:cantSplit/>
        </w:trPr>
        <w:tc>
          <w:tcPr>
            <w:tcW w:w="2835" w:type="dxa"/>
          </w:tcPr>
          <w:p w14:paraId="6C58E633" w14:textId="77777777" w:rsidR="00DD15F6" w:rsidRDefault="00FC73B3">
            <w:pPr>
              <w:spacing w:before="120" w:after="120"/>
              <w:ind w:left="709"/>
              <w:jc w:val="left"/>
              <w:rPr>
                <w:rFonts w:ascii="Arial" w:eastAsia="Arial" w:hAnsi="Arial"/>
                <w:b/>
                <w:color w:val="000000"/>
                <w:sz w:val="24"/>
                <w:szCs w:val="24"/>
              </w:rPr>
            </w:pPr>
            <w:r>
              <w:rPr>
                <w:rFonts w:ascii="Arial" w:eastAsia="Arial" w:hAnsi="Arial"/>
                <w:b/>
                <w:color w:val="000000"/>
                <w:sz w:val="24"/>
                <w:szCs w:val="24"/>
              </w:rPr>
              <w:t>"CSPS Eligible Employee"</w:t>
            </w:r>
          </w:p>
        </w:tc>
        <w:tc>
          <w:tcPr>
            <w:tcW w:w="6543" w:type="dxa"/>
          </w:tcPr>
          <w:p w14:paraId="29842DDC" w14:textId="77777777" w:rsidR="00DD15F6" w:rsidRDefault="00FC73B3">
            <w:pPr>
              <w:tabs>
                <w:tab w:val="left" w:pos="235"/>
              </w:tabs>
              <w:spacing w:before="120" w:after="120"/>
              <w:jc w:val="left"/>
              <w:rPr>
                <w:rFonts w:ascii="Arial" w:eastAsia="Arial" w:hAnsi="Arial"/>
                <w:color w:val="000000"/>
                <w:sz w:val="24"/>
                <w:szCs w:val="24"/>
              </w:rPr>
            </w:pPr>
            <w:r>
              <w:rPr>
                <w:rFonts w:ascii="Arial" w:eastAsia="Arial" w:hAnsi="Arial"/>
                <w:color w:val="000000"/>
                <w:sz w:val="24"/>
                <w:szCs w:val="24"/>
              </w:rPr>
              <w:t>any Fair Deal Employee who at the relevant time is an eligible employee as defined in the CSPS Admission Agreement;</w:t>
            </w:r>
          </w:p>
        </w:tc>
      </w:tr>
      <w:tr w:rsidR="00DD15F6" w14:paraId="4A4CE7C9" w14:textId="77777777">
        <w:trPr>
          <w:cantSplit/>
        </w:trPr>
        <w:tc>
          <w:tcPr>
            <w:tcW w:w="2835" w:type="dxa"/>
          </w:tcPr>
          <w:p w14:paraId="08BE4D8D" w14:textId="77777777" w:rsidR="00DD15F6" w:rsidRDefault="00FC73B3">
            <w:pPr>
              <w:spacing w:after="120"/>
              <w:ind w:left="709"/>
              <w:jc w:val="left"/>
              <w:rPr>
                <w:rFonts w:ascii="Arial" w:eastAsia="Arial" w:hAnsi="Arial"/>
                <w:sz w:val="24"/>
                <w:szCs w:val="24"/>
              </w:rPr>
            </w:pPr>
            <w:r>
              <w:rPr>
                <w:rFonts w:ascii="Arial" w:eastAsia="Arial" w:hAnsi="Arial"/>
                <w:b/>
                <w:color w:val="000000"/>
                <w:sz w:val="24"/>
                <w:szCs w:val="24"/>
              </w:rPr>
              <w:t>"CSPS"</w:t>
            </w:r>
          </w:p>
        </w:tc>
        <w:tc>
          <w:tcPr>
            <w:tcW w:w="6543" w:type="dxa"/>
          </w:tcPr>
          <w:p w14:paraId="07B1C7DC" w14:textId="7F907207" w:rsidR="00DD15F6" w:rsidRDefault="00FC73B3">
            <w:pPr>
              <w:spacing w:after="120"/>
              <w:jc w:val="left"/>
              <w:rPr>
                <w:rFonts w:ascii="Arial" w:eastAsia="Arial" w:hAnsi="Arial"/>
                <w:sz w:val="24"/>
                <w:szCs w:val="24"/>
              </w:rPr>
            </w:pPr>
            <w:r>
              <w:rPr>
                <w:rFonts w:ascii="Arial" w:eastAsia="Arial" w:hAnsi="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eastAsia="Arial" w:hAnsi="Arial"/>
                <w:color w:val="222222"/>
                <w:sz w:val="24"/>
                <w:szCs w:val="24"/>
                <w:highlight w:val="white"/>
              </w:rPr>
              <w:t>i</w:t>
            </w:r>
            <w:proofErr w:type="spellEnd"/>
            <w:r>
              <w:rPr>
                <w:rFonts w:ascii="Arial" w:eastAsia="Arial" w:hAnsi="Arial"/>
                <w:color w:val="222222"/>
                <w:sz w:val="24"/>
                <w:szCs w:val="24"/>
                <w:highlight w:val="white"/>
              </w:rPr>
              <w:t>) Ill health Benefits Arrangements and (ii) Death Benefits Arrangements; the Civil Service Additional Voluntary Contribution Scheme</w:t>
            </w:r>
            <w:r w:rsidR="003562AB">
              <w:rPr>
                <w:rFonts w:ascii="Arial" w:eastAsia="Arial" w:hAnsi="Arial"/>
                <w:color w:val="222222"/>
                <w:sz w:val="24"/>
                <w:szCs w:val="24"/>
                <w:highlight w:val="white"/>
              </w:rPr>
              <w:t>.</w:t>
            </w:r>
          </w:p>
        </w:tc>
      </w:tr>
    </w:tbl>
    <w:p w14:paraId="0364F1F3" w14:textId="77777777" w:rsidR="00DD15F6" w:rsidRDefault="00FC73B3">
      <w:pPr>
        <w:keepNext/>
        <w:numPr>
          <w:ilvl w:val="0"/>
          <w:numId w:val="15"/>
        </w:numPr>
        <w:pBdr>
          <w:top w:val="nil"/>
          <w:left w:val="nil"/>
          <w:bottom w:val="nil"/>
          <w:right w:val="nil"/>
          <w:between w:val="nil"/>
        </w:pBdr>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Access to equivalent pension schemes after transfer</w:t>
      </w:r>
    </w:p>
    <w:p w14:paraId="52A2A848" w14:textId="77777777" w:rsidR="00DD15F6" w:rsidRDefault="00FC73B3">
      <w:pPr>
        <w:numPr>
          <w:ilvl w:val="1"/>
          <w:numId w:val="15"/>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451EA40E" w14:textId="77777777" w:rsidR="00DD15F6" w:rsidRDefault="00FC73B3">
      <w:pPr>
        <w:numPr>
          <w:ilvl w:val="1"/>
          <w:numId w:val="15"/>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15" w:name="_heading=h.2u6wntf" w:colFirst="0" w:colLast="0"/>
      <w:bookmarkEnd w:id="15"/>
      <w:r>
        <w:rPr>
          <w:rFonts w:ascii="Arial" w:eastAsia="Arial" w:hAnsi="Arial"/>
          <w:color w:val="000000"/>
          <w:sz w:val="24"/>
          <w:szCs w:val="24"/>
        </w:rP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43887504" w14:textId="77777777" w:rsidR="00DD15F6" w:rsidRDefault="00DD15F6">
      <w:pPr>
        <w:jc w:val="left"/>
        <w:rPr>
          <w:rFonts w:ascii="Arial" w:eastAsia="Arial" w:hAnsi="Arial"/>
          <w:sz w:val="24"/>
          <w:szCs w:val="24"/>
        </w:rPr>
      </w:pPr>
    </w:p>
    <w:p w14:paraId="64FE02AD" w14:textId="2F5F32EC" w:rsidR="003562AB" w:rsidRDefault="00FC73B3" w:rsidP="003562AB">
      <w:pPr>
        <w:jc w:val="left"/>
        <w:rPr>
          <w:rFonts w:ascii="Arial Bold" w:eastAsia="Arial Bold" w:hAnsi="Arial Bold" w:cs="Arial Bold"/>
          <w:b/>
          <w:color w:val="000000"/>
          <w:sz w:val="36"/>
          <w:szCs w:val="36"/>
        </w:rPr>
      </w:pPr>
      <w:r>
        <w:br w:type="page"/>
      </w:r>
      <w:r w:rsidR="003562AB">
        <w:rPr>
          <w:rFonts w:ascii="Arial Bold" w:eastAsia="Arial Bold" w:hAnsi="Arial Bold" w:cs="Arial Bold"/>
          <w:b/>
          <w:color w:val="000000"/>
          <w:sz w:val="36"/>
          <w:szCs w:val="36"/>
        </w:rPr>
        <w:lastRenderedPageBreak/>
        <w:t xml:space="preserve"> </w:t>
      </w:r>
    </w:p>
    <w:p w14:paraId="56B4482D" w14:textId="781748DF" w:rsidR="00DD15F6" w:rsidRDefault="00FC73B3">
      <w:pPr>
        <w:pBdr>
          <w:top w:val="nil"/>
          <w:left w:val="nil"/>
          <w:bottom w:val="nil"/>
          <w:right w:val="nil"/>
          <w:between w:val="nil"/>
        </w:pBdr>
        <w:spacing w:before="120" w:after="120"/>
        <w:jc w:val="left"/>
        <w:rPr>
          <w:rFonts w:ascii="Arial Bold" w:eastAsia="Arial Bold" w:hAnsi="Arial Bold" w:cs="Arial Bold"/>
          <w:b/>
          <w:color w:val="000000"/>
          <w:sz w:val="36"/>
          <w:szCs w:val="36"/>
        </w:rPr>
      </w:pPr>
      <w:r>
        <w:rPr>
          <w:rFonts w:ascii="Arial Bold" w:eastAsia="Arial Bold" w:hAnsi="Arial Bold" w:cs="Arial Bold"/>
          <w:b/>
          <w:color w:val="000000"/>
          <w:sz w:val="36"/>
          <w:szCs w:val="36"/>
        </w:rPr>
        <w:t xml:space="preserve">Part E: Staff Transfer on Exit </w:t>
      </w:r>
    </w:p>
    <w:p w14:paraId="5D41CF05" w14:textId="77777777" w:rsidR="00DD15F6" w:rsidRDefault="00FC73B3">
      <w:pPr>
        <w:keepNext/>
        <w:numPr>
          <w:ilvl w:val="0"/>
          <w:numId w:val="6"/>
        </w:numPr>
        <w:pBdr>
          <w:top w:val="nil"/>
          <w:left w:val="nil"/>
          <w:bottom w:val="nil"/>
          <w:right w:val="nil"/>
          <w:between w:val="nil"/>
        </w:pBdr>
        <w:spacing w:before="120"/>
        <w:ind w:left="357" w:hanging="357"/>
        <w:jc w:val="left"/>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40AFE981" w14:textId="77777777" w:rsidR="00DD15F6" w:rsidRDefault="00FC73B3">
      <w:pPr>
        <w:keepNext/>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16" w:name="_heading=h.xvir7l" w:colFirst="0" w:colLast="0"/>
      <w:bookmarkEnd w:id="16"/>
      <w:r>
        <w:rPr>
          <w:rFonts w:ascii="Arial" w:eastAsia="Arial" w:hAnsi="Arial"/>
          <w:color w:val="000000"/>
          <w:sz w:val="24"/>
          <w:szCs w:val="24"/>
        </w:rPr>
        <w:t>The Supplier agrees that within 20 Working Days of the earliest of:</w:t>
      </w:r>
    </w:p>
    <w:p w14:paraId="379DC8EA"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bookmarkStart w:id="17" w:name="_heading=h.3hv69ve" w:colFirst="0" w:colLast="0"/>
      <w:bookmarkEnd w:id="17"/>
      <w:r>
        <w:rPr>
          <w:rFonts w:ascii="Arial" w:eastAsia="Arial" w:hAnsi="Arial"/>
          <w:color w:val="000000"/>
          <w:sz w:val="24"/>
          <w:szCs w:val="24"/>
        </w:rPr>
        <w:t xml:space="preserve">receipt of a notification from the Buyer of a Service Transfer or intended Service Transfer; </w:t>
      </w:r>
    </w:p>
    <w:p w14:paraId="3B3184B0"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bookmarkStart w:id="18" w:name="_heading=h.1x0gk37" w:colFirst="0" w:colLast="0"/>
      <w:bookmarkEnd w:id="18"/>
      <w:r>
        <w:rPr>
          <w:rFonts w:ascii="Arial" w:eastAsia="Arial" w:hAnsi="Arial"/>
          <w:color w:val="000000"/>
          <w:sz w:val="24"/>
          <w:szCs w:val="24"/>
        </w:rPr>
        <w:t xml:space="preserve">receipt of the giving of notice of early termination or any Partial Termination of the relevant Contract; </w:t>
      </w:r>
    </w:p>
    <w:p w14:paraId="75BC18F2"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4C15E0EB"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7E626B83" w14:textId="77777777" w:rsidR="00DD15F6" w:rsidRDefault="00FC73B3">
      <w:pPr>
        <w:pBdr>
          <w:top w:val="nil"/>
          <w:left w:val="nil"/>
          <w:bottom w:val="nil"/>
          <w:right w:val="nil"/>
          <w:between w:val="nil"/>
        </w:pBdr>
        <w:ind w:left="992"/>
        <w:jc w:val="left"/>
        <w:rPr>
          <w:rFonts w:ascii="Arial" w:eastAsia="Arial" w:hAnsi="Arial"/>
          <w:color w:val="000000"/>
          <w:sz w:val="24"/>
          <w:szCs w:val="24"/>
        </w:rPr>
      </w:pPr>
      <w:r>
        <w:rPr>
          <w:rFonts w:ascii="Arial" w:eastAsia="Arial" w:hAnsi="Arial"/>
          <w:color w:val="000000"/>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20C3801F"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19" w:name="_heading=h.4h042r0" w:colFirst="0" w:colLast="0"/>
      <w:bookmarkEnd w:id="19"/>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olor w:val="000000"/>
          <w:sz w:val="24"/>
          <w:szCs w:val="24"/>
        </w:rPr>
        <w:t>i</w:t>
      </w:r>
      <w:proofErr w:type="spellEnd"/>
      <w:r>
        <w:rPr>
          <w:rFonts w:ascii="Arial" w:eastAsia="Arial" w:hAnsi="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0716DEBC"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136B91FD"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20CC5986" w14:textId="77777777" w:rsidR="00DD15F6" w:rsidRDefault="00FC73B3">
      <w:pPr>
        <w:keepNext/>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5A932F83" w14:textId="77777777" w:rsidR="00DD15F6" w:rsidRDefault="00DD15F6">
      <w:pPr>
        <w:pBdr>
          <w:top w:val="nil"/>
          <w:left w:val="nil"/>
          <w:bottom w:val="nil"/>
          <w:right w:val="nil"/>
          <w:between w:val="nil"/>
        </w:pBdr>
        <w:spacing w:before="120" w:after="120"/>
        <w:ind w:left="2214" w:hanging="807"/>
        <w:jc w:val="left"/>
        <w:rPr>
          <w:rFonts w:ascii="Arial" w:eastAsia="Arial" w:hAnsi="Arial"/>
          <w:b/>
          <w:smallCaps/>
          <w:color w:val="000000"/>
          <w:sz w:val="24"/>
          <w:szCs w:val="24"/>
        </w:rPr>
      </w:pPr>
    </w:p>
    <w:p w14:paraId="5B929984" w14:textId="77777777" w:rsidR="00DD15F6" w:rsidRDefault="00FC73B3">
      <w:pPr>
        <w:pBdr>
          <w:top w:val="nil"/>
          <w:left w:val="nil"/>
          <w:bottom w:val="nil"/>
          <w:right w:val="nil"/>
          <w:between w:val="nil"/>
        </w:pBdr>
        <w:spacing w:before="120" w:after="120"/>
        <w:ind w:left="2214" w:hanging="807"/>
        <w:jc w:val="left"/>
        <w:rPr>
          <w:rFonts w:ascii="Arial" w:eastAsia="Arial" w:hAnsi="Arial"/>
          <w:color w:val="000000"/>
          <w:sz w:val="24"/>
          <w:szCs w:val="24"/>
        </w:rPr>
      </w:pPr>
      <w:r>
        <w:rPr>
          <w:rFonts w:ascii="Arial" w:eastAsia="Arial" w:hAnsi="Arial"/>
          <w:color w:val="000000"/>
          <w:sz w:val="24"/>
          <w:szCs w:val="24"/>
        </w:rPr>
        <w:t xml:space="preserve">not replace or re-deploy any Supplier Personnel listed on the Supplier Provisional Supplier Personnel List other than where any replacement is of equivalent grade, skills, experience and </w:t>
      </w:r>
      <w:r>
        <w:rPr>
          <w:rFonts w:ascii="Arial" w:eastAsia="Arial" w:hAnsi="Arial"/>
          <w:color w:val="000000"/>
          <w:sz w:val="24"/>
          <w:szCs w:val="24"/>
        </w:rPr>
        <w:lastRenderedPageBreak/>
        <w:t>expertise and is employed on the same terms and conditions of employment as the person he/she replaces</w:t>
      </w:r>
    </w:p>
    <w:p w14:paraId="2218507F" w14:textId="77777777" w:rsidR="00DD15F6" w:rsidRDefault="00FC73B3">
      <w:pPr>
        <w:pBdr>
          <w:top w:val="nil"/>
          <w:left w:val="nil"/>
          <w:bottom w:val="nil"/>
          <w:right w:val="nil"/>
          <w:between w:val="nil"/>
        </w:pBdr>
        <w:spacing w:before="120" w:after="120"/>
        <w:ind w:left="993" w:hanging="807"/>
        <w:jc w:val="left"/>
        <w:rPr>
          <w:rFonts w:ascii="Arial" w:eastAsia="Arial" w:hAnsi="Arial"/>
          <w:color w:val="000000"/>
          <w:sz w:val="24"/>
          <w:szCs w:val="24"/>
        </w:rPr>
      </w:pPr>
      <w:r>
        <w:rPr>
          <w:rFonts w:ascii="Arial" w:eastAsia="Arial" w:hAnsi="Arial"/>
          <w:color w:val="000000"/>
          <w:sz w:val="24"/>
          <w:szCs w:val="24"/>
        </w:rPr>
        <w:t>not make, promise, propose, permit or implement any material changes to the terms and conditions of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19D4CF10"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not increase the proportion of working time spent on the Services (or the relevant part of the Services) by any of the Supplier Personnel save for fulfilling assignments and projects previously scheduled and agreed;</w:t>
      </w:r>
    </w:p>
    <w:p w14:paraId="141851C3"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not introduce any new contractual or customary practice concerning the making of any lump sum payment on the termination of employment of any employees listed on the Supplier's Provisional Supplier Personnel List;</w:t>
      </w:r>
    </w:p>
    <w:p w14:paraId="04055B1E"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not increase or reduce the total number of employees so engaged, or deploy any other person to perform the Services (or the relevant part of the Services);</w:t>
      </w:r>
    </w:p>
    <w:p w14:paraId="5C8546FE"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not terminate or give notice to terminate the employment or contracts of any persons on the Supplier's Provisional Supplier Personnel List save by due disciplinary process;</w:t>
      </w:r>
    </w:p>
    <w:p w14:paraId="000167DA"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not dissuade or discourage any employees engaged in the provision of the Services from transferring their employment to the Buyer and/or the Replacement Supplier and/or Replacement Sub-contractor;</w:t>
      </w:r>
    </w:p>
    <w:p w14:paraId="50F9C70C"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195601B0"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138B749D"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 xml:space="preserve">promptly notify </w:t>
      </w:r>
      <w:proofErr w:type="gramStart"/>
      <w:r>
        <w:rPr>
          <w:rFonts w:ascii="Arial" w:eastAsia="Arial" w:hAnsi="Arial"/>
          <w:color w:val="000000"/>
          <w:sz w:val="24"/>
          <w:szCs w:val="24"/>
        </w:rPr>
        <w:t>the  Buyer</w:t>
      </w:r>
      <w:proofErr w:type="gramEnd"/>
      <w:r>
        <w:rPr>
          <w:rFonts w:ascii="Arial" w:eastAsia="Arial" w:hAnsi="Arial"/>
          <w:color w:val="000000"/>
          <w:sz w:val="24"/>
          <w:szCs w:val="24"/>
        </w:rPr>
        <w:t xml:space="preserve">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68055CEF"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lastRenderedPageBreak/>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30CB3BFB"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 xml:space="preserve">not to adversely affect pension rights accrued by all and any Fair Deal Employees in the period ending on the Service Transfer Date; </w:t>
      </w:r>
    </w:p>
    <w:p w14:paraId="7FC8C906"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fully fund any Broadly Comparable pension schemes set up by the Supplier;</w:t>
      </w:r>
    </w:p>
    <w:p w14:paraId="54D4D7E6"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046B81FA"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promptly provide to the Buyer such documents and information mentioned in Paragraph 3.1.1 of Part D: Pensions which the Buyer may reasonably request in advance of the expiry or termination of this Contract; and</w:t>
      </w:r>
    </w:p>
    <w:p w14:paraId="2B660B1E"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04C559B1" w14:textId="77777777" w:rsidR="00DD15F6" w:rsidRDefault="00FC73B3">
      <w:pPr>
        <w:keepNext/>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220E7BF9"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the numbers of employees engaged in providing the Services;</w:t>
      </w:r>
    </w:p>
    <w:p w14:paraId="20B6BA6E"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14:paraId="1D1ABF91"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Fair Deal Schemes (as defined in Part D: Pensions); and</w:t>
      </w:r>
    </w:p>
    <w:p w14:paraId="2633DA98"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2E55C68C" w14:textId="77777777" w:rsidR="00DD15F6" w:rsidRDefault="00FC73B3">
      <w:pPr>
        <w:keepNext/>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 xml:space="preserve">The Supplier shall provide all reasonable cooperation and assistance to the Buyer, any Replacement Supplier and/or any Replacement Sub-contractor to ensure the smooth transfer of the Transferring Supplier Employees on the </w:t>
      </w:r>
      <w:r>
        <w:rPr>
          <w:rFonts w:ascii="Arial" w:eastAsia="Arial" w:hAnsi="Arial"/>
          <w:color w:val="000000"/>
          <w:sz w:val="24"/>
          <w:szCs w:val="24"/>
        </w:rPr>
        <w:lastRenderedPageBreak/>
        <w:t>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2BAEADB8"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 xml:space="preserve">the most recent month's copy </w:t>
      </w:r>
      <w:proofErr w:type="gramStart"/>
      <w:r>
        <w:rPr>
          <w:rFonts w:ascii="Arial" w:eastAsia="Arial" w:hAnsi="Arial"/>
          <w:color w:val="000000"/>
          <w:sz w:val="24"/>
          <w:szCs w:val="24"/>
        </w:rPr>
        <w:t>pay</w:t>
      </w:r>
      <w:proofErr w:type="gramEnd"/>
      <w:r>
        <w:rPr>
          <w:rFonts w:ascii="Arial" w:eastAsia="Arial" w:hAnsi="Arial"/>
          <w:color w:val="000000"/>
          <w:sz w:val="24"/>
          <w:szCs w:val="24"/>
        </w:rPr>
        <w:t xml:space="preserve"> slip data;</w:t>
      </w:r>
    </w:p>
    <w:p w14:paraId="674B42E9"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details of cumulative pay for tax and pension purposes;</w:t>
      </w:r>
    </w:p>
    <w:p w14:paraId="4D52C108"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details of cumulative tax paid;</w:t>
      </w:r>
    </w:p>
    <w:p w14:paraId="7AC42852"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tax code;</w:t>
      </w:r>
    </w:p>
    <w:p w14:paraId="524BB884"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details of any voluntary deductions from pay; and</w:t>
      </w:r>
    </w:p>
    <w:p w14:paraId="3DF27AFE"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1A65305A" w14:textId="77777777" w:rsidR="00DD15F6" w:rsidRDefault="00FC73B3">
      <w:pPr>
        <w:keepNext/>
        <w:numPr>
          <w:ilvl w:val="0"/>
          <w:numId w:val="6"/>
        </w:numPr>
        <w:pBdr>
          <w:top w:val="nil"/>
          <w:left w:val="nil"/>
          <w:bottom w:val="nil"/>
          <w:right w:val="nil"/>
          <w:between w:val="nil"/>
        </w:pBdr>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36FCAA83"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62637D0"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5337E055"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20" w:name="_heading=h.2w5ecyt" w:colFirst="0" w:colLast="0"/>
      <w:bookmarkEnd w:id="20"/>
      <w:r>
        <w:rPr>
          <w:rFonts w:ascii="Arial" w:eastAsia="Arial" w:hAnsi="Arial"/>
          <w:color w:val="000000"/>
          <w:sz w:val="24"/>
          <w:szCs w:val="24"/>
        </w:rP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A5F872"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21" w:name="_heading=h.1baon6m" w:colFirst="0" w:colLast="0"/>
      <w:bookmarkEnd w:id="21"/>
      <w:r>
        <w:rPr>
          <w:rFonts w:ascii="Arial" w:eastAsia="Arial" w:hAnsi="Arial"/>
          <w:color w:val="000000"/>
          <w:sz w:val="24"/>
          <w:szCs w:val="24"/>
        </w:rP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7738DF8A" w14:textId="77777777" w:rsidR="00DD15F6" w:rsidRDefault="00FC73B3">
      <w:pPr>
        <w:keepNext/>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22" w:name="_heading=h.3vac5uf" w:colFirst="0" w:colLast="0"/>
      <w:bookmarkEnd w:id="22"/>
      <w:r>
        <w:rPr>
          <w:rFonts w:ascii="Arial" w:eastAsia="Arial" w:hAnsi="Arial"/>
          <w:color w:val="000000"/>
          <w:sz w:val="24"/>
          <w:szCs w:val="24"/>
        </w:rPr>
        <w:lastRenderedPageBreak/>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5BE49ED4"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bookmarkStart w:id="23" w:name="_heading=h.2afmg28" w:colFirst="0" w:colLast="0"/>
      <w:bookmarkEnd w:id="23"/>
      <w:r>
        <w:rPr>
          <w:rFonts w:ascii="Arial" w:eastAsia="Arial" w:hAnsi="Arial"/>
          <w:color w:val="000000"/>
          <w:sz w:val="24"/>
          <w:szCs w:val="24"/>
        </w:rPr>
        <w:t>the Replacement Supplier and/or Replacement Sub-contractor will, within 5 Working Days of becoming aware of that fact, notify the Buyer and the Supplier in writing;</w:t>
      </w:r>
    </w:p>
    <w:p w14:paraId="6CAE01DB"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bookmarkStart w:id="24" w:name="_heading=h.pkwqa1" w:colFirst="0" w:colLast="0"/>
      <w:bookmarkEnd w:id="24"/>
      <w:r>
        <w:rPr>
          <w:rFonts w:ascii="Arial" w:eastAsia="Arial" w:hAnsi="Arial"/>
          <w:color w:val="000000"/>
          <w:sz w:val="24"/>
          <w:szCs w:val="24"/>
        </w:rPr>
        <w:t>the Supplier may offer employment to such person, or take such other steps as it considered appropriate to resolve the matter, within 10 Working Days of receipt of notice from the Replacement Supplier and/or Replacement Sub-contractor;</w:t>
      </w:r>
    </w:p>
    <w:p w14:paraId="6A8A1C67"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if such offer of employment is accepted, the Replacement Supplier and/or Replacement Sub-contractor shall immediately release the person from its employment;</w:t>
      </w:r>
    </w:p>
    <w:p w14:paraId="4F708059"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bookmarkStart w:id="25" w:name="_heading=h.39kk8xu" w:colFirst="0" w:colLast="0"/>
      <w:bookmarkEnd w:id="25"/>
      <w:r>
        <w:rPr>
          <w:rFonts w:ascii="Arial" w:eastAsia="Arial" w:hAnsi="Arial"/>
          <w:color w:val="000000"/>
          <w:sz w:val="24"/>
          <w:szCs w:val="24"/>
        </w:rP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29F8A383" w14:textId="77777777" w:rsidR="00DD15F6" w:rsidRDefault="00FC73B3">
      <w:pPr>
        <w:pStyle w:val="Heading3"/>
        <w:keepLines w:val="0"/>
        <w:ind w:left="993" w:firstLine="0"/>
        <w:jc w:val="left"/>
        <w:rPr>
          <w:rFonts w:ascii="Arial" w:eastAsia="Arial" w:hAnsi="Arial"/>
          <w:sz w:val="24"/>
          <w:szCs w:val="24"/>
        </w:rPr>
      </w:pPr>
      <w:r>
        <w:rPr>
          <w:rFonts w:ascii="Arial" w:eastAsia="Arial" w:hAnsi="Arial"/>
          <w:sz w:val="24"/>
          <w:szCs w:val="24"/>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w:t>
      </w:r>
      <w:proofErr w:type="gramStart"/>
      <w:r>
        <w:rPr>
          <w:rFonts w:ascii="Arial" w:eastAsia="Arial" w:hAnsi="Arial"/>
          <w:sz w:val="24"/>
          <w:szCs w:val="24"/>
        </w:rPr>
        <w:t>Supplier's  employees</w:t>
      </w:r>
      <w:proofErr w:type="gramEnd"/>
      <w:r>
        <w:rPr>
          <w:rFonts w:ascii="Arial" w:eastAsia="Arial" w:hAnsi="Arial"/>
          <w:sz w:val="24"/>
          <w:szCs w:val="24"/>
        </w:rPr>
        <w:t xml:space="preserve"> referred to in Paragraph 2.5. </w:t>
      </w:r>
    </w:p>
    <w:p w14:paraId="42A58F83" w14:textId="77777777" w:rsidR="00DD15F6" w:rsidRDefault="00FC73B3">
      <w:pPr>
        <w:keepNext/>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26" w:name="_heading=h.1opuj5n" w:colFirst="0" w:colLast="0"/>
      <w:bookmarkEnd w:id="26"/>
      <w:r>
        <w:rPr>
          <w:rFonts w:ascii="Arial" w:eastAsia="Arial" w:hAnsi="Arial"/>
          <w:color w:val="000000"/>
          <w:sz w:val="24"/>
          <w:szCs w:val="24"/>
        </w:rPr>
        <w:t>The indemnity in Paragraph 2.5 shall not apply to:</w:t>
      </w:r>
    </w:p>
    <w:p w14:paraId="647F73E6"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088E1A32" w14:textId="77777777" w:rsidR="00DD15F6" w:rsidRDefault="00FC73B3">
      <w:pPr>
        <w:numPr>
          <w:ilvl w:val="2"/>
          <w:numId w:val="6"/>
        </w:numPr>
        <w:pBdr>
          <w:top w:val="nil"/>
          <w:left w:val="nil"/>
          <w:bottom w:val="nil"/>
          <w:right w:val="nil"/>
          <w:between w:val="nil"/>
        </w:pBdr>
        <w:spacing w:before="120" w:after="120"/>
        <w:jc w:val="left"/>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any claim that the termination of employment was unfair because the Replacement Supplier and/or Replacement Sub-contractor neglected to follow a fair dismissal procedure.</w:t>
      </w:r>
    </w:p>
    <w:p w14:paraId="4E8FA942"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27" w:name="_heading=h.48pi1tg" w:colFirst="0" w:colLast="0"/>
      <w:bookmarkEnd w:id="27"/>
      <w:r>
        <w:rPr>
          <w:rFonts w:ascii="Arial" w:eastAsia="Arial" w:hAnsi="Arial"/>
          <w:color w:val="000000"/>
          <w:sz w:val="24"/>
          <w:szCs w:val="24"/>
        </w:rPr>
        <w:t>The indemnity in Paragraph 2.5 shall not apply to any termination of employment occurring later than 3 Months from the Service Transfer Date.</w:t>
      </w:r>
    </w:p>
    <w:p w14:paraId="785D328C"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r>
        <w:rPr>
          <w:rFonts w:ascii="Arial" w:eastAsia="Arial" w:hAnsi="Arial"/>
          <w:color w:val="000000"/>
          <w:sz w:val="24"/>
          <w:szCs w:val="24"/>
        </w:rPr>
        <w:t xml:space="preserve">If at any point the Replacement Supplier and/or Replacement Sub-contract accepts the employment of any such person as is described in Paragraph 2.5, </w:t>
      </w:r>
      <w:r>
        <w:rPr>
          <w:rFonts w:ascii="Arial" w:eastAsia="Arial" w:hAnsi="Arial"/>
          <w:color w:val="000000"/>
          <w:sz w:val="24"/>
          <w:szCs w:val="24"/>
        </w:rPr>
        <w:lastRenderedPageBreak/>
        <w:t>such person shall be treated as a Transferring Supplier Employee and Paragraph 2.5 shall cease to apply to such person.</w:t>
      </w:r>
    </w:p>
    <w:p w14:paraId="2A692271"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28" w:name="_heading=h.2nusc19" w:colFirst="0" w:colLast="0"/>
      <w:bookmarkEnd w:id="28"/>
      <w:r>
        <w:rPr>
          <w:rFonts w:ascii="Arial" w:eastAsia="Arial" w:hAnsi="Arial"/>
          <w:color w:val="000000"/>
          <w:sz w:val="24"/>
          <w:szCs w:val="24"/>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E5B0D03"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pPr>
      <w:bookmarkStart w:id="29" w:name="_heading=h.1302m92" w:colFirst="0" w:colLast="0"/>
      <w:bookmarkEnd w:id="29"/>
      <w:r>
        <w:rPr>
          <w:rFonts w:ascii="Arial" w:eastAsia="Arial" w:hAnsi="Arial"/>
          <w:color w:val="000000"/>
          <w:sz w:val="24"/>
          <w:szCs w:val="24"/>
        </w:rP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260EFC44" w14:textId="77777777" w:rsidR="00DD15F6" w:rsidRDefault="00FC73B3">
      <w:pPr>
        <w:numPr>
          <w:ilvl w:val="1"/>
          <w:numId w:val="6"/>
        </w:numPr>
        <w:pBdr>
          <w:top w:val="nil"/>
          <w:left w:val="nil"/>
          <w:bottom w:val="nil"/>
          <w:right w:val="nil"/>
          <w:between w:val="nil"/>
        </w:pBdr>
        <w:tabs>
          <w:tab w:val="left" w:pos="993"/>
        </w:tabs>
        <w:spacing w:before="120" w:after="120"/>
        <w:jc w:val="left"/>
        <w:rPr>
          <w:rFonts w:ascii="Arial" w:eastAsia="Arial" w:hAnsi="Arial"/>
          <w:color w:val="000000"/>
          <w:sz w:val="24"/>
          <w:szCs w:val="24"/>
        </w:rPr>
        <w:sectPr w:rsidR="00DD15F6">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r>
        <w:rPr>
          <w:rFonts w:ascii="Arial" w:eastAsia="Arial" w:hAnsi="Arial"/>
          <w:color w:val="000000"/>
          <w:sz w:val="24"/>
          <w:szCs w:val="24"/>
        </w:rP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27F07DD1" w14:textId="77777777" w:rsidR="00DD15F6" w:rsidRDefault="00DD15F6">
      <w:pPr>
        <w:keepNext/>
        <w:pBdr>
          <w:top w:val="nil"/>
          <w:left w:val="nil"/>
          <w:bottom w:val="nil"/>
          <w:right w:val="nil"/>
          <w:between w:val="nil"/>
        </w:pBdr>
        <w:spacing w:before="120"/>
        <w:ind w:left="357" w:hanging="357"/>
        <w:rPr>
          <w:rFonts w:eastAsia="Calibri" w:cs="Calibri"/>
          <w:b/>
          <w:smallCaps/>
          <w:color w:val="000000"/>
        </w:rPr>
      </w:pPr>
    </w:p>
    <w:sectPr w:rsidR="00DD15F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1F3EC" w14:textId="77777777" w:rsidR="00FC73B3" w:rsidRDefault="00FC73B3">
      <w:pPr>
        <w:spacing w:after="0"/>
      </w:pPr>
      <w:r>
        <w:separator/>
      </w:r>
    </w:p>
  </w:endnote>
  <w:endnote w:type="continuationSeparator" w:id="0">
    <w:p w14:paraId="2B87670A" w14:textId="77777777" w:rsidR="00FC73B3" w:rsidRDefault="00FC7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3D5D" w14:textId="77777777" w:rsidR="00DD15F6" w:rsidRDefault="00DD15F6">
    <w:pPr>
      <w:tabs>
        <w:tab w:val="center" w:pos="4513"/>
        <w:tab w:val="right" w:pos="9026"/>
      </w:tabs>
      <w:spacing w:after="0"/>
      <w:rPr>
        <w:rFonts w:ascii="Arial" w:eastAsia="Arial" w:hAnsi="Arial"/>
        <w:color w:val="A6A6A6"/>
        <w:sz w:val="20"/>
        <w:szCs w:val="20"/>
      </w:rPr>
    </w:pPr>
  </w:p>
  <w:p w14:paraId="3789FDE3" w14:textId="6960A41E" w:rsidR="00DD15F6" w:rsidRDefault="00DD15F6">
    <w:pPr>
      <w:spacing w:after="0"/>
      <w:rPr>
        <w:rFonts w:ascii="Arial" w:eastAsia="Arial" w:hAnsi="Arial"/>
        <w:color w:val="A6A6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B272" w14:textId="77777777" w:rsidR="00DD15F6" w:rsidRDefault="00DD15F6">
    <w:pPr>
      <w:tabs>
        <w:tab w:val="center" w:pos="4513"/>
        <w:tab w:val="right" w:pos="9026"/>
      </w:tabs>
      <w:spacing w:after="0"/>
      <w:rPr>
        <w:rFonts w:ascii="Arial" w:eastAsia="Arial" w:hAnsi="Arial"/>
        <w:color w:val="A6A6A6"/>
        <w:sz w:val="20"/>
        <w:szCs w:val="20"/>
      </w:rPr>
    </w:pPr>
  </w:p>
  <w:p w14:paraId="495A71EA" w14:textId="77777777" w:rsidR="00DD15F6" w:rsidRDefault="00FC73B3">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2DD1082F" w14:textId="77777777" w:rsidR="00DD15F6" w:rsidRDefault="00FC73B3">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4733B550" w14:textId="77777777" w:rsidR="00DD15F6" w:rsidRDefault="00FC73B3">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9A88A" w14:textId="77777777" w:rsidR="00FC73B3" w:rsidRDefault="00FC73B3">
      <w:pPr>
        <w:spacing w:after="0"/>
      </w:pPr>
      <w:r>
        <w:separator/>
      </w:r>
    </w:p>
  </w:footnote>
  <w:footnote w:type="continuationSeparator" w:id="0">
    <w:p w14:paraId="7BB5C9AD" w14:textId="77777777" w:rsidR="00FC73B3" w:rsidRDefault="00FC73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9B9E" w14:textId="77777777" w:rsidR="00DD15F6" w:rsidRDefault="00FC73B3">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2 (Staff Transfer)</w:t>
    </w:r>
  </w:p>
  <w:p w14:paraId="08C6FBC8" w14:textId="77777777" w:rsidR="00DD15F6" w:rsidRDefault="00FC73B3">
    <w:pPr>
      <w:pBdr>
        <w:top w:val="nil"/>
        <w:left w:val="nil"/>
        <w:bottom w:val="nil"/>
        <w:right w:val="nil"/>
        <w:between w:val="nil"/>
      </w:pBdr>
      <w:tabs>
        <w:tab w:val="center" w:pos="4513"/>
        <w:tab w:val="right" w:pos="9026"/>
      </w:tabs>
      <w:spacing w:after="0"/>
      <w:rPr>
        <w:rFonts w:eastAsia="Calibri" w:cs="Calibri"/>
        <w:color w:val="000000"/>
      </w:rPr>
    </w:pPr>
    <w:r>
      <w:rPr>
        <w:rFonts w:ascii="Arial" w:eastAsia="Arial" w:hAnsi="Arial"/>
        <w:color w:val="000000"/>
        <w:sz w:val="20"/>
        <w:szCs w:val="20"/>
      </w:rPr>
      <w:t xml:space="preserve">Call-Off Ref: </w:t>
    </w:r>
    <w:r>
      <w:rPr>
        <w:rFonts w:ascii="Quattrocento Sans" w:eastAsia="Quattrocento Sans" w:hAnsi="Quattrocento Sans" w:cs="Quattrocento Sans"/>
        <w:color w:val="181818"/>
        <w:sz w:val="21"/>
        <w:szCs w:val="21"/>
        <w:highlight w:val="white"/>
      </w:rPr>
      <w:t>CCFR22A02</w:t>
    </w:r>
  </w:p>
  <w:p w14:paraId="54B5D30A" w14:textId="77777777" w:rsidR="00DD15F6" w:rsidRDefault="00FC73B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2018 </w:t>
    </w:r>
  </w:p>
  <w:p w14:paraId="5E6E06FD" w14:textId="77777777" w:rsidR="00DD15F6" w:rsidRDefault="00DD15F6">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52A5" w14:textId="77777777" w:rsidR="00DD15F6" w:rsidRDefault="00DD15F6">
    <w:pPr>
      <w:pBdr>
        <w:top w:val="nil"/>
        <w:left w:val="nil"/>
        <w:bottom w:val="nil"/>
        <w:right w:val="nil"/>
        <w:between w:val="nil"/>
      </w:pBdr>
      <w:tabs>
        <w:tab w:val="center" w:pos="4513"/>
        <w:tab w:val="right" w:pos="9026"/>
      </w:tabs>
      <w:spacing w:after="0"/>
      <w:rPr>
        <w:rFonts w:eastAsia="Calibri" w:cs="Calibri"/>
        <w:color w:val="000000"/>
      </w:rPr>
    </w:pPr>
  </w:p>
  <w:p w14:paraId="3A4240EF" w14:textId="77777777" w:rsidR="00DD15F6" w:rsidRDefault="00DD15F6">
    <w:pPr>
      <w:pBdr>
        <w:top w:val="nil"/>
        <w:left w:val="nil"/>
        <w:bottom w:val="nil"/>
        <w:right w:val="nil"/>
        <w:between w:val="nil"/>
      </w:pBdr>
      <w:tabs>
        <w:tab w:val="center" w:pos="4513"/>
        <w:tab w:val="right" w:pos="9026"/>
      </w:tabs>
      <w:spacing w:after="0"/>
      <w:rPr>
        <w:rFonts w:eastAsia="Calibri" w:cs="Calibri"/>
        <w:color w:val="000000"/>
      </w:rPr>
    </w:pPr>
  </w:p>
  <w:p w14:paraId="1AC1E51F" w14:textId="77777777" w:rsidR="00DD15F6" w:rsidRDefault="00DD15F6">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773B"/>
    <w:multiLevelType w:val="multilevel"/>
    <w:tmpl w:val="EA902736"/>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1C8B3CDB"/>
    <w:multiLevelType w:val="multilevel"/>
    <w:tmpl w:val="BBA42BE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207E3998"/>
    <w:multiLevelType w:val="multilevel"/>
    <w:tmpl w:val="78C20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C237BD"/>
    <w:multiLevelType w:val="multilevel"/>
    <w:tmpl w:val="0722193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 w15:restartNumberingAfterBreak="0">
    <w:nsid w:val="2FC544CC"/>
    <w:multiLevelType w:val="multilevel"/>
    <w:tmpl w:val="F7B8FCB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30D46E8C"/>
    <w:multiLevelType w:val="multilevel"/>
    <w:tmpl w:val="5CE0594A"/>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6" w15:restartNumberingAfterBreak="0">
    <w:nsid w:val="385B3280"/>
    <w:multiLevelType w:val="multilevel"/>
    <w:tmpl w:val="4DBC79B4"/>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435E20D3"/>
    <w:multiLevelType w:val="multilevel"/>
    <w:tmpl w:val="E27E7EE8"/>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 w15:restartNumberingAfterBreak="0">
    <w:nsid w:val="441E7186"/>
    <w:multiLevelType w:val="multilevel"/>
    <w:tmpl w:val="C52470E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4BC74EEF"/>
    <w:multiLevelType w:val="multilevel"/>
    <w:tmpl w:val="FAE2759A"/>
    <w:lvl w:ilvl="0">
      <w:start w:val="1"/>
      <w:numFmt w:val="lowerLetter"/>
      <w:pStyle w:val="FFWDefinitionLevel1"/>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0" w15:restartNumberingAfterBreak="0">
    <w:nsid w:val="54C24BA8"/>
    <w:multiLevelType w:val="multilevel"/>
    <w:tmpl w:val="6E9CC71E"/>
    <w:lvl w:ilvl="0">
      <w:start w:val="1"/>
      <w:numFmt w:val="decimal"/>
      <w:pStyle w:val="Heading1"/>
      <w:lvlText w:val="%1."/>
      <w:lvlJc w:val="left"/>
      <w:pPr>
        <w:tabs>
          <w:tab w:val="num" w:pos="1004"/>
        </w:tabs>
        <w:ind w:left="1004" w:hanging="720"/>
      </w:pPr>
    </w:lvl>
    <w:lvl w:ilvl="1">
      <w:start w:val="1"/>
      <w:numFmt w:val="decimal"/>
      <w:pStyle w:val="Heading2"/>
      <w:lvlText w:val="%2."/>
      <w:lvlJc w:val="left"/>
      <w:pPr>
        <w:tabs>
          <w:tab w:val="num" w:pos="1724"/>
        </w:tabs>
        <w:ind w:left="1724" w:hanging="720"/>
      </w:pPr>
    </w:lvl>
    <w:lvl w:ilvl="2">
      <w:start w:val="1"/>
      <w:numFmt w:val="decimal"/>
      <w:pStyle w:val="Heading3"/>
      <w:lvlText w:val="%3."/>
      <w:lvlJc w:val="left"/>
      <w:pPr>
        <w:tabs>
          <w:tab w:val="num" w:pos="2444"/>
        </w:tabs>
        <w:ind w:left="2444" w:hanging="720"/>
      </w:pPr>
    </w:lvl>
    <w:lvl w:ilvl="3">
      <w:start w:val="1"/>
      <w:numFmt w:val="decimal"/>
      <w:pStyle w:val="Heading4"/>
      <w:lvlText w:val="%4."/>
      <w:lvlJc w:val="left"/>
      <w:pPr>
        <w:tabs>
          <w:tab w:val="num" w:pos="3164"/>
        </w:tabs>
        <w:ind w:left="3164" w:hanging="720"/>
      </w:pPr>
    </w:lvl>
    <w:lvl w:ilvl="4">
      <w:start w:val="1"/>
      <w:numFmt w:val="decimal"/>
      <w:pStyle w:val="Heading5"/>
      <w:lvlText w:val="%5."/>
      <w:lvlJc w:val="left"/>
      <w:pPr>
        <w:tabs>
          <w:tab w:val="num" w:pos="3884"/>
        </w:tabs>
        <w:ind w:left="3884" w:hanging="720"/>
      </w:pPr>
    </w:lvl>
    <w:lvl w:ilvl="5">
      <w:start w:val="1"/>
      <w:numFmt w:val="decimal"/>
      <w:pStyle w:val="ScheduleL6"/>
      <w:lvlText w:val="%6."/>
      <w:lvlJc w:val="left"/>
      <w:pPr>
        <w:tabs>
          <w:tab w:val="num" w:pos="4604"/>
        </w:tabs>
        <w:ind w:left="4604" w:hanging="720"/>
      </w:pPr>
    </w:lvl>
    <w:lvl w:ilvl="6">
      <w:start w:val="1"/>
      <w:numFmt w:val="decimal"/>
      <w:pStyle w:val="ScheduleL7"/>
      <w:lvlText w:val="%7."/>
      <w:lvlJc w:val="left"/>
      <w:pPr>
        <w:tabs>
          <w:tab w:val="num" w:pos="5324"/>
        </w:tabs>
        <w:ind w:left="5324" w:hanging="720"/>
      </w:pPr>
    </w:lvl>
    <w:lvl w:ilvl="7">
      <w:start w:val="1"/>
      <w:numFmt w:val="decimal"/>
      <w:pStyle w:val="ScheduleL8"/>
      <w:lvlText w:val="%8."/>
      <w:lvlJc w:val="left"/>
      <w:pPr>
        <w:tabs>
          <w:tab w:val="num" w:pos="6044"/>
        </w:tabs>
        <w:ind w:left="6044" w:hanging="720"/>
      </w:pPr>
    </w:lvl>
    <w:lvl w:ilvl="8">
      <w:start w:val="1"/>
      <w:numFmt w:val="decimal"/>
      <w:pStyle w:val="ScheduleL9"/>
      <w:lvlText w:val="%9."/>
      <w:lvlJc w:val="left"/>
      <w:pPr>
        <w:tabs>
          <w:tab w:val="num" w:pos="6764"/>
        </w:tabs>
        <w:ind w:left="6764" w:hanging="720"/>
      </w:pPr>
    </w:lvl>
  </w:abstractNum>
  <w:abstractNum w:abstractNumId="11" w15:restartNumberingAfterBreak="0">
    <w:nsid w:val="58D827A6"/>
    <w:multiLevelType w:val="multilevel"/>
    <w:tmpl w:val="6F14C962"/>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5C880867"/>
    <w:multiLevelType w:val="multilevel"/>
    <w:tmpl w:val="2E9EADE0"/>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322257"/>
    <w:multiLevelType w:val="multilevel"/>
    <w:tmpl w:val="5C443724"/>
    <w:lvl w:ilvl="0">
      <w:start w:val="1"/>
      <w:numFmt w:val="decimal"/>
      <w:pStyle w:val="StyleHeading5ServiceConformance4HeadingHeading5unusedLev"/>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4" w15:restartNumberingAfterBreak="0">
    <w:nsid w:val="6C391336"/>
    <w:multiLevelType w:val="multilevel"/>
    <w:tmpl w:val="89866224"/>
    <w:lvl w:ilvl="0">
      <w:start w:val="1"/>
      <w:numFmt w:val="decimal"/>
      <w:lvlText w:val="%1."/>
      <w:lvlJc w:val="left"/>
      <w:pPr>
        <w:ind w:left="720" w:hanging="720"/>
      </w:pPr>
      <w:rPr>
        <w:smallCaps w:val="0"/>
      </w:rPr>
    </w:lvl>
    <w:lvl w:ilvl="1">
      <w:start w:val="1"/>
      <w:numFmt w:val="decimal"/>
      <w:pStyle w:val="Heading7"/>
      <w:lvlText w:val="%1.%2"/>
      <w:lvlJc w:val="left"/>
      <w:pPr>
        <w:ind w:left="720" w:hanging="720"/>
      </w:pPr>
      <w:rPr>
        <w:smallCaps w:val="0"/>
      </w:rPr>
    </w:lvl>
    <w:lvl w:ilvl="2">
      <w:start w:val="1"/>
      <w:numFmt w:val="decimal"/>
      <w:pStyle w:val="Heading8"/>
      <w:lvlText w:val="%1.%2.%3"/>
      <w:lvlJc w:val="left"/>
      <w:pPr>
        <w:ind w:left="2214" w:hanging="1080"/>
      </w:pPr>
      <w:rPr>
        <w:smallCaps w:val="0"/>
      </w:rPr>
    </w:lvl>
    <w:lvl w:ilvl="3">
      <w:start w:val="1"/>
      <w:numFmt w:val="lowerLetter"/>
      <w:pStyle w:val="Heading9"/>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15:restartNumberingAfterBreak="0">
    <w:nsid w:val="75865F4E"/>
    <w:multiLevelType w:val="multilevel"/>
    <w:tmpl w:val="DE82DB1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16" w15:restartNumberingAfterBreak="0">
    <w:nsid w:val="7EA1445D"/>
    <w:multiLevelType w:val="multilevel"/>
    <w:tmpl w:val="EB385CF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4"/>
  </w:num>
  <w:num w:numId="2">
    <w:abstractNumId w:val="5"/>
  </w:num>
  <w:num w:numId="3">
    <w:abstractNumId w:val="16"/>
  </w:num>
  <w:num w:numId="4">
    <w:abstractNumId w:val="13"/>
  </w:num>
  <w:num w:numId="5">
    <w:abstractNumId w:val="11"/>
  </w:num>
  <w:num w:numId="6">
    <w:abstractNumId w:val="6"/>
  </w:num>
  <w:num w:numId="7">
    <w:abstractNumId w:val="7"/>
  </w:num>
  <w:num w:numId="8">
    <w:abstractNumId w:val="15"/>
  </w:num>
  <w:num w:numId="9">
    <w:abstractNumId w:val="2"/>
  </w:num>
  <w:num w:numId="10">
    <w:abstractNumId w:val="4"/>
  </w:num>
  <w:num w:numId="11">
    <w:abstractNumId w:val="12"/>
  </w:num>
  <w:num w:numId="12">
    <w:abstractNumId w:val="0"/>
  </w:num>
  <w:num w:numId="13">
    <w:abstractNumId w:val="9"/>
  </w:num>
  <w:num w:numId="14">
    <w:abstractNumId w:val="1"/>
  </w:num>
  <w:num w:numId="15">
    <w:abstractNumId w:val="8"/>
  </w:num>
  <w:num w:numId="16">
    <w:abstractNumId w:val="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F6"/>
    <w:rsid w:val="003562AB"/>
    <w:rsid w:val="00BB75AA"/>
    <w:rsid w:val="00DD15F6"/>
    <w:rsid w:val="00FC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BE80"/>
  <w15:docId w15:val="{A3C2A6AC-FBF7-4BF0-B33D-110009F8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numPr>
        <w:numId w:val="17"/>
      </w:numPr>
      <w:jc w:val="center"/>
      <w:outlineLvl w:val="0"/>
    </w:pPr>
    <w:rPr>
      <w:rFonts w:ascii="Trebuchet MS" w:eastAsia="Times New Roman" w:hAnsi="Trebuchet MS"/>
      <w:b/>
      <w:caps/>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pPr>
      <w:keepNext/>
      <w:keepLines/>
      <w:numPr>
        <w:ilvl w:val="1"/>
        <w:numId w:val="17"/>
      </w:numPr>
      <w:outlineLvl w:val="1"/>
    </w:pPr>
    <w:rPr>
      <w:rFonts w:ascii="Trebuchet MS" w:eastAsia="HGGothic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Lines/>
      <w:numPr>
        <w:ilvl w:val="2"/>
        <w:numId w:val="17"/>
      </w:numPr>
      <w:outlineLvl w:val="2"/>
    </w:pPr>
    <w:rPr>
      <w:rFonts w:ascii="Trebuchet MS" w:eastAsia="HGGothic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rFonts w:ascii="Arial" w:hAnsi="Arial"/>
      <w:b/>
      <w:kern w:val="28"/>
      <w:sz w:val="32"/>
      <w:szCs w:val="20"/>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GothicM" w:hAnsi="Trebuchet MS"/>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ascii="Trebuchet MS" w:eastAsia="HGGothicM" w:hAnsi="Trebuchet MS"/>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Gothic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Gothic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5"/>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6"/>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pPr>
    <w:rPr>
      <w:rFonts w:ascii="Arial" w:eastAsia="Times New Roman" w:hAnsi="Arial"/>
      <w:color w:val="FF0000"/>
      <w:lang w:eastAsia="en-US"/>
    </w:rPr>
  </w:style>
  <w:style w:type="paragraph" w:customStyle="1" w:styleId="ScheduleNumber1">
    <w:name w:val="Schedule Number 1"/>
    <w:pPr>
      <w:keepNext/>
      <w:keepLines/>
      <w:tabs>
        <w:tab w:val="num" w:pos="360"/>
      </w:tabs>
      <w:spacing w:before="320" w:line="320" w:lineRule="atLeast"/>
    </w:pPr>
    <w:rPr>
      <w:rFonts w:ascii="Arial" w:eastAsia="Times New Roman" w:hAnsi="Arial"/>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7"/>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7"/>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7"/>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7"/>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7"/>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8"/>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8"/>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clear" w:pos="1724"/>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tabs>
        <w:tab w:val="left" w:pos="993"/>
        <w:tab w:val="num" w:pos="1440"/>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cs="Times New Roman"/>
      <w:szCs w:val="20"/>
      <w:lang w:val="en-US" w:eastAsia="zh-CN"/>
    </w:rPr>
  </w:style>
  <w:style w:type="paragraph" w:customStyle="1" w:styleId="ScheduleL3">
    <w:name w:val="Schedule L3"/>
    <w:basedOn w:val="Normal"/>
    <w:pPr>
      <w:tabs>
        <w:tab w:val="num" w:pos="2160"/>
      </w:tabs>
      <w:overflowPunct/>
      <w:autoSpaceDE/>
      <w:autoSpaceDN/>
      <w:spacing w:before="120" w:after="120"/>
      <w:ind w:left="2160" w:hanging="807"/>
      <w:textAlignment w:val="auto"/>
      <w:outlineLvl w:val="2"/>
    </w:pPr>
    <w:rPr>
      <w:rFonts w:eastAsia="STZhongsong" w:cs="Times New Roman"/>
      <w:szCs w:val="20"/>
      <w:lang w:eastAsia="zh-CN"/>
    </w:rPr>
  </w:style>
  <w:style w:type="paragraph" w:customStyle="1" w:styleId="ScheduleL4">
    <w:name w:val="Schedule L4"/>
    <w:basedOn w:val="Normal"/>
    <w:pPr>
      <w:tabs>
        <w:tab w:val="num" w:pos="2880"/>
      </w:tabs>
      <w:overflowPunct/>
      <w:autoSpaceDE/>
      <w:autoSpaceDN/>
      <w:spacing w:before="120" w:after="120"/>
      <w:ind w:left="2880" w:hanging="720"/>
      <w:textAlignment w:val="auto"/>
      <w:outlineLvl w:val="3"/>
    </w:pPr>
    <w:rPr>
      <w:rFonts w:eastAsia="STZhongsong" w:cs="Times New Roman"/>
      <w:szCs w:val="20"/>
      <w:lang w:eastAsia="zh-CN"/>
    </w:rPr>
  </w:style>
  <w:style w:type="paragraph" w:customStyle="1" w:styleId="ScheduleL5">
    <w:name w:val="Schedule L5"/>
    <w:basedOn w:val="Normal"/>
    <w:pPr>
      <w:tabs>
        <w:tab w:val="num" w:pos="3600"/>
      </w:tabs>
      <w:overflowPunct/>
      <w:autoSpaceDE/>
      <w:autoSpaceDN/>
      <w:ind w:left="3600" w:hanging="720"/>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8"/>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8"/>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8"/>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8"/>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10"/>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10"/>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ilvl w:val="0"/>
        <w:numId w:val="4"/>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1"/>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11"/>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11"/>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11"/>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12"/>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12"/>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3"/>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tabs>
        <w:tab w:val="left" w:pos="142"/>
        <w:tab w:val="num" w:pos="720"/>
      </w:tabs>
      <w:overflowPunct/>
      <w:autoSpaceDE/>
      <w:autoSpaceDN/>
      <w:spacing w:before="120"/>
      <w:ind w:left="720" w:hanging="7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tabs>
        <w:tab w:val="left" w:pos="1985"/>
        <w:tab w:val="num" w:pos="2160"/>
      </w:tabs>
      <w:overflowPunct/>
      <w:autoSpaceDE/>
      <w:autoSpaceDN/>
      <w:spacing w:before="120" w:after="120"/>
      <w:ind w:left="2160" w:hanging="7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 w:val="num" w:pos="2160"/>
      </w:tabs>
      <w:ind w:left="2160" w:hanging="720"/>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num" w:pos="2160"/>
        <w:tab w:val="left" w:pos="3119"/>
      </w:tabs>
      <w:ind w:left="2160" w:hanging="720"/>
    </w:pPr>
  </w:style>
  <w:style w:type="paragraph" w:customStyle="1" w:styleId="GPSL6numbered">
    <w:name w:val="GPS L6 numbered"/>
    <w:basedOn w:val="GPSL5numberedclause"/>
    <w:uiPriority w:val="99"/>
    <w:qFormat/>
    <w:pPr>
      <w:numPr>
        <w:ilvl w:val="5"/>
      </w:numPr>
      <w:tabs>
        <w:tab w:val="num" w:pos="2160"/>
        <w:tab w:val="left" w:pos="3686"/>
      </w:tabs>
      <w:ind w:left="2160" w:hanging="720"/>
    </w:pPr>
  </w:style>
  <w:style w:type="character" w:customStyle="1" w:styleId="GPSL3numberedclauseChar">
    <w:name w:val="GPS L3 numbered clause Char"/>
    <w:link w:val="GPSL3numberedclause"/>
    <w:rPr>
      <w:rFonts w:eastAsia="Times New Roman" w:cs="Arial"/>
      <w:lang w:eastAsia="zh-CN"/>
    </w:rPr>
  </w:style>
  <w:style w:type="paragraph" w:customStyle="1" w:styleId="ColorfulShading-Accent11">
    <w:name w:val="Colorful Shading - Accent 11"/>
    <w:hidden/>
    <w:uiPriority w:val="99"/>
    <w:semiHidden/>
    <w:rPr>
      <w:lang w:eastAsia="en-US"/>
    </w:rPr>
  </w:style>
  <w:style w:type="paragraph" w:customStyle="1" w:styleId="GPSL2Numbered">
    <w:name w:val="GPS L2 Numbered"/>
    <w:basedOn w:val="GPSL2NumberedBoldHeading"/>
    <w:link w:val="GPSL2NumberedChar"/>
    <w:qFormat/>
    <w:pPr>
      <w:tabs>
        <w:tab w:val="clear" w:pos="1134"/>
        <w:tab w:val="clear" w:pos="1440"/>
      </w:tabs>
      <w:ind w:left="0" w:firstLine="0"/>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tabs>
        <w:tab w:val="clear" w:pos="720"/>
      </w:tabs>
      <w:ind w:left="0" w:firstLine="0"/>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tabs>
        <w:tab w:val="left" w:pos="1134"/>
        <w:tab w:val="num" w:pos="1440"/>
      </w:tabs>
      <w:overflowPunct/>
      <w:autoSpaceDE/>
      <w:autoSpaceDN/>
      <w:spacing w:before="120" w:after="120"/>
      <w:ind w:left="1440" w:hanging="720"/>
      <w:textAlignment w:val="auto"/>
    </w:pPr>
    <w:rPr>
      <w:b/>
      <w:lang w:eastAsia="zh-CN"/>
    </w:rPr>
  </w:style>
  <w:style w:type="paragraph" w:customStyle="1" w:styleId="GPsDefinition">
    <w:name w:val="GPs Definition"/>
    <w:basedOn w:val="Normal"/>
    <w:uiPriority w:val="99"/>
    <w:qFormat/>
    <w:pPr>
      <w:tabs>
        <w:tab w:val="left" w:pos="175"/>
        <w:tab w:val="num" w:pos="720"/>
      </w:tabs>
      <w:spacing w:after="120"/>
      <w:ind w:left="720" w:hanging="720"/>
    </w:pPr>
  </w:style>
  <w:style w:type="paragraph" w:customStyle="1" w:styleId="GPSDefinitionL2">
    <w:name w:val="GPS Definition L2"/>
    <w:basedOn w:val="GPsDefinition"/>
    <w:uiPriority w:val="99"/>
    <w:qFormat/>
    <w:pPr>
      <w:numPr>
        <w:ilvl w:val="1"/>
      </w:numPr>
      <w:tabs>
        <w:tab w:val="num" w:pos="720"/>
      </w:tabs>
      <w:ind w:left="720" w:hanging="720"/>
    </w:pPr>
  </w:style>
  <w:style w:type="paragraph" w:customStyle="1" w:styleId="GPSDefinitionL3">
    <w:name w:val="GPS Definition L3"/>
    <w:basedOn w:val="GPSDefinitionL2"/>
    <w:uiPriority w:val="99"/>
    <w:qFormat/>
    <w:pPr>
      <w:numPr>
        <w:ilvl w:val="2"/>
      </w:numPr>
      <w:tabs>
        <w:tab w:val="num" w:pos="720"/>
      </w:tabs>
      <w:ind w:left="720" w:hanging="720"/>
    </w:pPr>
  </w:style>
  <w:style w:type="paragraph" w:customStyle="1" w:styleId="GPSDefinitionL4">
    <w:name w:val="GPS Definition L4"/>
    <w:basedOn w:val="GPSDefinitionL3"/>
    <w:uiPriority w:val="99"/>
    <w:qFormat/>
    <w:pPr>
      <w:numPr>
        <w:ilvl w:val="3"/>
      </w:numPr>
      <w:tabs>
        <w:tab w:val="num" w:pos="720"/>
      </w:tabs>
      <w:ind w:left="720" w:hanging="720"/>
    </w:pPr>
  </w:style>
  <w:style w:type="character" w:customStyle="1" w:styleId="GPSL1CLAUSEHEADINGChar">
    <w:name w:val="GPS L1 CLAUSE HEADING Char"/>
    <w:link w:val="GPSL1CLAUSEHEADING"/>
    <w:uiPriority w:val="99"/>
    <w:rPr>
      <w:rFonts w:eastAsia="STZhongsong" w:cs="Arial"/>
      <w:b/>
      <w:caps/>
      <w:lang w:eastAsia="zh-CN"/>
    </w:rPr>
  </w:style>
  <w:style w:type="character" w:customStyle="1" w:styleId="GPSL2NumberedBoldHeadingChar">
    <w:name w:val="GPS L2 Numbered Bold Heading Char"/>
    <w:link w:val="GPSL2NumberedBoldHeading"/>
    <w:locked/>
    <w:rPr>
      <w:rFonts w:eastAsia="Times New Roman" w:cs="Arial"/>
      <w:b/>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lang w:eastAsia="en-US"/>
    </w:rPr>
  </w:style>
  <w:style w:type="paragraph" w:styleId="Revision">
    <w:name w:val="Revision"/>
    <w:hidden/>
    <w:uiPriority w:val="99"/>
    <w:semiHidden/>
    <w:rsid w:val="0062694F"/>
    <w:rPr>
      <w:rFonts w:eastAsia="Times New Roman" w:cs="Arial"/>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be+4C7i0IGvM52t6++2my113wg==">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5978</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Davies</dc:creator>
  <cp:lastModifiedBy>Nicole Hester</cp:lastModifiedBy>
  <cp:revision>3</cp:revision>
  <dcterms:created xsi:type="dcterms:W3CDTF">2022-05-12T14:05:00Z</dcterms:created>
  <dcterms:modified xsi:type="dcterms:W3CDTF">2022-05-12T14:59:00Z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ies>
</file>