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E6A3" w14:textId="77777777" w:rsidR="00EA3D50" w:rsidRDefault="009A25EB" w:rsidP="009A25EB">
      <w:pPr>
        <w:rPr>
          <w:rFonts w:ascii="Arial" w:eastAsia="Times New Roman" w:hAnsi="Arial" w:cs="Arial"/>
          <w:bCs/>
          <w:sz w:val="36"/>
          <w:szCs w:val="24"/>
          <w:lang w:val="en-US"/>
        </w:rPr>
      </w:pPr>
      <w:r>
        <w:rPr>
          <w:rFonts w:ascii="Arial" w:eastAsia="Times New Roman" w:hAnsi="Arial" w:cs="Arial"/>
          <w:bCs/>
          <w:sz w:val="36"/>
          <w:szCs w:val="24"/>
          <w:lang w:val="en-US"/>
        </w:rPr>
        <w:t>Service Specification</w:t>
      </w:r>
    </w:p>
    <w:p w14:paraId="5178E812" w14:textId="7FD1530B" w:rsidR="00B848CB" w:rsidRPr="009A25EB" w:rsidRDefault="00B848CB" w:rsidP="00B848CB">
      <w:pPr>
        <w:rPr>
          <w:color w:val="1F497D"/>
        </w:rPr>
      </w:pPr>
      <w:bookmarkStart w:id="0" w:name="_Hlk25224292"/>
      <w:bookmarkStart w:id="1" w:name="_GoBack"/>
      <w:r w:rsidRPr="00061F90">
        <w:rPr>
          <w:rFonts w:ascii="Arial" w:eastAsia="Times New Roman" w:hAnsi="Arial" w:cs="Arial"/>
          <w:bCs/>
          <w:sz w:val="36"/>
          <w:szCs w:val="24"/>
          <w:lang w:val="en-US"/>
        </w:rPr>
        <w:t xml:space="preserve">Alcohol and Drug </w:t>
      </w:r>
      <w:r>
        <w:rPr>
          <w:rFonts w:ascii="Arial" w:eastAsia="Times New Roman" w:hAnsi="Arial" w:cs="Arial"/>
          <w:bCs/>
          <w:sz w:val="36"/>
          <w:szCs w:val="24"/>
          <w:lang w:val="en-US"/>
        </w:rPr>
        <w:t>Targeted Prevention Resources fo</w:t>
      </w:r>
      <w:r w:rsidR="00C830AD">
        <w:rPr>
          <w:rFonts w:ascii="Arial" w:eastAsia="Times New Roman" w:hAnsi="Arial" w:cs="Arial"/>
          <w:bCs/>
          <w:sz w:val="36"/>
          <w:szCs w:val="24"/>
          <w:lang w:val="en-US"/>
        </w:rPr>
        <w:t>r use with</w:t>
      </w:r>
      <w:r>
        <w:rPr>
          <w:rFonts w:ascii="Arial" w:eastAsia="Times New Roman" w:hAnsi="Arial" w:cs="Arial"/>
          <w:bCs/>
          <w:sz w:val="36"/>
          <w:szCs w:val="24"/>
          <w:lang w:val="en-US"/>
        </w:rPr>
        <w:t xml:space="preserve"> young people in non-mainstream education settings </w:t>
      </w:r>
    </w:p>
    <w:bookmarkEnd w:id="0"/>
    <w:bookmarkEnd w:id="1"/>
    <w:p w14:paraId="69C0C93F" w14:textId="77777777" w:rsidR="00222AFC" w:rsidRPr="00A46F17" w:rsidRDefault="00222AF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Purpose</w:t>
      </w:r>
    </w:p>
    <w:p w14:paraId="23F563F5" w14:textId="71FE42AC" w:rsidR="00D16D7B" w:rsidRDefault="00460EF3"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461A9">
        <w:rPr>
          <w:rFonts w:ascii="Arial" w:hAnsi="Arial" w:cs="Arial"/>
          <w:bCs/>
          <w:sz w:val="24"/>
          <w:szCs w:val="24"/>
        </w:rPr>
        <w:t>Public Health England</w:t>
      </w:r>
      <w:r w:rsidR="00107571" w:rsidRPr="004461A9">
        <w:rPr>
          <w:rFonts w:ascii="Arial" w:hAnsi="Arial" w:cs="Arial"/>
          <w:bCs/>
          <w:sz w:val="24"/>
          <w:szCs w:val="24"/>
        </w:rPr>
        <w:t xml:space="preserve"> (PHE)</w:t>
      </w:r>
      <w:r w:rsidRPr="004461A9">
        <w:rPr>
          <w:rFonts w:ascii="Arial" w:hAnsi="Arial" w:cs="Arial"/>
          <w:bCs/>
          <w:sz w:val="24"/>
          <w:szCs w:val="24"/>
        </w:rPr>
        <w:t xml:space="preserve"> is seeking</w:t>
      </w:r>
      <w:r w:rsidR="004B32EA" w:rsidRPr="004461A9">
        <w:rPr>
          <w:rFonts w:ascii="Arial" w:hAnsi="Arial" w:cs="Arial"/>
          <w:bCs/>
          <w:sz w:val="24"/>
          <w:szCs w:val="24"/>
        </w:rPr>
        <w:t xml:space="preserve"> to commission</w:t>
      </w:r>
      <w:r w:rsidR="008D7F38">
        <w:rPr>
          <w:rFonts w:ascii="Arial" w:hAnsi="Arial" w:cs="Arial"/>
          <w:bCs/>
          <w:sz w:val="24"/>
          <w:szCs w:val="24"/>
        </w:rPr>
        <w:t xml:space="preserve"> an external partner to</w:t>
      </w:r>
      <w:r w:rsidR="00BE4D3A">
        <w:rPr>
          <w:rFonts w:ascii="Arial" w:hAnsi="Arial" w:cs="Arial"/>
          <w:bCs/>
          <w:sz w:val="24"/>
          <w:szCs w:val="24"/>
        </w:rPr>
        <w:t>:</w:t>
      </w:r>
    </w:p>
    <w:p w14:paraId="24078903" w14:textId="582DDA76" w:rsidR="00EA3D50" w:rsidRDefault="009C26EA" w:rsidP="00EA3D50">
      <w:pPr>
        <w:pStyle w:val="ListParagraph"/>
        <w:numPr>
          <w:ilvl w:val="0"/>
          <w:numId w:val="26"/>
        </w:numPr>
        <w:spacing w:after="0" w:line="240" w:lineRule="auto"/>
        <w:rPr>
          <w:rFonts w:ascii="Arial" w:hAnsi="Arial" w:cs="Arial"/>
          <w:bCs/>
          <w:sz w:val="24"/>
          <w:szCs w:val="24"/>
        </w:rPr>
      </w:pPr>
      <w:r>
        <w:rPr>
          <w:rFonts w:ascii="Arial" w:hAnsi="Arial" w:cs="Arial"/>
          <w:bCs/>
          <w:sz w:val="24"/>
          <w:szCs w:val="24"/>
        </w:rPr>
        <w:t xml:space="preserve">Assess </w:t>
      </w:r>
      <w:r w:rsidR="00B848CB">
        <w:rPr>
          <w:rFonts w:ascii="Arial" w:hAnsi="Arial" w:cs="Arial"/>
          <w:bCs/>
          <w:sz w:val="24"/>
          <w:szCs w:val="24"/>
        </w:rPr>
        <w:t xml:space="preserve">the </w:t>
      </w:r>
      <w:r>
        <w:rPr>
          <w:rFonts w:ascii="Arial" w:hAnsi="Arial" w:cs="Arial"/>
          <w:bCs/>
          <w:sz w:val="24"/>
          <w:szCs w:val="24"/>
        </w:rPr>
        <w:t xml:space="preserve">requirements for a suite of tools to be used with young people outside of mainstream education settings such as in </w:t>
      </w:r>
      <w:r w:rsidRPr="009C26EA">
        <w:rPr>
          <w:rFonts w:ascii="Arial" w:hAnsi="Arial" w:cs="Arial"/>
          <w:bCs/>
          <w:sz w:val="24"/>
          <w:szCs w:val="24"/>
        </w:rPr>
        <w:t>Pupil Referral Units (PRU), Youth Offending Teams (YOT) and Children’s Social Care</w:t>
      </w:r>
      <w:r>
        <w:rPr>
          <w:rFonts w:ascii="Arial" w:hAnsi="Arial" w:cs="Arial"/>
          <w:bCs/>
          <w:sz w:val="24"/>
          <w:szCs w:val="24"/>
        </w:rPr>
        <w:t xml:space="preserve">, that will encourage and aid the delivery of </w:t>
      </w:r>
      <w:r w:rsidR="00B848CB">
        <w:rPr>
          <w:rFonts w:ascii="Arial" w:hAnsi="Arial" w:cs="Arial"/>
          <w:bCs/>
          <w:sz w:val="24"/>
          <w:szCs w:val="24"/>
        </w:rPr>
        <w:t>d</w:t>
      </w:r>
      <w:r w:rsidRPr="009C26EA">
        <w:rPr>
          <w:rFonts w:ascii="Arial" w:hAnsi="Arial" w:cs="Arial"/>
          <w:bCs/>
          <w:sz w:val="24"/>
          <w:szCs w:val="24"/>
        </w:rPr>
        <w:t xml:space="preserve">rug </w:t>
      </w:r>
      <w:r w:rsidR="00B848CB">
        <w:rPr>
          <w:rFonts w:ascii="Arial" w:hAnsi="Arial" w:cs="Arial"/>
          <w:bCs/>
          <w:sz w:val="24"/>
          <w:szCs w:val="24"/>
        </w:rPr>
        <w:t>and a</w:t>
      </w:r>
      <w:r w:rsidRPr="009C26EA">
        <w:rPr>
          <w:rFonts w:ascii="Arial" w:hAnsi="Arial" w:cs="Arial"/>
          <w:bCs/>
          <w:sz w:val="24"/>
          <w:szCs w:val="24"/>
        </w:rPr>
        <w:t xml:space="preserve">lcohol </w:t>
      </w:r>
      <w:r w:rsidR="00B848CB">
        <w:rPr>
          <w:rFonts w:ascii="Arial" w:hAnsi="Arial" w:cs="Arial"/>
          <w:bCs/>
          <w:sz w:val="24"/>
          <w:szCs w:val="24"/>
        </w:rPr>
        <w:t>targeted p</w:t>
      </w:r>
      <w:r w:rsidRPr="009C26EA">
        <w:rPr>
          <w:rFonts w:ascii="Arial" w:hAnsi="Arial" w:cs="Arial"/>
          <w:bCs/>
          <w:sz w:val="24"/>
          <w:szCs w:val="24"/>
        </w:rPr>
        <w:t>revention</w:t>
      </w:r>
      <w:r>
        <w:rPr>
          <w:rFonts w:ascii="Arial" w:hAnsi="Arial" w:cs="Arial"/>
          <w:bCs/>
          <w:sz w:val="24"/>
          <w:szCs w:val="24"/>
        </w:rPr>
        <w:t xml:space="preserve"> interventions, </w:t>
      </w:r>
      <w:r w:rsidR="00B848CB">
        <w:rPr>
          <w:rFonts w:ascii="Arial" w:hAnsi="Arial" w:cs="Arial"/>
          <w:bCs/>
          <w:sz w:val="24"/>
          <w:szCs w:val="24"/>
        </w:rPr>
        <w:t>consistent</w:t>
      </w:r>
      <w:r>
        <w:rPr>
          <w:rFonts w:ascii="Arial" w:hAnsi="Arial" w:cs="Arial"/>
          <w:bCs/>
          <w:sz w:val="24"/>
          <w:szCs w:val="24"/>
        </w:rPr>
        <w:t xml:space="preserve"> with the evidence base.</w:t>
      </w:r>
    </w:p>
    <w:p w14:paraId="5EEF43A9" w14:textId="77777777" w:rsidR="00EA3D50" w:rsidRDefault="00EA3D50" w:rsidP="00EA3D50">
      <w:pPr>
        <w:pStyle w:val="ListParagraph"/>
        <w:spacing w:after="0" w:line="240" w:lineRule="auto"/>
        <w:rPr>
          <w:rFonts w:ascii="Arial" w:hAnsi="Arial" w:cs="Arial"/>
          <w:bCs/>
          <w:sz w:val="24"/>
          <w:szCs w:val="24"/>
        </w:rPr>
      </w:pPr>
    </w:p>
    <w:p w14:paraId="58DA1D67" w14:textId="398085CF" w:rsidR="00B848CB" w:rsidRDefault="009C26EA" w:rsidP="00EA3D50">
      <w:pPr>
        <w:pStyle w:val="ListParagraph"/>
        <w:widowControl w:val="0"/>
        <w:numPr>
          <w:ilvl w:val="0"/>
          <w:numId w:val="2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Develop </w:t>
      </w:r>
      <w:r w:rsidR="00B848CB">
        <w:rPr>
          <w:rFonts w:ascii="Arial" w:hAnsi="Arial" w:cs="Arial"/>
          <w:bCs/>
          <w:sz w:val="24"/>
          <w:szCs w:val="24"/>
        </w:rPr>
        <w:t xml:space="preserve">and consult on </w:t>
      </w:r>
      <w:r>
        <w:rPr>
          <w:rFonts w:ascii="Arial" w:hAnsi="Arial" w:cs="Arial"/>
          <w:bCs/>
          <w:sz w:val="24"/>
          <w:szCs w:val="24"/>
        </w:rPr>
        <w:t xml:space="preserve">a suite of suitable tools </w:t>
      </w:r>
      <w:r w:rsidR="00B848CB">
        <w:rPr>
          <w:rFonts w:ascii="Arial" w:hAnsi="Arial" w:cs="Arial"/>
          <w:bCs/>
          <w:sz w:val="24"/>
          <w:szCs w:val="24"/>
        </w:rPr>
        <w:t>to be used by</w:t>
      </w:r>
      <w:r>
        <w:rPr>
          <w:rFonts w:ascii="Arial" w:hAnsi="Arial" w:cs="Arial"/>
          <w:bCs/>
          <w:sz w:val="24"/>
          <w:szCs w:val="24"/>
        </w:rPr>
        <w:t xml:space="preserve"> practitioners in these settings</w:t>
      </w:r>
      <w:r w:rsidR="00B848CB">
        <w:rPr>
          <w:rFonts w:ascii="Arial" w:hAnsi="Arial" w:cs="Arial"/>
          <w:bCs/>
          <w:sz w:val="24"/>
          <w:szCs w:val="24"/>
        </w:rPr>
        <w:t xml:space="preserve"> and report findings and recommendations to PHE.</w:t>
      </w:r>
    </w:p>
    <w:p w14:paraId="42A6CCCA" w14:textId="77777777" w:rsidR="00B848CB" w:rsidRPr="00B848CB" w:rsidRDefault="00B848CB" w:rsidP="00B848CB">
      <w:pPr>
        <w:pStyle w:val="ListParagraph"/>
        <w:rPr>
          <w:rFonts w:ascii="Arial" w:hAnsi="Arial" w:cs="Arial"/>
          <w:bCs/>
          <w:sz w:val="24"/>
          <w:szCs w:val="24"/>
        </w:rPr>
      </w:pPr>
    </w:p>
    <w:p w14:paraId="32BCFA3D" w14:textId="1D51884F" w:rsidR="00EA3D50" w:rsidRPr="00EA3D50" w:rsidRDefault="00B848CB" w:rsidP="00EA3D50">
      <w:pPr>
        <w:pStyle w:val="ListParagraph"/>
        <w:widowControl w:val="0"/>
        <w:numPr>
          <w:ilvl w:val="0"/>
          <w:numId w:val="2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Produce a final suite of resources as agreed with PHE following the report for publication/dissemination.  </w:t>
      </w:r>
    </w:p>
    <w:p w14:paraId="7091612D" w14:textId="14CC0512" w:rsidR="00B2480C" w:rsidRPr="00A46F17" w:rsidRDefault="00B2480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Background</w:t>
      </w:r>
    </w:p>
    <w:p w14:paraId="1449ECF1" w14:textId="77777777" w:rsidR="00F73C4B" w:rsidRPr="00A46F17"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sz w:val="24"/>
          <w:szCs w:val="24"/>
        </w:rPr>
        <w:t xml:space="preserve">Public Health England (PHE) is the expert national public health agency which fulfils the Secretary of State for Health’s statutory duty to protect health and address </w:t>
      </w:r>
      <w:proofErr w:type="gramStart"/>
      <w:r w:rsidRPr="00A46F17">
        <w:rPr>
          <w:rFonts w:ascii="Arial" w:hAnsi="Arial" w:cs="Arial"/>
          <w:sz w:val="24"/>
          <w:szCs w:val="24"/>
        </w:rPr>
        <w:t>inequalities, and</w:t>
      </w:r>
      <w:proofErr w:type="gramEnd"/>
      <w:r w:rsidRPr="00A46F17">
        <w:rPr>
          <w:rFonts w:ascii="Arial" w:hAnsi="Arial" w:cs="Arial"/>
          <w:sz w:val="24"/>
          <w:szCs w:val="24"/>
        </w:rPr>
        <w:t xml:space="preserve"> executes his power to promote the health and wellbeing of the nation.</w:t>
      </w:r>
    </w:p>
    <w:p w14:paraId="73139B1C" w14:textId="2243E74D" w:rsidR="00F73C4B"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A46F17">
        <w:rPr>
          <w:rFonts w:ascii="Arial" w:hAnsi="Arial" w:cs="Arial"/>
          <w:sz w:val="24"/>
          <w:szCs w:val="24"/>
        </w:rPr>
        <w:t xml:space="preserve">PHE supports local authorities, and through them clinical commissioning groups, by providing evidence and knowledge on local health needs, alongside practical and professional advice on what to do to improve health, and by </w:t>
      </w:r>
      <w:proofErr w:type="gramStart"/>
      <w:r w:rsidRPr="00A46F17">
        <w:rPr>
          <w:rFonts w:ascii="Arial" w:hAnsi="Arial" w:cs="Arial"/>
          <w:sz w:val="24"/>
          <w:szCs w:val="24"/>
        </w:rPr>
        <w:t>taking action</w:t>
      </w:r>
      <w:proofErr w:type="gramEnd"/>
      <w:r w:rsidRPr="00A46F17">
        <w:rPr>
          <w:rFonts w:ascii="Arial" w:hAnsi="Arial" w:cs="Arial"/>
          <w:sz w:val="24"/>
          <w:szCs w:val="24"/>
        </w:rPr>
        <w:t xml:space="preserve"> nationally where it makes sense to do so.</w:t>
      </w:r>
    </w:p>
    <w:p w14:paraId="40FE5456" w14:textId="47BDF323" w:rsidR="00C830AD" w:rsidRDefault="00C830AD" w:rsidP="00FB27E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C830AD">
        <w:rPr>
          <w:rFonts w:ascii="Arial" w:hAnsi="Arial" w:cs="Arial"/>
          <w:sz w:val="24"/>
          <w:szCs w:val="24"/>
        </w:rPr>
        <w:t>Education and information about the harms of drug and alcohol abuse, and the benefits of not using are important in school and non-school settings for vulnerable young people.</w:t>
      </w:r>
      <w:r>
        <w:rPr>
          <w:rFonts w:ascii="Arial" w:hAnsi="Arial" w:cs="Arial"/>
          <w:sz w:val="24"/>
          <w:szCs w:val="24"/>
        </w:rPr>
        <w:t xml:space="preserve"> </w:t>
      </w:r>
      <w:r w:rsidRPr="00C830AD">
        <w:rPr>
          <w:rFonts w:ascii="Arial" w:hAnsi="Arial" w:cs="Arial"/>
          <w:sz w:val="24"/>
          <w:szCs w:val="24"/>
        </w:rPr>
        <w:t xml:space="preserve">Early messages, delivered appropriately, will mean fewer young people developing issues that then need to be tackled </w:t>
      </w:r>
      <w:proofErr w:type="gramStart"/>
      <w:r w:rsidRPr="00C830AD">
        <w:rPr>
          <w:rFonts w:ascii="Arial" w:hAnsi="Arial" w:cs="Arial"/>
          <w:sz w:val="24"/>
          <w:szCs w:val="24"/>
        </w:rPr>
        <w:t>later on</w:t>
      </w:r>
      <w:proofErr w:type="gramEnd"/>
      <w:r w:rsidRPr="00C830AD">
        <w:rPr>
          <w:rFonts w:ascii="Arial" w:hAnsi="Arial" w:cs="Arial"/>
          <w:sz w:val="24"/>
          <w:szCs w:val="24"/>
        </w:rPr>
        <w:t>.</w:t>
      </w:r>
      <w:r>
        <w:rPr>
          <w:rFonts w:ascii="Arial" w:hAnsi="Arial" w:cs="Arial"/>
          <w:sz w:val="24"/>
          <w:szCs w:val="24"/>
        </w:rPr>
        <w:t xml:space="preserve"> PHE previously commissioned the development of resources for schools, including lesson plans. However, many young people at the greatest risk of developing substance misuse issues are not in mainstream education. </w:t>
      </w:r>
      <w:r w:rsidR="00FB27EB">
        <w:rPr>
          <w:rFonts w:ascii="Arial" w:hAnsi="Arial" w:cs="Arial"/>
          <w:sz w:val="24"/>
          <w:szCs w:val="24"/>
        </w:rPr>
        <w:t xml:space="preserve">This work is therefore being commissioned to establish requirements for and to produce resources that will best help those who work with these young people to deliver quality prevention interventions. </w:t>
      </w:r>
    </w:p>
    <w:p w14:paraId="60E7C246" w14:textId="6BE055A0" w:rsidR="008F12DC" w:rsidRPr="008F12DC" w:rsidRDefault="008D7F38"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
          <w:bCs/>
          <w:sz w:val="24"/>
          <w:szCs w:val="24"/>
        </w:rPr>
        <w:t>Outline of Work</w:t>
      </w:r>
    </w:p>
    <w:p w14:paraId="3C92F513" w14:textId="3BB920B4" w:rsidR="00FB27EB" w:rsidRPr="00325522" w:rsidRDefault="00FB27EB" w:rsidP="00FB27EB">
      <w:pPr>
        <w:pStyle w:val="ListParagraph"/>
        <w:widowControl w:val="0"/>
        <w:numPr>
          <w:ilvl w:val="0"/>
          <w:numId w:val="3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DA26E2">
        <w:rPr>
          <w:rFonts w:ascii="Arial" w:hAnsi="Arial" w:cs="Arial"/>
          <w:bCs/>
          <w:sz w:val="24"/>
          <w:szCs w:val="24"/>
        </w:rPr>
        <w:lastRenderedPageBreak/>
        <w:t>Research</w:t>
      </w:r>
      <w:r>
        <w:rPr>
          <w:rFonts w:ascii="Arial" w:hAnsi="Arial" w:cs="Arial"/>
          <w:bCs/>
          <w:sz w:val="24"/>
          <w:szCs w:val="24"/>
        </w:rPr>
        <w:t xml:space="preserve"> and assess</w:t>
      </w:r>
      <w:r w:rsidRPr="00DA26E2">
        <w:rPr>
          <w:rFonts w:ascii="Arial" w:hAnsi="Arial" w:cs="Arial"/>
          <w:bCs/>
          <w:sz w:val="24"/>
          <w:szCs w:val="24"/>
        </w:rPr>
        <w:t>;</w:t>
      </w:r>
    </w:p>
    <w:p w14:paraId="6CD0BA1C" w14:textId="77777777" w:rsidR="00FB27EB" w:rsidRPr="00DA26E2" w:rsidRDefault="00FB27EB" w:rsidP="00FB27EB">
      <w:pPr>
        <w:pStyle w:val="ListParagraph"/>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DA26E2">
        <w:rPr>
          <w:rFonts w:ascii="Arial" w:hAnsi="Arial" w:cs="Arial"/>
          <w:bCs/>
          <w:sz w:val="24"/>
          <w:szCs w:val="24"/>
        </w:rPr>
        <w:t>Conduct an information gathering exercise to establish current practice and needs in relation to drug and alcohol prevention activity of those who work with vulnerable children</w:t>
      </w:r>
      <w:r>
        <w:rPr>
          <w:rFonts w:ascii="Arial" w:hAnsi="Arial" w:cs="Arial"/>
          <w:bCs/>
          <w:sz w:val="24"/>
          <w:szCs w:val="24"/>
        </w:rPr>
        <w:t>;</w:t>
      </w:r>
    </w:p>
    <w:p w14:paraId="1E80A6B4" w14:textId="08AC0B70" w:rsidR="00FB27EB" w:rsidRPr="00DA26E2" w:rsidRDefault="00FB27EB" w:rsidP="00FB27EB">
      <w:pPr>
        <w:pStyle w:val="ListParagraph"/>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DA26E2">
        <w:rPr>
          <w:rFonts w:ascii="Arial" w:hAnsi="Arial" w:cs="Arial"/>
          <w:bCs/>
          <w:sz w:val="24"/>
          <w:szCs w:val="24"/>
        </w:rPr>
        <w:t>Carry out desktop research on suitable prevention activity with at-risk young people</w:t>
      </w:r>
      <w:r w:rsidR="00292874">
        <w:rPr>
          <w:rFonts w:ascii="Arial" w:hAnsi="Arial" w:cs="Arial"/>
          <w:bCs/>
          <w:sz w:val="24"/>
          <w:szCs w:val="24"/>
        </w:rPr>
        <w:t>.</w:t>
      </w:r>
    </w:p>
    <w:p w14:paraId="48881BD6" w14:textId="77777777" w:rsidR="00FB27EB" w:rsidRDefault="00FB27EB" w:rsidP="00FB27EB">
      <w:pPr>
        <w:pStyle w:val="ListParagraph"/>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p>
    <w:p w14:paraId="28A0AF6B" w14:textId="0C1C0F63" w:rsidR="00FB27EB" w:rsidRPr="00DA26E2" w:rsidRDefault="00FB27EB" w:rsidP="00FB27EB">
      <w:pPr>
        <w:pStyle w:val="ListParagraph"/>
        <w:widowControl w:val="0"/>
        <w:numPr>
          <w:ilvl w:val="0"/>
          <w:numId w:val="3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Develop </w:t>
      </w:r>
      <w:r w:rsidR="0062097B">
        <w:rPr>
          <w:rFonts w:ascii="Arial" w:hAnsi="Arial" w:cs="Arial"/>
          <w:bCs/>
          <w:sz w:val="24"/>
          <w:szCs w:val="24"/>
        </w:rPr>
        <w:t>and consult</w:t>
      </w:r>
      <w:r w:rsidRPr="00DA26E2">
        <w:rPr>
          <w:rFonts w:ascii="Arial" w:hAnsi="Arial" w:cs="Arial"/>
          <w:bCs/>
          <w:sz w:val="24"/>
          <w:szCs w:val="24"/>
        </w:rPr>
        <w:t xml:space="preserve">; </w:t>
      </w:r>
    </w:p>
    <w:p w14:paraId="37766B12" w14:textId="77777777" w:rsidR="00FB27EB" w:rsidRPr="00DA26E2" w:rsidRDefault="00FB27EB" w:rsidP="00FB27EB">
      <w:pPr>
        <w:pStyle w:val="ListParagraph"/>
        <w:widowControl w:val="0"/>
        <w:numPr>
          <w:ilvl w:val="0"/>
          <w:numId w:val="34"/>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DA26E2">
        <w:rPr>
          <w:rFonts w:ascii="Arial" w:hAnsi="Arial" w:cs="Arial"/>
          <w:bCs/>
          <w:sz w:val="24"/>
          <w:szCs w:val="24"/>
        </w:rPr>
        <w:t>Develop a selection of tools that can be used to support the delivery of suitable interventions;</w:t>
      </w:r>
    </w:p>
    <w:p w14:paraId="54F66B27" w14:textId="77777777" w:rsidR="00FB27EB" w:rsidRDefault="00FB27EB" w:rsidP="00FB27EB">
      <w:pPr>
        <w:pStyle w:val="ListParagraph"/>
        <w:widowControl w:val="0"/>
        <w:numPr>
          <w:ilvl w:val="0"/>
          <w:numId w:val="34"/>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DA26E2">
        <w:rPr>
          <w:rFonts w:ascii="Arial" w:hAnsi="Arial" w:cs="Arial"/>
          <w:bCs/>
          <w:sz w:val="24"/>
          <w:szCs w:val="24"/>
        </w:rPr>
        <w:t>Consult on these tools with people working in appropriate settings/ target audience;</w:t>
      </w:r>
    </w:p>
    <w:p w14:paraId="0C799A4D" w14:textId="7955D329" w:rsidR="00FB27EB" w:rsidRDefault="0062097B" w:rsidP="00FB27EB">
      <w:pPr>
        <w:pStyle w:val="ListParagraph"/>
        <w:widowControl w:val="0"/>
        <w:numPr>
          <w:ilvl w:val="0"/>
          <w:numId w:val="34"/>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R</w:t>
      </w:r>
      <w:r w:rsidRPr="005E28B8">
        <w:rPr>
          <w:rFonts w:ascii="Arial" w:hAnsi="Arial" w:cs="Arial"/>
          <w:bCs/>
          <w:sz w:val="24"/>
          <w:szCs w:val="24"/>
        </w:rPr>
        <w:t xml:space="preserve">eport </w:t>
      </w:r>
      <w:r>
        <w:rPr>
          <w:rFonts w:ascii="Arial" w:hAnsi="Arial" w:cs="Arial"/>
          <w:bCs/>
          <w:sz w:val="24"/>
          <w:szCs w:val="24"/>
        </w:rPr>
        <w:t>findings of consultation and make recommendations to PHE on resource requirements</w:t>
      </w:r>
      <w:r w:rsidR="00292874">
        <w:rPr>
          <w:rFonts w:ascii="Arial" w:hAnsi="Arial" w:cs="Arial"/>
          <w:bCs/>
          <w:sz w:val="24"/>
          <w:szCs w:val="24"/>
        </w:rPr>
        <w:t>.</w:t>
      </w:r>
    </w:p>
    <w:p w14:paraId="1B811755" w14:textId="77777777" w:rsidR="0062097B" w:rsidRPr="0062097B" w:rsidRDefault="0062097B" w:rsidP="0062097B">
      <w:pPr>
        <w:pStyle w:val="ListParagraph"/>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360"/>
        <w:rPr>
          <w:rFonts w:ascii="Arial" w:eastAsiaTheme="minorHAnsi" w:hAnsi="Arial" w:cs="Arial"/>
          <w:color w:val="000000"/>
          <w:sz w:val="24"/>
          <w:szCs w:val="24"/>
        </w:rPr>
      </w:pPr>
    </w:p>
    <w:p w14:paraId="44853F05" w14:textId="2152A62E" w:rsidR="0062097B" w:rsidRPr="0062097B" w:rsidRDefault="0062097B" w:rsidP="00FB27EB">
      <w:pPr>
        <w:pStyle w:val="ListParagraph"/>
        <w:widowControl w:val="0"/>
        <w:numPr>
          <w:ilvl w:val="0"/>
          <w:numId w:val="3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Pr>
          <w:rFonts w:ascii="Arial" w:hAnsi="Arial" w:cs="Arial"/>
          <w:bCs/>
          <w:sz w:val="24"/>
          <w:szCs w:val="24"/>
        </w:rPr>
        <w:t>Adapt and disseminate</w:t>
      </w:r>
    </w:p>
    <w:p w14:paraId="30213B5D" w14:textId="2526AB4A" w:rsidR="00FB27EB" w:rsidRPr="0062097B" w:rsidRDefault="0062097B" w:rsidP="0062097B">
      <w:pPr>
        <w:pStyle w:val="ListParagraph"/>
        <w:widowControl w:val="0"/>
        <w:numPr>
          <w:ilvl w:val="0"/>
          <w:numId w:val="34"/>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Produce a final suite of resources as agreed with PHE following the report for publication/dissemination</w:t>
      </w:r>
      <w:r w:rsidR="00FB27EB" w:rsidRPr="005E28B8">
        <w:rPr>
          <w:rFonts w:ascii="Arial" w:hAnsi="Arial" w:cs="Arial"/>
          <w:bCs/>
          <w:sz w:val="24"/>
          <w:szCs w:val="24"/>
        </w:rPr>
        <w:t>.</w:t>
      </w:r>
    </w:p>
    <w:p w14:paraId="4159ED6A" w14:textId="2FD8CAAA" w:rsidR="00E44D32" w:rsidRDefault="00F66C4E"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Deliverables</w:t>
      </w:r>
    </w:p>
    <w:p w14:paraId="3ECE05D8" w14:textId="1E6C75F3" w:rsidR="004F72EF" w:rsidRDefault="008D7F38" w:rsidP="00570F79">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List </w:t>
      </w:r>
      <w:r w:rsidR="0062097B">
        <w:rPr>
          <w:rFonts w:ascii="Arial" w:hAnsi="Arial" w:cs="Arial"/>
          <w:bCs/>
          <w:sz w:val="24"/>
          <w:szCs w:val="24"/>
        </w:rPr>
        <w:t xml:space="preserve">of </w:t>
      </w:r>
      <w:r>
        <w:rPr>
          <w:rFonts w:ascii="Arial" w:hAnsi="Arial" w:cs="Arial"/>
          <w:bCs/>
          <w:sz w:val="24"/>
          <w:szCs w:val="24"/>
        </w:rPr>
        <w:t>deliverables</w:t>
      </w:r>
      <w:r w:rsidR="00570F79">
        <w:rPr>
          <w:rFonts w:ascii="Arial" w:hAnsi="Arial" w:cs="Arial"/>
          <w:bCs/>
          <w:sz w:val="24"/>
          <w:szCs w:val="24"/>
        </w:rPr>
        <w:t xml:space="preserve">: </w:t>
      </w:r>
    </w:p>
    <w:tbl>
      <w:tblPr>
        <w:tblStyle w:val="TableGrid"/>
        <w:tblW w:w="0" w:type="auto"/>
        <w:tblLook w:val="04A0" w:firstRow="1" w:lastRow="0" w:firstColumn="1" w:lastColumn="0" w:noHBand="0" w:noVBand="1"/>
      </w:tblPr>
      <w:tblGrid>
        <w:gridCol w:w="7144"/>
        <w:gridCol w:w="2038"/>
      </w:tblGrid>
      <w:tr w:rsidR="0062097B" w14:paraId="3E5A3F7F" w14:textId="77777777" w:rsidTr="00AE170D">
        <w:tc>
          <w:tcPr>
            <w:tcW w:w="7196" w:type="dxa"/>
          </w:tcPr>
          <w:p w14:paraId="4CF3A916" w14:textId="77777777"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790D7D">
              <w:rPr>
                <w:rFonts w:ascii="Arial" w:hAnsi="Arial" w:cs="Arial"/>
                <w:b/>
                <w:bCs/>
                <w:sz w:val="24"/>
                <w:szCs w:val="24"/>
              </w:rPr>
              <w:t>Activity/ Key deliverables</w:t>
            </w:r>
          </w:p>
        </w:tc>
        <w:tc>
          <w:tcPr>
            <w:tcW w:w="2046" w:type="dxa"/>
          </w:tcPr>
          <w:p w14:paraId="3AAA9D1D" w14:textId="77777777"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 xml:space="preserve">Date </w:t>
            </w:r>
          </w:p>
        </w:tc>
      </w:tr>
      <w:tr w:rsidR="0062097B" w14:paraId="5E70AD5E" w14:textId="77777777" w:rsidTr="00AE170D">
        <w:tc>
          <w:tcPr>
            <w:tcW w:w="7196" w:type="dxa"/>
          </w:tcPr>
          <w:p w14:paraId="2742BC70" w14:textId="77777777"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790D7D">
              <w:rPr>
                <w:rFonts w:ascii="Arial" w:hAnsi="Arial" w:cs="Arial"/>
                <w:sz w:val="24"/>
                <w:szCs w:val="24"/>
              </w:rPr>
              <w:t>Conduct an information gathering exercise to establish current practice and needs in relation to drug and alcohol prevention activity of those who work with vulnerable children in settings outside of mainstream education, such as pupil referral units (PRU), Youth Offending Teams (YOT) and children’s social care</w:t>
            </w:r>
          </w:p>
        </w:tc>
        <w:tc>
          <w:tcPr>
            <w:tcW w:w="2046" w:type="dxa"/>
          </w:tcPr>
          <w:p w14:paraId="4643CB3C" w14:textId="4BA08BCE" w:rsidR="0062097B" w:rsidRDefault="00E51D0C"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September</w:t>
            </w:r>
            <w:r w:rsidR="0062097B" w:rsidRPr="00790D7D">
              <w:rPr>
                <w:rFonts w:ascii="Arial" w:hAnsi="Arial" w:cs="Arial"/>
                <w:sz w:val="24"/>
                <w:szCs w:val="24"/>
              </w:rPr>
              <w:t xml:space="preserve"> 2021</w:t>
            </w:r>
          </w:p>
          <w:p w14:paraId="064E29FF" w14:textId="4AC413A3"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to</w:t>
            </w:r>
          </w:p>
          <w:p w14:paraId="31D89FA1" w14:textId="77777777"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November 2021</w:t>
            </w:r>
          </w:p>
        </w:tc>
      </w:tr>
      <w:tr w:rsidR="0062097B" w14:paraId="47387AAE" w14:textId="77777777" w:rsidTr="00AE170D">
        <w:tc>
          <w:tcPr>
            <w:tcW w:w="7196" w:type="dxa"/>
          </w:tcPr>
          <w:p w14:paraId="23B7CCBC" w14:textId="77777777"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790D7D">
              <w:rPr>
                <w:rFonts w:ascii="Arial" w:hAnsi="Arial" w:cs="Arial"/>
                <w:sz w:val="24"/>
                <w:szCs w:val="24"/>
              </w:rPr>
              <w:t>Carry out desktop research on suitable prevention activity with at-risk young people such as those in the settings above</w:t>
            </w:r>
          </w:p>
        </w:tc>
        <w:tc>
          <w:tcPr>
            <w:tcW w:w="2046" w:type="dxa"/>
          </w:tcPr>
          <w:p w14:paraId="5D361D1D" w14:textId="130ABBC7" w:rsidR="0062097B" w:rsidRDefault="00E51D0C"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September</w:t>
            </w:r>
            <w:r w:rsidR="0062097B">
              <w:rPr>
                <w:rFonts w:ascii="Arial" w:hAnsi="Arial" w:cs="Arial"/>
                <w:sz w:val="24"/>
                <w:szCs w:val="24"/>
              </w:rPr>
              <w:t xml:space="preserve"> 2021</w:t>
            </w:r>
          </w:p>
          <w:p w14:paraId="23571E2C" w14:textId="45A355EE"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to</w:t>
            </w:r>
          </w:p>
          <w:p w14:paraId="0007D30E" w14:textId="77777777"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November 2021</w:t>
            </w:r>
          </w:p>
        </w:tc>
      </w:tr>
      <w:tr w:rsidR="0062097B" w14:paraId="11A8CB6B" w14:textId="77777777" w:rsidTr="00AE170D">
        <w:tc>
          <w:tcPr>
            <w:tcW w:w="7196" w:type="dxa"/>
          </w:tcPr>
          <w:p w14:paraId="5CC740B3" w14:textId="77777777"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790D7D">
              <w:rPr>
                <w:rFonts w:ascii="Arial" w:hAnsi="Arial" w:cs="Arial"/>
                <w:sz w:val="24"/>
                <w:szCs w:val="24"/>
              </w:rPr>
              <w:t>Develop a selection of tools that can be used to support the delivery of suitable interventions potentially including lesson plans, screening and interventions to be used as a basis for consultation</w:t>
            </w:r>
          </w:p>
        </w:tc>
        <w:tc>
          <w:tcPr>
            <w:tcW w:w="2046" w:type="dxa"/>
          </w:tcPr>
          <w:p w14:paraId="6309F22F" w14:textId="721CCF29"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November 2021</w:t>
            </w:r>
          </w:p>
          <w:p w14:paraId="56445074" w14:textId="4E23DC86"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to</w:t>
            </w:r>
          </w:p>
          <w:p w14:paraId="0F9CE924" w14:textId="72FD1508"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 xml:space="preserve">December 2021 </w:t>
            </w:r>
          </w:p>
        </w:tc>
      </w:tr>
      <w:tr w:rsidR="0062097B" w14:paraId="48BFD4E3" w14:textId="77777777" w:rsidTr="00AE170D">
        <w:tc>
          <w:tcPr>
            <w:tcW w:w="7196" w:type="dxa"/>
          </w:tcPr>
          <w:p w14:paraId="13908A56" w14:textId="77777777"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790D7D">
              <w:rPr>
                <w:rFonts w:ascii="Arial" w:hAnsi="Arial" w:cs="Arial"/>
                <w:sz w:val="24"/>
                <w:szCs w:val="24"/>
              </w:rPr>
              <w:lastRenderedPageBreak/>
              <w:t>Consult on these tools with people working in appropriate settings/ target audience</w:t>
            </w:r>
          </w:p>
        </w:tc>
        <w:tc>
          <w:tcPr>
            <w:tcW w:w="2046" w:type="dxa"/>
          </w:tcPr>
          <w:p w14:paraId="62FFCF10" w14:textId="77777777"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January 2022</w:t>
            </w:r>
          </w:p>
          <w:p w14:paraId="1B0F710B" w14:textId="08737AF7" w:rsidR="0062097B"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 xml:space="preserve">to </w:t>
            </w:r>
          </w:p>
          <w:p w14:paraId="2B17BD24" w14:textId="0415152B" w:rsidR="0062097B" w:rsidRPr="00A535E2"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February</w:t>
            </w:r>
            <w:r w:rsidRPr="00A535E2">
              <w:rPr>
                <w:rFonts w:ascii="Arial" w:hAnsi="Arial" w:cs="Arial"/>
                <w:sz w:val="24"/>
                <w:szCs w:val="24"/>
              </w:rPr>
              <w:t xml:space="preserve"> 2022</w:t>
            </w:r>
          </w:p>
        </w:tc>
      </w:tr>
      <w:tr w:rsidR="0062097B" w14:paraId="1415C7B1" w14:textId="77777777" w:rsidTr="00AE170D">
        <w:tc>
          <w:tcPr>
            <w:tcW w:w="7196" w:type="dxa"/>
          </w:tcPr>
          <w:p w14:paraId="0256D4E5" w14:textId="77777777"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790D7D">
              <w:rPr>
                <w:rFonts w:ascii="Arial" w:hAnsi="Arial" w:cs="Arial"/>
                <w:sz w:val="24"/>
                <w:szCs w:val="24"/>
              </w:rPr>
              <w:t>Report the findings of the consultation including making recommendations on the resources that would best support staff to deliver suitable prevention activity with at-risk groups</w:t>
            </w:r>
          </w:p>
        </w:tc>
        <w:tc>
          <w:tcPr>
            <w:tcW w:w="2046" w:type="dxa"/>
          </w:tcPr>
          <w:p w14:paraId="58321328" w14:textId="37D9BEC1" w:rsidR="0062097B" w:rsidRPr="00A535E2"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A535E2">
              <w:rPr>
                <w:rFonts w:ascii="Arial" w:hAnsi="Arial" w:cs="Arial"/>
                <w:sz w:val="24"/>
                <w:szCs w:val="24"/>
              </w:rPr>
              <w:t>March 2022</w:t>
            </w:r>
          </w:p>
        </w:tc>
      </w:tr>
      <w:tr w:rsidR="0062097B" w14:paraId="464B1951" w14:textId="77777777" w:rsidTr="00AE170D">
        <w:tc>
          <w:tcPr>
            <w:tcW w:w="7196" w:type="dxa"/>
          </w:tcPr>
          <w:p w14:paraId="3F95EE38" w14:textId="391432AF" w:rsidR="0062097B" w:rsidRPr="00790D7D" w:rsidRDefault="0062097B"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 xml:space="preserve">Adapt resources </w:t>
            </w:r>
            <w:r w:rsidR="00BA461F">
              <w:rPr>
                <w:rFonts w:ascii="Arial" w:hAnsi="Arial" w:cs="Arial"/>
                <w:sz w:val="24"/>
                <w:szCs w:val="24"/>
              </w:rPr>
              <w:t xml:space="preserve">following consultation and report </w:t>
            </w:r>
            <w:r>
              <w:rPr>
                <w:rFonts w:ascii="Arial" w:hAnsi="Arial" w:cs="Arial"/>
                <w:sz w:val="24"/>
                <w:szCs w:val="24"/>
              </w:rPr>
              <w:t>as agreed with</w:t>
            </w:r>
            <w:r w:rsidR="00BA461F">
              <w:rPr>
                <w:rFonts w:ascii="Arial" w:hAnsi="Arial" w:cs="Arial"/>
                <w:sz w:val="24"/>
                <w:szCs w:val="24"/>
              </w:rPr>
              <w:t xml:space="preserve"> PHE to produce a final version ready for dissemination/publication by PHE or the supplier </w:t>
            </w:r>
            <w:r>
              <w:rPr>
                <w:rFonts w:ascii="Arial" w:hAnsi="Arial" w:cs="Arial"/>
                <w:sz w:val="24"/>
                <w:szCs w:val="24"/>
              </w:rPr>
              <w:t xml:space="preserve"> </w:t>
            </w:r>
          </w:p>
        </w:tc>
        <w:tc>
          <w:tcPr>
            <w:tcW w:w="2046" w:type="dxa"/>
          </w:tcPr>
          <w:p w14:paraId="75E0A5F2" w14:textId="0F9E64EB" w:rsidR="0062097B" w:rsidRPr="00A535E2" w:rsidRDefault="00BA461F" w:rsidP="00AE170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March 2022</w:t>
            </w:r>
          </w:p>
        </w:tc>
      </w:tr>
    </w:tbl>
    <w:p w14:paraId="167B090A" w14:textId="63FE8DE9" w:rsidR="00417F74" w:rsidRPr="00A46F17" w:rsidRDefault="004461A9" w:rsidP="00F51AC8">
      <w:pPr>
        <w:spacing w:before="240" w:after="240" w:line="240" w:lineRule="auto"/>
        <w:rPr>
          <w:rFonts w:ascii="Arial" w:hAnsi="Arial" w:cs="Arial"/>
          <w:b/>
          <w:bCs/>
          <w:sz w:val="24"/>
          <w:szCs w:val="24"/>
        </w:rPr>
      </w:pPr>
      <w:r>
        <w:rPr>
          <w:rFonts w:ascii="Arial" w:hAnsi="Arial" w:cs="Arial"/>
          <w:b/>
          <w:bCs/>
          <w:sz w:val="24"/>
          <w:szCs w:val="24"/>
        </w:rPr>
        <w:t>Reporting arrangements</w:t>
      </w:r>
    </w:p>
    <w:p w14:paraId="091692B6" w14:textId="5F0D210C" w:rsidR="00417F74" w:rsidRDefault="00574AA3"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The delivery partner</w:t>
      </w:r>
      <w:r w:rsidR="00417F74">
        <w:rPr>
          <w:rFonts w:ascii="Arial" w:hAnsi="Arial" w:cs="Arial"/>
          <w:bCs/>
          <w:sz w:val="24"/>
          <w:szCs w:val="24"/>
        </w:rPr>
        <w:t xml:space="preserve"> should work closely with PHE to plan, implem</w:t>
      </w:r>
      <w:r>
        <w:rPr>
          <w:rFonts w:ascii="Arial" w:hAnsi="Arial" w:cs="Arial"/>
          <w:bCs/>
          <w:sz w:val="24"/>
          <w:szCs w:val="24"/>
        </w:rPr>
        <w:t>ent and report on the project</w:t>
      </w:r>
      <w:r w:rsidR="00417F74">
        <w:rPr>
          <w:rFonts w:ascii="Arial" w:hAnsi="Arial" w:cs="Arial"/>
          <w:bCs/>
          <w:sz w:val="24"/>
          <w:szCs w:val="24"/>
        </w:rPr>
        <w:t>.</w:t>
      </w:r>
    </w:p>
    <w:p w14:paraId="735AAC20" w14:textId="0EB66AB4" w:rsidR="00852B04" w:rsidRDefault="0093358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The </w:t>
      </w:r>
      <w:r w:rsidR="002555BA">
        <w:rPr>
          <w:rFonts w:ascii="Arial" w:hAnsi="Arial" w:cs="Arial"/>
          <w:bCs/>
          <w:sz w:val="24"/>
          <w:szCs w:val="24"/>
        </w:rPr>
        <w:t>evaluation and review</w:t>
      </w:r>
      <w:r w:rsidR="009B0341" w:rsidRPr="00A46F17">
        <w:rPr>
          <w:rFonts w:ascii="Arial" w:hAnsi="Arial" w:cs="Arial"/>
          <w:bCs/>
          <w:sz w:val="24"/>
          <w:szCs w:val="24"/>
        </w:rPr>
        <w:t xml:space="preserve"> process</w:t>
      </w:r>
      <w:r w:rsidR="00593BC5" w:rsidRPr="00A46F17">
        <w:rPr>
          <w:rFonts w:ascii="Arial" w:hAnsi="Arial" w:cs="Arial"/>
          <w:bCs/>
          <w:sz w:val="24"/>
          <w:szCs w:val="24"/>
        </w:rPr>
        <w:t xml:space="preserve"> should be t</w:t>
      </w:r>
      <w:r w:rsidR="00852B04" w:rsidRPr="00A46F17">
        <w:rPr>
          <w:rFonts w:ascii="Arial" w:hAnsi="Arial" w:cs="Arial"/>
          <w:bCs/>
          <w:sz w:val="24"/>
          <w:szCs w:val="24"/>
        </w:rPr>
        <w:t>ranspar</w:t>
      </w:r>
      <w:r w:rsidR="00593BC5" w:rsidRPr="00A46F17">
        <w:rPr>
          <w:rFonts w:ascii="Arial" w:hAnsi="Arial" w:cs="Arial"/>
          <w:bCs/>
          <w:sz w:val="24"/>
          <w:szCs w:val="24"/>
        </w:rPr>
        <w:t>ent</w:t>
      </w:r>
      <w:r w:rsidR="00852B04" w:rsidRPr="00A46F17">
        <w:rPr>
          <w:rFonts w:ascii="Arial" w:hAnsi="Arial" w:cs="Arial"/>
          <w:bCs/>
          <w:sz w:val="24"/>
          <w:szCs w:val="24"/>
        </w:rPr>
        <w:t xml:space="preserve"> – </w:t>
      </w:r>
      <w:r w:rsidR="00593BC5" w:rsidRPr="00A46F17">
        <w:rPr>
          <w:rFonts w:ascii="Arial" w:hAnsi="Arial" w:cs="Arial"/>
          <w:bCs/>
          <w:sz w:val="24"/>
          <w:szCs w:val="24"/>
        </w:rPr>
        <w:t xml:space="preserve">sharing information </w:t>
      </w:r>
      <w:r w:rsidR="00BB36F2" w:rsidRPr="00A46F17">
        <w:rPr>
          <w:rFonts w:ascii="Arial" w:hAnsi="Arial" w:cs="Arial"/>
          <w:bCs/>
          <w:sz w:val="24"/>
          <w:szCs w:val="24"/>
        </w:rPr>
        <w:t xml:space="preserve">on objectives, plan and timetable and report </w:t>
      </w:r>
      <w:r w:rsidR="00593BC5" w:rsidRPr="00A46F17">
        <w:rPr>
          <w:rFonts w:ascii="Arial" w:hAnsi="Arial" w:cs="Arial"/>
          <w:bCs/>
          <w:sz w:val="24"/>
          <w:szCs w:val="24"/>
        </w:rPr>
        <w:t xml:space="preserve">with </w:t>
      </w:r>
      <w:r w:rsidR="00593BC5" w:rsidRPr="00A46F17">
        <w:rPr>
          <w:rFonts w:ascii="Arial" w:hAnsi="Arial" w:cs="Arial"/>
          <w:sz w:val="24"/>
          <w:szCs w:val="24"/>
        </w:rPr>
        <w:t>recipients, providers, stakeholders, commissioners</w:t>
      </w:r>
      <w:r w:rsidR="00593BC5" w:rsidRPr="00A46F17">
        <w:rPr>
          <w:rFonts w:ascii="Arial" w:hAnsi="Arial" w:cs="Arial"/>
          <w:bCs/>
          <w:sz w:val="24"/>
          <w:szCs w:val="24"/>
        </w:rPr>
        <w:t xml:space="preserve"> and policy makers</w:t>
      </w:r>
      <w:r w:rsidR="00852B04" w:rsidRPr="00A46F17">
        <w:rPr>
          <w:rFonts w:ascii="Arial" w:hAnsi="Arial" w:cs="Arial"/>
          <w:bCs/>
          <w:sz w:val="24"/>
          <w:szCs w:val="24"/>
        </w:rPr>
        <w:t>.</w:t>
      </w:r>
    </w:p>
    <w:p w14:paraId="41CD2A45" w14:textId="789B8FB7" w:rsidR="00431732" w:rsidRPr="00431732"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431732">
        <w:rPr>
          <w:rFonts w:ascii="Arial" w:hAnsi="Arial" w:cs="Arial"/>
          <w:b/>
          <w:bCs/>
          <w:sz w:val="24"/>
          <w:szCs w:val="24"/>
        </w:rPr>
        <w:t>Data Handling and Provision</w:t>
      </w:r>
    </w:p>
    <w:p w14:paraId="5BEAFEEB" w14:textId="177C7074" w:rsidR="00431732"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31732">
        <w:rPr>
          <w:rFonts w:ascii="Arial" w:hAnsi="Arial" w:cs="Arial"/>
          <w:bCs/>
          <w:sz w:val="24"/>
          <w:szCs w:val="24"/>
        </w:rPr>
        <w:t>All personal data (as defined within the General Data Protection Regulation - GDPR), collected, stored, anal</w:t>
      </w:r>
      <w:r w:rsidR="00292874">
        <w:rPr>
          <w:rFonts w:ascii="Arial" w:hAnsi="Arial" w:cs="Arial"/>
          <w:bCs/>
          <w:sz w:val="24"/>
          <w:szCs w:val="24"/>
        </w:rPr>
        <w:t>y</w:t>
      </w:r>
      <w:r w:rsidRPr="00431732">
        <w:rPr>
          <w:rFonts w:ascii="Arial" w:hAnsi="Arial" w:cs="Arial"/>
          <w:bCs/>
          <w:sz w:val="24"/>
          <w:szCs w:val="24"/>
        </w:rPr>
        <w:t xml:space="preserve">sed or shared must be carried out in compliance with the Data Protection Act 2018, GDPR and must conform with the policy statements specified in the PHE Information Governance Policy framework.    </w:t>
      </w:r>
    </w:p>
    <w:p w14:paraId="4FD89CB9" w14:textId="1A504512" w:rsidR="00431732" w:rsidRDefault="00431732" w:rsidP="0043173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071649">
        <w:rPr>
          <w:rFonts w:ascii="Arial" w:hAnsi="Arial" w:cs="Arial"/>
          <w:bCs/>
          <w:sz w:val="24"/>
          <w:szCs w:val="24"/>
        </w:rPr>
        <w:t xml:space="preserve">The successful provider must adhere to </w:t>
      </w:r>
      <w:r>
        <w:rPr>
          <w:rFonts w:ascii="Arial" w:hAnsi="Arial" w:cs="Arial"/>
          <w:bCs/>
          <w:sz w:val="24"/>
          <w:szCs w:val="24"/>
        </w:rPr>
        <w:t>t</w:t>
      </w:r>
      <w:r w:rsidRPr="00071649">
        <w:rPr>
          <w:rFonts w:ascii="Arial" w:hAnsi="Arial" w:cs="Arial"/>
          <w:bCs/>
          <w:sz w:val="24"/>
          <w:szCs w:val="24"/>
        </w:rPr>
        <w:t xml:space="preserve">he Freedom of Information Act (2000). </w:t>
      </w:r>
    </w:p>
    <w:p w14:paraId="34F3B9A1" w14:textId="31335553" w:rsidR="00071649"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Risk Management</w:t>
      </w:r>
    </w:p>
    <w:p w14:paraId="05252B23" w14:textId="77777777" w:rsidR="00071649" w:rsidRPr="00071649"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Applicants should submit, as part of their application, a summary explaining what they believe will be the key risks to delivering this project, and what contingencies they will put in place to deal with them.</w:t>
      </w:r>
    </w:p>
    <w:p w14:paraId="130109EF" w14:textId="77777777" w:rsidR="00F51AC8"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 risk is defined as any factor which may delay, disrupt or prevent the full achievement of a project objective</w:t>
      </w:r>
      <w:r w:rsidR="008722C8">
        <w:rPr>
          <w:rFonts w:ascii="Arial" w:hAnsi="Arial" w:cs="Arial"/>
          <w:bCs/>
          <w:sz w:val="24"/>
          <w:szCs w:val="24"/>
          <w:lang w:val="en-US"/>
        </w:rPr>
        <w:t xml:space="preserve">, which includes any potential </w:t>
      </w:r>
      <w:r w:rsidR="008722C8" w:rsidRPr="00A665DA">
        <w:rPr>
          <w:rFonts w:ascii="Arial" w:hAnsi="Arial" w:cs="Arial"/>
          <w:sz w:val="24"/>
          <w:szCs w:val="24"/>
          <w:lang w:val="en-US"/>
        </w:rPr>
        <w:t>conflicts of interest</w:t>
      </w:r>
      <w:r w:rsidRPr="00A665DA">
        <w:rPr>
          <w:rFonts w:ascii="Arial" w:hAnsi="Arial" w:cs="Arial"/>
          <w:sz w:val="24"/>
          <w:szCs w:val="24"/>
          <w:lang w:val="en-US"/>
        </w:rPr>
        <w:t>.</w:t>
      </w:r>
      <w:r w:rsidRPr="00071649">
        <w:rPr>
          <w:rFonts w:ascii="Arial" w:hAnsi="Arial" w:cs="Arial"/>
          <w:bCs/>
          <w:sz w:val="24"/>
          <w:szCs w:val="24"/>
          <w:lang w:val="en-US"/>
        </w:rPr>
        <w:t xml:space="preserve"> </w:t>
      </w:r>
      <w:r w:rsidR="00AA7BA2" w:rsidRPr="00F51AC8">
        <w:rPr>
          <w:rFonts w:ascii="Arial" w:hAnsi="Arial" w:cs="Arial"/>
          <w:b/>
          <w:bCs/>
          <w:sz w:val="24"/>
          <w:szCs w:val="24"/>
        </w:rPr>
        <w:t xml:space="preserve">A potential conflict such as </w:t>
      </w:r>
      <w:r w:rsidR="00AA7BA2" w:rsidRPr="00F51AC8">
        <w:rPr>
          <w:rFonts w:ascii="Arial" w:hAnsi="Arial" w:cs="Arial"/>
          <w:b/>
          <w:bCs/>
          <w:sz w:val="24"/>
          <w:szCs w:val="24"/>
          <w:lang w:val="en-US"/>
        </w:rPr>
        <w:t>industry funding may prevent the awarding of a contract.</w:t>
      </w:r>
      <w:r w:rsidR="00AA7BA2" w:rsidRPr="00F51AC8">
        <w:rPr>
          <w:rFonts w:ascii="Arial" w:hAnsi="Arial" w:cs="Arial"/>
          <w:bCs/>
          <w:sz w:val="24"/>
          <w:szCs w:val="24"/>
          <w:lang w:val="en-US"/>
        </w:rPr>
        <w:t xml:space="preserve"> </w:t>
      </w:r>
    </w:p>
    <w:p w14:paraId="283C8FF4" w14:textId="00713B6A" w:rsidR="00BE4D3A"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sidRPr="00071649">
        <w:rPr>
          <w:rFonts w:ascii="Arial" w:hAnsi="Arial" w:cs="Arial"/>
          <w:bCs/>
          <w:sz w:val="24"/>
          <w:szCs w:val="24"/>
          <w:lang w:val="en-US"/>
        </w:rPr>
        <w:t xml:space="preserve">All risks should be identified. The summary should include an assessment of each </w:t>
      </w:r>
      <w:r w:rsidRPr="00071649">
        <w:rPr>
          <w:rFonts w:ascii="Arial" w:hAnsi="Arial" w:cs="Arial"/>
          <w:bCs/>
          <w:sz w:val="24"/>
          <w:szCs w:val="24"/>
          <w:lang w:val="en-US"/>
        </w:rPr>
        <w:lastRenderedPageBreak/>
        <w:t xml:space="preserve">risk, together with a rating of the </w:t>
      </w:r>
      <w:proofErr w:type="gramStart"/>
      <w:r w:rsidRPr="00071649">
        <w:rPr>
          <w:rFonts w:ascii="Arial" w:hAnsi="Arial" w:cs="Arial"/>
          <w:bCs/>
          <w:sz w:val="24"/>
          <w:szCs w:val="24"/>
          <w:lang w:val="en-US"/>
        </w:rPr>
        <w:t>risks</w:t>
      </w:r>
      <w:proofErr w:type="gramEnd"/>
      <w:r w:rsidRPr="00071649">
        <w:rPr>
          <w:rFonts w:ascii="Arial" w:hAnsi="Arial" w:cs="Arial"/>
          <w:bCs/>
          <w:sz w:val="24"/>
          <w:szCs w:val="24"/>
          <w:lang w:val="en-US"/>
        </w:rPr>
        <w:t xml:space="preserve"> likelihood and its impact on a project objective (using a high, medium or low classification for both). The risk assessment should also identify appropriate actions that would reduce or eliminate each risk, or its impact.</w:t>
      </w:r>
    </w:p>
    <w:p w14:paraId="366B3CF6" w14:textId="24786FC6" w:rsidR="00071649" w:rsidRPr="00071649" w:rsidRDefault="00FD6F6D"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Pr>
          <w:rFonts w:ascii="Arial" w:hAnsi="Arial" w:cs="Arial"/>
          <w:b/>
          <w:bCs/>
          <w:sz w:val="24"/>
          <w:szCs w:val="24"/>
          <w:lang w:val="en-US"/>
        </w:rPr>
        <w:t>Stakeholder</w:t>
      </w:r>
      <w:r w:rsidR="00071649" w:rsidRPr="00071649">
        <w:rPr>
          <w:rFonts w:ascii="Arial" w:hAnsi="Arial" w:cs="Arial"/>
          <w:b/>
          <w:bCs/>
          <w:sz w:val="24"/>
          <w:szCs w:val="24"/>
          <w:lang w:val="en-US"/>
        </w:rPr>
        <w:t xml:space="preserve"> and Public Involvement </w:t>
      </w:r>
    </w:p>
    <w:p w14:paraId="38067818" w14:textId="623021D0" w:rsidR="00BC245C"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The provider will be undertaking direct engagement with stakeholders as appropriate.</w:t>
      </w:r>
      <w:r>
        <w:rPr>
          <w:rFonts w:ascii="Arial" w:hAnsi="Arial" w:cs="Arial"/>
          <w:bCs/>
          <w:sz w:val="24"/>
          <w:szCs w:val="24"/>
          <w:lang w:val="en-US"/>
        </w:rPr>
        <w:t xml:space="preserve"> The provider will be expect</w:t>
      </w:r>
      <w:r w:rsidR="00FD6F6D">
        <w:rPr>
          <w:rFonts w:ascii="Arial" w:hAnsi="Arial" w:cs="Arial"/>
          <w:bCs/>
          <w:sz w:val="24"/>
          <w:szCs w:val="24"/>
          <w:lang w:val="en-US"/>
        </w:rPr>
        <w:t>ed</w:t>
      </w:r>
      <w:r>
        <w:rPr>
          <w:rFonts w:ascii="Arial" w:hAnsi="Arial" w:cs="Arial"/>
          <w:bCs/>
          <w:sz w:val="24"/>
          <w:szCs w:val="24"/>
          <w:lang w:val="en-US"/>
        </w:rPr>
        <w:t xml:space="preserve"> to submit as part of their application their m</w:t>
      </w:r>
      <w:r w:rsidR="00FD6F6D">
        <w:rPr>
          <w:rFonts w:ascii="Arial" w:hAnsi="Arial" w:cs="Arial"/>
          <w:bCs/>
          <w:sz w:val="24"/>
          <w:szCs w:val="24"/>
          <w:lang w:val="en-US"/>
        </w:rPr>
        <w:t xml:space="preserve">echanism for engaging </w:t>
      </w:r>
      <w:r w:rsidR="006A57E5">
        <w:rPr>
          <w:rFonts w:ascii="Arial" w:hAnsi="Arial" w:cs="Arial"/>
          <w:bCs/>
          <w:sz w:val="24"/>
          <w:szCs w:val="24"/>
          <w:lang w:val="en-US"/>
        </w:rPr>
        <w:t xml:space="preserve">with </w:t>
      </w:r>
      <w:r w:rsidR="00FD6F6D">
        <w:rPr>
          <w:rFonts w:ascii="Arial" w:hAnsi="Arial" w:cs="Arial"/>
          <w:bCs/>
          <w:sz w:val="24"/>
          <w:szCs w:val="24"/>
          <w:lang w:val="en-US"/>
        </w:rPr>
        <w:t>key stakeholders</w:t>
      </w:r>
      <w:r w:rsidR="006A57E5">
        <w:rPr>
          <w:rFonts w:ascii="Arial" w:hAnsi="Arial" w:cs="Arial"/>
          <w:bCs/>
          <w:sz w:val="24"/>
          <w:szCs w:val="24"/>
          <w:lang w:val="en-US"/>
        </w:rPr>
        <w:t xml:space="preserve"> from a range of </w:t>
      </w:r>
      <w:r>
        <w:rPr>
          <w:rFonts w:ascii="Arial" w:hAnsi="Arial" w:cs="Arial"/>
          <w:bCs/>
          <w:sz w:val="24"/>
          <w:szCs w:val="24"/>
          <w:lang w:val="en-US"/>
        </w:rPr>
        <w:t xml:space="preserve">sectors </w:t>
      </w:r>
      <w:r w:rsidR="00FD6F6D">
        <w:rPr>
          <w:rFonts w:ascii="Arial" w:hAnsi="Arial" w:cs="Arial"/>
          <w:bCs/>
          <w:sz w:val="24"/>
          <w:szCs w:val="24"/>
          <w:lang w:val="en-US"/>
        </w:rPr>
        <w:t>and engagement with the public (where necessary)</w:t>
      </w:r>
      <w:r>
        <w:rPr>
          <w:rFonts w:ascii="Arial" w:hAnsi="Arial" w:cs="Arial"/>
          <w:bCs/>
          <w:sz w:val="24"/>
          <w:szCs w:val="24"/>
          <w:lang w:val="en-US"/>
        </w:rPr>
        <w:t>.</w:t>
      </w:r>
    </w:p>
    <w:p w14:paraId="3879EF69" w14:textId="21620E5A" w:rsidR="006B7369" w:rsidRPr="006B7369" w:rsidRDefault="006B736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sidRPr="006B7369">
        <w:rPr>
          <w:rFonts w:ascii="Arial" w:hAnsi="Arial" w:cs="Arial"/>
          <w:b/>
          <w:bCs/>
          <w:sz w:val="24"/>
          <w:szCs w:val="24"/>
          <w:lang w:val="en-US"/>
        </w:rPr>
        <w:t>Accessibility</w:t>
      </w:r>
    </w:p>
    <w:p w14:paraId="1CD1BA31" w14:textId="5EE3CB55" w:rsidR="006B7369" w:rsidRDefault="00BA461F"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Pr>
          <w:rFonts w:ascii="Arial" w:hAnsi="Arial" w:cs="Arial"/>
          <w:bCs/>
          <w:sz w:val="24"/>
          <w:szCs w:val="24"/>
          <w:lang w:val="en-US"/>
        </w:rPr>
        <w:t xml:space="preserve">Outputs produced for publication will need to conform with </w:t>
      </w:r>
      <w:r w:rsidR="00AA7BA2">
        <w:rPr>
          <w:rFonts w:ascii="Arial" w:hAnsi="Arial" w:cs="Arial"/>
          <w:bCs/>
          <w:sz w:val="24"/>
          <w:szCs w:val="24"/>
          <w:lang w:val="en-US"/>
        </w:rPr>
        <w:t>Government accessibility requirements. Information can be found below:</w:t>
      </w:r>
    </w:p>
    <w:p w14:paraId="0D9EB9D8" w14:textId="0036E799" w:rsidR="006B7369" w:rsidRDefault="00D57C2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8" w:history="1">
        <w:r w:rsidR="006B7369" w:rsidRPr="006B7369">
          <w:rPr>
            <w:rStyle w:val="Hyperlink"/>
            <w:rFonts w:ascii="Arial" w:hAnsi="Arial" w:cs="Arial"/>
            <w:bCs/>
            <w:sz w:val="24"/>
            <w:szCs w:val="24"/>
          </w:rPr>
          <w:t>https://www.gov.uk/guidance/accessibility-requirements-for-public-sector-websites-and-apps</w:t>
        </w:r>
      </w:hyperlink>
    </w:p>
    <w:p w14:paraId="555F81B7" w14:textId="0E52CAC8" w:rsidR="006B7369" w:rsidRDefault="00D57C2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9" w:history="1">
        <w:r w:rsidR="006B7369" w:rsidRPr="006B7369">
          <w:rPr>
            <w:rStyle w:val="Hyperlink"/>
            <w:rFonts w:ascii="Arial" w:hAnsi="Arial" w:cs="Arial"/>
            <w:bCs/>
            <w:sz w:val="24"/>
            <w:szCs w:val="24"/>
          </w:rPr>
          <w:t>https://gds.blog.gov.uk/2018/06/20/creating-the-uk-governments-accessibility-empathy-lab/</w:t>
        </w:r>
      </w:hyperlink>
    </w:p>
    <w:p w14:paraId="407C9120" w14:textId="7DC74C42" w:rsidR="006B7369" w:rsidRDefault="00D57C2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0" w:history="1">
        <w:r w:rsidR="006B7369" w:rsidRPr="006B7369">
          <w:rPr>
            <w:rStyle w:val="Hyperlink"/>
            <w:rFonts w:ascii="Arial" w:hAnsi="Arial" w:cs="Arial"/>
            <w:bCs/>
            <w:sz w:val="24"/>
            <w:szCs w:val="24"/>
          </w:rPr>
          <w:t>https://www.gov.uk/service-manual/helping-people-to-use-your-service/getting-an-accessibility-audit</w:t>
        </w:r>
      </w:hyperlink>
    </w:p>
    <w:p w14:paraId="004F2F02" w14:textId="77777777" w:rsidR="00345DEA"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Delivery Timescale</w:t>
      </w:r>
    </w:p>
    <w:p w14:paraId="4B581C14" w14:textId="538AF453" w:rsidR="008D7F38" w:rsidRPr="008D7F38" w:rsidRDefault="00AA7BA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See the deliverables section above for timescales.</w:t>
      </w:r>
    </w:p>
    <w:p w14:paraId="24AC8C0A" w14:textId="65657C7F"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Contract Period</w:t>
      </w:r>
    </w:p>
    <w:p w14:paraId="0A852D88" w14:textId="2E6634C6" w:rsidR="00345DEA" w:rsidRPr="00A46F17" w:rsidRDefault="00345DEA" w:rsidP="00A377E5">
      <w:pPr>
        <w:spacing w:before="120" w:after="240" w:line="240" w:lineRule="auto"/>
        <w:rPr>
          <w:rFonts w:ascii="Arial" w:hAnsi="Arial" w:cs="Arial"/>
          <w:sz w:val="24"/>
          <w:szCs w:val="24"/>
        </w:rPr>
      </w:pPr>
      <w:r w:rsidRPr="00A46F17">
        <w:rPr>
          <w:rFonts w:ascii="Arial" w:hAnsi="Arial" w:cs="Arial"/>
          <w:sz w:val="24"/>
          <w:szCs w:val="24"/>
        </w:rPr>
        <w:t>The contract will</w:t>
      </w:r>
      <w:r w:rsidR="000F66E8">
        <w:rPr>
          <w:rFonts w:ascii="Arial" w:hAnsi="Arial" w:cs="Arial"/>
          <w:sz w:val="24"/>
          <w:szCs w:val="24"/>
        </w:rPr>
        <w:t xml:space="preserve"> begin on </w:t>
      </w:r>
      <w:r w:rsidR="00AA7BA2" w:rsidRPr="00F51AC8">
        <w:rPr>
          <w:rFonts w:ascii="Arial" w:hAnsi="Arial" w:cs="Arial"/>
          <w:sz w:val="24"/>
          <w:szCs w:val="24"/>
        </w:rPr>
        <w:t>1</w:t>
      </w:r>
      <w:r w:rsidR="00AA7BA2" w:rsidRPr="00F51AC8">
        <w:rPr>
          <w:rFonts w:ascii="Arial" w:hAnsi="Arial" w:cs="Arial"/>
          <w:sz w:val="24"/>
          <w:szCs w:val="24"/>
          <w:vertAlign w:val="superscript"/>
        </w:rPr>
        <w:t>st</w:t>
      </w:r>
      <w:r w:rsidR="00AA7BA2" w:rsidRPr="00F51AC8">
        <w:rPr>
          <w:rFonts w:ascii="Arial" w:hAnsi="Arial" w:cs="Arial"/>
          <w:sz w:val="24"/>
          <w:szCs w:val="24"/>
        </w:rPr>
        <w:t xml:space="preserve"> </w:t>
      </w:r>
      <w:r w:rsidR="00E51D0C" w:rsidRPr="00F51AC8">
        <w:rPr>
          <w:rFonts w:ascii="Arial" w:hAnsi="Arial" w:cs="Arial"/>
          <w:sz w:val="24"/>
          <w:szCs w:val="24"/>
        </w:rPr>
        <w:t>September</w:t>
      </w:r>
      <w:r w:rsidRPr="00F51AC8">
        <w:rPr>
          <w:rFonts w:ascii="Arial" w:hAnsi="Arial" w:cs="Arial"/>
          <w:sz w:val="24"/>
          <w:szCs w:val="24"/>
        </w:rPr>
        <w:t xml:space="preserve"> </w:t>
      </w:r>
      <w:r w:rsidR="00AA7BA2" w:rsidRPr="00F51AC8">
        <w:rPr>
          <w:rFonts w:ascii="Arial" w:hAnsi="Arial" w:cs="Arial"/>
          <w:sz w:val="24"/>
          <w:szCs w:val="24"/>
        </w:rPr>
        <w:t xml:space="preserve">2021 and run </w:t>
      </w:r>
      <w:r w:rsidR="0093358C" w:rsidRPr="00F51AC8">
        <w:rPr>
          <w:rFonts w:ascii="Arial" w:hAnsi="Arial" w:cs="Arial"/>
          <w:sz w:val="24"/>
          <w:szCs w:val="24"/>
        </w:rPr>
        <w:t xml:space="preserve">until </w:t>
      </w:r>
      <w:r w:rsidR="00AA7BA2" w:rsidRPr="00F51AC8">
        <w:rPr>
          <w:rFonts w:ascii="Arial" w:hAnsi="Arial" w:cs="Arial"/>
          <w:sz w:val="24"/>
          <w:szCs w:val="24"/>
        </w:rPr>
        <w:t>31</w:t>
      </w:r>
      <w:r w:rsidR="00AA7BA2" w:rsidRPr="00F51AC8">
        <w:rPr>
          <w:rFonts w:ascii="Arial" w:hAnsi="Arial" w:cs="Arial"/>
          <w:sz w:val="24"/>
          <w:szCs w:val="24"/>
          <w:vertAlign w:val="superscript"/>
        </w:rPr>
        <w:t>st</w:t>
      </w:r>
      <w:r w:rsidR="00AA7BA2" w:rsidRPr="00F51AC8">
        <w:rPr>
          <w:rFonts w:ascii="Arial" w:hAnsi="Arial" w:cs="Arial"/>
          <w:sz w:val="24"/>
          <w:szCs w:val="24"/>
        </w:rPr>
        <w:t xml:space="preserve"> March 2022</w:t>
      </w:r>
      <w:r w:rsidR="00BC245C">
        <w:rPr>
          <w:rFonts w:ascii="Arial" w:hAnsi="Arial" w:cs="Arial"/>
          <w:sz w:val="24"/>
          <w:szCs w:val="24"/>
        </w:rPr>
        <w:t xml:space="preserve"> </w:t>
      </w:r>
      <w:r w:rsidR="00FD6F6D">
        <w:rPr>
          <w:rFonts w:ascii="Arial" w:hAnsi="Arial" w:cs="Arial"/>
          <w:sz w:val="24"/>
          <w:szCs w:val="24"/>
        </w:rPr>
        <w:t xml:space="preserve">as per the commissioning timetable below. </w:t>
      </w:r>
    </w:p>
    <w:p w14:paraId="32308257" w14:textId="77777777" w:rsidR="00345DEA" w:rsidRPr="00A46F17" w:rsidRDefault="00345DEA" w:rsidP="00A377E5">
      <w:pPr>
        <w:spacing w:before="120" w:after="240" w:line="240" w:lineRule="auto"/>
        <w:rPr>
          <w:rFonts w:ascii="Arial" w:hAnsi="Arial" w:cs="Arial"/>
          <w:sz w:val="24"/>
          <w:szCs w:val="24"/>
        </w:rPr>
      </w:pPr>
      <w:r w:rsidRPr="00A46F17">
        <w:rPr>
          <w:rFonts w:ascii="Arial" w:hAnsi="Arial" w:cs="Arial"/>
          <w:sz w:val="24"/>
          <w:szCs w:val="24"/>
        </w:rPr>
        <w:t xml:space="preserve">Standard break clauses for each contract will be enforced prior to the contract renewal.  </w:t>
      </w:r>
    </w:p>
    <w:p w14:paraId="7DAF9977" w14:textId="77777777"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Contact Point(s)</w:t>
      </w:r>
    </w:p>
    <w:p w14:paraId="549F785E" w14:textId="310D1C8C" w:rsidR="00345DEA" w:rsidRPr="00BD32B8" w:rsidRDefault="00345DEA" w:rsidP="00A377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It is expected that the supplier will appoint a n</w:t>
      </w:r>
      <w:r w:rsidR="008C01A6">
        <w:rPr>
          <w:rFonts w:ascii="Arial" w:eastAsia="Calibri" w:hAnsi="Arial" w:cs="Arial"/>
          <w:sz w:val="24"/>
          <w:szCs w:val="24"/>
        </w:rPr>
        <w:t>amed, suitably qualified evaluation lead</w:t>
      </w:r>
      <w:r w:rsidRPr="00BD32B8">
        <w:rPr>
          <w:rFonts w:ascii="Arial" w:eastAsia="Calibri" w:hAnsi="Arial" w:cs="Arial"/>
          <w:sz w:val="24"/>
          <w:szCs w:val="24"/>
        </w:rPr>
        <w:t xml:space="preserve"> Manager who will be the main point of contact with Public Health England.  </w:t>
      </w:r>
    </w:p>
    <w:p w14:paraId="20087457" w14:textId="2AF847BC" w:rsidR="00BC245C" w:rsidRPr="00FD6F6D" w:rsidRDefault="00345DEA" w:rsidP="00FD6F6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 xml:space="preserve">The key contact points at PHE will </w:t>
      </w:r>
      <w:r w:rsidR="008D7F38">
        <w:rPr>
          <w:rFonts w:ascii="Arial" w:eastAsia="Calibri" w:hAnsi="Arial" w:cs="Arial"/>
          <w:sz w:val="24"/>
          <w:szCs w:val="24"/>
        </w:rPr>
        <w:t xml:space="preserve">be </w:t>
      </w:r>
      <w:hyperlink r:id="rId11" w:history="1">
        <w:r w:rsidR="00AA7BA2" w:rsidRPr="00087AE0">
          <w:rPr>
            <w:rStyle w:val="Hyperlink"/>
            <w:rFonts w:ascii="Arial" w:eastAsia="Calibri" w:hAnsi="Arial" w:cs="Arial"/>
            <w:sz w:val="24"/>
            <w:szCs w:val="24"/>
          </w:rPr>
          <w:t>Kirsty.Blenkins@phe.gov.uk</w:t>
        </w:r>
      </w:hyperlink>
      <w:r w:rsidR="00AA7BA2">
        <w:rPr>
          <w:rFonts w:ascii="Arial" w:eastAsia="Calibri" w:hAnsi="Arial" w:cs="Arial"/>
          <w:sz w:val="24"/>
          <w:szCs w:val="24"/>
        </w:rPr>
        <w:t>,</w:t>
      </w:r>
      <w:r w:rsidR="00AA7BA2" w:rsidRPr="007D626E">
        <w:rPr>
          <w:rFonts w:ascii="Arial" w:eastAsia="Calibri" w:hAnsi="Arial" w:cs="Arial"/>
          <w:sz w:val="24"/>
          <w:szCs w:val="24"/>
        </w:rPr>
        <w:t xml:space="preserve"> Programme Manager, Young People</w:t>
      </w:r>
      <w:r w:rsidR="00AA7BA2">
        <w:rPr>
          <w:rFonts w:ascii="Arial" w:eastAsia="Calibri" w:hAnsi="Arial" w:cs="Arial"/>
          <w:sz w:val="24"/>
          <w:szCs w:val="24"/>
        </w:rPr>
        <w:t>. M</w:t>
      </w:r>
      <w:r w:rsidRPr="00BD32B8">
        <w:rPr>
          <w:rFonts w:ascii="Arial" w:eastAsia="Calibri" w:hAnsi="Arial" w:cs="Arial"/>
          <w:sz w:val="24"/>
          <w:szCs w:val="24"/>
        </w:rPr>
        <w:t>embers of staff will be available for telephone or face to face advice throughout the project lifetime.</w:t>
      </w:r>
      <w:r w:rsidR="00FD7500">
        <w:rPr>
          <w:rFonts w:ascii="Arial" w:eastAsia="Calibri" w:hAnsi="Arial" w:cs="Arial"/>
          <w:sz w:val="24"/>
          <w:szCs w:val="24"/>
        </w:rPr>
        <w:t xml:space="preserve"> </w:t>
      </w:r>
      <w:r w:rsidR="008C01A6">
        <w:rPr>
          <w:rFonts w:ascii="Arial" w:eastAsia="Calibri" w:hAnsi="Arial" w:cs="Arial"/>
          <w:color w:val="000000" w:themeColor="text1"/>
          <w:sz w:val="24"/>
          <w:szCs w:val="24"/>
        </w:rPr>
        <w:t xml:space="preserve">PHE can facilitate discussions with other </w:t>
      </w:r>
      <w:r w:rsidR="008C01A6">
        <w:rPr>
          <w:rFonts w:ascii="Arial" w:eastAsia="Calibri" w:hAnsi="Arial" w:cs="Arial"/>
          <w:color w:val="000000" w:themeColor="text1"/>
          <w:sz w:val="24"/>
          <w:szCs w:val="24"/>
        </w:rPr>
        <w:lastRenderedPageBreak/>
        <w:t>t</w:t>
      </w:r>
      <w:r w:rsidR="00FD7500" w:rsidRPr="008C01A6">
        <w:rPr>
          <w:rFonts w:ascii="Arial" w:eastAsia="Calibri" w:hAnsi="Arial" w:cs="Arial"/>
          <w:color w:val="000000" w:themeColor="text1"/>
          <w:sz w:val="24"/>
          <w:szCs w:val="24"/>
        </w:rPr>
        <w:t xml:space="preserve">opics experts from </w:t>
      </w:r>
      <w:r w:rsidR="008C01A6">
        <w:rPr>
          <w:rFonts w:ascii="Arial" w:eastAsia="Calibri" w:hAnsi="Arial" w:cs="Arial"/>
          <w:color w:val="000000" w:themeColor="text1"/>
          <w:sz w:val="24"/>
          <w:szCs w:val="24"/>
        </w:rPr>
        <w:t>within PHE and other key partners.</w:t>
      </w:r>
    </w:p>
    <w:p w14:paraId="49A6B760" w14:textId="77777777" w:rsidR="00433A29" w:rsidRPr="00BD32B8" w:rsidRDefault="00433A29" w:rsidP="00433A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Costs</w:t>
      </w:r>
    </w:p>
    <w:p w14:paraId="1BD5A728" w14:textId="77777777" w:rsidR="00433A29" w:rsidRPr="00A46F17" w:rsidRDefault="008E339C" w:rsidP="00433A29">
      <w:pPr>
        <w:spacing w:before="120" w:after="240" w:line="240" w:lineRule="auto"/>
        <w:rPr>
          <w:rFonts w:ascii="Arial" w:eastAsia="Calibri" w:hAnsi="Arial" w:cs="Arial"/>
          <w:sz w:val="24"/>
          <w:szCs w:val="24"/>
        </w:rPr>
      </w:pPr>
      <w:r>
        <w:rPr>
          <w:rFonts w:ascii="Arial" w:eastAsia="Calibri" w:hAnsi="Arial" w:cs="Arial"/>
          <w:sz w:val="24"/>
          <w:szCs w:val="24"/>
        </w:rPr>
        <w:t xml:space="preserve">The provider </w:t>
      </w:r>
      <w:r w:rsidR="00433A29" w:rsidRPr="00A46F17">
        <w:rPr>
          <w:rFonts w:ascii="Arial" w:eastAsia="Calibri" w:hAnsi="Arial" w:cs="Arial"/>
          <w:sz w:val="24"/>
          <w:szCs w:val="24"/>
        </w:rPr>
        <w:t>will need to give a detailed breakdown of their costs. Please note that applicants will need to demonstrate value for money.</w:t>
      </w:r>
    </w:p>
    <w:p w14:paraId="6E7A75BB" w14:textId="75CA1595" w:rsidR="004F3A7D" w:rsidRDefault="00433A29" w:rsidP="00A56E29">
      <w:pPr>
        <w:spacing w:before="120" w:after="240" w:line="240" w:lineRule="auto"/>
        <w:rPr>
          <w:rFonts w:ascii="Arial" w:eastAsia="Calibri" w:hAnsi="Arial" w:cs="Arial"/>
          <w:sz w:val="24"/>
          <w:szCs w:val="24"/>
        </w:rPr>
      </w:pPr>
      <w:r w:rsidRPr="00F51AC8">
        <w:rPr>
          <w:rFonts w:ascii="Arial" w:eastAsia="Calibri" w:hAnsi="Arial" w:cs="Arial"/>
          <w:sz w:val="24"/>
          <w:szCs w:val="24"/>
        </w:rPr>
        <w:t>The overall contract va</w:t>
      </w:r>
      <w:r w:rsidR="008722C8" w:rsidRPr="00F51AC8">
        <w:rPr>
          <w:rFonts w:ascii="Arial" w:eastAsia="Calibri" w:hAnsi="Arial" w:cs="Arial"/>
          <w:sz w:val="24"/>
          <w:szCs w:val="24"/>
        </w:rPr>
        <w:t>lue will be for a maximum</w:t>
      </w:r>
      <w:r w:rsidR="00574AA3" w:rsidRPr="00F51AC8">
        <w:rPr>
          <w:rFonts w:ascii="Arial" w:eastAsia="Calibri" w:hAnsi="Arial" w:cs="Arial"/>
          <w:sz w:val="24"/>
          <w:szCs w:val="24"/>
        </w:rPr>
        <w:t xml:space="preserve"> of £</w:t>
      </w:r>
      <w:r w:rsidR="00AA7BA2" w:rsidRPr="00F51AC8">
        <w:rPr>
          <w:rFonts w:ascii="Arial" w:eastAsia="Calibri" w:hAnsi="Arial" w:cs="Arial"/>
          <w:sz w:val="24"/>
          <w:szCs w:val="24"/>
        </w:rPr>
        <w:t>44</w:t>
      </w:r>
      <w:r w:rsidRPr="00F51AC8">
        <w:rPr>
          <w:rFonts w:ascii="Arial" w:eastAsia="Calibri" w:hAnsi="Arial" w:cs="Arial"/>
          <w:sz w:val="24"/>
          <w:szCs w:val="24"/>
        </w:rPr>
        <w:t>,000</w:t>
      </w:r>
      <w:r w:rsidR="00107571" w:rsidRPr="00F51AC8">
        <w:rPr>
          <w:rFonts w:ascii="Arial" w:eastAsia="Calibri" w:hAnsi="Arial" w:cs="Arial"/>
          <w:sz w:val="24"/>
          <w:szCs w:val="24"/>
        </w:rPr>
        <w:t xml:space="preserve">. </w:t>
      </w:r>
      <w:r w:rsidR="002B7431" w:rsidRPr="00F51AC8">
        <w:rPr>
          <w:rFonts w:ascii="Arial" w:eastAsia="Calibri" w:hAnsi="Arial" w:cs="Arial"/>
          <w:sz w:val="24"/>
          <w:szCs w:val="24"/>
        </w:rPr>
        <w:t xml:space="preserve">This is with an expected start date of </w:t>
      </w:r>
      <w:r w:rsidR="00AA7BA2" w:rsidRPr="00F51AC8">
        <w:rPr>
          <w:rFonts w:ascii="Arial" w:eastAsia="Calibri" w:hAnsi="Arial" w:cs="Arial"/>
          <w:sz w:val="24"/>
          <w:szCs w:val="24"/>
        </w:rPr>
        <w:t>1</w:t>
      </w:r>
      <w:r w:rsidR="00AA7BA2" w:rsidRPr="00F51AC8">
        <w:rPr>
          <w:rFonts w:ascii="Arial" w:eastAsia="Calibri" w:hAnsi="Arial" w:cs="Arial"/>
          <w:sz w:val="24"/>
          <w:szCs w:val="24"/>
          <w:vertAlign w:val="superscript"/>
        </w:rPr>
        <w:t>st</w:t>
      </w:r>
      <w:r w:rsidR="00AA7BA2" w:rsidRPr="00F51AC8">
        <w:rPr>
          <w:rFonts w:ascii="Arial" w:eastAsia="Calibri" w:hAnsi="Arial" w:cs="Arial"/>
          <w:sz w:val="24"/>
          <w:szCs w:val="24"/>
        </w:rPr>
        <w:t xml:space="preserve"> </w:t>
      </w:r>
      <w:r w:rsidR="00E51D0C" w:rsidRPr="00F51AC8">
        <w:rPr>
          <w:rFonts w:ascii="Arial" w:eastAsia="Calibri" w:hAnsi="Arial" w:cs="Arial"/>
          <w:sz w:val="24"/>
          <w:szCs w:val="24"/>
        </w:rPr>
        <w:t>September</w:t>
      </w:r>
      <w:r w:rsidR="008C01A6" w:rsidRPr="00F51AC8">
        <w:rPr>
          <w:rFonts w:ascii="Arial" w:eastAsia="Calibri" w:hAnsi="Arial" w:cs="Arial"/>
          <w:sz w:val="24"/>
          <w:szCs w:val="24"/>
        </w:rPr>
        <w:t xml:space="preserve"> </w:t>
      </w:r>
      <w:r w:rsidR="00AA7BA2" w:rsidRPr="00F51AC8">
        <w:rPr>
          <w:rFonts w:ascii="Arial" w:eastAsia="Calibri" w:hAnsi="Arial" w:cs="Arial"/>
          <w:sz w:val="24"/>
          <w:szCs w:val="24"/>
        </w:rPr>
        <w:t xml:space="preserve">2021 </w:t>
      </w:r>
      <w:r w:rsidR="008C01A6" w:rsidRPr="00F51AC8">
        <w:rPr>
          <w:rFonts w:ascii="Arial" w:eastAsia="Calibri" w:hAnsi="Arial" w:cs="Arial"/>
          <w:sz w:val="24"/>
          <w:szCs w:val="24"/>
        </w:rPr>
        <w:t xml:space="preserve">and end date of </w:t>
      </w:r>
      <w:r w:rsidR="00AA7BA2" w:rsidRPr="00F51AC8">
        <w:rPr>
          <w:rFonts w:ascii="Arial" w:eastAsia="Calibri" w:hAnsi="Arial" w:cs="Arial"/>
          <w:sz w:val="24"/>
          <w:szCs w:val="24"/>
        </w:rPr>
        <w:t>31</w:t>
      </w:r>
      <w:r w:rsidR="00AA7BA2" w:rsidRPr="00F51AC8">
        <w:rPr>
          <w:rFonts w:ascii="Arial" w:eastAsia="Calibri" w:hAnsi="Arial" w:cs="Arial"/>
          <w:sz w:val="24"/>
          <w:szCs w:val="24"/>
          <w:vertAlign w:val="superscript"/>
        </w:rPr>
        <w:t>st</w:t>
      </w:r>
      <w:r w:rsidR="00AA7BA2" w:rsidRPr="00F51AC8">
        <w:rPr>
          <w:rFonts w:ascii="Arial" w:eastAsia="Calibri" w:hAnsi="Arial" w:cs="Arial"/>
          <w:sz w:val="24"/>
          <w:szCs w:val="24"/>
        </w:rPr>
        <w:t xml:space="preserve"> March 2022</w:t>
      </w:r>
      <w:r w:rsidR="00A56E29" w:rsidRPr="00F51AC8">
        <w:rPr>
          <w:rFonts w:ascii="Arial" w:eastAsia="Calibri" w:hAnsi="Arial" w:cs="Arial"/>
          <w:sz w:val="24"/>
          <w:szCs w:val="24"/>
        </w:rPr>
        <w:t>.</w:t>
      </w:r>
    </w:p>
    <w:p w14:paraId="7FD48D5C" w14:textId="77777777"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 xml:space="preserve">Application Process </w:t>
      </w:r>
    </w:p>
    <w:p w14:paraId="183FFFA1"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should be submitted electronically and include the following documentation:</w:t>
      </w:r>
    </w:p>
    <w:p w14:paraId="6A3E8B0B" w14:textId="3D7CBEB9" w:rsidR="00071649" w:rsidRP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Supporting statement setting out</w:t>
      </w:r>
      <w:r w:rsidR="00434C3A">
        <w:rPr>
          <w:rFonts w:ascii="Arial" w:hAnsi="Arial" w:cs="Arial"/>
          <w:bCs/>
          <w:sz w:val="24"/>
          <w:szCs w:val="24"/>
          <w:lang w:val="en-US"/>
        </w:rPr>
        <w:t xml:space="preserve"> and</w:t>
      </w:r>
      <w:r w:rsidRPr="00071649">
        <w:rPr>
          <w:rFonts w:ascii="Arial" w:hAnsi="Arial" w:cs="Arial"/>
          <w:bCs/>
          <w:sz w:val="24"/>
          <w:szCs w:val="24"/>
          <w:lang w:val="en-US"/>
        </w:rPr>
        <w:t xml:space="preserve"> establishing suitability to undertake the project, including evidence of </w:t>
      </w:r>
      <w:r w:rsidR="00094330">
        <w:rPr>
          <w:rFonts w:ascii="Arial" w:hAnsi="Arial" w:cs="Arial"/>
          <w:bCs/>
          <w:sz w:val="24"/>
          <w:szCs w:val="24"/>
          <w:lang w:val="en-US"/>
        </w:rPr>
        <w:t>carrying out work of a similar nature</w:t>
      </w:r>
      <w:r w:rsidR="008C01A6">
        <w:rPr>
          <w:rFonts w:ascii="Arial" w:hAnsi="Arial" w:cs="Arial"/>
          <w:bCs/>
          <w:sz w:val="24"/>
          <w:szCs w:val="24"/>
          <w:lang w:val="en-US"/>
        </w:rPr>
        <w:t xml:space="preserve"> </w:t>
      </w:r>
      <w:r w:rsidRPr="00071649">
        <w:rPr>
          <w:rFonts w:ascii="Arial" w:hAnsi="Arial" w:cs="Arial"/>
          <w:bCs/>
          <w:sz w:val="24"/>
          <w:szCs w:val="24"/>
          <w:lang w:val="en-US"/>
        </w:rPr>
        <w:t xml:space="preserve"> </w:t>
      </w:r>
    </w:p>
    <w:p w14:paraId="7C6910BD" w14:textId="298403DB" w:rsidR="00071649" w:rsidRPr="00071649" w:rsidRDefault="00FD2919" w:rsidP="00071649">
      <w:pPr>
        <w:numPr>
          <w:ilvl w:val="0"/>
          <w:numId w:val="20"/>
        </w:numPr>
        <w:rPr>
          <w:rFonts w:ascii="Arial" w:hAnsi="Arial" w:cs="Arial"/>
          <w:bCs/>
          <w:sz w:val="24"/>
          <w:szCs w:val="24"/>
          <w:lang w:val="en-US"/>
        </w:rPr>
      </w:pPr>
      <w:r>
        <w:rPr>
          <w:rFonts w:ascii="Arial" w:hAnsi="Arial" w:cs="Arial"/>
          <w:bCs/>
          <w:sz w:val="24"/>
          <w:szCs w:val="24"/>
          <w:lang w:val="en-US"/>
        </w:rPr>
        <w:t>Project o</w:t>
      </w:r>
      <w:r w:rsidR="008C01A6">
        <w:rPr>
          <w:rFonts w:ascii="Arial" w:hAnsi="Arial" w:cs="Arial"/>
          <w:bCs/>
          <w:sz w:val="24"/>
          <w:szCs w:val="24"/>
          <w:lang w:val="en-US"/>
        </w:rPr>
        <w:t>utline</w:t>
      </w:r>
      <w:r w:rsidR="006A5E87">
        <w:rPr>
          <w:rFonts w:ascii="Arial" w:hAnsi="Arial" w:cs="Arial"/>
          <w:bCs/>
          <w:sz w:val="24"/>
          <w:szCs w:val="24"/>
          <w:lang w:val="en-US"/>
        </w:rPr>
        <w:t xml:space="preserve"> including, where appropriate,</w:t>
      </w:r>
      <w:r>
        <w:rPr>
          <w:rFonts w:ascii="Arial" w:hAnsi="Arial" w:cs="Arial"/>
          <w:bCs/>
          <w:sz w:val="24"/>
          <w:szCs w:val="24"/>
          <w:lang w:val="en-US"/>
        </w:rPr>
        <w:t xml:space="preserve"> details of</w:t>
      </w:r>
      <w:r w:rsidR="008C01A6">
        <w:rPr>
          <w:rFonts w:ascii="Arial" w:hAnsi="Arial" w:cs="Arial"/>
          <w:bCs/>
          <w:sz w:val="24"/>
          <w:szCs w:val="24"/>
          <w:lang w:val="en-US"/>
        </w:rPr>
        <w:t xml:space="preserve"> evaluation </w:t>
      </w:r>
      <w:r w:rsidR="00071649" w:rsidRPr="00071649">
        <w:rPr>
          <w:rFonts w:ascii="Arial" w:hAnsi="Arial" w:cs="Arial"/>
          <w:bCs/>
          <w:sz w:val="24"/>
          <w:szCs w:val="24"/>
          <w:lang w:val="en-US"/>
        </w:rPr>
        <w:t>plan</w:t>
      </w:r>
      <w:r w:rsidR="00676BC2">
        <w:rPr>
          <w:rFonts w:ascii="Arial" w:hAnsi="Arial" w:cs="Arial"/>
          <w:bCs/>
          <w:sz w:val="24"/>
          <w:szCs w:val="24"/>
          <w:lang w:val="en-US"/>
        </w:rPr>
        <w:t>, communications plan</w:t>
      </w:r>
      <w:r w:rsidR="00071649" w:rsidRPr="00071649">
        <w:rPr>
          <w:rFonts w:ascii="Arial" w:hAnsi="Arial" w:cs="Arial"/>
          <w:bCs/>
          <w:sz w:val="24"/>
          <w:szCs w:val="24"/>
          <w:lang w:val="en-US"/>
        </w:rPr>
        <w:t xml:space="preserve"> &amp; methodology</w:t>
      </w:r>
      <w:r w:rsidR="006A5E87">
        <w:rPr>
          <w:rFonts w:ascii="Arial" w:hAnsi="Arial" w:cs="Arial"/>
          <w:bCs/>
          <w:sz w:val="24"/>
          <w:szCs w:val="24"/>
          <w:lang w:val="en-US"/>
        </w:rPr>
        <w:t>,</w:t>
      </w:r>
      <w:r w:rsidR="00071649">
        <w:rPr>
          <w:rFonts w:ascii="Arial" w:hAnsi="Arial" w:cs="Arial"/>
          <w:bCs/>
          <w:sz w:val="24"/>
          <w:szCs w:val="24"/>
          <w:lang w:val="en-US"/>
        </w:rPr>
        <w:t xml:space="preserve"> </w:t>
      </w:r>
      <w:r w:rsidR="00434C3A">
        <w:rPr>
          <w:rFonts w:ascii="Arial" w:hAnsi="Arial" w:cs="Arial"/>
          <w:bCs/>
          <w:sz w:val="24"/>
          <w:szCs w:val="24"/>
          <w:lang w:val="en-US"/>
        </w:rPr>
        <w:t>evaluation logic model, timescales and stakeholder engagement plan</w:t>
      </w:r>
    </w:p>
    <w:p w14:paraId="65B42A81" w14:textId="46B504C0" w:rsid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Budget</w:t>
      </w:r>
      <w:r w:rsidR="00434C3A">
        <w:rPr>
          <w:rFonts w:ascii="Arial" w:hAnsi="Arial" w:cs="Arial"/>
          <w:bCs/>
          <w:sz w:val="24"/>
          <w:szCs w:val="24"/>
          <w:lang w:val="en-US"/>
        </w:rPr>
        <w:t xml:space="preserve"> (including </w:t>
      </w:r>
      <w:r w:rsidR="00F9641C">
        <w:rPr>
          <w:rFonts w:ascii="Arial" w:hAnsi="Arial" w:cs="Arial"/>
          <w:bCs/>
          <w:sz w:val="24"/>
          <w:szCs w:val="24"/>
          <w:lang w:val="en-US"/>
        </w:rPr>
        <w:t xml:space="preserve">detailed </w:t>
      </w:r>
      <w:r w:rsidR="00434C3A">
        <w:rPr>
          <w:rFonts w:ascii="Arial" w:hAnsi="Arial" w:cs="Arial"/>
          <w:bCs/>
          <w:sz w:val="24"/>
          <w:szCs w:val="24"/>
          <w:lang w:val="en-US"/>
        </w:rPr>
        <w:t>breakdown of spend)</w:t>
      </w:r>
    </w:p>
    <w:p w14:paraId="4BCF7CD7" w14:textId="25CFD482"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Risk mapping and associated risk register</w:t>
      </w:r>
      <w:r w:rsidR="006A5E87">
        <w:rPr>
          <w:rFonts w:ascii="Arial" w:hAnsi="Arial" w:cs="Arial"/>
          <w:bCs/>
          <w:sz w:val="24"/>
          <w:szCs w:val="24"/>
          <w:lang w:val="en-US"/>
        </w:rPr>
        <w:t>, including any potential conflicts of interest</w:t>
      </w:r>
    </w:p>
    <w:p w14:paraId="71F5261C" w14:textId="6D834164"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 xml:space="preserve">Evaluation and project </w:t>
      </w:r>
      <w:r w:rsidR="00071649" w:rsidRPr="00071649">
        <w:rPr>
          <w:rFonts w:ascii="Arial" w:hAnsi="Arial" w:cs="Arial"/>
          <w:bCs/>
          <w:sz w:val="24"/>
          <w:szCs w:val="24"/>
          <w:lang w:val="en-US"/>
        </w:rPr>
        <w:t>team CVs</w:t>
      </w:r>
    </w:p>
    <w:p w14:paraId="64C3F07D" w14:textId="6108F206"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Word count (excluding Project</w:t>
      </w:r>
      <w:r w:rsidR="00FD6F6D">
        <w:rPr>
          <w:rFonts w:ascii="Arial" w:hAnsi="Arial" w:cs="Arial"/>
          <w:bCs/>
          <w:sz w:val="24"/>
          <w:szCs w:val="24"/>
          <w:lang w:val="en-US"/>
        </w:rPr>
        <w:t xml:space="preserve"> / Evaluation Team CVs) is a max</w:t>
      </w:r>
      <w:r w:rsidR="00FD2919">
        <w:rPr>
          <w:rFonts w:ascii="Arial" w:hAnsi="Arial" w:cs="Arial"/>
          <w:bCs/>
          <w:sz w:val="24"/>
          <w:szCs w:val="24"/>
          <w:lang w:val="en-US"/>
        </w:rPr>
        <w:t xml:space="preserve"> of 2</w:t>
      </w:r>
      <w:r w:rsidR="00F9641C">
        <w:rPr>
          <w:rFonts w:ascii="Arial" w:hAnsi="Arial" w:cs="Arial"/>
          <w:bCs/>
          <w:sz w:val="24"/>
          <w:szCs w:val="24"/>
          <w:lang w:val="en-US"/>
        </w:rPr>
        <w:t>,0</w:t>
      </w:r>
      <w:r w:rsidRPr="00071649">
        <w:rPr>
          <w:rFonts w:ascii="Arial" w:hAnsi="Arial" w:cs="Arial"/>
          <w:bCs/>
          <w:sz w:val="24"/>
          <w:szCs w:val="24"/>
          <w:lang w:val="en-US"/>
        </w:rPr>
        <w:t>00 words</w:t>
      </w:r>
      <w:r w:rsidR="00FD2919">
        <w:rPr>
          <w:rFonts w:ascii="Arial" w:hAnsi="Arial" w:cs="Arial"/>
          <w:bCs/>
          <w:sz w:val="24"/>
          <w:szCs w:val="24"/>
          <w:lang w:val="en-US"/>
        </w:rPr>
        <w:t xml:space="preserve"> per document</w:t>
      </w:r>
      <w:r w:rsidRPr="00071649">
        <w:rPr>
          <w:rFonts w:ascii="Arial" w:hAnsi="Arial" w:cs="Arial"/>
          <w:bCs/>
          <w:sz w:val="24"/>
          <w:szCs w:val="24"/>
          <w:lang w:val="en-US"/>
        </w:rPr>
        <w:t xml:space="preserve">. </w:t>
      </w:r>
    </w:p>
    <w:p w14:paraId="4BEDD00A"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will be reviewed by an internal PHE panel and candidates will be informed electronically of the result.</w:t>
      </w:r>
    </w:p>
    <w:p w14:paraId="7D52E74C" w14:textId="1BA7FDE5" w:rsidR="00071649" w:rsidRDefault="00071649" w:rsidP="00071649">
      <w:pPr>
        <w:rPr>
          <w:rFonts w:ascii="Arial" w:hAnsi="Arial" w:cs="Arial"/>
          <w:bCs/>
          <w:sz w:val="24"/>
          <w:szCs w:val="24"/>
          <w:lang w:val="en-US"/>
        </w:rPr>
      </w:pPr>
      <w:r w:rsidRPr="00071649">
        <w:rPr>
          <w:rFonts w:ascii="Arial" w:hAnsi="Arial" w:cs="Arial"/>
          <w:bCs/>
          <w:sz w:val="24"/>
          <w:szCs w:val="24"/>
          <w:lang w:val="en-US"/>
        </w:rPr>
        <w:t>If two applications are scored identically then both applicants will be invited to a verbal presentation</w:t>
      </w:r>
      <w:r w:rsidR="00FD6F6D">
        <w:rPr>
          <w:rFonts w:ascii="Arial" w:hAnsi="Arial" w:cs="Arial"/>
          <w:bCs/>
          <w:sz w:val="24"/>
          <w:szCs w:val="24"/>
          <w:lang w:val="en-US"/>
        </w:rPr>
        <w:t xml:space="preserve"> to decide the outcome</w:t>
      </w:r>
      <w:r w:rsidRPr="00071649">
        <w:rPr>
          <w:rFonts w:ascii="Arial" w:hAnsi="Arial" w:cs="Arial"/>
          <w:bCs/>
          <w:sz w:val="24"/>
          <w:szCs w:val="24"/>
          <w:lang w:val="en-US"/>
        </w:rPr>
        <w:t>.</w:t>
      </w:r>
    </w:p>
    <w:p w14:paraId="02993321" w14:textId="6B7587F0"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Selection Criteria</w:t>
      </w:r>
    </w:p>
    <w:p w14:paraId="3EA57D8C" w14:textId="33FD3175"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Criteria used by members of the PHE panel to assess applications for funding from the project include:</w:t>
      </w:r>
    </w:p>
    <w:p w14:paraId="6DCE32D5" w14:textId="135F3471"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RELEVANCE</w:t>
      </w:r>
      <w:r w:rsidRPr="00071649">
        <w:rPr>
          <w:rFonts w:ascii="Arial" w:hAnsi="Arial" w:cs="Arial"/>
          <w:sz w:val="24"/>
          <w:szCs w:val="24"/>
          <w:lang w:val="en-US"/>
        </w:rPr>
        <w:t xml:space="preserve"> of the proposed project plan and </w:t>
      </w:r>
      <w:r w:rsidR="00434C3A">
        <w:rPr>
          <w:rFonts w:ascii="Arial" w:hAnsi="Arial" w:cs="Arial"/>
          <w:sz w:val="24"/>
          <w:szCs w:val="24"/>
          <w:lang w:val="en-US"/>
        </w:rPr>
        <w:t xml:space="preserve">evaluation </w:t>
      </w:r>
      <w:r w:rsidRPr="00071649">
        <w:rPr>
          <w:rFonts w:ascii="Arial" w:hAnsi="Arial" w:cs="Arial"/>
          <w:sz w:val="24"/>
          <w:szCs w:val="24"/>
          <w:lang w:val="en-US"/>
        </w:rPr>
        <w:t xml:space="preserve">methodology to the aims and objectives of the project </w:t>
      </w:r>
    </w:p>
    <w:p w14:paraId="1A810074"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lastRenderedPageBreak/>
        <w:t>QUALITY</w:t>
      </w:r>
      <w:r w:rsidRPr="00071649">
        <w:rPr>
          <w:rFonts w:ascii="Arial" w:hAnsi="Arial" w:cs="Arial"/>
          <w:sz w:val="24"/>
          <w:szCs w:val="24"/>
          <w:lang w:val="en-US"/>
        </w:rPr>
        <w:t xml:space="preserve"> of the work plan and proposed management arrangements</w:t>
      </w:r>
    </w:p>
    <w:p w14:paraId="61FB2B58"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STRENGTH</w:t>
      </w:r>
      <w:r w:rsidRPr="00071649">
        <w:rPr>
          <w:rFonts w:ascii="Arial" w:hAnsi="Arial" w:cs="Arial"/>
          <w:sz w:val="24"/>
          <w:szCs w:val="24"/>
          <w:lang w:val="en-US"/>
        </w:rPr>
        <w:t xml:space="preserve"> of the project team</w:t>
      </w:r>
    </w:p>
    <w:p w14:paraId="7BBABA90"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IMPACT</w:t>
      </w:r>
      <w:r w:rsidRPr="00071649">
        <w:rPr>
          <w:rFonts w:ascii="Arial" w:hAnsi="Arial" w:cs="Arial"/>
          <w:sz w:val="24"/>
          <w:szCs w:val="24"/>
          <w:lang w:val="en-US"/>
        </w:rPr>
        <w:t xml:space="preserve"> of the proposed work </w:t>
      </w:r>
    </w:p>
    <w:p w14:paraId="45942039"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 xml:space="preserve">VALUE </w:t>
      </w:r>
      <w:r w:rsidRPr="00071649">
        <w:rPr>
          <w:rFonts w:ascii="Arial" w:hAnsi="Arial" w:cs="Arial"/>
          <w:sz w:val="24"/>
          <w:szCs w:val="24"/>
          <w:lang w:val="en-US"/>
        </w:rPr>
        <w:t xml:space="preserve">for money (justification of the proposed costs) </w:t>
      </w:r>
    </w:p>
    <w:p w14:paraId="3831350A" w14:textId="04A4E1B2" w:rsid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INVOLVEMENT</w:t>
      </w:r>
      <w:r w:rsidR="00C809DE">
        <w:rPr>
          <w:rFonts w:ascii="Arial" w:hAnsi="Arial" w:cs="Arial"/>
          <w:sz w:val="24"/>
          <w:szCs w:val="24"/>
          <w:lang w:val="en-US"/>
        </w:rPr>
        <w:t xml:space="preserve"> of key partners </w:t>
      </w:r>
      <w:r w:rsidRPr="00071649">
        <w:rPr>
          <w:rFonts w:ascii="Arial" w:hAnsi="Arial" w:cs="Arial"/>
          <w:sz w:val="24"/>
          <w:szCs w:val="24"/>
          <w:lang w:val="en-US"/>
        </w:rPr>
        <w:t>and the public</w:t>
      </w:r>
    </w:p>
    <w:p w14:paraId="52CC81BF" w14:textId="77777777" w:rsidR="00071649" w:rsidRPr="00071649" w:rsidRDefault="00071649" w:rsidP="00071649">
      <w:pPr>
        <w:rPr>
          <w:rFonts w:ascii="Arial" w:hAnsi="Arial" w:cs="Arial"/>
          <w:b/>
          <w:bCs/>
          <w:sz w:val="24"/>
          <w:szCs w:val="24"/>
          <w:lang w:val="en-US"/>
        </w:rPr>
      </w:pPr>
      <w:r>
        <w:rPr>
          <w:rFonts w:ascii="Arial" w:hAnsi="Arial" w:cs="Arial"/>
          <w:b/>
          <w:bCs/>
          <w:sz w:val="24"/>
          <w:szCs w:val="24"/>
          <w:lang w:val="en-US"/>
        </w:rPr>
        <w:t xml:space="preserve">Commissioning </w:t>
      </w:r>
      <w:r w:rsidRPr="00071649">
        <w:rPr>
          <w:rFonts w:ascii="Arial" w:hAnsi="Arial" w:cs="Arial"/>
          <w:b/>
          <w:bCs/>
          <w:sz w:val="24"/>
          <w:szCs w:val="24"/>
          <w:lang w:val="en-US"/>
        </w:rPr>
        <w:t>Timetable</w:t>
      </w:r>
    </w:p>
    <w:p w14:paraId="0A9A504F"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It is anticipated that commissioning of this project will occur to the following approximate timetable: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23"/>
      </w:tblGrid>
      <w:tr w:rsidR="00071649" w:rsidRPr="00071649" w14:paraId="63CF7AB6" w14:textId="77777777" w:rsidTr="00F51AC8">
        <w:tc>
          <w:tcPr>
            <w:tcW w:w="1985" w:type="dxa"/>
            <w:shd w:val="clear" w:color="auto" w:fill="BFBFBF"/>
          </w:tcPr>
          <w:p w14:paraId="5D07AAF5" w14:textId="77777777" w:rsidR="00071649" w:rsidRPr="00071649" w:rsidRDefault="00071649" w:rsidP="00071649">
            <w:pPr>
              <w:rPr>
                <w:rFonts w:ascii="Arial" w:hAnsi="Arial" w:cs="Arial"/>
                <w:b/>
                <w:sz w:val="24"/>
                <w:szCs w:val="24"/>
              </w:rPr>
            </w:pPr>
            <w:bookmarkStart w:id="2" w:name="_Hlk77689333"/>
            <w:r w:rsidRPr="00071649">
              <w:rPr>
                <w:rFonts w:ascii="Arial" w:hAnsi="Arial" w:cs="Arial"/>
                <w:b/>
                <w:sz w:val="24"/>
                <w:szCs w:val="24"/>
              </w:rPr>
              <w:t>Date</w:t>
            </w:r>
          </w:p>
        </w:tc>
        <w:tc>
          <w:tcPr>
            <w:tcW w:w="6423" w:type="dxa"/>
            <w:shd w:val="clear" w:color="auto" w:fill="BFBFBF"/>
          </w:tcPr>
          <w:p w14:paraId="0A36650E" w14:textId="77777777" w:rsidR="00071649" w:rsidRPr="00071649" w:rsidRDefault="00071649" w:rsidP="00071649">
            <w:pPr>
              <w:rPr>
                <w:rFonts w:ascii="Arial" w:hAnsi="Arial" w:cs="Arial"/>
                <w:b/>
                <w:sz w:val="24"/>
                <w:szCs w:val="24"/>
              </w:rPr>
            </w:pPr>
            <w:r w:rsidRPr="00071649">
              <w:rPr>
                <w:rFonts w:ascii="Arial" w:hAnsi="Arial" w:cs="Arial"/>
                <w:b/>
                <w:sz w:val="24"/>
                <w:szCs w:val="24"/>
              </w:rPr>
              <w:t>Action</w:t>
            </w:r>
          </w:p>
        </w:tc>
      </w:tr>
      <w:tr w:rsidR="00071649" w:rsidRPr="00071649" w14:paraId="23AF47B6" w14:textId="77777777" w:rsidTr="00F51AC8">
        <w:tc>
          <w:tcPr>
            <w:tcW w:w="1985" w:type="dxa"/>
            <w:shd w:val="clear" w:color="auto" w:fill="auto"/>
          </w:tcPr>
          <w:p w14:paraId="29A393E7" w14:textId="444B5E60" w:rsidR="00071649" w:rsidRPr="00FD6F6D" w:rsidRDefault="00F51AC8" w:rsidP="00071649">
            <w:pPr>
              <w:rPr>
                <w:rFonts w:ascii="Arial" w:hAnsi="Arial" w:cs="Arial"/>
                <w:b/>
                <w:sz w:val="24"/>
                <w:szCs w:val="24"/>
              </w:rPr>
            </w:pPr>
            <w:r>
              <w:rPr>
                <w:rFonts w:ascii="Arial" w:hAnsi="Arial" w:cs="Arial"/>
                <w:b/>
                <w:sz w:val="24"/>
                <w:szCs w:val="24"/>
              </w:rPr>
              <w:t>26/06/2021</w:t>
            </w:r>
          </w:p>
        </w:tc>
        <w:tc>
          <w:tcPr>
            <w:tcW w:w="6423" w:type="dxa"/>
            <w:shd w:val="clear" w:color="auto" w:fill="auto"/>
          </w:tcPr>
          <w:p w14:paraId="036DBB18" w14:textId="39FD4C24" w:rsidR="00071649" w:rsidRPr="00071649" w:rsidRDefault="00071649" w:rsidP="00071649">
            <w:pPr>
              <w:rPr>
                <w:rFonts w:ascii="Arial" w:hAnsi="Arial" w:cs="Arial"/>
                <w:sz w:val="24"/>
                <w:szCs w:val="24"/>
                <w:lang w:val="en-US"/>
              </w:rPr>
            </w:pPr>
            <w:r w:rsidRPr="00071649">
              <w:rPr>
                <w:rFonts w:ascii="Arial" w:hAnsi="Arial" w:cs="Arial"/>
                <w:sz w:val="24"/>
                <w:szCs w:val="24"/>
                <w:lang w:val="en-US"/>
              </w:rPr>
              <w:t>Issue of invitation to tender via BRAVO</w:t>
            </w:r>
          </w:p>
        </w:tc>
      </w:tr>
      <w:tr w:rsidR="00071649" w:rsidRPr="00071649" w14:paraId="37D6C571" w14:textId="77777777" w:rsidTr="00F51AC8">
        <w:tc>
          <w:tcPr>
            <w:tcW w:w="1985" w:type="dxa"/>
            <w:shd w:val="clear" w:color="auto" w:fill="auto"/>
          </w:tcPr>
          <w:p w14:paraId="165EC93E" w14:textId="008B0424" w:rsidR="00071649" w:rsidRPr="00FD6F6D" w:rsidRDefault="0071186F" w:rsidP="00071649">
            <w:pPr>
              <w:rPr>
                <w:rFonts w:ascii="Arial" w:hAnsi="Arial" w:cs="Arial"/>
                <w:b/>
                <w:sz w:val="24"/>
                <w:szCs w:val="24"/>
              </w:rPr>
            </w:pPr>
            <w:r>
              <w:rPr>
                <w:rFonts w:ascii="Arial" w:hAnsi="Arial" w:cs="Arial"/>
                <w:b/>
                <w:sz w:val="24"/>
                <w:szCs w:val="24"/>
              </w:rPr>
              <w:t>23</w:t>
            </w:r>
            <w:r w:rsidR="00F51AC8">
              <w:rPr>
                <w:rFonts w:ascii="Arial" w:hAnsi="Arial" w:cs="Arial"/>
                <w:b/>
                <w:sz w:val="24"/>
                <w:szCs w:val="24"/>
              </w:rPr>
              <w:t>/08/2021</w:t>
            </w:r>
          </w:p>
        </w:tc>
        <w:tc>
          <w:tcPr>
            <w:tcW w:w="6423" w:type="dxa"/>
            <w:shd w:val="clear" w:color="auto" w:fill="auto"/>
          </w:tcPr>
          <w:p w14:paraId="4D5B04DF" w14:textId="77777777" w:rsidR="00071649" w:rsidRPr="00071649" w:rsidRDefault="00071649" w:rsidP="00071649">
            <w:pPr>
              <w:rPr>
                <w:rFonts w:ascii="Arial" w:hAnsi="Arial" w:cs="Arial"/>
                <w:sz w:val="24"/>
                <w:szCs w:val="24"/>
              </w:rPr>
            </w:pPr>
            <w:r w:rsidRPr="00071649">
              <w:rPr>
                <w:rFonts w:ascii="Arial" w:hAnsi="Arial" w:cs="Arial"/>
                <w:sz w:val="24"/>
                <w:szCs w:val="24"/>
              </w:rPr>
              <w:t>Deadline for receipt of applications</w:t>
            </w:r>
          </w:p>
        </w:tc>
      </w:tr>
      <w:tr w:rsidR="00071649" w:rsidRPr="00071649" w14:paraId="6B8BC9EC" w14:textId="77777777" w:rsidTr="00F51AC8">
        <w:tc>
          <w:tcPr>
            <w:tcW w:w="1985" w:type="dxa"/>
            <w:shd w:val="clear" w:color="auto" w:fill="auto"/>
          </w:tcPr>
          <w:p w14:paraId="45613F24" w14:textId="29792B1E" w:rsidR="00071649" w:rsidRPr="00FD6F6D" w:rsidRDefault="00F51AC8" w:rsidP="00FD6F6D">
            <w:pPr>
              <w:rPr>
                <w:rFonts w:ascii="Arial" w:hAnsi="Arial" w:cs="Arial"/>
                <w:b/>
                <w:sz w:val="24"/>
                <w:szCs w:val="24"/>
              </w:rPr>
            </w:pPr>
            <w:r>
              <w:rPr>
                <w:rFonts w:ascii="Arial" w:hAnsi="Arial" w:cs="Arial"/>
                <w:b/>
                <w:sz w:val="24"/>
                <w:szCs w:val="24"/>
              </w:rPr>
              <w:t>2</w:t>
            </w:r>
            <w:r w:rsidR="0071186F">
              <w:rPr>
                <w:rFonts w:ascii="Arial" w:hAnsi="Arial" w:cs="Arial"/>
                <w:b/>
                <w:sz w:val="24"/>
                <w:szCs w:val="24"/>
              </w:rPr>
              <w:t>7</w:t>
            </w:r>
            <w:r>
              <w:rPr>
                <w:rFonts w:ascii="Arial" w:hAnsi="Arial" w:cs="Arial"/>
                <w:b/>
                <w:sz w:val="24"/>
                <w:szCs w:val="24"/>
              </w:rPr>
              <w:t>/08/2021</w:t>
            </w:r>
          </w:p>
        </w:tc>
        <w:tc>
          <w:tcPr>
            <w:tcW w:w="6423" w:type="dxa"/>
            <w:shd w:val="clear" w:color="auto" w:fill="auto"/>
          </w:tcPr>
          <w:p w14:paraId="3EC01FAB" w14:textId="77777777" w:rsidR="00071649" w:rsidRPr="00071649" w:rsidRDefault="00071649" w:rsidP="00071649">
            <w:pPr>
              <w:rPr>
                <w:rFonts w:ascii="Arial" w:hAnsi="Arial" w:cs="Arial"/>
                <w:sz w:val="24"/>
                <w:szCs w:val="24"/>
              </w:rPr>
            </w:pPr>
            <w:r w:rsidRPr="00071649">
              <w:rPr>
                <w:rFonts w:ascii="Arial" w:hAnsi="Arial" w:cs="Arial"/>
                <w:sz w:val="24"/>
                <w:szCs w:val="24"/>
              </w:rPr>
              <w:t>Notification of outcome of applications review</w:t>
            </w:r>
          </w:p>
        </w:tc>
      </w:tr>
      <w:tr w:rsidR="00071649" w:rsidRPr="00071649" w14:paraId="1CDF2F6E" w14:textId="77777777" w:rsidTr="00F51AC8">
        <w:trPr>
          <w:trHeight w:val="487"/>
        </w:trPr>
        <w:tc>
          <w:tcPr>
            <w:tcW w:w="1985" w:type="dxa"/>
            <w:shd w:val="clear" w:color="auto" w:fill="auto"/>
          </w:tcPr>
          <w:p w14:paraId="6CCE44AA" w14:textId="5ED22052" w:rsidR="00071649" w:rsidRPr="00FD6F6D" w:rsidRDefault="0071186F" w:rsidP="00071649">
            <w:pPr>
              <w:rPr>
                <w:rFonts w:ascii="Arial" w:hAnsi="Arial" w:cs="Arial"/>
                <w:b/>
                <w:sz w:val="24"/>
                <w:szCs w:val="24"/>
              </w:rPr>
            </w:pPr>
            <w:r>
              <w:rPr>
                <w:rFonts w:ascii="Arial" w:hAnsi="Arial" w:cs="Arial"/>
                <w:b/>
                <w:sz w:val="24"/>
                <w:szCs w:val="24"/>
              </w:rPr>
              <w:t>31</w:t>
            </w:r>
            <w:r w:rsidR="00F51AC8">
              <w:rPr>
                <w:rFonts w:ascii="Arial" w:hAnsi="Arial" w:cs="Arial"/>
                <w:b/>
                <w:sz w:val="24"/>
                <w:szCs w:val="24"/>
              </w:rPr>
              <w:t>/08/2021</w:t>
            </w:r>
          </w:p>
        </w:tc>
        <w:tc>
          <w:tcPr>
            <w:tcW w:w="6423" w:type="dxa"/>
            <w:shd w:val="clear" w:color="auto" w:fill="auto"/>
          </w:tcPr>
          <w:p w14:paraId="402D172F" w14:textId="77777777" w:rsidR="00071649" w:rsidRPr="00071649" w:rsidRDefault="00071649" w:rsidP="00071649">
            <w:pPr>
              <w:rPr>
                <w:rFonts w:ascii="Arial" w:hAnsi="Arial" w:cs="Arial"/>
                <w:sz w:val="24"/>
                <w:szCs w:val="24"/>
              </w:rPr>
            </w:pPr>
            <w:r w:rsidRPr="00071649">
              <w:rPr>
                <w:rFonts w:ascii="Arial" w:hAnsi="Arial" w:cs="Arial"/>
                <w:sz w:val="24"/>
                <w:szCs w:val="24"/>
              </w:rPr>
              <w:t>Award of contract</w:t>
            </w:r>
          </w:p>
        </w:tc>
      </w:tr>
      <w:tr w:rsidR="00071649" w:rsidRPr="00071649" w14:paraId="20C15E90" w14:textId="77777777" w:rsidTr="00F51AC8">
        <w:tc>
          <w:tcPr>
            <w:tcW w:w="1985" w:type="dxa"/>
            <w:shd w:val="clear" w:color="auto" w:fill="auto"/>
          </w:tcPr>
          <w:p w14:paraId="392B6222" w14:textId="7A78CE80" w:rsidR="00071649" w:rsidRPr="00FD6F6D" w:rsidRDefault="00F51AC8" w:rsidP="00FD6F6D">
            <w:pPr>
              <w:rPr>
                <w:rFonts w:ascii="Arial" w:hAnsi="Arial" w:cs="Arial"/>
                <w:b/>
                <w:sz w:val="24"/>
                <w:szCs w:val="24"/>
              </w:rPr>
            </w:pPr>
            <w:r>
              <w:rPr>
                <w:rFonts w:ascii="Arial" w:hAnsi="Arial" w:cs="Arial"/>
                <w:b/>
                <w:sz w:val="24"/>
                <w:szCs w:val="24"/>
              </w:rPr>
              <w:t>31/03/2022</w:t>
            </w:r>
          </w:p>
        </w:tc>
        <w:tc>
          <w:tcPr>
            <w:tcW w:w="6423" w:type="dxa"/>
            <w:shd w:val="clear" w:color="auto" w:fill="auto"/>
          </w:tcPr>
          <w:p w14:paraId="50607DA7" w14:textId="77777777" w:rsidR="00071649" w:rsidRPr="00071649" w:rsidRDefault="00071649" w:rsidP="00071649">
            <w:pPr>
              <w:rPr>
                <w:rFonts w:ascii="Arial" w:hAnsi="Arial" w:cs="Arial"/>
                <w:sz w:val="24"/>
                <w:szCs w:val="24"/>
              </w:rPr>
            </w:pPr>
            <w:r w:rsidRPr="00071649">
              <w:rPr>
                <w:rFonts w:ascii="Arial" w:hAnsi="Arial" w:cs="Arial"/>
                <w:sz w:val="24"/>
                <w:szCs w:val="24"/>
              </w:rPr>
              <w:t>Project completion</w:t>
            </w:r>
          </w:p>
        </w:tc>
      </w:tr>
      <w:bookmarkEnd w:id="2"/>
    </w:tbl>
    <w:p w14:paraId="2E247939" w14:textId="77777777" w:rsidR="00071649" w:rsidRPr="00071649" w:rsidRDefault="00071649" w:rsidP="00071649">
      <w:pPr>
        <w:rPr>
          <w:rFonts w:ascii="Arial" w:hAnsi="Arial" w:cs="Arial"/>
          <w:sz w:val="24"/>
          <w:szCs w:val="24"/>
        </w:rPr>
      </w:pPr>
    </w:p>
    <w:sectPr w:rsidR="00071649" w:rsidRPr="00071649" w:rsidSect="00292874">
      <w:headerReference w:type="default" r:id="rId12"/>
      <w:footerReference w:type="default" r:id="rId13"/>
      <w:endnotePr>
        <w:numFmt w:val="decimal"/>
      </w:endnotePr>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FE3AD" w14:textId="77777777" w:rsidR="00D92FFB" w:rsidRDefault="00D92FFB" w:rsidP="000D6E1B">
      <w:pPr>
        <w:spacing w:after="0" w:line="240" w:lineRule="auto"/>
      </w:pPr>
      <w:r>
        <w:separator/>
      </w:r>
    </w:p>
  </w:endnote>
  <w:endnote w:type="continuationSeparator" w:id="0">
    <w:p w14:paraId="0A5CDE59" w14:textId="77777777" w:rsidR="00D92FFB" w:rsidRDefault="00D92FFB" w:rsidP="000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14566"/>
      <w:docPartObj>
        <w:docPartGallery w:val="Page Numbers (Bottom of Page)"/>
        <w:docPartUnique/>
      </w:docPartObj>
    </w:sdtPr>
    <w:sdtEndPr>
      <w:rPr>
        <w:noProof/>
      </w:rPr>
    </w:sdtEndPr>
    <w:sdtContent>
      <w:p w14:paraId="037161B6" w14:textId="77777777" w:rsidR="00EB5104" w:rsidRDefault="00EB5104">
        <w:pPr>
          <w:pStyle w:val="Footer"/>
          <w:jc w:val="right"/>
        </w:pPr>
        <w:r>
          <w:fldChar w:fldCharType="begin"/>
        </w:r>
        <w:r>
          <w:instrText xml:space="preserve"> PAGE   \* MERGEFORMAT </w:instrText>
        </w:r>
        <w:r>
          <w:fldChar w:fldCharType="separate"/>
        </w:r>
        <w:r w:rsidR="00431732">
          <w:rPr>
            <w:noProof/>
          </w:rPr>
          <w:t>3</w:t>
        </w:r>
        <w:r>
          <w:rPr>
            <w:noProof/>
          </w:rPr>
          <w:fldChar w:fldCharType="end"/>
        </w:r>
      </w:p>
    </w:sdtContent>
  </w:sdt>
  <w:p w14:paraId="2FBE26DC" w14:textId="77777777" w:rsidR="00EB5104" w:rsidRDefault="00EB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1D3EC" w14:textId="77777777" w:rsidR="00D92FFB" w:rsidRDefault="00D92FFB" w:rsidP="000D6E1B">
      <w:pPr>
        <w:spacing w:after="0" w:line="240" w:lineRule="auto"/>
      </w:pPr>
      <w:r>
        <w:separator/>
      </w:r>
    </w:p>
  </w:footnote>
  <w:footnote w:type="continuationSeparator" w:id="0">
    <w:p w14:paraId="636D9D3F" w14:textId="77777777" w:rsidR="00D92FFB" w:rsidRDefault="00D92FFB" w:rsidP="000D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9047" w14:textId="77777777" w:rsidR="00EB5104" w:rsidRDefault="00EB5104">
    <w:pPr>
      <w:pStyle w:val="Header"/>
    </w:pPr>
    <w:r>
      <w:rPr>
        <w:noProof/>
        <w:lang w:eastAsia="en-GB"/>
      </w:rPr>
      <w:drawing>
        <wp:anchor distT="0" distB="0" distL="114300" distR="114300" simplePos="0" relativeHeight="251660800" behindDoc="0" locked="0" layoutInCell="1" allowOverlap="1" wp14:anchorId="4A3941FD" wp14:editId="11A55D75">
          <wp:simplePos x="0" y="0"/>
          <wp:positionH relativeFrom="column">
            <wp:posOffset>-650240</wp:posOffset>
          </wp:positionH>
          <wp:positionV relativeFrom="paragraph">
            <wp:posOffset>-429260</wp:posOffset>
          </wp:positionV>
          <wp:extent cx="4065270" cy="2007870"/>
          <wp:effectExtent l="0" t="0" r="0" b="0"/>
          <wp:wrapTopAndBottom/>
          <wp:docPr id="29" name="Picture 29"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774"/>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B1AAA"/>
    <w:multiLevelType w:val="hybridMultilevel"/>
    <w:tmpl w:val="2D08E6A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D691C0C"/>
    <w:multiLevelType w:val="hybridMultilevel"/>
    <w:tmpl w:val="37E84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F7795"/>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11EF5"/>
    <w:multiLevelType w:val="hybridMultilevel"/>
    <w:tmpl w:val="DE2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321ED"/>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3387E"/>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63EEA"/>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56E82"/>
    <w:multiLevelType w:val="hybridMultilevel"/>
    <w:tmpl w:val="7BA4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3032"/>
    <w:multiLevelType w:val="hybridMultilevel"/>
    <w:tmpl w:val="A850758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173"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42E4A83A"/>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1713"/>
        </w:tabs>
        <w:ind w:left="1713" w:hanging="720"/>
      </w:pPr>
      <w:rPr>
        <w:rFonts w:ascii="Arial" w:hAnsi="Arial" w:cs="Times New Roman" w:hint="default"/>
        <w:b w:val="0"/>
        <w:sz w:val="22"/>
        <w:szCs w:val="22"/>
        <w:u w:val="none"/>
      </w:rPr>
    </w:lvl>
    <w:lvl w:ilvl="2">
      <w:start w:val="1"/>
      <w:numFmt w:val="decimal"/>
      <w:lvlText w:val="%1.%2.%3"/>
      <w:lvlJc w:val="left"/>
      <w:pPr>
        <w:tabs>
          <w:tab w:val="num" w:pos="1800"/>
        </w:tabs>
        <w:ind w:left="1800" w:hanging="1080"/>
      </w:pPr>
      <w:rPr>
        <w:rFonts w:ascii="Arial" w:hAnsi="Arial" w:cs="Times New Roman" w:hint="default"/>
        <w:b w:val="0"/>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1CF4BAD"/>
    <w:multiLevelType w:val="hybridMultilevel"/>
    <w:tmpl w:val="E6A4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B7668D"/>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125B3"/>
    <w:multiLevelType w:val="hybridMultilevel"/>
    <w:tmpl w:val="F2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D3B43"/>
    <w:multiLevelType w:val="hybridMultilevel"/>
    <w:tmpl w:val="D8DC2F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27701B"/>
    <w:multiLevelType w:val="hybridMultilevel"/>
    <w:tmpl w:val="2E165FE4"/>
    <w:lvl w:ilvl="0" w:tplc="08090017">
      <w:start w:val="1"/>
      <w:numFmt w:val="lowerLetter"/>
      <w:lvlText w:val="%1)"/>
      <w:lvlJc w:val="left"/>
      <w:pPr>
        <w:ind w:left="1211" w:hanging="360"/>
      </w:pPr>
    </w:lvl>
    <w:lvl w:ilvl="1" w:tplc="08090017">
      <w:start w:val="1"/>
      <w:numFmt w:val="lowerLetter"/>
      <w:lvlText w:val="%2)"/>
      <w:lvlJc w:val="left"/>
      <w:pPr>
        <w:ind w:left="1931" w:hanging="360"/>
      </w:pPr>
    </w:lvl>
    <w:lvl w:ilvl="2" w:tplc="08090017">
      <w:start w:val="1"/>
      <w:numFmt w:val="lowerLetter"/>
      <w:lvlText w:val="%3)"/>
      <w:lvlJc w:val="left"/>
      <w:pPr>
        <w:ind w:left="1664"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F142923"/>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A4592"/>
    <w:multiLevelType w:val="hybridMultilevel"/>
    <w:tmpl w:val="73F63638"/>
    <w:lvl w:ilvl="0" w:tplc="2EBEA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2E02D2"/>
    <w:multiLevelType w:val="hybridMultilevel"/>
    <w:tmpl w:val="E5800F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0A598C"/>
    <w:multiLevelType w:val="hybridMultilevel"/>
    <w:tmpl w:val="5EF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E6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284288"/>
    <w:multiLevelType w:val="hybridMultilevel"/>
    <w:tmpl w:val="43523378"/>
    <w:lvl w:ilvl="0" w:tplc="83C23A74">
      <w:numFmt w:val="bullet"/>
      <w:lvlText w:val="•"/>
      <w:lvlJc w:val="left"/>
      <w:pPr>
        <w:ind w:left="852" w:hanging="852"/>
      </w:pPr>
      <w:rPr>
        <w:rFonts w:ascii="Arial" w:eastAsiaTheme="maj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5333F1"/>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C65EF"/>
    <w:multiLevelType w:val="hybridMultilevel"/>
    <w:tmpl w:val="7E94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24A9A"/>
    <w:multiLevelType w:val="hybridMultilevel"/>
    <w:tmpl w:val="8A00B5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8956F3"/>
    <w:multiLevelType w:val="hybridMultilevel"/>
    <w:tmpl w:val="F0603E4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7">
      <w:start w:val="1"/>
      <w:numFmt w:val="lowerLetter"/>
      <w:lvlText w:val="%3)"/>
      <w:lvlJc w:val="left"/>
      <w:pPr>
        <w:ind w:left="1533"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BE4590"/>
    <w:multiLevelType w:val="hybridMultilevel"/>
    <w:tmpl w:val="72F81252"/>
    <w:lvl w:ilvl="0" w:tplc="C7163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D2032"/>
    <w:multiLevelType w:val="hybridMultilevel"/>
    <w:tmpl w:val="99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98613B"/>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8B5ADB"/>
    <w:multiLevelType w:val="hybridMultilevel"/>
    <w:tmpl w:val="A44694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62339"/>
    <w:multiLevelType w:val="hybridMultilevel"/>
    <w:tmpl w:val="AB5C5896"/>
    <w:lvl w:ilvl="0" w:tplc="FC2270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EC3BE6"/>
    <w:multiLevelType w:val="hybridMultilevel"/>
    <w:tmpl w:val="59B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C6E61"/>
    <w:multiLevelType w:val="multilevel"/>
    <w:tmpl w:val="638C837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A516A"/>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A729D3"/>
    <w:multiLevelType w:val="hybridMultilevel"/>
    <w:tmpl w:val="7B72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7"/>
  </w:num>
  <w:num w:numId="3">
    <w:abstractNumId w:val="2"/>
  </w:num>
  <w:num w:numId="4">
    <w:abstractNumId w:val="30"/>
  </w:num>
  <w:num w:numId="5">
    <w:abstractNumId w:val="16"/>
  </w:num>
  <w:num w:numId="6">
    <w:abstractNumId w:val="29"/>
  </w:num>
  <w:num w:numId="7">
    <w:abstractNumId w:val="0"/>
  </w:num>
  <w:num w:numId="8">
    <w:abstractNumId w:val="5"/>
  </w:num>
  <w:num w:numId="9">
    <w:abstractNumId w:val="9"/>
  </w:num>
  <w:num w:numId="10">
    <w:abstractNumId w:val="15"/>
  </w:num>
  <w:num w:numId="11">
    <w:abstractNumId w:val="1"/>
  </w:num>
  <w:num w:numId="12">
    <w:abstractNumId w:val="33"/>
  </w:num>
  <w:num w:numId="13">
    <w:abstractNumId w:val="31"/>
  </w:num>
  <w:num w:numId="14">
    <w:abstractNumId w:val="25"/>
  </w:num>
  <w:num w:numId="15">
    <w:abstractNumId w:val="12"/>
  </w:num>
  <w:num w:numId="16">
    <w:abstractNumId w:val="3"/>
  </w:num>
  <w:num w:numId="17">
    <w:abstractNumId w:val="19"/>
  </w:num>
  <w:num w:numId="18">
    <w:abstractNumId w:val="13"/>
  </w:num>
  <w:num w:numId="19">
    <w:abstractNumId w:val="32"/>
  </w:num>
  <w:num w:numId="20">
    <w:abstractNumId w:val="34"/>
  </w:num>
  <w:num w:numId="21">
    <w:abstractNumId w:val="24"/>
  </w:num>
  <w:num w:numId="22">
    <w:abstractNumId w:val="18"/>
  </w:num>
  <w:num w:numId="23">
    <w:abstractNumId w:val="20"/>
  </w:num>
  <w:num w:numId="24">
    <w:abstractNumId w:val="11"/>
  </w:num>
  <w:num w:numId="25">
    <w:abstractNumId w:val="17"/>
  </w:num>
  <w:num w:numId="26">
    <w:abstractNumId w:val="4"/>
  </w:num>
  <w:num w:numId="27">
    <w:abstractNumId w:val="10"/>
  </w:num>
  <w:num w:numId="28">
    <w:abstractNumId w:val="26"/>
  </w:num>
  <w:num w:numId="29">
    <w:abstractNumId w:val="7"/>
  </w:num>
  <w:num w:numId="30">
    <w:abstractNumId w:val="28"/>
  </w:num>
  <w:num w:numId="31">
    <w:abstractNumId w:val="22"/>
  </w:num>
  <w:num w:numId="32">
    <w:abstractNumId w:val="6"/>
  </w:num>
  <w:num w:numId="33">
    <w:abstractNumId w:val="8"/>
  </w:num>
  <w:num w:numId="34">
    <w:abstractNumId w:val="23"/>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D8"/>
    <w:rsid w:val="00001642"/>
    <w:rsid w:val="0000262A"/>
    <w:rsid w:val="00006702"/>
    <w:rsid w:val="00044057"/>
    <w:rsid w:val="000512CF"/>
    <w:rsid w:val="00066768"/>
    <w:rsid w:val="00067E8C"/>
    <w:rsid w:val="00071649"/>
    <w:rsid w:val="0008318C"/>
    <w:rsid w:val="00084547"/>
    <w:rsid w:val="0008516D"/>
    <w:rsid w:val="0008763D"/>
    <w:rsid w:val="00090464"/>
    <w:rsid w:val="00094330"/>
    <w:rsid w:val="000A61BA"/>
    <w:rsid w:val="000B33B2"/>
    <w:rsid w:val="000B4476"/>
    <w:rsid w:val="000C0D06"/>
    <w:rsid w:val="000C1183"/>
    <w:rsid w:val="000C35B2"/>
    <w:rsid w:val="000C757F"/>
    <w:rsid w:val="000D4791"/>
    <w:rsid w:val="000D6E1B"/>
    <w:rsid w:val="000E0421"/>
    <w:rsid w:val="000E1C2C"/>
    <w:rsid w:val="000E266F"/>
    <w:rsid w:val="000E3728"/>
    <w:rsid w:val="000F01E6"/>
    <w:rsid w:val="000F0925"/>
    <w:rsid w:val="000F4C0E"/>
    <w:rsid w:val="000F66E8"/>
    <w:rsid w:val="0010303A"/>
    <w:rsid w:val="00106080"/>
    <w:rsid w:val="00107571"/>
    <w:rsid w:val="001238F3"/>
    <w:rsid w:val="001241C9"/>
    <w:rsid w:val="00124C56"/>
    <w:rsid w:val="001253AF"/>
    <w:rsid w:val="00132554"/>
    <w:rsid w:val="0013549B"/>
    <w:rsid w:val="00135739"/>
    <w:rsid w:val="00153245"/>
    <w:rsid w:val="00156FBF"/>
    <w:rsid w:val="00180679"/>
    <w:rsid w:val="00184528"/>
    <w:rsid w:val="00185445"/>
    <w:rsid w:val="00190C77"/>
    <w:rsid w:val="001929FE"/>
    <w:rsid w:val="00193EFC"/>
    <w:rsid w:val="00194F60"/>
    <w:rsid w:val="001A6908"/>
    <w:rsid w:val="001B0C33"/>
    <w:rsid w:val="001B694C"/>
    <w:rsid w:val="001C6391"/>
    <w:rsid w:val="001C72EB"/>
    <w:rsid w:val="001C7752"/>
    <w:rsid w:val="001E0A4E"/>
    <w:rsid w:val="001E1728"/>
    <w:rsid w:val="001E17F0"/>
    <w:rsid w:val="001E1A35"/>
    <w:rsid w:val="001E3F42"/>
    <w:rsid w:val="001E63EB"/>
    <w:rsid w:val="001E7413"/>
    <w:rsid w:val="001F0CC0"/>
    <w:rsid w:val="001F54CA"/>
    <w:rsid w:val="00207660"/>
    <w:rsid w:val="00212267"/>
    <w:rsid w:val="002226AF"/>
    <w:rsid w:val="00222AFC"/>
    <w:rsid w:val="002230A3"/>
    <w:rsid w:val="00232D48"/>
    <w:rsid w:val="0023359B"/>
    <w:rsid w:val="002555BA"/>
    <w:rsid w:val="002662B4"/>
    <w:rsid w:val="00270CD7"/>
    <w:rsid w:val="00273F87"/>
    <w:rsid w:val="00275CAC"/>
    <w:rsid w:val="00276410"/>
    <w:rsid w:val="00277A5A"/>
    <w:rsid w:val="0028237B"/>
    <w:rsid w:val="00292874"/>
    <w:rsid w:val="002A0B58"/>
    <w:rsid w:val="002A643E"/>
    <w:rsid w:val="002B1392"/>
    <w:rsid w:val="002B7431"/>
    <w:rsid w:val="002B7906"/>
    <w:rsid w:val="002C561D"/>
    <w:rsid w:val="002D247D"/>
    <w:rsid w:val="002D70E8"/>
    <w:rsid w:val="002D726B"/>
    <w:rsid w:val="002D7898"/>
    <w:rsid w:val="002E3156"/>
    <w:rsid w:val="002E4E05"/>
    <w:rsid w:val="002E601A"/>
    <w:rsid w:val="002F4EEB"/>
    <w:rsid w:val="00315071"/>
    <w:rsid w:val="00316C8D"/>
    <w:rsid w:val="00320158"/>
    <w:rsid w:val="003212F2"/>
    <w:rsid w:val="003326DA"/>
    <w:rsid w:val="00332B1C"/>
    <w:rsid w:val="00342B7E"/>
    <w:rsid w:val="0034339C"/>
    <w:rsid w:val="00345A3B"/>
    <w:rsid w:val="00345DEA"/>
    <w:rsid w:val="00346C05"/>
    <w:rsid w:val="00347249"/>
    <w:rsid w:val="00357695"/>
    <w:rsid w:val="00361DE1"/>
    <w:rsid w:val="00363324"/>
    <w:rsid w:val="00365DBD"/>
    <w:rsid w:val="00376B8B"/>
    <w:rsid w:val="00383E92"/>
    <w:rsid w:val="00385459"/>
    <w:rsid w:val="00390D60"/>
    <w:rsid w:val="003A3FB1"/>
    <w:rsid w:val="003B0E2E"/>
    <w:rsid w:val="003B67F5"/>
    <w:rsid w:val="003D2BB2"/>
    <w:rsid w:val="003E77A6"/>
    <w:rsid w:val="003F29AC"/>
    <w:rsid w:val="003F5065"/>
    <w:rsid w:val="003F7216"/>
    <w:rsid w:val="00400C6E"/>
    <w:rsid w:val="00402856"/>
    <w:rsid w:val="004125A9"/>
    <w:rsid w:val="00417F74"/>
    <w:rsid w:val="00417FC3"/>
    <w:rsid w:val="0042716F"/>
    <w:rsid w:val="00431732"/>
    <w:rsid w:val="00433A29"/>
    <w:rsid w:val="004349D1"/>
    <w:rsid w:val="00434C3A"/>
    <w:rsid w:val="004461A9"/>
    <w:rsid w:val="004515CA"/>
    <w:rsid w:val="00454A8C"/>
    <w:rsid w:val="00457805"/>
    <w:rsid w:val="00460EF3"/>
    <w:rsid w:val="0046126C"/>
    <w:rsid w:val="004626F9"/>
    <w:rsid w:val="004764DA"/>
    <w:rsid w:val="00481DBE"/>
    <w:rsid w:val="0048274B"/>
    <w:rsid w:val="00484543"/>
    <w:rsid w:val="00484803"/>
    <w:rsid w:val="00490FA2"/>
    <w:rsid w:val="00491D86"/>
    <w:rsid w:val="00494961"/>
    <w:rsid w:val="004964F2"/>
    <w:rsid w:val="004B32EA"/>
    <w:rsid w:val="004B7ABA"/>
    <w:rsid w:val="004D1CD7"/>
    <w:rsid w:val="004D6666"/>
    <w:rsid w:val="004D6A37"/>
    <w:rsid w:val="004E18A3"/>
    <w:rsid w:val="004E7C9A"/>
    <w:rsid w:val="004F3A7D"/>
    <w:rsid w:val="004F72EF"/>
    <w:rsid w:val="0050131F"/>
    <w:rsid w:val="00502AB1"/>
    <w:rsid w:val="005116B3"/>
    <w:rsid w:val="00512193"/>
    <w:rsid w:val="0051459F"/>
    <w:rsid w:val="005241E7"/>
    <w:rsid w:val="00534DC9"/>
    <w:rsid w:val="00545B9D"/>
    <w:rsid w:val="0054612C"/>
    <w:rsid w:val="00546628"/>
    <w:rsid w:val="00553CE7"/>
    <w:rsid w:val="00557A6B"/>
    <w:rsid w:val="00560575"/>
    <w:rsid w:val="005649DF"/>
    <w:rsid w:val="00565A5A"/>
    <w:rsid w:val="00570EB7"/>
    <w:rsid w:val="00570F79"/>
    <w:rsid w:val="00572ECC"/>
    <w:rsid w:val="00574AA3"/>
    <w:rsid w:val="00581AEA"/>
    <w:rsid w:val="00591E08"/>
    <w:rsid w:val="00591F4A"/>
    <w:rsid w:val="00593BC5"/>
    <w:rsid w:val="00593E3A"/>
    <w:rsid w:val="00594AF7"/>
    <w:rsid w:val="005A2E81"/>
    <w:rsid w:val="005A5F23"/>
    <w:rsid w:val="005B178A"/>
    <w:rsid w:val="005B1A3A"/>
    <w:rsid w:val="005B6148"/>
    <w:rsid w:val="005C638B"/>
    <w:rsid w:val="005E15B9"/>
    <w:rsid w:val="005E30D6"/>
    <w:rsid w:val="005E3FCF"/>
    <w:rsid w:val="00612D60"/>
    <w:rsid w:val="0062097B"/>
    <w:rsid w:val="00626EFB"/>
    <w:rsid w:val="00633D5D"/>
    <w:rsid w:val="00651D69"/>
    <w:rsid w:val="00653A4D"/>
    <w:rsid w:val="00654D38"/>
    <w:rsid w:val="00667AE3"/>
    <w:rsid w:val="0067239D"/>
    <w:rsid w:val="00676BC2"/>
    <w:rsid w:val="006921F3"/>
    <w:rsid w:val="00694AA8"/>
    <w:rsid w:val="006A57E5"/>
    <w:rsid w:val="006A5E87"/>
    <w:rsid w:val="006B15D0"/>
    <w:rsid w:val="006B6556"/>
    <w:rsid w:val="006B7369"/>
    <w:rsid w:val="006C2058"/>
    <w:rsid w:val="006C6351"/>
    <w:rsid w:val="006D2804"/>
    <w:rsid w:val="006E167B"/>
    <w:rsid w:val="006E44E9"/>
    <w:rsid w:val="006E4E94"/>
    <w:rsid w:val="006E52EA"/>
    <w:rsid w:val="006F056E"/>
    <w:rsid w:val="006F2D00"/>
    <w:rsid w:val="006F7214"/>
    <w:rsid w:val="00701617"/>
    <w:rsid w:val="00701B57"/>
    <w:rsid w:val="0071186F"/>
    <w:rsid w:val="0071352A"/>
    <w:rsid w:val="007327F4"/>
    <w:rsid w:val="00743D68"/>
    <w:rsid w:val="007475FD"/>
    <w:rsid w:val="0075158B"/>
    <w:rsid w:val="00753DFE"/>
    <w:rsid w:val="007570EF"/>
    <w:rsid w:val="007645BD"/>
    <w:rsid w:val="007748D8"/>
    <w:rsid w:val="0078798E"/>
    <w:rsid w:val="007A3021"/>
    <w:rsid w:val="007B7E55"/>
    <w:rsid w:val="007C0DDE"/>
    <w:rsid w:val="007C1243"/>
    <w:rsid w:val="007C1576"/>
    <w:rsid w:val="007C1E16"/>
    <w:rsid w:val="007C3763"/>
    <w:rsid w:val="007C3F93"/>
    <w:rsid w:val="007D32BC"/>
    <w:rsid w:val="007D3748"/>
    <w:rsid w:val="007F3EC5"/>
    <w:rsid w:val="007F5390"/>
    <w:rsid w:val="00801C5D"/>
    <w:rsid w:val="0080432B"/>
    <w:rsid w:val="008162F4"/>
    <w:rsid w:val="008204D6"/>
    <w:rsid w:val="00820D56"/>
    <w:rsid w:val="008214BA"/>
    <w:rsid w:val="00827D6F"/>
    <w:rsid w:val="00834BD9"/>
    <w:rsid w:val="00837B7C"/>
    <w:rsid w:val="008502B9"/>
    <w:rsid w:val="008528ED"/>
    <w:rsid w:val="00852B04"/>
    <w:rsid w:val="00854E68"/>
    <w:rsid w:val="00867AAE"/>
    <w:rsid w:val="008705A5"/>
    <w:rsid w:val="008722C8"/>
    <w:rsid w:val="00874247"/>
    <w:rsid w:val="00890E26"/>
    <w:rsid w:val="008A5BB9"/>
    <w:rsid w:val="008C01A6"/>
    <w:rsid w:val="008C27D3"/>
    <w:rsid w:val="008C3553"/>
    <w:rsid w:val="008C3F93"/>
    <w:rsid w:val="008D2688"/>
    <w:rsid w:val="008D3AA8"/>
    <w:rsid w:val="008D7F38"/>
    <w:rsid w:val="008E339C"/>
    <w:rsid w:val="008F12DC"/>
    <w:rsid w:val="009004E1"/>
    <w:rsid w:val="00905667"/>
    <w:rsid w:val="00907343"/>
    <w:rsid w:val="0090767C"/>
    <w:rsid w:val="00913484"/>
    <w:rsid w:val="0091477F"/>
    <w:rsid w:val="00916408"/>
    <w:rsid w:val="00931DB4"/>
    <w:rsid w:val="00931F24"/>
    <w:rsid w:val="0093358C"/>
    <w:rsid w:val="00935069"/>
    <w:rsid w:val="009409F5"/>
    <w:rsid w:val="0095157A"/>
    <w:rsid w:val="00955A3A"/>
    <w:rsid w:val="00962E25"/>
    <w:rsid w:val="0097305F"/>
    <w:rsid w:val="0098201E"/>
    <w:rsid w:val="0099072C"/>
    <w:rsid w:val="009924D2"/>
    <w:rsid w:val="00993FF1"/>
    <w:rsid w:val="009956FA"/>
    <w:rsid w:val="00996E91"/>
    <w:rsid w:val="009A25EB"/>
    <w:rsid w:val="009A7965"/>
    <w:rsid w:val="009B0341"/>
    <w:rsid w:val="009B0BF1"/>
    <w:rsid w:val="009B10E1"/>
    <w:rsid w:val="009B6EAA"/>
    <w:rsid w:val="009C26EA"/>
    <w:rsid w:val="009E44F6"/>
    <w:rsid w:val="00A025AB"/>
    <w:rsid w:val="00A17585"/>
    <w:rsid w:val="00A206BD"/>
    <w:rsid w:val="00A21F7A"/>
    <w:rsid w:val="00A24118"/>
    <w:rsid w:val="00A377E5"/>
    <w:rsid w:val="00A42F01"/>
    <w:rsid w:val="00A44545"/>
    <w:rsid w:val="00A458F2"/>
    <w:rsid w:val="00A46F17"/>
    <w:rsid w:val="00A55215"/>
    <w:rsid w:val="00A557A9"/>
    <w:rsid w:val="00A566E2"/>
    <w:rsid w:val="00A56E29"/>
    <w:rsid w:val="00A57E00"/>
    <w:rsid w:val="00A6555B"/>
    <w:rsid w:val="00A6593D"/>
    <w:rsid w:val="00A665DA"/>
    <w:rsid w:val="00A704CF"/>
    <w:rsid w:val="00A80A07"/>
    <w:rsid w:val="00A90D8E"/>
    <w:rsid w:val="00A960BA"/>
    <w:rsid w:val="00A966C7"/>
    <w:rsid w:val="00AA2E61"/>
    <w:rsid w:val="00AA6F1B"/>
    <w:rsid w:val="00AA7BA2"/>
    <w:rsid w:val="00AB43B1"/>
    <w:rsid w:val="00AB79D8"/>
    <w:rsid w:val="00AC07B1"/>
    <w:rsid w:val="00AC3F65"/>
    <w:rsid w:val="00AC4AE4"/>
    <w:rsid w:val="00AD48E3"/>
    <w:rsid w:val="00AD704C"/>
    <w:rsid w:val="00AE2AEF"/>
    <w:rsid w:val="00AE3278"/>
    <w:rsid w:val="00AF3CAB"/>
    <w:rsid w:val="00AF4A8D"/>
    <w:rsid w:val="00B01457"/>
    <w:rsid w:val="00B0650C"/>
    <w:rsid w:val="00B1110E"/>
    <w:rsid w:val="00B11C85"/>
    <w:rsid w:val="00B2042A"/>
    <w:rsid w:val="00B2480C"/>
    <w:rsid w:val="00B3013D"/>
    <w:rsid w:val="00B43B8A"/>
    <w:rsid w:val="00B46675"/>
    <w:rsid w:val="00B620A4"/>
    <w:rsid w:val="00B74B40"/>
    <w:rsid w:val="00B76423"/>
    <w:rsid w:val="00B7675E"/>
    <w:rsid w:val="00B82F78"/>
    <w:rsid w:val="00B8394B"/>
    <w:rsid w:val="00B848CB"/>
    <w:rsid w:val="00B85F13"/>
    <w:rsid w:val="00B9417D"/>
    <w:rsid w:val="00B97B53"/>
    <w:rsid w:val="00BA461F"/>
    <w:rsid w:val="00BB36F2"/>
    <w:rsid w:val="00BC10FA"/>
    <w:rsid w:val="00BC121F"/>
    <w:rsid w:val="00BC245C"/>
    <w:rsid w:val="00BD32B8"/>
    <w:rsid w:val="00BE4D3A"/>
    <w:rsid w:val="00BE61C5"/>
    <w:rsid w:val="00BF0A72"/>
    <w:rsid w:val="00BF3F8D"/>
    <w:rsid w:val="00C125DC"/>
    <w:rsid w:val="00C261DD"/>
    <w:rsid w:val="00C26FEC"/>
    <w:rsid w:val="00C2721F"/>
    <w:rsid w:val="00C35BC8"/>
    <w:rsid w:val="00C503C9"/>
    <w:rsid w:val="00C56888"/>
    <w:rsid w:val="00C67DF2"/>
    <w:rsid w:val="00C73AF8"/>
    <w:rsid w:val="00C8058C"/>
    <w:rsid w:val="00C809DE"/>
    <w:rsid w:val="00C830AD"/>
    <w:rsid w:val="00C872DC"/>
    <w:rsid w:val="00C912F7"/>
    <w:rsid w:val="00C915C3"/>
    <w:rsid w:val="00C939AD"/>
    <w:rsid w:val="00CB378B"/>
    <w:rsid w:val="00CC36DF"/>
    <w:rsid w:val="00CC3D5A"/>
    <w:rsid w:val="00CC41AD"/>
    <w:rsid w:val="00CC77A8"/>
    <w:rsid w:val="00CC78E8"/>
    <w:rsid w:val="00CC7EF7"/>
    <w:rsid w:val="00CE0652"/>
    <w:rsid w:val="00CE3B32"/>
    <w:rsid w:val="00CE531E"/>
    <w:rsid w:val="00CF080C"/>
    <w:rsid w:val="00D04086"/>
    <w:rsid w:val="00D10F2B"/>
    <w:rsid w:val="00D12AF1"/>
    <w:rsid w:val="00D16D7B"/>
    <w:rsid w:val="00D2456C"/>
    <w:rsid w:val="00D345AD"/>
    <w:rsid w:val="00D41F46"/>
    <w:rsid w:val="00D50CFA"/>
    <w:rsid w:val="00D5442F"/>
    <w:rsid w:val="00D57C29"/>
    <w:rsid w:val="00D611FF"/>
    <w:rsid w:val="00D61A68"/>
    <w:rsid w:val="00D631E1"/>
    <w:rsid w:val="00D700A8"/>
    <w:rsid w:val="00D72CEB"/>
    <w:rsid w:val="00D73C7A"/>
    <w:rsid w:val="00D73D6F"/>
    <w:rsid w:val="00D742F0"/>
    <w:rsid w:val="00D847C9"/>
    <w:rsid w:val="00D92855"/>
    <w:rsid w:val="00D92FFB"/>
    <w:rsid w:val="00D95245"/>
    <w:rsid w:val="00DC0374"/>
    <w:rsid w:val="00DC0AD1"/>
    <w:rsid w:val="00DC3EDC"/>
    <w:rsid w:val="00DC67D7"/>
    <w:rsid w:val="00DD022B"/>
    <w:rsid w:val="00DE4E4B"/>
    <w:rsid w:val="00DE648D"/>
    <w:rsid w:val="00DF2D0C"/>
    <w:rsid w:val="00E02FB3"/>
    <w:rsid w:val="00E04EC9"/>
    <w:rsid w:val="00E060D5"/>
    <w:rsid w:val="00E35663"/>
    <w:rsid w:val="00E44D32"/>
    <w:rsid w:val="00E47130"/>
    <w:rsid w:val="00E47E0F"/>
    <w:rsid w:val="00E51D0C"/>
    <w:rsid w:val="00E530A2"/>
    <w:rsid w:val="00E6058C"/>
    <w:rsid w:val="00E662D1"/>
    <w:rsid w:val="00E705DE"/>
    <w:rsid w:val="00E72583"/>
    <w:rsid w:val="00E7296B"/>
    <w:rsid w:val="00E821B1"/>
    <w:rsid w:val="00E916B6"/>
    <w:rsid w:val="00EA3D50"/>
    <w:rsid w:val="00EB0E85"/>
    <w:rsid w:val="00EB49D3"/>
    <w:rsid w:val="00EB5104"/>
    <w:rsid w:val="00EC0351"/>
    <w:rsid w:val="00EC31C2"/>
    <w:rsid w:val="00EC43BC"/>
    <w:rsid w:val="00EC618E"/>
    <w:rsid w:val="00ED4F61"/>
    <w:rsid w:val="00EE2E0A"/>
    <w:rsid w:val="00EF360F"/>
    <w:rsid w:val="00F06BE3"/>
    <w:rsid w:val="00F1535D"/>
    <w:rsid w:val="00F179B6"/>
    <w:rsid w:val="00F230E9"/>
    <w:rsid w:val="00F434C7"/>
    <w:rsid w:val="00F51AC8"/>
    <w:rsid w:val="00F62CC4"/>
    <w:rsid w:val="00F66C4E"/>
    <w:rsid w:val="00F6783F"/>
    <w:rsid w:val="00F73C4B"/>
    <w:rsid w:val="00F7758D"/>
    <w:rsid w:val="00F80A07"/>
    <w:rsid w:val="00F82551"/>
    <w:rsid w:val="00F82713"/>
    <w:rsid w:val="00F8435A"/>
    <w:rsid w:val="00F85354"/>
    <w:rsid w:val="00F9641C"/>
    <w:rsid w:val="00FA1388"/>
    <w:rsid w:val="00FA229D"/>
    <w:rsid w:val="00FB27EB"/>
    <w:rsid w:val="00FB36BA"/>
    <w:rsid w:val="00FB5352"/>
    <w:rsid w:val="00FB7B30"/>
    <w:rsid w:val="00FC336E"/>
    <w:rsid w:val="00FC4059"/>
    <w:rsid w:val="00FC74B7"/>
    <w:rsid w:val="00FD2919"/>
    <w:rsid w:val="00FD6F6D"/>
    <w:rsid w:val="00FD7340"/>
    <w:rsid w:val="00FD7500"/>
    <w:rsid w:val="00FE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006DF"/>
  <w15:docId w15:val="{738465EE-8931-4CE2-A0CF-8B8708AD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 w:type="character" w:styleId="UnresolvedMention">
    <w:name w:val="Unresolved Mention"/>
    <w:basedOn w:val="DefaultParagraphFont"/>
    <w:uiPriority w:val="99"/>
    <w:semiHidden/>
    <w:unhideWhenUsed/>
    <w:rsid w:val="006B73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77881370">
      <w:bodyDiv w:val="1"/>
      <w:marLeft w:val="0"/>
      <w:marRight w:val="0"/>
      <w:marTop w:val="0"/>
      <w:marBottom w:val="0"/>
      <w:divBdr>
        <w:top w:val="none" w:sz="0" w:space="0" w:color="auto"/>
        <w:left w:val="none" w:sz="0" w:space="0" w:color="auto"/>
        <w:bottom w:val="none" w:sz="0" w:space="0" w:color="auto"/>
        <w:right w:val="none" w:sz="0" w:space="0" w:color="auto"/>
      </w:divBdr>
    </w:div>
    <w:div w:id="390814306">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33152484">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cessibility-requirements-for-public-sector-websites-and-ap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sty.Blenkins@ph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service-manual/helping-people-to-use-your-service/getting-an-accessibility-audit" TargetMode="External"/><Relationship Id="rId4" Type="http://schemas.openxmlformats.org/officeDocument/2006/relationships/settings" Target="settings.xml"/><Relationship Id="rId9" Type="http://schemas.openxmlformats.org/officeDocument/2006/relationships/hyperlink" Target="https://gds.blog.gov.uk/2018/06/20/creating-the-uk-governments-accessibility-empathy-la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ECDB-6AEB-452F-8BF0-826111E9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1430</Words>
  <Characters>8151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 Guerra</dc:creator>
  <cp:lastModifiedBy>Jade Palmer</cp:lastModifiedBy>
  <cp:revision>2</cp:revision>
  <cp:lastPrinted>2017-02-08T11:23:00Z</cp:lastPrinted>
  <dcterms:created xsi:type="dcterms:W3CDTF">2021-07-23T14:05:00Z</dcterms:created>
  <dcterms:modified xsi:type="dcterms:W3CDTF">2021-07-23T14:05:00Z</dcterms:modified>
</cp:coreProperties>
</file>