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b w:val="1"/>
          <w:sz w:val="52"/>
          <w:szCs w:val="52"/>
          <w:rtl w:val="0"/>
        </w:rPr>
        <w:t xml:space="preserve">RM6323 Insurance and Related Services 4</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6</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6</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8</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8</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9</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9</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9</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r>
          </w:hyperlink>
          <w:hyperlink w:anchor="_heading=h.z337ya">
            <w:r w:rsidDel="00000000" w:rsidR="00000000" w:rsidRPr="00000000">
              <w:rPr>
                <w:rFonts w:ascii="Arial" w:cs="Arial" w:eastAsia="Arial" w:hAnsi="Arial"/>
                <w:sz w:val="24"/>
                <w:szCs w:val="24"/>
                <w:rtl w:val="0"/>
              </w:rPr>
              <w:t xml:space="preserve">  </w:t>
            </w:r>
          </w:hyperlink>
          <w:hyperlink w:anchor="_heading=h.z337ya">
            <w:r w:rsidDel="00000000" w:rsidR="00000000" w:rsidRPr="00000000">
              <w:rPr>
                <w:rFonts w:ascii="Arial" w:cs="Arial" w:eastAsia="Arial" w:hAnsi="Arial"/>
                <w:color w:val="000000"/>
                <w:sz w:val="24"/>
                <w:szCs w:val="24"/>
                <w:rtl w:val="0"/>
              </w:rPr>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r>
          </w:hyperlink>
          <w:hyperlink w:anchor="_heading=h.3j2qqm3">
            <w:r w:rsidDel="00000000" w:rsidR="00000000" w:rsidRPr="00000000">
              <w:rPr>
                <w:rFonts w:ascii="Arial" w:cs="Arial" w:eastAsia="Arial" w:hAnsi="Arial"/>
                <w:sz w:val="24"/>
                <w:szCs w:val="24"/>
                <w:rtl w:val="0"/>
              </w:rPr>
              <w:t xml:space="preserve">  </w:t>
            </w:r>
          </w:hyperlink>
          <w:hyperlink w:anchor="_heading=h.3j2qqm3">
            <w:r w:rsidDel="00000000" w:rsidR="00000000" w:rsidRPr="00000000">
              <w:rPr>
                <w:rFonts w:ascii="Arial" w:cs="Arial" w:eastAsia="Arial" w:hAnsi="Arial"/>
                <w:color w:val="000000"/>
                <w:sz w:val="24"/>
                <w:szCs w:val="24"/>
                <w:rtl w:val="0"/>
              </w:rPr>
              <w:t xml:space="preserve">Additional information</w:t>
              <w:tab/>
              <w:t xml:space="preserve">22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r>
          </w:hyperlink>
          <w:hyperlink w:anchor="_heading=h.4i7ojhp">
            <w:r w:rsidDel="00000000" w:rsidR="00000000" w:rsidRPr="00000000">
              <w:rPr>
                <w:rFonts w:ascii="Arial" w:cs="Arial" w:eastAsia="Arial" w:hAnsi="Arial"/>
                <w:sz w:val="24"/>
                <w:szCs w:val="24"/>
                <w:rtl w:val="0"/>
              </w:rPr>
              <w:t xml:space="preserve">  </w:t>
            </w:r>
          </w:hyperlink>
          <w:hyperlink w:anchor="_heading=h.4i7ojhp">
            <w:r w:rsidDel="00000000" w:rsidR="00000000" w:rsidRPr="00000000">
              <w:rPr>
                <w:rFonts w:ascii="Arial" w:cs="Arial" w:eastAsia="Arial" w:hAnsi="Arial"/>
                <w:color w:val="000000"/>
                <w:sz w:val="24"/>
                <w:szCs w:val="24"/>
                <w:rtl w:val="0"/>
              </w:rPr>
              <w:t xml:space="preserve">The Armed Forces Covenant</w:t>
              <w:tab/>
              <w:t xml:space="preserve">22</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1">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2">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3">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4">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5">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6">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7">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8">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9">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A">
      <w:pPr>
        <w:spacing w:after="60" w:before="60" w:lineRule="auto"/>
        <w:ind w:left="720" w:firstLine="0"/>
        <w:jc w:val="right"/>
        <w:rPr/>
      </w:pPr>
      <w:r w:rsidDel="00000000" w:rsidR="00000000" w:rsidRPr="00000000">
        <w:rPr>
          <w:rtl w:val="0"/>
        </w:rPr>
      </w:r>
    </w:p>
    <w:p w:rsidR="00000000" w:rsidDel="00000000" w:rsidP="00000000" w:rsidRDefault="00000000" w:rsidRPr="00000000" w14:paraId="0000002B">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RM6323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Insurance and Related Services 4</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E">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F">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1">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33">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Lot 1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1b Lot 2 Framework Schedule 1 (Specification) </w:t>
      </w:r>
      <w:r w:rsidDel="00000000" w:rsidR="00000000" w:rsidRPr="00000000">
        <w:rPr>
          <w:rFonts w:ascii="Arial" w:cs="Arial" w:eastAsia="Arial" w:hAnsi="Arial"/>
          <w:sz w:val="24"/>
          <w:szCs w:val="24"/>
          <w:rtl w:val="0"/>
        </w:rPr>
        <w:t xml:space="preserve">– forms part of the Framework Contract and sets out the scope of the requirement.</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1c Lot 3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B">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2b(i) Lot 1- Certificate of Technical and Professional Ability (COTPA) Contract Example template</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you must complete and submit one (1) contract example you have provided in the previous three (3) years. You must get your customer to populate this attachment for </w:t>
      </w:r>
      <w:r w:rsidDel="00000000" w:rsidR="00000000" w:rsidRPr="00000000">
        <w:rPr>
          <w:rFonts w:ascii="Arial" w:cs="Arial" w:eastAsia="Arial" w:hAnsi="Arial"/>
          <w:sz w:val="24"/>
          <w:szCs w:val="24"/>
          <w:highlight w:val="white"/>
          <w:rtl w:val="0"/>
        </w:rPr>
        <w:t xml:space="preserve">your</w:t>
      </w:r>
      <w:r w:rsidDel="00000000" w:rsidR="00000000" w:rsidRPr="00000000">
        <w:rPr>
          <w:rFonts w:ascii="Arial" w:cs="Arial" w:eastAsia="Arial" w:hAnsi="Arial"/>
          <w:sz w:val="24"/>
          <w:szCs w:val="24"/>
          <w:rtl w:val="0"/>
        </w:rPr>
        <w:t xml:space="preserve"> contract example for Lot 1.</w:t>
      </w:r>
      <w:r w:rsidDel="00000000" w:rsidR="00000000" w:rsidRPr="00000000">
        <w:rPr>
          <w:rtl w:val="0"/>
        </w:rPr>
        <w:t xml:space="preserve"> </w:t>
      </w:r>
      <w:r w:rsidDel="00000000" w:rsidR="00000000" w:rsidRPr="00000000">
        <w:rPr>
          <w:rFonts w:ascii="Arial" w:cs="Arial" w:eastAsia="Arial" w:hAnsi="Arial"/>
          <w:sz w:val="24"/>
          <w:szCs w:val="24"/>
          <w:rtl w:val="0"/>
        </w:rPr>
        <w:t xml:space="preserve">You must then attach your certificate to the relevant selection question in the eSourcing Suite (qualification envelope). </w:t>
      </w:r>
      <w:r w:rsidDel="00000000" w:rsidR="00000000" w:rsidRPr="00000000">
        <w:rPr>
          <w:rtl w:val="0"/>
        </w:rPr>
      </w:r>
    </w:p>
    <w:p w:rsidR="00000000" w:rsidDel="00000000" w:rsidP="00000000" w:rsidRDefault="00000000" w:rsidRPr="00000000" w14:paraId="0000003C">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 Lot 2 - Certificate of Technical and Professional Ability (COTPA) Contract Example template</w:t>
      </w:r>
      <w:r w:rsidDel="00000000" w:rsidR="00000000" w:rsidRPr="00000000">
        <w:rPr>
          <w:rFonts w:ascii="Arial" w:cs="Arial" w:eastAsia="Arial" w:hAnsi="Arial"/>
          <w:sz w:val="24"/>
          <w:szCs w:val="24"/>
          <w:highlight w:val="white"/>
          <w:rtl w:val="0"/>
        </w:rPr>
        <w:t xml:space="preserve"> – you must complete and submit one (1) contract example you have provided in the previous three (3) years. You must get your customer to populate this attachment for your contract example for Lot 2. You must then attach your certificate to the relevant selection question in the eSourcing Suite (qualification envelope). </w:t>
      </w:r>
    </w:p>
    <w:p w:rsidR="00000000" w:rsidDel="00000000" w:rsidP="00000000" w:rsidRDefault="00000000" w:rsidRPr="00000000" w14:paraId="0000003D">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(iii) Lot 3 - Certificate of Technical and Professional Ability (COTPA) Contract Example template</w:t>
      </w:r>
      <w:r w:rsidDel="00000000" w:rsidR="00000000" w:rsidRPr="00000000">
        <w:rPr>
          <w:rFonts w:ascii="Arial" w:cs="Arial" w:eastAsia="Arial" w:hAnsi="Arial"/>
          <w:sz w:val="24"/>
          <w:szCs w:val="24"/>
          <w:highlight w:val="white"/>
          <w:rtl w:val="0"/>
        </w:rPr>
        <w:t xml:space="preserve"> – you must complete and submit one (1) contract example you have provided in the previous three (3) years. You must get your customer to populate this attachment for your contract example for Lot 3. You must then attach your certificate to the relevant selection question in the eSourcing Suite (qualification envelope). </w:t>
      </w:r>
    </w:p>
    <w:p w:rsidR="00000000" w:rsidDel="00000000" w:rsidP="00000000" w:rsidRDefault="00000000" w:rsidRPr="00000000" w14:paraId="0000003E">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Lot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Lot 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3c Lot 3 -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the unlocked Blue and Green cells in this Attachment 3 for the lot(s) you are bidding for and upload to question PQ1, PQ2 and /or PQ3 for the lot(s) you are bidding for in the eSourcing suite (commercial envelope)</w:t>
      </w:r>
    </w:p>
    <w:p w:rsidR="00000000" w:rsidDel="00000000" w:rsidP="00000000" w:rsidRDefault="00000000" w:rsidRPr="00000000" w14:paraId="00000043">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44">
      <w:pPr>
        <w:jc w:val="both"/>
        <w:rPr>
          <w:rFonts w:ascii="Arial" w:cs="Arial" w:eastAsia="Arial" w:hAnsi="Arial"/>
          <w:b w:val="1"/>
          <w:sz w:val="24"/>
          <w:szCs w:val="24"/>
          <w:highlight w:val="white"/>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FVRA To</w:t>
      </w:r>
      <w:r w:rsidDel="00000000" w:rsidR="00000000" w:rsidRPr="00000000">
        <w:rPr>
          <w:rFonts w:ascii="Arial" w:cs="Arial" w:eastAsia="Arial" w:hAnsi="Arial"/>
          <w:b w:val="1"/>
          <w:sz w:val="24"/>
          <w:szCs w:val="24"/>
          <w:highlight w:val="white"/>
          <w:rtl w:val="0"/>
        </w:rPr>
        <w:t xml:space="preserve">ol</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5a </w:t>
      </w:r>
      <w:r w:rsidDel="00000000" w:rsidR="00000000" w:rsidRPr="00000000">
        <w:rPr>
          <w:rFonts w:ascii="Arial" w:cs="Arial" w:eastAsia="Arial" w:hAnsi="Arial"/>
          <w:b w:val="1"/>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FVRA Tool</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highlight w:val="white"/>
            <w:u w:val="single"/>
            <w:rtl w:val="0"/>
          </w:rPr>
          <w:t xml:space="preserve"> </w:t>
        </w:r>
      </w:hyperlink>
      <w:hyperlink r:id="rId12">
        <w:r w:rsidDel="00000000" w:rsidR="00000000" w:rsidRPr="00000000">
          <w:rPr>
            <w:rFonts w:ascii="Arial" w:cs="Arial" w:eastAsia="Arial" w:hAnsi="Arial"/>
            <w:color w:val="0563c1"/>
            <w:sz w:val="24"/>
            <w:szCs w:val="24"/>
            <w:highlight w:val="white"/>
            <w:u w:val="single"/>
            <w:rtl w:val="0"/>
          </w:rPr>
          <w:t xml:space="preserve">eSourcing tool</w:t>
        </w:r>
      </w:hyperlink>
      <w:r w:rsidDel="00000000" w:rsidR="00000000" w:rsidRPr="00000000">
        <w:rPr>
          <w:rFonts w:ascii="Arial" w:cs="Arial" w:eastAsia="Arial" w:hAnsi="Arial"/>
          <w:color w:val="000000"/>
          <w:sz w:val="24"/>
          <w:szCs w:val="24"/>
          <w:highlight w:val="white"/>
          <w:rtl w:val="0"/>
        </w:rPr>
        <w:t xml:space="preserve"> (qualification envelope). Please read </w:t>
      </w:r>
      <w:r w:rsidDel="00000000" w:rsidR="00000000" w:rsidRPr="00000000">
        <w:rPr>
          <w:rFonts w:ascii="Arial" w:cs="Arial" w:eastAsia="Arial" w:hAnsi="Arial"/>
          <w:b w:val="1"/>
          <w:color w:val="000000"/>
          <w:sz w:val="24"/>
          <w:szCs w:val="24"/>
          <w:highlight w:val="white"/>
          <w:rtl w:val="0"/>
        </w:rPr>
        <w:t xml:space="preserve">Attachment 5 - Financial Viability Risk Assessment</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guidance</w:t>
      </w:r>
      <w:r w:rsidDel="00000000" w:rsidR="00000000" w:rsidRPr="00000000">
        <w:rPr>
          <w:rFonts w:ascii="Arial" w:cs="Arial" w:eastAsia="Arial" w:hAnsi="Arial"/>
          <w:color w:val="000000"/>
          <w:sz w:val="24"/>
          <w:szCs w:val="24"/>
          <w:highlight w:val="white"/>
          <w:rtl w:val="0"/>
        </w:rPr>
        <w:t xml:space="preserve"> note before completing this document.</w:t>
      </w:r>
      <w:r w:rsidDel="00000000" w:rsidR="00000000" w:rsidRPr="00000000">
        <w:rPr>
          <w:rFonts w:ascii="Arial" w:cs="Arial" w:eastAsia="Arial" w:hAnsi="Arial"/>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1.8.3 in the eSourcing suite (qualification envelope).</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1.10.1 in the eSourcing suite (qualification envelope) </w:t>
      </w:r>
    </w:p>
    <w:p w:rsidR="00000000" w:rsidDel="00000000" w:rsidP="00000000" w:rsidRDefault="00000000" w:rsidRPr="00000000" w14:paraId="00000048">
      <w:pPr>
        <w:rPr>
          <w:rFonts w:ascii="Arial" w:cs="Arial" w:eastAsia="Arial" w:hAnsi="Arial"/>
          <w:strike w:val="1"/>
          <w:color w:val="000000"/>
          <w:sz w:val="23"/>
          <w:szCs w:val="23"/>
          <w:highlight w:val="white"/>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you do not need to submit this as part of your Bid. This document contains a list of questions and answers relating to our competitions that may be helpful to you. </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4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w:t>
      </w:r>
      <w:r w:rsidDel="00000000" w:rsidR="00000000" w:rsidRPr="00000000">
        <w:rPr>
          <w:rFonts w:ascii="Arial" w:cs="Arial" w:eastAsia="Arial" w:hAnsi="Arial"/>
          <w:b w:val="1"/>
          <w:sz w:val="23"/>
          <w:szCs w:val="23"/>
          <w:highlight w:val="white"/>
          <w:rtl w:val="0"/>
        </w:rPr>
        <w:t xml:space="preserve">9</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E">
      <w:pPr>
        <w:ind w:left="720" w:firstLine="0"/>
        <w:rPr>
          <w:rFonts w:ascii="Arial" w:cs="Arial" w:eastAsia="Arial" w:hAnsi="Arial"/>
          <w:b w:val="1"/>
          <w:sz w:val="24"/>
          <w:szCs w:val="24"/>
        </w:rPr>
      </w:pPr>
      <w:r w:rsidDel="00000000" w:rsidR="00000000" w:rsidRPr="00000000">
        <w:rPr>
          <w:rFonts w:ascii="Arial" w:cs="Arial" w:eastAsia="Arial" w:hAnsi="Arial"/>
          <w:color w:val="000000"/>
          <w:sz w:val="23"/>
          <w:szCs w:val="23"/>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2">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fob9te" w:id="2"/>
      <w:bookmarkEnd w:id="2"/>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6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6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6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B">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6F">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0">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1">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7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7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7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7">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7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7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7A">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B">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Public Procurement Note 01/22 Contracts with suppliers from Russia or Belarus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numPr>
          <w:ilvl w:val="0"/>
          <w:numId w:val="7"/>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81">
      <w:pPr>
        <w:numPr>
          <w:ilvl w:val="0"/>
          <w:numId w:val="7"/>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2"/>
          <w:szCs w:val="32"/>
        </w:rPr>
      </w:pPr>
      <w:bookmarkStart w:colFirst="0" w:colLast="0" w:name="_heading=h.2et92p0" w:id="4"/>
      <w:bookmarkEnd w:id="4"/>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84">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This Insurance and Related Services 4 (IS4) framework will be let for four (4) years and allow access to brokerage and related services and claims handling and related services for customers across the whole of the UK public sector.</w:t>
      </w:r>
      <w:r w:rsidDel="00000000" w:rsidR="00000000" w:rsidRPr="00000000">
        <w:rPr>
          <w:rtl w:val="0"/>
        </w:rPr>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The lotting structure will be:</w:t>
      </w:r>
      <w:r w:rsidDel="00000000" w:rsidR="00000000" w:rsidRPr="00000000">
        <w:rPr>
          <w:rtl w:val="0"/>
        </w:rPr>
      </w:r>
    </w:p>
    <w:p w:rsidR="00000000" w:rsidDel="00000000" w:rsidP="00000000" w:rsidRDefault="00000000" w:rsidRPr="00000000" w14:paraId="00000086">
      <w:pPr>
        <w:numPr>
          <w:ilvl w:val="0"/>
          <w:numId w:val="2"/>
        </w:numPr>
        <w:spacing w:after="0" w:before="240" w:line="240" w:lineRule="auto"/>
        <w:ind w:left="720" w:hanging="360"/>
        <w:rPr>
          <w:rFonts w:ascii="Arial" w:cs="Arial" w:eastAsia="Arial" w:hAnsi="Arial"/>
          <w:color w:val="0b0c0c"/>
          <w:sz w:val="24"/>
          <w:szCs w:val="24"/>
        </w:rPr>
      </w:pPr>
      <w:r w:rsidDel="00000000" w:rsidR="00000000" w:rsidRPr="00000000">
        <w:rPr>
          <w:rFonts w:ascii="Arial" w:cs="Arial" w:eastAsia="Arial" w:hAnsi="Arial"/>
          <w:color w:val="0b0c0c"/>
          <w:sz w:val="24"/>
          <w:szCs w:val="24"/>
          <w:highlight w:val="white"/>
          <w:rtl w:val="0"/>
        </w:rPr>
        <w:t xml:space="preserve">Lot 1 – Brokerage and Related Services</w:t>
      </w:r>
      <w:r w:rsidDel="00000000" w:rsidR="00000000" w:rsidRPr="00000000">
        <w:rPr>
          <w:rtl w:val="0"/>
        </w:rPr>
      </w:r>
    </w:p>
    <w:p w:rsidR="00000000" w:rsidDel="00000000" w:rsidP="00000000" w:rsidRDefault="00000000" w:rsidRPr="00000000" w14:paraId="00000087">
      <w:pPr>
        <w:widowControl w:val="0"/>
        <w:numPr>
          <w:ilvl w:val="0"/>
          <w:numId w:val="2"/>
        </w:numPr>
        <w:spacing w:after="0" w:line="240" w:lineRule="auto"/>
        <w:ind w:left="720" w:hanging="360"/>
        <w:rPr>
          <w:rFonts w:ascii="Arial" w:cs="Arial" w:eastAsia="Arial" w:hAnsi="Arial"/>
          <w:color w:val="0b0c0c"/>
          <w:sz w:val="24"/>
          <w:szCs w:val="24"/>
        </w:rPr>
      </w:pPr>
      <w:r w:rsidDel="00000000" w:rsidR="00000000" w:rsidRPr="00000000">
        <w:rPr>
          <w:rFonts w:ascii="Arial" w:cs="Arial" w:eastAsia="Arial" w:hAnsi="Arial"/>
          <w:color w:val="0b0c0c"/>
          <w:sz w:val="24"/>
          <w:szCs w:val="24"/>
          <w:highlight w:val="white"/>
          <w:rtl w:val="0"/>
        </w:rPr>
        <w:t xml:space="preserve">Lot 2 – Claims Handling and Related Services</w:t>
      </w:r>
      <w:r w:rsidDel="00000000" w:rsidR="00000000" w:rsidRPr="00000000">
        <w:rPr>
          <w:rtl w:val="0"/>
        </w:rPr>
      </w:r>
    </w:p>
    <w:p w:rsidR="00000000" w:rsidDel="00000000" w:rsidP="00000000" w:rsidRDefault="00000000" w:rsidRPr="00000000" w14:paraId="00000088">
      <w:pPr>
        <w:widowControl w:val="0"/>
        <w:numPr>
          <w:ilvl w:val="0"/>
          <w:numId w:val="2"/>
        </w:numPr>
        <w:spacing w:line="240"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Lot 3 - Insurance Service Providers and Related Service</w:t>
      </w:r>
      <w:r w:rsidDel="00000000" w:rsidR="00000000" w:rsidRPr="00000000">
        <w:rPr>
          <w:rFonts w:ascii="Arial" w:cs="Arial" w:eastAsia="Arial" w:hAnsi="Arial"/>
          <w:sz w:val="24"/>
          <w:szCs w:val="24"/>
          <w:rtl w:val="0"/>
        </w:rPr>
        <w:t xml:space="preserve">s</w:t>
      </w: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Remember</w:t>
      </w:r>
      <w:r w:rsidDel="00000000" w:rsidR="00000000" w:rsidRPr="00000000">
        <w:rPr>
          <w:rFonts w:ascii="Arial" w:cs="Arial" w:eastAsia="Arial" w:hAnsi="Arial"/>
          <w:sz w:val="24"/>
          <w:szCs w:val="24"/>
          <w:rtl w:val="0"/>
        </w:rPr>
        <w:t xml:space="preserve"> that the full specifications are in Attachment 1a (Lot 1), Attachment 1b (Lot 2) and Attachment 1c (Lot 3) - Framework Schedule 1 (Specification).</w:t>
      </w:r>
      <w:r w:rsidDel="00000000" w:rsidR="00000000" w:rsidRPr="00000000">
        <w:rPr>
          <w:rtl w:val="0"/>
        </w:rPr>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5"/>
      <w:bookmarkEnd w:id="5"/>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8C">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A</w:t>
      </w:r>
      <w:r w:rsidDel="00000000" w:rsidR="00000000" w:rsidRPr="00000000">
        <w:rPr>
          <w:rFonts w:ascii="Arial" w:cs="Arial" w:eastAsia="Arial" w:hAnsi="Arial"/>
          <w:sz w:val="24"/>
          <w:szCs w:val="24"/>
          <w:rtl w:val="0"/>
        </w:rPr>
        <w:t xml:space="preserve"> Framework, with one or more suppliers, sets out terms that allow buyers to make specific purchases (‘Call-Offs’) during the life of the Framework. This competition is for a </w:t>
      </w:r>
      <w:r w:rsidDel="00000000" w:rsidR="00000000" w:rsidRPr="00000000">
        <w:rPr>
          <w:rFonts w:ascii="Arial" w:cs="Arial" w:eastAsia="Arial" w:hAnsi="Arial"/>
          <w:sz w:val="24"/>
          <w:szCs w:val="24"/>
          <w:highlight w:val="white"/>
          <w:rtl w:val="0"/>
        </w:rPr>
        <w:t xml:space="preserve">multi supplier Framework.</w:t>
      </w:r>
      <w:r w:rsidDel="00000000" w:rsidR="00000000" w:rsidRPr="00000000">
        <w:rPr>
          <w:rtl w:val="0"/>
        </w:rPr>
      </w:r>
    </w:p>
    <w:p w:rsidR="00000000" w:rsidDel="00000000" w:rsidP="00000000" w:rsidRDefault="00000000" w:rsidRPr="00000000" w14:paraId="0000008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If</w:t>
      </w:r>
      <w:r w:rsidDel="00000000" w:rsidR="00000000" w:rsidRPr="00000000">
        <w:rPr>
          <w:rFonts w:ascii="Arial" w:cs="Arial" w:eastAsia="Arial" w:hAnsi="Arial"/>
          <w:color w:val="000000"/>
          <w:sz w:val="24"/>
          <w:szCs w:val="24"/>
          <w:highlight w:val="white"/>
          <w:rtl w:val="0"/>
        </w:rPr>
        <w:t xml:space="preserve"> you are a</w:t>
      </w:r>
      <w:r w:rsidDel="00000000" w:rsidR="00000000" w:rsidRPr="00000000">
        <w:rPr>
          <w:rFonts w:ascii="Arial" w:cs="Arial" w:eastAsia="Arial" w:hAnsi="Arial"/>
          <w:color w:val="000000"/>
          <w:sz w:val="24"/>
          <w:szCs w:val="24"/>
          <w:rtl w:val="0"/>
        </w:rPr>
        <w:t xml:space="preserve"> successful bidder, we will use the information you have provided in your bid, including your pricing to personalise your Framework Contract. </w:t>
      </w:r>
      <w:r w:rsidDel="00000000" w:rsidR="00000000" w:rsidRPr="00000000">
        <w:rPr>
          <w:rFonts w:ascii="Arial" w:cs="Arial" w:eastAsia="Arial" w:hAnsi="Arial"/>
          <w:color w:val="000000"/>
          <w:sz w:val="24"/>
          <w:szCs w:val="24"/>
          <w:highlight w:val="white"/>
          <w:rtl w:val="0"/>
        </w:rPr>
        <w:t xml:space="preserve">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r w:rsidDel="00000000" w:rsidR="00000000" w:rsidRPr="00000000">
        <w:rPr>
          <w:rtl w:val="0"/>
        </w:rPr>
      </w:r>
    </w:p>
    <w:p w:rsidR="00000000" w:rsidDel="00000000" w:rsidP="00000000" w:rsidRDefault="00000000" w:rsidRPr="00000000" w14:paraId="0000008E">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Buyers</w:t>
      </w:r>
      <w:r w:rsidDel="00000000" w:rsidR="00000000" w:rsidRPr="00000000">
        <w:rPr>
          <w:rFonts w:ascii="Arial" w:cs="Arial" w:eastAsia="Arial" w:hAnsi="Arial"/>
          <w:sz w:val="24"/>
          <w:szCs w:val="24"/>
          <w:rtl w:val="0"/>
        </w:rPr>
        <w:t xml:space="preserve"> can then use the Framework to make Call-Offs. Each Call-Off contract will be signed and managed by you and the buyer.</w:t>
      </w:r>
      <w:r w:rsidDel="00000000" w:rsidR="00000000" w:rsidRPr="00000000">
        <w:rPr>
          <w:rtl w:val="0"/>
        </w:rPr>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The</w:t>
      </w:r>
      <w:r w:rsidDel="00000000" w:rsidR="00000000" w:rsidRPr="00000000">
        <w:rPr>
          <w:rFonts w:ascii="Arial" w:cs="Arial" w:eastAsia="Arial" w:hAnsi="Arial"/>
          <w:color w:val="000000"/>
          <w:sz w:val="24"/>
          <w:szCs w:val="24"/>
          <w:rtl w:val="0"/>
        </w:rPr>
        <w:t xml:space="preserve"> estimated value of Call-Off contracts that may be placed under this Framework is set out in the contract notice published on Find </w:t>
      </w:r>
      <w:r w:rsidDel="00000000" w:rsidR="00000000" w:rsidRPr="00000000">
        <w:rPr>
          <w:rFonts w:ascii="Arial" w:cs="Arial" w:eastAsia="Arial" w:hAnsi="Arial"/>
          <w:sz w:val="24"/>
          <w:szCs w:val="24"/>
          <w:rtl w:val="0"/>
        </w:rPr>
        <w:t xml:space="preserve">a T</w:t>
      </w:r>
      <w:r w:rsidDel="00000000" w:rsidR="00000000" w:rsidRPr="00000000">
        <w:rPr>
          <w:rFonts w:ascii="Arial" w:cs="Arial" w:eastAsia="Arial" w:hAnsi="Arial"/>
          <w:color w:val="000000"/>
          <w:sz w:val="24"/>
          <w:szCs w:val="24"/>
          <w:rtl w:val="0"/>
        </w:rPr>
        <w:t xml:space="preserve">ender (FTS). There may be multiple Call-Off agreements under one Framework.</w:t>
      </w:r>
      <w:r w:rsidDel="00000000" w:rsidR="00000000" w:rsidRPr="00000000">
        <w:rPr>
          <w:rtl w:val="0"/>
        </w:rPr>
      </w:r>
    </w:p>
    <w:p w:rsidR="00000000" w:rsidDel="00000000" w:rsidP="00000000" w:rsidRDefault="00000000" w:rsidRPr="00000000" w14:paraId="00000090">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We</w:t>
      </w:r>
      <w:r w:rsidDel="00000000" w:rsidR="00000000" w:rsidRPr="00000000">
        <w:rPr>
          <w:rFonts w:ascii="Arial" w:cs="Arial" w:eastAsia="Arial" w:hAnsi="Arial"/>
          <w:sz w:val="24"/>
          <w:szCs w:val="24"/>
          <w:rtl w:val="0"/>
        </w:rPr>
        <w:t xml:space="preserve"> cannot guarantee any business through this Framework.</w:t>
      </w:r>
      <w:r w:rsidDel="00000000" w:rsidR="00000000" w:rsidRPr="00000000">
        <w:rPr>
          <w:rtl w:val="0"/>
        </w:rPr>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How</w:t>
      </w:r>
      <w:r w:rsidDel="00000000" w:rsidR="00000000" w:rsidRPr="00000000">
        <w:rPr>
          <w:rFonts w:ascii="Arial" w:cs="Arial" w:eastAsia="Arial" w:hAnsi="Arial"/>
          <w:color w:val="000000"/>
          <w:sz w:val="24"/>
          <w:szCs w:val="24"/>
          <w:rtl w:val="0"/>
        </w:rPr>
        <w:t xml:space="preserve"> the Framework is structured</w:t>
      </w:r>
      <w:r w:rsidDel="00000000" w:rsidR="00000000" w:rsidRPr="00000000">
        <w:rPr>
          <w:rtl w:val="0"/>
        </w:rPr>
      </w:r>
    </w:p>
    <w:p w:rsidR="00000000" w:rsidDel="00000000" w:rsidP="00000000" w:rsidRDefault="00000000" w:rsidRPr="00000000" w14:paraId="00000092">
      <w:pPr>
        <w:numPr>
          <w:ilvl w:val="2"/>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color w:val="000000"/>
          <w:sz w:val="24"/>
          <w:szCs w:val="24"/>
          <w:rtl w:val="0"/>
        </w:rPr>
        <w:t xml:space="preserve">The Framework will be established for forty eight (</w:t>
      </w:r>
      <w:r w:rsidDel="00000000" w:rsidR="00000000" w:rsidRPr="00000000">
        <w:rPr>
          <w:rFonts w:ascii="Arial" w:cs="Arial" w:eastAsia="Arial" w:hAnsi="Arial"/>
          <w:sz w:val="24"/>
          <w:szCs w:val="24"/>
          <w:rtl w:val="0"/>
        </w:rPr>
        <w:t xml:space="preserve">48) </w:t>
      </w:r>
      <w:r w:rsidDel="00000000" w:rsidR="00000000" w:rsidRPr="00000000">
        <w:rPr>
          <w:rFonts w:ascii="Arial" w:cs="Arial" w:eastAsia="Arial" w:hAnsi="Arial"/>
          <w:color w:val="000000"/>
          <w:sz w:val="24"/>
          <w:szCs w:val="24"/>
          <w:rtl w:val="0"/>
        </w:rPr>
        <w:t xml:space="preserve">months with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color w:val="000000"/>
          <w:sz w:val="24"/>
          <w:szCs w:val="24"/>
          <w:rtl w:val="0"/>
        </w:rPr>
        <w:t xml:space="preserve"> option to extend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3">
      <w:pPr>
        <w:numPr>
          <w:ilvl w:val="2"/>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Lots as detailed in the table below:</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42"/>
        </w:tabs>
        <w:spacing w:after="240" w:before="240" w:line="240" w:lineRule="auto"/>
        <w:ind w:left="2422" w:firstLine="0"/>
        <w:rPr>
          <w:rFonts w:ascii="Arial" w:cs="Arial" w:eastAsia="Arial" w:hAnsi="Arial"/>
          <w:sz w:val="24"/>
          <w:szCs w:val="24"/>
        </w:rPr>
      </w:pPr>
      <w:r w:rsidDel="00000000" w:rsidR="00000000" w:rsidRPr="00000000">
        <w:rPr>
          <w:rtl w:val="0"/>
        </w:rPr>
      </w:r>
    </w:p>
    <w:tbl>
      <w:tblPr>
        <w:tblStyle w:val="Table1"/>
        <w:tblW w:w="831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5385"/>
        <w:gridCol w:w="2010"/>
        <w:tblGridChange w:id="0">
          <w:tblGrid>
            <w:gridCol w:w="915"/>
            <w:gridCol w:w="5385"/>
            <w:gridCol w:w="201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6">
            <w:pPr>
              <w:rPr/>
            </w:pPr>
            <w:r w:rsidDel="00000000" w:rsidR="00000000" w:rsidRPr="00000000">
              <w:rPr>
                <w:rtl w:val="0"/>
              </w:rPr>
              <w:t xml:space="preserve">Lot name and description </w:t>
            </w:r>
          </w:p>
        </w:tc>
        <w:tc>
          <w:tcPr>
            <w:shd w:fill="deebf6" w:val="clear"/>
            <w:vAlign w:val="center"/>
          </w:tcPr>
          <w:p w:rsidR="00000000" w:rsidDel="00000000" w:rsidP="00000000" w:rsidRDefault="00000000" w:rsidRPr="00000000" w14:paraId="00000097">
            <w:pPr>
              <w:rPr/>
            </w:pPr>
            <w:r w:rsidDel="00000000" w:rsidR="00000000" w:rsidRPr="00000000">
              <w:rPr>
                <w:rtl w:val="0"/>
              </w:rPr>
              <w:t xml:space="preserve">Number of places available</w:t>
            </w:r>
          </w:p>
        </w:tc>
      </w:tr>
      <w:tr>
        <w:trPr>
          <w:cantSplit w:val="0"/>
          <w:trHeight w:val="567" w:hRule="atLeast"/>
          <w:tblHeader w:val="0"/>
        </w:trPr>
        <w:tc>
          <w:tcPr>
            <w:vAlign w:val="center"/>
          </w:tcPr>
          <w:p w:rsidR="00000000" w:rsidDel="00000000" w:rsidP="00000000" w:rsidRDefault="00000000" w:rsidRPr="00000000" w14:paraId="00000098">
            <w:pPr>
              <w:rPr/>
            </w:pPr>
            <w:r w:rsidDel="00000000" w:rsidR="00000000" w:rsidRPr="00000000">
              <w:rPr>
                <w:rtl w:val="0"/>
              </w:rPr>
              <w:t xml:space="preserve">Lot 1</w:t>
            </w:r>
          </w:p>
        </w:tc>
        <w:tc>
          <w:tcPr>
            <w:vAlign w:val="center"/>
          </w:tcPr>
          <w:p w:rsidR="00000000" w:rsidDel="00000000" w:rsidP="00000000" w:rsidRDefault="00000000" w:rsidRPr="00000000" w14:paraId="00000099">
            <w:pPr>
              <w:ind w:left="58" w:firstLine="0"/>
              <w:rPr/>
            </w:pPr>
            <w:r w:rsidDel="00000000" w:rsidR="00000000" w:rsidRPr="00000000">
              <w:rPr>
                <w:highlight w:val="white"/>
                <w:rtl w:val="0"/>
              </w:rPr>
              <w:t xml:space="preserve">Brokerage and Related Services</w:t>
            </w:r>
            <w:r w:rsidDel="00000000" w:rsidR="00000000" w:rsidRPr="00000000">
              <w:rPr>
                <w:rtl w:val="0"/>
              </w:rPr>
            </w:r>
          </w:p>
        </w:tc>
        <w:tc>
          <w:tcPr>
            <w:vAlign w:val="center"/>
          </w:tcPr>
          <w:p w:rsidR="00000000" w:rsidDel="00000000" w:rsidP="00000000" w:rsidRDefault="00000000" w:rsidRPr="00000000" w14:paraId="0000009A">
            <w:pPr>
              <w:ind w:left="58" w:firstLine="0"/>
              <w:jc w:val="center"/>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09B">
            <w:pPr>
              <w:rPr/>
            </w:pPr>
            <w:r w:rsidDel="00000000" w:rsidR="00000000" w:rsidRPr="00000000">
              <w:rPr>
                <w:rtl w:val="0"/>
              </w:rPr>
              <w:t xml:space="preserve">Lot 2</w:t>
            </w:r>
          </w:p>
        </w:tc>
        <w:tc>
          <w:tcPr>
            <w:vAlign w:val="center"/>
          </w:tcPr>
          <w:p w:rsidR="00000000" w:rsidDel="00000000" w:rsidP="00000000" w:rsidRDefault="00000000" w:rsidRPr="00000000" w14:paraId="0000009C">
            <w:pPr>
              <w:ind w:left="58" w:firstLine="0"/>
              <w:rPr/>
            </w:pPr>
            <w:r w:rsidDel="00000000" w:rsidR="00000000" w:rsidRPr="00000000">
              <w:rPr>
                <w:highlight w:val="white"/>
                <w:rtl w:val="0"/>
              </w:rPr>
              <w:t xml:space="preserve">Claims Handling and Related Services</w:t>
            </w:r>
            <w:r w:rsidDel="00000000" w:rsidR="00000000" w:rsidRPr="00000000">
              <w:rPr>
                <w:rtl w:val="0"/>
              </w:rPr>
            </w:r>
          </w:p>
        </w:tc>
        <w:tc>
          <w:tcPr>
            <w:vAlign w:val="center"/>
          </w:tcPr>
          <w:p w:rsidR="00000000" w:rsidDel="00000000" w:rsidP="00000000" w:rsidRDefault="00000000" w:rsidRPr="00000000" w14:paraId="0000009D">
            <w:pPr>
              <w:ind w:left="58" w:firstLine="0"/>
              <w:jc w:val="center"/>
              <w:rPr>
                <w:highlight w:val="white"/>
              </w:rPr>
            </w:pPr>
            <w:r w:rsidDel="00000000" w:rsidR="00000000" w:rsidRPr="00000000">
              <w:rPr>
                <w:highlight w:val="white"/>
                <w:rtl w:val="0"/>
              </w:rPr>
              <w:t xml:space="preserve">4</w:t>
            </w:r>
          </w:p>
        </w:tc>
      </w:tr>
      <w:tr>
        <w:trPr>
          <w:cantSplit w:val="0"/>
          <w:trHeight w:val="567" w:hRule="atLeast"/>
          <w:tblHeader w:val="0"/>
        </w:trPr>
        <w:tc>
          <w:tcPr>
            <w:vAlign w:val="center"/>
          </w:tcPr>
          <w:p w:rsidR="00000000" w:rsidDel="00000000" w:rsidP="00000000" w:rsidRDefault="00000000" w:rsidRPr="00000000" w14:paraId="0000009E">
            <w:pPr>
              <w:rPr/>
            </w:pPr>
            <w:r w:rsidDel="00000000" w:rsidR="00000000" w:rsidRPr="00000000">
              <w:rPr>
                <w:rtl w:val="0"/>
              </w:rPr>
              <w:t xml:space="preserve">Lot 3</w:t>
            </w:r>
          </w:p>
        </w:tc>
        <w:tc>
          <w:tcPr>
            <w:vAlign w:val="center"/>
          </w:tcPr>
          <w:p w:rsidR="00000000" w:rsidDel="00000000" w:rsidP="00000000" w:rsidRDefault="00000000" w:rsidRPr="00000000" w14:paraId="0000009F">
            <w:pPr>
              <w:ind w:left="58" w:firstLine="0"/>
              <w:rPr/>
            </w:pPr>
            <w:r w:rsidDel="00000000" w:rsidR="00000000" w:rsidRPr="00000000">
              <w:rPr>
                <w:rtl w:val="0"/>
              </w:rPr>
              <w:t xml:space="preserve">Insurance Service Providers and Related Services</w:t>
            </w:r>
          </w:p>
        </w:tc>
        <w:tc>
          <w:tcPr>
            <w:vAlign w:val="center"/>
          </w:tcPr>
          <w:p w:rsidR="00000000" w:rsidDel="00000000" w:rsidP="00000000" w:rsidRDefault="00000000" w:rsidRPr="00000000" w14:paraId="000000A0">
            <w:pPr>
              <w:ind w:left="58" w:firstLine="0"/>
              <w:jc w:val="center"/>
              <w:rPr/>
            </w:pPr>
            <w:r w:rsidDel="00000000" w:rsidR="00000000" w:rsidRPr="00000000">
              <w:rPr>
                <w:rtl w:val="0"/>
              </w:rPr>
              <w:t xml:space="preserve">3</w:t>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24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highlight w:val="white"/>
          <w:rtl w:val="0"/>
        </w:rPr>
        <w:t xml:space="preserve">You have the opportunity to tender a bid for all of the lots - Lots 1, 2 and 3. However, you will not be awarded a place on both Lot 1 and Lot 3. </w:t>
      </w:r>
      <w:r w:rsidDel="00000000" w:rsidR="00000000" w:rsidRPr="00000000">
        <w:rPr>
          <w:rtl w:val="0"/>
        </w:rPr>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Suppliers should tell us which of these lots is their preferred choice in the Selection Questionnaire question</w:t>
      </w:r>
      <w:r w:rsidDel="00000000" w:rsidR="00000000" w:rsidRPr="00000000">
        <w:rPr>
          <w:rFonts w:ascii="Arial" w:cs="Arial" w:eastAsia="Arial" w:hAnsi="Arial"/>
          <w:sz w:val="24"/>
          <w:szCs w:val="24"/>
          <w:highlight w:val="white"/>
          <w:rtl w:val="0"/>
        </w:rPr>
        <w:t xml:space="preserve"> 1.11.2. If your bid is successful within the number of places available on Lot 1 and Lot 3 we will use your response to 1.11.2 to award either Lot 1 or Lot 3.</w:t>
      </w:r>
      <w:r w:rsidDel="00000000" w:rsidR="00000000" w:rsidRPr="00000000">
        <w:rPr>
          <w:rtl w:val="0"/>
        </w:rPr>
      </w:r>
    </w:p>
    <w:p w:rsidR="00000000" w:rsidDel="00000000" w:rsidP="00000000" w:rsidRDefault="00000000" w:rsidRPr="00000000" w14:paraId="000000A4">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In order for successful suppliers to be eligible to provide insurance premium quotations at call off stage, under Lot 1 and Lot 3 of this Framework Agreement, they will need to be on boarded to Insurance Services 3 DPS (RM6138). Further details can be found at paragraph 2.2 of Attachment 1a (Lot 1) and paragraph 2.2 Attachment 1c (Lot 3).</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Details of Insurance Services 3 DPS (RM6138) can be found at the following </w:t>
        <w:tab/>
        <w:tab/>
        <w:t xml:space="preserve">link: </w:t>
      </w:r>
      <w:hyperlink r:id="rId16">
        <w:r w:rsidDel="00000000" w:rsidR="00000000" w:rsidRPr="00000000">
          <w:rPr>
            <w:rFonts w:ascii="Arial" w:cs="Arial" w:eastAsia="Arial" w:hAnsi="Arial"/>
            <w:color w:val="1155cc"/>
            <w:sz w:val="24"/>
            <w:szCs w:val="24"/>
            <w:u w:val="single"/>
            <w:rtl w:val="0"/>
          </w:rPr>
          <w:t xml:space="preserve">https://www.crowncommercial.gov.uk/agreements/RM6138</w:t>
        </w:r>
      </w:hyperlink>
      <w:r w:rsidDel="00000000" w:rsidR="00000000" w:rsidRPr="00000000">
        <w:rPr>
          <w:rtl w:val="0"/>
        </w:rPr>
      </w:r>
    </w:p>
    <w:p w:rsidR="00000000" w:rsidDel="00000000" w:rsidP="00000000" w:rsidRDefault="00000000" w:rsidRPr="00000000" w14:paraId="000000A6">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t3h5sf" w:id="6"/>
      <w:bookmarkEnd w:id="6"/>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A8">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contract notice.</w:t>
      </w:r>
      <w:r w:rsidDel="00000000" w:rsidR="00000000" w:rsidRPr="00000000">
        <w:rPr>
          <w:rtl w:val="0"/>
        </w:rPr>
      </w:r>
    </w:p>
    <w:p w:rsidR="00000000" w:rsidDel="00000000" w:rsidP="00000000" w:rsidRDefault="00000000" w:rsidRPr="00000000" w14:paraId="000000A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The contract notice can be found on Find a Tender (FTS) and our website https://www.crowncommercial.gov.uk/agreements/RM6323</w:t>
      </w:r>
      <w:r w:rsidDel="00000000" w:rsidR="00000000" w:rsidRPr="00000000">
        <w:rPr>
          <w:rtl w:val="0"/>
        </w:rPr>
      </w:r>
    </w:p>
    <w:p w:rsidR="00000000" w:rsidDel="00000000" w:rsidP="00000000" w:rsidRDefault="00000000" w:rsidRPr="00000000" w14:paraId="000000AA">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You can submit a bid as a single legal entity. Alternatively, you can take one or both of the following options:</w:t>
      </w:r>
      <w:r w:rsidDel="00000000" w:rsidR="00000000" w:rsidRPr="00000000">
        <w:rPr>
          <w:rtl w:val="0"/>
        </w:rPr>
      </w:r>
    </w:p>
    <w:p w:rsidR="00000000" w:rsidDel="00000000" w:rsidP="00000000" w:rsidRDefault="00000000" w:rsidRPr="00000000" w14:paraId="000000AB">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C">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r w:rsidDel="00000000" w:rsidR="00000000" w:rsidRPr="00000000">
        <w:rPr>
          <w:rtl w:val="0"/>
        </w:rPr>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7"/>
      <w:bookmarkEnd w:id="7"/>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These</w:t>
      </w:r>
      <w:r w:rsidDel="00000000" w:rsidR="00000000" w:rsidRPr="00000000">
        <w:rPr>
          <w:rFonts w:ascii="Arial" w:cs="Arial" w:eastAsia="Arial" w:hAnsi="Arial"/>
          <w:color w:val="000000"/>
          <w:sz w:val="24"/>
          <w:szCs w:val="24"/>
          <w:rtl w:val="0"/>
        </w:rPr>
        <w:t xml:space="preserve"> are our intended timelines. We will try to achieve these however, for a range of reasons, dates can change. We will tell you if and when timelines change:</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B0">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1">
            <w:pPr>
              <w:spacing w:after="120" w:before="120" w:lineRule="auto"/>
              <w:rPr/>
            </w:pPr>
            <w:r w:rsidDel="00000000" w:rsidR="00000000" w:rsidRPr="00000000">
              <w:rPr>
                <w:rtl w:val="0"/>
              </w:rPr>
              <w:t xml:space="preserve">18/05/2023</w:t>
            </w:r>
          </w:p>
        </w:tc>
      </w:tr>
      <w:tr>
        <w:trPr>
          <w:cantSplit w:val="0"/>
          <w:tblHeader w:val="0"/>
        </w:trPr>
        <w:tc>
          <w:tcPr/>
          <w:p w:rsidR="00000000" w:rsidDel="00000000" w:rsidP="00000000" w:rsidRDefault="00000000" w:rsidRPr="00000000" w14:paraId="000000B2">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3">
            <w:pPr>
              <w:spacing w:after="120" w:before="120" w:lineRule="auto"/>
              <w:rPr/>
            </w:pPr>
            <w:r w:rsidDel="00000000" w:rsidR="00000000" w:rsidRPr="00000000">
              <w:rPr>
                <w:rtl w:val="0"/>
              </w:rPr>
              <w:t xml:space="preserve">18/05/2023</w:t>
            </w:r>
          </w:p>
        </w:tc>
      </w:tr>
      <w:tr>
        <w:trPr>
          <w:cantSplit w:val="0"/>
          <w:tblHeader w:val="0"/>
        </w:trPr>
        <w:tc>
          <w:tcPr/>
          <w:p w:rsidR="00000000" w:rsidDel="00000000" w:rsidP="00000000" w:rsidRDefault="00000000" w:rsidRPr="00000000" w14:paraId="000000B4">
            <w:pPr>
              <w:spacing w:after="120" w:before="120" w:lineRule="auto"/>
              <w:rPr/>
            </w:pPr>
            <w:r w:rsidDel="00000000" w:rsidR="00000000" w:rsidRPr="00000000">
              <w:rPr>
                <w:rtl w:val="0"/>
              </w:rPr>
              <w:t xml:space="preserve">Clarification period start</w:t>
            </w:r>
          </w:p>
        </w:tc>
        <w:tc>
          <w:tcPr>
            <w:vAlign w:val="center"/>
          </w:tcPr>
          <w:p w:rsidR="00000000" w:rsidDel="00000000" w:rsidP="00000000" w:rsidRDefault="00000000" w:rsidRPr="00000000" w14:paraId="000000B5">
            <w:pPr>
              <w:spacing w:after="120" w:before="120" w:lineRule="auto"/>
              <w:rPr/>
            </w:pPr>
            <w:r w:rsidDel="00000000" w:rsidR="00000000" w:rsidRPr="00000000">
              <w:rPr>
                <w:rtl w:val="0"/>
              </w:rPr>
              <w:t xml:space="preserve">18/05/2023</w:t>
            </w:r>
          </w:p>
        </w:tc>
      </w:tr>
      <w:tr>
        <w:trPr>
          <w:cantSplit w:val="0"/>
          <w:tblHeader w:val="0"/>
        </w:trPr>
        <w:tc>
          <w:tcPr/>
          <w:p w:rsidR="00000000" w:rsidDel="00000000" w:rsidP="00000000" w:rsidRDefault="00000000" w:rsidRPr="00000000" w14:paraId="000000B6">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7">
            <w:pPr>
              <w:rPr/>
            </w:pPr>
            <w:r w:rsidDel="00000000" w:rsidR="00000000" w:rsidRPr="00000000">
              <w:rPr>
                <w:highlight w:val="white"/>
                <w:rtl w:val="0"/>
              </w:rPr>
              <w:t xml:space="preserve">15:00</w:t>
            </w:r>
            <w:r w:rsidDel="00000000" w:rsidR="00000000" w:rsidRPr="00000000">
              <w:rPr>
                <w:rtl w:val="0"/>
              </w:rPr>
              <w:t xml:space="preserve"> 30/05/2023</w:t>
            </w:r>
          </w:p>
        </w:tc>
      </w:tr>
      <w:tr>
        <w:trPr>
          <w:cantSplit w:val="0"/>
          <w:tblHeader w:val="0"/>
        </w:trPr>
        <w:tc>
          <w:tcPr/>
          <w:p w:rsidR="00000000" w:rsidDel="00000000" w:rsidP="00000000" w:rsidRDefault="00000000" w:rsidRPr="00000000" w14:paraId="000000B8">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9">
            <w:pPr>
              <w:rPr/>
            </w:pPr>
            <w:r w:rsidDel="00000000" w:rsidR="00000000" w:rsidRPr="00000000">
              <w:rPr>
                <w:highlight w:val="white"/>
                <w:rtl w:val="0"/>
              </w:rPr>
              <w:t xml:space="preserve">17:00</w:t>
            </w:r>
            <w:r w:rsidDel="00000000" w:rsidR="00000000" w:rsidRPr="00000000">
              <w:rPr>
                <w:rtl w:val="0"/>
              </w:rPr>
              <w:t xml:space="preserve"> 02/06/2023</w:t>
            </w:r>
          </w:p>
        </w:tc>
      </w:tr>
      <w:tr>
        <w:trPr>
          <w:cantSplit w:val="0"/>
          <w:tblHeader w:val="0"/>
        </w:trPr>
        <w:tc>
          <w:tcPr/>
          <w:p w:rsidR="00000000" w:rsidDel="00000000" w:rsidP="00000000" w:rsidRDefault="00000000" w:rsidRPr="00000000" w14:paraId="000000BA">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BB">
            <w:pPr>
              <w:rPr/>
            </w:pPr>
            <w:r w:rsidDel="00000000" w:rsidR="00000000" w:rsidRPr="00000000">
              <w:rPr>
                <w:highlight w:val="white"/>
                <w:rtl w:val="0"/>
              </w:rPr>
              <w:t xml:space="preserve">15:0</w:t>
            </w:r>
            <w:r w:rsidDel="00000000" w:rsidR="00000000" w:rsidRPr="00000000">
              <w:rPr>
                <w:rtl w:val="0"/>
              </w:rPr>
              <w:t xml:space="preserve">0 16/06/2023</w:t>
            </w:r>
          </w:p>
        </w:tc>
      </w:tr>
      <w:tr>
        <w:trPr>
          <w:cantSplit w:val="0"/>
          <w:tblHeader w:val="0"/>
        </w:trPr>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BD">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E">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17/11/2023</w:t>
            </w:r>
          </w:p>
        </w:tc>
      </w:tr>
      <w:tr>
        <w:trPr>
          <w:cantSplit w:val="0"/>
          <w:trHeight w:val="737" w:hRule="atLeast"/>
          <w:tblHeader w:val="0"/>
        </w:trPr>
        <w:tc>
          <w:tcPr/>
          <w:p w:rsidR="00000000" w:rsidDel="00000000" w:rsidP="00000000" w:rsidRDefault="00000000" w:rsidRPr="00000000" w14:paraId="000000C0">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1">
            <w:pPr>
              <w:rPr/>
            </w:pPr>
            <w:r w:rsidDel="00000000" w:rsidR="00000000" w:rsidRPr="00000000">
              <w:rPr>
                <w:rtl w:val="0"/>
              </w:rPr>
              <w:t xml:space="preserve">midnight at the end of 27/11/2023</w:t>
            </w:r>
          </w:p>
        </w:tc>
      </w:tr>
      <w:tr>
        <w:trPr>
          <w:cantSplit w:val="0"/>
          <w:tblHeader w:val="0"/>
        </w:trPr>
        <w:tc>
          <w:tcPr/>
          <w:p w:rsidR="00000000" w:rsidDel="00000000" w:rsidP="00000000" w:rsidRDefault="00000000" w:rsidRPr="00000000" w14:paraId="000000C2">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28/11/2023</w:t>
            </w:r>
          </w:p>
        </w:tc>
      </w:tr>
      <w:tr>
        <w:trPr>
          <w:cantSplit w:val="0"/>
          <w:tblHeader w:val="0"/>
        </w:trPr>
        <w:tc>
          <w:tcPr/>
          <w:p w:rsidR="00000000" w:rsidDel="00000000" w:rsidP="00000000" w:rsidRDefault="00000000" w:rsidRPr="00000000" w14:paraId="000000C4">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28/11/2023</w:t>
            </w:r>
          </w:p>
        </w:tc>
      </w:tr>
    </w:tbl>
    <w:p w:rsidR="00000000" w:rsidDel="00000000" w:rsidP="00000000" w:rsidRDefault="00000000" w:rsidRPr="00000000" w14:paraId="000000C6">
      <w:pPr>
        <w:rPr>
          <w:rFonts w:ascii="Arial" w:cs="Arial" w:eastAsia="Arial" w:hAnsi="Arial"/>
          <w:b w:val="1"/>
          <w:sz w:val="32"/>
          <w:szCs w:val="32"/>
        </w:rPr>
      </w:pPr>
      <w:bookmarkStart w:colFirst="0" w:colLast="0" w:name="_heading=h.2s8eyo1" w:id="8"/>
      <w:bookmarkEnd w:id="8"/>
      <w:r w:rsidDel="00000000" w:rsidR="00000000" w:rsidRPr="00000000">
        <w:rPr>
          <w:rtl w:val="0"/>
        </w:rPr>
      </w:r>
    </w:p>
    <w:p w:rsidR="00000000" w:rsidDel="00000000" w:rsidP="00000000" w:rsidRDefault="00000000" w:rsidRPr="00000000" w14:paraId="000000C7">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9"/>
      <w:bookmarkEnd w:id="9"/>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C8">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hope everything is clear after you have this ITT pack (including the attachments). </w:t>
      </w:r>
      <w:r w:rsidDel="00000000" w:rsidR="00000000" w:rsidRPr="00000000">
        <w:rPr>
          <w:rtl w:val="0"/>
        </w:rPr>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have any questions you need to ask them as soon as possible after the contract notice is published. This is because we have set a deadline for submitting questions - the clarification questions deadline. </w:t>
      </w:r>
      <w:r w:rsidDel="00000000" w:rsidR="00000000" w:rsidRPr="00000000">
        <w:rPr>
          <w:rtl w:val="0"/>
        </w:rPr>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r w:rsidDel="00000000" w:rsidR="00000000" w:rsidRPr="00000000">
        <w:rPr>
          <w:rtl w:val="0"/>
        </w:rPr>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feel that a particular question should not be published, you must tell us why when you ask the question. We will decide whether or not to publish the question and response.</w:t>
      </w:r>
      <w:r w:rsidDel="00000000" w:rsidR="00000000" w:rsidRPr="00000000">
        <w:rPr>
          <w:rtl w:val="0"/>
        </w:rPr>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Remember</w:t>
      </w:r>
      <w:r w:rsidDel="00000000" w:rsidR="00000000" w:rsidRPr="00000000">
        <w:rPr>
          <w:rFonts w:ascii="Arial" w:cs="Arial" w:eastAsia="Arial" w:hAnsi="Arial"/>
          <w:color w:val="000000"/>
          <w:sz w:val="24"/>
          <w:szCs w:val="24"/>
          <w:rtl w:val="0"/>
        </w:rPr>
        <w:t xml:space="preserve"> that you can ask us questions about the Framework contract and Call Off contract but please do not attempt to ‘negotiate’ the terms. All Framework awards will be made under identical terms.</w:t>
      </w:r>
      <w:r w:rsidDel="00000000" w:rsidR="00000000" w:rsidRPr="00000000">
        <w:rPr>
          <w:rtl w:val="0"/>
        </w:rPr>
      </w:r>
    </w:p>
    <w:p w:rsidR="00000000" w:rsidDel="00000000" w:rsidP="00000000" w:rsidRDefault="00000000" w:rsidRPr="00000000" w14:paraId="000000CD">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rdcrjn" w:id="10"/>
      <w:bookmarkEnd w:id="10"/>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CE">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https://www.crowncommercial.gov.uk/agreements/RM6323. </w:t>
      </w:r>
      <w:r w:rsidDel="00000000" w:rsidR="00000000" w:rsidRPr="00000000">
        <w:rPr>
          <w:rtl w:val="0"/>
        </w:rPr>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r w:rsidDel="00000000" w:rsidR="00000000" w:rsidRPr="00000000">
        <w:rPr>
          <w:rtl w:val="0"/>
        </w:rPr>
      </w:r>
    </w:p>
    <w:p w:rsidR="00000000" w:rsidDel="00000000" w:rsidP="00000000" w:rsidRDefault="00000000" w:rsidRPr="00000000" w14:paraId="000000D0">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26in1rg" w:id="11"/>
      <w:bookmarkEnd w:id="11"/>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 don’t think TUPE will apply to this procurement at </w:t>
      </w:r>
      <w:r w:rsidDel="00000000" w:rsidR="00000000" w:rsidRPr="00000000">
        <w:rPr>
          <w:rFonts w:ascii="Arial" w:cs="Arial" w:eastAsia="Arial" w:hAnsi="Arial"/>
          <w:b w:val="1"/>
          <w:sz w:val="24"/>
          <w:szCs w:val="24"/>
          <w:rtl w:val="0"/>
        </w:rPr>
        <w:t xml:space="preserve">framework</w:t>
      </w:r>
      <w:r w:rsidDel="00000000" w:rsidR="00000000" w:rsidRPr="00000000">
        <w:rPr>
          <w:rFonts w:ascii="Arial" w:cs="Arial" w:eastAsia="Arial" w:hAnsi="Arial"/>
          <w:sz w:val="24"/>
          <w:szCs w:val="24"/>
          <w:rtl w:val="0"/>
        </w:rPr>
        <w:t xml:space="preserve"> level because:</w:t>
      </w:r>
      <w:r w:rsidDel="00000000" w:rsidR="00000000" w:rsidRPr="00000000">
        <w:rPr>
          <w:rtl w:val="0"/>
        </w:rPr>
      </w:r>
    </w:p>
    <w:p w:rsidR="00000000" w:rsidDel="00000000" w:rsidP="00000000" w:rsidRDefault="00000000" w:rsidRPr="00000000" w14:paraId="000000D2">
      <w:pPr>
        <w:numPr>
          <w:ilvl w:val="0"/>
          <w:numId w:val="8"/>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D3">
      <w:pPr>
        <w:numPr>
          <w:ilvl w:val="0"/>
          <w:numId w:val="8"/>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4">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D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 think that TUPE may apply to </w:t>
      </w:r>
      <w:r w:rsidDel="00000000" w:rsidR="00000000" w:rsidRPr="00000000">
        <w:rPr>
          <w:rFonts w:ascii="Arial" w:cs="Arial" w:eastAsia="Arial" w:hAnsi="Arial"/>
          <w:b w:val="1"/>
          <w:sz w:val="24"/>
          <w:szCs w:val="24"/>
          <w:rtl w:val="0"/>
        </w:rPr>
        <w:t xml:space="preserve">call-off contracts</w:t>
      </w:r>
      <w:r w:rsidDel="00000000" w:rsidR="00000000" w:rsidRPr="00000000">
        <w:rPr>
          <w:rFonts w:ascii="Arial" w:cs="Arial" w:eastAsia="Arial" w:hAnsi="Arial"/>
          <w:sz w:val="24"/>
          <w:szCs w:val="24"/>
          <w:rtl w:val="0"/>
        </w:rPr>
        <w:t xml:space="preserve"> because:</w:t>
      </w:r>
      <w:r w:rsidDel="00000000" w:rsidR="00000000" w:rsidRPr="00000000">
        <w:rPr>
          <w:rtl w:val="0"/>
        </w:rPr>
      </w:r>
    </w:p>
    <w:p w:rsidR="00000000" w:rsidDel="00000000" w:rsidP="00000000" w:rsidRDefault="00000000" w:rsidRPr="00000000" w14:paraId="000000D6">
      <w:pPr>
        <w:numPr>
          <w:ilvl w:val="0"/>
          <w:numId w:val="4"/>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7">
      <w:pPr>
        <w:numPr>
          <w:ilvl w:val="0"/>
          <w:numId w:val="4"/>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D8">
      <w:pPr>
        <w:numPr>
          <w:ilvl w:val="0"/>
          <w:numId w:val="4"/>
        </w:numPr>
        <w:pBdr>
          <w:top w:space="0" w:sz="0" w:val="nil"/>
          <w:left w:space="0" w:sz="0" w:val="nil"/>
          <w:bottom w:space="0" w:sz="0" w:val="nil"/>
          <w:right w:space="0" w:sz="0" w:val="nil"/>
          <w:between w:space="0" w:sz="0" w:val="nil"/>
        </w:pBd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D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Again, 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DA">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Attachment 11 Call-Off Schedule 2 (Staff Transfer). No further indemnities will be provided.</w:t>
      </w:r>
      <w:r w:rsidDel="00000000" w:rsidR="00000000" w:rsidRPr="00000000">
        <w:rPr>
          <w:rtl w:val="0"/>
        </w:rPr>
      </w:r>
    </w:p>
    <w:p w:rsidR="00000000" w:rsidDel="00000000" w:rsidP="00000000" w:rsidRDefault="00000000" w:rsidRPr="00000000" w14:paraId="000000DB">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2"/>
      <w:bookmarkEnd w:id="12"/>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DD">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3"/>
      <w:bookmarkEnd w:id="13"/>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DF">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we expect from you</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highlight w:val="white"/>
          <w:rtl w:val="0"/>
        </w:rPr>
        <w:t xml:space="preserve">200</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3">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Involvement in multiple bids</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highlight w:val="white"/>
          <w:rtl w:val="0"/>
        </w:rPr>
        <w:t xml:space="preserve">or the same lot</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E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E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E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E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E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E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E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4"/>
      <w:bookmarkEnd w:id="14"/>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E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F5">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F7">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color w:val="000000"/>
          <w:sz w:val="24"/>
          <w:szCs w:val="24"/>
          <w:highlight w:val="white"/>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A">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D">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0">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2jxsxqh" w:id="15"/>
      <w:bookmarkEnd w:id="15"/>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4">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0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0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0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w:t>
      </w:r>
      <w:r w:rsidDel="00000000" w:rsidR="00000000" w:rsidRPr="00000000">
        <w:rPr>
          <w:rFonts w:ascii="Arial" w:cs="Arial" w:eastAsia="Arial" w:hAnsi="Arial"/>
          <w:sz w:val="24"/>
          <w:szCs w:val="24"/>
          <w:highlight w:val="white"/>
          <w:rtl w:val="0"/>
        </w:rPr>
        <w:t xml:space="preserve"> or lot(s) </w:t>
      </w:r>
      <w:r w:rsidDel="00000000" w:rsidR="00000000" w:rsidRPr="00000000">
        <w:rPr>
          <w:rFonts w:ascii="Arial" w:cs="Arial" w:eastAsia="Arial" w:hAnsi="Arial"/>
          <w:sz w:val="24"/>
          <w:szCs w:val="24"/>
          <w:rtl w:val="0"/>
        </w:rPr>
        <w:t xml:space="preserve">as a result of the competition</w:t>
      </w:r>
    </w:p>
    <w:p w:rsidR="00000000" w:rsidDel="00000000" w:rsidP="00000000" w:rsidRDefault="00000000" w:rsidRPr="00000000" w14:paraId="0000010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0D">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0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F">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0">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1">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2">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3">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4">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15">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1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E">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4">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B">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E">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16"/>
      <w:bookmarkEnd w:id="16"/>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2F">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https://www.crowncommercial.gov.uk/agreements/RM6323.</w:t>
      </w:r>
    </w:p>
    <w:p w:rsidR="00000000" w:rsidDel="00000000" w:rsidP="00000000" w:rsidRDefault="00000000" w:rsidRPr="00000000" w14:paraId="00000130">
      <w:pPr>
        <w:numPr>
          <w:ilvl w:val="1"/>
          <w:numId w:val="9"/>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Core terms </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2">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numPr>
          <w:ilvl w:val="1"/>
          <w:numId w:val="9"/>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Schedules </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3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3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in 10.5 below describes the purpose of each of these schedules.</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A">
      <w:pPr>
        <w:numPr>
          <w:ilvl w:val="1"/>
          <w:numId w:val="9"/>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Framework award form</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w:t>
      </w:r>
      <w:r w:rsidDel="00000000" w:rsidR="00000000" w:rsidRPr="00000000">
        <w:rPr>
          <w:rFonts w:ascii="Arial" w:cs="Arial" w:eastAsia="Arial" w:hAnsi="Arial"/>
          <w:color w:val="000000"/>
          <w:sz w:val="24"/>
          <w:szCs w:val="24"/>
          <w:highlight w:val="white"/>
          <w:rtl w:val="0"/>
        </w:rPr>
        <w:t xml:space="preserve">10 </w:t>
      </w:r>
      <w:r w:rsidDel="00000000" w:rsidR="00000000" w:rsidRPr="00000000">
        <w:rPr>
          <w:rFonts w:ascii="Arial" w:cs="Arial" w:eastAsia="Arial" w:hAnsi="Arial"/>
          <w:color w:val="000000"/>
          <w:sz w:val="24"/>
          <w:szCs w:val="24"/>
          <w:rtl w:val="0"/>
        </w:rPr>
        <w:t xml:space="preserve">days of being asked. If you do not sign and return, we will withdraw our offer of a Framework agreement.</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1">
      <w:pPr>
        <w:numPr>
          <w:ilvl w:val="1"/>
          <w:numId w:val="9"/>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Order form</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4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47">
      <w:pPr>
        <w:numPr>
          <w:ilvl w:val="0"/>
          <w:numId w:val="1"/>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4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4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4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numPr>
          <w:ilvl w:val="1"/>
          <w:numId w:val="9"/>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The contract documents</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r w:rsidDel="00000000" w:rsidR="00000000" w:rsidRPr="00000000">
        <w:rPr>
          <w:rFonts w:ascii="Arial" w:cs="Arial" w:eastAsia="Arial" w:hAnsi="Arial"/>
          <w:sz w:val="24"/>
          <w:szCs w:val="24"/>
          <w:rtl w:val="0"/>
        </w:rPr>
        <w:t xml:space="preserve">https://www.crowncommercial.gov.uk/agreements/RM6323. </w:t>
      </w:r>
    </w:p>
    <w:p w:rsidR="00000000" w:rsidDel="00000000" w:rsidP="00000000" w:rsidRDefault="00000000" w:rsidRPr="00000000" w14:paraId="00000151">
      <w:pPr>
        <w:widowControl w:val="0"/>
        <w:spacing w:after="200" w:line="276" w:lineRule="auto"/>
        <w:rPr>
          <w:rFonts w:ascii="Arial" w:cs="Arial" w:eastAsia="Arial" w:hAnsi="Arial"/>
          <w:sz w:val="24"/>
          <w:szCs w:val="24"/>
        </w:rPr>
      </w:pPr>
      <w:r w:rsidDel="00000000" w:rsidR="00000000" w:rsidRPr="00000000">
        <w:rPr>
          <w:rtl w:val="0"/>
        </w:rPr>
      </w:r>
    </w:p>
    <w:tbl>
      <w:tblPr>
        <w:tblStyle w:val="Table3"/>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6">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57">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78">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79">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7A">
            <w:pPr>
              <w:widowControl w:val="0"/>
              <w:spacing w:after="80" w:lineRule="auto"/>
              <w:rPr/>
            </w:pPr>
            <w:r w:rsidDel="00000000" w:rsidR="00000000" w:rsidRPr="00000000">
              <w:rPr>
                <w:rtl w:val="0"/>
              </w:rPr>
            </w:r>
          </w:p>
          <w:p w:rsidR="00000000" w:rsidDel="00000000" w:rsidP="00000000" w:rsidRDefault="00000000" w:rsidRPr="00000000" w14:paraId="0000017B">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7C">
            <w:pPr>
              <w:widowControl w:val="0"/>
              <w:spacing w:after="80" w:lineRule="auto"/>
              <w:rPr/>
            </w:pPr>
            <w:r w:rsidDel="00000000" w:rsidR="00000000" w:rsidRPr="00000000">
              <w:rPr>
                <w:rtl w:val="0"/>
              </w:rPr>
            </w:r>
          </w:p>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Joint Schedule 12 -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Call-Off Schedule 2 </w:t>
            </w:r>
          </w:p>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(Staff Transfer)</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4 </w:t>
            </w:r>
          </w:p>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(Call-Off Tender) </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Call-Off Schedule 6 </w:t>
            </w:r>
          </w:p>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(ICT Services) </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Call-Off Schedule 7 </w:t>
            </w:r>
          </w:p>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bookmarkStart w:colFirst="0" w:colLast="0" w:name="_heading=h.gjdgxs" w:id="17"/>
            <w:bookmarkEnd w:id="17"/>
            <w:r w:rsidDel="00000000" w:rsidR="00000000" w:rsidRPr="00000000">
              <w:rPr>
                <w:b w:val="1"/>
                <w:rtl w:val="0"/>
              </w:rPr>
              <w:t xml:space="preserve">Call-Off Schedule 10 </w:t>
            </w:r>
          </w:p>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(Exit Management) </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5">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E9">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ED">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Rule="auto"/>
              <w:rPr/>
            </w:pPr>
            <w:r w:rsidDel="00000000" w:rsidR="00000000" w:rsidRPr="00000000">
              <w:rPr>
                <w:rtl w:val="0"/>
              </w:rPr>
              <w:t xml:space="preserve">Yes</w:t>
            </w:r>
          </w:p>
        </w:tc>
      </w:tr>
    </w:tbl>
    <w:p w:rsidR="00000000" w:rsidDel="00000000" w:rsidP="00000000" w:rsidRDefault="00000000" w:rsidRPr="00000000" w14:paraId="000001F0">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F1">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j2qqm3" w:id="18"/>
      <w:bookmarkEnd w:id="18"/>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F2">
      <w:pPr>
        <w:numPr>
          <w:ilvl w:val="1"/>
          <w:numId w:val="6"/>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9"/>
      <w:bookmarkEnd w:id="19"/>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F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F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F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F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F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F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F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F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F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FC">
      <w:pPr>
        <w:numPr>
          <w:ilvl w:val="1"/>
          <w:numId w:val="6"/>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FD">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color w:val="000000"/>
        </w:rPr>
      </w:pPr>
      <w:bookmarkStart w:colFirst="0" w:colLast="0" w:name="_heading=h.4i7ojhp" w:id="20"/>
      <w:bookmarkEnd w:id="20"/>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1FE">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F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0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4">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hyperlink r:id="rId20">
        <w:r w:rsidDel="00000000" w:rsidR="00000000" w:rsidRPr="00000000">
          <w:rPr>
            <w:rFonts w:ascii="Arial" w:cs="Arial" w:eastAsia="Arial" w:hAnsi="Arial"/>
            <w:sz w:val="24"/>
            <w:szCs w:val="24"/>
            <w:rtl w:val="0"/>
          </w:rPr>
          <w:t xml:space="preserve">The</w:t>
        </w:r>
      </w:hyperlink>
      <w:hyperlink r:id="rId21">
        <w:r w:rsidDel="00000000" w:rsidR="00000000" w:rsidRPr="00000000">
          <w:rPr>
            <w:rFonts w:ascii="Arial" w:cs="Arial" w:eastAsia="Arial" w:hAnsi="Arial"/>
            <w:color w:val="000000"/>
            <w:sz w:val="24"/>
            <w:szCs w:val="24"/>
            <w:rtl w:val="0"/>
          </w:rPr>
          <w:t xml:space="preserv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0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2">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A">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r w:rsidDel="00000000" w:rsidR="00000000" w:rsidRPr="00000000">
        <w:rPr>
          <w:rFonts w:ascii="Arial" w:cs="Arial" w:eastAsia="Arial" w:hAnsi="Arial"/>
          <w:sz w:val="24"/>
          <w:szCs w:val="24"/>
          <w:rtl w:val="0"/>
        </w:rPr>
        <w:t xml:space="preserve">Paragraphs</w:t>
      </w:r>
      <w:r w:rsidDel="00000000" w:rsidR="00000000" w:rsidRPr="00000000">
        <w:rPr>
          <w:rFonts w:ascii="Arial" w:cs="Arial" w:eastAsia="Arial" w:hAnsi="Arial"/>
          <w:color w:val="000000"/>
          <w:sz w:val="24"/>
          <w:szCs w:val="24"/>
          <w:rtl w:val="0"/>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3" w:type="default"/>
      <w:footerReference r:id="rId24" w:type="default"/>
      <w:footerReference r:id="rId25"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24</w:t>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v1.0</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RM6323</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Insurance and Related Services 4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2023</w:t>
      <w:tab/>
      <w:tab/>
    </w: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24</w:t>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v1.0</w:t>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6323</w:t>
    </w:r>
    <w:r w:rsidDel="00000000" w:rsidR="00000000" w:rsidRPr="00000000">
      <w:rPr>
        <w:rFonts w:ascii="Arial" w:cs="Arial" w:eastAsia="Arial" w:hAnsi="Arial"/>
        <w:color w:val="000000"/>
        <w:sz w:val="20"/>
        <w:szCs w:val="20"/>
        <w:rtl w:val="0"/>
      </w:rPr>
      <w:t xml:space="preserve"> Insurance</w:t>
    </w:r>
    <w:r w:rsidDel="00000000" w:rsidR="00000000" w:rsidRPr="00000000">
      <w:rPr>
        <w:rFonts w:ascii="Arial" w:cs="Arial" w:eastAsia="Arial" w:hAnsi="Arial"/>
        <w:sz w:val="20"/>
        <w:szCs w:val="20"/>
        <w:rtl w:val="0"/>
      </w:rPr>
      <w:t xml:space="preserve"> and Related Services 4</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6">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0"/>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22" Type="http://schemas.openxmlformats.org/officeDocument/2006/relationships/hyperlink" Target="mailto:covenant-mailbox@mod.uk" TargetMode="External"/><Relationship Id="rId21" Type="http://schemas.openxmlformats.org/officeDocument/2006/relationships/hyperlink" Target="https://www.gov.uk/government/uploads/system/uploads/attachment_data/file/649954/20171005_Armed_Forces_Covenant_Guidance_Notes_for_Businesses.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138" TargetMode="External"/><Relationship Id="rId19" Type="http://schemas.openxmlformats.org/officeDocument/2006/relationships/hyperlink" Target="https://www.gov.uk/government/publications/corporate-covenant-pledge" TargetMode="External"/><Relationship Id="rId18" Type="http://schemas.openxmlformats.org/officeDocument/2006/relationships/hyperlink" Target="https://www.gov.uk/government/publications/corporate-covenant-pled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mIZ7Fnmgf7tERVpY/Mora3gA==">CgMxLjAyCGgubG54Yno5MgloLjMwajB6bGwyCWguMWZvYjl0ZTIJaC4zem55c2g3MgloLjJldDkycDAyCGgudHlqY3d0MgloLjF0M2g1c2YyCWguNGQzNG9nODIJaC4yczhleW8xMgloLjE3ZHA4dnUyCWguM3JkY3JqbjIJaC4yNmluMXJnMgloLjM1bmt1bjIyCWguMWtzdjR1djIJaC40NHNpbmlvMgloLjJqeHN4cWgyCGguejMzN3lhMghoLmdqZGd4czIJaC4zajJxcW0zMgloLjF5ODEwdHcyCWguNGk3b2pocDgAciExeXQ1RVptRWYtY0FFcTRQQkF2Mm15T25RWTBvU05pR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2023-05-18T11:35:00Z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