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4A2" w:rsidRDefault="004A11C6">
      <w:r>
        <w:rPr>
          <w:noProof/>
        </w:rPr>
        <w:drawing>
          <wp:anchor distT="0" distB="0" distL="114300" distR="114300" simplePos="0" relativeHeight="76" behindDoc="0" locked="0" layoutInCell="1" allowOverlap="1">
            <wp:simplePos x="0" y="0"/>
            <wp:positionH relativeFrom="column">
              <wp:align>left</wp:align>
            </wp:positionH>
            <wp:positionV relativeFrom="paragraph">
              <wp:align>top</wp:align>
            </wp:positionV>
            <wp:extent cx="2476442" cy="2070000"/>
            <wp:effectExtent l="0" t="0" r="58" b="6450"/>
            <wp:wrapSquare wrapText="bothSides"/>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rsidR="00DA14A2" w:rsidRDefault="00DA14A2">
      <w:pPr>
        <w:pStyle w:val="Heading1"/>
      </w:pPr>
      <w:bookmarkStart w:id="0" w:name="_Toc32303547"/>
    </w:p>
    <w:p w:rsidR="00DA14A2" w:rsidRDefault="00DA14A2">
      <w:pPr>
        <w:pStyle w:val="Heading1"/>
      </w:pPr>
    </w:p>
    <w:p w:rsidR="00DA14A2" w:rsidRDefault="00DA14A2">
      <w:pPr>
        <w:pStyle w:val="Heading1"/>
      </w:pPr>
    </w:p>
    <w:p w:rsidR="00DA14A2" w:rsidRDefault="004A11C6">
      <w:pPr>
        <w:pStyle w:val="Heading1"/>
      </w:pPr>
      <w:bookmarkStart w:id="1" w:name="_Toc33176231"/>
      <w:r>
        <w:t>G-Cloud 12 Call-Off Contract</w:t>
      </w:r>
      <w:bookmarkEnd w:id="0"/>
      <w:bookmarkEnd w:id="1"/>
    </w:p>
    <w:p w:rsidR="00DA14A2" w:rsidRDefault="00DA14A2">
      <w:pPr>
        <w:rPr>
          <w:sz w:val="28"/>
          <w:szCs w:val="28"/>
        </w:rPr>
      </w:pPr>
    </w:p>
    <w:p w:rsidR="00DA14A2" w:rsidRDefault="00DA14A2">
      <w:pPr>
        <w:rPr>
          <w:sz w:val="28"/>
          <w:szCs w:val="28"/>
        </w:rPr>
      </w:pPr>
    </w:p>
    <w:p w:rsidR="00DA14A2" w:rsidRDefault="004A11C6">
      <w:pPr>
        <w:rPr>
          <w:rFonts w:eastAsia="Times New Roman"/>
          <w:lang w:eastAsia="en-US"/>
        </w:rPr>
      </w:pPr>
      <w:r>
        <w:rPr>
          <w:rFonts w:eastAsia="Times New Roman"/>
          <w:lang w:eastAsia="en-US"/>
        </w:rPr>
        <w:t>This Call-Off Contract for the G-Cloud 12 Framework Agreement (RM1557.12) includes:</w:t>
      </w:r>
    </w:p>
    <w:p w:rsidR="00DA14A2" w:rsidRDefault="004A11C6">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rsidR="00DA14A2" w:rsidRDefault="004A11C6">
      <w:pPr>
        <w:pStyle w:val="TOC2"/>
      </w:pPr>
      <w:r>
        <w:rPr>
          <w:rFonts w:ascii="Arial" w:hAnsi="Arial"/>
          <w:b w:val="0"/>
        </w:rPr>
        <w:t>Part A: Order Form</w:t>
      </w:r>
      <w:r>
        <w:rPr>
          <w:rFonts w:ascii="Arial" w:hAnsi="Arial"/>
          <w:b w:val="0"/>
        </w:rPr>
        <w:tab/>
        <w:t>2</w:t>
      </w:r>
    </w:p>
    <w:p w:rsidR="00DA14A2" w:rsidRDefault="004A11C6">
      <w:pPr>
        <w:pStyle w:val="TOC2"/>
      </w:pPr>
      <w:r>
        <w:rPr>
          <w:rFonts w:ascii="Arial" w:hAnsi="Arial"/>
          <w:b w:val="0"/>
        </w:rPr>
        <w:t>Schedule 1: Services</w:t>
      </w:r>
      <w:r>
        <w:rPr>
          <w:rFonts w:ascii="Arial" w:hAnsi="Arial"/>
          <w:b w:val="0"/>
        </w:rPr>
        <w:tab/>
        <w:t>12</w:t>
      </w:r>
    </w:p>
    <w:p w:rsidR="00DA14A2" w:rsidRDefault="004A11C6">
      <w:pPr>
        <w:pStyle w:val="TOC2"/>
      </w:pPr>
      <w:r>
        <w:rPr>
          <w:rFonts w:ascii="Arial" w:hAnsi="Arial"/>
          <w:b w:val="0"/>
        </w:rPr>
        <w:t>Schedule 2: Call-Off Contract charges</w:t>
      </w:r>
      <w:r>
        <w:rPr>
          <w:rFonts w:ascii="Arial" w:hAnsi="Arial"/>
          <w:b w:val="0"/>
        </w:rPr>
        <w:tab/>
        <w:t>12</w:t>
      </w:r>
    </w:p>
    <w:p w:rsidR="00DA14A2" w:rsidRDefault="004A11C6">
      <w:pPr>
        <w:pStyle w:val="TOC2"/>
      </w:pPr>
      <w:r>
        <w:rPr>
          <w:rFonts w:ascii="Arial" w:hAnsi="Arial"/>
          <w:b w:val="0"/>
        </w:rPr>
        <w:t>Part B: Terms and conditions</w:t>
      </w:r>
      <w:r>
        <w:rPr>
          <w:rFonts w:ascii="Arial" w:hAnsi="Arial"/>
          <w:b w:val="0"/>
        </w:rPr>
        <w:tab/>
        <w:t>13</w:t>
      </w:r>
    </w:p>
    <w:p w:rsidR="00DA14A2" w:rsidRDefault="004A11C6">
      <w:pPr>
        <w:pStyle w:val="TOC2"/>
      </w:pPr>
      <w:r>
        <w:rPr>
          <w:rFonts w:ascii="Arial" w:hAnsi="Arial"/>
          <w:b w:val="0"/>
        </w:rPr>
        <w:t>Schedule 3: Collaboration agreement</w:t>
      </w:r>
      <w:r>
        <w:rPr>
          <w:rFonts w:ascii="Arial" w:hAnsi="Arial"/>
          <w:b w:val="0"/>
        </w:rPr>
        <w:tab/>
        <w:t>32</w:t>
      </w:r>
    </w:p>
    <w:p w:rsidR="00DA14A2" w:rsidRDefault="004A11C6">
      <w:pPr>
        <w:pStyle w:val="TOC2"/>
      </w:pPr>
      <w:r>
        <w:rPr>
          <w:rFonts w:ascii="Arial" w:hAnsi="Arial"/>
          <w:b w:val="0"/>
        </w:rPr>
        <w:t>Schedule 4: Alternative clauses</w:t>
      </w:r>
      <w:r>
        <w:rPr>
          <w:rFonts w:ascii="Arial" w:hAnsi="Arial"/>
          <w:b w:val="0"/>
        </w:rPr>
        <w:tab/>
        <w:t>44</w:t>
      </w:r>
    </w:p>
    <w:p w:rsidR="00DA14A2" w:rsidRDefault="004A11C6">
      <w:pPr>
        <w:pStyle w:val="TOC2"/>
      </w:pPr>
      <w:r>
        <w:rPr>
          <w:rFonts w:ascii="Arial" w:hAnsi="Arial"/>
          <w:b w:val="0"/>
        </w:rPr>
        <w:t>Schedule 5: Guarantee</w:t>
      </w:r>
      <w:r>
        <w:rPr>
          <w:rFonts w:ascii="Arial" w:hAnsi="Arial"/>
          <w:b w:val="0"/>
        </w:rPr>
        <w:tab/>
        <w:t>49</w:t>
      </w:r>
    </w:p>
    <w:p w:rsidR="00DA14A2" w:rsidRDefault="004A11C6">
      <w:pPr>
        <w:pStyle w:val="TOC2"/>
      </w:pPr>
      <w:r>
        <w:rPr>
          <w:rFonts w:ascii="Arial" w:hAnsi="Arial"/>
          <w:b w:val="0"/>
        </w:rPr>
        <w:t>Schedule 6: Glossary and interpretations</w:t>
      </w:r>
      <w:r>
        <w:rPr>
          <w:rFonts w:ascii="Arial" w:hAnsi="Arial"/>
          <w:b w:val="0"/>
        </w:rPr>
        <w:tab/>
        <w:t>57</w:t>
      </w:r>
    </w:p>
    <w:p w:rsidR="00DA14A2" w:rsidRDefault="004A11C6">
      <w:pPr>
        <w:pStyle w:val="TOC2"/>
      </w:pPr>
      <w:r>
        <w:rPr>
          <w:rFonts w:ascii="Arial" w:hAnsi="Arial"/>
          <w:b w:val="0"/>
        </w:rPr>
        <w:t>Schedule 7: GDPR Information</w:t>
      </w:r>
      <w:r>
        <w:rPr>
          <w:rFonts w:ascii="Arial" w:hAnsi="Arial"/>
          <w:b w:val="0"/>
        </w:rPr>
        <w:tab/>
        <w:t>68</w:t>
      </w:r>
    </w:p>
    <w:p w:rsidR="00DA14A2" w:rsidRDefault="004A11C6">
      <w:pPr>
        <w:pageBreakBefore/>
      </w:pPr>
      <w:r>
        <w:rPr>
          <w:rFonts w:ascii="Cambria" w:eastAsia="Cambria" w:hAnsi="Cambria" w:cs="Cambria"/>
          <w:b/>
          <w:bCs/>
        </w:rPr>
        <w:lastRenderedPageBreak/>
        <w:fldChar w:fldCharType="end"/>
      </w:r>
    </w:p>
    <w:p w:rsidR="00DA14A2" w:rsidRDefault="004A11C6">
      <w:pPr>
        <w:pStyle w:val="Heading2"/>
      </w:pPr>
      <w:bookmarkStart w:id="2" w:name="_Toc33176232"/>
      <w:r>
        <w:t>Part A: Order Form</w:t>
      </w:r>
      <w:bookmarkEnd w:id="2"/>
    </w:p>
    <w:p w:rsidR="00DA14A2" w:rsidRDefault="004A11C6">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DA14A2">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3067 8734 7520 995</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SR635690460</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ESRM Transformation Delivery</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after="160" w:line="240" w:lineRule="auto"/>
            </w:pPr>
            <w:r>
              <w:rPr>
                <w:rFonts w:ascii="Tahoma" w:eastAsia="Calibri" w:hAnsi="Tahoma"/>
                <w:lang w:eastAsia="en-US"/>
              </w:rPr>
              <w:t>The project is to design and implement a new Enterprise Security Risk Management (ESRM) framework and supporting processes across HMRC, including defining requirements for tooling to support the every day operation of the ESRM processes.</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01/04/2021</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31/03/2022</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Electronic invoices via the SAP Ariba Network</w:t>
            </w:r>
          </w:p>
        </w:tc>
      </w:tr>
      <w:tr w:rsidR="00DA14A2">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To be provided my HMRC.</w:t>
            </w:r>
          </w:p>
        </w:tc>
      </w:tr>
    </w:tbl>
    <w:p w:rsidR="00DA14A2" w:rsidRDefault="004A11C6">
      <w:pPr>
        <w:spacing w:before="240"/>
      </w:pPr>
      <w:r>
        <w:t xml:space="preserve"> </w:t>
      </w:r>
    </w:p>
    <w:p w:rsidR="00DA14A2" w:rsidRDefault="004A11C6">
      <w:pPr>
        <w:spacing w:before="240" w:after="240"/>
      </w:pPr>
      <w:r>
        <w:t>This Order Form is issued under the G-Cloud 12 Framework Agreement (RM1557.12).</w:t>
      </w:r>
    </w:p>
    <w:p w:rsidR="00DA14A2" w:rsidRDefault="004A11C6">
      <w:pPr>
        <w:spacing w:before="240"/>
      </w:pPr>
      <w:r>
        <w:t>Buyers can use this Order Form to specify their G-Cloud service requirements when placing an Order.</w:t>
      </w:r>
    </w:p>
    <w:p w:rsidR="00DA14A2" w:rsidRDefault="004A11C6">
      <w:pPr>
        <w:spacing w:before="240"/>
      </w:pPr>
      <w:r>
        <w:t>The Order Form cannot be used to alter existing terms or add any extra terms that materially change the Deliverables offered by the Supplier and defined in the Application.</w:t>
      </w:r>
    </w:p>
    <w:p w:rsidR="00DA14A2" w:rsidRDefault="004A11C6">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DA14A2">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HM Revenue and Customs </w:t>
            </w:r>
          </w:p>
          <w:p w:rsidR="00DA14A2" w:rsidRDefault="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p>
        </w:tc>
      </w:tr>
      <w:tr w:rsidR="00DA14A2">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Finyx Consulting Limited </w:t>
            </w:r>
          </w:p>
          <w:p w:rsidR="00DA14A2" w:rsidRDefault="00695B46" w:rsidP="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p>
        </w:tc>
      </w:tr>
      <w:tr w:rsidR="00DA14A2">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after="240"/>
              <w:rPr>
                <w:b/>
              </w:rPr>
            </w:pPr>
            <w:r>
              <w:rPr>
                <w:b/>
              </w:rPr>
              <w:t>Together the ‘Parties’</w:t>
            </w:r>
          </w:p>
        </w:tc>
      </w:tr>
    </w:tbl>
    <w:p w:rsidR="00DA14A2" w:rsidRDefault="00DA14A2">
      <w:pPr>
        <w:spacing w:before="240" w:after="240"/>
        <w:rPr>
          <w:b/>
        </w:rPr>
      </w:pPr>
    </w:p>
    <w:p w:rsidR="00DA14A2" w:rsidRDefault="004A11C6">
      <w:pPr>
        <w:pStyle w:val="Heading3"/>
        <w:rPr>
          <w:color w:val="auto"/>
        </w:rPr>
      </w:pPr>
      <w:r>
        <w:rPr>
          <w:color w:val="auto"/>
        </w:rPr>
        <w:t>Principal contact details</w:t>
      </w:r>
    </w:p>
    <w:p w:rsidR="00DA14A2" w:rsidRDefault="004A11C6">
      <w:pPr>
        <w:spacing w:before="240" w:after="120" w:line="480" w:lineRule="auto"/>
        <w:rPr>
          <w:b/>
        </w:rPr>
      </w:pPr>
      <w:r>
        <w:rPr>
          <w:b/>
        </w:rPr>
        <w:t>For the Buyer:</w:t>
      </w:r>
    </w:p>
    <w:p w:rsidR="00DA14A2" w:rsidRPr="00695B46" w:rsidRDefault="00695B46">
      <w:pPr>
        <w:rPr>
          <w:b/>
          <w:highlight w:val="black"/>
        </w:rPr>
      </w:pPr>
      <w:r w:rsidRPr="00695B46">
        <w:rPr>
          <w:b/>
          <w:highlight w:val="black"/>
        </w:rPr>
        <w:t>XXXXXXXXXXXXXXXXXXXXXXX</w:t>
      </w:r>
    </w:p>
    <w:p w:rsidR="00695B46" w:rsidRPr="00695B46" w:rsidRDefault="00695B46">
      <w:pPr>
        <w:rPr>
          <w:b/>
          <w:highlight w:val="black"/>
        </w:rPr>
      </w:pPr>
      <w:r w:rsidRPr="00695B46">
        <w:rPr>
          <w:b/>
          <w:highlight w:val="black"/>
        </w:rPr>
        <w:t>XXXXXXXXXXXXXXXXXXXXXXX</w:t>
      </w:r>
    </w:p>
    <w:p w:rsidR="00695B46" w:rsidRDefault="00695B46">
      <w:pPr>
        <w:rPr>
          <w:b/>
        </w:rPr>
      </w:pPr>
      <w:r w:rsidRPr="00695B46">
        <w:rPr>
          <w:b/>
          <w:highlight w:val="black"/>
        </w:rPr>
        <w:t>XXXXXXXXXXXXXXXXXXXXXXX</w:t>
      </w:r>
    </w:p>
    <w:p w:rsidR="00695B46" w:rsidRDefault="00695B46">
      <w:pPr>
        <w:rPr>
          <w:b/>
        </w:rPr>
      </w:pPr>
    </w:p>
    <w:p w:rsidR="00695B46" w:rsidRDefault="00695B46">
      <w:pPr>
        <w:rPr>
          <w:b/>
        </w:rPr>
      </w:pPr>
    </w:p>
    <w:p w:rsidR="00695B46" w:rsidRDefault="00695B46">
      <w:pPr>
        <w:rPr>
          <w:b/>
        </w:rPr>
      </w:pPr>
    </w:p>
    <w:p w:rsidR="00695B46" w:rsidRDefault="00695B46">
      <w:pPr>
        <w:rPr>
          <w:b/>
        </w:rPr>
      </w:pPr>
    </w:p>
    <w:p w:rsidR="00DA14A2" w:rsidRDefault="004A11C6">
      <w:pPr>
        <w:spacing w:line="480" w:lineRule="auto"/>
        <w:rPr>
          <w:b/>
        </w:rPr>
      </w:pPr>
      <w:r>
        <w:rPr>
          <w:b/>
        </w:rPr>
        <w:t>For the Supplier:</w:t>
      </w:r>
    </w:p>
    <w:p w:rsidR="00695B46" w:rsidRPr="00695B46" w:rsidRDefault="00695B46" w:rsidP="00695B46">
      <w:pPr>
        <w:rPr>
          <w:b/>
          <w:highlight w:val="black"/>
        </w:rPr>
      </w:pPr>
      <w:r w:rsidRPr="00695B46">
        <w:rPr>
          <w:b/>
          <w:highlight w:val="black"/>
        </w:rPr>
        <w:lastRenderedPageBreak/>
        <w:t>XXXXXXXXXXXXXXXXXXXXXXX</w:t>
      </w:r>
    </w:p>
    <w:p w:rsidR="00695B46" w:rsidRPr="00695B46" w:rsidRDefault="00695B46" w:rsidP="00695B46">
      <w:pPr>
        <w:rPr>
          <w:b/>
          <w:highlight w:val="black"/>
        </w:rPr>
      </w:pPr>
      <w:r w:rsidRPr="00695B46">
        <w:rPr>
          <w:b/>
          <w:highlight w:val="black"/>
        </w:rPr>
        <w:t>XXXXXXXXXXXXXXXXXXXXXXX</w:t>
      </w:r>
    </w:p>
    <w:p w:rsidR="00695B46" w:rsidRDefault="00695B46" w:rsidP="00695B46">
      <w:pPr>
        <w:rPr>
          <w:b/>
        </w:rPr>
      </w:pPr>
      <w:r w:rsidRPr="00695B46">
        <w:rPr>
          <w:b/>
          <w:highlight w:val="black"/>
        </w:rPr>
        <w:t>XXXXXXXXXXXXXXXXXXXXXXX</w:t>
      </w:r>
    </w:p>
    <w:p w:rsidR="00DA14A2" w:rsidRDefault="00DA14A2">
      <w:pPr>
        <w:spacing w:before="240" w:after="240"/>
      </w:pPr>
    </w:p>
    <w:p w:rsidR="00DA14A2" w:rsidRDefault="004A11C6">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A14A2">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This Call-Off Contract Starts on </w:t>
            </w:r>
            <w:r>
              <w:rPr>
                <w:b/>
              </w:rPr>
              <w:t>01/04/2021</w:t>
            </w:r>
            <w:r>
              <w:t xml:space="preserve"> and is valid for </w:t>
            </w:r>
            <w:r>
              <w:rPr>
                <w:b/>
              </w:rPr>
              <w:t>12 months.</w:t>
            </w:r>
          </w:p>
          <w:p w:rsidR="00DA14A2" w:rsidRDefault="004A11C6">
            <w:pPr>
              <w:spacing w:before="240"/>
            </w:pPr>
            <w:r>
              <w:t>[The date and number of days or months is subject to clause 1.2 in Part B below.]</w:t>
            </w:r>
          </w:p>
        </w:tc>
      </w:tr>
      <w:tr w:rsidR="00DA14A2">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The notice period for the Supplier needed for Ending the Call-Off Contract is at least </w:t>
            </w:r>
            <w:r>
              <w:rPr>
                <w:b/>
              </w:rPr>
              <w:t xml:space="preserve">30 </w:t>
            </w:r>
            <w:r>
              <w:t>Working Days from the date of written notice for undisputed sums (as per clause 18.6).</w:t>
            </w:r>
          </w:p>
          <w:p w:rsidR="00DA14A2" w:rsidRDefault="004A11C6">
            <w:pPr>
              <w:spacing w:before="240"/>
            </w:pPr>
            <w:r>
              <w:t xml:space="preserve">The notice period for the Buyer is a maximum of </w:t>
            </w:r>
            <w:r>
              <w:rPr>
                <w:b/>
              </w:rPr>
              <w:t>[30]</w:t>
            </w:r>
            <w:r>
              <w:t xml:space="preserve"> days from the date of written notice for Ending without cause (as per clause 18.1).</w:t>
            </w:r>
          </w:p>
        </w:tc>
      </w:tr>
      <w:tr w:rsidR="00DA14A2">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This Call-off Contract can be extended by the Buyer for 1 period(s) of up to 3 months, by giving the Supplier 4 weeks written notice before its expiry. The extension periods are subject to clauses 1.3 and 1.4 in Part B below.</w:t>
            </w:r>
          </w:p>
          <w:p w:rsidR="00DA14A2" w:rsidRDefault="004A11C6">
            <w:pPr>
              <w:spacing w:before="240"/>
            </w:pPr>
            <w:r>
              <w:t>Extensions which extend the Term beyond 24 months are only permitted if the Supplier complies with the additional exit plan requirements at clauses 21.3 to 21.8.</w:t>
            </w:r>
          </w:p>
          <w:p w:rsidR="00DA14A2" w:rsidRDefault="004A11C6">
            <w:pPr>
              <w:spacing w:before="240"/>
            </w:pPr>
            <w:r>
              <w:t>[The extension period after 24 months should not exceed the maximum permitted under the Framework Agreement which is 2 periods of up to 12 months each.</w:t>
            </w:r>
          </w:p>
          <w:p w:rsidR="00DA14A2" w:rsidRDefault="004A11C6">
            <w:pPr>
              <w:spacing w:before="240"/>
            </w:pPr>
            <w:r>
              <w:t>If a buyer is a central government department and the contract Term is intended to exceed 24 months, then under the Spend Controls process, prior approval must be obtained from the Government Digital Service (GDS). Further guidance:</w:t>
            </w:r>
          </w:p>
          <w:p w:rsidR="00DA14A2" w:rsidRDefault="00695B46">
            <w:pPr>
              <w:spacing w:before="240"/>
            </w:pPr>
            <w:hyperlink r:id="rId8" w:history="1">
              <w:r w:rsidR="004A11C6">
                <w:rPr>
                  <w:rStyle w:val="Hyperlink"/>
                  <w:color w:val="auto"/>
                </w:rPr>
                <w:t>https://www.gov.uk/service-manual/agile-delivery/spend-controls-check-if-you-need-approval-to-spend-money-on-a-service</w:t>
              </w:r>
            </w:hyperlink>
          </w:p>
        </w:tc>
      </w:tr>
    </w:tbl>
    <w:p w:rsidR="00DA14A2" w:rsidRDefault="004A11C6">
      <w:pPr>
        <w:pStyle w:val="Heading3"/>
        <w:rPr>
          <w:color w:val="auto"/>
        </w:rPr>
      </w:pPr>
      <w:r>
        <w:rPr>
          <w:color w:val="auto"/>
        </w:rPr>
        <w:t>Buyer contractual details</w:t>
      </w:r>
    </w:p>
    <w:p w:rsidR="00DA14A2" w:rsidRDefault="004A11C6">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DA14A2">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This Call-Off Contract is for the provision of Services under:</w:t>
            </w:r>
          </w:p>
          <w:p w:rsidR="00DA14A2" w:rsidRDefault="004A11C6">
            <w:pPr>
              <w:spacing w:before="240"/>
            </w:pPr>
            <w:r>
              <w:t xml:space="preserve">Lot 3: Cloud support </w:t>
            </w:r>
          </w:p>
        </w:tc>
      </w:tr>
      <w:tr w:rsidR="00DA14A2">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695B46">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695B46">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sidRPr="00695B46">
              <w:rPr>
                <w:highlight w:val="black"/>
              </w:rPr>
              <w:t>XXXXXXXXXXXXXXXXXXXXXXXXXXXXXXXXXXXXXXXXX</w:t>
            </w:r>
          </w:p>
          <w:p w:rsidR="00695B46" w:rsidRDefault="00695B46" w:rsidP="00695B46">
            <w:pPr>
              <w:spacing w:before="240"/>
            </w:pPr>
          </w:p>
        </w:tc>
      </w:tr>
      <w:tr w:rsidR="00695B46">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t xml:space="preserve">The quality standards required for this Call-Off Contract are </w:t>
            </w:r>
          </w:p>
          <w:p w:rsidR="00695B46" w:rsidRDefault="00695B46" w:rsidP="00695B46">
            <w:pPr>
              <w:spacing w:before="240"/>
            </w:pPr>
            <w:r>
              <w:t>Supplier to work to any specific industry requirements</w:t>
            </w:r>
          </w:p>
          <w:p w:rsidR="00695B46" w:rsidRDefault="00695B46" w:rsidP="00695B46">
            <w:pPr>
              <w:spacing w:before="240"/>
            </w:pPr>
          </w:p>
          <w:p w:rsidR="00695B46" w:rsidRDefault="00695B46" w:rsidP="00695B46">
            <w:pPr>
              <w:spacing w:before="240"/>
            </w:pP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t>The Industry standards used as a requirement for this Call-Off Contract are NIST, Risk Management and Cyber Security Framework and ISO 27001:</w:t>
            </w:r>
          </w:p>
          <w:p w:rsidR="00695B46" w:rsidRDefault="00695B46" w:rsidP="00695B46">
            <w:pPr>
              <w:spacing w:before="240"/>
            </w:pPr>
            <w:r>
              <w:t>Supplier to work to any specific industry requirements</w:t>
            </w:r>
          </w:p>
          <w:p w:rsidR="00695B46" w:rsidRDefault="00695B46" w:rsidP="00695B46">
            <w:pPr>
              <w:spacing w:before="240"/>
            </w:pPr>
          </w:p>
          <w:p w:rsidR="00695B46" w:rsidRDefault="00695B46" w:rsidP="00695B46">
            <w:pPr>
              <w:spacing w:before="240"/>
            </w:pP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r>
              <w:t>The service level and availability criteria required for this Call-Off Contract are to be discussed and agreed between the parties within the contract life.</w:t>
            </w:r>
          </w:p>
        </w:tc>
        <w:tc>
          <w:tcPr>
            <w:tcW w:w="46" w:type="dxa"/>
            <w:shd w:val="clear" w:color="auto" w:fill="auto"/>
            <w:tcMar>
              <w:top w:w="0" w:type="dxa"/>
              <w:left w:w="10" w:type="dxa"/>
              <w:bottom w:w="0" w:type="dxa"/>
              <w:right w:w="10" w:type="dxa"/>
            </w:tcMar>
          </w:tcPr>
          <w:p w:rsidR="00695B46" w:rsidRDefault="00695B46" w:rsidP="00695B46">
            <w:pPr>
              <w:pStyle w:val="ListParagraph"/>
            </w:pPr>
          </w:p>
        </w:tc>
      </w:tr>
      <w:tr w:rsidR="00695B46">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t xml:space="preserve">The onboarding plan for this Call-Off Contract is: </w:t>
            </w:r>
          </w:p>
          <w:p w:rsidR="00695B46" w:rsidRDefault="00695B46" w:rsidP="00695B46">
            <w:pPr>
              <w:spacing w:before="240"/>
            </w:pPr>
            <w:r>
              <w:t>All resources working on the CTR project must have SC clearance.</w:t>
            </w:r>
          </w:p>
          <w:p w:rsidR="00695B46" w:rsidRDefault="00695B46" w:rsidP="00695B46">
            <w:pPr>
              <w:spacing w:before="240"/>
            </w:pPr>
          </w:p>
          <w:p w:rsidR="00695B46" w:rsidRDefault="00695B46" w:rsidP="00695B46">
            <w:r>
              <w:t>To be discussed and agreed between the parties at regular intervals during the contract life.</w:t>
            </w:r>
          </w:p>
        </w:tc>
        <w:tc>
          <w:tcPr>
            <w:tcW w:w="46" w:type="dxa"/>
            <w:shd w:val="clear" w:color="auto" w:fill="auto"/>
            <w:tcMar>
              <w:top w:w="0" w:type="dxa"/>
              <w:left w:w="10" w:type="dxa"/>
              <w:bottom w:w="0" w:type="dxa"/>
              <w:right w:w="10" w:type="dxa"/>
            </w:tcMar>
          </w:tcPr>
          <w:p w:rsidR="00695B46" w:rsidRDefault="00695B46" w:rsidP="00695B46">
            <w:pPr>
              <w:pStyle w:val="ListParagraph"/>
            </w:pPr>
          </w:p>
        </w:tc>
      </w:tr>
      <w:tr w:rsidR="00695B46">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r>
              <w:t>To be discussed and agreed between the parties during the contract life.</w:t>
            </w:r>
          </w:p>
        </w:tc>
        <w:tc>
          <w:tcPr>
            <w:tcW w:w="46" w:type="dxa"/>
            <w:shd w:val="clear" w:color="auto" w:fill="auto"/>
            <w:tcMar>
              <w:top w:w="0" w:type="dxa"/>
              <w:left w:w="10" w:type="dxa"/>
              <w:bottom w:w="0" w:type="dxa"/>
              <w:right w:w="10" w:type="dxa"/>
            </w:tcMar>
          </w:tcPr>
          <w:p w:rsidR="00695B46" w:rsidRDefault="00695B46" w:rsidP="00695B46">
            <w:pPr>
              <w:pStyle w:val="ListParagraph"/>
            </w:pPr>
          </w:p>
        </w:tc>
      </w:tr>
      <w:tr w:rsidR="00695B46">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t>Not Applicable</w:t>
            </w: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t>A Party may End this Call-Off Contract if the Other Party is affected by a Force Majeure Event that lasts for more than 15 consecutive days.</w:t>
            </w:r>
          </w:p>
          <w:p w:rsidR="00695B46" w:rsidRDefault="00695B46" w:rsidP="00695B46">
            <w:pPr>
              <w:spacing w:before="240"/>
            </w:pP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t>The following Framework Agreement audit provisions will be incorporated under clause 2.1 of this Call-Off Contract to enable the Buyer to carry out audits.</w:t>
            </w:r>
          </w:p>
          <w:p w:rsidR="00695B46" w:rsidRDefault="00695B46" w:rsidP="00695B46">
            <w:pPr>
              <w:spacing w:before="240"/>
            </w:pP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46" w:type="dxa"/>
            <w:shd w:val="clear" w:color="auto" w:fill="auto"/>
            <w:tcMar>
              <w:top w:w="0" w:type="dxa"/>
              <w:left w:w="10" w:type="dxa"/>
              <w:bottom w:w="0" w:type="dxa"/>
              <w:right w:w="10" w:type="dxa"/>
            </w:tcMar>
          </w:tcPr>
          <w:p w:rsidR="00695B46" w:rsidRDefault="00695B46" w:rsidP="00695B46">
            <w:pPr>
              <w:spacing w:before="240"/>
            </w:pPr>
          </w:p>
        </w:tc>
      </w:tr>
      <w:tr w:rsidR="00695B46">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Pr>
                <w:bCs/>
              </w:rPr>
              <w:t>Any additional resource that onboard as part of this requirement will be supplied with the appropriate HMRC credentials/kit.</w:t>
            </w:r>
          </w:p>
        </w:tc>
        <w:tc>
          <w:tcPr>
            <w:tcW w:w="46" w:type="dxa"/>
            <w:shd w:val="clear" w:color="auto" w:fill="auto"/>
            <w:tcMar>
              <w:top w:w="0" w:type="dxa"/>
              <w:left w:w="10" w:type="dxa"/>
              <w:bottom w:w="0" w:type="dxa"/>
              <w:right w:w="10" w:type="dxa"/>
            </w:tcMar>
          </w:tcPr>
          <w:p w:rsidR="00695B46" w:rsidRDefault="00695B46" w:rsidP="00695B46">
            <w:pPr>
              <w:spacing w:before="240"/>
            </w:pPr>
          </w:p>
        </w:tc>
      </w:tr>
    </w:tbl>
    <w:p w:rsidR="00DA14A2" w:rsidRDefault="00DA14A2">
      <w:pPr>
        <w:spacing w:before="240" w:after="120"/>
      </w:pPr>
    </w:p>
    <w:p w:rsidR="00DA14A2" w:rsidRDefault="004A11C6">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695B46">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95B46" w:rsidRDefault="00695B46" w:rsidP="00695B46">
            <w:pPr>
              <w:spacing w:before="240"/>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bl>
    <w:p w:rsidR="00DA14A2" w:rsidRDefault="00DA14A2">
      <w:pPr>
        <w:spacing w:before="240" w:after="120"/>
      </w:pPr>
    </w:p>
    <w:p w:rsidR="00DA14A2" w:rsidRDefault="004A11C6">
      <w:pPr>
        <w:pStyle w:val="Heading3"/>
        <w:rPr>
          <w:color w:val="auto"/>
        </w:rPr>
      </w:pPr>
      <w:r>
        <w:rPr>
          <w:color w:val="auto"/>
        </w:rPr>
        <w:t>Call-Off Contract charges and payment</w:t>
      </w:r>
    </w:p>
    <w:p w:rsidR="00DA14A2" w:rsidRDefault="004A11C6">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A14A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The payment method for this Call-Off Contract is </w:t>
            </w:r>
            <w:r>
              <w:rPr>
                <w:b/>
              </w:rPr>
              <w:t>BACS</w:t>
            </w:r>
          </w:p>
        </w:tc>
      </w:tr>
      <w:tr w:rsidR="00DA14A2">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The payment profile for this Call-Off Contract is </w:t>
            </w:r>
            <w:r>
              <w:rPr>
                <w:b/>
              </w:rPr>
              <w:t xml:space="preserve">monthly </w:t>
            </w:r>
            <w:r>
              <w:t>in arrears.</w:t>
            </w:r>
          </w:p>
          <w:p w:rsidR="00DA14A2" w:rsidRDefault="00DA14A2">
            <w:pPr>
              <w:spacing w:before="240"/>
            </w:pPr>
          </w:p>
        </w:tc>
      </w:tr>
      <w:tr w:rsidR="00DA14A2">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The Supplier will issue electronic invoices </w:t>
            </w:r>
            <w:r>
              <w:rPr>
                <w:b/>
              </w:rPr>
              <w:t xml:space="preserve">monthly </w:t>
            </w:r>
            <w:r>
              <w:t xml:space="preserve">in arrears. The Buyer will pay the Supplier within </w:t>
            </w:r>
            <w:r>
              <w:rPr>
                <w:b/>
              </w:rPr>
              <w:t>[30]</w:t>
            </w:r>
            <w:r>
              <w:t xml:space="preserve"> days of receipt of a valid invoice.</w:t>
            </w:r>
          </w:p>
        </w:tc>
      </w:tr>
      <w:tr w:rsidR="00DA14A2">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Invoices will be sent to HMRC SAP Ariba Network.</w:t>
            </w:r>
          </w:p>
        </w:tc>
      </w:tr>
      <w:tr w:rsidR="00DA14A2">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All invoices must include purchase order detail.</w:t>
            </w:r>
          </w:p>
        </w:tc>
      </w:tr>
      <w:tr w:rsidR="00DA14A2">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Invoice will be sent to the Buyer when agreed between the parties.</w:t>
            </w:r>
          </w:p>
        </w:tc>
      </w:tr>
      <w:tr w:rsidR="00DA14A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w:t>
            </w:r>
          </w:p>
        </w:tc>
      </w:tr>
      <w:tr w:rsidR="00DA14A2">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 xml:space="preserve">The breakdown of the Charges can be found in schedule 2. </w:t>
            </w:r>
          </w:p>
          <w:p w:rsidR="00DA14A2" w:rsidRDefault="00DA14A2">
            <w:pPr>
              <w:spacing w:before="240"/>
            </w:pPr>
          </w:p>
        </w:tc>
      </w:tr>
    </w:tbl>
    <w:p w:rsidR="00DA14A2" w:rsidRDefault="00DA14A2"/>
    <w:p w:rsidR="00DA14A2" w:rsidRDefault="004A11C6">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DA14A2">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Included in Schedule 1 Services.</w:t>
            </w:r>
          </w:p>
        </w:tc>
      </w:tr>
      <w:tr w:rsidR="00DA14A2">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N/A</w:t>
            </w:r>
          </w:p>
        </w:tc>
      </w:tr>
      <w:tr w:rsidR="00DA14A2">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N/A</w:t>
            </w:r>
          </w:p>
        </w:tc>
      </w:tr>
      <w:tr w:rsidR="00DA14A2">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N/A</w:t>
            </w:r>
          </w:p>
        </w:tc>
      </w:tr>
      <w:tr w:rsidR="00DA14A2">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N/A</w:t>
            </w:r>
          </w:p>
        </w:tc>
      </w:tr>
      <w:tr w:rsidR="00DA14A2">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Within the scope of the Call-Off Contract, the Supplier will also comply with the authorities mandatory terms as Schedule 8 of this call-off contract.</w:t>
            </w:r>
          </w:p>
        </w:tc>
      </w:tr>
      <w:tr w:rsidR="00DA14A2">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N/A</w:t>
            </w:r>
          </w:p>
        </w:tc>
      </w:tr>
      <w:tr w:rsidR="00DA14A2">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Not Applicable</w:t>
            </w:r>
          </w:p>
        </w:tc>
      </w:tr>
    </w:tbl>
    <w:p w:rsidR="00DA14A2" w:rsidRDefault="004A11C6">
      <w:pPr>
        <w:spacing w:before="240" w:after="240"/>
      </w:pPr>
      <w:r>
        <w:t xml:space="preserve"> </w:t>
      </w:r>
    </w:p>
    <w:p w:rsidR="00DA14A2" w:rsidRDefault="004A11C6">
      <w:pPr>
        <w:pStyle w:val="Heading3"/>
        <w:rPr>
          <w:color w:val="auto"/>
        </w:rPr>
      </w:pPr>
      <w:r>
        <w:rPr>
          <w:color w:val="auto"/>
        </w:rPr>
        <w:lastRenderedPageBreak/>
        <w:t xml:space="preserve">1. </w:t>
      </w:r>
      <w:r>
        <w:rPr>
          <w:color w:val="auto"/>
        </w:rPr>
        <w:tab/>
        <w:t>Formation of contract</w:t>
      </w:r>
    </w:p>
    <w:p w:rsidR="00DA14A2" w:rsidRDefault="004A11C6">
      <w:pPr>
        <w:ind w:left="720" w:hanging="720"/>
      </w:pPr>
      <w:r>
        <w:t>1.1</w:t>
      </w:r>
      <w:r>
        <w:tab/>
        <w:t>By signing and returning this Order Form (Part A), the Supplier agrees to enter into a Call-Off Contract with the Buyer.</w:t>
      </w:r>
    </w:p>
    <w:p w:rsidR="00DA14A2" w:rsidRDefault="00DA14A2">
      <w:pPr>
        <w:ind w:firstLine="720"/>
      </w:pPr>
    </w:p>
    <w:p w:rsidR="00DA14A2" w:rsidRDefault="004A11C6">
      <w:pPr>
        <w:ind w:left="720" w:hanging="720"/>
      </w:pPr>
      <w:r>
        <w:t>1.2</w:t>
      </w:r>
      <w:r>
        <w:tab/>
        <w:t>The Parties agree that they have read the Order Form (Part A) and the Call-Off Contract terms and by signing below agree to be bound by this Call-Off Contract.</w:t>
      </w:r>
    </w:p>
    <w:p w:rsidR="00DA14A2" w:rsidRDefault="00DA14A2">
      <w:pPr>
        <w:ind w:firstLine="720"/>
      </w:pPr>
    </w:p>
    <w:p w:rsidR="00DA14A2" w:rsidRDefault="004A11C6">
      <w:pPr>
        <w:ind w:left="720" w:hanging="720"/>
      </w:pPr>
      <w:r>
        <w:t>1.3</w:t>
      </w:r>
      <w:r>
        <w:tab/>
        <w:t>This Call-Off Contract will be formed when the Buyer acknowledges receipt of the signed copy of the Order Form from the Supplier.</w:t>
      </w:r>
    </w:p>
    <w:p w:rsidR="00DA14A2" w:rsidRDefault="00DA14A2">
      <w:pPr>
        <w:ind w:firstLine="720"/>
      </w:pPr>
    </w:p>
    <w:p w:rsidR="00DA14A2" w:rsidRDefault="004A11C6">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DA14A2" w:rsidRDefault="00DA14A2"/>
    <w:p w:rsidR="00DA14A2" w:rsidRDefault="004A11C6">
      <w:pPr>
        <w:pStyle w:val="Heading3"/>
        <w:rPr>
          <w:color w:val="auto"/>
        </w:rPr>
      </w:pPr>
      <w:r>
        <w:rPr>
          <w:color w:val="auto"/>
        </w:rPr>
        <w:t xml:space="preserve">2. </w:t>
      </w:r>
      <w:r>
        <w:rPr>
          <w:color w:val="auto"/>
        </w:rPr>
        <w:tab/>
        <w:t>Background to the agreement</w:t>
      </w:r>
    </w:p>
    <w:p w:rsidR="00DA14A2" w:rsidRDefault="004A11C6">
      <w:pPr>
        <w:ind w:left="720" w:hanging="720"/>
      </w:pPr>
      <w:r>
        <w:t>2.1</w:t>
      </w:r>
      <w:r>
        <w:tab/>
        <w:t>The Supplier is a provider of G-Cloud Services and agreed to provide the Services under the terms of Framework Agreement number RM1557.12.</w:t>
      </w:r>
    </w:p>
    <w:p w:rsidR="00DA14A2" w:rsidRDefault="00DA14A2">
      <w:pPr>
        <w:ind w:left="720"/>
      </w:pPr>
    </w:p>
    <w:p w:rsidR="00DA14A2" w:rsidRDefault="004A11C6">
      <w:r>
        <w:t>2.2</w:t>
      </w:r>
      <w:r>
        <w:tab/>
        <w:t>The Buyer provided an Order Form for Services to the Supplier.</w:t>
      </w:r>
    </w:p>
    <w:p w:rsidR="00DA14A2" w:rsidRDefault="00DA14A2"/>
    <w:p w:rsidR="00DA14A2" w:rsidRDefault="00DA14A2">
      <w:pPr>
        <w:pageBreakBefore/>
      </w:pPr>
    </w:p>
    <w:p w:rsidR="00DA14A2" w:rsidRDefault="00DA14A2"/>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DA14A2">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t>Buyer</w:t>
            </w:r>
          </w:p>
        </w:tc>
      </w:tr>
      <w:tr w:rsidR="00DA14A2">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w:t>
            </w:r>
          </w:p>
        </w:tc>
      </w:tr>
      <w:tr w:rsidR="00DA14A2">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w:t>
            </w:r>
          </w:p>
        </w:tc>
      </w:tr>
      <w:tr w:rsidR="00DA14A2">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r w:rsidRPr="00695B46">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widowControl w:val="0"/>
            </w:pPr>
            <w:r w:rsidRPr="00695B46">
              <w:rPr>
                <w:highlight w:val="black"/>
              </w:rPr>
              <w:t>XXXXXXXXXXXXXXXXXXXXXXXXXXXXXXXXXXXXXXXXXXXX</w:t>
            </w:r>
          </w:p>
        </w:tc>
      </w:tr>
      <w:tr w:rsidR="00DA14A2">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695B46">
            <w:pPr>
              <w:spacing w:before="240"/>
            </w:pPr>
            <w:r w:rsidRPr="00695B46">
              <w:rPr>
                <w:highlight w:val="black"/>
              </w:rPr>
              <w:t>XXXXXXXXXXXXXXXXXXXXXXXXXXXXXXXXXXXXXXXXXXXX</w:t>
            </w:r>
          </w:p>
        </w:tc>
      </w:tr>
    </w:tbl>
    <w:p w:rsidR="00DA14A2" w:rsidRDefault="004A11C6">
      <w:pPr>
        <w:spacing w:before="240"/>
        <w:rPr>
          <w:b/>
        </w:rPr>
      </w:pPr>
      <w:r>
        <w:rPr>
          <w:b/>
        </w:rPr>
        <w:t xml:space="preserve"> </w:t>
      </w:r>
    </w:p>
    <w:p w:rsidR="00695B46" w:rsidRDefault="004A11C6" w:rsidP="00695B46">
      <w:pPr>
        <w:pStyle w:val="Heading2"/>
      </w:pPr>
      <w:bookmarkStart w:id="3" w:name="_Toc33176233"/>
      <w:r>
        <w:t>Schedule 1: Services</w:t>
      </w:r>
      <w:bookmarkEnd w:id="3"/>
    </w:p>
    <w:p w:rsidR="00DA14A2"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sidR="004A11C6">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 w:rsidR="00695B46" w:rsidRDefault="00695B46" w:rsidP="00695B46">
      <w:pPr>
        <w:pStyle w:val="Heading2"/>
        <w:rPr>
          <w:b/>
        </w:rPr>
      </w:pPr>
      <w:r w:rsidRPr="00695B46">
        <w:rPr>
          <w:highlight w:val="black"/>
        </w:rPr>
        <w:lastRenderedPageBreak/>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 w:rsidR="00695B46" w:rsidRDefault="00695B46" w:rsidP="00695B46">
      <w:pPr>
        <w:pStyle w:val="Heading2"/>
        <w:rPr>
          <w:b/>
        </w:rPr>
      </w:pPr>
      <w:r w:rsidRPr="00695B46">
        <w:rPr>
          <w:highlight w:val="black"/>
        </w:rPr>
        <w:lastRenderedPageBreak/>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Pr="00695B46" w:rsidRDefault="00695B46" w:rsidP="00695B46"/>
    <w:p w:rsidR="00DA14A2" w:rsidRDefault="004A11C6">
      <w:pPr>
        <w:pStyle w:val="Heading2"/>
      </w:pPr>
      <w:bookmarkStart w:id="4" w:name="_Toc33176234"/>
      <w:r>
        <w:lastRenderedPageBreak/>
        <w:t>Schedule 2: Call-Off Contract charges</w:t>
      </w:r>
      <w:bookmarkEnd w:id="4"/>
    </w:p>
    <w:p w:rsidR="00DA14A2" w:rsidRDefault="004A11C6">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DA14A2" w:rsidRDefault="004A11C6">
      <w:pPr>
        <w:spacing w:before="240"/>
        <w:rPr>
          <w:b/>
        </w:rPr>
      </w:pP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695B46" w:rsidRDefault="00695B46" w:rsidP="00695B46">
      <w:pPr>
        <w:pStyle w:val="Heading2"/>
        <w:rPr>
          <w:b/>
        </w:rPr>
      </w:pPr>
      <w:r w:rsidRPr="00695B46">
        <w:rPr>
          <w:highlight w:val="black"/>
        </w:rPr>
        <w:t>XXXXXXXXXXXXXXXXXXXXXXXXXXXXXXXXXXXXXXXXXXXXXXXXXXXXXXXXXXXXXXXXXXXXXXXXXXXXXXXXXXXXXXXXXXXXXXXXXXXXXXXXXXXXXXXXXXXXXXXXXXXXXXXXXXXXXXXXXXXXXXXXXXXXXXXXXXXXXXXXXXXXXXXXXXXXXXXXXXXXXXXXXXXXXXXXXXXXXXXXXXXXXXXXXXXXXXXXXXXXXXXXX</w:t>
      </w:r>
      <w:r>
        <w:rPr>
          <w:b/>
        </w:rPr>
        <w:t xml:space="preserve"> </w:t>
      </w:r>
    </w:p>
    <w:p w:rsidR="00DA14A2" w:rsidRDefault="00DA14A2"/>
    <w:p w:rsidR="00DA14A2" w:rsidRDefault="00DA14A2">
      <w:pPr>
        <w:rPr>
          <w:b/>
        </w:rPr>
      </w:pPr>
    </w:p>
    <w:p w:rsidR="00DA14A2" w:rsidRDefault="00DA14A2">
      <w:pPr>
        <w:rPr>
          <w:sz w:val="32"/>
          <w:szCs w:val="32"/>
        </w:rPr>
      </w:pPr>
    </w:p>
    <w:p w:rsidR="00DA14A2" w:rsidRDefault="00DA14A2">
      <w:pPr>
        <w:rPr>
          <w:sz w:val="32"/>
          <w:szCs w:val="32"/>
        </w:rPr>
      </w:pPr>
    </w:p>
    <w:p w:rsidR="00DA14A2" w:rsidRDefault="00DA14A2">
      <w:bookmarkStart w:id="5" w:name="_Toc33176235"/>
    </w:p>
    <w:p w:rsidR="00DA14A2" w:rsidRDefault="004A11C6">
      <w:pPr>
        <w:pStyle w:val="Heading2"/>
        <w:pageBreakBefore/>
      </w:pPr>
      <w:r>
        <w:lastRenderedPageBreak/>
        <w:t>Part B: Terms and conditions</w:t>
      </w:r>
      <w:bookmarkEnd w:id="5"/>
    </w:p>
    <w:p w:rsidR="00DA14A2" w:rsidRDefault="004A11C6">
      <w:pPr>
        <w:pStyle w:val="Heading3"/>
        <w:spacing w:before="0" w:after="100"/>
        <w:rPr>
          <w:color w:val="auto"/>
        </w:rPr>
      </w:pPr>
      <w:r>
        <w:rPr>
          <w:color w:val="auto"/>
        </w:rPr>
        <w:t>1.</w:t>
      </w:r>
      <w:r>
        <w:rPr>
          <w:color w:val="auto"/>
        </w:rPr>
        <w:tab/>
        <w:t>Call-Off Contract Start date and length</w:t>
      </w:r>
    </w:p>
    <w:p w:rsidR="00DA14A2" w:rsidRDefault="004A11C6">
      <w:r>
        <w:t>1.1</w:t>
      </w:r>
      <w:r>
        <w:tab/>
        <w:t>The Supplier must start providing the Services on the date specified in the Order Form.</w:t>
      </w:r>
    </w:p>
    <w:p w:rsidR="00DA14A2" w:rsidRDefault="00DA14A2">
      <w:pPr>
        <w:ind w:firstLine="720"/>
      </w:pPr>
    </w:p>
    <w:p w:rsidR="00DA14A2" w:rsidRDefault="004A11C6">
      <w:pPr>
        <w:ind w:left="720" w:hanging="720"/>
      </w:pPr>
      <w:r>
        <w:t>1.2</w:t>
      </w:r>
      <w:r>
        <w:tab/>
        <w:t>This Call-Off Contract will expire on the Expiry Date in the Order Form. It will be for up to 24 months from the Start date unless Ended earlier under clause 18 or extended by the Buyer under clause 1.3.</w:t>
      </w:r>
    </w:p>
    <w:p w:rsidR="00DA14A2" w:rsidRDefault="00DA14A2">
      <w:pPr>
        <w:ind w:left="720"/>
      </w:pPr>
    </w:p>
    <w:p w:rsidR="00DA14A2" w:rsidRDefault="004A11C6">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DA14A2" w:rsidRDefault="00DA14A2">
      <w:pPr>
        <w:ind w:left="720"/>
      </w:pPr>
    </w:p>
    <w:p w:rsidR="00DA14A2" w:rsidRDefault="004A11C6">
      <w:pPr>
        <w:ind w:left="720" w:hanging="720"/>
      </w:pPr>
      <w:r>
        <w:t>1.4</w:t>
      </w:r>
      <w:r>
        <w:tab/>
        <w:t>The Parties must comply with the requirements under clauses 21.3 to 21.8 if the Buyer reserves the right in the Order Form to extend the contract beyond 24 months.</w:t>
      </w:r>
    </w:p>
    <w:p w:rsidR="00DA14A2" w:rsidRDefault="00DA14A2">
      <w:pPr>
        <w:spacing w:before="240" w:after="240"/>
      </w:pPr>
    </w:p>
    <w:p w:rsidR="00DA14A2" w:rsidRDefault="004A11C6">
      <w:pPr>
        <w:pStyle w:val="Heading3"/>
        <w:spacing w:before="0" w:after="100"/>
        <w:rPr>
          <w:color w:val="auto"/>
        </w:rPr>
      </w:pPr>
      <w:r>
        <w:rPr>
          <w:color w:val="auto"/>
        </w:rPr>
        <w:t>2.</w:t>
      </w:r>
      <w:r>
        <w:rPr>
          <w:color w:val="auto"/>
        </w:rPr>
        <w:tab/>
        <w:t>Incorporation of terms</w:t>
      </w:r>
    </w:p>
    <w:p w:rsidR="00DA14A2" w:rsidRDefault="004A11C6">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DA14A2" w:rsidRDefault="004A11C6">
      <w:pPr>
        <w:pStyle w:val="ListParagraph"/>
        <w:numPr>
          <w:ilvl w:val="0"/>
          <w:numId w:val="13"/>
        </w:numPr>
      </w:pPr>
      <w:r>
        <w:rPr>
          <w:sz w:val="14"/>
          <w:szCs w:val="14"/>
        </w:rPr>
        <w:t xml:space="preserve"> </w:t>
      </w:r>
      <w:r>
        <w:t>4.1 (Warranties and representations)</w:t>
      </w:r>
    </w:p>
    <w:p w:rsidR="00DA14A2" w:rsidRDefault="004A11C6">
      <w:pPr>
        <w:pStyle w:val="ListParagraph"/>
        <w:numPr>
          <w:ilvl w:val="0"/>
          <w:numId w:val="13"/>
        </w:numPr>
      </w:pPr>
      <w:r>
        <w:t>4.2 to 4.7 (Liability)</w:t>
      </w:r>
    </w:p>
    <w:p w:rsidR="00DA14A2" w:rsidRDefault="004A11C6">
      <w:pPr>
        <w:pStyle w:val="ListParagraph"/>
        <w:numPr>
          <w:ilvl w:val="0"/>
          <w:numId w:val="13"/>
        </w:numPr>
      </w:pPr>
      <w:r>
        <w:t>4.11 to 4.12 (IR35)</w:t>
      </w:r>
    </w:p>
    <w:p w:rsidR="00DA14A2" w:rsidRDefault="004A11C6">
      <w:pPr>
        <w:pStyle w:val="ListParagraph"/>
        <w:numPr>
          <w:ilvl w:val="0"/>
          <w:numId w:val="13"/>
        </w:numPr>
      </w:pPr>
      <w:r>
        <w:t>5.4 to 5.5 (Force majeure)</w:t>
      </w:r>
    </w:p>
    <w:p w:rsidR="00DA14A2" w:rsidRDefault="004A11C6">
      <w:pPr>
        <w:pStyle w:val="ListParagraph"/>
        <w:numPr>
          <w:ilvl w:val="0"/>
          <w:numId w:val="13"/>
        </w:numPr>
      </w:pPr>
      <w:r>
        <w:t>5.8 (Continuing rights)</w:t>
      </w:r>
    </w:p>
    <w:p w:rsidR="00DA14A2" w:rsidRDefault="004A11C6">
      <w:pPr>
        <w:pStyle w:val="ListParagraph"/>
        <w:numPr>
          <w:ilvl w:val="0"/>
          <w:numId w:val="13"/>
        </w:numPr>
      </w:pPr>
      <w:r>
        <w:t>5.9 to 5.11 (Change of control)</w:t>
      </w:r>
    </w:p>
    <w:p w:rsidR="00DA14A2" w:rsidRDefault="004A11C6">
      <w:pPr>
        <w:pStyle w:val="ListParagraph"/>
        <w:numPr>
          <w:ilvl w:val="0"/>
          <w:numId w:val="13"/>
        </w:numPr>
      </w:pPr>
      <w:r>
        <w:t>5.12 (Fraud)</w:t>
      </w:r>
    </w:p>
    <w:p w:rsidR="00DA14A2" w:rsidRDefault="004A11C6">
      <w:pPr>
        <w:pStyle w:val="ListParagraph"/>
        <w:numPr>
          <w:ilvl w:val="0"/>
          <w:numId w:val="13"/>
        </w:numPr>
      </w:pPr>
      <w:r>
        <w:t>5.13 (Notice of fraud)</w:t>
      </w:r>
    </w:p>
    <w:p w:rsidR="00DA14A2" w:rsidRDefault="004A11C6">
      <w:pPr>
        <w:pStyle w:val="ListParagraph"/>
        <w:numPr>
          <w:ilvl w:val="0"/>
          <w:numId w:val="13"/>
        </w:numPr>
      </w:pPr>
      <w:r>
        <w:t>7.1 to 7.2 (Transparency)</w:t>
      </w:r>
    </w:p>
    <w:p w:rsidR="00DA14A2" w:rsidRDefault="004A11C6">
      <w:pPr>
        <w:pStyle w:val="ListParagraph"/>
        <w:numPr>
          <w:ilvl w:val="0"/>
          <w:numId w:val="13"/>
        </w:numPr>
      </w:pPr>
      <w:r>
        <w:t>8.3 (Order of precedence)</w:t>
      </w:r>
    </w:p>
    <w:p w:rsidR="00DA14A2" w:rsidRDefault="004A11C6">
      <w:pPr>
        <w:pStyle w:val="ListParagraph"/>
        <w:numPr>
          <w:ilvl w:val="0"/>
          <w:numId w:val="13"/>
        </w:numPr>
      </w:pPr>
      <w:r>
        <w:t>8.6 (Relationship)</w:t>
      </w:r>
    </w:p>
    <w:p w:rsidR="00DA14A2" w:rsidRDefault="004A11C6">
      <w:pPr>
        <w:pStyle w:val="ListParagraph"/>
        <w:numPr>
          <w:ilvl w:val="0"/>
          <w:numId w:val="13"/>
        </w:numPr>
      </w:pPr>
      <w:r>
        <w:t>8.9 to 8.11 (Entire agreement)</w:t>
      </w:r>
    </w:p>
    <w:p w:rsidR="00DA14A2" w:rsidRDefault="004A11C6">
      <w:pPr>
        <w:pStyle w:val="ListParagraph"/>
        <w:numPr>
          <w:ilvl w:val="0"/>
          <w:numId w:val="13"/>
        </w:numPr>
      </w:pPr>
      <w:r>
        <w:t>8.12 (Law and jurisdiction)</w:t>
      </w:r>
    </w:p>
    <w:p w:rsidR="00DA14A2" w:rsidRDefault="004A11C6">
      <w:pPr>
        <w:pStyle w:val="ListParagraph"/>
        <w:numPr>
          <w:ilvl w:val="0"/>
          <w:numId w:val="13"/>
        </w:numPr>
      </w:pPr>
      <w:r>
        <w:t>8.13 to 8.14 (Legislative change)</w:t>
      </w:r>
    </w:p>
    <w:p w:rsidR="00DA14A2" w:rsidRDefault="004A11C6">
      <w:pPr>
        <w:pStyle w:val="ListParagraph"/>
        <w:numPr>
          <w:ilvl w:val="0"/>
          <w:numId w:val="13"/>
        </w:numPr>
      </w:pPr>
      <w:r>
        <w:t>8.15 to 8.19 (Bribery and corruption)</w:t>
      </w:r>
    </w:p>
    <w:p w:rsidR="00DA14A2" w:rsidRDefault="004A11C6">
      <w:pPr>
        <w:pStyle w:val="ListParagraph"/>
        <w:numPr>
          <w:ilvl w:val="0"/>
          <w:numId w:val="13"/>
        </w:numPr>
      </w:pPr>
      <w:r>
        <w:t>8.20 to 8.29 (Freedom of Information Act)</w:t>
      </w:r>
    </w:p>
    <w:p w:rsidR="00DA14A2" w:rsidRDefault="004A11C6">
      <w:pPr>
        <w:pStyle w:val="ListParagraph"/>
        <w:numPr>
          <w:ilvl w:val="0"/>
          <w:numId w:val="13"/>
        </w:numPr>
      </w:pPr>
      <w:r>
        <w:t>8.30 to 8.31 (Promoting tax compliance)</w:t>
      </w:r>
    </w:p>
    <w:p w:rsidR="00DA14A2" w:rsidRDefault="004A11C6">
      <w:pPr>
        <w:pStyle w:val="ListParagraph"/>
        <w:numPr>
          <w:ilvl w:val="0"/>
          <w:numId w:val="13"/>
        </w:numPr>
      </w:pPr>
      <w:r>
        <w:t>8.32 to 8.33 (Official Secrets Act)</w:t>
      </w:r>
    </w:p>
    <w:p w:rsidR="00DA14A2" w:rsidRDefault="004A11C6">
      <w:pPr>
        <w:pStyle w:val="ListParagraph"/>
        <w:numPr>
          <w:ilvl w:val="0"/>
          <w:numId w:val="13"/>
        </w:numPr>
      </w:pPr>
      <w:r>
        <w:t>8.34 to 8.37 (Transfer and subcontracting)</w:t>
      </w:r>
    </w:p>
    <w:p w:rsidR="00DA14A2" w:rsidRDefault="004A11C6">
      <w:pPr>
        <w:pStyle w:val="ListParagraph"/>
        <w:numPr>
          <w:ilvl w:val="0"/>
          <w:numId w:val="13"/>
        </w:numPr>
      </w:pPr>
      <w:r>
        <w:t>8.40 to 8.43 (Complaints handling and resolution)</w:t>
      </w:r>
    </w:p>
    <w:p w:rsidR="00DA14A2" w:rsidRDefault="004A11C6">
      <w:pPr>
        <w:pStyle w:val="ListParagraph"/>
        <w:numPr>
          <w:ilvl w:val="0"/>
          <w:numId w:val="13"/>
        </w:numPr>
      </w:pPr>
      <w:r>
        <w:t>8.44 to 8.50 (Conflicts of interest and ethical walls)</w:t>
      </w:r>
    </w:p>
    <w:p w:rsidR="00DA14A2" w:rsidRDefault="004A11C6">
      <w:pPr>
        <w:pStyle w:val="ListParagraph"/>
        <w:numPr>
          <w:ilvl w:val="0"/>
          <w:numId w:val="13"/>
        </w:numPr>
      </w:pPr>
      <w:r>
        <w:t>8.51 to 8.53 (Publicity and branding)</w:t>
      </w:r>
    </w:p>
    <w:p w:rsidR="00DA14A2" w:rsidRDefault="004A11C6">
      <w:pPr>
        <w:pStyle w:val="ListParagraph"/>
        <w:numPr>
          <w:ilvl w:val="0"/>
          <w:numId w:val="13"/>
        </w:numPr>
      </w:pPr>
      <w:r>
        <w:t>8.54 to 8.56 (Equality and diversity)</w:t>
      </w:r>
    </w:p>
    <w:p w:rsidR="00DA14A2" w:rsidRDefault="004A11C6">
      <w:pPr>
        <w:pStyle w:val="ListParagraph"/>
        <w:numPr>
          <w:ilvl w:val="0"/>
          <w:numId w:val="13"/>
        </w:numPr>
      </w:pPr>
      <w:r>
        <w:t>8.59 to 8.60 (Data protection</w:t>
      </w:r>
    </w:p>
    <w:p w:rsidR="00DA14A2" w:rsidRDefault="004A11C6">
      <w:pPr>
        <w:pStyle w:val="ListParagraph"/>
        <w:numPr>
          <w:ilvl w:val="0"/>
          <w:numId w:val="13"/>
        </w:numPr>
      </w:pPr>
      <w:r>
        <w:t>8.64 to 8.65 (Severability)</w:t>
      </w:r>
    </w:p>
    <w:p w:rsidR="00DA14A2" w:rsidRDefault="004A11C6">
      <w:pPr>
        <w:pStyle w:val="ListParagraph"/>
        <w:numPr>
          <w:ilvl w:val="0"/>
          <w:numId w:val="13"/>
        </w:numPr>
      </w:pPr>
      <w:r>
        <w:t>8.66 to 8.69 (Managing disputes and Mediation)</w:t>
      </w:r>
    </w:p>
    <w:p w:rsidR="00DA14A2" w:rsidRDefault="004A11C6">
      <w:pPr>
        <w:pStyle w:val="ListParagraph"/>
        <w:numPr>
          <w:ilvl w:val="0"/>
          <w:numId w:val="13"/>
        </w:numPr>
      </w:pPr>
      <w:r>
        <w:lastRenderedPageBreak/>
        <w:t>8.80 to 8.88 (Confidentiality)</w:t>
      </w:r>
    </w:p>
    <w:p w:rsidR="00DA14A2" w:rsidRDefault="004A11C6">
      <w:pPr>
        <w:pStyle w:val="ListParagraph"/>
        <w:numPr>
          <w:ilvl w:val="0"/>
          <w:numId w:val="13"/>
        </w:numPr>
      </w:pPr>
      <w:r>
        <w:t>8.89 to 8.90 (Waiver and cumulative remedies)</w:t>
      </w:r>
    </w:p>
    <w:p w:rsidR="00DA14A2" w:rsidRDefault="004A11C6">
      <w:pPr>
        <w:pStyle w:val="ListParagraph"/>
        <w:numPr>
          <w:ilvl w:val="0"/>
          <w:numId w:val="13"/>
        </w:numPr>
      </w:pPr>
      <w:r>
        <w:t>8.91 to 8.101 (Corporate Social Responsibility)</w:t>
      </w:r>
    </w:p>
    <w:p w:rsidR="00DA14A2" w:rsidRDefault="004A11C6">
      <w:pPr>
        <w:pStyle w:val="ListParagraph"/>
        <w:numPr>
          <w:ilvl w:val="0"/>
          <w:numId w:val="13"/>
        </w:numPr>
      </w:pPr>
      <w:r>
        <w:t>paragraphs 1 to 10 of the Framework Agreement glossary and interpretation</w:t>
      </w:r>
    </w:p>
    <w:p w:rsidR="00DA14A2" w:rsidRDefault="004A11C6">
      <w:pPr>
        <w:pStyle w:val="ListParagraph"/>
        <w:numPr>
          <w:ilvl w:val="0"/>
          <w:numId w:val="14"/>
        </w:numPr>
      </w:pPr>
      <w:r>
        <w:t>any audit provisions from the Framework Agreement set out by the Buyer in the Order Form</w:t>
      </w:r>
    </w:p>
    <w:p w:rsidR="00DA14A2" w:rsidRDefault="004A11C6">
      <w:pPr>
        <w:ind w:left="720"/>
      </w:pPr>
      <w:r>
        <w:t xml:space="preserve"> </w:t>
      </w:r>
    </w:p>
    <w:p w:rsidR="00DA14A2" w:rsidRDefault="004A11C6">
      <w:pPr>
        <w:spacing w:after="240"/>
      </w:pPr>
      <w:r>
        <w:t>2.2</w:t>
      </w:r>
      <w:r>
        <w:tab/>
        <w:t>The Framework Agreement provisions in clause 2.1 will be modified as follows:</w:t>
      </w:r>
    </w:p>
    <w:p w:rsidR="00DA14A2" w:rsidRDefault="004A11C6">
      <w:pPr>
        <w:ind w:left="1440" w:hanging="720"/>
      </w:pPr>
      <w:r>
        <w:t>2.2.1</w:t>
      </w:r>
      <w:r>
        <w:tab/>
        <w:t>a reference to the ‘Framework Agreement’ will be a reference to the ‘Call-Off Contract’</w:t>
      </w:r>
    </w:p>
    <w:p w:rsidR="00DA14A2" w:rsidRDefault="004A11C6">
      <w:pPr>
        <w:ind w:firstLine="720"/>
      </w:pPr>
      <w:r>
        <w:t>2.2.2</w:t>
      </w:r>
      <w:r>
        <w:tab/>
        <w:t>a reference to ‘CCS’ will be a reference to ‘the Buyer’</w:t>
      </w:r>
    </w:p>
    <w:p w:rsidR="00DA14A2" w:rsidRDefault="004A11C6">
      <w:pPr>
        <w:ind w:left="1440" w:hanging="720"/>
      </w:pPr>
      <w:r>
        <w:t>2.2.3</w:t>
      </w:r>
      <w:r>
        <w:tab/>
        <w:t>a reference to the ‘Parties’ and a ‘Party’ will be a reference to the Buyer and Supplier as Parties under this Call-Off Contract</w:t>
      </w:r>
    </w:p>
    <w:p w:rsidR="00DA14A2" w:rsidRDefault="00DA14A2"/>
    <w:p w:rsidR="00DA14A2" w:rsidRDefault="004A11C6">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DA14A2" w:rsidRDefault="00DA14A2">
      <w:pPr>
        <w:ind w:left="720"/>
      </w:pPr>
    </w:p>
    <w:p w:rsidR="00DA14A2" w:rsidRDefault="004A11C6">
      <w:pPr>
        <w:ind w:left="720" w:hanging="720"/>
      </w:pPr>
      <w:r>
        <w:t>2.4</w:t>
      </w:r>
      <w:r>
        <w:tab/>
        <w:t>The Framework Agreement incorporated clauses will be referred to as incorporated Framework clause ‘XX’, where ‘XX’ is the Framework Agreement clause number.</w:t>
      </w:r>
    </w:p>
    <w:p w:rsidR="00DA14A2" w:rsidRDefault="00DA14A2">
      <w:pPr>
        <w:ind w:firstLine="720"/>
      </w:pPr>
    </w:p>
    <w:p w:rsidR="00DA14A2" w:rsidRDefault="004A11C6">
      <w:pPr>
        <w:ind w:left="720" w:hanging="720"/>
      </w:pPr>
      <w:r>
        <w:t>2.5</w:t>
      </w:r>
      <w:r>
        <w:tab/>
        <w:t>When an Order Form is signed, the terms and conditions agreed in it will be incorporated into this Call-Off Contract.</w:t>
      </w:r>
    </w:p>
    <w:p w:rsidR="00DA14A2" w:rsidRDefault="00DA14A2"/>
    <w:p w:rsidR="00DA14A2" w:rsidRDefault="004A11C6">
      <w:pPr>
        <w:pStyle w:val="Heading3"/>
        <w:spacing w:before="0" w:after="100"/>
        <w:rPr>
          <w:color w:val="auto"/>
        </w:rPr>
      </w:pPr>
      <w:r>
        <w:rPr>
          <w:color w:val="auto"/>
        </w:rPr>
        <w:t>3.</w:t>
      </w:r>
      <w:r>
        <w:rPr>
          <w:color w:val="auto"/>
        </w:rPr>
        <w:tab/>
        <w:t>Supply of services</w:t>
      </w:r>
    </w:p>
    <w:p w:rsidR="00DA14A2" w:rsidRDefault="004A11C6">
      <w:pPr>
        <w:spacing w:before="240" w:after="240"/>
        <w:ind w:left="720" w:hanging="720"/>
      </w:pPr>
      <w:r>
        <w:t>3.1</w:t>
      </w:r>
      <w:r>
        <w:tab/>
        <w:t>The Supplier agrees to supply the G-Cloud Services and any Additional Services under the terms of the Call-Off Contract and the Supplier’s Application.</w:t>
      </w:r>
    </w:p>
    <w:p w:rsidR="00DA14A2" w:rsidRDefault="004A11C6">
      <w:pPr>
        <w:ind w:left="720" w:hanging="720"/>
      </w:pPr>
      <w:r>
        <w:t>3.2</w:t>
      </w:r>
      <w:r>
        <w:tab/>
        <w:t>The Supplier undertakes that each G-Cloud Service will meet the Buyer’s acceptance criteria, as defined in the Order Form.</w:t>
      </w:r>
    </w:p>
    <w:p w:rsidR="00DA14A2" w:rsidRDefault="00DA14A2"/>
    <w:p w:rsidR="00DA14A2" w:rsidRDefault="004A11C6">
      <w:pPr>
        <w:pStyle w:val="Heading3"/>
        <w:spacing w:before="0" w:after="100"/>
        <w:rPr>
          <w:color w:val="auto"/>
        </w:rPr>
      </w:pPr>
      <w:r>
        <w:rPr>
          <w:color w:val="auto"/>
        </w:rPr>
        <w:t>4.</w:t>
      </w:r>
      <w:r>
        <w:rPr>
          <w:color w:val="auto"/>
        </w:rPr>
        <w:tab/>
        <w:t>Supplier staff</w:t>
      </w:r>
    </w:p>
    <w:p w:rsidR="00DA14A2" w:rsidRDefault="004A11C6">
      <w:pPr>
        <w:spacing w:before="240" w:after="240"/>
      </w:pPr>
      <w:r>
        <w:t>4.1</w:t>
      </w:r>
      <w:r>
        <w:tab/>
        <w:t>The Supplier Staff must:</w:t>
      </w:r>
    </w:p>
    <w:p w:rsidR="00DA14A2" w:rsidRDefault="004A11C6">
      <w:pPr>
        <w:ind w:firstLine="720"/>
      </w:pPr>
      <w:r>
        <w:t>4.1.1</w:t>
      </w:r>
      <w:r>
        <w:tab/>
        <w:t>be appropriately experienced, qualified and trained to supply the Services</w:t>
      </w:r>
    </w:p>
    <w:p w:rsidR="00DA14A2" w:rsidRDefault="00DA14A2"/>
    <w:p w:rsidR="00DA14A2" w:rsidRDefault="004A11C6">
      <w:pPr>
        <w:ind w:firstLine="720"/>
      </w:pPr>
      <w:r>
        <w:t>4.1.2</w:t>
      </w:r>
      <w:r>
        <w:tab/>
        <w:t>apply all due skill, care and diligence in faithfully performing those duties</w:t>
      </w:r>
    </w:p>
    <w:p w:rsidR="00DA14A2" w:rsidRDefault="00DA14A2"/>
    <w:p w:rsidR="00DA14A2" w:rsidRDefault="004A11C6">
      <w:pPr>
        <w:ind w:left="720"/>
      </w:pPr>
      <w:r>
        <w:t>4.1.3</w:t>
      </w:r>
      <w:r>
        <w:tab/>
        <w:t>obey all lawful instructions and reasonable directions of the Buyer and provide the Services to the reasonable satisfaction of the Buyer</w:t>
      </w:r>
    </w:p>
    <w:p w:rsidR="00DA14A2" w:rsidRDefault="00DA14A2"/>
    <w:p w:rsidR="00DA14A2" w:rsidRDefault="004A11C6">
      <w:pPr>
        <w:ind w:firstLine="720"/>
      </w:pPr>
      <w:r>
        <w:t>4.1.4</w:t>
      </w:r>
      <w:r>
        <w:tab/>
        <w:t>respond to any enquiries about the Services as soon as reasonably possible</w:t>
      </w:r>
    </w:p>
    <w:p w:rsidR="00DA14A2" w:rsidRDefault="00DA14A2"/>
    <w:p w:rsidR="00DA14A2" w:rsidRDefault="004A11C6">
      <w:pPr>
        <w:ind w:firstLine="720"/>
      </w:pPr>
      <w:r>
        <w:t>4.1.5</w:t>
      </w:r>
      <w:r>
        <w:tab/>
        <w:t>complete any necessary Supplier Staff vetting as specified by the Buyer</w:t>
      </w:r>
    </w:p>
    <w:p w:rsidR="00DA14A2" w:rsidRDefault="00DA14A2"/>
    <w:p w:rsidR="00DA14A2" w:rsidRDefault="004A11C6">
      <w:pPr>
        <w:ind w:left="720" w:hanging="720"/>
      </w:pPr>
      <w:r>
        <w:t>4.2</w:t>
      </w:r>
      <w:r>
        <w:tab/>
        <w:t>The Supplier must retain overall control of the Supplier Staff so that they are not considered to be employees, workers, agents or contractors of the Buyer.</w:t>
      </w:r>
    </w:p>
    <w:p w:rsidR="00DA14A2" w:rsidRDefault="00DA14A2">
      <w:pPr>
        <w:ind w:firstLine="720"/>
      </w:pPr>
    </w:p>
    <w:p w:rsidR="00DA14A2" w:rsidRDefault="004A11C6">
      <w:pPr>
        <w:ind w:left="720" w:hanging="720"/>
      </w:pPr>
      <w:r>
        <w:t>4.3</w:t>
      </w:r>
      <w:r>
        <w:tab/>
        <w:t>The Supplier may substitute any Supplier Staff as long as they have the equivalent experience and qualifications to the substituted staff member.</w:t>
      </w:r>
    </w:p>
    <w:p w:rsidR="00DA14A2" w:rsidRDefault="00DA14A2">
      <w:pPr>
        <w:ind w:firstLine="720"/>
      </w:pPr>
    </w:p>
    <w:p w:rsidR="00DA14A2" w:rsidRDefault="004A11C6">
      <w:pPr>
        <w:ind w:left="720" w:hanging="720"/>
      </w:pPr>
      <w:r>
        <w:t>4.4</w:t>
      </w:r>
      <w:r>
        <w:tab/>
        <w:t>The Buyer may conduct IR35 Assessments using the ESI tool to assess whether the Supplier’s engagement under the Call-Off Contract is Inside or Outside IR35.</w:t>
      </w:r>
    </w:p>
    <w:p w:rsidR="00DA14A2" w:rsidRDefault="00DA14A2">
      <w:pPr>
        <w:ind w:firstLine="720"/>
      </w:pPr>
    </w:p>
    <w:p w:rsidR="00DA14A2" w:rsidRDefault="004A11C6">
      <w:pPr>
        <w:ind w:left="720" w:hanging="720"/>
      </w:pPr>
      <w:r>
        <w:t>4.5</w:t>
      </w:r>
      <w:r>
        <w:tab/>
        <w:t>The Buyer may End this Call-Off Contract for Material Breach as per clause 18.5 hereunder if the Supplier is delivering the Services Inside IR35.</w:t>
      </w:r>
    </w:p>
    <w:p w:rsidR="00DA14A2" w:rsidRDefault="00DA14A2">
      <w:pPr>
        <w:ind w:firstLine="720"/>
      </w:pPr>
    </w:p>
    <w:p w:rsidR="00DA14A2" w:rsidRDefault="004A11C6">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DA14A2" w:rsidRDefault="00DA14A2">
      <w:pPr>
        <w:ind w:left="720"/>
      </w:pPr>
    </w:p>
    <w:p w:rsidR="00DA14A2" w:rsidRDefault="004A11C6">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DA14A2" w:rsidRDefault="00DA14A2">
      <w:pPr>
        <w:ind w:left="720"/>
      </w:pPr>
    </w:p>
    <w:p w:rsidR="00DA14A2" w:rsidRDefault="004A11C6">
      <w:pPr>
        <w:ind w:left="720" w:hanging="720"/>
      </w:pPr>
      <w:r>
        <w:t>4.8</w:t>
      </w:r>
      <w:r>
        <w:tab/>
        <w:t>If it is determined by the Buyer that the Supplier is Outside IR35, the Buyer will provide the ESI reference number and a copy of the PDF to the Supplier.</w:t>
      </w:r>
    </w:p>
    <w:p w:rsidR="00DA14A2" w:rsidRDefault="00DA14A2">
      <w:pPr>
        <w:spacing w:before="240" w:after="240"/>
        <w:ind w:left="720"/>
      </w:pPr>
    </w:p>
    <w:p w:rsidR="00DA14A2" w:rsidRDefault="004A11C6">
      <w:pPr>
        <w:pStyle w:val="Heading3"/>
        <w:spacing w:before="0" w:after="100"/>
        <w:rPr>
          <w:color w:val="auto"/>
        </w:rPr>
      </w:pPr>
      <w:r>
        <w:rPr>
          <w:color w:val="auto"/>
        </w:rPr>
        <w:t>5.</w:t>
      </w:r>
      <w:r>
        <w:rPr>
          <w:color w:val="auto"/>
        </w:rPr>
        <w:tab/>
        <w:t>Due diligence</w:t>
      </w:r>
    </w:p>
    <w:p w:rsidR="00DA14A2" w:rsidRDefault="004A11C6">
      <w:pPr>
        <w:spacing w:before="240" w:after="120"/>
      </w:pPr>
      <w:r>
        <w:t xml:space="preserve"> 5.1</w:t>
      </w:r>
      <w:r>
        <w:tab/>
        <w:t>Both Parties agree that when entering into a Call-Off Contract they:</w:t>
      </w:r>
    </w:p>
    <w:p w:rsidR="00DA14A2" w:rsidRDefault="004A11C6">
      <w:pPr>
        <w:spacing w:after="120"/>
        <w:ind w:left="1440" w:hanging="720"/>
      </w:pPr>
      <w:r>
        <w:t>5.1.1</w:t>
      </w:r>
      <w:r>
        <w:tab/>
        <w:t>have made their own enquiries and are satisfied by the accuracy of any information supplied by the other Party</w:t>
      </w:r>
    </w:p>
    <w:p w:rsidR="00DA14A2" w:rsidRDefault="004A11C6">
      <w:pPr>
        <w:spacing w:after="120"/>
        <w:ind w:left="1440" w:hanging="720"/>
      </w:pPr>
      <w:r>
        <w:t>5.1.2</w:t>
      </w:r>
      <w:r>
        <w:tab/>
        <w:t>are confident that they can fulfil their obligations according to the Call-Off Contract terms</w:t>
      </w:r>
    </w:p>
    <w:p w:rsidR="00DA14A2" w:rsidRDefault="004A11C6">
      <w:pPr>
        <w:spacing w:after="120"/>
        <w:ind w:firstLine="720"/>
      </w:pPr>
      <w:r>
        <w:t>5.1.3</w:t>
      </w:r>
      <w:r>
        <w:tab/>
        <w:t>have raised all due diligence questions before signing the Call-Off Contract</w:t>
      </w:r>
    </w:p>
    <w:p w:rsidR="00DA14A2" w:rsidRDefault="004A11C6">
      <w:pPr>
        <w:ind w:firstLine="720"/>
      </w:pPr>
      <w:r>
        <w:t>5.1.4</w:t>
      </w:r>
      <w:r>
        <w:tab/>
        <w:t>have entered into the Call-Off Contract relying on its own due diligence</w:t>
      </w:r>
    </w:p>
    <w:p w:rsidR="00DA14A2" w:rsidRDefault="00DA14A2">
      <w:pPr>
        <w:spacing w:before="240"/>
      </w:pPr>
    </w:p>
    <w:p w:rsidR="00DA14A2" w:rsidRDefault="004A11C6">
      <w:pPr>
        <w:pStyle w:val="Heading3"/>
        <w:spacing w:before="0" w:after="100"/>
        <w:rPr>
          <w:color w:val="auto"/>
        </w:rPr>
      </w:pPr>
      <w:r>
        <w:rPr>
          <w:color w:val="auto"/>
        </w:rPr>
        <w:t xml:space="preserve">6. </w:t>
      </w:r>
      <w:r>
        <w:rPr>
          <w:color w:val="auto"/>
        </w:rPr>
        <w:tab/>
        <w:t>Business continuity and disaster recovery</w:t>
      </w:r>
    </w:p>
    <w:p w:rsidR="00DA14A2" w:rsidRDefault="004A11C6">
      <w:pPr>
        <w:ind w:left="720" w:hanging="720"/>
      </w:pPr>
      <w:r>
        <w:t>6.1</w:t>
      </w:r>
      <w:r>
        <w:tab/>
        <w:t>The Supplier will have a clear business continuity and disaster recovery plan in their service descriptions.</w:t>
      </w:r>
    </w:p>
    <w:p w:rsidR="00DA14A2" w:rsidRDefault="00DA14A2"/>
    <w:p w:rsidR="00DA14A2" w:rsidRDefault="004A11C6">
      <w:pPr>
        <w:ind w:left="720" w:hanging="720"/>
      </w:pPr>
      <w:r>
        <w:t>6.2</w:t>
      </w:r>
      <w:r>
        <w:tab/>
        <w:t>The Supplier’s business continuity and disaster recovery services are part of the Services and will be performed by the Supplier when required.</w:t>
      </w:r>
    </w:p>
    <w:p w:rsidR="00DA14A2" w:rsidRDefault="004A11C6">
      <w:pPr>
        <w:ind w:left="720" w:hanging="720"/>
      </w:pPr>
      <w:r>
        <w:t>6.3</w:t>
      </w:r>
      <w:r>
        <w:tab/>
        <w:t>If requested by the Buyer prior to entering into this Call-Off Contract, the Supplier must ensure that its business continuity and disaster recovery plan is consistent with the Buyer’s own plans.</w:t>
      </w:r>
    </w:p>
    <w:p w:rsidR="00DA14A2" w:rsidRDefault="00DA14A2"/>
    <w:p w:rsidR="00DA14A2" w:rsidRDefault="004A11C6">
      <w:pPr>
        <w:pStyle w:val="Heading3"/>
        <w:spacing w:before="0" w:after="100"/>
        <w:rPr>
          <w:color w:val="auto"/>
        </w:rPr>
      </w:pPr>
      <w:r>
        <w:rPr>
          <w:color w:val="auto"/>
        </w:rPr>
        <w:lastRenderedPageBreak/>
        <w:t>7.</w:t>
      </w:r>
      <w:r>
        <w:rPr>
          <w:color w:val="auto"/>
        </w:rPr>
        <w:tab/>
        <w:t>Payment, VAT and Call-Off Contract charges</w:t>
      </w:r>
    </w:p>
    <w:p w:rsidR="00DA14A2" w:rsidRDefault="004A11C6">
      <w:pPr>
        <w:spacing w:after="120"/>
        <w:ind w:left="720" w:hanging="720"/>
      </w:pPr>
      <w:r>
        <w:t>7.1</w:t>
      </w:r>
      <w:r>
        <w:tab/>
        <w:t>The Buyer must pay the Charges following clauses 7.2 to 7.11 for the Supplier’s delivery of the Services.</w:t>
      </w:r>
    </w:p>
    <w:p w:rsidR="00DA14A2" w:rsidRDefault="004A11C6">
      <w:pPr>
        <w:ind w:left="720" w:hanging="720"/>
      </w:pPr>
      <w:r>
        <w:t>7.2</w:t>
      </w:r>
      <w:r>
        <w:tab/>
        <w:t>The Buyer will pay the Supplier within the number of days specified in the Order Form on receipt of a valid invoice.</w:t>
      </w:r>
    </w:p>
    <w:p w:rsidR="00DA14A2" w:rsidRDefault="004A11C6">
      <w:pPr>
        <w:spacing w:after="120"/>
        <w:ind w:left="720" w:hanging="720"/>
      </w:pPr>
      <w:r>
        <w:t>7.3</w:t>
      </w:r>
      <w:r>
        <w:tab/>
        <w:t>The Call-Off Contract Charges include all Charges for payment Processing. All invoices submitted to the Buyer for the Services will be exclusive of any Management Charge.</w:t>
      </w:r>
    </w:p>
    <w:p w:rsidR="00DA14A2" w:rsidRDefault="004A11C6">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DA14A2" w:rsidRDefault="004A11C6">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DA14A2" w:rsidRDefault="004A11C6">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DA14A2" w:rsidRDefault="004A11C6">
      <w:pPr>
        <w:spacing w:after="120"/>
      </w:pPr>
      <w:r>
        <w:t>7.7</w:t>
      </w:r>
      <w:r>
        <w:tab/>
        <w:t>All Charges payable by the Buyer to the Supplier will include VAT at the appropriate Rate.</w:t>
      </w:r>
    </w:p>
    <w:p w:rsidR="00DA14A2" w:rsidRDefault="004A11C6">
      <w:pPr>
        <w:spacing w:after="120"/>
        <w:ind w:left="720" w:hanging="720"/>
      </w:pPr>
      <w:r>
        <w:t>7.8</w:t>
      </w:r>
      <w:r>
        <w:tab/>
        <w:t>The Supplier must add VAT to the Charges at the appropriate rate with visibility of the amount as a separate line item.</w:t>
      </w:r>
    </w:p>
    <w:p w:rsidR="00DA14A2" w:rsidRDefault="004A11C6">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DA14A2" w:rsidRDefault="004A11C6">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DA14A2" w:rsidRDefault="004A11C6">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DA14A2" w:rsidRDefault="004A11C6">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DA14A2" w:rsidRDefault="00DA14A2">
      <w:pPr>
        <w:ind w:left="720"/>
      </w:pPr>
    </w:p>
    <w:p w:rsidR="00DA14A2" w:rsidRDefault="004A11C6">
      <w:pPr>
        <w:pStyle w:val="Heading3"/>
        <w:rPr>
          <w:color w:val="auto"/>
        </w:rPr>
      </w:pPr>
      <w:r>
        <w:rPr>
          <w:color w:val="auto"/>
        </w:rPr>
        <w:t>8.</w:t>
      </w:r>
      <w:r>
        <w:rPr>
          <w:color w:val="auto"/>
        </w:rPr>
        <w:tab/>
        <w:t>Recovery of sums due and right of set-off</w:t>
      </w:r>
    </w:p>
    <w:p w:rsidR="00DA14A2" w:rsidRDefault="004A11C6">
      <w:pPr>
        <w:spacing w:before="240" w:after="240"/>
        <w:ind w:left="720" w:hanging="720"/>
      </w:pPr>
      <w:r>
        <w:t>8.1</w:t>
      </w:r>
      <w:r>
        <w:tab/>
        <w:t>If a Supplier owes money to the Buyer, the Buyer may deduct that sum from the Call-Off Contract Charges.</w:t>
      </w:r>
    </w:p>
    <w:p w:rsidR="00DA14A2" w:rsidRDefault="00DA14A2">
      <w:pPr>
        <w:spacing w:before="240" w:after="240"/>
        <w:ind w:left="720" w:hanging="720"/>
      </w:pPr>
    </w:p>
    <w:p w:rsidR="00DA14A2" w:rsidRDefault="004A11C6">
      <w:pPr>
        <w:pStyle w:val="Heading3"/>
        <w:rPr>
          <w:color w:val="auto"/>
        </w:rPr>
      </w:pPr>
      <w:r>
        <w:rPr>
          <w:color w:val="auto"/>
        </w:rPr>
        <w:lastRenderedPageBreak/>
        <w:t>9.</w:t>
      </w:r>
      <w:r>
        <w:rPr>
          <w:color w:val="auto"/>
        </w:rPr>
        <w:tab/>
        <w:t>Insurance</w:t>
      </w:r>
    </w:p>
    <w:p w:rsidR="00DA14A2" w:rsidRDefault="004A11C6">
      <w:pPr>
        <w:spacing w:before="240" w:after="240"/>
        <w:ind w:left="660" w:hanging="660"/>
      </w:pPr>
      <w:r>
        <w:t>9.1</w:t>
      </w:r>
      <w:r>
        <w:tab/>
        <w:t>The Supplier will maintain the insurances required by the Buyer including those in this clause.</w:t>
      </w:r>
    </w:p>
    <w:p w:rsidR="00DA14A2" w:rsidRDefault="004A11C6">
      <w:r>
        <w:t>9.2</w:t>
      </w:r>
      <w:r>
        <w:tab/>
        <w:t>The Supplier will ensure that:</w:t>
      </w:r>
    </w:p>
    <w:p w:rsidR="00DA14A2" w:rsidRDefault="00DA14A2"/>
    <w:p w:rsidR="00DA14A2" w:rsidRDefault="004A11C6">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DA14A2" w:rsidRDefault="00DA14A2">
      <w:pPr>
        <w:ind w:firstLine="720"/>
      </w:pPr>
    </w:p>
    <w:p w:rsidR="00DA14A2" w:rsidRDefault="004A11C6">
      <w:pPr>
        <w:ind w:left="1440" w:hanging="720"/>
      </w:pPr>
      <w:r>
        <w:t>9.2.2</w:t>
      </w:r>
      <w:r>
        <w:tab/>
        <w:t>the third-party public and products liability insurance contains an ‘indemnity to principals’ clause for the Buyer’s benefit</w:t>
      </w:r>
    </w:p>
    <w:p w:rsidR="00DA14A2" w:rsidRDefault="00DA14A2">
      <w:pPr>
        <w:ind w:firstLine="720"/>
      </w:pPr>
    </w:p>
    <w:p w:rsidR="00DA14A2" w:rsidRDefault="004A11C6">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DA14A2" w:rsidRDefault="00DA14A2">
      <w:pPr>
        <w:ind w:firstLine="720"/>
      </w:pPr>
    </w:p>
    <w:p w:rsidR="00DA14A2" w:rsidRDefault="004A11C6">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DA14A2" w:rsidRDefault="00DA14A2">
      <w:pPr>
        <w:ind w:left="720"/>
      </w:pPr>
    </w:p>
    <w:p w:rsidR="00DA14A2" w:rsidRDefault="004A11C6">
      <w:pPr>
        <w:ind w:left="720" w:hanging="720"/>
      </w:pPr>
      <w:r>
        <w:t>9.3</w:t>
      </w:r>
      <w:r>
        <w:tab/>
        <w:t>If requested by the Buyer, the Supplier will obtain additional insurance policies, or extend existing policies bought under the Framework Agreement.</w:t>
      </w:r>
    </w:p>
    <w:p w:rsidR="00DA14A2" w:rsidRDefault="00DA14A2">
      <w:pPr>
        <w:ind w:left="720" w:firstLine="720"/>
      </w:pPr>
    </w:p>
    <w:p w:rsidR="00DA14A2" w:rsidRDefault="004A11C6">
      <w:pPr>
        <w:ind w:left="720" w:hanging="720"/>
      </w:pPr>
      <w:r>
        <w:t>9.4</w:t>
      </w:r>
      <w:r>
        <w:tab/>
        <w:t>If requested by the Buyer, the Supplier will provide the following to show compliance with this clause:</w:t>
      </w:r>
    </w:p>
    <w:p w:rsidR="00DA14A2" w:rsidRDefault="00DA14A2">
      <w:pPr>
        <w:ind w:firstLine="720"/>
      </w:pPr>
    </w:p>
    <w:p w:rsidR="00DA14A2" w:rsidRDefault="004A11C6">
      <w:pPr>
        <w:ind w:firstLine="720"/>
      </w:pPr>
      <w:r>
        <w:t>9.4.1</w:t>
      </w:r>
      <w:r>
        <w:tab/>
        <w:t>a broker's verification of insurance</w:t>
      </w:r>
    </w:p>
    <w:p w:rsidR="00DA14A2" w:rsidRDefault="00DA14A2">
      <w:pPr>
        <w:ind w:firstLine="720"/>
      </w:pPr>
    </w:p>
    <w:p w:rsidR="00DA14A2" w:rsidRDefault="004A11C6">
      <w:pPr>
        <w:ind w:firstLine="720"/>
      </w:pPr>
      <w:r>
        <w:t>9.4.2</w:t>
      </w:r>
      <w:r>
        <w:tab/>
        <w:t>receipts for the insurance premium</w:t>
      </w:r>
    </w:p>
    <w:p w:rsidR="00DA14A2" w:rsidRDefault="00DA14A2">
      <w:pPr>
        <w:ind w:firstLine="720"/>
      </w:pPr>
    </w:p>
    <w:p w:rsidR="00DA14A2" w:rsidRDefault="004A11C6">
      <w:pPr>
        <w:ind w:firstLine="720"/>
      </w:pPr>
      <w:r>
        <w:t>9.4.3</w:t>
      </w:r>
      <w:r>
        <w:tab/>
        <w:t>evidence of payment of the latest premiums due</w:t>
      </w:r>
    </w:p>
    <w:p w:rsidR="00DA14A2" w:rsidRDefault="00DA14A2">
      <w:pPr>
        <w:ind w:firstLine="720"/>
      </w:pPr>
    </w:p>
    <w:p w:rsidR="00DA14A2" w:rsidRDefault="004A11C6">
      <w:pPr>
        <w:ind w:left="720" w:hanging="720"/>
      </w:pPr>
      <w:r>
        <w:t>9.5</w:t>
      </w:r>
      <w:r>
        <w:tab/>
        <w:t>Insurance will not relieve the Supplier of any liabilities under the Framework Agreement or this Call-Off Contract and the Supplier will:</w:t>
      </w:r>
    </w:p>
    <w:p w:rsidR="00DA14A2" w:rsidRDefault="00DA14A2">
      <w:pPr>
        <w:ind w:firstLine="720"/>
      </w:pPr>
    </w:p>
    <w:p w:rsidR="00DA14A2" w:rsidRDefault="004A11C6">
      <w:pPr>
        <w:ind w:left="1440" w:hanging="720"/>
      </w:pPr>
      <w:r>
        <w:t>9.5.1</w:t>
      </w:r>
      <w:r>
        <w:tab/>
        <w:t>take all risk control measures using Good Industry Practice, including the investigation and reports of claims to insurers</w:t>
      </w:r>
    </w:p>
    <w:p w:rsidR="00DA14A2" w:rsidRDefault="00DA14A2">
      <w:pPr>
        <w:ind w:left="720" w:firstLine="720"/>
      </w:pPr>
    </w:p>
    <w:p w:rsidR="00DA14A2" w:rsidRDefault="004A11C6">
      <w:pPr>
        <w:ind w:left="1440" w:hanging="720"/>
      </w:pPr>
      <w:r>
        <w:t>9.5.2</w:t>
      </w:r>
      <w:r>
        <w:tab/>
        <w:t>promptly notify the insurers in writing of any relevant material fact under any Insurances</w:t>
      </w:r>
    </w:p>
    <w:p w:rsidR="00DA14A2" w:rsidRDefault="00DA14A2">
      <w:pPr>
        <w:ind w:firstLine="720"/>
      </w:pPr>
    </w:p>
    <w:p w:rsidR="00DA14A2" w:rsidRDefault="004A11C6">
      <w:pPr>
        <w:ind w:left="1440" w:hanging="720"/>
      </w:pPr>
      <w:r>
        <w:t>9.5.3</w:t>
      </w:r>
      <w:r>
        <w:tab/>
        <w:t>hold all insurance policies and require any broker arranging the insurance to hold any insurance slips and other evidence of insurance</w:t>
      </w:r>
    </w:p>
    <w:p w:rsidR="00DA14A2" w:rsidRDefault="004A11C6">
      <w:r>
        <w:t xml:space="preserve"> </w:t>
      </w:r>
    </w:p>
    <w:p w:rsidR="00DA14A2" w:rsidRDefault="004A11C6">
      <w:pPr>
        <w:ind w:left="720" w:hanging="720"/>
      </w:pPr>
      <w:r>
        <w:t>9.6</w:t>
      </w:r>
      <w:r>
        <w:tab/>
        <w:t>The Supplier will not do or omit to do anything, which would destroy or impair the legal validity of the insurance.</w:t>
      </w:r>
    </w:p>
    <w:p w:rsidR="00DA14A2" w:rsidRDefault="00DA14A2">
      <w:pPr>
        <w:ind w:firstLine="720"/>
      </w:pPr>
    </w:p>
    <w:p w:rsidR="00DA14A2" w:rsidRDefault="004A11C6">
      <w:pPr>
        <w:ind w:left="720" w:hanging="720"/>
      </w:pPr>
      <w:r>
        <w:lastRenderedPageBreak/>
        <w:t>9.7</w:t>
      </w:r>
      <w:r>
        <w:tab/>
        <w:t>The Supplier will notify CCS and the Buyer as soon as possible if any insurance policies have been, or are due to be, cancelled, suspended, Ended or not renewed.</w:t>
      </w:r>
    </w:p>
    <w:p w:rsidR="00DA14A2" w:rsidRDefault="00DA14A2">
      <w:pPr>
        <w:ind w:firstLine="720"/>
      </w:pPr>
    </w:p>
    <w:p w:rsidR="00DA14A2" w:rsidRDefault="004A11C6">
      <w:r>
        <w:t>9.8</w:t>
      </w:r>
      <w:r>
        <w:tab/>
        <w:t>The Supplier will be liable for the payment of any:</w:t>
      </w:r>
    </w:p>
    <w:p w:rsidR="00DA14A2" w:rsidRDefault="00DA14A2"/>
    <w:p w:rsidR="00DA14A2" w:rsidRDefault="004A11C6">
      <w:pPr>
        <w:ind w:firstLine="720"/>
      </w:pPr>
      <w:r>
        <w:t>9.8.1</w:t>
      </w:r>
      <w:r>
        <w:tab/>
        <w:t>premiums, which it will pay promptly</w:t>
      </w:r>
    </w:p>
    <w:p w:rsidR="00DA14A2" w:rsidRDefault="004A11C6">
      <w:pPr>
        <w:ind w:firstLine="720"/>
      </w:pPr>
      <w:r>
        <w:t>9.8.2</w:t>
      </w:r>
      <w:r>
        <w:tab/>
        <w:t>excess or deductibles and will not be entitled to recover this from the Buyer</w:t>
      </w:r>
    </w:p>
    <w:p w:rsidR="00DA14A2" w:rsidRDefault="00DA14A2">
      <w:pPr>
        <w:ind w:firstLine="720"/>
      </w:pPr>
    </w:p>
    <w:p w:rsidR="00DA14A2" w:rsidRDefault="004A11C6">
      <w:pPr>
        <w:pStyle w:val="Heading3"/>
        <w:spacing w:before="0" w:after="100"/>
        <w:rPr>
          <w:color w:val="auto"/>
        </w:rPr>
      </w:pPr>
      <w:r>
        <w:rPr>
          <w:color w:val="auto"/>
        </w:rPr>
        <w:t>10.</w:t>
      </w:r>
      <w:r>
        <w:rPr>
          <w:color w:val="auto"/>
        </w:rPr>
        <w:tab/>
        <w:t>Confidentiality</w:t>
      </w:r>
    </w:p>
    <w:p w:rsidR="00DA14A2" w:rsidRDefault="004A11C6">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DA14A2" w:rsidRDefault="00DA14A2">
      <w:pPr>
        <w:ind w:left="720" w:hanging="720"/>
      </w:pPr>
    </w:p>
    <w:p w:rsidR="00DA14A2" w:rsidRDefault="004A11C6">
      <w:pPr>
        <w:pStyle w:val="Heading3"/>
        <w:spacing w:before="0" w:after="100"/>
        <w:rPr>
          <w:color w:val="auto"/>
        </w:rPr>
      </w:pPr>
      <w:r>
        <w:rPr>
          <w:color w:val="auto"/>
        </w:rPr>
        <w:t>11.</w:t>
      </w:r>
      <w:r>
        <w:rPr>
          <w:color w:val="auto"/>
        </w:rPr>
        <w:tab/>
        <w:t>Intellectual Property Rights</w:t>
      </w:r>
    </w:p>
    <w:p w:rsidR="00DA14A2" w:rsidRDefault="004A11C6">
      <w:pPr>
        <w:ind w:left="720" w:hanging="720"/>
      </w:pPr>
      <w:r>
        <w:t>11.1</w:t>
      </w:r>
      <w:r>
        <w:tab/>
        <w:t>Unless otherwise specified in this Call-Off Contract, a Party will not acquire any right, title or interest in or to the Intellectual Property Rights (IPRs) of the other Party or its Licensors.</w:t>
      </w:r>
    </w:p>
    <w:p w:rsidR="00DA14A2" w:rsidRDefault="00DA14A2">
      <w:pPr>
        <w:ind w:left="720"/>
      </w:pPr>
    </w:p>
    <w:p w:rsidR="00DA14A2" w:rsidRDefault="004A11C6">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DA14A2" w:rsidRDefault="00DA14A2">
      <w:pPr>
        <w:ind w:left="720"/>
      </w:pPr>
    </w:p>
    <w:p w:rsidR="00DA14A2" w:rsidRDefault="004A11C6">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DA14A2" w:rsidRDefault="00DA14A2">
      <w:pPr>
        <w:ind w:left="720"/>
      </w:pPr>
    </w:p>
    <w:p w:rsidR="00DA14A2" w:rsidRDefault="004A11C6">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DA14A2" w:rsidRDefault="00DA14A2">
      <w:pPr>
        <w:ind w:left="720"/>
      </w:pPr>
    </w:p>
    <w:p w:rsidR="00DA14A2" w:rsidRDefault="004A11C6">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DA14A2" w:rsidRDefault="00DA14A2">
      <w:pPr>
        <w:ind w:firstLine="720"/>
      </w:pPr>
    </w:p>
    <w:p w:rsidR="00DA14A2" w:rsidRDefault="004A11C6">
      <w:pPr>
        <w:ind w:firstLine="720"/>
      </w:pPr>
      <w:r>
        <w:t>11.5.1</w:t>
      </w:r>
      <w:r>
        <w:tab/>
        <w:t>rights granted to the Buyer under this Call-Off Contract</w:t>
      </w:r>
    </w:p>
    <w:p w:rsidR="00DA14A2" w:rsidRDefault="00DA14A2"/>
    <w:p w:rsidR="00DA14A2" w:rsidRDefault="004A11C6">
      <w:pPr>
        <w:ind w:firstLine="720"/>
      </w:pPr>
      <w:r>
        <w:t>11.5.2</w:t>
      </w:r>
      <w:r>
        <w:tab/>
        <w:t>Supplier’s performance of the Services</w:t>
      </w:r>
    </w:p>
    <w:p w:rsidR="00DA14A2" w:rsidRDefault="00DA14A2">
      <w:pPr>
        <w:ind w:firstLine="720"/>
      </w:pPr>
    </w:p>
    <w:p w:rsidR="00DA14A2" w:rsidRDefault="004A11C6">
      <w:pPr>
        <w:ind w:firstLine="720"/>
      </w:pPr>
      <w:r>
        <w:t>11.5.3</w:t>
      </w:r>
      <w:r>
        <w:tab/>
        <w:t>use by the Buyer of the Services</w:t>
      </w:r>
    </w:p>
    <w:p w:rsidR="00DA14A2" w:rsidRDefault="00DA14A2">
      <w:pPr>
        <w:ind w:firstLine="720"/>
      </w:pPr>
    </w:p>
    <w:p w:rsidR="00DA14A2" w:rsidRDefault="004A11C6">
      <w:pPr>
        <w:ind w:left="720" w:hanging="720"/>
      </w:pPr>
      <w:r>
        <w:t>11.6</w:t>
      </w:r>
      <w:r>
        <w:tab/>
        <w:t>If an IPR Claim is made, or is likely to be made, the Supplier will immediately notify the Buyer in writing and must at its own expense after written approval from the Buyer, either:</w:t>
      </w:r>
    </w:p>
    <w:p w:rsidR="00DA14A2" w:rsidRDefault="00DA14A2">
      <w:pPr>
        <w:ind w:firstLine="720"/>
      </w:pPr>
    </w:p>
    <w:p w:rsidR="00DA14A2" w:rsidRDefault="004A11C6">
      <w:pPr>
        <w:ind w:left="1440" w:hanging="720"/>
      </w:pPr>
      <w:r>
        <w:t>11.6.1</w:t>
      </w:r>
      <w:r>
        <w:tab/>
        <w:t>modify the relevant part of the Services without reducing its functionality or performance</w:t>
      </w:r>
    </w:p>
    <w:p w:rsidR="00DA14A2" w:rsidRDefault="00DA14A2">
      <w:pPr>
        <w:ind w:left="720" w:firstLine="720"/>
      </w:pPr>
    </w:p>
    <w:p w:rsidR="00DA14A2" w:rsidRDefault="004A11C6">
      <w:pPr>
        <w:ind w:left="1440" w:hanging="720"/>
      </w:pPr>
      <w:r>
        <w:lastRenderedPageBreak/>
        <w:t>11.6.2</w:t>
      </w:r>
      <w:r>
        <w:tab/>
        <w:t>substitute Services of equivalent functionality and performance, to avoid the infringement or the alleged infringement, as long as there is no additional cost or burden to the Buyer</w:t>
      </w:r>
    </w:p>
    <w:p w:rsidR="00DA14A2" w:rsidRDefault="00DA14A2">
      <w:pPr>
        <w:ind w:left="1440"/>
      </w:pPr>
    </w:p>
    <w:p w:rsidR="00DA14A2" w:rsidRDefault="004A11C6">
      <w:pPr>
        <w:ind w:left="1440" w:hanging="720"/>
      </w:pPr>
      <w:r>
        <w:t>11.6.3</w:t>
      </w:r>
      <w:r>
        <w:tab/>
        <w:t>buy a licence to use and supply the Services which are the subject of the alleged infringement, on terms acceptable to the Buyer</w:t>
      </w:r>
    </w:p>
    <w:p w:rsidR="00DA14A2" w:rsidRDefault="00DA14A2">
      <w:pPr>
        <w:ind w:left="720" w:firstLine="720"/>
      </w:pPr>
    </w:p>
    <w:p w:rsidR="00DA14A2" w:rsidRDefault="004A11C6">
      <w:r>
        <w:t>11.7</w:t>
      </w:r>
      <w:r>
        <w:tab/>
        <w:t>Clause 11.5 will not apply if the IPR Claim is from:</w:t>
      </w:r>
    </w:p>
    <w:p w:rsidR="00DA14A2" w:rsidRDefault="00DA14A2"/>
    <w:p w:rsidR="00DA14A2" w:rsidRDefault="004A11C6">
      <w:pPr>
        <w:ind w:left="1440" w:hanging="720"/>
      </w:pPr>
      <w:r>
        <w:t>11.7.2</w:t>
      </w:r>
      <w:r>
        <w:tab/>
        <w:t>the use of data supplied by the Buyer which the Supplier isn’t required to verify under this Call-Off Contract</w:t>
      </w:r>
    </w:p>
    <w:p w:rsidR="00DA14A2" w:rsidRDefault="00DA14A2">
      <w:pPr>
        <w:ind w:left="720" w:firstLine="720"/>
      </w:pPr>
    </w:p>
    <w:p w:rsidR="00DA14A2" w:rsidRDefault="004A11C6">
      <w:pPr>
        <w:ind w:firstLine="720"/>
      </w:pPr>
      <w:r>
        <w:t>11.7.3</w:t>
      </w:r>
      <w:r>
        <w:tab/>
        <w:t>other material provided by the Buyer necessary for the Services</w:t>
      </w:r>
    </w:p>
    <w:p w:rsidR="00DA14A2" w:rsidRDefault="00DA14A2">
      <w:pPr>
        <w:ind w:firstLine="720"/>
      </w:pPr>
    </w:p>
    <w:p w:rsidR="00DA14A2" w:rsidRDefault="004A11C6">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DA14A2" w:rsidRDefault="00DA14A2">
      <w:pPr>
        <w:ind w:left="720" w:hanging="720"/>
      </w:pPr>
    </w:p>
    <w:p w:rsidR="00DA14A2" w:rsidRDefault="004A11C6">
      <w:pPr>
        <w:pStyle w:val="Heading3"/>
        <w:rPr>
          <w:color w:val="auto"/>
        </w:rPr>
      </w:pPr>
      <w:r>
        <w:rPr>
          <w:color w:val="auto"/>
        </w:rPr>
        <w:t>12.</w:t>
      </w:r>
      <w:r>
        <w:rPr>
          <w:color w:val="auto"/>
        </w:rPr>
        <w:tab/>
        <w:t>Protection of information</w:t>
      </w:r>
    </w:p>
    <w:p w:rsidR="00DA14A2" w:rsidRDefault="004A11C6">
      <w:pPr>
        <w:spacing w:before="240" w:after="240"/>
      </w:pPr>
      <w:r>
        <w:t>12.1</w:t>
      </w:r>
      <w:r>
        <w:tab/>
        <w:t>The Supplier must:</w:t>
      </w:r>
    </w:p>
    <w:p w:rsidR="00DA14A2" w:rsidRDefault="004A11C6">
      <w:pPr>
        <w:ind w:left="1440" w:hanging="720"/>
      </w:pPr>
      <w:r>
        <w:t>12.1.1</w:t>
      </w:r>
      <w:r>
        <w:tab/>
        <w:t>comply with the Buyer’s written instructions and this Call-Off Contract when Processing Buyer Personal Data</w:t>
      </w:r>
    </w:p>
    <w:p w:rsidR="00DA14A2" w:rsidRDefault="00DA14A2">
      <w:pPr>
        <w:ind w:left="720" w:firstLine="720"/>
      </w:pPr>
    </w:p>
    <w:p w:rsidR="00DA14A2" w:rsidRDefault="004A11C6">
      <w:pPr>
        <w:ind w:left="1440" w:hanging="720"/>
      </w:pPr>
      <w:r>
        <w:t>12.1.2</w:t>
      </w:r>
      <w:r>
        <w:tab/>
        <w:t>only Process the Buyer Personal Data as necessary for the provision of the G-Cloud Services or as required by Law or any Regulatory Body</w:t>
      </w:r>
    </w:p>
    <w:p w:rsidR="00DA14A2" w:rsidRDefault="00DA14A2">
      <w:pPr>
        <w:ind w:left="720" w:firstLine="720"/>
      </w:pPr>
    </w:p>
    <w:p w:rsidR="00DA14A2" w:rsidRDefault="004A11C6">
      <w:pPr>
        <w:ind w:left="1440" w:hanging="720"/>
      </w:pPr>
      <w:r>
        <w:t>12.1.3</w:t>
      </w:r>
      <w:r>
        <w:tab/>
        <w:t>take reasonable steps to ensure that any Supplier Staff who have access to Buyer Personal Data act in compliance with Supplier's security processes</w:t>
      </w:r>
    </w:p>
    <w:p w:rsidR="00DA14A2" w:rsidRDefault="00DA14A2">
      <w:pPr>
        <w:ind w:left="720" w:firstLine="720"/>
      </w:pPr>
    </w:p>
    <w:p w:rsidR="00DA14A2" w:rsidRDefault="004A11C6">
      <w:pPr>
        <w:ind w:left="720" w:hanging="720"/>
      </w:pPr>
      <w:r>
        <w:t>12.2</w:t>
      </w:r>
      <w:r>
        <w:tab/>
        <w:t>The Supplier must fully assist with any complaint or request for Buyer Personal Data including by:</w:t>
      </w:r>
    </w:p>
    <w:p w:rsidR="00DA14A2" w:rsidRDefault="00DA14A2">
      <w:pPr>
        <w:ind w:firstLine="720"/>
      </w:pPr>
    </w:p>
    <w:p w:rsidR="00DA14A2" w:rsidRDefault="004A11C6">
      <w:pPr>
        <w:ind w:firstLine="720"/>
      </w:pPr>
      <w:r>
        <w:t>12.2.1</w:t>
      </w:r>
      <w:r>
        <w:tab/>
        <w:t>providing the Buyer with full details of the complaint or request</w:t>
      </w:r>
    </w:p>
    <w:p w:rsidR="00DA14A2" w:rsidRDefault="00DA14A2">
      <w:pPr>
        <w:ind w:firstLine="720"/>
      </w:pPr>
    </w:p>
    <w:p w:rsidR="00DA14A2" w:rsidRDefault="004A11C6">
      <w:pPr>
        <w:ind w:left="1440" w:hanging="720"/>
      </w:pPr>
      <w:r>
        <w:t>12.2.2</w:t>
      </w:r>
      <w:r>
        <w:tab/>
        <w:t>complying with a data access request within the timescales in the Data Protection Legislation and following the Buyer’s instructions</w:t>
      </w:r>
    </w:p>
    <w:p w:rsidR="00DA14A2" w:rsidRDefault="00DA14A2"/>
    <w:p w:rsidR="00DA14A2" w:rsidRDefault="004A11C6">
      <w:pPr>
        <w:ind w:left="1440" w:hanging="720"/>
      </w:pPr>
      <w:r>
        <w:t>12.2.3</w:t>
      </w:r>
      <w:r>
        <w:tab/>
        <w:t>providing the Buyer with any Buyer Personal Data it holds about a Data Subject (within the timescales required by the Buyer)</w:t>
      </w:r>
    </w:p>
    <w:p w:rsidR="00DA14A2" w:rsidRDefault="00DA14A2">
      <w:pPr>
        <w:ind w:left="720" w:firstLine="720"/>
      </w:pPr>
    </w:p>
    <w:p w:rsidR="00DA14A2" w:rsidRDefault="004A11C6">
      <w:pPr>
        <w:ind w:firstLine="720"/>
      </w:pPr>
      <w:r>
        <w:t>12.2.4</w:t>
      </w:r>
      <w:r>
        <w:tab/>
        <w:t>providing the Buyer with any information requested by the Data Subject</w:t>
      </w:r>
    </w:p>
    <w:p w:rsidR="00DA14A2" w:rsidRDefault="00DA14A2">
      <w:pPr>
        <w:ind w:firstLine="720"/>
      </w:pPr>
    </w:p>
    <w:p w:rsidR="00DA14A2" w:rsidRDefault="004A11C6">
      <w:pPr>
        <w:ind w:left="720" w:hanging="720"/>
      </w:pPr>
      <w:r>
        <w:t>12.3</w:t>
      </w:r>
      <w:r>
        <w:tab/>
        <w:t>The Supplier must get prior written consent from the Buyer to transfer Buyer Personal Data to any other person (including any Subcontractors) for the provision of the G-Cloud Services.</w:t>
      </w:r>
    </w:p>
    <w:p w:rsidR="00DA14A2" w:rsidRDefault="00DA14A2">
      <w:pPr>
        <w:ind w:left="720" w:hanging="720"/>
      </w:pPr>
    </w:p>
    <w:p w:rsidR="00DA14A2" w:rsidRDefault="004A11C6">
      <w:pPr>
        <w:pStyle w:val="Heading3"/>
        <w:rPr>
          <w:color w:val="auto"/>
        </w:rPr>
      </w:pPr>
      <w:r>
        <w:rPr>
          <w:color w:val="auto"/>
        </w:rPr>
        <w:lastRenderedPageBreak/>
        <w:t>13.</w:t>
      </w:r>
      <w:r>
        <w:rPr>
          <w:color w:val="auto"/>
        </w:rPr>
        <w:tab/>
        <w:t>Buyer data</w:t>
      </w:r>
    </w:p>
    <w:p w:rsidR="00DA14A2" w:rsidRDefault="004A11C6">
      <w:pPr>
        <w:spacing w:before="240" w:after="240"/>
      </w:pPr>
      <w:r>
        <w:t>13.1</w:t>
      </w:r>
      <w:r>
        <w:tab/>
        <w:t>The Supplier must not remove any proprietary notices in the Buyer Data.</w:t>
      </w:r>
    </w:p>
    <w:p w:rsidR="00DA14A2" w:rsidRDefault="004A11C6">
      <w:r>
        <w:t>13.2</w:t>
      </w:r>
      <w:r>
        <w:tab/>
        <w:t>The Supplier will not store or use Buyer Data except if necessary to fulfil its</w:t>
      </w:r>
    </w:p>
    <w:p w:rsidR="00DA14A2" w:rsidRDefault="004A11C6">
      <w:pPr>
        <w:ind w:firstLine="720"/>
      </w:pPr>
      <w:r>
        <w:t>obligations.</w:t>
      </w:r>
    </w:p>
    <w:p w:rsidR="00DA14A2" w:rsidRDefault="00DA14A2"/>
    <w:p w:rsidR="00DA14A2" w:rsidRDefault="004A11C6">
      <w:pPr>
        <w:ind w:left="720" w:hanging="720"/>
      </w:pPr>
      <w:r>
        <w:t>13.3</w:t>
      </w:r>
      <w:r>
        <w:tab/>
        <w:t>If Buyer Data is processed by the Supplier, the Supplier will supply the data to the Buyer as requested.</w:t>
      </w:r>
    </w:p>
    <w:p w:rsidR="00DA14A2" w:rsidRDefault="00DA14A2"/>
    <w:p w:rsidR="00DA14A2" w:rsidRDefault="004A11C6">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DA14A2" w:rsidRDefault="00DA14A2">
      <w:pPr>
        <w:ind w:left="720"/>
      </w:pPr>
    </w:p>
    <w:p w:rsidR="00DA14A2" w:rsidRDefault="004A11C6">
      <w:pPr>
        <w:ind w:left="720" w:hanging="720"/>
      </w:pPr>
      <w:r>
        <w:t>13.5</w:t>
      </w:r>
      <w:r>
        <w:tab/>
        <w:t>The Supplier will preserve the integrity of Buyer Data processed by the Supplier and prevent its corruption and loss.</w:t>
      </w:r>
    </w:p>
    <w:p w:rsidR="00DA14A2" w:rsidRDefault="00DA14A2">
      <w:pPr>
        <w:ind w:firstLine="720"/>
      </w:pPr>
    </w:p>
    <w:p w:rsidR="00DA14A2" w:rsidRDefault="004A11C6">
      <w:pPr>
        <w:ind w:left="720" w:hanging="720"/>
      </w:pPr>
      <w:r>
        <w:t>13.6</w:t>
      </w:r>
      <w:r>
        <w:tab/>
        <w:t>The Supplier will ensure that any Supplier system which holds any protectively marked Buyer Data or other government data will comply with:</w:t>
      </w:r>
    </w:p>
    <w:p w:rsidR="00DA14A2" w:rsidRDefault="00DA14A2">
      <w:pPr>
        <w:ind w:firstLine="720"/>
      </w:pPr>
    </w:p>
    <w:p w:rsidR="00DA14A2" w:rsidRDefault="004A11C6">
      <w:pPr>
        <w:ind w:firstLine="720"/>
      </w:pPr>
      <w:r>
        <w:t>13.6.1</w:t>
      </w:r>
      <w:r>
        <w:tab/>
        <w:t>the principles in the Security Policy Framework:</w:t>
      </w:r>
      <w:hyperlink r:id="rId9" w:history="1">
        <w:r>
          <w:rPr>
            <w:u w:val="single"/>
          </w:rPr>
          <w:t xml:space="preserve"> </w:t>
        </w:r>
      </w:hyperlink>
    </w:p>
    <w:p w:rsidR="00DA14A2" w:rsidRDefault="00695B46">
      <w:pPr>
        <w:ind w:left="1440"/>
      </w:pPr>
      <w:hyperlink r:id="rId10" w:history="1">
        <w:r w:rsidR="004A11C6">
          <w:rPr>
            <w:rStyle w:val="Hyperlink"/>
          </w:rPr>
          <w:t>https://www.gov.uk/government/publications/security-policy-framework</w:t>
        </w:r>
      </w:hyperlink>
      <w:r w:rsidR="004A11C6">
        <w:rPr>
          <w:rStyle w:val="Hyperlink"/>
          <w:color w:val="auto"/>
        </w:rPr>
        <w:t xml:space="preserve"> and</w:t>
      </w:r>
    </w:p>
    <w:p w:rsidR="00DA14A2" w:rsidRDefault="004A11C6">
      <w:pPr>
        <w:ind w:left="1440"/>
      </w:pPr>
      <w:r>
        <w:t>the Government Security Classification policy:</w:t>
      </w:r>
      <w:r>
        <w:rPr>
          <w:u w:val="single"/>
        </w:rPr>
        <w:t xml:space="preserve"> https:/www.gov.uk/government/publications/government-security-classifications</w:t>
      </w:r>
    </w:p>
    <w:p w:rsidR="00DA14A2" w:rsidRDefault="00DA14A2">
      <w:pPr>
        <w:ind w:left="1440"/>
      </w:pPr>
    </w:p>
    <w:p w:rsidR="00DA14A2" w:rsidRDefault="004A11C6">
      <w:pPr>
        <w:ind w:firstLine="720"/>
      </w:pPr>
      <w:r>
        <w:t>13.6.2</w:t>
      </w:r>
      <w:r>
        <w:tab/>
        <w:t>guidance issued by the Centre for Protection of National Infrastructure on</w:t>
      </w:r>
    </w:p>
    <w:p w:rsidR="00DA14A2" w:rsidRDefault="004A11C6">
      <w:pPr>
        <w:ind w:left="720" w:firstLine="720"/>
      </w:pPr>
      <w:r>
        <w:t>Risk Management:</w:t>
      </w:r>
    </w:p>
    <w:p w:rsidR="00DA14A2" w:rsidRDefault="00695B46">
      <w:pPr>
        <w:ind w:left="720" w:firstLine="720"/>
      </w:pPr>
      <w:hyperlink r:id="rId11" w:history="1">
        <w:r w:rsidR="004A11C6">
          <w:rPr>
            <w:u w:val="single"/>
          </w:rPr>
          <w:t>https://www.cpni.gov.uk/content/adopt-risk-management-approach</w:t>
        </w:r>
      </w:hyperlink>
      <w:r w:rsidR="004A11C6">
        <w:t xml:space="preserve"> and</w:t>
      </w:r>
    </w:p>
    <w:p w:rsidR="00DA14A2" w:rsidRDefault="004A11C6">
      <w:pPr>
        <w:ind w:left="720" w:firstLine="720"/>
      </w:pPr>
      <w:r>
        <w:t>Protection of Sensitive Information and Assets:</w:t>
      </w:r>
      <w:hyperlink r:id="rId12" w:history="1">
        <w:r>
          <w:rPr>
            <w:u w:val="single"/>
          </w:rPr>
          <w:t xml:space="preserve"> </w:t>
        </w:r>
      </w:hyperlink>
    </w:p>
    <w:p w:rsidR="00DA14A2" w:rsidRDefault="00695B46">
      <w:pPr>
        <w:ind w:left="720" w:firstLine="720"/>
      </w:pPr>
      <w:hyperlink r:id="rId13" w:history="1">
        <w:r w:rsidR="004A11C6">
          <w:rPr>
            <w:u w:val="single"/>
          </w:rPr>
          <w:t>https://www.cpni.gov.uk/protection-sensitive-information-and-assets</w:t>
        </w:r>
      </w:hyperlink>
    </w:p>
    <w:p w:rsidR="00DA14A2" w:rsidRDefault="00DA14A2">
      <w:pPr>
        <w:ind w:left="720" w:firstLine="720"/>
      </w:pPr>
    </w:p>
    <w:p w:rsidR="00DA14A2" w:rsidRDefault="004A11C6">
      <w:pPr>
        <w:ind w:left="1440" w:hanging="720"/>
      </w:pPr>
      <w:r>
        <w:t>13.6.3</w:t>
      </w:r>
      <w:r>
        <w:tab/>
        <w:t>the National Cyber Security Centre’s (NCSC) information risk management guidance:</w:t>
      </w:r>
    </w:p>
    <w:p w:rsidR="00DA14A2" w:rsidRDefault="00695B46">
      <w:pPr>
        <w:ind w:left="720" w:firstLine="720"/>
      </w:pPr>
      <w:hyperlink r:id="rId14" w:history="1">
        <w:r w:rsidR="004A11C6">
          <w:rPr>
            <w:u w:val="single"/>
          </w:rPr>
          <w:t>https://www.ncsc.gov.uk/collection/risk-management-collection</w:t>
        </w:r>
      </w:hyperlink>
    </w:p>
    <w:p w:rsidR="00DA14A2" w:rsidRDefault="00DA14A2"/>
    <w:p w:rsidR="00DA14A2" w:rsidRDefault="004A11C6">
      <w:pPr>
        <w:ind w:left="1440" w:hanging="720"/>
      </w:pPr>
      <w:r>
        <w:t>13.6.4</w:t>
      </w:r>
      <w:r>
        <w:tab/>
        <w:t>government best practice in the design and implementation of system components, including network principles, security design principles for digital services and the secure email blueprint:</w:t>
      </w:r>
    </w:p>
    <w:p w:rsidR="00DA14A2" w:rsidRDefault="00695B46">
      <w:pPr>
        <w:ind w:left="1440"/>
      </w:pPr>
      <w:hyperlink r:id="rId15" w:history="1">
        <w:r w:rsidR="004A11C6">
          <w:rPr>
            <w:rStyle w:val="Hyperlink"/>
            <w:color w:val="auto"/>
          </w:rPr>
          <w:t>https://www.gov.uk/government/publications/technology-code-of-practice/technology-code-of-practice</w:t>
        </w:r>
      </w:hyperlink>
    </w:p>
    <w:p w:rsidR="00DA14A2" w:rsidRDefault="00DA14A2">
      <w:pPr>
        <w:ind w:left="1440"/>
      </w:pPr>
    </w:p>
    <w:p w:rsidR="00DA14A2" w:rsidRDefault="004A11C6">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rsidR="00DA14A2" w:rsidRDefault="00695B46">
      <w:pPr>
        <w:ind w:left="720" w:firstLine="720"/>
      </w:pPr>
      <w:hyperlink r:id="rId17" w:history="1">
        <w:r w:rsidR="004A11C6">
          <w:rPr>
            <w:rStyle w:val="Hyperlink"/>
            <w:color w:val="auto"/>
          </w:rPr>
          <w:t>https://www.ncsc.gov.uk/guidance/implementing-cloud-security-principles</w:t>
        </w:r>
      </w:hyperlink>
    </w:p>
    <w:p w:rsidR="00DA14A2" w:rsidRDefault="00DA14A2"/>
    <w:p w:rsidR="00DA14A2" w:rsidRDefault="004A11C6">
      <w:pPr>
        <w:spacing w:line="240" w:lineRule="auto"/>
        <w:ind w:firstLine="720"/>
      </w:pPr>
      <w:r>
        <w:rPr>
          <w:rFonts w:eastAsia="Times New Roman"/>
          <w:lang w:eastAsia="en-US"/>
        </w:rPr>
        <w:t>13.6.6</w:t>
      </w:r>
      <w:r>
        <w:rPr>
          <w:rFonts w:eastAsia="Times New Roman"/>
          <w:lang w:eastAsia="en-US"/>
        </w:rPr>
        <w:tab/>
        <w:t>buyer requirements in respect of AI ethical standards</w:t>
      </w:r>
    </w:p>
    <w:p w:rsidR="00DA14A2" w:rsidRDefault="00DA14A2"/>
    <w:p w:rsidR="00DA14A2" w:rsidRDefault="004A11C6">
      <w:r>
        <w:t>13.7</w:t>
      </w:r>
      <w:r>
        <w:tab/>
        <w:t>The Buyer will specify any security requirements for this project in the Order Form.</w:t>
      </w:r>
    </w:p>
    <w:p w:rsidR="00DA14A2" w:rsidRDefault="00DA14A2"/>
    <w:p w:rsidR="00DA14A2" w:rsidRDefault="004A11C6">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rsidR="00DA14A2" w:rsidRDefault="00DA14A2">
      <w:pPr>
        <w:ind w:left="720"/>
      </w:pPr>
    </w:p>
    <w:p w:rsidR="00DA14A2" w:rsidRDefault="004A11C6">
      <w:pPr>
        <w:ind w:left="720" w:hanging="720"/>
      </w:pPr>
      <w:r>
        <w:t>13.9</w:t>
      </w:r>
      <w:r>
        <w:tab/>
        <w:t>The Supplier agrees to use the appropriate organisational, operational and technological processes to keep the Buyer Data safe from unauthorised use or access, loss, destruction, theft or disclosure.</w:t>
      </w:r>
    </w:p>
    <w:p w:rsidR="00DA14A2" w:rsidRDefault="00DA14A2">
      <w:pPr>
        <w:ind w:left="720"/>
      </w:pPr>
    </w:p>
    <w:p w:rsidR="00DA14A2" w:rsidRDefault="004A11C6">
      <w:pPr>
        <w:ind w:left="720" w:hanging="720"/>
      </w:pPr>
      <w:r>
        <w:t>13.10</w:t>
      </w:r>
      <w:r>
        <w:tab/>
        <w:t>The provisions of this clause 13 will apply during the term of this Call-Off Contract and for as long as the Supplier holds the Buyer’s Data.</w:t>
      </w:r>
    </w:p>
    <w:p w:rsidR="00DA14A2" w:rsidRDefault="00DA14A2">
      <w:pPr>
        <w:spacing w:before="240" w:after="240"/>
      </w:pPr>
    </w:p>
    <w:p w:rsidR="00DA14A2" w:rsidRDefault="004A11C6">
      <w:pPr>
        <w:pStyle w:val="Heading3"/>
        <w:rPr>
          <w:color w:val="auto"/>
        </w:rPr>
      </w:pPr>
      <w:r>
        <w:rPr>
          <w:color w:val="auto"/>
        </w:rPr>
        <w:t>14.</w:t>
      </w:r>
      <w:r>
        <w:rPr>
          <w:color w:val="auto"/>
        </w:rPr>
        <w:tab/>
        <w:t>Standards and quality</w:t>
      </w:r>
    </w:p>
    <w:p w:rsidR="00DA14A2" w:rsidRDefault="004A11C6">
      <w:pPr>
        <w:ind w:left="720" w:hanging="720"/>
      </w:pPr>
      <w:r>
        <w:t>14.1</w:t>
      </w:r>
      <w:r>
        <w:tab/>
        <w:t>The Supplier will comply with any standards in this Call-Off Contract, the Order Form and the Framework Agreement.</w:t>
      </w:r>
    </w:p>
    <w:p w:rsidR="00DA14A2" w:rsidRDefault="00DA14A2">
      <w:pPr>
        <w:ind w:firstLine="720"/>
      </w:pPr>
    </w:p>
    <w:p w:rsidR="00DA14A2" w:rsidRDefault="004A11C6">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rsidR="00DA14A2" w:rsidRDefault="00695B46">
      <w:pPr>
        <w:ind w:left="720"/>
      </w:pPr>
      <w:hyperlink r:id="rId19" w:history="1">
        <w:r w:rsidR="004A11C6">
          <w:rPr>
            <w:u w:val="single"/>
          </w:rPr>
          <w:t>https://www.gov.uk/government/publications/technology-code-of-practice/technology-code-of-practice</w:t>
        </w:r>
      </w:hyperlink>
    </w:p>
    <w:p w:rsidR="00DA14A2" w:rsidRDefault="00DA14A2">
      <w:pPr>
        <w:ind w:left="720" w:hanging="720"/>
      </w:pPr>
    </w:p>
    <w:p w:rsidR="00DA14A2" w:rsidRDefault="004A11C6">
      <w:pPr>
        <w:ind w:left="720" w:hanging="720"/>
      </w:pPr>
      <w:r>
        <w:t>14.3</w:t>
      </w:r>
      <w:r>
        <w:tab/>
        <w:t>If requested by the Buyer, the Supplier must, at its own cost, ensure that the G-Cloud Services comply with the requirements in the PSN Code of Practice.</w:t>
      </w:r>
    </w:p>
    <w:p w:rsidR="00DA14A2" w:rsidRDefault="00DA14A2">
      <w:pPr>
        <w:ind w:firstLine="720"/>
      </w:pPr>
    </w:p>
    <w:p w:rsidR="00DA14A2" w:rsidRDefault="004A11C6">
      <w:pPr>
        <w:ind w:left="720" w:hanging="720"/>
      </w:pPr>
      <w:r>
        <w:t>14.4</w:t>
      </w:r>
      <w:r>
        <w:tab/>
        <w:t>If any PSN Services are Subcontracted by the Supplier, the Supplier must ensure that the services have the relevant PSN compliance certification.</w:t>
      </w:r>
    </w:p>
    <w:p w:rsidR="00DA14A2" w:rsidRDefault="00DA14A2">
      <w:pPr>
        <w:ind w:firstLine="720"/>
      </w:pPr>
    </w:p>
    <w:p w:rsidR="00DA14A2" w:rsidRDefault="004A11C6">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DA14A2" w:rsidRDefault="004A11C6">
      <w:r>
        <w:t xml:space="preserve"> </w:t>
      </w:r>
    </w:p>
    <w:p w:rsidR="00DA14A2" w:rsidRDefault="004A11C6">
      <w:pPr>
        <w:pStyle w:val="Heading3"/>
        <w:rPr>
          <w:color w:val="auto"/>
        </w:rPr>
      </w:pPr>
      <w:r>
        <w:rPr>
          <w:color w:val="auto"/>
        </w:rPr>
        <w:t>15.</w:t>
      </w:r>
      <w:r>
        <w:rPr>
          <w:color w:val="auto"/>
        </w:rPr>
        <w:tab/>
        <w:t>Open source</w:t>
      </w:r>
    </w:p>
    <w:p w:rsidR="00DA14A2" w:rsidRDefault="004A11C6">
      <w:pPr>
        <w:ind w:left="720" w:hanging="720"/>
      </w:pPr>
      <w:r>
        <w:t>15.1</w:t>
      </w:r>
      <w:r>
        <w:tab/>
        <w:t>All software created for the Buyer must be suitable for publication as open source, unless otherwise agreed by the Buyer.</w:t>
      </w:r>
    </w:p>
    <w:p w:rsidR="00DA14A2" w:rsidRDefault="00DA14A2">
      <w:pPr>
        <w:ind w:firstLine="720"/>
      </w:pPr>
    </w:p>
    <w:p w:rsidR="00DA14A2" w:rsidRDefault="004A11C6">
      <w:pPr>
        <w:ind w:left="720" w:hanging="720"/>
      </w:pPr>
      <w:r>
        <w:t>15.2</w:t>
      </w:r>
      <w:r>
        <w:tab/>
        <w:t>If software needs to be converted before publication as open source, the Supplier must also provide the converted format unless otherwise agreed by the Buyer.</w:t>
      </w:r>
    </w:p>
    <w:p w:rsidR="00DA14A2" w:rsidRDefault="004A11C6">
      <w:pPr>
        <w:spacing w:before="240" w:after="240"/>
        <w:ind w:left="720"/>
      </w:pPr>
      <w:r>
        <w:t xml:space="preserve"> </w:t>
      </w:r>
    </w:p>
    <w:p w:rsidR="00DA14A2" w:rsidRDefault="004A11C6">
      <w:pPr>
        <w:pStyle w:val="Heading3"/>
        <w:rPr>
          <w:color w:val="auto"/>
        </w:rPr>
      </w:pPr>
      <w:r>
        <w:rPr>
          <w:color w:val="auto"/>
        </w:rPr>
        <w:t>16.</w:t>
      </w:r>
      <w:r>
        <w:rPr>
          <w:color w:val="auto"/>
        </w:rPr>
        <w:tab/>
        <w:t>Security</w:t>
      </w:r>
    </w:p>
    <w:p w:rsidR="00DA14A2" w:rsidRDefault="004A11C6">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rsidR="00DA14A2" w:rsidRDefault="00DA14A2">
      <w:pPr>
        <w:ind w:left="720"/>
      </w:pPr>
    </w:p>
    <w:p w:rsidR="00DA14A2" w:rsidRDefault="004A11C6">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DA14A2" w:rsidRDefault="00DA14A2">
      <w:pPr>
        <w:ind w:left="720"/>
      </w:pPr>
    </w:p>
    <w:p w:rsidR="00DA14A2" w:rsidRDefault="004A11C6">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DA14A2" w:rsidRDefault="00DA14A2">
      <w:pPr>
        <w:ind w:firstLine="720"/>
      </w:pPr>
    </w:p>
    <w:p w:rsidR="00DA14A2" w:rsidRDefault="004A11C6">
      <w:r>
        <w:t>16.4</w:t>
      </w:r>
      <w:r>
        <w:tab/>
        <w:t>Responsibility for costs will be at the:</w:t>
      </w:r>
    </w:p>
    <w:p w:rsidR="00DA14A2" w:rsidRDefault="004A11C6">
      <w:r>
        <w:tab/>
      </w:r>
    </w:p>
    <w:p w:rsidR="00DA14A2" w:rsidRDefault="004A11C6">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DA14A2" w:rsidRDefault="00DA14A2">
      <w:pPr>
        <w:ind w:left="1440"/>
      </w:pPr>
    </w:p>
    <w:p w:rsidR="00DA14A2" w:rsidRDefault="004A11C6">
      <w:pPr>
        <w:ind w:left="1440" w:hanging="720"/>
      </w:pPr>
      <w:r>
        <w:t>16.4.2</w:t>
      </w:r>
      <w:r>
        <w:tab/>
        <w:t>Buyer’s expense if the Malicious Software originates from the Buyer software or the Service Data, while the Service Data was under the Buyer’s control</w:t>
      </w:r>
    </w:p>
    <w:p w:rsidR="00DA14A2" w:rsidRDefault="00DA14A2">
      <w:pPr>
        <w:ind w:left="720" w:firstLine="720"/>
      </w:pPr>
    </w:p>
    <w:p w:rsidR="00DA14A2" w:rsidRDefault="004A11C6">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DA14A2" w:rsidRDefault="00DA14A2">
      <w:pPr>
        <w:ind w:left="720"/>
      </w:pPr>
    </w:p>
    <w:p w:rsidR="00DA14A2" w:rsidRDefault="004A11C6">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rsidR="00DA14A2" w:rsidRDefault="00695B46">
      <w:pPr>
        <w:ind w:left="720"/>
      </w:pPr>
      <w:hyperlink r:id="rId21" w:history="1">
        <w:r w:rsidR="004A11C6">
          <w:rPr>
            <w:u w:val="single"/>
          </w:rPr>
          <w:t>https://www.ncsc.gov.uk/guidance/10-steps-cyber-security</w:t>
        </w:r>
      </w:hyperlink>
    </w:p>
    <w:p w:rsidR="00DA14A2" w:rsidRDefault="00DA14A2">
      <w:pPr>
        <w:ind w:left="720"/>
      </w:pPr>
    </w:p>
    <w:p w:rsidR="00DA14A2" w:rsidRDefault="004A11C6">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DA14A2" w:rsidRDefault="004A11C6">
      <w:r>
        <w:t xml:space="preserve"> </w:t>
      </w:r>
    </w:p>
    <w:p w:rsidR="00DA14A2" w:rsidRDefault="004A11C6">
      <w:pPr>
        <w:pStyle w:val="Heading3"/>
        <w:rPr>
          <w:color w:val="auto"/>
        </w:rPr>
      </w:pPr>
      <w:r>
        <w:rPr>
          <w:color w:val="auto"/>
        </w:rPr>
        <w:t>17.</w:t>
      </w:r>
      <w:r>
        <w:rPr>
          <w:color w:val="auto"/>
        </w:rPr>
        <w:tab/>
        <w:t>Guarantee</w:t>
      </w:r>
    </w:p>
    <w:p w:rsidR="00DA14A2" w:rsidRDefault="004A11C6">
      <w:pPr>
        <w:ind w:left="720" w:hanging="720"/>
      </w:pPr>
      <w:r>
        <w:t>17.1</w:t>
      </w:r>
      <w:r>
        <w:tab/>
        <w:t>If this Call-Off Contract is conditional on receipt of a Guarantee that is acceptable to the Buyer, the Supplier must give the Buyer on or before the Start date:</w:t>
      </w:r>
    </w:p>
    <w:p w:rsidR="00DA14A2" w:rsidRDefault="00DA14A2">
      <w:pPr>
        <w:ind w:firstLine="720"/>
      </w:pPr>
    </w:p>
    <w:p w:rsidR="00DA14A2" w:rsidRDefault="004A11C6">
      <w:pPr>
        <w:ind w:firstLine="720"/>
      </w:pPr>
      <w:r>
        <w:t>17.1.1</w:t>
      </w:r>
      <w:r>
        <w:tab/>
        <w:t>an executed Guarantee in the form at Schedule 5</w:t>
      </w:r>
    </w:p>
    <w:p w:rsidR="00DA14A2" w:rsidRDefault="00DA14A2"/>
    <w:p w:rsidR="00DA14A2" w:rsidRDefault="004A11C6">
      <w:pPr>
        <w:ind w:left="1440" w:hanging="720"/>
      </w:pPr>
      <w:r>
        <w:t>17.1.2</w:t>
      </w:r>
      <w:r>
        <w:tab/>
        <w:t>a certified copy of the passed resolution or board minutes of the guarantor approving the execution of the Guarantee</w:t>
      </w:r>
    </w:p>
    <w:p w:rsidR="00DA14A2" w:rsidRDefault="00DA14A2">
      <w:pPr>
        <w:ind w:left="720" w:firstLine="720"/>
      </w:pPr>
    </w:p>
    <w:p w:rsidR="00DA14A2" w:rsidRDefault="004A11C6">
      <w:pPr>
        <w:pStyle w:val="Heading3"/>
        <w:rPr>
          <w:color w:val="auto"/>
        </w:rPr>
      </w:pPr>
      <w:r>
        <w:rPr>
          <w:color w:val="auto"/>
        </w:rPr>
        <w:t>18.</w:t>
      </w:r>
      <w:r>
        <w:rPr>
          <w:color w:val="auto"/>
        </w:rPr>
        <w:tab/>
        <w:t>Ending the Call-Off Contract</w:t>
      </w:r>
    </w:p>
    <w:p w:rsidR="00DA14A2" w:rsidRDefault="004A11C6">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DA14A2" w:rsidRDefault="00DA14A2">
      <w:pPr>
        <w:ind w:left="720"/>
      </w:pPr>
    </w:p>
    <w:p w:rsidR="00DA14A2" w:rsidRDefault="004A11C6">
      <w:r>
        <w:lastRenderedPageBreak/>
        <w:t>18.2</w:t>
      </w:r>
      <w:r>
        <w:tab/>
        <w:t>The Parties agree that the:</w:t>
      </w:r>
    </w:p>
    <w:p w:rsidR="00DA14A2" w:rsidRDefault="00DA14A2"/>
    <w:p w:rsidR="00DA14A2" w:rsidRDefault="004A11C6">
      <w:pPr>
        <w:ind w:left="1440" w:hanging="720"/>
      </w:pPr>
      <w:r>
        <w:t>18.2.1</w:t>
      </w:r>
      <w:r>
        <w:tab/>
        <w:t>Buyer’s right to End the Call-Off Contract under clause 18.1 is reasonable considering the type of cloud Service being provided</w:t>
      </w:r>
    </w:p>
    <w:p w:rsidR="00DA14A2" w:rsidRDefault="00DA14A2">
      <w:pPr>
        <w:ind w:left="720"/>
      </w:pPr>
    </w:p>
    <w:p w:rsidR="00DA14A2" w:rsidRDefault="004A11C6">
      <w:pPr>
        <w:ind w:left="1440" w:hanging="720"/>
      </w:pPr>
      <w:r>
        <w:t>18.2.2</w:t>
      </w:r>
      <w:r>
        <w:tab/>
        <w:t>Call-Off Contract Charges paid during the notice period is reasonable compensation and covers all the Supplier’s avoidable costs or Losses</w:t>
      </w:r>
    </w:p>
    <w:p w:rsidR="00DA14A2" w:rsidRDefault="00DA14A2">
      <w:pPr>
        <w:ind w:left="720" w:firstLine="720"/>
      </w:pPr>
    </w:p>
    <w:p w:rsidR="00DA14A2" w:rsidRDefault="004A11C6">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DA14A2" w:rsidRDefault="00DA14A2">
      <w:pPr>
        <w:ind w:left="720"/>
      </w:pPr>
    </w:p>
    <w:p w:rsidR="00DA14A2" w:rsidRDefault="004A11C6">
      <w:pPr>
        <w:ind w:left="720" w:hanging="720"/>
      </w:pPr>
      <w:r>
        <w:t>18.4</w:t>
      </w:r>
      <w:r>
        <w:tab/>
        <w:t>The Buyer will have the right to End this Call-Off Contract at any time with immediate effect by written notice to the Supplier if either the Supplier commits:</w:t>
      </w:r>
    </w:p>
    <w:p w:rsidR="00DA14A2" w:rsidRDefault="00DA14A2">
      <w:pPr>
        <w:ind w:firstLine="720"/>
      </w:pPr>
    </w:p>
    <w:p w:rsidR="00DA14A2" w:rsidRDefault="004A11C6">
      <w:pPr>
        <w:ind w:left="1440" w:hanging="720"/>
      </w:pPr>
      <w:r>
        <w:t>18.4.1</w:t>
      </w:r>
      <w:r>
        <w:tab/>
        <w:t>a Supplier Default and if the Supplier Default cannot, in the reasonable opinion of the Buyer, be remedied</w:t>
      </w:r>
    </w:p>
    <w:p w:rsidR="00DA14A2" w:rsidRDefault="00DA14A2">
      <w:pPr>
        <w:ind w:left="720" w:firstLine="720"/>
      </w:pPr>
    </w:p>
    <w:p w:rsidR="00DA14A2" w:rsidRDefault="004A11C6">
      <w:pPr>
        <w:ind w:firstLine="720"/>
      </w:pPr>
      <w:r>
        <w:t>18.4.2</w:t>
      </w:r>
      <w:r>
        <w:tab/>
        <w:t>any fraud</w:t>
      </w:r>
    </w:p>
    <w:p w:rsidR="00DA14A2" w:rsidRDefault="00DA14A2">
      <w:pPr>
        <w:ind w:firstLine="720"/>
      </w:pPr>
    </w:p>
    <w:p w:rsidR="00DA14A2" w:rsidRDefault="004A11C6">
      <w:r>
        <w:t>18.5</w:t>
      </w:r>
      <w:r>
        <w:tab/>
        <w:t>A Party can End this Call-Off Contract at any time with immediate effect by written notice if:</w:t>
      </w:r>
    </w:p>
    <w:p w:rsidR="00DA14A2" w:rsidRDefault="00DA14A2">
      <w:pPr>
        <w:ind w:firstLine="720"/>
      </w:pPr>
    </w:p>
    <w:p w:rsidR="00DA14A2" w:rsidRDefault="004A11C6">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DA14A2" w:rsidRDefault="00DA14A2">
      <w:pPr>
        <w:ind w:left="1440"/>
      </w:pPr>
    </w:p>
    <w:p w:rsidR="00DA14A2" w:rsidRDefault="004A11C6">
      <w:pPr>
        <w:ind w:firstLine="720"/>
      </w:pPr>
      <w:r>
        <w:t>18.5.2</w:t>
      </w:r>
      <w:r>
        <w:tab/>
        <w:t>an Insolvency Event of the other Party happens</w:t>
      </w:r>
    </w:p>
    <w:p w:rsidR="00DA14A2" w:rsidRDefault="00DA14A2">
      <w:pPr>
        <w:ind w:firstLine="720"/>
      </w:pPr>
    </w:p>
    <w:p w:rsidR="00DA14A2" w:rsidRDefault="004A11C6">
      <w:pPr>
        <w:ind w:left="1440" w:hanging="720"/>
      </w:pPr>
      <w:r>
        <w:t>18.5.3</w:t>
      </w:r>
      <w:r>
        <w:tab/>
        <w:t>the other Party ceases or threatens to cease to carry on the whole or any material part of its business</w:t>
      </w:r>
    </w:p>
    <w:p w:rsidR="00DA14A2" w:rsidRDefault="00DA14A2">
      <w:pPr>
        <w:ind w:left="720" w:firstLine="720"/>
      </w:pPr>
    </w:p>
    <w:p w:rsidR="00DA14A2" w:rsidRDefault="004A11C6">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DA14A2" w:rsidRDefault="00DA14A2">
      <w:pPr>
        <w:ind w:left="720"/>
      </w:pPr>
    </w:p>
    <w:p w:rsidR="00DA14A2" w:rsidRDefault="004A11C6">
      <w:pPr>
        <w:ind w:left="720" w:hanging="720"/>
      </w:pPr>
      <w:r>
        <w:t>18.7</w:t>
      </w:r>
      <w:r>
        <w:tab/>
        <w:t>A Party who isn’t relying on a Force Majeure event will have the right to End this Call-Off Contract if clause 23.1 applies.</w:t>
      </w:r>
    </w:p>
    <w:p w:rsidR="00DA14A2" w:rsidRDefault="004A11C6">
      <w:pPr>
        <w:ind w:left="720" w:hanging="720"/>
      </w:pPr>
      <w:r>
        <w:t xml:space="preserve"> </w:t>
      </w:r>
    </w:p>
    <w:p w:rsidR="00DA14A2" w:rsidRDefault="004A11C6">
      <w:pPr>
        <w:pStyle w:val="Heading3"/>
        <w:rPr>
          <w:color w:val="auto"/>
        </w:rPr>
      </w:pPr>
      <w:r>
        <w:rPr>
          <w:color w:val="auto"/>
        </w:rPr>
        <w:t>19.</w:t>
      </w:r>
      <w:r>
        <w:rPr>
          <w:color w:val="auto"/>
        </w:rPr>
        <w:tab/>
        <w:t>Consequences of suspension, ending and expiry</w:t>
      </w:r>
    </w:p>
    <w:p w:rsidR="00DA14A2" w:rsidRDefault="004A11C6">
      <w:pPr>
        <w:ind w:left="720" w:hanging="720"/>
      </w:pPr>
      <w:r>
        <w:t>19.1</w:t>
      </w:r>
      <w:r>
        <w:tab/>
        <w:t>If a Buyer has the right to End a Call-Off Contract, it may elect to suspend this Call-Off Contract or any part of it.</w:t>
      </w:r>
    </w:p>
    <w:p w:rsidR="00DA14A2" w:rsidRDefault="00DA14A2"/>
    <w:p w:rsidR="00DA14A2" w:rsidRDefault="004A11C6">
      <w:pPr>
        <w:ind w:left="720" w:hanging="720"/>
      </w:pPr>
      <w:r>
        <w:t>19.2</w:t>
      </w:r>
      <w:r>
        <w:tab/>
        <w:t>Even if a notice has been served to End this Call-Off Contract or any part of it, the Supplier must continue to provide the Ordered G-Cloud Services until the dates set out in the notice.</w:t>
      </w:r>
    </w:p>
    <w:p w:rsidR="00DA14A2" w:rsidRDefault="00DA14A2">
      <w:pPr>
        <w:ind w:left="720" w:hanging="720"/>
      </w:pPr>
    </w:p>
    <w:p w:rsidR="00DA14A2" w:rsidRDefault="004A11C6">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rsidR="00DA14A2" w:rsidRDefault="00DA14A2"/>
    <w:p w:rsidR="00DA14A2" w:rsidRDefault="004A11C6">
      <w:r>
        <w:t>19.4</w:t>
      </w:r>
      <w:r>
        <w:tab/>
        <w:t>Ending or expiry of this Call-Off Contract will not affect:</w:t>
      </w:r>
    </w:p>
    <w:p w:rsidR="00DA14A2" w:rsidRDefault="00DA14A2"/>
    <w:p w:rsidR="00DA14A2" w:rsidRDefault="004A11C6">
      <w:pPr>
        <w:ind w:firstLine="720"/>
      </w:pPr>
      <w:r>
        <w:t>19.4.1</w:t>
      </w:r>
      <w:r>
        <w:tab/>
        <w:t>any rights, remedies or obligations accrued before its Ending or expiration</w:t>
      </w:r>
    </w:p>
    <w:p w:rsidR="00DA14A2" w:rsidRDefault="00DA14A2"/>
    <w:p w:rsidR="00DA14A2" w:rsidRDefault="004A11C6">
      <w:pPr>
        <w:ind w:left="1440" w:hanging="720"/>
      </w:pPr>
      <w:r>
        <w:t>19.4.2</w:t>
      </w:r>
      <w:r>
        <w:tab/>
        <w:t>the right of either Party to recover any amount outstanding at the time of Ending or expiry</w:t>
      </w:r>
    </w:p>
    <w:p w:rsidR="00DA14A2" w:rsidRDefault="00DA14A2"/>
    <w:p w:rsidR="00DA14A2" w:rsidRDefault="004A11C6">
      <w:pPr>
        <w:ind w:left="1440" w:hanging="720"/>
      </w:pPr>
      <w:r>
        <w:t>19.4.3</w:t>
      </w:r>
      <w:r>
        <w:tab/>
        <w:t>the continuing rights, remedies or obligations of the Buyer or the Supplier under clauses</w:t>
      </w:r>
    </w:p>
    <w:p w:rsidR="00DA14A2" w:rsidRDefault="004A11C6">
      <w:pPr>
        <w:pStyle w:val="ListParagraph"/>
        <w:numPr>
          <w:ilvl w:val="1"/>
          <w:numId w:val="14"/>
        </w:numPr>
      </w:pPr>
      <w:r>
        <w:t>7 (Payment, VAT and Call-Off Contract charges)</w:t>
      </w:r>
    </w:p>
    <w:p w:rsidR="00DA14A2" w:rsidRDefault="004A11C6">
      <w:pPr>
        <w:pStyle w:val="ListParagraph"/>
        <w:numPr>
          <w:ilvl w:val="1"/>
          <w:numId w:val="14"/>
        </w:numPr>
      </w:pPr>
      <w:r>
        <w:t>8 (Recovery of sums due and right of set-off)</w:t>
      </w:r>
    </w:p>
    <w:p w:rsidR="00DA14A2" w:rsidRDefault="004A11C6">
      <w:pPr>
        <w:pStyle w:val="ListParagraph"/>
        <w:numPr>
          <w:ilvl w:val="1"/>
          <w:numId w:val="14"/>
        </w:numPr>
      </w:pPr>
      <w:r>
        <w:t>9 (Insurance)</w:t>
      </w:r>
    </w:p>
    <w:p w:rsidR="00DA14A2" w:rsidRDefault="004A11C6">
      <w:pPr>
        <w:pStyle w:val="ListParagraph"/>
        <w:numPr>
          <w:ilvl w:val="1"/>
          <w:numId w:val="14"/>
        </w:numPr>
      </w:pPr>
      <w:r>
        <w:t>10 (Confidentiality)</w:t>
      </w:r>
    </w:p>
    <w:p w:rsidR="00DA14A2" w:rsidRDefault="004A11C6">
      <w:pPr>
        <w:pStyle w:val="ListParagraph"/>
        <w:numPr>
          <w:ilvl w:val="1"/>
          <w:numId w:val="14"/>
        </w:numPr>
      </w:pPr>
      <w:r>
        <w:t>11 (Intellectual property rights)</w:t>
      </w:r>
    </w:p>
    <w:p w:rsidR="00DA14A2" w:rsidRDefault="004A11C6">
      <w:pPr>
        <w:pStyle w:val="ListParagraph"/>
        <w:numPr>
          <w:ilvl w:val="1"/>
          <w:numId w:val="14"/>
        </w:numPr>
      </w:pPr>
      <w:r>
        <w:t>12 (Protection of information)</w:t>
      </w:r>
    </w:p>
    <w:p w:rsidR="00DA14A2" w:rsidRDefault="004A11C6">
      <w:pPr>
        <w:pStyle w:val="ListParagraph"/>
        <w:numPr>
          <w:ilvl w:val="1"/>
          <w:numId w:val="14"/>
        </w:numPr>
      </w:pPr>
      <w:r>
        <w:t>13 (Buyer data)</w:t>
      </w:r>
    </w:p>
    <w:p w:rsidR="00DA14A2" w:rsidRDefault="004A11C6">
      <w:pPr>
        <w:pStyle w:val="ListParagraph"/>
        <w:numPr>
          <w:ilvl w:val="1"/>
          <w:numId w:val="14"/>
        </w:numPr>
      </w:pPr>
      <w:r>
        <w:t>19 (Consequences of suspension, ending and expiry)</w:t>
      </w:r>
    </w:p>
    <w:p w:rsidR="00DA14A2" w:rsidRDefault="004A11C6">
      <w:pPr>
        <w:pStyle w:val="ListParagraph"/>
        <w:numPr>
          <w:ilvl w:val="1"/>
          <w:numId w:val="14"/>
        </w:numPr>
      </w:pPr>
      <w:r>
        <w:t>24 (Liability); incorporated Framework Agreement clauses: 4.2 to 4.7 (Liability)</w:t>
      </w:r>
    </w:p>
    <w:p w:rsidR="00DA14A2" w:rsidRDefault="004A11C6">
      <w:pPr>
        <w:pStyle w:val="ListParagraph"/>
        <w:numPr>
          <w:ilvl w:val="1"/>
          <w:numId w:val="14"/>
        </w:numPr>
      </w:pPr>
      <w:r>
        <w:t>8.44 to 8.50 (Conflicts of interest and ethical walls)</w:t>
      </w:r>
    </w:p>
    <w:p w:rsidR="00DA14A2" w:rsidRDefault="004A11C6">
      <w:pPr>
        <w:pStyle w:val="ListParagraph"/>
        <w:numPr>
          <w:ilvl w:val="1"/>
          <w:numId w:val="14"/>
        </w:numPr>
      </w:pPr>
      <w:r>
        <w:t>8.89 to 8.90 (Waiver and cumulative remedies)</w:t>
      </w:r>
    </w:p>
    <w:p w:rsidR="00DA14A2" w:rsidRDefault="00DA14A2">
      <w:pPr>
        <w:ind w:firstLine="720"/>
      </w:pPr>
    </w:p>
    <w:p w:rsidR="00DA14A2" w:rsidRDefault="004A11C6">
      <w:pPr>
        <w:ind w:left="1440" w:hanging="720"/>
      </w:pPr>
      <w:r>
        <w:t>19.4.4</w:t>
      </w:r>
      <w:r>
        <w:tab/>
        <w:t>any other provision of the Framework Agreement or this Call-Off Contract which expressly or by implication is in force even if it Ends or expires</w:t>
      </w:r>
    </w:p>
    <w:p w:rsidR="00DA14A2" w:rsidRDefault="004A11C6">
      <w:r>
        <w:t xml:space="preserve"> </w:t>
      </w:r>
    </w:p>
    <w:p w:rsidR="00DA14A2" w:rsidRDefault="004A11C6">
      <w:r>
        <w:t>19.5</w:t>
      </w:r>
      <w:r>
        <w:tab/>
        <w:t>At the end of the Call-Off Contract Term, the Supplier must promptly:</w:t>
      </w:r>
    </w:p>
    <w:p w:rsidR="00DA14A2" w:rsidRDefault="00DA14A2"/>
    <w:p w:rsidR="00DA14A2" w:rsidRDefault="004A11C6">
      <w:pPr>
        <w:ind w:left="1440" w:hanging="720"/>
      </w:pPr>
      <w:r>
        <w:t>19.5.1</w:t>
      </w:r>
      <w:r>
        <w:tab/>
        <w:t>return all Buyer Data including all copies of Buyer software, code and any other software licensed by the Buyer to the Supplier under it</w:t>
      </w:r>
    </w:p>
    <w:p w:rsidR="00DA14A2" w:rsidRDefault="00DA14A2">
      <w:pPr>
        <w:ind w:firstLine="720"/>
      </w:pPr>
    </w:p>
    <w:p w:rsidR="00DA14A2" w:rsidRDefault="004A11C6">
      <w:pPr>
        <w:ind w:left="1440" w:hanging="720"/>
      </w:pPr>
      <w:r>
        <w:t>19.5.2</w:t>
      </w:r>
      <w:r>
        <w:tab/>
        <w:t>return any materials created by the Supplier under this Call-Off Contract if the IPRs are owned by the Buyer</w:t>
      </w:r>
    </w:p>
    <w:p w:rsidR="00DA14A2" w:rsidRDefault="00DA14A2">
      <w:pPr>
        <w:ind w:firstLine="720"/>
      </w:pPr>
    </w:p>
    <w:p w:rsidR="00DA14A2" w:rsidRDefault="004A11C6">
      <w:pPr>
        <w:ind w:left="1440" w:hanging="720"/>
      </w:pPr>
      <w:r>
        <w:t>19.5.3</w:t>
      </w:r>
      <w:r>
        <w:tab/>
        <w:t>stop using the Buyer Data and, at the direction of the Buyer, provide the Buyer with a complete and uncorrupted version in electronic form in the formats and on media agreed with the Buyer</w:t>
      </w:r>
    </w:p>
    <w:p w:rsidR="00DA14A2" w:rsidRDefault="00DA14A2">
      <w:pPr>
        <w:ind w:firstLine="720"/>
      </w:pPr>
    </w:p>
    <w:p w:rsidR="00DA14A2" w:rsidRDefault="004A11C6">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DA14A2" w:rsidRDefault="00DA14A2">
      <w:pPr>
        <w:ind w:left="720"/>
      </w:pPr>
    </w:p>
    <w:p w:rsidR="00DA14A2" w:rsidRDefault="004A11C6">
      <w:pPr>
        <w:ind w:firstLine="720"/>
      </w:pPr>
      <w:r>
        <w:t>19.5.5</w:t>
      </w:r>
      <w:r>
        <w:tab/>
        <w:t>work with the Buyer on any ongoing work</w:t>
      </w:r>
    </w:p>
    <w:p w:rsidR="00DA14A2" w:rsidRDefault="00DA14A2"/>
    <w:p w:rsidR="00DA14A2" w:rsidRDefault="004A11C6">
      <w:pPr>
        <w:ind w:left="1440" w:hanging="720"/>
      </w:pPr>
      <w:r>
        <w:t>19.5.6</w:t>
      </w:r>
      <w:r>
        <w:tab/>
        <w:t>return any sums prepaid for Services which have not been delivered to the Buyer, within 10 Working Days of the End or Expiry Date</w:t>
      </w:r>
    </w:p>
    <w:p w:rsidR="00DA14A2" w:rsidRDefault="00DA14A2">
      <w:pPr>
        <w:ind w:firstLine="720"/>
      </w:pPr>
    </w:p>
    <w:p w:rsidR="00DA14A2" w:rsidRDefault="00DA14A2"/>
    <w:p w:rsidR="00DA14A2" w:rsidRDefault="004A11C6">
      <w:pPr>
        <w:ind w:left="720" w:hanging="720"/>
      </w:pPr>
      <w:r>
        <w:t>19.6</w:t>
      </w:r>
      <w:r>
        <w:tab/>
        <w:t>Each Party will return all of the other Party’s Confidential Information and confirm this has been done, unless there is a legal requirement to keep it or this Call-Off Contract states otherwise.</w:t>
      </w:r>
    </w:p>
    <w:p w:rsidR="00DA14A2" w:rsidRDefault="00DA14A2">
      <w:pPr>
        <w:ind w:left="720"/>
      </w:pPr>
    </w:p>
    <w:p w:rsidR="00DA14A2" w:rsidRDefault="004A11C6">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DA14A2" w:rsidRDefault="00DA14A2"/>
    <w:p w:rsidR="00DA14A2" w:rsidRDefault="004A11C6">
      <w:pPr>
        <w:pStyle w:val="Heading3"/>
        <w:rPr>
          <w:color w:val="auto"/>
        </w:rPr>
      </w:pPr>
      <w:r>
        <w:rPr>
          <w:color w:val="auto"/>
        </w:rPr>
        <w:t>20.</w:t>
      </w:r>
      <w:r>
        <w:rPr>
          <w:color w:val="auto"/>
        </w:rPr>
        <w:tab/>
        <w:t>Notices</w:t>
      </w:r>
    </w:p>
    <w:p w:rsidR="00DA14A2" w:rsidRDefault="004A11C6">
      <w:pPr>
        <w:ind w:left="720" w:hanging="720"/>
      </w:pPr>
      <w:r>
        <w:t>20.1</w:t>
      </w:r>
      <w:r>
        <w:tab/>
        <w:t>Any notices sent must be in writing. For the purpose of this clause, an email is accepted as being 'in writing'.</w:t>
      </w:r>
    </w:p>
    <w:p w:rsidR="00DA14A2" w:rsidRDefault="00DA14A2">
      <w:pPr>
        <w:ind w:left="720" w:hanging="720"/>
      </w:pPr>
    </w:p>
    <w:p w:rsidR="00DA14A2" w:rsidRDefault="004A11C6">
      <w:pPr>
        <w:pStyle w:val="ListParagraph"/>
        <w:numPr>
          <w:ilvl w:val="0"/>
          <w:numId w:val="15"/>
        </w:numPr>
        <w:spacing w:after="120" w:line="360" w:lineRule="auto"/>
      </w:pPr>
      <w:r>
        <w:t>Manner of delivery: email</w:t>
      </w:r>
    </w:p>
    <w:p w:rsidR="00DA14A2" w:rsidRDefault="004A11C6">
      <w:pPr>
        <w:pStyle w:val="ListParagraph"/>
        <w:numPr>
          <w:ilvl w:val="0"/>
          <w:numId w:val="15"/>
        </w:numPr>
        <w:spacing w:line="360" w:lineRule="auto"/>
      </w:pPr>
      <w:r>
        <w:t>Deemed time of delivery: 9am on the first Working Day after sending</w:t>
      </w:r>
    </w:p>
    <w:p w:rsidR="00DA14A2" w:rsidRDefault="004A11C6">
      <w:pPr>
        <w:pStyle w:val="ListParagraph"/>
        <w:numPr>
          <w:ilvl w:val="0"/>
          <w:numId w:val="15"/>
        </w:numPr>
      </w:pPr>
      <w:r>
        <w:t>Proof of service: Sent in an emailed letter in PDF format to the correct email address without any error message</w:t>
      </w:r>
    </w:p>
    <w:p w:rsidR="00DA14A2" w:rsidRDefault="00DA14A2"/>
    <w:p w:rsidR="00DA14A2" w:rsidRDefault="004A11C6">
      <w:pPr>
        <w:ind w:left="720" w:hanging="720"/>
      </w:pPr>
      <w:r>
        <w:t>20.2</w:t>
      </w:r>
      <w:r>
        <w:tab/>
        <w:t>This clause does not apply to any legal action or other method of dispute resolution which should be sent to the addresses in the Order Form (other than a dispute notice under this Call-Off Contract).</w:t>
      </w:r>
    </w:p>
    <w:p w:rsidR="00DA14A2" w:rsidRDefault="00DA14A2">
      <w:pPr>
        <w:spacing w:before="240" w:after="240"/>
        <w:ind w:left="720"/>
      </w:pPr>
    </w:p>
    <w:p w:rsidR="00DA14A2" w:rsidRDefault="004A11C6">
      <w:pPr>
        <w:pStyle w:val="Heading3"/>
        <w:rPr>
          <w:color w:val="auto"/>
        </w:rPr>
      </w:pPr>
      <w:r>
        <w:rPr>
          <w:color w:val="auto"/>
        </w:rPr>
        <w:t>21.</w:t>
      </w:r>
      <w:r>
        <w:rPr>
          <w:color w:val="auto"/>
        </w:rPr>
        <w:tab/>
        <w:t>Exit plan</w:t>
      </w:r>
    </w:p>
    <w:p w:rsidR="00DA14A2" w:rsidRDefault="004A11C6">
      <w:pPr>
        <w:ind w:left="720" w:hanging="720"/>
      </w:pPr>
      <w:r>
        <w:t>21.1</w:t>
      </w:r>
      <w:r>
        <w:tab/>
        <w:t>The Supplier must provide an exit plan in its Application which ensures continuity of service and the Supplier will follow it.</w:t>
      </w:r>
    </w:p>
    <w:p w:rsidR="00DA14A2" w:rsidRDefault="00DA14A2">
      <w:pPr>
        <w:ind w:firstLine="720"/>
      </w:pPr>
    </w:p>
    <w:p w:rsidR="00DA14A2" w:rsidRDefault="004A11C6">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DA14A2" w:rsidRDefault="00DA14A2">
      <w:pPr>
        <w:ind w:left="720"/>
      </w:pPr>
    </w:p>
    <w:p w:rsidR="00DA14A2" w:rsidRDefault="004A11C6">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DA14A2" w:rsidRDefault="00DA14A2">
      <w:pPr>
        <w:ind w:left="720"/>
      </w:pPr>
    </w:p>
    <w:p w:rsidR="00DA14A2" w:rsidRDefault="004A11C6">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DA14A2" w:rsidRDefault="00DA14A2">
      <w:pPr>
        <w:ind w:left="720"/>
      </w:pPr>
    </w:p>
    <w:p w:rsidR="00DA14A2" w:rsidRDefault="004A11C6">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DA14A2" w:rsidRDefault="00DA14A2">
      <w:pPr>
        <w:ind w:left="720"/>
      </w:pPr>
    </w:p>
    <w:p w:rsidR="00DA14A2" w:rsidRDefault="004A11C6">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rsidR="00DA14A2" w:rsidRDefault="00DA14A2">
      <w:pPr>
        <w:ind w:left="720"/>
      </w:pPr>
    </w:p>
    <w:p w:rsidR="00DA14A2" w:rsidRDefault="004A11C6">
      <w:pPr>
        <w:ind w:left="1440" w:hanging="720"/>
      </w:pPr>
      <w:r>
        <w:t>21.6.1</w:t>
      </w:r>
      <w:r>
        <w:tab/>
        <w:t>the Buyer will be able to transfer the Services to a replacement supplier before the expiry or Ending of the extension period on terms that are commercially reasonable and acceptable to the Buyer</w:t>
      </w:r>
    </w:p>
    <w:p w:rsidR="00DA14A2" w:rsidRDefault="00DA14A2"/>
    <w:p w:rsidR="00DA14A2" w:rsidRDefault="004A11C6">
      <w:pPr>
        <w:ind w:firstLine="720"/>
      </w:pPr>
      <w:r>
        <w:t>21.6.2</w:t>
      </w:r>
      <w:r>
        <w:tab/>
        <w:t>there will be no adverse impact on service continuity</w:t>
      </w:r>
    </w:p>
    <w:p w:rsidR="00DA14A2" w:rsidRDefault="00DA14A2">
      <w:pPr>
        <w:ind w:firstLine="720"/>
      </w:pPr>
    </w:p>
    <w:p w:rsidR="00DA14A2" w:rsidRDefault="004A11C6">
      <w:pPr>
        <w:ind w:firstLine="720"/>
      </w:pPr>
      <w:r>
        <w:t>21.6.3</w:t>
      </w:r>
      <w:r>
        <w:tab/>
        <w:t>there is no vendor lock-in to the Supplier’s Service at exit</w:t>
      </w:r>
    </w:p>
    <w:p w:rsidR="00DA14A2" w:rsidRDefault="00DA14A2"/>
    <w:p w:rsidR="00DA14A2" w:rsidRDefault="004A11C6">
      <w:pPr>
        <w:ind w:firstLine="720"/>
      </w:pPr>
      <w:r>
        <w:t>21.6.4</w:t>
      </w:r>
      <w:r>
        <w:tab/>
        <w:t>it enables the Buyer to meet its obligations under the Technology Code Of Practice</w:t>
      </w:r>
    </w:p>
    <w:p w:rsidR="00DA14A2" w:rsidRDefault="00DA14A2">
      <w:pPr>
        <w:ind w:left="720" w:firstLine="720"/>
      </w:pPr>
    </w:p>
    <w:p w:rsidR="00DA14A2" w:rsidRDefault="004A11C6">
      <w:pPr>
        <w:ind w:left="720" w:hanging="720"/>
      </w:pPr>
      <w:r>
        <w:t>21.7</w:t>
      </w:r>
      <w:r>
        <w:tab/>
        <w:t>If approval is obtained by the Buyer to extend the Term, then the Supplier will comply with its obligations in the additional exit plan.</w:t>
      </w:r>
    </w:p>
    <w:p w:rsidR="00DA14A2" w:rsidRDefault="00DA14A2">
      <w:pPr>
        <w:ind w:firstLine="720"/>
      </w:pPr>
    </w:p>
    <w:p w:rsidR="00DA14A2" w:rsidRDefault="004A11C6">
      <w:pPr>
        <w:ind w:left="720" w:hanging="720"/>
      </w:pPr>
      <w:r>
        <w:t>21.8</w:t>
      </w:r>
      <w:r>
        <w:tab/>
        <w:t>The additional exit plan must set out full details of timescales, activities and roles and responsibilities of the Parties for:</w:t>
      </w:r>
    </w:p>
    <w:p w:rsidR="00DA14A2" w:rsidRDefault="00DA14A2">
      <w:pPr>
        <w:ind w:firstLine="720"/>
      </w:pPr>
    </w:p>
    <w:p w:rsidR="00DA14A2" w:rsidRDefault="004A11C6">
      <w:pPr>
        <w:ind w:left="1440" w:hanging="720"/>
      </w:pPr>
      <w:r>
        <w:t>21.8.1</w:t>
      </w:r>
      <w:r>
        <w:tab/>
        <w:t>the transfer to the Buyer of any technical information, instructions, manuals and code reasonably required by the Buyer to enable a smooth migration from the Supplier</w:t>
      </w:r>
    </w:p>
    <w:p w:rsidR="00DA14A2" w:rsidRDefault="00DA14A2">
      <w:pPr>
        <w:ind w:left="1440"/>
      </w:pPr>
    </w:p>
    <w:p w:rsidR="00DA14A2" w:rsidRDefault="004A11C6">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DA14A2" w:rsidRDefault="00DA14A2">
      <w:pPr>
        <w:ind w:left="1440"/>
      </w:pPr>
    </w:p>
    <w:p w:rsidR="00DA14A2" w:rsidRDefault="004A11C6">
      <w:pPr>
        <w:ind w:left="1440" w:hanging="720"/>
      </w:pPr>
      <w:r>
        <w:t>21.8.3</w:t>
      </w:r>
      <w:r>
        <w:tab/>
        <w:t>the transfer of Project Specific IPR items and other Buyer customisations, configurations and databases to the Buyer or a replacement supplier</w:t>
      </w:r>
    </w:p>
    <w:p w:rsidR="00DA14A2" w:rsidRDefault="00DA14A2">
      <w:pPr>
        <w:ind w:left="720" w:firstLine="720"/>
      </w:pPr>
    </w:p>
    <w:p w:rsidR="00DA14A2" w:rsidRDefault="004A11C6">
      <w:pPr>
        <w:ind w:firstLine="720"/>
      </w:pPr>
      <w:r>
        <w:t>21.8.4</w:t>
      </w:r>
      <w:r>
        <w:tab/>
        <w:t>the testing and assurance strategy for exported Buyer Data</w:t>
      </w:r>
    </w:p>
    <w:p w:rsidR="00DA14A2" w:rsidRDefault="00DA14A2">
      <w:pPr>
        <w:ind w:firstLine="720"/>
      </w:pPr>
    </w:p>
    <w:p w:rsidR="00DA14A2" w:rsidRDefault="004A11C6">
      <w:pPr>
        <w:ind w:firstLine="720"/>
      </w:pPr>
      <w:r>
        <w:t>21.8.5</w:t>
      </w:r>
      <w:r>
        <w:tab/>
        <w:t>if relevant, TUPE-related activity to comply with the TUPE regulations</w:t>
      </w:r>
    </w:p>
    <w:p w:rsidR="00DA14A2" w:rsidRDefault="00DA14A2">
      <w:pPr>
        <w:ind w:firstLine="720"/>
      </w:pPr>
    </w:p>
    <w:p w:rsidR="00DA14A2" w:rsidRDefault="004A11C6">
      <w:pPr>
        <w:ind w:left="1440" w:hanging="720"/>
      </w:pPr>
      <w:r>
        <w:t>21.8.6</w:t>
      </w:r>
      <w:r>
        <w:tab/>
        <w:t>any other activities and information which is reasonably required to ensure continuity of Service during the exit period and an orderly transition</w:t>
      </w:r>
    </w:p>
    <w:p w:rsidR="00DA14A2" w:rsidRDefault="00DA14A2"/>
    <w:p w:rsidR="00DA14A2" w:rsidRDefault="004A11C6">
      <w:pPr>
        <w:pStyle w:val="Heading3"/>
        <w:rPr>
          <w:color w:val="auto"/>
        </w:rPr>
      </w:pPr>
      <w:r>
        <w:rPr>
          <w:color w:val="auto"/>
        </w:rPr>
        <w:t>22.</w:t>
      </w:r>
      <w:r>
        <w:rPr>
          <w:color w:val="auto"/>
        </w:rPr>
        <w:tab/>
        <w:t>Handover to replacement supplier</w:t>
      </w:r>
    </w:p>
    <w:p w:rsidR="00DA14A2" w:rsidRDefault="004A11C6">
      <w:pPr>
        <w:ind w:left="720" w:hanging="720"/>
      </w:pPr>
      <w:r>
        <w:t>22.1</w:t>
      </w:r>
      <w:r>
        <w:tab/>
        <w:t>At least 10 Working Days before the Expiry Date or End Date, the Supplier must provide any:</w:t>
      </w:r>
    </w:p>
    <w:p w:rsidR="00DA14A2" w:rsidRDefault="00DA14A2">
      <w:pPr>
        <w:ind w:firstLine="720"/>
      </w:pPr>
    </w:p>
    <w:p w:rsidR="00DA14A2" w:rsidRDefault="004A11C6">
      <w:pPr>
        <w:ind w:left="1440" w:hanging="720"/>
      </w:pPr>
      <w:r>
        <w:t>22.1.1</w:t>
      </w:r>
      <w:r>
        <w:tab/>
        <w:t>data (including Buyer Data), Buyer Personal Data and Buyer Confidential Information in the Supplier’s possession, power or control</w:t>
      </w:r>
    </w:p>
    <w:p w:rsidR="00DA14A2" w:rsidRDefault="00DA14A2">
      <w:pPr>
        <w:ind w:left="720" w:firstLine="720"/>
      </w:pPr>
    </w:p>
    <w:p w:rsidR="00DA14A2" w:rsidRDefault="004A11C6">
      <w:pPr>
        <w:ind w:firstLine="720"/>
      </w:pPr>
      <w:r>
        <w:t>22.1.2</w:t>
      </w:r>
      <w:r>
        <w:tab/>
        <w:t>other information reasonably requested by the Buyer</w:t>
      </w:r>
    </w:p>
    <w:p w:rsidR="00DA14A2" w:rsidRDefault="00DA14A2">
      <w:pPr>
        <w:ind w:firstLine="720"/>
      </w:pPr>
    </w:p>
    <w:p w:rsidR="00DA14A2" w:rsidRDefault="004A11C6">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rsidR="00DA14A2" w:rsidRDefault="00DA14A2">
      <w:pPr>
        <w:ind w:left="720"/>
      </w:pPr>
    </w:p>
    <w:p w:rsidR="00DA14A2" w:rsidRDefault="004A11C6">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DA14A2" w:rsidRDefault="00DA14A2">
      <w:pPr>
        <w:ind w:left="720"/>
      </w:pPr>
    </w:p>
    <w:p w:rsidR="00DA14A2" w:rsidRDefault="004A11C6">
      <w:pPr>
        <w:pStyle w:val="Heading3"/>
        <w:rPr>
          <w:color w:val="auto"/>
        </w:rPr>
      </w:pPr>
      <w:r>
        <w:rPr>
          <w:color w:val="auto"/>
        </w:rPr>
        <w:t>23.</w:t>
      </w:r>
      <w:r>
        <w:rPr>
          <w:color w:val="auto"/>
        </w:rPr>
        <w:tab/>
        <w:t>Force majeure</w:t>
      </w:r>
    </w:p>
    <w:p w:rsidR="00DA14A2" w:rsidRDefault="004A11C6">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DA14A2" w:rsidRDefault="00DA14A2">
      <w:pPr>
        <w:ind w:left="720" w:hanging="720"/>
      </w:pPr>
    </w:p>
    <w:p w:rsidR="00DA14A2" w:rsidRDefault="004A11C6">
      <w:pPr>
        <w:pStyle w:val="Heading3"/>
        <w:rPr>
          <w:color w:val="auto"/>
        </w:rPr>
      </w:pPr>
      <w:r>
        <w:rPr>
          <w:color w:val="auto"/>
        </w:rPr>
        <w:t>24.</w:t>
      </w:r>
      <w:r>
        <w:rPr>
          <w:color w:val="auto"/>
        </w:rPr>
        <w:tab/>
        <w:t>Liability</w:t>
      </w:r>
    </w:p>
    <w:p w:rsidR="00DA14A2" w:rsidRDefault="004A11C6">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DA14A2" w:rsidRDefault="00DA14A2">
      <w:pPr>
        <w:ind w:left="720"/>
      </w:pPr>
    </w:p>
    <w:p w:rsidR="00DA14A2" w:rsidRDefault="004A11C6">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DA14A2" w:rsidRDefault="00DA14A2">
      <w:pPr>
        <w:ind w:left="1440"/>
      </w:pPr>
    </w:p>
    <w:p w:rsidR="00DA14A2" w:rsidRDefault="004A11C6">
      <w:pPr>
        <w:ind w:left="1440" w:hanging="720"/>
      </w:pPr>
      <w:r>
        <w:t>24.1.2</w:t>
      </w:r>
      <w:r>
        <w:tab/>
        <w:t>Buyer Data: for all Defaults by the Supplier resulting in direct loss, destruction, corruption, degradation or damage to any Buyer Data, will not exceed the amount in the Order Form</w:t>
      </w:r>
    </w:p>
    <w:p w:rsidR="00DA14A2" w:rsidRDefault="00DA14A2">
      <w:pPr>
        <w:ind w:left="1440"/>
      </w:pPr>
    </w:p>
    <w:p w:rsidR="00DA14A2" w:rsidRDefault="004A11C6">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DA14A2" w:rsidRDefault="00DA14A2">
      <w:pPr>
        <w:spacing w:before="240" w:after="240"/>
      </w:pPr>
    </w:p>
    <w:p w:rsidR="00DA14A2" w:rsidRDefault="004A11C6">
      <w:pPr>
        <w:pStyle w:val="Heading3"/>
        <w:rPr>
          <w:color w:val="auto"/>
        </w:rPr>
      </w:pPr>
      <w:r>
        <w:rPr>
          <w:color w:val="auto"/>
        </w:rPr>
        <w:t>25.</w:t>
      </w:r>
      <w:r>
        <w:rPr>
          <w:color w:val="auto"/>
        </w:rPr>
        <w:tab/>
        <w:t>Premises</w:t>
      </w:r>
    </w:p>
    <w:p w:rsidR="00DA14A2" w:rsidRDefault="004A11C6">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DA14A2" w:rsidRDefault="00DA14A2">
      <w:pPr>
        <w:ind w:left="720"/>
      </w:pPr>
    </w:p>
    <w:p w:rsidR="00DA14A2" w:rsidRDefault="004A11C6">
      <w:pPr>
        <w:ind w:left="720" w:hanging="720"/>
      </w:pPr>
      <w:r>
        <w:t>25.2</w:t>
      </w:r>
      <w:r>
        <w:tab/>
        <w:t>The Supplier will use the Buyer’s premises solely for the performance of its obligations under this Call-Off Contract.</w:t>
      </w:r>
    </w:p>
    <w:p w:rsidR="00DA14A2" w:rsidRDefault="00DA14A2">
      <w:pPr>
        <w:ind w:firstLine="720"/>
      </w:pPr>
    </w:p>
    <w:p w:rsidR="00DA14A2" w:rsidRDefault="004A11C6">
      <w:r>
        <w:t>25.3</w:t>
      </w:r>
      <w:r>
        <w:tab/>
        <w:t>The Supplier will vacate the Buyer’s premises when the Call-Off Contract Ends or expires.</w:t>
      </w:r>
    </w:p>
    <w:p w:rsidR="00DA14A2" w:rsidRDefault="00DA14A2">
      <w:pPr>
        <w:ind w:firstLine="720"/>
      </w:pPr>
    </w:p>
    <w:p w:rsidR="00DA14A2" w:rsidRDefault="004A11C6">
      <w:r>
        <w:t>25.4</w:t>
      </w:r>
      <w:r>
        <w:tab/>
        <w:t>This clause does not create a tenancy or exclusive right of occupation.</w:t>
      </w:r>
    </w:p>
    <w:p w:rsidR="00DA14A2" w:rsidRDefault="00DA14A2"/>
    <w:p w:rsidR="00DA14A2" w:rsidRDefault="004A11C6">
      <w:r>
        <w:t>25.5</w:t>
      </w:r>
      <w:r>
        <w:tab/>
        <w:t>While on the Buyer’s premises, the Supplier will:</w:t>
      </w:r>
    </w:p>
    <w:p w:rsidR="00DA14A2" w:rsidRDefault="00DA14A2"/>
    <w:p w:rsidR="00DA14A2" w:rsidRDefault="004A11C6">
      <w:pPr>
        <w:ind w:left="1440" w:hanging="720"/>
      </w:pPr>
      <w:r>
        <w:t>25.5.1</w:t>
      </w:r>
      <w:r>
        <w:tab/>
        <w:t>comply with any security requirements at the premises and not do anything to weaken the security of the premises</w:t>
      </w:r>
    </w:p>
    <w:p w:rsidR="00DA14A2" w:rsidRDefault="00DA14A2">
      <w:pPr>
        <w:ind w:left="720"/>
      </w:pPr>
    </w:p>
    <w:p w:rsidR="00DA14A2" w:rsidRDefault="004A11C6">
      <w:pPr>
        <w:ind w:firstLine="720"/>
      </w:pPr>
      <w:r>
        <w:t>25.5.2</w:t>
      </w:r>
      <w:r>
        <w:tab/>
        <w:t>comply with Buyer requirements for the conduct of personnel</w:t>
      </w:r>
    </w:p>
    <w:p w:rsidR="00DA14A2" w:rsidRDefault="00DA14A2">
      <w:pPr>
        <w:ind w:firstLine="720"/>
      </w:pPr>
    </w:p>
    <w:p w:rsidR="00DA14A2" w:rsidRDefault="004A11C6">
      <w:pPr>
        <w:ind w:firstLine="720"/>
      </w:pPr>
      <w:r>
        <w:t>25.5.3</w:t>
      </w:r>
      <w:r>
        <w:tab/>
        <w:t>comply with any health and safety measures implemented by the Buyer</w:t>
      </w:r>
    </w:p>
    <w:p w:rsidR="00DA14A2" w:rsidRDefault="00DA14A2">
      <w:pPr>
        <w:ind w:firstLine="720"/>
      </w:pPr>
    </w:p>
    <w:p w:rsidR="00DA14A2" w:rsidRDefault="004A11C6">
      <w:pPr>
        <w:ind w:left="1440" w:hanging="720"/>
      </w:pPr>
      <w:r>
        <w:t>25.5.4</w:t>
      </w:r>
      <w:r>
        <w:tab/>
        <w:t>immediately notify the Buyer of any incident on the premises that causes any damage to Property which could cause personal injury</w:t>
      </w:r>
    </w:p>
    <w:p w:rsidR="00DA14A2" w:rsidRDefault="00DA14A2">
      <w:pPr>
        <w:ind w:left="720" w:firstLine="720"/>
      </w:pPr>
    </w:p>
    <w:p w:rsidR="00DA14A2" w:rsidRDefault="004A11C6">
      <w:pPr>
        <w:ind w:left="720" w:hanging="720"/>
      </w:pPr>
      <w:r>
        <w:t>25.6</w:t>
      </w:r>
      <w:r>
        <w:tab/>
        <w:t>The Supplier will ensure that its health and safety policy statement (as required by the Health and Safety at Work etc Act 1974) is made available to the Buyer on request.</w:t>
      </w:r>
    </w:p>
    <w:p w:rsidR="00DA14A2" w:rsidRDefault="00DA14A2">
      <w:pPr>
        <w:ind w:left="720" w:hanging="720"/>
      </w:pPr>
    </w:p>
    <w:p w:rsidR="00DA14A2" w:rsidRDefault="004A11C6">
      <w:pPr>
        <w:pStyle w:val="Heading3"/>
        <w:rPr>
          <w:color w:val="auto"/>
        </w:rPr>
      </w:pPr>
      <w:r>
        <w:rPr>
          <w:color w:val="auto"/>
        </w:rPr>
        <w:t>26.</w:t>
      </w:r>
      <w:r>
        <w:rPr>
          <w:color w:val="auto"/>
        </w:rPr>
        <w:tab/>
        <w:t>Equipment</w:t>
      </w:r>
    </w:p>
    <w:p w:rsidR="00DA14A2" w:rsidRDefault="004A11C6">
      <w:pPr>
        <w:spacing w:before="240" w:after="240"/>
      </w:pPr>
      <w:r>
        <w:t>26.1</w:t>
      </w:r>
      <w:r>
        <w:tab/>
        <w:t>The Supplier is responsible for providing any Equipment which the Supplier requires to provide the Services.</w:t>
      </w:r>
    </w:p>
    <w:p w:rsidR="00DA14A2" w:rsidRDefault="00DA14A2">
      <w:pPr>
        <w:ind w:firstLine="720"/>
      </w:pPr>
    </w:p>
    <w:p w:rsidR="00DA14A2" w:rsidRDefault="004A11C6">
      <w:pPr>
        <w:ind w:left="720" w:hanging="720"/>
      </w:pPr>
      <w:r>
        <w:t>26.2</w:t>
      </w:r>
      <w:r>
        <w:tab/>
        <w:t>Any Equipment brought onto the premises will be at the Supplier's own risk and the Buyer will have no liability for any loss of, or damage to, any Equipment.</w:t>
      </w:r>
    </w:p>
    <w:p w:rsidR="00DA14A2" w:rsidRDefault="00DA14A2">
      <w:pPr>
        <w:ind w:firstLine="720"/>
      </w:pPr>
    </w:p>
    <w:p w:rsidR="00DA14A2" w:rsidRDefault="004A11C6">
      <w:pPr>
        <w:ind w:left="720" w:hanging="720"/>
      </w:pPr>
      <w:r>
        <w:t>26.3</w:t>
      </w:r>
      <w:r>
        <w:tab/>
        <w:t>When the Call-Off Contract Ends or expires, the Supplier will remove the Equipment and any other materials leaving the premises in a safe and clean condition.</w:t>
      </w:r>
    </w:p>
    <w:p w:rsidR="00DA14A2" w:rsidRDefault="00DA14A2">
      <w:pPr>
        <w:ind w:left="720" w:hanging="720"/>
      </w:pPr>
    </w:p>
    <w:p w:rsidR="00DA14A2" w:rsidRDefault="004A11C6">
      <w:pPr>
        <w:pStyle w:val="Heading3"/>
        <w:rPr>
          <w:color w:val="auto"/>
        </w:rPr>
      </w:pPr>
      <w:r>
        <w:rPr>
          <w:color w:val="auto"/>
        </w:rPr>
        <w:t>27.</w:t>
      </w:r>
      <w:r>
        <w:rPr>
          <w:color w:val="auto"/>
        </w:rPr>
        <w:tab/>
        <w:t>The Contracts (Rights of Third Parties) Act 1999</w:t>
      </w:r>
    </w:p>
    <w:p w:rsidR="00DA14A2" w:rsidRDefault="00DA14A2"/>
    <w:p w:rsidR="00DA14A2" w:rsidRDefault="004A11C6">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DA14A2" w:rsidRDefault="00DA14A2">
      <w:pPr>
        <w:ind w:left="720" w:hanging="720"/>
      </w:pPr>
    </w:p>
    <w:p w:rsidR="00DA14A2" w:rsidRDefault="004A11C6">
      <w:pPr>
        <w:pStyle w:val="Heading3"/>
        <w:rPr>
          <w:color w:val="auto"/>
        </w:rPr>
      </w:pPr>
      <w:r>
        <w:rPr>
          <w:color w:val="auto"/>
        </w:rPr>
        <w:t>28.</w:t>
      </w:r>
      <w:r>
        <w:rPr>
          <w:color w:val="auto"/>
        </w:rPr>
        <w:tab/>
        <w:t>Environmental requirements</w:t>
      </w:r>
    </w:p>
    <w:p w:rsidR="00DA14A2" w:rsidRDefault="004A11C6">
      <w:pPr>
        <w:ind w:left="720" w:hanging="720"/>
      </w:pPr>
      <w:r>
        <w:t>28.1</w:t>
      </w:r>
      <w:r>
        <w:tab/>
        <w:t>The Buyer will provide a copy of its environmental policy to the Supplier on request, which the Supplier will comply with.</w:t>
      </w:r>
    </w:p>
    <w:p w:rsidR="00DA14A2" w:rsidRDefault="00DA14A2">
      <w:pPr>
        <w:ind w:firstLine="720"/>
      </w:pPr>
    </w:p>
    <w:p w:rsidR="00DA14A2" w:rsidRDefault="004A11C6">
      <w:pPr>
        <w:ind w:left="720" w:hanging="720"/>
      </w:pPr>
      <w:r>
        <w:t>28.2</w:t>
      </w:r>
      <w:r>
        <w:tab/>
        <w:t>The Supplier must provide reasonable support to enable Buyers to work in an environmentally friendly way, for example by helping them recycle or lower their carbon footprint.</w:t>
      </w:r>
    </w:p>
    <w:p w:rsidR="00DA14A2" w:rsidRDefault="00DA14A2">
      <w:pPr>
        <w:ind w:left="720" w:hanging="720"/>
      </w:pPr>
    </w:p>
    <w:p w:rsidR="00DA14A2" w:rsidRDefault="004A11C6">
      <w:pPr>
        <w:pStyle w:val="Heading3"/>
        <w:rPr>
          <w:color w:val="auto"/>
        </w:rPr>
      </w:pPr>
      <w:r>
        <w:rPr>
          <w:color w:val="auto"/>
        </w:rPr>
        <w:t>29.</w:t>
      </w:r>
      <w:r>
        <w:rPr>
          <w:color w:val="auto"/>
        </w:rPr>
        <w:tab/>
        <w:t>The Employment Regulations (TUPE)</w:t>
      </w:r>
    </w:p>
    <w:p w:rsidR="00DA14A2" w:rsidRDefault="004A11C6">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DA14A2" w:rsidRDefault="00DA14A2">
      <w:pPr>
        <w:ind w:left="720"/>
      </w:pPr>
    </w:p>
    <w:p w:rsidR="00DA14A2" w:rsidRDefault="004A11C6">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DA14A2" w:rsidRDefault="00DA14A2">
      <w:pPr>
        <w:ind w:left="720"/>
      </w:pPr>
    </w:p>
    <w:p w:rsidR="00DA14A2" w:rsidRDefault="004A11C6">
      <w:pPr>
        <w:ind w:firstLine="720"/>
      </w:pPr>
      <w:r>
        <w:t>29.2.1</w:t>
      </w:r>
      <w:r>
        <w:tab/>
      </w:r>
      <w:r>
        <w:tab/>
        <w:t>the activities they perform</w:t>
      </w:r>
    </w:p>
    <w:p w:rsidR="00DA14A2" w:rsidRDefault="004A11C6">
      <w:pPr>
        <w:ind w:firstLine="720"/>
      </w:pPr>
      <w:r>
        <w:t>29.2.2</w:t>
      </w:r>
      <w:r>
        <w:tab/>
      </w:r>
      <w:r>
        <w:tab/>
        <w:t>age</w:t>
      </w:r>
    </w:p>
    <w:p w:rsidR="00DA14A2" w:rsidRDefault="004A11C6">
      <w:pPr>
        <w:ind w:firstLine="720"/>
      </w:pPr>
      <w:r>
        <w:t>29.2.3</w:t>
      </w:r>
      <w:r>
        <w:tab/>
      </w:r>
      <w:r>
        <w:tab/>
        <w:t>start date</w:t>
      </w:r>
    </w:p>
    <w:p w:rsidR="00DA14A2" w:rsidRDefault="004A11C6">
      <w:pPr>
        <w:ind w:firstLine="720"/>
      </w:pPr>
      <w:r>
        <w:t>29.2.4</w:t>
      </w:r>
      <w:r>
        <w:tab/>
      </w:r>
      <w:r>
        <w:tab/>
        <w:t>place of work</w:t>
      </w:r>
    </w:p>
    <w:p w:rsidR="00DA14A2" w:rsidRDefault="004A11C6">
      <w:pPr>
        <w:ind w:firstLine="720"/>
      </w:pPr>
      <w:r>
        <w:t>29.2.5</w:t>
      </w:r>
      <w:r>
        <w:tab/>
      </w:r>
      <w:r>
        <w:tab/>
        <w:t>notice period</w:t>
      </w:r>
    </w:p>
    <w:p w:rsidR="00DA14A2" w:rsidRDefault="004A11C6">
      <w:pPr>
        <w:ind w:firstLine="720"/>
      </w:pPr>
      <w:r>
        <w:t>29.2.6</w:t>
      </w:r>
      <w:r>
        <w:tab/>
      </w:r>
      <w:r>
        <w:tab/>
        <w:t>redundancy payment entitlement</w:t>
      </w:r>
    </w:p>
    <w:p w:rsidR="00DA14A2" w:rsidRDefault="004A11C6">
      <w:pPr>
        <w:ind w:firstLine="720"/>
      </w:pPr>
      <w:r>
        <w:t>29.2.7</w:t>
      </w:r>
      <w:r>
        <w:tab/>
      </w:r>
      <w:r>
        <w:tab/>
        <w:t>salary, benefits and pension entitlements</w:t>
      </w:r>
    </w:p>
    <w:p w:rsidR="00DA14A2" w:rsidRDefault="004A11C6">
      <w:pPr>
        <w:ind w:firstLine="720"/>
      </w:pPr>
      <w:r>
        <w:t>29.2.8</w:t>
      </w:r>
      <w:r>
        <w:tab/>
      </w:r>
      <w:r>
        <w:tab/>
        <w:t>employment status</w:t>
      </w:r>
    </w:p>
    <w:p w:rsidR="00DA14A2" w:rsidRDefault="004A11C6">
      <w:pPr>
        <w:ind w:firstLine="720"/>
      </w:pPr>
      <w:r>
        <w:t>29.2.9</w:t>
      </w:r>
      <w:r>
        <w:tab/>
      </w:r>
      <w:r>
        <w:tab/>
        <w:t>identity of employer</w:t>
      </w:r>
    </w:p>
    <w:p w:rsidR="00DA14A2" w:rsidRDefault="004A11C6">
      <w:pPr>
        <w:ind w:firstLine="720"/>
      </w:pPr>
      <w:r>
        <w:t>29.2.10</w:t>
      </w:r>
      <w:r>
        <w:tab/>
        <w:t>working arrangements</w:t>
      </w:r>
    </w:p>
    <w:p w:rsidR="00DA14A2" w:rsidRDefault="004A11C6">
      <w:pPr>
        <w:ind w:firstLine="720"/>
      </w:pPr>
      <w:r>
        <w:t>29.2.11</w:t>
      </w:r>
      <w:r>
        <w:tab/>
        <w:t>outstanding liabilities</w:t>
      </w:r>
    </w:p>
    <w:p w:rsidR="00DA14A2" w:rsidRDefault="004A11C6">
      <w:pPr>
        <w:ind w:firstLine="720"/>
      </w:pPr>
      <w:r>
        <w:t>29.2.12</w:t>
      </w:r>
      <w:r>
        <w:tab/>
        <w:t>sickness absence</w:t>
      </w:r>
    </w:p>
    <w:p w:rsidR="00DA14A2" w:rsidRDefault="004A11C6">
      <w:pPr>
        <w:ind w:firstLine="720"/>
      </w:pPr>
      <w:r>
        <w:t>29.2.13</w:t>
      </w:r>
      <w:r>
        <w:tab/>
        <w:t>copies of all relevant employment contracts and related documents</w:t>
      </w:r>
    </w:p>
    <w:p w:rsidR="00DA14A2" w:rsidRDefault="004A11C6">
      <w:pPr>
        <w:ind w:firstLine="720"/>
      </w:pPr>
      <w:r>
        <w:t>29.2.14</w:t>
      </w:r>
      <w:r>
        <w:tab/>
        <w:t>all information required under regulation 11 of TUPE or as reasonably</w:t>
      </w:r>
    </w:p>
    <w:p w:rsidR="00DA14A2" w:rsidRDefault="004A11C6">
      <w:pPr>
        <w:ind w:left="1440" w:firstLine="720"/>
      </w:pPr>
      <w:r>
        <w:t>requested by the Buyer</w:t>
      </w:r>
    </w:p>
    <w:p w:rsidR="00DA14A2" w:rsidRDefault="00DA14A2">
      <w:pPr>
        <w:ind w:left="720" w:firstLine="720"/>
      </w:pPr>
    </w:p>
    <w:p w:rsidR="00DA14A2" w:rsidRDefault="004A11C6">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DA14A2" w:rsidRDefault="00DA14A2">
      <w:pPr>
        <w:ind w:left="720"/>
      </w:pPr>
    </w:p>
    <w:p w:rsidR="00DA14A2" w:rsidRDefault="004A11C6">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DA14A2" w:rsidRDefault="00DA14A2">
      <w:pPr>
        <w:ind w:left="720"/>
      </w:pPr>
    </w:p>
    <w:p w:rsidR="00DA14A2" w:rsidRDefault="004A11C6">
      <w:pPr>
        <w:ind w:left="720" w:hanging="720"/>
      </w:pPr>
      <w:r>
        <w:t>29.5</w:t>
      </w:r>
      <w:r>
        <w:tab/>
        <w:t>The Supplier will co-operate with the re-tendering of this Call-Off Contract by allowing the Replacement Supplier to communicate with and meet the affected employees or their representatives.</w:t>
      </w:r>
    </w:p>
    <w:p w:rsidR="00DA14A2" w:rsidRDefault="00DA14A2">
      <w:pPr>
        <w:ind w:left="720"/>
      </w:pPr>
    </w:p>
    <w:p w:rsidR="00DA14A2" w:rsidRDefault="004A11C6">
      <w:pPr>
        <w:ind w:left="720" w:hanging="720"/>
      </w:pPr>
      <w:r>
        <w:t>29.6</w:t>
      </w:r>
      <w:r>
        <w:tab/>
        <w:t>The Supplier will indemnify the Buyer or any Replacement Supplier for all Loss arising from both:</w:t>
      </w:r>
    </w:p>
    <w:p w:rsidR="00DA14A2" w:rsidRDefault="00DA14A2">
      <w:pPr>
        <w:ind w:firstLine="720"/>
      </w:pPr>
    </w:p>
    <w:p w:rsidR="00DA14A2" w:rsidRDefault="004A11C6">
      <w:pPr>
        <w:ind w:firstLine="720"/>
      </w:pPr>
      <w:r>
        <w:t>29.6.1</w:t>
      </w:r>
      <w:r>
        <w:tab/>
        <w:t>its failure to comply with the provisions of this clause</w:t>
      </w:r>
    </w:p>
    <w:p w:rsidR="00DA14A2" w:rsidRDefault="00DA14A2">
      <w:pPr>
        <w:ind w:firstLine="720"/>
      </w:pPr>
    </w:p>
    <w:p w:rsidR="00DA14A2" w:rsidRDefault="004A11C6">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DA14A2" w:rsidRDefault="00DA14A2">
      <w:pPr>
        <w:ind w:left="1440"/>
      </w:pPr>
    </w:p>
    <w:p w:rsidR="00DA14A2" w:rsidRDefault="004A11C6">
      <w:pPr>
        <w:ind w:left="720" w:hanging="720"/>
      </w:pPr>
      <w:r>
        <w:t>29.7</w:t>
      </w:r>
      <w:r>
        <w:tab/>
        <w:t>The provisions of this clause apply during the Term of this Call-Off Contract and indefinitely after it Ends or expires.</w:t>
      </w:r>
    </w:p>
    <w:p w:rsidR="00DA14A2" w:rsidRDefault="00DA14A2">
      <w:pPr>
        <w:ind w:firstLine="720"/>
      </w:pPr>
    </w:p>
    <w:p w:rsidR="00DA14A2" w:rsidRDefault="004A11C6">
      <w:pPr>
        <w:ind w:left="720" w:hanging="720"/>
      </w:pPr>
      <w:r>
        <w:t>29.8</w:t>
      </w:r>
      <w:r>
        <w:tab/>
        <w:t>For these TUPE clauses, the relevant third party will be able to enforce its rights under this clause but their consent will not be required to vary these clauses as the Buyer and Supplier may agree.</w:t>
      </w:r>
    </w:p>
    <w:p w:rsidR="00DA14A2" w:rsidRDefault="00DA14A2">
      <w:pPr>
        <w:ind w:left="720" w:hanging="720"/>
      </w:pPr>
    </w:p>
    <w:p w:rsidR="00DA14A2" w:rsidRDefault="004A11C6">
      <w:pPr>
        <w:pStyle w:val="Heading3"/>
        <w:rPr>
          <w:color w:val="auto"/>
        </w:rPr>
      </w:pPr>
      <w:r>
        <w:rPr>
          <w:color w:val="auto"/>
        </w:rPr>
        <w:t>30.</w:t>
      </w:r>
      <w:r>
        <w:rPr>
          <w:color w:val="auto"/>
        </w:rPr>
        <w:tab/>
        <w:t>Additional G-Cloud services</w:t>
      </w:r>
    </w:p>
    <w:p w:rsidR="00DA14A2" w:rsidRDefault="004A11C6">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DA14A2" w:rsidRDefault="00DA14A2">
      <w:pPr>
        <w:ind w:left="720"/>
      </w:pPr>
    </w:p>
    <w:p w:rsidR="00DA14A2" w:rsidRDefault="004A11C6">
      <w:pPr>
        <w:ind w:left="720" w:hanging="720"/>
      </w:pPr>
      <w:r>
        <w:t>30.2</w:t>
      </w:r>
      <w:r>
        <w:tab/>
        <w:t>If reasonably requested to do so by the Buyer in the Order Form, the Supplier must provide and monitor performance of the Additional Services using an Implementation Plan.</w:t>
      </w:r>
    </w:p>
    <w:p w:rsidR="00DA14A2" w:rsidRDefault="00DA14A2">
      <w:pPr>
        <w:ind w:left="720" w:hanging="720"/>
      </w:pPr>
    </w:p>
    <w:p w:rsidR="00DA14A2" w:rsidRDefault="004A11C6">
      <w:pPr>
        <w:pStyle w:val="Heading3"/>
        <w:rPr>
          <w:color w:val="auto"/>
        </w:rPr>
      </w:pPr>
      <w:r>
        <w:rPr>
          <w:color w:val="auto"/>
        </w:rPr>
        <w:t>31.</w:t>
      </w:r>
      <w:r>
        <w:rPr>
          <w:color w:val="auto"/>
        </w:rPr>
        <w:tab/>
        <w:t>Collaboration</w:t>
      </w:r>
    </w:p>
    <w:p w:rsidR="00DA14A2" w:rsidRDefault="004A11C6">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DA14A2" w:rsidRDefault="00DA14A2">
      <w:pPr>
        <w:ind w:left="720"/>
      </w:pPr>
    </w:p>
    <w:p w:rsidR="00DA14A2" w:rsidRDefault="004A11C6">
      <w:r>
        <w:t>31.2</w:t>
      </w:r>
      <w:r>
        <w:tab/>
        <w:t>In addition to any obligations under the Collaboration Agreement, the Supplier must:</w:t>
      </w:r>
    </w:p>
    <w:p w:rsidR="00DA14A2" w:rsidRDefault="00DA14A2"/>
    <w:p w:rsidR="00DA14A2" w:rsidRDefault="004A11C6">
      <w:pPr>
        <w:ind w:firstLine="720"/>
      </w:pPr>
      <w:r>
        <w:t>31.2.1</w:t>
      </w:r>
      <w:r>
        <w:tab/>
        <w:t>work proactively and in good faith with each of the Buyer’s contractors</w:t>
      </w:r>
    </w:p>
    <w:p w:rsidR="00DA14A2" w:rsidRDefault="00DA14A2">
      <w:pPr>
        <w:ind w:firstLine="720"/>
      </w:pPr>
    </w:p>
    <w:p w:rsidR="00DA14A2" w:rsidRDefault="004A11C6">
      <w:pPr>
        <w:ind w:left="1440" w:hanging="720"/>
      </w:pPr>
      <w:r>
        <w:t>31.2.2</w:t>
      </w:r>
      <w:r>
        <w:tab/>
        <w:t>co-operate and share information with the Buyer’s contractors to enable the efficient operation of the Buyer’s ICT services and G-Cloud Services</w:t>
      </w:r>
    </w:p>
    <w:p w:rsidR="00DA14A2" w:rsidRDefault="00DA14A2">
      <w:pPr>
        <w:ind w:left="1440" w:hanging="720"/>
      </w:pPr>
    </w:p>
    <w:p w:rsidR="00DA14A2" w:rsidRDefault="004A11C6">
      <w:pPr>
        <w:pStyle w:val="Heading3"/>
        <w:rPr>
          <w:color w:val="auto"/>
        </w:rPr>
      </w:pPr>
      <w:r>
        <w:rPr>
          <w:color w:val="auto"/>
        </w:rPr>
        <w:t>32.</w:t>
      </w:r>
      <w:r>
        <w:rPr>
          <w:color w:val="auto"/>
        </w:rPr>
        <w:tab/>
        <w:t>Variation process</w:t>
      </w:r>
    </w:p>
    <w:p w:rsidR="00DA14A2" w:rsidRDefault="004A11C6">
      <w:pPr>
        <w:ind w:left="720" w:hanging="720"/>
      </w:pPr>
      <w:r>
        <w:t>32.1</w:t>
      </w:r>
      <w:r>
        <w:tab/>
        <w:t>The Buyer can request in writing a change to this Call-Off Contract if it isn’t a material change to the Framework Agreement/or this Call-Off Contract. Once implemented, it is called a Variation.</w:t>
      </w:r>
    </w:p>
    <w:p w:rsidR="00DA14A2" w:rsidRDefault="00DA14A2">
      <w:pPr>
        <w:ind w:left="720"/>
      </w:pPr>
    </w:p>
    <w:p w:rsidR="00DA14A2" w:rsidRDefault="004A11C6">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DA14A2" w:rsidRDefault="00DA14A2"/>
    <w:p w:rsidR="00DA14A2" w:rsidRDefault="004A11C6">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rsidR="00DA14A2" w:rsidRDefault="00DA14A2">
      <w:pPr>
        <w:ind w:left="720" w:hanging="720"/>
      </w:pPr>
    </w:p>
    <w:p w:rsidR="00DA14A2" w:rsidRDefault="004A11C6">
      <w:pPr>
        <w:pStyle w:val="Heading3"/>
        <w:rPr>
          <w:color w:val="auto"/>
        </w:rPr>
      </w:pPr>
      <w:r>
        <w:rPr>
          <w:color w:val="auto"/>
        </w:rPr>
        <w:t>33.</w:t>
      </w:r>
      <w:r>
        <w:rPr>
          <w:color w:val="auto"/>
        </w:rPr>
        <w:tab/>
        <w:t>Data Protection Legislation (GDPR)</w:t>
      </w:r>
    </w:p>
    <w:p w:rsidR="00DA14A2" w:rsidRDefault="004A11C6">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DA14A2" w:rsidRDefault="00DA14A2"/>
    <w:p w:rsidR="00DA14A2" w:rsidRDefault="00DA14A2">
      <w:pPr>
        <w:pageBreakBefore/>
        <w:rPr>
          <w:b/>
        </w:rPr>
      </w:pPr>
    </w:p>
    <w:p w:rsidR="00DA14A2" w:rsidRDefault="004A11C6">
      <w:pPr>
        <w:pStyle w:val="Heading2"/>
      </w:pPr>
      <w:bookmarkStart w:id="6" w:name="_Toc33176236"/>
      <w:r>
        <w:t>Schedule 3: Collaboration agreement</w:t>
      </w:r>
      <w:bookmarkEnd w:id="6"/>
    </w:p>
    <w:p w:rsidR="00DA14A2" w:rsidRDefault="00DA14A2"/>
    <w:p w:rsidR="00DA14A2" w:rsidRDefault="004A11C6">
      <w:pPr>
        <w:rPr>
          <w:b/>
        </w:rPr>
      </w:pPr>
      <w:r>
        <w:rPr>
          <w:b/>
        </w:rPr>
        <w:t>Not Applicable</w:t>
      </w:r>
    </w:p>
    <w:p w:rsidR="00DA14A2" w:rsidRDefault="004A11C6">
      <w:pPr>
        <w:pStyle w:val="Heading2"/>
      </w:pPr>
      <w:bookmarkStart w:id="7" w:name="_Toc33176237"/>
      <w:r>
        <w:t>Schedule 4: Alternative clauses</w:t>
      </w:r>
      <w:bookmarkEnd w:id="7"/>
    </w:p>
    <w:p w:rsidR="00DA14A2" w:rsidRDefault="004A11C6">
      <w:pPr>
        <w:pStyle w:val="Heading3"/>
        <w:rPr>
          <w:color w:val="auto"/>
        </w:rPr>
      </w:pPr>
      <w:r>
        <w:rPr>
          <w:color w:val="auto"/>
        </w:rPr>
        <w:t>1.</w:t>
      </w:r>
      <w:r>
        <w:rPr>
          <w:color w:val="auto"/>
        </w:rPr>
        <w:tab/>
        <w:t>Introduction</w:t>
      </w:r>
    </w:p>
    <w:p w:rsidR="00DA14A2" w:rsidRDefault="004A11C6">
      <w:pPr>
        <w:ind w:firstLine="720"/>
      </w:pPr>
      <w:r>
        <w:t>1.1</w:t>
      </w:r>
      <w:r>
        <w:tab/>
        <w:t>This Schedule specifies the alternative clauses that may be requested in the</w:t>
      </w:r>
    </w:p>
    <w:p w:rsidR="00DA14A2" w:rsidRDefault="004A11C6">
      <w:pPr>
        <w:ind w:firstLine="720"/>
      </w:pPr>
      <w:r>
        <w:t>Order Form and, if requested in the Order Form, will apply to this Call-Off Contract.</w:t>
      </w:r>
    </w:p>
    <w:p w:rsidR="00DA14A2" w:rsidRDefault="00DA14A2"/>
    <w:p w:rsidR="00DA14A2" w:rsidRDefault="004A11C6">
      <w:pPr>
        <w:pStyle w:val="Heading3"/>
        <w:rPr>
          <w:color w:val="auto"/>
        </w:rPr>
      </w:pPr>
      <w:r>
        <w:rPr>
          <w:color w:val="auto"/>
        </w:rPr>
        <w:t>2.</w:t>
      </w:r>
      <w:r>
        <w:rPr>
          <w:color w:val="auto"/>
        </w:rPr>
        <w:tab/>
        <w:t>Clauses selected</w:t>
      </w:r>
    </w:p>
    <w:p w:rsidR="00DA14A2" w:rsidRDefault="004A11C6">
      <w:pPr>
        <w:ind w:firstLine="720"/>
      </w:pPr>
      <w:r>
        <w:t>2.1</w:t>
      </w:r>
      <w:r>
        <w:tab/>
        <w:t>The Customer may, in the Order Form, request the following alternative Clauses:</w:t>
      </w:r>
    </w:p>
    <w:p w:rsidR="00DA14A2" w:rsidRDefault="00DA14A2">
      <w:pPr>
        <w:ind w:left="720" w:firstLine="720"/>
      </w:pPr>
    </w:p>
    <w:p w:rsidR="00DA14A2" w:rsidRDefault="004A11C6">
      <w:pPr>
        <w:ind w:left="720" w:firstLine="720"/>
      </w:pPr>
      <w:r>
        <w:t>2.1.1</w:t>
      </w:r>
      <w:r>
        <w:tab/>
        <w:t>Scots Law and Jurisdiction</w:t>
      </w:r>
    </w:p>
    <w:p w:rsidR="00DA14A2" w:rsidRDefault="00DA14A2">
      <w:pPr>
        <w:ind w:firstLine="720"/>
      </w:pPr>
    </w:p>
    <w:p w:rsidR="00DA14A2" w:rsidRDefault="004A11C6">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rsidR="00DA14A2" w:rsidRDefault="00DA14A2"/>
    <w:p w:rsidR="00DA14A2" w:rsidRDefault="004A11C6">
      <w:pPr>
        <w:ind w:left="2160" w:hanging="720"/>
      </w:pPr>
      <w:r>
        <w:t>2.1.3</w:t>
      </w:r>
      <w:r>
        <w:tab/>
        <w:t>Reference to England and Wales in Working Days definition within the Glossary and interpretations section will be replaced with Scotland.</w:t>
      </w:r>
    </w:p>
    <w:p w:rsidR="00DA14A2" w:rsidRDefault="00DA14A2"/>
    <w:p w:rsidR="00DA14A2" w:rsidRDefault="004A11C6">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DA14A2" w:rsidRDefault="00DA14A2"/>
    <w:p w:rsidR="00DA14A2" w:rsidRDefault="004A11C6">
      <w:pPr>
        <w:ind w:left="2160" w:hanging="720"/>
      </w:pPr>
      <w:r>
        <w:t>2.1.5</w:t>
      </w:r>
      <w:r>
        <w:tab/>
        <w:t>Reference to the Supply of Goods and Services Act 1982 will be removed in incorporated Framework Agreement clause 4.2.</w:t>
      </w:r>
    </w:p>
    <w:p w:rsidR="00DA14A2" w:rsidRDefault="00DA14A2"/>
    <w:p w:rsidR="00DA14A2" w:rsidRDefault="004A11C6">
      <w:pPr>
        <w:ind w:left="720" w:firstLine="720"/>
      </w:pPr>
      <w:r>
        <w:t>2.1.6</w:t>
      </w:r>
      <w:r>
        <w:tab/>
        <w:t>References to “tort” will be replaced with “delict” throughout</w:t>
      </w:r>
    </w:p>
    <w:p w:rsidR="00DA14A2" w:rsidRDefault="00DA14A2"/>
    <w:p w:rsidR="00DA14A2" w:rsidRDefault="004A11C6">
      <w:r>
        <w:t>2.2</w:t>
      </w:r>
      <w:r>
        <w:tab/>
        <w:t>The Customer may, in the Order Form, request the following Alternative Clauses:</w:t>
      </w:r>
    </w:p>
    <w:p w:rsidR="00DA14A2" w:rsidRDefault="00DA14A2"/>
    <w:p w:rsidR="00DA14A2" w:rsidRDefault="004A11C6">
      <w:pPr>
        <w:ind w:left="1440"/>
      </w:pPr>
      <w:r>
        <w:t>2.2.1 Northern Ireland Law (see paragraph 2.3, 2.4, 2.5, 2.6 and 2.7 of this Schedule)</w:t>
      </w:r>
    </w:p>
    <w:p w:rsidR="00DA14A2" w:rsidRDefault="00DA14A2"/>
    <w:p w:rsidR="00DA14A2" w:rsidRDefault="004A11C6">
      <w:pPr>
        <w:pStyle w:val="Heading3"/>
        <w:rPr>
          <w:color w:val="auto"/>
        </w:rPr>
      </w:pPr>
      <w:r>
        <w:rPr>
          <w:color w:val="auto"/>
        </w:rPr>
        <w:t>2.3</w:t>
      </w:r>
      <w:r>
        <w:rPr>
          <w:color w:val="auto"/>
        </w:rPr>
        <w:tab/>
        <w:t>Discrimination</w:t>
      </w:r>
    </w:p>
    <w:p w:rsidR="00DA14A2" w:rsidRDefault="004A11C6">
      <w:pPr>
        <w:ind w:left="1440" w:hanging="720"/>
      </w:pPr>
      <w:r>
        <w:t>2.3.1</w:t>
      </w:r>
      <w:r>
        <w:tab/>
        <w:t>The Supplier will comply with all applicable fair employment, equality of treatment and anti-discrimination legislation, including, in particular the:</w:t>
      </w:r>
    </w:p>
    <w:p w:rsidR="00DA14A2" w:rsidRDefault="00DA14A2">
      <w:pPr>
        <w:ind w:left="1440"/>
      </w:pPr>
    </w:p>
    <w:p w:rsidR="00DA14A2" w:rsidRDefault="004A11C6">
      <w:pPr>
        <w:pStyle w:val="ListParagraph"/>
        <w:numPr>
          <w:ilvl w:val="0"/>
          <w:numId w:val="16"/>
        </w:numPr>
      </w:pPr>
      <w:r>
        <w:lastRenderedPageBreak/>
        <w:t>Employment (Northern Ireland) Order 2002</w:t>
      </w:r>
    </w:p>
    <w:p w:rsidR="00DA14A2" w:rsidRDefault="004A11C6">
      <w:pPr>
        <w:pStyle w:val="ListParagraph"/>
        <w:numPr>
          <w:ilvl w:val="0"/>
          <w:numId w:val="16"/>
        </w:numPr>
      </w:pPr>
      <w:r>
        <w:t>Fair Employment and Treatment (Northern Ireland) Order 1998</w:t>
      </w:r>
    </w:p>
    <w:p w:rsidR="00DA14A2" w:rsidRDefault="004A11C6">
      <w:pPr>
        <w:pStyle w:val="ListParagraph"/>
        <w:numPr>
          <w:ilvl w:val="0"/>
          <w:numId w:val="16"/>
        </w:numPr>
      </w:pPr>
      <w:r>
        <w:t>Sex Discrimination (Northern Ireland) Order 1976 and 1988</w:t>
      </w:r>
    </w:p>
    <w:p w:rsidR="00DA14A2" w:rsidRDefault="004A11C6">
      <w:pPr>
        <w:pStyle w:val="ListParagraph"/>
        <w:numPr>
          <w:ilvl w:val="0"/>
          <w:numId w:val="16"/>
        </w:numPr>
      </w:pPr>
      <w:r>
        <w:t>Employment Equality (Sexual   Orientation) Regulations (Northern Ireland) 2003</w:t>
      </w:r>
    </w:p>
    <w:p w:rsidR="00DA14A2" w:rsidRDefault="004A11C6">
      <w:pPr>
        <w:pStyle w:val="ListParagraph"/>
        <w:numPr>
          <w:ilvl w:val="0"/>
          <w:numId w:val="16"/>
        </w:numPr>
      </w:pPr>
      <w:r>
        <w:t>Equal Pay Act (Northern Ireland) 1970</w:t>
      </w:r>
    </w:p>
    <w:p w:rsidR="00DA14A2" w:rsidRDefault="004A11C6">
      <w:pPr>
        <w:pStyle w:val="ListParagraph"/>
        <w:numPr>
          <w:ilvl w:val="0"/>
          <w:numId w:val="16"/>
        </w:numPr>
      </w:pPr>
      <w:r>
        <w:t>Disability Discrimination Act 1995</w:t>
      </w:r>
    </w:p>
    <w:p w:rsidR="00DA14A2" w:rsidRDefault="004A11C6">
      <w:pPr>
        <w:pStyle w:val="ListParagraph"/>
        <w:numPr>
          <w:ilvl w:val="0"/>
          <w:numId w:val="16"/>
        </w:numPr>
      </w:pPr>
      <w:r>
        <w:t>Race Relations (Northern Ireland) Order 1997</w:t>
      </w:r>
    </w:p>
    <w:p w:rsidR="00DA14A2" w:rsidRDefault="004A11C6">
      <w:pPr>
        <w:pStyle w:val="ListParagraph"/>
        <w:numPr>
          <w:ilvl w:val="0"/>
          <w:numId w:val="16"/>
        </w:numPr>
      </w:pPr>
      <w:r>
        <w:t>Employment Relations (Northern Ireland) Order 1999 and Employment Rights (Northern Ireland) Order 1996</w:t>
      </w:r>
    </w:p>
    <w:p w:rsidR="00DA14A2" w:rsidRDefault="004A11C6">
      <w:pPr>
        <w:pStyle w:val="ListParagraph"/>
        <w:numPr>
          <w:ilvl w:val="0"/>
          <w:numId w:val="16"/>
        </w:numPr>
      </w:pPr>
      <w:r>
        <w:t>Employment Equality (Age) Regulations (Northern Ireland) 2006</w:t>
      </w:r>
    </w:p>
    <w:p w:rsidR="00DA14A2" w:rsidRDefault="004A11C6">
      <w:pPr>
        <w:pStyle w:val="ListParagraph"/>
        <w:numPr>
          <w:ilvl w:val="0"/>
          <w:numId w:val="16"/>
        </w:numPr>
      </w:pPr>
      <w:r>
        <w:t>Part-time Workers (Prevention of less Favourable Treatment) Regulation 2000</w:t>
      </w:r>
    </w:p>
    <w:p w:rsidR="00DA14A2" w:rsidRDefault="004A11C6">
      <w:pPr>
        <w:pStyle w:val="ListParagraph"/>
        <w:numPr>
          <w:ilvl w:val="0"/>
          <w:numId w:val="16"/>
        </w:numPr>
      </w:pPr>
      <w:r>
        <w:t>Fixed-term Employees (Prevention of Less Favourable Treatment) Regulations 2002</w:t>
      </w:r>
    </w:p>
    <w:p w:rsidR="00DA14A2" w:rsidRDefault="004A11C6">
      <w:pPr>
        <w:pStyle w:val="ListParagraph"/>
        <w:numPr>
          <w:ilvl w:val="0"/>
          <w:numId w:val="16"/>
        </w:numPr>
      </w:pPr>
      <w:r>
        <w:t>The Disability Discrimination (Northern Ireland) Order 2006</w:t>
      </w:r>
    </w:p>
    <w:p w:rsidR="00DA14A2" w:rsidRDefault="004A11C6">
      <w:pPr>
        <w:pStyle w:val="ListParagraph"/>
        <w:numPr>
          <w:ilvl w:val="0"/>
          <w:numId w:val="16"/>
        </w:numPr>
      </w:pPr>
      <w:r>
        <w:t>The Employment Relations (Northern Ireland) Order 2004</w:t>
      </w:r>
    </w:p>
    <w:p w:rsidR="00DA14A2" w:rsidRDefault="004A11C6">
      <w:pPr>
        <w:pStyle w:val="ListParagraph"/>
        <w:numPr>
          <w:ilvl w:val="0"/>
          <w:numId w:val="16"/>
        </w:numPr>
      </w:pPr>
      <w:r>
        <w:t>Equality Act (Sexual Orientation) Regulations (Northern Ireland) 2006</w:t>
      </w:r>
    </w:p>
    <w:p w:rsidR="00DA14A2" w:rsidRDefault="004A11C6">
      <w:pPr>
        <w:pStyle w:val="ListParagraph"/>
        <w:numPr>
          <w:ilvl w:val="0"/>
          <w:numId w:val="16"/>
        </w:numPr>
      </w:pPr>
      <w:r>
        <w:t>Employment Relations (Northern Ireland) Order 2004</w:t>
      </w:r>
    </w:p>
    <w:p w:rsidR="00DA14A2" w:rsidRDefault="004A11C6">
      <w:pPr>
        <w:pStyle w:val="ListParagraph"/>
        <w:numPr>
          <w:ilvl w:val="0"/>
          <w:numId w:val="16"/>
        </w:numPr>
      </w:pPr>
      <w:r>
        <w:t>Work and Families (Northern Ireland) Order 2006</w:t>
      </w:r>
    </w:p>
    <w:p w:rsidR="00DA14A2" w:rsidRDefault="00DA14A2">
      <w:pPr>
        <w:ind w:left="360"/>
      </w:pPr>
    </w:p>
    <w:p w:rsidR="00DA14A2" w:rsidRDefault="004A11C6">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DA14A2" w:rsidRDefault="00DA14A2"/>
    <w:p w:rsidR="00DA14A2" w:rsidRDefault="004A11C6">
      <w:pPr>
        <w:ind w:left="720" w:firstLine="720"/>
      </w:pPr>
      <w:r>
        <w:t>a.</w:t>
      </w:r>
      <w:r>
        <w:tab/>
        <w:t>persons of different religious beliefs or political opinions</w:t>
      </w:r>
    </w:p>
    <w:p w:rsidR="00DA14A2" w:rsidRDefault="004A11C6">
      <w:pPr>
        <w:ind w:left="720" w:firstLine="720"/>
      </w:pPr>
      <w:r>
        <w:t>b.</w:t>
      </w:r>
      <w:r>
        <w:tab/>
        <w:t>men and women or married and unmarried persons</w:t>
      </w:r>
    </w:p>
    <w:p w:rsidR="00DA14A2" w:rsidRDefault="004A11C6">
      <w:pPr>
        <w:ind w:left="720" w:firstLine="720"/>
      </w:pPr>
      <w:r>
        <w:t>c.</w:t>
      </w:r>
      <w:r>
        <w:tab/>
        <w:t>persons with and without dependants (including women who are</w:t>
      </w:r>
    </w:p>
    <w:p w:rsidR="00DA14A2" w:rsidRDefault="004A11C6">
      <w:pPr>
        <w:ind w:left="1440" w:firstLine="720"/>
      </w:pPr>
      <w:r>
        <w:t>pregnant or on maternity leave and men on paternity leave)</w:t>
      </w:r>
    </w:p>
    <w:p w:rsidR="00DA14A2" w:rsidRDefault="004A11C6">
      <w:pPr>
        <w:ind w:left="720" w:firstLine="720"/>
      </w:pPr>
      <w:r>
        <w:t>d.</w:t>
      </w:r>
      <w:r>
        <w:tab/>
        <w:t>persons of different racial groups (within the meaning of the Race</w:t>
      </w:r>
    </w:p>
    <w:p w:rsidR="00DA14A2" w:rsidRDefault="004A11C6">
      <w:pPr>
        <w:ind w:left="1440" w:firstLine="720"/>
      </w:pPr>
      <w:r>
        <w:t>Relations (Northern Ireland) Order 1997)</w:t>
      </w:r>
    </w:p>
    <w:p w:rsidR="00DA14A2" w:rsidRDefault="004A11C6">
      <w:pPr>
        <w:ind w:left="720" w:firstLine="720"/>
      </w:pPr>
      <w:r>
        <w:t>e.</w:t>
      </w:r>
      <w:r>
        <w:tab/>
        <w:t>persons with and without a disability (within the meaning of the</w:t>
      </w:r>
    </w:p>
    <w:p w:rsidR="00DA14A2" w:rsidRDefault="004A11C6">
      <w:pPr>
        <w:ind w:left="1440" w:firstLine="720"/>
      </w:pPr>
      <w:r>
        <w:t>Disability Discrimination Act 1995)</w:t>
      </w:r>
    </w:p>
    <w:p w:rsidR="00DA14A2" w:rsidRDefault="004A11C6">
      <w:pPr>
        <w:ind w:left="720" w:firstLine="720"/>
      </w:pPr>
      <w:r>
        <w:t>f.</w:t>
      </w:r>
      <w:r>
        <w:tab/>
        <w:t>persons of different ages</w:t>
      </w:r>
    </w:p>
    <w:p w:rsidR="00DA14A2" w:rsidRDefault="004A11C6">
      <w:pPr>
        <w:ind w:left="720" w:firstLine="720"/>
      </w:pPr>
      <w:r>
        <w:t>g.</w:t>
      </w:r>
      <w:r>
        <w:tab/>
        <w:t>persons of differing sexual orientation</w:t>
      </w:r>
    </w:p>
    <w:p w:rsidR="00DA14A2" w:rsidRDefault="004A11C6">
      <w:r>
        <w:t xml:space="preserve"> </w:t>
      </w:r>
    </w:p>
    <w:p w:rsidR="00DA14A2" w:rsidRDefault="004A11C6">
      <w:pPr>
        <w:ind w:firstLine="720"/>
      </w:pPr>
      <w:r>
        <w:t>2.3.2</w:t>
      </w:r>
      <w:r>
        <w:tab/>
        <w:t>The Supplier will take all reasonable steps to secure the observance of clause</w:t>
      </w:r>
    </w:p>
    <w:p w:rsidR="00DA14A2" w:rsidRDefault="004A11C6">
      <w:pPr>
        <w:ind w:left="720" w:firstLine="720"/>
      </w:pPr>
      <w:r>
        <w:t>2.3.1 of this Schedule by all Supplier Staff.</w:t>
      </w:r>
    </w:p>
    <w:p w:rsidR="00DA14A2" w:rsidRDefault="004A11C6">
      <w:pPr>
        <w:spacing w:before="240" w:after="240"/>
        <w:ind w:left="1440"/>
      </w:pPr>
      <w:r>
        <w:rPr>
          <w:sz w:val="20"/>
          <w:szCs w:val="20"/>
        </w:rPr>
        <w:t xml:space="preserve"> </w:t>
      </w:r>
    </w:p>
    <w:p w:rsidR="00DA14A2" w:rsidRDefault="004A11C6">
      <w:pPr>
        <w:pStyle w:val="Heading3"/>
        <w:rPr>
          <w:color w:val="auto"/>
        </w:rPr>
      </w:pPr>
      <w:r>
        <w:rPr>
          <w:color w:val="auto"/>
        </w:rPr>
        <w:t>2.4</w:t>
      </w:r>
      <w:r>
        <w:rPr>
          <w:color w:val="auto"/>
        </w:rPr>
        <w:tab/>
        <w:t>Equality policies and practices</w:t>
      </w:r>
    </w:p>
    <w:p w:rsidR="00DA14A2" w:rsidRDefault="004A11C6">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DA14A2" w:rsidRDefault="00DA14A2">
      <w:pPr>
        <w:ind w:left="1440" w:hanging="720"/>
      </w:pPr>
    </w:p>
    <w:p w:rsidR="00DA14A2" w:rsidRDefault="004A11C6">
      <w:pPr>
        <w:ind w:left="1440" w:hanging="720"/>
      </w:pPr>
      <w:r>
        <w:t>2.4.2</w:t>
      </w:r>
      <w:r>
        <w:tab/>
        <w:t>The Supplier will take all reasonable steps to ensure that all of the Supplier Staff comply with its equal opportunities policies (referred to in clause 2.3 above). These steps will include:</w:t>
      </w:r>
    </w:p>
    <w:p w:rsidR="00DA14A2" w:rsidRDefault="00DA14A2">
      <w:pPr>
        <w:ind w:left="1440"/>
      </w:pPr>
    </w:p>
    <w:p w:rsidR="00DA14A2" w:rsidRDefault="004A11C6">
      <w:pPr>
        <w:ind w:left="720" w:firstLine="720"/>
      </w:pPr>
      <w:r>
        <w:lastRenderedPageBreak/>
        <w:t>a.</w:t>
      </w:r>
      <w:r>
        <w:tab/>
        <w:t>the issue of written instructions to staff and other relevant persons</w:t>
      </w:r>
    </w:p>
    <w:p w:rsidR="00DA14A2" w:rsidRDefault="004A11C6">
      <w:pPr>
        <w:ind w:left="2160" w:hanging="720"/>
      </w:pPr>
      <w:r>
        <w:t>b.</w:t>
      </w:r>
      <w:r>
        <w:tab/>
        <w:t>the appointment or designation of a senior manager with responsibility for equal opportunities</w:t>
      </w:r>
    </w:p>
    <w:p w:rsidR="00DA14A2" w:rsidRDefault="004A11C6">
      <w:pPr>
        <w:ind w:left="2160" w:hanging="720"/>
      </w:pPr>
      <w:r>
        <w:t>c.</w:t>
      </w:r>
      <w:r>
        <w:tab/>
        <w:t>training of all staff and other relevant persons in equal opportunities and harassment matters</w:t>
      </w:r>
    </w:p>
    <w:p w:rsidR="00DA14A2" w:rsidRDefault="004A11C6">
      <w:pPr>
        <w:ind w:left="2160" w:hanging="720"/>
      </w:pPr>
      <w:r>
        <w:t>d.</w:t>
      </w:r>
      <w:r>
        <w:tab/>
        <w:t>the inclusion of the topic of equality as an agenda item at team, management and staff meetings</w:t>
      </w:r>
    </w:p>
    <w:p w:rsidR="00DA14A2" w:rsidRDefault="00DA14A2"/>
    <w:p w:rsidR="00DA14A2" w:rsidRDefault="004A11C6">
      <w:pPr>
        <w:ind w:left="720"/>
      </w:pPr>
      <w:r>
        <w:t>The Supplier will procure that its Subcontractors do likewise with their equal opportunities policies.</w:t>
      </w:r>
    </w:p>
    <w:p w:rsidR="00DA14A2" w:rsidRDefault="00DA14A2">
      <w:pPr>
        <w:ind w:left="720"/>
      </w:pPr>
    </w:p>
    <w:p w:rsidR="00DA14A2" w:rsidRDefault="004A11C6">
      <w:pPr>
        <w:ind w:firstLine="720"/>
      </w:pPr>
      <w:r>
        <w:t>2.4.3</w:t>
      </w:r>
      <w:r>
        <w:tab/>
        <w:t>The Supplier will inform the Customer as soon as possible in the event of:</w:t>
      </w:r>
    </w:p>
    <w:p w:rsidR="00DA14A2" w:rsidRDefault="00DA14A2"/>
    <w:p w:rsidR="00DA14A2" w:rsidRDefault="004A11C6">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DA14A2" w:rsidRDefault="004A11C6">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DA14A2" w:rsidRDefault="00DA14A2">
      <w:pPr>
        <w:ind w:left="2160"/>
      </w:pPr>
    </w:p>
    <w:p w:rsidR="00DA14A2" w:rsidRDefault="004A11C6">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DA14A2" w:rsidRDefault="00DA14A2"/>
    <w:p w:rsidR="00DA14A2" w:rsidRDefault="004A11C6">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DA14A2" w:rsidRDefault="00DA14A2">
      <w:pPr>
        <w:ind w:left="1440"/>
      </w:pPr>
    </w:p>
    <w:p w:rsidR="00DA14A2" w:rsidRDefault="004A11C6">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DA14A2" w:rsidRDefault="00DA14A2">
      <w:pPr>
        <w:ind w:left="1440" w:hanging="720"/>
      </w:pPr>
    </w:p>
    <w:p w:rsidR="00DA14A2" w:rsidRDefault="004A11C6">
      <w:pPr>
        <w:pStyle w:val="Heading3"/>
        <w:rPr>
          <w:color w:val="auto"/>
        </w:rPr>
      </w:pPr>
      <w:r>
        <w:rPr>
          <w:color w:val="auto"/>
        </w:rPr>
        <w:t>2.5</w:t>
      </w:r>
      <w:r>
        <w:rPr>
          <w:color w:val="auto"/>
        </w:rPr>
        <w:tab/>
        <w:t>Equality</w:t>
      </w:r>
    </w:p>
    <w:p w:rsidR="00DA14A2" w:rsidRDefault="004A11C6">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DA14A2" w:rsidRDefault="00DA14A2">
      <w:pPr>
        <w:ind w:left="1440"/>
      </w:pPr>
    </w:p>
    <w:p w:rsidR="00DA14A2" w:rsidRDefault="004A11C6">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rsidR="00DA14A2" w:rsidRDefault="00DA14A2"/>
    <w:p w:rsidR="00DA14A2" w:rsidRDefault="004A11C6">
      <w:pPr>
        <w:pStyle w:val="Heading3"/>
        <w:rPr>
          <w:color w:val="auto"/>
        </w:rPr>
      </w:pPr>
      <w:r>
        <w:rPr>
          <w:color w:val="auto"/>
        </w:rPr>
        <w:t>2.6</w:t>
      </w:r>
      <w:r>
        <w:rPr>
          <w:color w:val="auto"/>
        </w:rPr>
        <w:tab/>
        <w:t>Health and safety</w:t>
      </w:r>
    </w:p>
    <w:p w:rsidR="00DA14A2" w:rsidRDefault="004A11C6">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DA14A2" w:rsidRDefault="00DA14A2">
      <w:pPr>
        <w:ind w:left="1440"/>
      </w:pPr>
    </w:p>
    <w:p w:rsidR="00DA14A2" w:rsidRDefault="004A11C6">
      <w:pPr>
        <w:ind w:left="1440" w:hanging="720"/>
      </w:pPr>
      <w:r>
        <w:t>2.6.2</w:t>
      </w:r>
      <w:r>
        <w:tab/>
        <w:t>While on the Customer premises, the Supplier will comply with any health and safety measures implemented by the Customer in respect of Supplier Staff and other persons working there.</w:t>
      </w:r>
    </w:p>
    <w:p w:rsidR="00DA14A2" w:rsidRDefault="00DA14A2"/>
    <w:p w:rsidR="00DA14A2" w:rsidRDefault="004A11C6">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DA14A2" w:rsidRDefault="00DA14A2"/>
    <w:p w:rsidR="00DA14A2" w:rsidRDefault="004A11C6">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DA14A2" w:rsidRDefault="00DA14A2"/>
    <w:p w:rsidR="00DA14A2" w:rsidRDefault="004A11C6">
      <w:pPr>
        <w:ind w:left="1440" w:hanging="720"/>
      </w:pPr>
      <w:r>
        <w:t>2.6.5</w:t>
      </w:r>
      <w:r>
        <w:tab/>
        <w:t>The Supplier will ensure that its health and safety policy statement (as required by the Health and Safety at Work (Northern Ireland) Order 1978) is made available to the Customer on request.</w:t>
      </w:r>
    </w:p>
    <w:p w:rsidR="00DA14A2" w:rsidRDefault="00DA14A2"/>
    <w:p w:rsidR="00DA14A2" w:rsidRDefault="004A11C6">
      <w:pPr>
        <w:pStyle w:val="Heading3"/>
        <w:rPr>
          <w:color w:val="auto"/>
        </w:rPr>
      </w:pPr>
      <w:r>
        <w:rPr>
          <w:color w:val="auto"/>
        </w:rPr>
        <w:t>2.7</w:t>
      </w:r>
      <w:r>
        <w:rPr>
          <w:color w:val="auto"/>
        </w:rPr>
        <w:tab/>
        <w:t>Criminal damage</w:t>
      </w:r>
    </w:p>
    <w:p w:rsidR="00DA14A2" w:rsidRDefault="004A11C6">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DA14A2" w:rsidRDefault="00DA14A2"/>
    <w:p w:rsidR="00DA14A2" w:rsidRDefault="004A11C6">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DA14A2" w:rsidRDefault="00DA14A2"/>
    <w:p w:rsidR="00DA14A2" w:rsidRDefault="004A11C6">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rsidR="00DA14A2" w:rsidRDefault="00DA14A2"/>
    <w:p w:rsidR="00DA14A2" w:rsidRDefault="004A11C6">
      <w:pPr>
        <w:ind w:left="1440" w:hanging="720"/>
      </w:pPr>
      <w:r>
        <w:t>2.7.4</w:t>
      </w:r>
      <w:r>
        <w:tab/>
        <w:t>The Supplier will apply any compensation paid under the Compensation Order in respect of damage to the relevant assets towards the repair, reinstatement or replacement of the assets affected.</w:t>
      </w:r>
    </w:p>
    <w:p w:rsidR="00DA14A2" w:rsidRDefault="00DA14A2"/>
    <w:p w:rsidR="00DA14A2" w:rsidRDefault="00DA14A2">
      <w:pPr>
        <w:rPr>
          <w:b/>
        </w:rPr>
      </w:pPr>
    </w:p>
    <w:p w:rsidR="00DA14A2" w:rsidRDefault="00DA14A2">
      <w:bookmarkStart w:id="8" w:name="_Toc33176238"/>
    </w:p>
    <w:p w:rsidR="00DA14A2" w:rsidRDefault="004A11C6">
      <w:pPr>
        <w:pStyle w:val="Heading2"/>
        <w:pageBreakBefore/>
      </w:pPr>
      <w:r>
        <w:lastRenderedPageBreak/>
        <w:t>Schedule 5: Guarantee</w:t>
      </w:r>
      <w:bookmarkEnd w:id="8"/>
    </w:p>
    <w:p w:rsidR="00DA14A2" w:rsidRDefault="00DA14A2"/>
    <w:p w:rsidR="00DA14A2" w:rsidRDefault="004A11C6">
      <w:pPr>
        <w:rPr>
          <w:b/>
        </w:rPr>
      </w:pPr>
      <w:r>
        <w:rPr>
          <w:b/>
        </w:rPr>
        <w:t>Not Applicable</w:t>
      </w:r>
    </w:p>
    <w:p w:rsidR="00DA14A2" w:rsidRDefault="00DA14A2">
      <w:pPr>
        <w:pageBreakBefore/>
        <w:rPr>
          <w:b/>
        </w:rPr>
      </w:pPr>
    </w:p>
    <w:p w:rsidR="00DA14A2" w:rsidRDefault="004A11C6">
      <w:pPr>
        <w:pStyle w:val="Heading2"/>
      </w:pPr>
      <w:bookmarkStart w:id="9" w:name="_Toc33176239"/>
      <w:r>
        <w:t>Schedule 6: Glossary and interpretations</w:t>
      </w:r>
      <w:bookmarkEnd w:id="9"/>
    </w:p>
    <w:p w:rsidR="00DA14A2" w:rsidRDefault="004A11C6">
      <w:r>
        <w:t>In this Call-Off Contract the following expressions mean:</w:t>
      </w:r>
    </w:p>
    <w:p w:rsidR="00DA14A2" w:rsidRDefault="00DA14A2"/>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A14A2">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Meaning</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services ancillary to the G-Cloud Services that are in the scope of Framework Agreement Section 2 (Services Offered) which a Buyer may request.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agreement to be entered into to enable the Supplier to participate in the relevant Civil Service pension scheme(s).</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response submitted by the Supplier to the Invitation to Tender (known as the Invitation to Apply on the Digital Marketplace).</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 audit carried out under the incorporated Framework Agreement clauses specified by the Buyer in the Order (if any).</w:t>
            </w:r>
          </w:p>
        </w:tc>
      </w:tr>
      <w:tr w:rsidR="00DA14A2">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For each Party, IPRs:</w:t>
            </w:r>
          </w:p>
          <w:p w:rsidR="00DA14A2" w:rsidRDefault="004A11C6">
            <w:pPr>
              <w:pStyle w:val="ListParagraph"/>
              <w:numPr>
                <w:ilvl w:val="0"/>
                <w:numId w:val="1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DA14A2" w:rsidRDefault="004A11C6">
            <w:pPr>
              <w:pStyle w:val="ListParagraph"/>
              <w:numPr>
                <w:ilvl w:val="0"/>
                <w:numId w:val="17"/>
              </w:numPr>
              <w:rPr>
                <w:sz w:val="20"/>
                <w:szCs w:val="20"/>
              </w:rPr>
            </w:pPr>
            <w:r>
              <w:rPr>
                <w:sz w:val="20"/>
                <w:szCs w:val="20"/>
              </w:rPr>
              <w:t>created by the Party independently of this Call-Off Contract, or</w:t>
            </w:r>
          </w:p>
          <w:p w:rsidR="00DA14A2" w:rsidRDefault="004A11C6">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contracting authority ordering services as set out in the Order Form.</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All data supplied by the Buyer to the Supplier including Personal Data and Service Data that is owned and managed by the Buyer.</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Personal Data supplied by the Buyer to the Supplier for purposes of, or in connection with, this Call-Off Contract.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representative appointed by the Buyer under this Call-Off Contract.</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Software owned by or licensed to the Buyer (other than under this Agreement), which is or will be used by the Supplier to provide the Services.</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prices (excluding any applicable VAT), payable to the Supplier by the Buyer under this Call-Off Contract.</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A14A2">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Data, Personal Data and any information, which may include (but isn’t limited to) any:</w:t>
            </w:r>
          </w:p>
          <w:p w:rsidR="00DA14A2" w:rsidRDefault="004A11C6">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DA14A2" w:rsidRDefault="004A11C6">
            <w:pPr>
              <w:pStyle w:val="ListParagraph"/>
              <w:numPr>
                <w:ilvl w:val="0"/>
                <w:numId w:val="18"/>
              </w:numPr>
              <w:rPr>
                <w:sz w:val="20"/>
                <w:szCs w:val="20"/>
              </w:rPr>
            </w:pPr>
            <w:r>
              <w:rPr>
                <w:sz w:val="20"/>
                <w:szCs w:val="20"/>
              </w:rPr>
              <w:t>other information clearly designated as being confidential or which ought reasonably be considered to be confidential (whether or not it is marked 'confidential').</w:t>
            </w:r>
          </w:p>
        </w:tc>
      </w:tr>
      <w:tr w:rsidR="00DA14A2">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‘Control’ as defined in section 1124 and 450 of the Corporation Tax</w:t>
            </w:r>
          </w:p>
          <w:p w:rsidR="00DA14A2" w:rsidRDefault="004A11C6">
            <w:pPr>
              <w:spacing w:before="240"/>
              <w:rPr>
                <w:sz w:val="20"/>
                <w:szCs w:val="20"/>
              </w:rPr>
            </w:pPr>
            <w:r>
              <w:rPr>
                <w:sz w:val="20"/>
                <w:szCs w:val="20"/>
              </w:rPr>
              <w:t>Act 2010. 'Controls' and 'Controlled' will be interpreted accordingly.</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Takes the meaning given in the GDPR.</w:t>
            </w:r>
          </w:p>
        </w:tc>
      </w:tr>
      <w:tr w:rsidR="00DA14A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Crown</w:t>
            </w:r>
          </w:p>
          <w:p w:rsidR="00DA14A2" w:rsidRDefault="004A11C6">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 assessment by the Controller of the impact of the envisaged Processing on the protection of Personal Data.</w:t>
            </w:r>
          </w:p>
        </w:tc>
      </w:tr>
      <w:tr w:rsidR="00DA14A2">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Data Protection Legislation means:</w:t>
            </w:r>
          </w:p>
          <w:p w:rsidR="00DA14A2" w:rsidRDefault="004A11C6">
            <w:pPr>
              <w:rPr>
                <w:sz w:val="20"/>
                <w:szCs w:val="20"/>
              </w:rPr>
            </w:pPr>
            <w:r>
              <w:rPr>
                <w:sz w:val="20"/>
                <w:szCs w:val="20"/>
              </w:rPr>
              <w:t>(i) the GDPR, the LED and any applicable national implementing Laws as amended from time to time</w:t>
            </w:r>
          </w:p>
          <w:p w:rsidR="00DA14A2" w:rsidRDefault="004A11C6">
            <w:pPr>
              <w:ind w:left="720" w:hanging="720"/>
              <w:rPr>
                <w:sz w:val="20"/>
                <w:szCs w:val="20"/>
              </w:rPr>
            </w:pPr>
            <w:r>
              <w:rPr>
                <w:sz w:val="20"/>
                <w:szCs w:val="20"/>
              </w:rPr>
              <w:t>(ii) the DPA 2018 to the extent that it relates to Processing of Personal Data and privacy</w:t>
            </w:r>
          </w:p>
          <w:p w:rsidR="00DA14A2" w:rsidRDefault="004A11C6">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Takes the meaning given in the GDPR</w:t>
            </w:r>
          </w:p>
        </w:tc>
      </w:tr>
      <w:tr w:rsidR="00DA14A2">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Default is any:</w:t>
            </w:r>
          </w:p>
          <w:p w:rsidR="00DA14A2" w:rsidRDefault="004A11C6">
            <w:pPr>
              <w:pStyle w:val="ListParagraph"/>
              <w:numPr>
                <w:ilvl w:val="0"/>
                <w:numId w:val="19"/>
              </w:numPr>
              <w:rPr>
                <w:sz w:val="20"/>
                <w:szCs w:val="20"/>
              </w:rPr>
            </w:pPr>
            <w:r>
              <w:rPr>
                <w:sz w:val="20"/>
                <w:szCs w:val="20"/>
              </w:rPr>
              <w:t>breach of the obligations of the Supplier (including any fundamental breach or breach of a fundamental term)</w:t>
            </w:r>
          </w:p>
          <w:p w:rsidR="00DA14A2" w:rsidRDefault="004A11C6">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DA14A2" w:rsidRDefault="004A11C6">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G-Cloud Services the Buyer contracts the Supplier to provide under this Call-Off Contract.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Data Protection Act 2018.</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Transfer of Undertakings (Protection of Employment) Regulations 2006 (SI 2006/246) (‘TUPE’) which implements the Acquired Rights Directive.</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Means to terminate; and Ended and Ending are construed accordingly.</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14 digit ESI reference number from the summary of the outcome screen of the ESI tool.</w:t>
            </w:r>
          </w:p>
        </w:tc>
      </w:tr>
      <w:tr w:rsidR="00DA14A2">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HMRC Employment Status Indicator test tool. The most up-to-date version must be used. At the time of drafting the tool may be found here:</w:t>
            </w:r>
          </w:p>
          <w:p w:rsidR="00DA14A2" w:rsidRDefault="00695B46">
            <w:hyperlink r:id="rId23" w:history="1">
              <w:r w:rsidR="004A11C6">
                <w:rPr>
                  <w:rStyle w:val="Hyperlink"/>
                  <w:color w:val="auto"/>
                </w:rPr>
                <w:t>https://www.gov.uk/guidance/check-employment-status-for-tax</w:t>
              </w:r>
            </w:hyperlink>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expiry date of this Call-Off Contract in the Order Form.</w:t>
            </w:r>
          </w:p>
        </w:tc>
      </w:tr>
      <w:tr w:rsidR="00DA14A2">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 force Majeure event means anything affecting either Party's performance of their obligations arising from any:</w:t>
            </w:r>
          </w:p>
          <w:p w:rsidR="00DA14A2" w:rsidRDefault="004A11C6">
            <w:pPr>
              <w:pStyle w:val="ListParagraph"/>
              <w:numPr>
                <w:ilvl w:val="0"/>
                <w:numId w:val="20"/>
              </w:numPr>
              <w:rPr>
                <w:sz w:val="20"/>
                <w:szCs w:val="20"/>
              </w:rPr>
            </w:pPr>
            <w:r>
              <w:rPr>
                <w:sz w:val="20"/>
                <w:szCs w:val="20"/>
              </w:rPr>
              <w:t>acts, events or omissions beyond the reasonable control of the affected Party</w:t>
            </w:r>
          </w:p>
          <w:p w:rsidR="00DA14A2" w:rsidRDefault="004A11C6">
            <w:pPr>
              <w:pStyle w:val="ListParagraph"/>
              <w:numPr>
                <w:ilvl w:val="0"/>
                <w:numId w:val="21"/>
              </w:numPr>
              <w:rPr>
                <w:sz w:val="20"/>
                <w:szCs w:val="20"/>
              </w:rPr>
            </w:pPr>
            <w:r>
              <w:rPr>
                <w:sz w:val="20"/>
                <w:szCs w:val="20"/>
              </w:rPr>
              <w:t>riots, war or armed conflict, acts of terrorism, nuclear, biological or chemical warfare</w:t>
            </w:r>
          </w:p>
          <w:p w:rsidR="00DA14A2" w:rsidRDefault="004A11C6">
            <w:pPr>
              <w:pStyle w:val="ListParagraph"/>
              <w:numPr>
                <w:ilvl w:val="0"/>
                <w:numId w:val="22"/>
              </w:numPr>
            </w:pPr>
            <w:r>
              <w:t xml:space="preserve">acts of government, local government or Regulatory </w:t>
            </w:r>
            <w:r>
              <w:rPr>
                <w:sz w:val="20"/>
                <w:szCs w:val="20"/>
              </w:rPr>
              <w:t>Bodies</w:t>
            </w:r>
          </w:p>
          <w:p w:rsidR="00DA14A2" w:rsidRDefault="004A11C6">
            <w:pPr>
              <w:pStyle w:val="ListParagraph"/>
              <w:numPr>
                <w:ilvl w:val="0"/>
                <w:numId w:val="23"/>
              </w:numPr>
            </w:pPr>
            <w:r>
              <w:rPr>
                <w:sz w:val="14"/>
                <w:szCs w:val="14"/>
              </w:rPr>
              <w:t xml:space="preserve"> </w:t>
            </w:r>
            <w:r>
              <w:rPr>
                <w:sz w:val="20"/>
                <w:szCs w:val="20"/>
              </w:rPr>
              <w:t>fire, flood or disaster and any failure or shortage of power or fuel</w:t>
            </w:r>
          </w:p>
          <w:p w:rsidR="00DA14A2" w:rsidRDefault="004A11C6">
            <w:pPr>
              <w:pStyle w:val="ListParagraph"/>
              <w:numPr>
                <w:ilvl w:val="0"/>
                <w:numId w:val="24"/>
              </w:numPr>
              <w:rPr>
                <w:sz w:val="20"/>
                <w:szCs w:val="20"/>
              </w:rPr>
            </w:pPr>
            <w:r>
              <w:rPr>
                <w:sz w:val="20"/>
                <w:szCs w:val="20"/>
              </w:rPr>
              <w:t>industrial dispute affecting a third party for which a substitute third party isn’t reasonably available</w:t>
            </w:r>
          </w:p>
          <w:p w:rsidR="00DA14A2" w:rsidRDefault="004A11C6">
            <w:pPr>
              <w:spacing w:before="240"/>
              <w:rPr>
                <w:sz w:val="20"/>
                <w:szCs w:val="20"/>
              </w:rPr>
            </w:pPr>
            <w:r>
              <w:rPr>
                <w:sz w:val="20"/>
                <w:szCs w:val="20"/>
              </w:rPr>
              <w:t>The following do not constitute a Force Majeure event:</w:t>
            </w:r>
          </w:p>
          <w:p w:rsidR="00DA14A2" w:rsidRDefault="004A11C6">
            <w:pPr>
              <w:pStyle w:val="ListParagraph"/>
              <w:numPr>
                <w:ilvl w:val="0"/>
                <w:numId w:val="25"/>
              </w:numPr>
              <w:rPr>
                <w:sz w:val="20"/>
                <w:szCs w:val="20"/>
              </w:rPr>
            </w:pPr>
            <w:r>
              <w:rPr>
                <w:sz w:val="20"/>
                <w:szCs w:val="20"/>
              </w:rPr>
              <w:t>any industrial dispute about the Supplier, its staff, or failure in the Supplier’s (or a Subcontractor's) supply chain</w:t>
            </w:r>
          </w:p>
          <w:p w:rsidR="00DA14A2" w:rsidRDefault="004A11C6">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rsidR="00DA14A2" w:rsidRDefault="004A11C6">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rsidR="00DA14A2" w:rsidRDefault="004A11C6">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A14A2">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clauses of framework agreement RM1557.12 together with the Framework Schedules.</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A14A2">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General Data Protection Regulation (Regulation (EU) 2016/679)</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government’s preferred method of purchasing and payment for low value goods or services.</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guarantee described in Schedule 5.</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ESI tool completed by contractors on their own behalf at the request of CCS or the Buyer (as applicable) under clause 4.6.</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Has the meaning given under section 84 of the Freedom of Information Act 2000.</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information security management system and process developed by the Supplier in accordance with clause 16.1.</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Contractual engagements which would be determined to be within the scope of the IR35 Intermediaries legislation if assessed using the ESI tool.</w:t>
            </w:r>
          </w:p>
        </w:tc>
      </w:tr>
      <w:tr w:rsidR="00DA14A2">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Can be:</w:t>
            </w:r>
          </w:p>
          <w:p w:rsidR="00DA14A2" w:rsidRDefault="004A11C6">
            <w:pPr>
              <w:pStyle w:val="ListParagraph"/>
              <w:numPr>
                <w:ilvl w:val="0"/>
                <w:numId w:val="26"/>
              </w:numPr>
            </w:pPr>
            <w:r>
              <w:rPr>
                <w:sz w:val="14"/>
                <w:szCs w:val="14"/>
              </w:rPr>
              <w:t xml:space="preserve"> </w:t>
            </w:r>
            <w:r>
              <w:rPr>
                <w:sz w:val="20"/>
                <w:szCs w:val="20"/>
              </w:rPr>
              <w:t>a voluntary arrangement</w:t>
            </w:r>
          </w:p>
          <w:p w:rsidR="00DA14A2" w:rsidRDefault="004A11C6">
            <w:pPr>
              <w:pStyle w:val="ListParagraph"/>
              <w:numPr>
                <w:ilvl w:val="0"/>
                <w:numId w:val="26"/>
              </w:numPr>
              <w:rPr>
                <w:sz w:val="20"/>
                <w:szCs w:val="20"/>
              </w:rPr>
            </w:pPr>
            <w:r>
              <w:rPr>
                <w:sz w:val="20"/>
                <w:szCs w:val="20"/>
              </w:rPr>
              <w:t>a winding-up petition</w:t>
            </w:r>
          </w:p>
          <w:p w:rsidR="00DA14A2" w:rsidRDefault="004A11C6">
            <w:pPr>
              <w:pStyle w:val="ListParagraph"/>
              <w:numPr>
                <w:ilvl w:val="0"/>
                <w:numId w:val="26"/>
              </w:numPr>
              <w:rPr>
                <w:sz w:val="20"/>
                <w:szCs w:val="20"/>
              </w:rPr>
            </w:pPr>
            <w:r>
              <w:rPr>
                <w:sz w:val="20"/>
                <w:szCs w:val="20"/>
              </w:rPr>
              <w:t>the appointment of a receiver or administrator</w:t>
            </w:r>
          </w:p>
          <w:p w:rsidR="00DA14A2" w:rsidRDefault="004A11C6">
            <w:pPr>
              <w:pStyle w:val="ListParagraph"/>
              <w:numPr>
                <w:ilvl w:val="0"/>
                <w:numId w:val="26"/>
              </w:numPr>
              <w:rPr>
                <w:sz w:val="20"/>
                <w:szCs w:val="20"/>
              </w:rPr>
            </w:pPr>
            <w:r>
              <w:rPr>
                <w:sz w:val="20"/>
                <w:szCs w:val="20"/>
              </w:rPr>
              <w:t>an unresolved statutory demand</w:t>
            </w:r>
          </w:p>
          <w:p w:rsidR="00DA14A2" w:rsidRDefault="004A11C6">
            <w:pPr>
              <w:pStyle w:val="ListParagraph"/>
              <w:numPr>
                <w:ilvl w:val="0"/>
                <w:numId w:val="26"/>
              </w:numPr>
            </w:pPr>
            <w:r>
              <w:t>a S</w:t>
            </w:r>
            <w:r>
              <w:rPr>
                <w:sz w:val="20"/>
                <w:szCs w:val="20"/>
              </w:rPr>
              <w:t>chedule A1 moratorium</w:t>
            </w:r>
          </w:p>
        </w:tc>
      </w:tr>
      <w:tr w:rsidR="00DA14A2">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Intellectual Property Rights are:</w:t>
            </w:r>
          </w:p>
          <w:p w:rsidR="00DA14A2" w:rsidRDefault="004A11C6">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DA14A2" w:rsidRDefault="004A11C6">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rsidR="00DA14A2" w:rsidRDefault="004A11C6">
            <w:pPr>
              <w:pStyle w:val="ListParagraph"/>
              <w:numPr>
                <w:ilvl w:val="0"/>
                <w:numId w:val="27"/>
              </w:numPr>
              <w:rPr>
                <w:sz w:val="20"/>
                <w:szCs w:val="20"/>
              </w:rPr>
            </w:pPr>
            <w:r>
              <w:rPr>
                <w:sz w:val="20"/>
                <w:szCs w:val="20"/>
              </w:rPr>
              <w:t>all other rights having equivalent or similar effect in any country or jurisdiction</w:t>
            </w:r>
          </w:p>
        </w:tc>
      </w:tr>
      <w:tr w:rsidR="00DA14A2">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For the purposes of the IR35 rules an intermediary can be:</w:t>
            </w:r>
          </w:p>
          <w:p w:rsidR="00DA14A2" w:rsidRDefault="004A11C6">
            <w:pPr>
              <w:pStyle w:val="ListParagraph"/>
              <w:numPr>
                <w:ilvl w:val="0"/>
                <w:numId w:val="28"/>
              </w:numPr>
              <w:rPr>
                <w:sz w:val="20"/>
                <w:szCs w:val="20"/>
              </w:rPr>
            </w:pPr>
            <w:r>
              <w:rPr>
                <w:sz w:val="20"/>
                <w:szCs w:val="20"/>
              </w:rPr>
              <w:t>the supplier's own limited company</w:t>
            </w:r>
          </w:p>
          <w:p w:rsidR="00DA14A2" w:rsidRDefault="004A11C6">
            <w:pPr>
              <w:pStyle w:val="ListParagraph"/>
              <w:numPr>
                <w:ilvl w:val="0"/>
                <w:numId w:val="28"/>
              </w:numPr>
              <w:rPr>
                <w:sz w:val="20"/>
                <w:szCs w:val="20"/>
              </w:rPr>
            </w:pPr>
            <w:r>
              <w:rPr>
                <w:sz w:val="20"/>
                <w:szCs w:val="20"/>
              </w:rPr>
              <w:t>a service or a personal service company</w:t>
            </w:r>
          </w:p>
          <w:p w:rsidR="00DA14A2" w:rsidRDefault="004A11C6">
            <w:pPr>
              <w:pStyle w:val="ListParagraph"/>
              <w:numPr>
                <w:ilvl w:val="0"/>
                <w:numId w:val="28"/>
              </w:numPr>
              <w:rPr>
                <w:sz w:val="20"/>
                <w:szCs w:val="20"/>
              </w:rPr>
            </w:pPr>
            <w:r>
              <w:rPr>
                <w:sz w:val="20"/>
                <w:szCs w:val="20"/>
              </w:rPr>
              <w:t>a partnership</w:t>
            </w:r>
          </w:p>
          <w:p w:rsidR="00DA14A2" w:rsidRDefault="004A11C6">
            <w:pPr>
              <w:spacing w:before="240"/>
              <w:rPr>
                <w:sz w:val="20"/>
                <w:szCs w:val="20"/>
              </w:rPr>
            </w:pPr>
            <w:r>
              <w:rPr>
                <w:sz w:val="20"/>
                <w:szCs w:val="20"/>
              </w:rPr>
              <w:t>It does not apply if you work for a client through a Managed Service Company (MSC) or agency (for example, an employment agency).</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As set out in clause 11.5.</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Assessment of employment status using the ESI tool to determine if engagement is Inside or Outside IR35.</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A14A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Law Enforcement Directive (EU) 2016/680.</w:t>
            </w:r>
          </w:p>
        </w:tc>
      </w:tr>
      <w:tr w:rsidR="00DA14A2">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of the 3 Lots specified in the ITT and Lots will be construed accordingly.</w:t>
            </w:r>
          </w:p>
        </w:tc>
      </w:tr>
      <w:tr w:rsidR="00DA14A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management information specified in Framework Agreement section 6 (What you report to CCS).</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 order for G-Cloud Services placed by a contracting body with the Supplier in accordance with the ordering processes.</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order form set out in Part A of the Call-Off Contract to be used by a Buyer to order G-Cloud Services.</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G-Cloud Services which are the subject of an order by the Buyer.</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Contractual engagements which would be determined to not be within the scope of the IR35 intermediaries legislation if assessed using the ESI tool.</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Buyer or the Supplier and ‘Parties’ will be interpreted accordingly.</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Takes the meaning given in the GDPR.</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Takes the meaning given in the GDPR.</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Takes the meaning given in the GDPR.</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Takes the meaning given in the GDPR.</w:t>
            </w:r>
          </w:p>
        </w:tc>
      </w:tr>
      <w:tr w:rsidR="00DA14A2">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DA14A2" w:rsidRDefault="004A11C6">
            <w:pPr>
              <w:pStyle w:val="ListParagraph"/>
              <w:numPr>
                <w:ilvl w:val="0"/>
                <w:numId w:val="29"/>
              </w:numPr>
              <w:rPr>
                <w:sz w:val="20"/>
                <w:szCs w:val="20"/>
              </w:rPr>
            </w:pPr>
            <w:r>
              <w:rPr>
                <w:sz w:val="20"/>
                <w:szCs w:val="20"/>
              </w:rPr>
              <w:t>induce that person to perform improperly a relevant function or activity</w:t>
            </w:r>
          </w:p>
          <w:p w:rsidR="00DA14A2" w:rsidRDefault="004A11C6">
            <w:pPr>
              <w:pStyle w:val="ListParagraph"/>
              <w:numPr>
                <w:ilvl w:val="0"/>
                <w:numId w:val="29"/>
              </w:numPr>
              <w:rPr>
                <w:sz w:val="20"/>
                <w:szCs w:val="20"/>
              </w:rPr>
            </w:pPr>
            <w:r>
              <w:rPr>
                <w:sz w:val="20"/>
                <w:szCs w:val="20"/>
              </w:rPr>
              <w:t>reward that person for improper performance of a relevant function or activity</w:t>
            </w:r>
          </w:p>
          <w:p w:rsidR="00DA14A2" w:rsidRDefault="004A11C6">
            <w:pPr>
              <w:pStyle w:val="ListParagraph"/>
              <w:numPr>
                <w:ilvl w:val="0"/>
                <w:numId w:val="29"/>
              </w:numPr>
              <w:rPr>
                <w:sz w:val="20"/>
                <w:szCs w:val="20"/>
              </w:rPr>
            </w:pPr>
            <w:r>
              <w:rPr>
                <w:sz w:val="20"/>
                <w:szCs w:val="20"/>
              </w:rPr>
              <w:t>commit any offence:</w:t>
            </w:r>
          </w:p>
          <w:p w:rsidR="00DA14A2" w:rsidRDefault="004A11C6">
            <w:pPr>
              <w:pStyle w:val="ListParagraph"/>
              <w:numPr>
                <w:ilvl w:val="1"/>
                <w:numId w:val="29"/>
              </w:numPr>
              <w:rPr>
                <w:sz w:val="20"/>
                <w:szCs w:val="20"/>
              </w:rPr>
            </w:pPr>
            <w:r>
              <w:rPr>
                <w:sz w:val="20"/>
                <w:szCs w:val="20"/>
              </w:rPr>
              <w:t>under the Bribery Act 2010</w:t>
            </w:r>
          </w:p>
          <w:p w:rsidR="00DA14A2" w:rsidRDefault="004A11C6">
            <w:pPr>
              <w:pStyle w:val="ListParagraph"/>
              <w:numPr>
                <w:ilvl w:val="1"/>
                <w:numId w:val="29"/>
              </w:numPr>
              <w:rPr>
                <w:sz w:val="20"/>
                <w:szCs w:val="20"/>
              </w:rPr>
            </w:pPr>
            <w:r>
              <w:rPr>
                <w:sz w:val="20"/>
                <w:szCs w:val="20"/>
              </w:rPr>
              <w:t>under legislation creating offences concerning Fraud</w:t>
            </w:r>
          </w:p>
          <w:p w:rsidR="00DA14A2" w:rsidRDefault="004A11C6">
            <w:pPr>
              <w:pStyle w:val="ListParagraph"/>
              <w:numPr>
                <w:ilvl w:val="1"/>
                <w:numId w:val="29"/>
              </w:numPr>
            </w:pPr>
            <w:r>
              <w:t>at common Law concerning Fraud</w:t>
            </w:r>
          </w:p>
          <w:p w:rsidR="00DA14A2" w:rsidRDefault="004A11C6">
            <w:pPr>
              <w:pStyle w:val="ListParagraph"/>
              <w:numPr>
                <w:ilvl w:val="1"/>
                <w:numId w:val="29"/>
              </w:numPr>
              <w:rPr>
                <w:sz w:val="20"/>
                <w:szCs w:val="20"/>
              </w:rPr>
            </w:pPr>
            <w:r>
              <w:rPr>
                <w:sz w:val="20"/>
                <w:szCs w:val="20"/>
              </w:rPr>
              <w:t>committing or attempting or conspiring to commit Fraud</w:t>
            </w:r>
          </w:p>
        </w:tc>
      </w:tr>
      <w:tr w:rsidR="00DA14A2">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Assets and property including technical infrastructure, IPRs and equipment.</w:t>
            </w:r>
          </w:p>
        </w:tc>
      </w:tr>
      <w:tr w:rsidR="00DA14A2">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 transfer of employment to which the employment regulations applies.</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Supplier's security management plan developed by the Supplier in accordance with clause 16.1.</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services ordered by the Buyer as set out in the Order Form.</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Data that is owned or managed by the Buyer and used for the G-Cloud Services, including backup data.</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description of the Supplier service offering as published on the Digital Marketplace.</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Start date of this Call-Off Contract as set out in the Order Form.</w:t>
            </w:r>
          </w:p>
        </w:tc>
      </w:tr>
      <w:tr w:rsidR="00DA14A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A14A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third party appointed to process Personal Data on behalf of the Supplier under this Call-Off Contract.</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person, firm or company identified in the Order Form.</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representative appointed by the Supplier from time to time in relation to the Call-Off Contract.</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DA14A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relevant G-Cloud Service terms and conditions as set out in the Terms and Conditions document supplied as part of the Supplier’s Application.</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The term of this Call-Off Contract as set out in the Order Form.</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This has the meaning given to it in clause 32 (Variation process).</w:t>
            </w:r>
          </w:p>
        </w:tc>
      </w:tr>
      <w:tr w:rsidR="00DA14A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Any day other than a Saturday, Sunday or public holiday in England and Wales.</w:t>
            </w:r>
          </w:p>
        </w:tc>
      </w:tr>
      <w:tr w:rsidR="00DA14A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14A2" w:rsidRDefault="004A11C6">
            <w:pPr>
              <w:spacing w:before="240"/>
              <w:rPr>
                <w:sz w:val="20"/>
                <w:szCs w:val="20"/>
              </w:rPr>
            </w:pPr>
            <w:r>
              <w:rPr>
                <w:sz w:val="20"/>
                <w:szCs w:val="20"/>
              </w:rPr>
              <w:t>A contract year.</w:t>
            </w:r>
          </w:p>
        </w:tc>
      </w:tr>
    </w:tbl>
    <w:p w:rsidR="00DA14A2" w:rsidRDefault="004A11C6">
      <w:pPr>
        <w:spacing w:before="240" w:after="240"/>
      </w:pPr>
      <w:r>
        <w:t xml:space="preserve"> </w:t>
      </w:r>
    </w:p>
    <w:p w:rsidR="00DA14A2" w:rsidRDefault="00DA14A2">
      <w:pPr>
        <w:pageBreakBefore/>
      </w:pPr>
    </w:p>
    <w:p w:rsidR="00DA14A2" w:rsidRDefault="004A11C6">
      <w:pPr>
        <w:pStyle w:val="Heading2"/>
      </w:pPr>
      <w:bookmarkStart w:id="10" w:name="_Toc33176240"/>
      <w:r>
        <w:t>Schedule 7: GDPR Information</w:t>
      </w:r>
      <w:bookmarkEnd w:id="10"/>
    </w:p>
    <w:p w:rsidR="00DA14A2" w:rsidRDefault="004A11C6">
      <w:pPr>
        <w:ind w:left="142" w:right="394"/>
        <w:jc w:val="both"/>
      </w:pPr>
      <w:r>
        <w:t>Not Applicable</w:t>
      </w: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DA14A2">
      <w:pPr>
        <w:ind w:left="142" w:right="394"/>
        <w:jc w:val="both"/>
      </w:pPr>
    </w:p>
    <w:p w:rsidR="00DA14A2" w:rsidRDefault="004A11C6">
      <w:pPr>
        <w:ind w:left="142" w:right="394"/>
        <w:jc w:val="both"/>
      </w:pPr>
      <w:r>
        <w:rPr>
          <w:noProof/>
        </w:rPr>
        <w:drawing>
          <wp:inline distT="0" distB="0" distL="0" distR="0">
            <wp:extent cx="1435095" cy="853949"/>
            <wp:effectExtent l="0" t="0" r="0" b="3301"/>
            <wp:docPr id="7"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435095" cy="853949"/>
                    </a:xfrm>
                    <a:prstGeom prst="rect">
                      <a:avLst/>
                    </a:prstGeom>
                    <a:noFill/>
                    <a:ln>
                      <a:noFill/>
                      <a:prstDash/>
                    </a:ln>
                  </pic:spPr>
                </pic:pic>
              </a:graphicData>
            </a:graphic>
          </wp:inline>
        </w:drawing>
      </w:r>
    </w:p>
    <w:p w:rsidR="00DA14A2" w:rsidRDefault="00DA14A2">
      <w:pPr>
        <w:ind w:left="142" w:right="394"/>
        <w:jc w:val="center"/>
        <w:rPr>
          <w:rFonts w:cs="Calibri"/>
          <w:b/>
        </w:rPr>
      </w:pPr>
    </w:p>
    <w:p w:rsidR="00DA14A2" w:rsidRDefault="00DA14A2">
      <w:pPr>
        <w:ind w:left="142" w:right="394"/>
        <w:jc w:val="center"/>
        <w:rPr>
          <w:rFonts w:cs="Calibri"/>
          <w:b/>
        </w:rPr>
      </w:pPr>
    </w:p>
    <w:p w:rsidR="00DA14A2" w:rsidRDefault="004A11C6">
      <w:pPr>
        <w:ind w:left="142" w:right="394"/>
        <w:jc w:val="center"/>
        <w:rPr>
          <w:rFonts w:cs="Calibri"/>
          <w:b/>
        </w:rPr>
      </w:pPr>
      <w:r>
        <w:rPr>
          <w:rFonts w:cs="Calibri"/>
          <w:b/>
        </w:rPr>
        <w:t>Schedule 8</w:t>
      </w:r>
    </w:p>
    <w:p w:rsidR="00DA14A2" w:rsidRDefault="004A11C6">
      <w:pPr>
        <w:ind w:left="142" w:right="394"/>
        <w:jc w:val="center"/>
        <w:rPr>
          <w:rFonts w:cs="Calibri"/>
          <w:b/>
        </w:rPr>
      </w:pPr>
      <w:r>
        <w:rPr>
          <w:rFonts w:cs="Calibri"/>
          <w:b/>
        </w:rPr>
        <w:t>AUTHORITY’S MANDATORY TERMS</w:t>
      </w:r>
    </w:p>
    <w:p w:rsidR="00DA14A2" w:rsidRDefault="004A11C6">
      <w:pPr>
        <w:pStyle w:val="BodyText"/>
        <w:numPr>
          <w:ilvl w:val="0"/>
          <w:numId w:val="30"/>
        </w:numPr>
        <w:spacing w:before="121"/>
        <w:ind w:left="567" w:right="394" w:hanging="425"/>
        <w:jc w:val="both"/>
      </w:pPr>
      <w:r>
        <w:rPr>
          <w:rFonts w:ascii="Calibri" w:hAnsi="Calibri" w:cs="Calibri"/>
          <w:sz w:val="22"/>
          <w:szCs w:val="22"/>
        </w:rPr>
        <w:t>For the avoidance of doubt, references to ‘the Agreement’ mean the attached Call-Off Contract between</w:t>
      </w:r>
      <w:r>
        <w:rPr>
          <w:rFonts w:ascii="Calibri" w:hAnsi="Calibri" w:cs="Calibri"/>
          <w:spacing w:val="-8"/>
          <w:sz w:val="22"/>
          <w:szCs w:val="22"/>
        </w:rPr>
        <w:t xml:space="preserve"> </w:t>
      </w:r>
      <w:r>
        <w:rPr>
          <w:rFonts w:ascii="Calibri" w:hAnsi="Calibri" w:cs="Calibri"/>
          <w:sz w:val="22"/>
          <w:szCs w:val="22"/>
        </w:rPr>
        <w:t>the Supplier and</w:t>
      </w:r>
      <w:r>
        <w:rPr>
          <w:rFonts w:ascii="Calibri" w:hAnsi="Calibri" w:cs="Calibri"/>
          <w:spacing w:val="-9"/>
          <w:sz w:val="22"/>
          <w:szCs w:val="22"/>
        </w:rPr>
        <w:t xml:space="preserve"> </w:t>
      </w:r>
      <w:r>
        <w:rPr>
          <w:rFonts w:ascii="Calibri" w:hAnsi="Calibri" w:cs="Calibri"/>
          <w:sz w:val="22"/>
          <w:szCs w:val="22"/>
        </w:rPr>
        <w:t xml:space="preserve">the Authority. </w:t>
      </w:r>
      <w:r>
        <w:rPr>
          <w:rFonts w:ascii="Calibri" w:hAnsi="Calibri" w:cs="Calibri"/>
          <w:spacing w:val="-9"/>
          <w:sz w:val="22"/>
          <w:szCs w:val="22"/>
        </w:rPr>
        <w:t>References to ‘the Authority’ mean ‘the Buyer’ (the Commissioners for Her Majesty’s Revenue and Customs).</w:t>
      </w:r>
    </w:p>
    <w:p w:rsidR="00DA14A2" w:rsidRDefault="004A11C6">
      <w:pPr>
        <w:pStyle w:val="BodyText"/>
        <w:numPr>
          <w:ilvl w:val="0"/>
          <w:numId w:val="30"/>
        </w:numPr>
        <w:spacing w:before="121"/>
        <w:ind w:left="567" w:right="394" w:hanging="425"/>
        <w:jc w:val="both"/>
      </w:pPr>
      <w:r>
        <w:rPr>
          <w:rFonts w:ascii="Calibri" w:hAnsi="Calibri" w:cs="Calibri"/>
          <w:sz w:val="22"/>
          <w:szCs w:val="22"/>
        </w:rPr>
        <w:t>The Agreement incorporates the Authority’s mandatory terms set out in this Schedule 8</w:t>
      </w:r>
      <w:r>
        <w:rPr>
          <w:rFonts w:ascii="Calibri" w:hAnsi="Calibri" w:cs="Calibri"/>
          <w:spacing w:val="-9"/>
          <w:sz w:val="22"/>
          <w:szCs w:val="22"/>
        </w:rPr>
        <w:t xml:space="preserve">. </w:t>
      </w:r>
    </w:p>
    <w:p w:rsidR="00DA14A2" w:rsidRDefault="004A11C6">
      <w:pPr>
        <w:pStyle w:val="BodyText"/>
        <w:numPr>
          <w:ilvl w:val="0"/>
          <w:numId w:val="30"/>
        </w:numPr>
        <w:spacing w:before="121"/>
        <w:ind w:left="567" w:right="394" w:hanging="425"/>
        <w:jc w:val="both"/>
        <w:rPr>
          <w:rFonts w:ascii="Calibri" w:hAnsi="Calibri" w:cs="Calibri"/>
          <w:sz w:val="22"/>
          <w:szCs w:val="22"/>
        </w:rPr>
      </w:pPr>
      <w:r>
        <w:rPr>
          <w:rFonts w:ascii="Calibri" w:hAnsi="Calibri" w:cs="Calibri"/>
          <w:sz w:val="22"/>
          <w:szCs w:val="22"/>
        </w:rPr>
        <w:t xml:space="preserve">In case of any ambiguity or conflict, the Authority’s mandatory terms in this Schedule 8 will supersede any other terms in the Agreement.  </w:t>
      </w:r>
    </w:p>
    <w:p w:rsidR="00DA14A2" w:rsidRDefault="00DA14A2">
      <w:pPr>
        <w:pStyle w:val="ListParagraph"/>
        <w:ind w:left="426"/>
        <w:rPr>
          <w:rFonts w:cs="Calibri"/>
          <w:b/>
        </w:rPr>
      </w:pPr>
    </w:p>
    <w:p w:rsidR="00DA14A2" w:rsidRDefault="004A11C6">
      <w:pPr>
        <w:pStyle w:val="ListParagraph"/>
        <w:numPr>
          <w:ilvl w:val="0"/>
          <w:numId w:val="31"/>
        </w:numPr>
        <w:suppressAutoHyphens w:val="0"/>
        <w:spacing w:after="160" w:line="240" w:lineRule="auto"/>
        <w:ind w:left="426" w:hanging="426"/>
        <w:textAlignment w:val="auto"/>
        <w:rPr>
          <w:rFonts w:cs="Calibri"/>
          <w:b/>
        </w:rPr>
      </w:pPr>
      <w:r>
        <w:rPr>
          <w:rFonts w:cs="Calibri"/>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“Affiliate”</w:t>
            </w:r>
          </w:p>
        </w:tc>
        <w:tc>
          <w:tcPr>
            <w:tcW w:w="6758" w:type="dxa"/>
            <w:shd w:val="clear" w:color="auto" w:fill="auto"/>
            <w:tcMar>
              <w:top w:w="0" w:type="dxa"/>
              <w:left w:w="108" w:type="dxa"/>
              <w:bottom w:w="0" w:type="dxa"/>
              <w:right w:w="108" w:type="dxa"/>
            </w:tcMar>
          </w:tcPr>
          <w:p w:rsidR="00DA14A2" w:rsidRDefault="004A11C6">
            <w:r>
              <w:t>in relation to a body corporate, any other entity which directly or indirectly Controls, is Controlled by, or is under direct or indirect common Control with, that body corporate from time to time;</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“Authority Data”</w:t>
            </w:r>
          </w:p>
        </w:tc>
        <w:tc>
          <w:tcPr>
            <w:tcW w:w="6758" w:type="dxa"/>
            <w:shd w:val="clear" w:color="auto" w:fill="auto"/>
            <w:tcMar>
              <w:top w:w="0" w:type="dxa"/>
              <w:left w:w="108" w:type="dxa"/>
              <w:bottom w:w="0" w:type="dxa"/>
              <w:right w:w="108" w:type="dxa"/>
            </w:tcMar>
          </w:tcPr>
          <w:p w:rsidR="00DA14A2" w:rsidRDefault="004A11C6">
            <w:pPr>
              <w:pStyle w:val="ListParagraph"/>
              <w:numPr>
                <w:ilvl w:val="0"/>
                <w:numId w:val="32"/>
              </w:numPr>
              <w:suppressAutoHyphens w:val="0"/>
              <w:spacing w:after="160" w:line="240" w:lineRule="auto"/>
              <w:textAlignment w:val="auto"/>
              <w:rPr>
                <w:rFonts w:cs="Calibri"/>
              </w:rPr>
            </w:pPr>
            <w:r>
              <w:rPr>
                <w:rFonts w:cs="Calibri"/>
              </w:rPr>
              <w:t>the data, text, drawings, diagrams, images or sounds (together with any database made up of any of these) which are embodied in any electronic, magnetic, optical or tangible media, and which are:</w:t>
            </w:r>
          </w:p>
          <w:p w:rsidR="00DA14A2" w:rsidRDefault="004A11C6">
            <w:pPr>
              <w:numPr>
                <w:ilvl w:val="3"/>
                <w:numId w:val="32"/>
              </w:numPr>
              <w:tabs>
                <w:tab w:val="left" w:pos="759"/>
              </w:tabs>
              <w:suppressAutoHyphens w:val="0"/>
              <w:spacing w:after="160" w:line="240" w:lineRule="auto"/>
              <w:ind w:left="829" w:hanging="283"/>
              <w:textAlignment w:val="auto"/>
              <w:rPr>
                <w:rFonts w:cs="Calibri"/>
              </w:rPr>
            </w:pPr>
            <w:r>
              <w:rPr>
                <w:rFonts w:cs="Calibri"/>
              </w:rPr>
              <w:t xml:space="preserve">supplied to the Supplier by or on behalf of the Authority; and/or </w:t>
            </w:r>
          </w:p>
          <w:p w:rsidR="00DA14A2" w:rsidRDefault="004A11C6">
            <w:pPr>
              <w:numPr>
                <w:ilvl w:val="3"/>
                <w:numId w:val="32"/>
              </w:numPr>
              <w:tabs>
                <w:tab w:val="left" w:pos="759"/>
              </w:tabs>
              <w:suppressAutoHyphens w:val="0"/>
              <w:spacing w:after="160" w:line="240" w:lineRule="auto"/>
              <w:ind w:left="829" w:hanging="283"/>
              <w:textAlignment w:val="auto"/>
              <w:rPr>
                <w:rFonts w:cs="Calibri"/>
              </w:rPr>
            </w:pPr>
            <w:r>
              <w:rPr>
                <w:rFonts w:cs="Calibri"/>
              </w:rPr>
              <w:t>which the Supplier is required to generate, process, store or transmit pursuant to this Agreement; or</w:t>
            </w:r>
          </w:p>
          <w:p w:rsidR="00DA14A2" w:rsidRDefault="004A11C6">
            <w:pPr>
              <w:pStyle w:val="ListParagraph"/>
              <w:numPr>
                <w:ilvl w:val="0"/>
                <w:numId w:val="32"/>
              </w:numPr>
              <w:suppressAutoHyphens w:val="0"/>
              <w:spacing w:after="160" w:line="240" w:lineRule="auto"/>
              <w:textAlignment w:val="auto"/>
              <w:rPr>
                <w:rFonts w:cs="Calibri"/>
              </w:rPr>
            </w:pPr>
            <w:r>
              <w:rPr>
                <w:rFonts w:cs="Calibri"/>
              </w:rPr>
              <w:t>any Personal Data for which the Authority is the Controller, or any data derived from such Personal Data which has had any designatory data identifiers removed so that an individual cannot be identified;</w:t>
            </w:r>
          </w:p>
        </w:tc>
      </w:tr>
      <w:tr w:rsidR="00DA14A2">
        <w:tc>
          <w:tcPr>
            <w:tcW w:w="2160" w:type="dxa"/>
            <w:shd w:val="clear" w:color="auto" w:fill="auto"/>
            <w:tcMar>
              <w:top w:w="0" w:type="dxa"/>
              <w:left w:w="108" w:type="dxa"/>
              <w:bottom w:w="0" w:type="dxa"/>
              <w:right w:w="108" w:type="dxa"/>
            </w:tcMar>
          </w:tcPr>
          <w:p w:rsidR="00DA14A2" w:rsidRDefault="004A11C6">
            <w:r>
              <w:rPr>
                <w:rFonts w:ascii="Calibri" w:eastAsia="Times New Roman" w:hAnsi="Calibri" w:cs="Calibri"/>
                <w:b/>
                <w:bCs/>
              </w:rPr>
              <w:t>“Charges”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rsidR="00DA14A2" w:rsidRDefault="004A11C6">
            <w:r>
              <w:rPr>
                <w:rFonts w:ascii="Calibri" w:eastAsia="Times New Roman" w:hAnsi="Calibri" w:cs="Calibri"/>
              </w:rPr>
              <w:t>the charges for the Services as specified in the contract;</w:t>
            </w:r>
          </w:p>
        </w:tc>
      </w:tr>
      <w:tr w:rsidR="00DA14A2">
        <w:tc>
          <w:tcPr>
            <w:tcW w:w="2160" w:type="dxa"/>
            <w:shd w:val="clear" w:color="auto" w:fill="auto"/>
            <w:tcMar>
              <w:top w:w="0" w:type="dxa"/>
              <w:left w:w="108" w:type="dxa"/>
              <w:bottom w:w="0" w:type="dxa"/>
              <w:right w:w="108" w:type="dxa"/>
            </w:tcMar>
          </w:tcPr>
          <w:p w:rsidR="00DA14A2" w:rsidRDefault="004A11C6">
            <w:r>
              <w:rPr>
                <w:rFonts w:cs="Calibri"/>
                <w:b/>
              </w:rPr>
              <w:t>“Connected Company”</w:t>
            </w:r>
          </w:p>
        </w:tc>
        <w:tc>
          <w:tcPr>
            <w:tcW w:w="6758" w:type="dxa"/>
            <w:shd w:val="clear" w:color="auto" w:fill="auto"/>
            <w:tcMar>
              <w:top w:w="0" w:type="dxa"/>
              <w:left w:w="108" w:type="dxa"/>
              <w:bottom w:w="0" w:type="dxa"/>
              <w:right w:w="108" w:type="dxa"/>
            </w:tcMar>
          </w:tcPr>
          <w:p w:rsidR="00DA14A2" w:rsidRDefault="004A11C6">
            <w:pPr>
              <w:jc w:val="both"/>
              <w:rPr>
                <w:rFonts w:eastAsia="Times New Roman" w:cs="Calibri"/>
              </w:rPr>
            </w:pPr>
            <w:r>
              <w:rPr>
                <w:rFonts w:eastAsia="Times New Roman" w:cs="Calibri"/>
              </w:rPr>
              <w:t>means, in relation to a company, entity or other person, the Affiliates of that company, entity or other person or any other person associated with such company, entity or other person;</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“Control”</w:t>
            </w:r>
          </w:p>
        </w:tc>
        <w:tc>
          <w:tcPr>
            <w:tcW w:w="6758" w:type="dxa"/>
            <w:shd w:val="clear" w:color="auto" w:fill="auto"/>
            <w:tcMar>
              <w:top w:w="0" w:type="dxa"/>
              <w:left w:w="108" w:type="dxa"/>
              <w:bottom w:w="0" w:type="dxa"/>
              <w:right w:w="108" w:type="dxa"/>
            </w:tcMar>
          </w:tcPr>
          <w:p w:rsidR="00DA14A2" w:rsidRDefault="004A11C6">
            <w:pPr>
              <w:jc w:val="both"/>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“Controller”, “Processor”, “Data Subject”,</w:t>
            </w:r>
          </w:p>
        </w:tc>
        <w:tc>
          <w:tcPr>
            <w:tcW w:w="6758" w:type="dxa"/>
            <w:shd w:val="clear" w:color="auto" w:fill="auto"/>
            <w:tcMar>
              <w:top w:w="0" w:type="dxa"/>
              <w:left w:w="108" w:type="dxa"/>
              <w:bottom w:w="0" w:type="dxa"/>
              <w:right w:w="108" w:type="dxa"/>
            </w:tcMar>
          </w:tcPr>
          <w:p w:rsidR="00DA14A2" w:rsidRDefault="004A11C6">
            <w:pPr>
              <w:jc w:val="both"/>
            </w:pPr>
            <w:r>
              <w:rPr>
                <w:rFonts w:cs="Calibri"/>
              </w:rPr>
              <w:t xml:space="preserve">take the meaning given in the GDPR;  </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“Data Protection Legislation”</w:t>
            </w:r>
          </w:p>
        </w:tc>
        <w:tc>
          <w:tcPr>
            <w:tcW w:w="6758" w:type="dxa"/>
            <w:shd w:val="clear" w:color="auto" w:fill="auto"/>
            <w:tcMar>
              <w:top w:w="0" w:type="dxa"/>
              <w:left w:w="108" w:type="dxa"/>
              <w:bottom w:w="0" w:type="dxa"/>
              <w:right w:w="108" w:type="dxa"/>
            </w:tcMar>
          </w:tcPr>
          <w:p w:rsidR="00DA14A2" w:rsidRDefault="004A11C6">
            <w:pPr>
              <w:pStyle w:val="ListParagraph"/>
              <w:numPr>
                <w:ilvl w:val="1"/>
                <w:numId w:val="30"/>
              </w:numPr>
              <w:suppressAutoHyphens w:val="0"/>
              <w:spacing w:after="160" w:line="240" w:lineRule="auto"/>
              <w:jc w:val="both"/>
              <w:textAlignment w:val="auto"/>
            </w:pPr>
            <w:r>
              <w:rPr>
                <w:rFonts w:cs="Calibri"/>
              </w:rPr>
              <w:t xml:space="preserve">the GDPR, the Law Enforcement Directive (Directive EU 2016/680) and any applicable national implementing Laws as amended from time to time; </w:t>
            </w:r>
          </w:p>
          <w:p w:rsidR="00DA14A2" w:rsidRDefault="004A11C6">
            <w:pPr>
              <w:pStyle w:val="ListParagraph"/>
              <w:numPr>
                <w:ilvl w:val="1"/>
                <w:numId w:val="30"/>
              </w:numPr>
              <w:suppressAutoHyphens w:val="0"/>
              <w:spacing w:after="160" w:line="240" w:lineRule="auto"/>
              <w:ind w:left="459" w:hanging="425"/>
              <w:jc w:val="both"/>
              <w:textAlignment w:val="auto"/>
            </w:pPr>
            <w:r>
              <w:rPr>
                <w:rFonts w:cs="Calibri"/>
              </w:rPr>
              <w:t xml:space="preserve">the Data Protection Act 2018 to the extent that it relates to processing of personal data and privacy; </w:t>
            </w:r>
          </w:p>
          <w:p w:rsidR="00DA14A2" w:rsidRDefault="004A11C6">
            <w:pPr>
              <w:pStyle w:val="ListParagraph"/>
              <w:numPr>
                <w:ilvl w:val="1"/>
                <w:numId w:val="30"/>
              </w:numPr>
              <w:suppressAutoHyphens w:val="0"/>
              <w:spacing w:after="160" w:line="240" w:lineRule="auto"/>
              <w:ind w:left="459" w:hanging="425"/>
              <w:jc w:val="both"/>
              <w:textAlignment w:val="auto"/>
            </w:pPr>
            <w:r>
              <w:rPr>
                <w:rFonts w:cs="Calibri"/>
              </w:rPr>
              <w:t>all applicable Law about the processing of personal data and privacy;</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“GDPR”</w:t>
            </w:r>
            <w:r>
              <w:rPr>
                <w:rFonts w:cs="Calibri"/>
                <w:b/>
              </w:rPr>
              <w:tab/>
            </w:r>
          </w:p>
        </w:tc>
        <w:tc>
          <w:tcPr>
            <w:tcW w:w="6758" w:type="dxa"/>
            <w:shd w:val="clear" w:color="auto" w:fill="auto"/>
            <w:tcMar>
              <w:top w:w="0" w:type="dxa"/>
              <w:left w:w="108" w:type="dxa"/>
              <w:bottom w:w="0" w:type="dxa"/>
              <w:right w:w="108" w:type="dxa"/>
            </w:tcMar>
          </w:tcPr>
          <w:p w:rsidR="00DA14A2" w:rsidRDefault="004A11C6">
            <w:pPr>
              <w:jc w:val="both"/>
              <w:rPr>
                <w:rFonts w:cs="Calibri"/>
              </w:rPr>
            </w:pPr>
            <w:r>
              <w:rPr>
                <w:rFonts w:cs="Calibri"/>
              </w:rPr>
              <w:t>the General Data Protection Regulation (Regulation (EU) 2016/679);</w:t>
            </w:r>
          </w:p>
        </w:tc>
      </w:tr>
      <w:tr w:rsidR="00DA14A2">
        <w:tc>
          <w:tcPr>
            <w:tcW w:w="2160" w:type="dxa"/>
            <w:shd w:val="clear" w:color="auto" w:fill="auto"/>
            <w:tcMar>
              <w:top w:w="0" w:type="dxa"/>
              <w:left w:w="108" w:type="dxa"/>
              <w:bottom w:w="0" w:type="dxa"/>
              <w:right w:w="108" w:type="dxa"/>
            </w:tcMar>
          </w:tcPr>
          <w:p w:rsidR="00DA14A2" w:rsidRDefault="004A11C6">
            <w:r>
              <w:rPr>
                <w:rFonts w:cs="Calibri"/>
                <w:b/>
              </w:rPr>
              <w:lastRenderedPageBreak/>
              <w:t>“Key Subcontractor”</w:t>
            </w:r>
          </w:p>
        </w:tc>
        <w:tc>
          <w:tcPr>
            <w:tcW w:w="6758" w:type="dxa"/>
            <w:shd w:val="clear" w:color="auto" w:fill="auto"/>
            <w:tcMar>
              <w:top w:w="0" w:type="dxa"/>
              <w:left w:w="108" w:type="dxa"/>
              <w:bottom w:w="0" w:type="dxa"/>
              <w:right w:w="108" w:type="dxa"/>
            </w:tcMar>
          </w:tcPr>
          <w:p w:rsidR="00DA14A2" w:rsidRDefault="004A11C6">
            <w:pPr>
              <w:jc w:val="both"/>
              <w:rPr>
                <w:rFonts w:eastAsia="Times New Roman" w:cs="Calibri"/>
              </w:rPr>
            </w:pPr>
            <w:r>
              <w:rPr>
                <w:rFonts w:eastAsia="Times New Roman" w:cs="Calibri"/>
              </w:rPr>
              <w:t>any Subcontractor:</w:t>
            </w:r>
          </w:p>
          <w:p w:rsidR="00DA14A2" w:rsidRDefault="004A11C6">
            <w:pPr>
              <w:pStyle w:val="ListParagraph"/>
              <w:numPr>
                <w:ilvl w:val="0"/>
                <w:numId w:val="33"/>
              </w:numPr>
              <w:suppressAutoHyphens w:val="0"/>
              <w:spacing w:after="160" w:line="240" w:lineRule="auto"/>
              <w:ind w:left="459" w:hanging="425"/>
              <w:jc w:val="both"/>
              <w:textAlignment w:val="auto"/>
              <w:rPr>
                <w:rFonts w:eastAsia="Times New Roman" w:cs="Calibri"/>
              </w:rPr>
            </w:pPr>
            <w:r>
              <w:rPr>
                <w:rFonts w:eastAsia="Times New Roman" w:cs="Calibri"/>
              </w:rPr>
              <w:t>which, in the opinion of the Authority, performs (or would perform if appointed) a critical role in the provision of all or any part of the Services; and/or</w:t>
            </w:r>
          </w:p>
          <w:p w:rsidR="00DA14A2" w:rsidRDefault="004A11C6">
            <w:pPr>
              <w:pStyle w:val="ListParagraph"/>
              <w:numPr>
                <w:ilvl w:val="0"/>
                <w:numId w:val="33"/>
              </w:numPr>
              <w:suppressAutoHyphens w:val="0"/>
              <w:spacing w:after="160" w:line="240" w:lineRule="auto"/>
              <w:ind w:left="459" w:hanging="425"/>
              <w:jc w:val="both"/>
              <w:textAlignment w:val="auto"/>
              <w:rPr>
                <w:rFonts w:eastAsia="Times New Roman" w:cs="Calibri"/>
              </w:rPr>
            </w:pPr>
            <w:r>
              <w:rPr>
                <w:rFonts w:eastAsia="Times New Roman" w:cs="Calibri"/>
              </w:rPr>
              <w:t>with a Subcontract with a contract value which at the time of appointment exceeds (or would exceed if appointed) ten per cent (10%) of the aggregate Charges forecast to be payable under this Call-Off Contract;</w:t>
            </w:r>
          </w:p>
        </w:tc>
      </w:tr>
      <w:tr w:rsidR="00DA14A2">
        <w:tc>
          <w:tcPr>
            <w:tcW w:w="2160" w:type="dxa"/>
            <w:shd w:val="clear" w:color="auto" w:fill="auto"/>
            <w:tcMar>
              <w:top w:w="0" w:type="dxa"/>
              <w:left w:w="108" w:type="dxa"/>
              <w:bottom w:w="0" w:type="dxa"/>
              <w:right w:w="108" w:type="dxa"/>
            </w:tcMar>
          </w:tcPr>
          <w:p w:rsidR="00DA14A2" w:rsidRDefault="004A11C6">
            <w:r>
              <w:rPr>
                <w:rFonts w:cs="Calibri"/>
                <w:b/>
              </w:rPr>
              <w:t>“Law”</w:t>
            </w:r>
          </w:p>
        </w:tc>
        <w:tc>
          <w:tcPr>
            <w:tcW w:w="6758" w:type="dxa"/>
            <w:shd w:val="clear" w:color="auto" w:fill="auto"/>
            <w:tcMar>
              <w:top w:w="0" w:type="dxa"/>
              <w:left w:w="108" w:type="dxa"/>
              <w:bottom w:w="0" w:type="dxa"/>
              <w:right w:w="108" w:type="dxa"/>
            </w:tcMar>
          </w:tcPr>
          <w:p w:rsidR="00DA14A2" w:rsidRDefault="004A11C6">
            <w:r>
              <w:rPr>
                <w:rStyle w:val="normaltextrun1"/>
                <w:rFonts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DA14A2">
        <w:tc>
          <w:tcPr>
            <w:tcW w:w="2160" w:type="dxa"/>
            <w:shd w:val="clear" w:color="auto" w:fill="auto"/>
            <w:tcMar>
              <w:top w:w="0" w:type="dxa"/>
              <w:left w:w="108" w:type="dxa"/>
              <w:bottom w:w="0" w:type="dxa"/>
              <w:right w:w="108" w:type="dxa"/>
            </w:tcMar>
          </w:tcPr>
          <w:p w:rsidR="00DA14A2" w:rsidRDefault="004A11C6">
            <w:r>
              <w:rPr>
                <w:rFonts w:cs="Calibri"/>
                <w:b/>
              </w:rPr>
              <w:t>“Personal Data”</w:t>
            </w:r>
          </w:p>
        </w:tc>
        <w:tc>
          <w:tcPr>
            <w:tcW w:w="6758" w:type="dxa"/>
            <w:shd w:val="clear" w:color="auto" w:fill="auto"/>
            <w:tcMar>
              <w:top w:w="0" w:type="dxa"/>
              <w:left w:w="108" w:type="dxa"/>
              <w:bottom w:w="0" w:type="dxa"/>
              <w:right w:w="108" w:type="dxa"/>
            </w:tcMar>
          </w:tcPr>
          <w:p w:rsidR="00DA14A2" w:rsidRDefault="004A11C6">
            <w:pPr>
              <w:rPr>
                <w:rFonts w:cs="Calibri"/>
              </w:rPr>
            </w:pPr>
            <w:r>
              <w:rPr>
                <w:rFonts w:cs="Calibri"/>
              </w:rPr>
              <w:t xml:space="preserve">has the meaning given in the GDPR; </w:t>
            </w:r>
          </w:p>
        </w:tc>
      </w:tr>
      <w:tr w:rsidR="00DA14A2">
        <w:tc>
          <w:tcPr>
            <w:tcW w:w="2160" w:type="dxa"/>
            <w:shd w:val="clear" w:color="auto" w:fill="auto"/>
            <w:tcMar>
              <w:top w:w="0" w:type="dxa"/>
              <w:left w:w="108" w:type="dxa"/>
              <w:bottom w:w="0" w:type="dxa"/>
              <w:right w:w="108" w:type="dxa"/>
            </w:tcMar>
          </w:tcPr>
          <w:p w:rsidR="00DA14A2" w:rsidRDefault="004A11C6">
            <w:r>
              <w:rPr>
                <w:rFonts w:ascii="Calibri" w:eastAsia="Times New Roman" w:hAnsi="Calibri" w:cs="Calibri"/>
                <w:b/>
                <w:bCs/>
              </w:rPr>
              <w:t>“Purchase Order Number”</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rsidR="00DA14A2" w:rsidRDefault="004A11C6">
            <w:r>
              <w:rPr>
                <w:rFonts w:ascii="Calibri" w:eastAsia="Times New Roman" w:hAnsi="Calibri" w:cs="Calibri"/>
              </w:rPr>
              <w:t>the Authority’s unique number relating to the supply of the Services;  </w:t>
            </w:r>
          </w:p>
        </w:tc>
      </w:tr>
      <w:tr w:rsidR="00DA14A2">
        <w:tc>
          <w:tcPr>
            <w:tcW w:w="2160" w:type="dxa"/>
            <w:shd w:val="clear" w:color="auto" w:fill="auto"/>
            <w:tcMar>
              <w:top w:w="0" w:type="dxa"/>
              <w:left w:w="108" w:type="dxa"/>
              <w:bottom w:w="0" w:type="dxa"/>
              <w:right w:w="108" w:type="dxa"/>
            </w:tcMar>
          </w:tcPr>
          <w:p w:rsidR="00DA14A2" w:rsidRDefault="004A11C6">
            <w:r>
              <w:rPr>
                <w:rFonts w:ascii="Calibri" w:eastAsia="Times New Roman" w:hAnsi="Calibri" w:cs="Calibri"/>
                <w:b/>
                <w:bCs/>
              </w:rPr>
              <w:t>“Services”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rsidR="00DA14A2" w:rsidRDefault="004A11C6">
            <w:r>
              <w:rPr>
                <w:rFonts w:ascii="Calibri" w:eastAsia="Times New Roman" w:hAnsi="Calibri" w:cs="Calibri"/>
              </w:rPr>
              <w:t>the services to be supplied by the Supplier to the Authority under the Agreement, including the provision of any Goods;</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“Subcontract”</w:t>
            </w:r>
          </w:p>
        </w:tc>
        <w:tc>
          <w:tcPr>
            <w:tcW w:w="6758" w:type="dxa"/>
            <w:shd w:val="clear" w:color="auto" w:fill="auto"/>
            <w:tcMar>
              <w:top w:w="0" w:type="dxa"/>
              <w:left w:w="108" w:type="dxa"/>
              <w:bottom w:w="0" w:type="dxa"/>
              <w:right w:w="108" w:type="dxa"/>
            </w:tcMar>
          </w:tcPr>
          <w:p w:rsidR="00DA14A2" w:rsidRDefault="004A11C6">
            <w:pPr>
              <w:rPr>
                <w:rFonts w:cs="Calibri"/>
              </w:rPr>
            </w:pPr>
            <w:r>
              <w:rPr>
                <w:rFonts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DA14A2">
        <w:tc>
          <w:tcPr>
            <w:tcW w:w="2160" w:type="dxa"/>
            <w:shd w:val="clear" w:color="auto" w:fill="auto"/>
            <w:tcMar>
              <w:top w:w="0" w:type="dxa"/>
              <w:left w:w="108" w:type="dxa"/>
              <w:bottom w:w="0" w:type="dxa"/>
              <w:right w:w="108" w:type="dxa"/>
            </w:tcMar>
          </w:tcPr>
          <w:p w:rsidR="00DA14A2" w:rsidRDefault="004A11C6">
            <w:r>
              <w:rPr>
                <w:rFonts w:cs="Calibri"/>
                <w:b/>
              </w:rPr>
              <w:t>“</w:t>
            </w:r>
            <w:r>
              <w:rPr>
                <w:rFonts w:cs="Calibri"/>
                <w:b/>
                <w:spacing w:val="-2"/>
              </w:rPr>
              <w:t>Subcontractor</w:t>
            </w:r>
            <w:r>
              <w:rPr>
                <w:rFonts w:cs="Calibri"/>
                <w:b/>
              </w:rPr>
              <w:t>”</w:t>
            </w:r>
          </w:p>
        </w:tc>
        <w:tc>
          <w:tcPr>
            <w:tcW w:w="6758" w:type="dxa"/>
            <w:shd w:val="clear" w:color="auto" w:fill="auto"/>
            <w:tcMar>
              <w:top w:w="0" w:type="dxa"/>
              <w:left w:w="108" w:type="dxa"/>
              <w:bottom w:w="0" w:type="dxa"/>
              <w:right w:w="108" w:type="dxa"/>
            </w:tcMar>
          </w:tcPr>
          <w:p w:rsidR="00DA14A2" w:rsidRDefault="004A11C6">
            <w:pPr>
              <w:widowControl w:val="0"/>
              <w:spacing w:before="120" w:after="120"/>
              <w:rPr>
                <w:rFonts w:cs="Calibri"/>
              </w:rPr>
            </w:pPr>
            <w:r>
              <w:rPr>
                <w:rFonts w:cs="Calibri"/>
              </w:rPr>
              <w:t>any third party with whom:</w:t>
            </w:r>
          </w:p>
          <w:p w:rsidR="00DA14A2" w:rsidRDefault="004A11C6">
            <w:pPr>
              <w:numPr>
                <w:ilvl w:val="0"/>
                <w:numId w:val="34"/>
              </w:numPr>
              <w:tabs>
                <w:tab w:val="left" w:pos="-75"/>
              </w:tabs>
              <w:suppressAutoHyphens w:val="0"/>
              <w:spacing w:before="120" w:after="120" w:line="240" w:lineRule="auto"/>
              <w:ind w:left="507" w:hanging="507"/>
              <w:jc w:val="both"/>
              <w:textAlignment w:val="auto"/>
              <w:rPr>
                <w:rFonts w:cs="Calibri"/>
              </w:rPr>
            </w:pPr>
            <w:r>
              <w:rPr>
                <w:rFonts w:cs="Calibri"/>
              </w:rPr>
              <w:t xml:space="preserve">the Supplier enters into a Subcontract; or </w:t>
            </w:r>
          </w:p>
          <w:p w:rsidR="00DA14A2" w:rsidRDefault="004A11C6">
            <w:pPr>
              <w:numPr>
                <w:ilvl w:val="0"/>
                <w:numId w:val="34"/>
              </w:numPr>
              <w:tabs>
                <w:tab w:val="left" w:pos="-75"/>
              </w:tabs>
              <w:suppressAutoHyphens w:val="0"/>
              <w:spacing w:before="120" w:after="120" w:line="240" w:lineRule="auto"/>
              <w:ind w:left="507" w:hanging="507"/>
              <w:jc w:val="both"/>
              <w:textAlignment w:val="auto"/>
              <w:rPr>
                <w:rFonts w:cs="Calibri"/>
              </w:rPr>
            </w:pPr>
            <w:r>
              <w:rPr>
                <w:rFonts w:cs="Calibri"/>
              </w:rPr>
              <w:t>a third party under (a) above enters into a Subcontract,</w:t>
            </w:r>
          </w:p>
          <w:p w:rsidR="00DA14A2" w:rsidRDefault="004A11C6">
            <w:pPr>
              <w:widowControl w:val="0"/>
              <w:spacing w:before="120" w:after="120"/>
              <w:ind w:left="-15"/>
              <w:outlineLvl w:val="2"/>
              <w:rPr>
                <w:rFonts w:cs="Calibri"/>
                <w:bCs/>
                <w:spacing w:val="-2"/>
              </w:rPr>
            </w:pPr>
            <w:r>
              <w:rPr>
                <w:rFonts w:cs="Calibri"/>
                <w:bCs/>
                <w:spacing w:val="-2"/>
              </w:rPr>
              <w:t>or the servants or agents of that third party;</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“Supplier Personnel”</w:t>
            </w:r>
          </w:p>
        </w:tc>
        <w:tc>
          <w:tcPr>
            <w:tcW w:w="6758" w:type="dxa"/>
            <w:shd w:val="clear" w:color="auto" w:fill="auto"/>
            <w:tcMar>
              <w:top w:w="0" w:type="dxa"/>
              <w:left w:w="108" w:type="dxa"/>
              <w:bottom w:w="0" w:type="dxa"/>
              <w:right w:w="108" w:type="dxa"/>
            </w:tcMar>
          </w:tcPr>
          <w:p w:rsidR="00DA14A2" w:rsidRDefault="004A11C6">
            <w:r>
              <w:rPr>
                <w:rStyle w:val="normaltextrun1"/>
                <w:rFonts w:cs="Calibri"/>
              </w:rPr>
              <w:t>all directors, officers, employees, agents, consultants and contractors of the Supplier and/or of any Subcontractor of the Supplier engaged in the performance of the Supplier’s obligations under the Agreement; </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“Supporting Documentation”</w:t>
            </w:r>
          </w:p>
        </w:tc>
        <w:tc>
          <w:tcPr>
            <w:tcW w:w="6758" w:type="dxa"/>
            <w:shd w:val="clear" w:color="auto" w:fill="auto"/>
            <w:tcMar>
              <w:top w:w="0" w:type="dxa"/>
              <w:left w:w="108" w:type="dxa"/>
              <w:bottom w:w="0" w:type="dxa"/>
              <w:right w:w="108" w:type="dxa"/>
            </w:tcMar>
          </w:tcPr>
          <w:p w:rsidR="00DA14A2" w:rsidRDefault="004A11C6">
            <w:r>
              <w:rPr>
                <w:color w:val="000000"/>
              </w:rPr>
              <w:t xml:space="preserve">sufficient information in writing to enable the Authority to reasonably verify the accuracy of any invoice; </w:t>
            </w:r>
          </w:p>
        </w:tc>
      </w:tr>
      <w:tr w:rsidR="00DA14A2">
        <w:tc>
          <w:tcPr>
            <w:tcW w:w="2160" w:type="dxa"/>
            <w:shd w:val="clear" w:color="auto" w:fill="auto"/>
            <w:tcMar>
              <w:top w:w="0" w:type="dxa"/>
              <w:left w:w="108" w:type="dxa"/>
              <w:bottom w:w="0" w:type="dxa"/>
              <w:right w:w="108" w:type="dxa"/>
            </w:tcMar>
          </w:tcPr>
          <w:p w:rsidR="00DA14A2" w:rsidRDefault="004A11C6">
            <w:pPr>
              <w:rPr>
                <w:rFonts w:cs="Calibri"/>
                <w:b/>
              </w:rPr>
            </w:pPr>
            <w:r>
              <w:rPr>
                <w:rFonts w:cs="Calibri"/>
                <w:b/>
              </w:rPr>
              <w:t>“Tax”</w:t>
            </w:r>
          </w:p>
        </w:tc>
        <w:tc>
          <w:tcPr>
            <w:tcW w:w="6758" w:type="dxa"/>
            <w:shd w:val="clear" w:color="auto" w:fill="auto"/>
            <w:tcMar>
              <w:top w:w="0" w:type="dxa"/>
              <w:left w:w="108" w:type="dxa"/>
              <w:bottom w:w="0" w:type="dxa"/>
              <w:right w:w="108" w:type="dxa"/>
            </w:tcMar>
          </w:tcPr>
          <w:p w:rsidR="00DA14A2" w:rsidRDefault="004A11C6">
            <w:pPr>
              <w:numPr>
                <w:ilvl w:val="0"/>
                <w:numId w:val="35"/>
              </w:numPr>
              <w:tabs>
                <w:tab w:val="left" w:pos="-6987"/>
              </w:tabs>
              <w:suppressAutoHyphens w:val="0"/>
              <w:spacing w:before="120" w:after="120" w:line="240" w:lineRule="auto"/>
              <w:jc w:val="both"/>
              <w:textAlignment w:val="auto"/>
              <w:rPr>
                <w:rFonts w:cs="Calibri"/>
                <w:spacing w:val="-2"/>
              </w:rPr>
            </w:pPr>
            <w:r>
              <w:rPr>
                <w:rFonts w:cs="Calibri"/>
                <w:spacing w:val="-2"/>
              </w:rPr>
              <w:t>all forms of tax whether direct or indirect;</w:t>
            </w:r>
          </w:p>
          <w:p w:rsidR="00DA14A2" w:rsidRDefault="004A11C6">
            <w:pPr>
              <w:numPr>
                <w:ilvl w:val="0"/>
                <w:numId w:val="35"/>
              </w:numPr>
              <w:tabs>
                <w:tab w:val="left" w:pos="-6987"/>
              </w:tabs>
              <w:suppressAutoHyphens w:val="0"/>
              <w:spacing w:before="120" w:after="120" w:line="240" w:lineRule="auto"/>
              <w:jc w:val="both"/>
              <w:textAlignment w:val="auto"/>
              <w:rPr>
                <w:rFonts w:cs="Calibri"/>
                <w:spacing w:val="-2"/>
              </w:rPr>
            </w:pPr>
            <w:r>
              <w:rPr>
                <w:rFonts w:cs="Calibri"/>
                <w:spacing w:val="-2"/>
              </w:rPr>
              <w:t>national insurance contributions in the United Kingdom and similar contributions or obligations in any other jurisdiction;</w:t>
            </w:r>
          </w:p>
          <w:p w:rsidR="00DA14A2" w:rsidRDefault="004A11C6">
            <w:pPr>
              <w:numPr>
                <w:ilvl w:val="0"/>
                <w:numId w:val="35"/>
              </w:numPr>
              <w:tabs>
                <w:tab w:val="left" w:pos="-6987"/>
              </w:tabs>
              <w:suppressAutoHyphens w:val="0"/>
              <w:spacing w:before="120" w:after="120" w:line="240" w:lineRule="auto"/>
              <w:jc w:val="both"/>
              <w:textAlignment w:val="auto"/>
              <w:rPr>
                <w:rFonts w:cs="Calibri"/>
                <w:spacing w:val="-2"/>
              </w:rPr>
            </w:pPr>
            <w:r>
              <w:rPr>
                <w:rFonts w:cs="Calibr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rsidR="00DA14A2" w:rsidRDefault="004A11C6">
            <w:pPr>
              <w:numPr>
                <w:ilvl w:val="0"/>
                <w:numId w:val="35"/>
              </w:numPr>
              <w:tabs>
                <w:tab w:val="left" w:pos="-6987"/>
              </w:tabs>
              <w:suppressAutoHyphens w:val="0"/>
              <w:spacing w:before="120" w:after="120" w:line="240" w:lineRule="auto"/>
              <w:jc w:val="both"/>
              <w:textAlignment w:val="auto"/>
              <w:rPr>
                <w:rFonts w:cs="Calibri"/>
                <w:spacing w:val="-2"/>
              </w:rPr>
            </w:pPr>
            <w:r>
              <w:rPr>
                <w:rFonts w:cs="Calibri"/>
                <w:spacing w:val="-2"/>
              </w:rPr>
              <w:t>any penalty, fine, surcharge, interest, charges or costs relating to any of the above,</w:t>
            </w:r>
          </w:p>
          <w:p w:rsidR="00DA14A2" w:rsidRDefault="004A11C6">
            <w:r>
              <w:rPr>
                <w:rFonts w:cs="Calibri"/>
                <w:spacing w:val="-2"/>
              </w:rPr>
              <w:t>in each case wherever chargeable and whether of the United Kingdom and any other jurisdiction;</w:t>
            </w:r>
          </w:p>
        </w:tc>
      </w:tr>
      <w:tr w:rsidR="00DA14A2">
        <w:tc>
          <w:tcPr>
            <w:tcW w:w="2160" w:type="dxa"/>
            <w:shd w:val="clear" w:color="auto" w:fill="auto"/>
            <w:tcMar>
              <w:top w:w="0" w:type="dxa"/>
              <w:left w:w="108" w:type="dxa"/>
              <w:bottom w:w="0" w:type="dxa"/>
              <w:right w:w="108" w:type="dxa"/>
            </w:tcMar>
          </w:tcPr>
          <w:p w:rsidR="00DA14A2" w:rsidRDefault="004A11C6">
            <w:pPr>
              <w:spacing w:before="120" w:after="120"/>
              <w:rPr>
                <w:rFonts w:cs="Calibri"/>
                <w:b/>
              </w:rPr>
            </w:pPr>
            <w:r>
              <w:rPr>
                <w:rFonts w:cs="Calibri"/>
                <w:b/>
              </w:rPr>
              <w:lastRenderedPageBreak/>
              <w:t>“Tax Non-Compliance”</w:t>
            </w:r>
          </w:p>
          <w:p w:rsidR="00DA14A2" w:rsidRDefault="00DA14A2">
            <w:pPr>
              <w:rPr>
                <w:rFonts w:cs="Calibri"/>
                <w:b/>
              </w:rPr>
            </w:pPr>
          </w:p>
        </w:tc>
        <w:tc>
          <w:tcPr>
            <w:tcW w:w="6758" w:type="dxa"/>
            <w:shd w:val="clear" w:color="auto" w:fill="auto"/>
            <w:tcMar>
              <w:top w:w="0" w:type="dxa"/>
              <w:left w:w="108" w:type="dxa"/>
              <w:bottom w:w="0" w:type="dxa"/>
              <w:right w:w="108" w:type="dxa"/>
            </w:tcMar>
          </w:tcPr>
          <w:p w:rsidR="00DA14A2" w:rsidRDefault="004A11C6">
            <w:pPr>
              <w:tabs>
                <w:tab w:val="left" w:pos="-75"/>
              </w:tabs>
              <w:spacing w:before="120" w:after="120"/>
              <w:jc w:val="both"/>
              <w:rPr>
                <w:rFonts w:cs="Calibri"/>
                <w:spacing w:val="-2"/>
              </w:rPr>
            </w:pPr>
            <w:r>
              <w:rPr>
                <w:rFonts w:cs="Calibri"/>
                <w:spacing w:val="-2"/>
              </w:rPr>
              <w:t>where an entity or person under consideration meets all 3 conditions contained in the relevant excerpt from HMRC’s “Test for Tax Non-Compliance”, as set out in Annex 1, where:</w:t>
            </w:r>
          </w:p>
          <w:p w:rsidR="00DA14A2" w:rsidRDefault="004A11C6">
            <w:pPr>
              <w:pStyle w:val="ListParagraph"/>
              <w:numPr>
                <w:ilvl w:val="0"/>
                <w:numId w:val="36"/>
              </w:numPr>
              <w:tabs>
                <w:tab w:val="left" w:pos="4965"/>
              </w:tabs>
              <w:suppressAutoHyphens w:val="0"/>
              <w:spacing w:before="120" w:after="120" w:line="240" w:lineRule="auto"/>
              <w:jc w:val="both"/>
              <w:textAlignment w:val="auto"/>
            </w:pPr>
            <w:r>
              <w:rPr>
                <w:rFonts w:cs="Calibri"/>
                <w:spacing w:val="-2"/>
              </w:rPr>
              <w:t xml:space="preserve">the “Economic Operator” means the Supplier </w:t>
            </w:r>
            <w:r>
              <w:rPr>
                <w:spacing w:val="-2"/>
              </w:rPr>
              <w:t>or</w:t>
            </w:r>
            <w:r>
              <w:t xml:space="preserve"> any agent, supplier or Subcontractor of the Supplier requested to be replaced pursuant to Clause 4.3</w:t>
            </w:r>
            <w:r>
              <w:rPr>
                <w:rFonts w:cs="Calibri"/>
                <w:spacing w:val="-2"/>
              </w:rPr>
              <w:t xml:space="preserve">; and </w:t>
            </w:r>
          </w:p>
          <w:p w:rsidR="00DA14A2" w:rsidRDefault="004A11C6">
            <w:pPr>
              <w:pStyle w:val="ListParagraph"/>
              <w:numPr>
                <w:ilvl w:val="0"/>
                <w:numId w:val="36"/>
              </w:numPr>
              <w:suppressAutoHyphens w:val="0"/>
              <w:spacing w:after="160" w:line="240" w:lineRule="auto"/>
              <w:textAlignment w:val="auto"/>
            </w:pPr>
            <w:r>
              <w:rPr>
                <w:rFonts w:cs="Calibri"/>
                <w:spacing w:val="-2"/>
              </w:rPr>
              <w:t>any “Essential Subcontractor” means any Key Subcontractor;</w:t>
            </w:r>
          </w:p>
        </w:tc>
      </w:tr>
      <w:tr w:rsidR="00DA14A2">
        <w:tc>
          <w:tcPr>
            <w:tcW w:w="2160" w:type="dxa"/>
            <w:shd w:val="clear" w:color="auto" w:fill="auto"/>
            <w:tcMar>
              <w:top w:w="0" w:type="dxa"/>
              <w:left w:w="108" w:type="dxa"/>
              <w:bottom w:w="0" w:type="dxa"/>
              <w:right w:w="108" w:type="dxa"/>
            </w:tcMar>
          </w:tcPr>
          <w:p w:rsidR="00DA14A2" w:rsidRDefault="004A11C6">
            <w:pPr>
              <w:spacing w:before="120" w:after="120"/>
              <w:rPr>
                <w:rFonts w:cs="Calibri"/>
                <w:b/>
              </w:rPr>
            </w:pPr>
            <w:r>
              <w:rPr>
                <w:rFonts w:cs="Calibri"/>
                <w:b/>
              </w:rPr>
              <w:t>“VAT”</w:t>
            </w:r>
          </w:p>
        </w:tc>
        <w:tc>
          <w:tcPr>
            <w:tcW w:w="6758" w:type="dxa"/>
            <w:shd w:val="clear" w:color="auto" w:fill="auto"/>
            <w:tcMar>
              <w:top w:w="0" w:type="dxa"/>
              <w:left w:w="108" w:type="dxa"/>
              <w:bottom w:w="0" w:type="dxa"/>
              <w:right w:w="108" w:type="dxa"/>
            </w:tcMar>
          </w:tcPr>
          <w:p w:rsidR="00DA14A2" w:rsidRDefault="004A11C6">
            <w:pPr>
              <w:tabs>
                <w:tab w:val="left" w:pos="-75"/>
              </w:tabs>
              <w:spacing w:before="120" w:after="120"/>
              <w:jc w:val="both"/>
            </w:pPr>
            <w:r>
              <w:rPr>
                <w:rFonts w:cs="Calibri"/>
              </w:rPr>
              <w:t>value added tax as provided for in the Value Added Tax Act 1994.</w:t>
            </w:r>
          </w:p>
        </w:tc>
      </w:tr>
    </w:tbl>
    <w:p w:rsidR="00DA14A2" w:rsidRDefault="00DA14A2">
      <w:pPr>
        <w:rPr>
          <w:rFonts w:cs="Calibri"/>
          <w:b/>
        </w:rPr>
      </w:pPr>
    </w:p>
    <w:p w:rsidR="00DA14A2" w:rsidRDefault="004A11C6">
      <w:pPr>
        <w:pStyle w:val="ListParagraph"/>
        <w:numPr>
          <w:ilvl w:val="0"/>
          <w:numId w:val="31"/>
        </w:numPr>
        <w:suppressAutoHyphens w:val="0"/>
        <w:spacing w:line="240" w:lineRule="auto"/>
        <w:ind w:left="426" w:hanging="426"/>
      </w:pPr>
      <w:bookmarkStart w:id="11" w:name="_Ref22568790"/>
      <w:r>
        <w:rPr>
          <w:rFonts w:ascii="Calibri" w:eastAsia="Times New Roman" w:hAnsi="Calibri" w:cs="Calibri"/>
          <w:b/>
          <w:bCs/>
        </w:rPr>
        <w:t>Payment and Recovery of Sums Due</w:t>
      </w:r>
      <w:bookmarkEnd w:id="11"/>
      <w:r>
        <w:rPr>
          <w:rFonts w:ascii="Calibri" w:eastAsia="Times New Roman" w:hAnsi="Calibri" w:cs="Calibri"/>
        </w:rPr>
        <w:t> </w:t>
      </w:r>
    </w:p>
    <w:p w:rsidR="00DA14A2" w:rsidRDefault="004A11C6">
      <w:pPr>
        <w:pStyle w:val="Heading2"/>
        <w:keepNext w:val="0"/>
        <w:keepLines w:val="0"/>
        <w:numPr>
          <w:ilvl w:val="1"/>
          <w:numId w:val="31"/>
        </w:numPr>
        <w:suppressAutoHyphens w:val="0"/>
        <w:spacing w:before="0" w:after="0" w:line="240" w:lineRule="auto"/>
        <w:ind w:left="426" w:hanging="426"/>
        <w:jc w:val="both"/>
        <w:textAlignment w:val="auto"/>
      </w:pPr>
      <w:r>
        <w:rPr>
          <w:rFonts w:ascii="Calibri" w:eastAsia="Times New Roman" w:hAnsi="Calibri" w:cs="Calibri"/>
          <w:sz w:val="22"/>
          <w:szCs w:val="22"/>
        </w:rPr>
        <w:t xml:space="preserve">The Supplier shall invoice the Authority as specified in the Agreement. </w:t>
      </w:r>
      <w:bookmarkStart w:id="12" w:name="_Ref449355781"/>
      <w:r>
        <w:rPr>
          <w:rFonts w:ascii="Calibri" w:hAnsi="Calibri"/>
          <w:sz w:val="22"/>
          <w:szCs w:val="22"/>
        </w:rPr>
        <w:t xml:space="preserve">Without prejudice to the generality of the invoicing procedure specified in the Agreement, the Supplier </w:t>
      </w:r>
      <w:bookmarkEnd w:id="12"/>
      <w:r>
        <w:rPr>
          <w:rFonts w:ascii="Calibri" w:hAnsi="Calibri"/>
          <w:sz w:val="22"/>
          <w:szCs w:val="22"/>
        </w:rPr>
        <w:t xml:space="preserve">shall procure a Purchase Order Number from the Authority prior to the commencement of any Services and the Supplier acknowledges and agrees that should it commence Services without a Purchase Order Number: </w:t>
      </w:r>
    </w:p>
    <w:p w:rsidR="00DA14A2" w:rsidRDefault="004A11C6">
      <w:pPr>
        <w:pStyle w:val="Heading3"/>
        <w:keepNext w:val="0"/>
        <w:keepLines w:val="0"/>
        <w:widowControl w:val="0"/>
        <w:numPr>
          <w:ilvl w:val="2"/>
          <w:numId w:val="31"/>
        </w:numPr>
        <w:suppressAutoHyphens w:val="0"/>
        <w:spacing w:before="0" w:after="0" w:line="240" w:lineRule="auto"/>
        <w:ind w:left="1134" w:hanging="708"/>
        <w:jc w:val="both"/>
        <w:textAlignment w:val="auto"/>
        <w:rPr>
          <w:rFonts w:ascii="Calibri" w:hAnsi="Calibri"/>
          <w:color w:val="auto"/>
          <w:sz w:val="22"/>
          <w:szCs w:val="22"/>
        </w:rPr>
      </w:pPr>
      <w:r>
        <w:rPr>
          <w:rFonts w:ascii="Calibri" w:hAnsi="Calibri"/>
          <w:color w:val="auto"/>
          <w:sz w:val="22"/>
          <w:szCs w:val="22"/>
        </w:rPr>
        <w:t>the Supplier does so at its own risk; and</w:t>
      </w:r>
    </w:p>
    <w:p w:rsidR="00DA14A2" w:rsidRDefault="004A11C6">
      <w:pPr>
        <w:pStyle w:val="Heading3"/>
        <w:keepNext w:val="0"/>
        <w:keepLines w:val="0"/>
        <w:widowControl w:val="0"/>
        <w:numPr>
          <w:ilvl w:val="2"/>
          <w:numId w:val="31"/>
        </w:numPr>
        <w:suppressAutoHyphens w:val="0"/>
        <w:spacing w:before="0" w:after="0" w:line="240" w:lineRule="auto"/>
        <w:ind w:left="1134" w:hanging="708"/>
        <w:jc w:val="both"/>
        <w:textAlignment w:val="auto"/>
        <w:rPr>
          <w:rFonts w:ascii="Calibri" w:hAnsi="Calibri"/>
          <w:color w:val="auto"/>
          <w:sz w:val="22"/>
          <w:szCs w:val="22"/>
        </w:rPr>
      </w:pPr>
      <w:r>
        <w:rPr>
          <w:rFonts w:ascii="Calibri" w:hAnsi="Calibri"/>
          <w:color w:val="auto"/>
          <w:sz w:val="22"/>
          <w:szCs w:val="22"/>
        </w:rPr>
        <w:t>the Authority shall not be obliged to pay any invoice without a valid Purchase Order Number having been provided to the Supplier.</w:t>
      </w:r>
    </w:p>
    <w:p w:rsidR="00DA14A2" w:rsidRDefault="004A11C6">
      <w:pPr>
        <w:pStyle w:val="ListParagraph"/>
        <w:numPr>
          <w:ilvl w:val="1"/>
          <w:numId w:val="31"/>
        </w:numPr>
        <w:suppressAutoHyphens w:val="0"/>
        <w:spacing w:line="240" w:lineRule="auto"/>
        <w:ind w:left="426" w:hanging="426"/>
      </w:pPr>
      <w:r>
        <w:rPr>
          <w:rFonts w:ascii="Calibri" w:eastAsia="Times New Roman" w:hAnsi="Calibri" w:cs="Calibri"/>
        </w:rPr>
        <w:t xml:space="preserve">Each invoice and any Supporting Documentation required to be submitted in accordance with </w:t>
      </w:r>
      <w:r>
        <w:t>the invoicing procedure specified in the Agreement</w:t>
      </w:r>
      <w:r>
        <w:rPr>
          <w:rFonts w:ascii="Calibri" w:eastAsia="Times New Roman" w:hAnsi="Calibri" w:cs="Calibri"/>
        </w:rPr>
        <w:t xml:space="preserve"> shall be submitted by the Supplier, as directed by the Authority from time to time via the Authority’s electronic transaction system.</w:t>
      </w:r>
    </w:p>
    <w:p w:rsidR="00DA14A2" w:rsidRDefault="004A11C6">
      <w:pPr>
        <w:pStyle w:val="ListParagraph"/>
        <w:numPr>
          <w:ilvl w:val="1"/>
          <w:numId w:val="31"/>
        </w:numPr>
        <w:suppressAutoHyphens w:val="0"/>
        <w:spacing w:line="240" w:lineRule="auto"/>
        <w:ind w:left="426" w:hanging="426"/>
      </w:pPr>
      <w:r>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rsidR="00DA14A2" w:rsidRDefault="00DA14A2">
      <w:pPr>
        <w:pStyle w:val="ListParagraph"/>
        <w:spacing w:line="240" w:lineRule="auto"/>
        <w:ind w:left="1287"/>
        <w:rPr>
          <w:rFonts w:ascii="Calibri" w:eastAsia="Times New Roman" w:hAnsi="Calibri" w:cs="Calibri"/>
        </w:rPr>
      </w:pPr>
    </w:p>
    <w:p w:rsidR="00DA14A2" w:rsidRDefault="00DA14A2">
      <w:pPr>
        <w:pStyle w:val="ListParagraph"/>
        <w:spacing w:line="240" w:lineRule="auto"/>
        <w:ind w:left="1287"/>
        <w:rPr>
          <w:rFonts w:ascii="&amp;quot" w:eastAsia="Times New Roman" w:hAnsi="&amp;quot" w:cs="Times New Roman"/>
          <w:sz w:val="18"/>
          <w:szCs w:val="18"/>
        </w:rPr>
      </w:pPr>
    </w:p>
    <w:p w:rsidR="00DA14A2" w:rsidRDefault="00DA14A2">
      <w:pPr>
        <w:pStyle w:val="ListParagraph"/>
        <w:spacing w:line="240" w:lineRule="auto"/>
        <w:ind w:left="360"/>
        <w:rPr>
          <w:rFonts w:ascii="&amp;quot" w:eastAsia="Times New Roman" w:hAnsi="&amp;quot" w:cs="Times New Roman"/>
          <w:sz w:val="18"/>
          <w:szCs w:val="18"/>
        </w:rPr>
      </w:pPr>
    </w:p>
    <w:p w:rsidR="00DA14A2" w:rsidRDefault="004A11C6">
      <w:pPr>
        <w:pStyle w:val="ListParagraph"/>
        <w:numPr>
          <w:ilvl w:val="0"/>
          <w:numId w:val="31"/>
        </w:numPr>
        <w:suppressAutoHyphens w:val="0"/>
        <w:spacing w:after="160" w:line="240" w:lineRule="auto"/>
        <w:ind w:left="426" w:hanging="426"/>
        <w:textAlignment w:val="auto"/>
        <w:rPr>
          <w:rFonts w:cs="Calibri"/>
          <w:b/>
        </w:rPr>
      </w:pPr>
      <w:r>
        <w:rPr>
          <w:rFonts w:cs="Calibri"/>
          <w:b/>
        </w:rPr>
        <w:t>Warranties</w:t>
      </w:r>
    </w:p>
    <w:p w:rsidR="00DA14A2" w:rsidRDefault="004A11C6">
      <w:pPr>
        <w:pStyle w:val="ListParagraph"/>
        <w:numPr>
          <w:ilvl w:val="1"/>
          <w:numId w:val="31"/>
        </w:numPr>
        <w:suppressAutoHyphens w:val="0"/>
        <w:spacing w:after="160" w:line="240" w:lineRule="auto"/>
        <w:ind w:left="426" w:hanging="426"/>
        <w:textAlignment w:val="auto"/>
      </w:pPr>
      <w:r>
        <w:rPr>
          <w:rFonts w:cs="Calibri"/>
        </w:rPr>
        <w:t>The Supplier represents and warrants that:</w:t>
      </w:r>
    </w:p>
    <w:p w:rsidR="00DA14A2" w:rsidRDefault="004A11C6">
      <w:pPr>
        <w:pStyle w:val="ListParagraph"/>
        <w:numPr>
          <w:ilvl w:val="2"/>
          <w:numId w:val="31"/>
        </w:numPr>
        <w:suppressAutoHyphens w:val="0"/>
        <w:spacing w:after="160" w:line="240" w:lineRule="auto"/>
        <w:ind w:left="1134" w:hanging="708"/>
        <w:textAlignment w:val="auto"/>
      </w:pPr>
      <w:bookmarkStart w:id="13" w:name="_Ref19804150"/>
      <w:r>
        <w:rPr>
          <w:rFonts w:cs="Calibri"/>
        </w:rPr>
        <w:t>in the three years prior to the Effective Date, it has been in full compliance with all applicable securities and Laws related to Tax in the United Kingdom and in the jurisdiction in which it is established;</w:t>
      </w:r>
      <w:bookmarkEnd w:id="13"/>
    </w:p>
    <w:p w:rsidR="00DA14A2" w:rsidRDefault="004A11C6">
      <w:pPr>
        <w:pStyle w:val="ListParagraph"/>
        <w:numPr>
          <w:ilvl w:val="2"/>
          <w:numId w:val="31"/>
        </w:numPr>
        <w:suppressAutoHyphens w:val="0"/>
        <w:spacing w:after="160" w:line="240" w:lineRule="auto"/>
        <w:ind w:left="1134" w:hanging="708"/>
        <w:textAlignment w:val="auto"/>
        <w:rPr>
          <w:rFonts w:cs="Calibri"/>
        </w:rPr>
      </w:pPr>
      <w:bookmarkStart w:id="14" w:name="_Ref19804166"/>
      <w:r>
        <w:rPr>
          <w:rFonts w:cs="Calibri"/>
        </w:rPr>
        <w:t>it has notified the Authority in writing of any Tax Non-Compliance it is involved in; and</w:t>
      </w:r>
      <w:bookmarkEnd w:id="14"/>
    </w:p>
    <w:p w:rsidR="00DA14A2" w:rsidRDefault="004A11C6">
      <w:pPr>
        <w:pStyle w:val="ListParagraph"/>
        <w:numPr>
          <w:ilvl w:val="2"/>
          <w:numId w:val="31"/>
        </w:numPr>
        <w:suppressAutoHyphens w:val="0"/>
        <w:spacing w:after="160" w:line="240" w:lineRule="auto"/>
        <w:ind w:left="1134" w:hanging="708"/>
        <w:textAlignment w:val="auto"/>
      </w:pPr>
      <w:bookmarkStart w:id="15" w:name="_Ref19804201"/>
      <w:r>
        <w:rPr>
          <w:rFonts w:cs="Calibr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5"/>
    </w:p>
    <w:p w:rsidR="00DA14A2" w:rsidRDefault="004A11C6">
      <w:pPr>
        <w:pStyle w:val="ListParagraph"/>
        <w:numPr>
          <w:ilvl w:val="1"/>
          <w:numId w:val="31"/>
        </w:numPr>
        <w:suppressAutoHyphens w:val="0"/>
        <w:spacing w:after="160" w:line="240" w:lineRule="auto"/>
        <w:ind w:left="426" w:hanging="426"/>
        <w:textAlignment w:val="auto"/>
        <w:rPr>
          <w:rFonts w:cs="Calibri"/>
        </w:rPr>
      </w:pPr>
      <w:r>
        <w:rPr>
          <w:rFonts w:cs="Calibri"/>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rsidR="00DA14A2" w:rsidRDefault="004A11C6">
      <w:pPr>
        <w:pStyle w:val="ListParagraph"/>
        <w:numPr>
          <w:ilvl w:val="1"/>
          <w:numId w:val="31"/>
        </w:numPr>
        <w:suppressAutoHyphens w:val="0"/>
        <w:spacing w:after="160" w:line="240" w:lineRule="auto"/>
        <w:ind w:left="426" w:hanging="426"/>
        <w:textAlignment w:val="auto"/>
        <w:rPr>
          <w:rFonts w:cs="Calibri"/>
        </w:rPr>
      </w:pPr>
      <w:r>
        <w:rPr>
          <w:rFonts w:cs="Calibri"/>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rsidR="00DA14A2" w:rsidRDefault="00DA14A2">
      <w:pPr>
        <w:pStyle w:val="ListParagraph"/>
        <w:ind w:left="426"/>
        <w:rPr>
          <w:rFonts w:cs="Calibri"/>
        </w:rPr>
      </w:pPr>
    </w:p>
    <w:p w:rsidR="00DA14A2" w:rsidRDefault="004A11C6">
      <w:pPr>
        <w:pStyle w:val="ListParagraph"/>
        <w:numPr>
          <w:ilvl w:val="0"/>
          <w:numId w:val="31"/>
        </w:numPr>
        <w:suppressAutoHyphens w:val="0"/>
        <w:spacing w:after="160" w:line="240" w:lineRule="auto"/>
        <w:ind w:left="426" w:hanging="426"/>
        <w:textAlignment w:val="auto"/>
        <w:rPr>
          <w:rFonts w:cs="Calibri"/>
          <w:b/>
        </w:rPr>
      </w:pPr>
      <w:r>
        <w:rPr>
          <w:rFonts w:cs="Calibri"/>
          <w:b/>
        </w:rPr>
        <w:t>Promoting Tax Compliance</w:t>
      </w:r>
    </w:p>
    <w:p w:rsidR="00DA14A2" w:rsidRDefault="004A11C6">
      <w:pPr>
        <w:pStyle w:val="ListParagraph"/>
        <w:numPr>
          <w:ilvl w:val="1"/>
          <w:numId w:val="31"/>
        </w:numPr>
        <w:suppressAutoHyphens w:val="0"/>
        <w:spacing w:after="160" w:line="240" w:lineRule="auto"/>
        <w:ind w:left="426" w:hanging="426"/>
        <w:textAlignment w:val="auto"/>
      </w:pPr>
      <w:r>
        <w:rPr>
          <w:rFonts w:cs="Calibri"/>
        </w:rPr>
        <w:t xml:space="preserve">All amounts stated </w:t>
      </w:r>
      <w:r>
        <w:rPr>
          <w:rFonts w:cs="Calibri"/>
          <w:szCs w:val="20"/>
        </w:rPr>
        <w:t>are stated exclusive of VAT, which shall be added at the prevailing rate as applicable and paid by the Authority following delivery of a valid VAT invoice.</w:t>
      </w:r>
    </w:p>
    <w:p w:rsidR="00DA14A2" w:rsidRDefault="004A11C6">
      <w:pPr>
        <w:pStyle w:val="ListParagraph"/>
        <w:numPr>
          <w:ilvl w:val="1"/>
          <w:numId w:val="31"/>
        </w:numPr>
        <w:suppressAutoHyphens w:val="0"/>
        <w:spacing w:after="160" w:line="240" w:lineRule="auto"/>
        <w:ind w:left="426" w:hanging="426"/>
        <w:textAlignment w:val="auto"/>
        <w:rPr>
          <w:rFonts w:cs="Calibri"/>
        </w:rPr>
      </w:pPr>
      <w:bookmarkStart w:id="16" w:name="_Ref20319270"/>
      <w:r>
        <w:rPr>
          <w:rFonts w:cs="Calibri"/>
        </w:rPr>
        <w:t>To the extent applicable to the Supplier, the Supplier shall at all times comply with all Laws relating to Tax and with the equivalent legal provisions of the country in which the Supplier is established.</w:t>
      </w:r>
      <w:bookmarkEnd w:id="16"/>
      <w:r>
        <w:rPr>
          <w:rFonts w:cs="Calibri"/>
        </w:rPr>
        <w:t xml:space="preserve"> </w:t>
      </w:r>
    </w:p>
    <w:p w:rsidR="00DA14A2" w:rsidRDefault="004A11C6">
      <w:pPr>
        <w:pStyle w:val="ListParagraph"/>
        <w:numPr>
          <w:ilvl w:val="1"/>
          <w:numId w:val="31"/>
        </w:numPr>
        <w:suppressAutoHyphens w:val="0"/>
        <w:spacing w:after="160" w:line="240" w:lineRule="auto"/>
        <w:ind w:left="426" w:hanging="426"/>
        <w:textAlignment w:val="auto"/>
        <w:rPr>
          <w:rFonts w:cs="Calibri"/>
        </w:rPr>
      </w:pPr>
      <w:bookmarkStart w:id="17" w:name="_Ref20993847"/>
      <w:bookmarkStart w:id="18" w:name="_Ref20319306"/>
      <w:r>
        <w:rPr>
          <w:rFonts w:cs="Calibr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
      <w:r>
        <w:rPr>
          <w:rFonts w:cs="Calibri"/>
        </w:rPr>
        <w:t xml:space="preserve">  </w:t>
      </w:r>
      <w:bookmarkEnd w:id="18"/>
    </w:p>
    <w:p w:rsidR="00DA14A2" w:rsidRDefault="004A11C6">
      <w:pPr>
        <w:pStyle w:val="ListParagraph"/>
        <w:numPr>
          <w:ilvl w:val="1"/>
          <w:numId w:val="31"/>
        </w:numPr>
        <w:suppressAutoHyphens w:val="0"/>
        <w:spacing w:after="160" w:line="240" w:lineRule="auto"/>
        <w:ind w:left="426" w:hanging="426"/>
        <w:textAlignment w:val="auto"/>
        <w:rPr>
          <w:rFonts w:cs="Calibri"/>
        </w:rPr>
      </w:pPr>
      <w:bookmarkStart w:id="19" w:name="_Ref20993857"/>
      <w:r>
        <w:rPr>
          <w:rFonts w:cs="Calibri"/>
        </w:rPr>
        <w:t>If, at any point during the Term, there is Tax Non-Compliance, the Supplier shall:</w:t>
      </w:r>
      <w:bookmarkEnd w:id="19"/>
    </w:p>
    <w:p w:rsidR="00DA14A2" w:rsidRDefault="004A11C6">
      <w:pPr>
        <w:pStyle w:val="ListParagraph"/>
        <w:numPr>
          <w:ilvl w:val="2"/>
          <w:numId w:val="31"/>
        </w:numPr>
        <w:suppressAutoHyphens w:val="0"/>
        <w:spacing w:after="160" w:line="240" w:lineRule="auto"/>
        <w:ind w:left="1134" w:hanging="708"/>
        <w:textAlignment w:val="auto"/>
        <w:rPr>
          <w:rFonts w:cs="Calibri"/>
        </w:rPr>
      </w:pPr>
      <w:bookmarkStart w:id="20" w:name="_Ref20319279"/>
      <w:r>
        <w:rPr>
          <w:rFonts w:cs="Calibri"/>
        </w:rPr>
        <w:t>notify the Authority in writing of such fact within five (5) Working Days of its occurrence; and</w:t>
      </w:r>
      <w:bookmarkEnd w:id="20"/>
    </w:p>
    <w:p w:rsidR="00DA14A2" w:rsidRDefault="004A11C6">
      <w:pPr>
        <w:pStyle w:val="ListParagraph"/>
        <w:numPr>
          <w:ilvl w:val="2"/>
          <w:numId w:val="31"/>
        </w:numPr>
        <w:suppressAutoHyphens w:val="0"/>
        <w:spacing w:after="160" w:line="240" w:lineRule="auto"/>
        <w:ind w:left="1134" w:hanging="708"/>
        <w:textAlignment w:val="auto"/>
        <w:rPr>
          <w:rFonts w:cs="Calibri"/>
        </w:rPr>
      </w:pPr>
      <w:bookmarkStart w:id="21" w:name="_Ref20319317"/>
      <w:r>
        <w:rPr>
          <w:rFonts w:cs="Calibri"/>
        </w:rPr>
        <w:t>promptly provide to the Authority:</w:t>
      </w:r>
      <w:bookmarkEnd w:id="21"/>
    </w:p>
    <w:p w:rsidR="00DA14A2" w:rsidRDefault="004A11C6">
      <w:pPr>
        <w:pStyle w:val="ListParagraph"/>
        <w:numPr>
          <w:ilvl w:val="0"/>
          <w:numId w:val="37"/>
        </w:numPr>
        <w:suppressAutoHyphens w:val="0"/>
        <w:spacing w:after="160" w:line="240" w:lineRule="auto"/>
        <w:textAlignment w:val="auto"/>
        <w:rPr>
          <w:rFonts w:cs="Calibri"/>
        </w:rPr>
      </w:pPr>
      <w:r>
        <w:rPr>
          <w:rFonts w:cs="Calibri"/>
        </w:rPr>
        <w:t xml:space="preserve">details of the steps which the Supplier is taking to resolve the Tax Non-Compliance and to prevent the same from recurring, together with any mitigating factors that it considers relevant; and </w:t>
      </w:r>
    </w:p>
    <w:p w:rsidR="00DA14A2" w:rsidRDefault="004A11C6">
      <w:pPr>
        <w:pStyle w:val="ListParagraph"/>
        <w:numPr>
          <w:ilvl w:val="0"/>
          <w:numId w:val="37"/>
        </w:numPr>
        <w:suppressAutoHyphens w:val="0"/>
        <w:spacing w:after="160" w:line="240" w:lineRule="auto"/>
        <w:textAlignment w:val="auto"/>
        <w:rPr>
          <w:rFonts w:cs="Calibri"/>
        </w:rPr>
      </w:pPr>
      <w:r>
        <w:rPr>
          <w:rFonts w:cs="Calibri"/>
        </w:rPr>
        <w:t>such other information in relation to the Tax Non-Compliance as the Authority may reasonably require.</w:t>
      </w:r>
    </w:p>
    <w:p w:rsidR="00DA14A2" w:rsidRDefault="004A11C6">
      <w:pPr>
        <w:pStyle w:val="ListParagraph"/>
        <w:numPr>
          <w:ilvl w:val="1"/>
          <w:numId w:val="31"/>
        </w:numPr>
        <w:suppressAutoHyphens w:val="0"/>
        <w:spacing w:after="160" w:line="240" w:lineRule="auto"/>
        <w:ind w:left="426" w:hanging="426"/>
        <w:textAlignment w:val="auto"/>
        <w:rPr>
          <w:rFonts w:cs="Calibri"/>
        </w:rPr>
      </w:pPr>
      <w:bookmarkStart w:id="22" w:name="_Ref20319101"/>
      <w:r>
        <w:rPr>
          <w:rFonts w:cs="Calibri"/>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22"/>
      <w:r>
        <w:rPr>
          <w:rFonts w:cs="Calibri"/>
        </w:rPr>
        <w:t xml:space="preserve">  </w:t>
      </w:r>
    </w:p>
    <w:p w:rsidR="00DA14A2" w:rsidRDefault="004A11C6">
      <w:pPr>
        <w:pStyle w:val="ListParagraph"/>
        <w:numPr>
          <w:ilvl w:val="1"/>
          <w:numId w:val="31"/>
        </w:numPr>
        <w:suppressAutoHyphens w:val="0"/>
        <w:spacing w:after="160" w:line="240" w:lineRule="auto"/>
        <w:ind w:left="426" w:hanging="426"/>
        <w:textAlignment w:val="auto"/>
        <w:rPr>
          <w:rFonts w:cs="Calibri"/>
        </w:rPr>
      </w:pPr>
      <w:bookmarkStart w:id="23" w:name="_Ref20319292"/>
      <w:r>
        <w:rPr>
          <w:rFonts w:cs="Calibri"/>
        </w:rPr>
        <w:t>Upon the Authority’s request, the Supplier shall provide (promptly or within such other period notified by the Authority) information which demonstrates how the Supplier complies with its Tax obligations.</w:t>
      </w:r>
      <w:bookmarkEnd w:id="23"/>
      <w:r>
        <w:rPr>
          <w:rFonts w:cs="Calibri"/>
        </w:rPr>
        <w:t xml:space="preserve"> </w:t>
      </w:r>
    </w:p>
    <w:p w:rsidR="00DA14A2" w:rsidRDefault="004A11C6">
      <w:pPr>
        <w:pStyle w:val="ListParagraph"/>
        <w:numPr>
          <w:ilvl w:val="1"/>
          <w:numId w:val="31"/>
        </w:numPr>
        <w:suppressAutoHyphens w:val="0"/>
        <w:spacing w:after="160" w:line="240" w:lineRule="auto"/>
        <w:ind w:left="426" w:hanging="426"/>
        <w:textAlignment w:val="auto"/>
      </w:pPr>
      <w:r>
        <w:rPr>
          <w:rStyle w:val="normaltextrun1"/>
          <w:rFonts w:cs="Calibri"/>
        </w:rPr>
        <w:t xml:space="preserve">If the Supplier: </w:t>
      </w:r>
    </w:p>
    <w:p w:rsidR="00DA14A2" w:rsidRDefault="004A11C6">
      <w:pPr>
        <w:pStyle w:val="paragraph"/>
        <w:numPr>
          <w:ilvl w:val="2"/>
          <w:numId w:val="31"/>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with Clauses 4.2, 4.4.1 and/or 4.6 this may be a material breach of the Agreement; </w:t>
      </w:r>
    </w:p>
    <w:p w:rsidR="00DA14A2" w:rsidRDefault="004A11C6">
      <w:pPr>
        <w:pStyle w:val="paragraph"/>
        <w:numPr>
          <w:ilvl w:val="2"/>
          <w:numId w:val="31"/>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t>
      </w:r>
      <w:r>
        <w:rPr>
          <w:rFonts w:ascii="Calibri" w:hAnsi="Calibri" w:cs="Calibri"/>
          <w:sz w:val="22"/>
          <w:szCs w:val="22"/>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Pr>
          <w:rStyle w:val="normaltextrun1"/>
          <w:rFonts w:ascii="Calibri" w:hAnsi="Calibri" w:cs="Calibri"/>
          <w:sz w:val="22"/>
          <w:szCs w:val="22"/>
        </w:rPr>
        <w:t xml:space="preserve"> this shall be a material breach of the Agreement; and/or</w:t>
      </w:r>
    </w:p>
    <w:p w:rsidR="00DA14A2" w:rsidRDefault="004A11C6">
      <w:pPr>
        <w:pStyle w:val="paragraph"/>
        <w:numPr>
          <w:ilvl w:val="2"/>
          <w:numId w:val="31"/>
        </w:numPr>
        <w:ind w:left="1276" w:hanging="709"/>
        <w:textAlignment w:val="baseline"/>
      </w:pPr>
      <w:r>
        <w:rPr>
          <w:rStyle w:val="normaltextrun1"/>
          <w:rFonts w:ascii="Calibri" w:hAnsi="Calibri" w:cs="Calibri"/>
          <w:sz w:val="22"/>
          <w:szCs w:val="22"/>
        </w:rPr>
        <w:t>fails to provide details of steps being taken and mitigating factors pursuant to Clause 4.4.2 which in the reasonable opinion of the Authority are acceptable this shall be a material breach of the Agreement;</w:t>
      </w:r>
    </w:p>
    <w:p w:rsidR="00DA14A2" w:rsidRDefault="00DA14A2">
      <w:pPr>
        <w:pStyle w:val="paragraph"/>
        <w:ind w:left="426" w:hanging="426"/>
        <w:textAlignment w:val="baseline"/>
      </w:pPr>
    </w:p>
    <w:p w:rsidR="00DA14A2" w:rsidRDefault="004A11C6">
      <w:pPr>
        <w:pStyle w:val="paragraph"/>
        <w:ind w:left="426"/>
        <w:textAlignment w:val="baseline"/>
      </w:pPr>
      <w:r>
        <w:rPr>
          <w:rStyle w:val="normaltextrun1"/>
          <w:rFonts w:ascii="Calibri" w:hAnsi="Calibri" w:cs="Calibri"/>
          <w:sz w:val="22"/>
          <w:szCs w:val="22"/>
        </w:rPr>
        <w:t xml:space="preserve">and any such material breach shall allow the Authority to </w:t>
      </w:r>
      <w:r>
        <w:rPr>
          <w:rFonts w:ascii="Calibri" w:hAnsi="Calibri" w:cs="Calibri"/>
          <w:sz w:val="22"/>
          <w:szCs w:val="22"/>
        </w:rPr>
        <w:t xml:space="preserve">terminate the Agreement pursuant to the Call-Off Clause which provides the Authority the right to terminate the Agreement for Supplier fault (termination for Supplier cause or equivalent clause). </w:t>
      </w:r>
    </w:p>
    <w:p w:rsidR="00DA14A2" w:rsidRDefault="004A11C6">
      <w:pPr>
        <w:pStyle w:val="ListParagraph"/>
        <w:numPr>
          <w:ilvl w:val="1"/>
          <w:numId w:val="31"/>
        </w:numPr>
        <w:suppressAutoHyphens w:val="0"/>
        <w:spacing w:after="160" w:line="240" w:lineRule="auto"/>
        <w:ind w:left="426" w:hanging="426"/>
        <w:textAlignment w:val="auto"/>
        <w:rPr>
          <w:rFonts w:cs="Calibri"/>
        </w:rPr>
      </w:pPr>
      <w:r>
        <w:rPr>
          <w:rFonts w:cs="Calibri"/>
        </w:rPr>
        <w:lastRenderedPageBreak/>
        <w:t xml:space="preserve">The Authority may internally share any information which it receives under Clauses 4.3 to 4.4 (inclusive) and 4.6, for the purpose of the collection and management of revenue for which the Authority is responsible. </w:t>
      </w:r>
    </w:p>
    <w:p w:rsidR="00DA14A2" w:rsidRDefault="00DA14A2">
      <w:pPr>
        <w:pStyle w:val="ListParagraph"/>
        <w:ind w:left="426"/>
        <w:rPr>
          <w:rFonts w:cs="Calibri"/>
        </w:rPr>
      </w:pPr>
    </w:p>
    <w:p w:rsidR="00DA14A2" w:rsidRDefault="004A11C6">
      <w:pPr>
        <w:pStyle w:val="ListParagraph"/>
        <w:numPr>
          <w:ilvl w:val="0"/>
          <w:numId w:val="31"/>
        </w:numPr>
        <w:suppressAutoHyphens w:val="0"/>
        <w:spacing w:after="160" w:line="240" w:lineRule="auto"/>
        <w:ind w:left="426" w:hanging="426"/>
        <w:textAlignment w:val="auto"/>
        <w:rPr>
          <w:rFonts w:cs="Calibri"/>
          <w:b/>
          <w:lang w:val="en-US"/>
        </w:rPr>
      </w:pPr>
      <w:r>
        <w:rPr>
          <w:rFonts w:cs="Calibri"/>
          <w:b/>
          <w:lang w:val="en-US"/>
        </w:rPr>
        <w:t>Use of Off-shore Tax Structures</w:t>
      </w:r>
      <w:bookmarkStart w:id="24" w:name="_Ref456277829"/>
    </w:p>
    <w:p w:rsidR="00DA14A2" w:rsidRDefault="004A11C6">
      <w:pPr>
        <w:pStyle w:val="ListParagraph"/>
        <w:numPr>
          <w:ilvl w:val="1"/>
          <w:numId w:val="38"/>
        </w:numPr>
        <w:suppressAutoHyphens w:val="0"/>
        <w:spacing w:after="160" w:line="240" w:lineRule="auto"/>
        <w:ind w:left="426" w:hanging="426"/>
        <w:textAlignment w:val="auto"/>
      </w:pPr>
      <w:bookmarkStart w:id="25" w:name="_Ref19805004"/>
      <w:r>
        <w:rPr>
          <w:rFonts w:cs="Calibr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Calibri"/>
          <w:b/>
          <w:bCs/>
          <w:iCs/>
        </w:rPr>
        <w:t>“Prohibited Transactions”</w:t>
      </w:r>
      <w:r>
        <w:rPr>
          <w:rFonts w:cs="Calibr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6" w:name="_Ref454350421"/>
      <w:bookmarkEnd w:id="24"/>
      <w:bookmarkEnd w:id="25"/>
    </w:p>
    <w:p w:rsidR="00DA14A2" w:rsidRDefault="004A11C6">
      <w:pPr>
        <w:pStyle w:val="ListParagraph"/>
        <w:numPr>
          <w:ilvl w:val="1"/>
          <w:numId w:val="38"/>
        </w:numPr>
        <w:suppressAutoHyphens w:val="0"/>
        <w:spacing w:after="160" w:line="240" w:lineRule="auto"/>
        <w:ind w:left="426" w:hanging="426"/>
        <w:textAlignment w:val="auto"/>
      </w:pPr>
      <w:bookmarkStart w:id="27" w:name="_Ref19805057"/>
      <w:r>
        <w:rPr>
          <w:rFonts w:cs="Calibr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8" w:name="_Ref454350981"/>
      <w:bookmarkEnd w:id="26"/>
      <w:bookmarkEnd w:id="27"/>
    </w:p>
    <w:p w:rsidR="00DA14A2" w:rsidRDefault="004A11C6">
      <w:pPr>
        <w:pStyle w:val="ListParagraph"/>
        <w:numPr>
          <w:ilvl w:val="1"/>
          <w:numId w:val="38"/>
        </w:numPr>
        <w:suppressAutoHyphens w:val="0"/>
        <w:spacing w:after="160" w:line="240" w:lineRule="auto"/>
        <w:ind w:left="426" w:hanging="426"/>
        <w:textAlignment w:val="auto"/>
      </w:pPr>
      <w:bookmarkStart w:id="29" w:name="_Ref19805096"/>
      <w:r>
        <w:rPr>
          <w:rFonts w:cs="Calibri"/>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0" w:name="_Ref519588655"/>
      <w:bookmarkEnd w:id="28"/>
      <w:bookmarkEnd w:id="29"/>
    </w:p>
    <w:p w:rsidR="00DA14A2" w:rsidRDefault="004A11C6">
      <w:pPr>
        <w:pStyle w:val="ListParagraph"/>
        <w:numPr>
          <w:ilvl w:val="1"/>
          <w:numId w:val="38"/>
        </w:numPr>
        <w:suppressAutoHyphens w:val="0"/>
        <w:spacing w:after="160" w:line="240" w:lineRule="auto"/>
        <w:ind w:left="426" w:hanging="426"/>
        <w:textAlignment w:val="auto"/>
      </w:pPr>
      <w:r>
        <w:rPr>
          <w:rFonts w:cs="Calibri"/>
          <w:bCs/>
          <w:iCs/>
        </w:rPr>
        <w:t xml:space="preserve">Failure by the Supplier (or a Key Subcontractor) to comply with the obligations set out in Clauses 5.2 and 5.3 shall allow the Authority to terminate the Agreement pursuant to the Clause that </w:t>
      </w:r>
      <w:bookmarkEnd w:id="30"/>
      <w:r>
        <w:rPr>
          <w:rFonts w:cs="Calibri"/>
        </w:rPr>
        <w:t>provides the Authority the right to terminate the Agreement for Supplier fault (termination for Supplier cause).</w:t>
      </w:r>
    </w:p>
    <w:p w:rsidR="00DA14A2" w:rsidRDefault="00DA14A2">
      <w:pPr>
        <w:pStyle w:val="Body2"/>
        <w:keepLines/>
        <w:spacing w:after="0"/>
        <w:ind w:left="426"/>
        <w:rPr>
          <w:rFonts w:ascii="Calibri" w:hAnsi="Calibri" w:cs="Calibri"/>
          <w:b/>
          <w:spacing w:val="-3"/>
          <w:sz w:val="22"/>
          <w:szCs w:val="22"/>
          <w:lang w:val="en-US"/>
        </w:rPr>
      </w:pPr>
    </w:p>
    <w:p w:rsidR="00DA14A2" w:rsidRDefault="004A11C6">
      <w:pPr>
        <w:pStyle w:val="Body2"/>
        <w:keepLines/>
        <w:numPr>
          <w:ilvl w:val="0"/>
          <w:numId w:val="38"/>
        </w:numPr>
        <w:spacing w:after="0"/>
        <w:ind w:left="426" w:hanging="426"/>
        <w:rPr>
          <w:rFonts w:ascii="Calibri" w:hAnsi="Calibri" w:cs="Calibri"/>
          <w:b/>
          <w:spacing w:val="-3"/>
          <w:sz w:val="22"/>
          <w:szCs w:val="22"/>
          <w:lang w:val="en-US"/>
        </w:rPr>
      </w:pPr>
      <w:r>
        <w:rPr>
          <w:rFonts w:ascii="Calibri" w:hAnsi="Calibri" w:cs="Calibri"/>
          <w:b/>
          <w:spacing w:val="-3"/>
          <w:sz w:val="22"/>
          <w:szCs w:val="22"/>
          <w:lang w:val="en-US"/>
        </w:rPr>
        <w:t>Data Protection and off-shoring</w:t>
      </w:r>
    </w:p>
    <w:p w:rsidR="00DA14A2" w:rsidRDefault="004A11C6">
      <w:pPr>
        <w:pStyle w:val="Body2"/>
        <w:keepLines/>
        <w:numPr>
          <w:ilvl w:val="1"/>
          <w:numId w:val="38"/>
        </w:numPr>
        <w:spacing w:after="0"/>
        <w:ind w:left="426" w:hanging="426"/>
        <w:jc w:val="left"/>
        <w:rPr>
          <w:rFonts w:ascii="Calibri" w:hAnsi="Calibri" w:cs="Calibri"/>
          <w:spacing w:val="-3"/>
          <w:sz w:val="22"/>
          <w:szCs w:val="22"/>
          <w:lang w:val="en-US"/>
        </w:rPr>
      </w:pPr>
      <w:bookmarkStart w:id="31" w:name="_Ref19805122"/>
      <w:r>
        <w:rPr>
          <w:rFonts w:ascii="Calibri" w:hAnsi="Calibri" w:cs="Calibri"/>
          <w:spacing w:val="-3"/>
          <w:sz w:val="22"/>
          <w:szCs w:val="22"/>
          <w:lang w:val="en-US"/>
        </w:rPr>
        <w:t>The Processor shall, in relation to any Personal Data processed in connection with its obligations under the Agreement:</w:t>
      </w:r>
      <w:bookmarkEnd w:id="31"/>
    </w:p>
    <w:p w:rsidR="00DA14A2" w:rsidRDefault="004A11C6">
      <w:pPr>
        <w:pStyle w:val="Body2"/>
        <w:keepLines/>
        <w:numPr>
          <w:ilvl w:val="2"/>
          <w:numId w:val="38"/>
        </w:numPr>
        <w:spacing w:after="240"/>
        <w:ind w:left="1134" w:hanging="708"/>
        <w:jc w:val="left"/>
        <w:rPr>
          <w:rFonts w:ascii="Calibri" w:hAnsi="Calibri" w:cs="Calibri"/>
          <w:spacing w:val="-3"/>
          <w:sz w:val="22"/>
          <w:szCs w:val="22"/>
          <w:lang w:val="en-US"/>
        </w:rPr>
      </w:pPr>
      <w:r>
        <w:rPr>
          <w:rFonts w:ascii="Calibri" w:hAnsi="Calibri" w:cs="Calibri"/>
          <w:spacing w:val="-3"/>
          <w:sz w:val="22"/>
          <w:szCs w:val="22"/>
          <w:lang w:val="en-US"/>
        </w:rPr>
        <w:t>not transfer Personal Data outside of the United Kingdom unless the prior written consent of the Controller has been obtained and the following conditions are fulfilled:</w:t>
      </w:r>
    </w:p>
    <w:p w:rsidR="00DA14A2" w:rsidRDefault="004A11C6">
      <w:pPr>
        <w:pStyle w:val="Body2"/>
        <w:keepLines/>
        <w:numPr>
          <w:ilvl w:val="1"/>
          <w:numId w:val="3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Controller or the Processor has provided appropriate safeguards in relation to the transfer (whether in accordance with GDPR Article 46 or LED Article 37) as determined by the Controller;</w:t>
      </w:r>
    </w:p>
    <w:p w:rsidR="00DA14A2" w:rsidRDefault="004A11C6">
      <w:pPr>
        <w:pStyle w:val="Body2"/>
        <w:keepLines/>
        <w:numPr>
          <w:ilvl w:val="1"/>
          <w:numId w:val="3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Data Subject has enforceable rights and effective legal remedies;</w:t>
      </w:r>
    </w:p>
    <w:p w:rsidR="00DA14A2" w:rsidRDefault="004A11C6">
      <w:pPr>
        <w:pStyle w:val="Body2"/>
        <w:keepLines/>
        <w:numPr>
          <w:ilvl w:val="1"/>
          <w:numId w:val="3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DA14A2" w:rsidRDefault="004A11C6">
      <w:pPr>
        <w:pStyle w:val="Body2"/>
        <w:keepLines/>
        <w:numPr>
          <w:ilvl w:val="1"/>
          <w:numId w:val="3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lastRenderedPageBreak/>
        <w:t>the Processor complies with any reasonable instructions notified to it in advance by the Controller with respect to the processing of the Personal Data;</w:t>
      </w:r>
    </w:p>
    <w:p w:rsidR="00DA14A2" w:rsidRDefault="004A11C6">
      <w:pPr>
        <w:pStyle w:val="ListParagraph"/>
        <w:numPr>
          <w:ilvl w:val="1"/>
          <w:numId w:val="38"/>
        </w:numPr>
        <w:suppressAutoHyphens w:val="0"/>
        <w:spacing w:after="160" w:line="240" w:lineRule="auto"/>
        <w:ind w:left="426" w:hanging="426"/>
        <w:textAlignment w:val="auto"/>
      </w:pPr>
      <w:r>
        <w:rPr>
          <w:rFonts w:cs="Calibri"/>
          <w:bCs/>
          <w:iCs/>
        </w:rPr>
        <w:t>Failure by the Processor to comply with the obligations set out in Clause 6.1</w:t>
      </w:r>
      <w:r>
        <w:rPr>
          <w:rFonts w:cs="Calibri"/>
        </w:rPr>
        <w:t xml:space="preserve"> s</w:t>
      </w:r>
      <w:r>
        <w:rPr>
          <w:rFonts w:cs="Calibri"/>
          <w:bCs/>
          <w:iCs/>
        </w:rPr>
        <w:t xml:space="preserve">hall allow the Authority to terminate the Agreement pursuant to the Clause that </w:t>
      </w:r>
      <w:r>
        <w:rPr>
          <w:rFonts w:cs="Calibri"/>
        </w:rPr>
        <w:t>provides the Authority the right to terminate the Agreement for Supplier fault (termination for Supplier cause or equivalent clause).</w:t>
      </w:r>
    </w:p>
    <w:p w:rsidR="00DA14A2" w:rsidRDefault="00DA14A2">
      <w:pPr>
        <w:pStyle w:val="ListParagraph"/>
        <w:ind w:left="426"/>
        <w:rPr>
          <w:rFonts w:cs="Calibri"/>
          <w:b/>
        </w:rPr>
      </w:pPr>
    </w:p>
    <w:p w:rsidR="00DA14A2" w:rsidRDefault="004A11C6">
      <w:pPr>
        <w:pStyle w:val="ListParagraph"/>
        <w:numPr>
          <w:ilvl w:val="0"/>
          <w:numId w:val="38"/>
        </w:numPr>
        <w:suppressAutoHyphens w:val="0"/>
        <w:spacing w:after="160" w:line="240" w:lineRule="auto"/>
        <w:ind w:left="426" w:hanging="426"/>
        <w:textAlignment w:val="auto"/>
        <w:rPr>
          <w:rFonts w:cs="Calibri"/>
          <w:b/>
        </w:rPr>
      </w:pPr>
      <w:bookmarkStart w:id="32" w:name="_Ref24987602"/>
      <w:bookmarkStart w:id="33" w:name="_Ref25767967"/>
      <w:r>
        <w:rPr>
          <w:rFonts w:cs="Calibri"/>
          <w:b/>
        </w:rPr>
        <w:t>Commissioners for Revenue and Customs Act 2005</w:t>
      </w:r>
      <w:bookmarkEnd w:id="32"/>
      <w:r>
        <w:rPr>
          <w:rFonts w:cs="Calibri"/>
          <w:b/>
        </w:rPr>
        <w:t xml:space="preserve"> and related Legislation</w:t>
      </w:r>
      <w:bookmarkEnd w:id="33"/>
      <w:r>
        <w:rPr>
          <w:rFonts w:cs="Calibri"/>
          <w:b/>
        </w:rPr>
        <w:t xml:space="preserve"> </w:t>
      </w:r>
    </w:p>
    <w:p w:rsidR="00DA14A2" w:rsidRDefault="004A11C6">
      <w:pPr>
        <w:pStyle w:val="ListParagraph"/>
        <w:numPr>
          <w:ilvl w:val="1"/>
          <w:numId w:val="38"/>
        </w:numPr>
        <w:suppressAutoHyphens w:val="0"/>
        <w:spacing w:after="160" w:line="240" w:lineRule="auto"/>
        <w:ind w:left="426" w:hanging="426"/>
        <w:textAlignment w:val="auto"/>
        <w:rPr>
          <w:rFonts w:cs="Calibri"/>
        </w:rPr>
      </w:pPr>
      <w:bookmarkStart w:id="34" w:name="_Ref19805143"/>
      <w:r>
        <w:rPr>
          <w:rFonts w:cs="Calibri"/>
        </w:rPr>
        <w:t>The Supplier shall comply with and shall ensure that all Supplier Personnel who will have access to, or are provided with, Authority Data comply with</w:t>
      </w:r>
      <w:bookmarkEnd w:id="34"/>
      <w:r>
        <w:rPr>
          <w:rFonts w:cs="Calibr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rsidR="00DA14A2" w:rsidRDefault="004A11C6">
      <w:pPr>
        <w:pStyle w:val="ListParagraph"/>
        <w:numPr>
          <w:ilvl w:val="1"/>
          <w:numId w:val="38"/>
        </w:numPr>
        <w:suppressAutoHyphens w:val="0"/>
        <w:spacing w:after="160" w:line="240" w:lineRule="auto"/>
        <w:ind w:left="426" w:hanging="426"/>
        <w:textAlignment w:val="auto"/>
      </w:pPr>
      <w:r>
        <w:rPr>
          <w:rFonts w:cs="Calibr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DA14A2" w:rsidRDefault="004A11C6">
      <w:pPr>
        <w:pStyle w:val="ListParagraph"/>
        <w:numPr>
          <w:ilvl w:val="1"/>
          <w:numId w:val="38"/>
        </w:numPr>
        <w:suppressAutoHyphens w:val="0"/>
        <w:spacing w:after="160" w:line="240" w:lineRule="auto"/>
        <w:ind w:left="426" w:hanging="426"/>
        <w:textAlignment w:val="auto"/>
        <w:rPr>
          <w:rFonts w:cs="Calibri"/>
        </w:rPr>
      </w:pPr>
      <w:r>
        <w:rPr>
          <w:rFonts w:cs="Calibr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rsidR="00DA14A2" w:rsidRDefault="004A11C6">
      <w:pPr>
        <w:pStyle w:val="ListParagraph"/>
        <w:numPr>
          <w:ilvl w:val="1"/>
          <w:numId w:val="38"/>
        </w:numPr>
        <w:suppressAutoHyphens w:val="0"/>
        <w:spacing w:after="160" w:line="240" w:lineRule="auto"/>
        <w:ind w:left="426" w:hanging="426"/>
        <w:textAlignment w:val="auto"/>
        <w:rPr>
          <w:rFonts w:cs="Calibri"/>
        </w:rPr>
      </w:pPr>
      <w:r>
        <w:rPr>
          <w:rFonts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rsidR="00DA14A2" w:rsidRDefault="004A11C6">
      <w:pPr>
        <w:pStyle w:val="ListParagraph"/>
        <w:numPr>
          <w:ilvl w:val="1"/>
          <w:numId w:val="38"/>
        </w:numPr>
        <w:suppressAutoHyphens w:val="0"/>
        <w:spacing w:after="160" w:line="240" w:lineRule="auto"/>
        <w:ind w:left="426" w:hanging="426"/>
        <w:textAlignment w:val="auto"/>
      </w:pPr>
      <w:r>
        <w:rPr>
          <w:rFonts w:cs="Calibri"/>
        </w:rPr>
        <w:t>In the event that the Supplier or the Supplier Personnel fail to comply with this Clause 7, the Authority reserves the right to terminate the Agreement with immediate effect pursuant</w:t>
      </w:r>
      <w:r>
        <w:rPr>
          <w:rFonts w:cs="Calibri"/>
          <w:bCs/>
          <w:iCs/>
        </w:rPr>
        <w:t xml:space="preserve"> to the clause that </w:t>
      </w:r>
      <w:r>
        <w:rPr>
          <w:rFonts w:cs="Calibri"/>
        </w:rPr>
        <w:t>provides the Authority the right to terminate the Agreement for Supplier fault (termination for Supplier cause).</w:t>
      </w:r>
    </w:p>
    <w:p w:rsidR="00DA14A2" w:rsidRDefault="00DA14A2">
      <w:pPr>
        <w:rPr>
          <w:rFonts w:cs="Calibri"/>
        </w:rPr>
      </w:pPr>
    </w:p>
    <w:p w:rsidR="00DA14A2" w:rsidRDefault="004A11C6">
      <w:pPr>
        <w:pageBreakBefore/>
        <w:jc w:val="center"/>
      </w:pPr>
      <w:r>
        <w:rPr>
          <w:rFonts w:cs="Calibri"/>
          <w:b/>
        </w:rPr>
        <w:lastRenderedPageBreak/>
        <w:t>Annex 1</w:t>
      </w:r>
    </w:p>
    <w:p w:rsidR="00DA14A2" w:rsidRDefault="004A11C6">
      <w:pPr>
        <w:jc w:val="center"/>
      </w:pPr>
      <w:r>
        <w:rPr>
          <w:rFonts w:cs="Calibri"/>
          <w:b/>
        </w:rPr>
        <w:t xml:space="preserve">Excerpt from </w:t>
      </w:r>
      <w:r>
        <w:rPr>
          <w:rFonts w:cs="Calibri"/>
          <w:b/>
          <w:spacing w:val="-2"/>
        </w:rPr>
        <w:t>HMRC’s “Test for Tax Non-Compliance”</w:t>
      </w:r>
    </w:p>
    <w:p w:rsidR="00DA14A2" w:rsidRDefault="004A11C6">
      <w:pPr>
        <w:pStyle w:val="NormalWeb"/>
        <w:spacing w:after="0"/>
        <w:jc w:val="both"/>
      </w:pPr>
      <w:r>
        <w:rPr>
          <w:rFonts w:ascii="Calibri" w:hAnsi="Calibri" w:cs="Calibri"/>
          <w:i/>
          <w:iCs/>
          <w:color w:val="000000"/>
          <w:sz w:val="22"/>
          <w:szCs w:val="22"/>
        </w:rPr>
        <w:t>Condition one (An in-scope entity or person)</w:t>
      </w:r>
    </w:p>
    <w:p w:rsidR="00DA14A2" w:rsidRDefault="00DA14A2">
      <w:pPr>
        <w:pStyle w:val="NormalWeb"/>
        <w:spacing w:after="0"/>
        <w:jc w:val="both"/>
        <w:rPr>
          <w:rFonts w:ascii="Calibri" w:hAnsi="Calibri" w:cs="Calibri"/>
          <w:color w:val="000000"/>
          <w:sz w:val="22"/>
          <w:szCs w:val="22"/>
        </w:rPr>
      </w:pPr>
    </w:p>
    <w:p w:rsidR="00DA14A2" w:rsidRDefault="004A11C6">
      <w:pPr>
        <w:pStyle w:val="NormalWeb"/>
        <w:numPr>
          <w:ilvl w:val="0"/>
          <w:numId w:val="40"/>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There is a person or entity which is either: (“X”)</w:t>
      </w:r>
    </w:p>
    <w:p w:rsidR="00DA14A2" w:rsidRDefault="00DA14A2">
      <w:pPr>
        <w:pStyle w:val="NormalWeb"/>
        <w:spacing w:after="0"/>
        <w:ind w:left="284" w:firstLine="60"/>
        <w:jc w:val="both"/>
        <w:rPr>
          <w:rFonts w:ascii="Calibri" w:hAnsi="Calibri" w:cs="Calibri"/>
          <w:sz w:val="22"/>
          <w:szCs w:val="22"/>
        </w:rPr>
      </w:pPr>
    </w:p>
    <w:p w:rsidR="00DA14A2" w:rsidRDefault="004A11C6">
      <w:pPr>
        <w:pStyle w:val="NormalWeb"/>
        <w:numPr>
          <w:ilvl w:val="0"/>
          <w:numId w:val="41"/>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The Economic Operator or Essential Subcontractor (EOS)</w:t>
      </w:r>
    </w:p>
    <w:p w:rsidR="00DA14A2" w:rsidRDefault="004A11C6">
      <w:pPr>
        <w:pStyle w:val="NormalWeb"/>
        <w:numPr>
          <w:ilvl w:val="0"/>
          <w:numId w:val="41"/>
        </w:numPr>
        <w:suppressAutoHyphens w:val="0"/>
        <w:spacing w:before="0" w:after="0"/>
        <w:ind w:left="709" w:hanging="283"/>
        <w:jc w:val="both"/>
      </w:pPr>
      <w:r>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sz w:val="22"/>
          <w:szCs w:val="22"/>
        </w:rPr>
        <w:t>IFRS 10 Consolidated Financial Accounts</w:t>
      </w:r>
      <w:r>
        <w:rPr>
          <w:rStyle w:val="FootnoteReference"/>
          <w:rFonts w:ascii="Calibri" w:hAnsi="Calibri" w:cs="Calibri"/>
          <w:i/>
          <w:color w:val="000000"/>
          <w:sz w:val="22"/>
          <w:szCs w:val="22"/>
        </w:rPr>
        <w:footnoteReference w:id="1"/>
      </w:r>
      <w:r>
        <w:rPr>
          <w:rFonts w:ascii="Calibri" w:hAnsi="Calibri" w:cs="Calibri"/>
          <w:color w:val="000000"/>
          <w:sz w:val="22"/>
          <w:szCs w:val="22"/>
        </w:rPr>
        <w:t>;</w:t>
      </w:r>
    </w:p>
    <w:p w:rsidR="00DA14A2" w:rsidRDefault="004A11C6">
      <w:pPr>
        <w:pStyle w:val="NormalWeb"/>
        <w:numPr>
          <w:ilvl w:val="0"/>
          <w:numId w:val="41"/>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rsidR="00DA14A2" w:rsidRDefault="004A11C6">
      <w:pPr>
        <w:pStyle w:val="NormalWeb"/>
        <w:spacing w:after="120"/>
        <w:jc w:val="both"/>
        <w:rPr>
          <w:rFonts w:ascii="Calibri" w:hAnsi="Calibri" w:cs="Calibri"/>
          <w:sz w:val="22"/>
          <w:szCs w:val="22"/>
        </w:rPr>
      </w:pPr>
      <w:r>
        <w:rPr>
          <w:rFonts w:ascii="Calibri" w:hAnsi="Calibri" w:cs="Calibri"/>
          <w:sz w:val="22"/>
          <w:szCs w:val="22"/>
        </w:rPr>
        <w:t> </w:t>
      </w:r>
    </w:p>
    <w:p w:rsidR="00DA14A2" w:rsidRDefault="004A11C6">
      <w:pPr>
        <w:pStyle w:val="NormalWeb"/>
        <w:spacing w:after="120"/>
        <w:jc w:val="both"/>
      </w:pPr>
      <w:r>
        <w:rPr>
          <w:rFonts w:ascii="Calibri" w:hAnsi="Calibri" w:cs="Calibri"/>
          <w:i/>
          <w:iCs/>
          <w:color w:val="000000"/>
          <w:sz w:val="22"/>
          <w:szCs w:val="22"/>
        </w:rPr>
        <w:t>Condition two (Arrangements involving evasion, abuse or tax avoidance)</w:t>
      </w:r>
    </w:p>
    <w:p w:rsidR="00DA14A2" w:rsidRDefault="004A11C6">
      <w:pPr>
        <w:pStyle w:val="NormalWeb"/>
        <w:numPr>
          <w:ilvl w:val="0"/>
          <w:numId w:val="40"/>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X has been engaged in one or more of the following:</w:t>
      </w:r>
    </w:p>
    <w:p w:rsidR="00DA14A2" w:rsidRDefault="00DA14A2">
      <w:pPr>
        <w:pStyle w:val="NormalWeb"/>
        <w:spacing w:after="0"/>
        <w:jc w:val="both"/>
        <w:rPr>
          <w:rFonts w:ascii="Calibri" w:hAnsi="Calibri" w:cs="Calibri"/>
          <w:color w:val="000000"/>
          <w:sz w:val="22"/>
          <w:szCs w:val="22"/>
        </w:rPr>
      </w:pPr>
    </w:p>
    <w:p w:rsidR="00DA14A2" w:rsidRDefault="004A11C6">
      <w:pPr>
        <w:pStyle w:val="NormalWeb"/>
        <w:numPr>
          <w:ilvl w:val="1"/>
          <w:numId w:val="42"/>
        </w:numPr>
        <w:suppressAutoHyphens w:val="0"/>
        <w:spacing w:before="0" w:after="0"/>
        <w:ind w:left="1440" w:hanging="360"/>
        <w:jc w:val="both"/>
      </w:pPr>
      <w:r>
        <w:rPr>
          <w:rFonts w:ascii="Calibri" w:hAnsi="Calibri" w:cs="Calibri"/>
          <w:color w:val="000000"/>
          <w:sz w:val="22"/>
          <w:szCs w:val="22"/>
        </w:rPr>
        <w:t>Fraudulent evasion</w:t>
      </w:r>
      <w:r>
        <w:rPr>
          <w:rStyle w:val="FootnoteReference"/>
          <w:rFonts w:ascii="Calibri" w:hAnsi="Calibri" w:cs="Calibri"/>
          <w:color w:val="000000"/>
          <w:sz w:val="22"/>
          <w:szCs w:val="22"/>
        </w:rPr>
        <w:footnoteReference w:id="2"/>
      </w:r>
      <w:r>
        <w:rPr>
          <w:rFonts w:ascii="Calibri" w:hAnsi="Calibri" w:cs="Calibri"/>
          <w:color w:val="000000"/>
          <w:sz w:val="22"/>
          <w:szCs w:val="22"/>
        </w:rPr>
        <w:t>;</w:t>
      </w:r>
    </w:p>
    <w:p w:rsidR="00DA14A2" w:rsidRDefault="004A11C6">
      <w:pPr>
        <w:pStyle w:val="NormalWeb"/>
        <w:numPr>
          <w:ilvl w:val="1"/>
          <w:numId w:val="42"/>
        </w:numPr>
        <w:suppressAutoHyphens w:val="0"/>
        <w:spacing w:before="0" w:after="0"/>
        <w:ind w:left="1440" w:hanging="360"/>
        <w:jc w:val="both"/>
      </w:pPr>
      <w:r>
        <w:rPr>
          <w:rFonts w:ascii="Calibri" w:hAnsi="Calibri" w:cs="Calibri"/>
          <w:color w:val="000000"/>
          <w:sz w:val="22"/>
          <w:szCs w:val="22"/>
        </w:rPr>
        <w:t>Conduct caught by the General Anti-Abuse Rule</w:t>
      </w:r>
      <w:r>
        <w:rPr>
          <w:rStyle w:val="FootnoteReference"/>
          <w:rFonts w:ascii="Calibri" w:hAnsi="Calibri" w:cs="Calibri"/>
          <w:color w:val="000000"/>
          <w:sz w:val="22"/>
          <w:szCs w:val="22"/>
        </w:rPr>
        <w:footnoteReference w:id="3"/>
      </w:r>
      <w:r>
        <w:rPr>
          <w:rFonts w:ascii="Calibri" w:hAnsi="Calibri" w:cs="Calibri"/>
          <w:color w:val="000000"/>
          <w:sz w:val="22"/>
          <w:szCs w:val="22"/>
        </w:rPr>
        <w:t>;</w:t>
      </w:r>
    </w:p>
    <w:p w:rsidR="00DA14A2" w:rsidRDefault="004A11C6">
      <w:pPr>
        <w:pStyle w:val="NormalWeb"/>
        <w:numPr>
          <w:ilvl w:val="1"/>
          <w:numId w:val="42"/>
        </w:numPr>
        <w:suppressAutoHyphens w:val="0"/>
        <w:spacing w:before="0" w:after="0"/>
        <w:ind w:left="1440" w:hanging="360"/>
        <w:jc w:val="both"/>
      </w:pPr>
      <w:r>
        <w:rPr>
          <w:rFonts w:ascii="Calibri" w:hAnsi="Calibri" w:cs="Calibri"/>
          <w:color w:val="000000"/>
          <w:sz w:val="22"/>
          <w:szCs w:val="22"/>
        </w:rPr>
        <w:t>Conduct caught by the Halifax Abuse principle</w:t>
      </w:r>
      <w:r>
        <w:rPr>
          <w:rStyle w:val="FootnoteReference"/>
          <w:rFonts w:ascii="Calibri" w:hAnsi="Calibri" w:cs="Calibri"/>
          <w:color w:val="000000"/>
          <w:sz w:val="22"/>
          <w:szCs w:val="22"/>
        </w:rPr>
        <w:footnoteReference w:id="4"/>
      </w:r>
      <w:r>
        <w:rPr>
          <w:rFonts w:ascii="Calibri" w:hAnsi="Calibri" w:cs="Calibri"/>
          <w:color w:val="000000"/>
          <w:sz w:val="22"/>
          <w:szCs w:val="22"/>
        </w:rPr>
        <w:t>;</w:t>
      </w:r>
    </w:p>
    <w:p w:rsidR="00DA14A2" w:rsidRDefault="004A11C6">
      <w:pPr>
        <w:pStyle w:val="NormalWeb"/>
        <w:numPr>
          <w:ilvl w:val="1"/>
          <w:numId w:val="42"/>
        </w:numPr>
        <w:suppressAutoHyphens w:val="0"/>
        <w:spacing w:before="0" w:after="0"/>
        <w:ind w:left="1440" w:hanging="360"/>
        <w:jc w:val="both"/>
      </w:pPr>
      <w:r>
        <w:rPr>
          <w:rFonts w:ascii="Calibri" w:hAnsi="Calibri" w:cs="Calibri"/>
          <w:color w:val="000000"/>
          <w:sz w:val="22"/>
          <w:szCs w:val="22"/>
        </w:rPr>
        <w:t>Entered into arrangements caught by a DOTAS or VADR scheme</w:t>
      </w:r>
      <w:r>
        <w:rPr>
          <w:rStyle w:val="FootnoteReference"/>
          <w:rFonts w:ascii="Calibri" w:hAnsi="Calibri" w:cs="Calibri"/>
          <w:color w:val="000000"/>
          <w:sz w:val="22"/>
          <w:szCs w:val="22"/>
        </w:rPr>
        <w:footnoteReference w:id="5"/>
      </w:r>
      <w:r>
        <w:rPr>
          <w:rFonts w:ascii="Calibri" w:hAnsi="Calibri" w:cs="Calibri"/>
          <w:color w:val="000000"/>
          <w:sz w:val="22"/>
          <w:szCs w:val="22"/>
        </w:rPr>
        <w:t>;</w:t>
      </w:r>
    </w:p>
    <w:p w:rsidR="00DA14A2" w:rsidRDefault="004A11C6">
      <w:pPr>
        <w:pStyle w:val="NormalWeb"/>
        <w:numPr>
          <w:ilvl w:val="1"/>
          <w:numId w:val="42"/>
        </w:numPr>
        <w:suppressAutoHyphens w:val="0"/>
        <w:spacing w:after="0"/>
        <w:ind w:left="1440" w:hanging="360"/>
        <w:jc w:val="both"/>
      </w:pPr>
      <w:r>
        <w:rPr>
          <w:rFonts w:ascii="Calibri" w:hAnsi="Calibri" w:cs="Calibri"/>
          <w:color w:val="000000"/>
          <w:sz w:val="22"/>
          <w:szCs w:val="22"/>
        </w:rPr>
        <w:t>Conduct caught by a recognised ‘anti-avoidance rule’</w:t>
      </w:r>
      <w:r>
        <w:rPr>
          <w:rStyle w:val="FootnoteReference"/>
          <w:rFonts w:ascii="Calibri" w:hAnsi="Calibri" w:cs="Calibri"/>
          <w:color w:val="000000"/>
          <w:sz w:val="22"/>
          <w:szCs w:val="22"/>
        </w:rPr>
        <w:footnoteReference w:id="6"/>
      </w:r>
      <w:r>
        <w:rPr>
          <w:rFonts w:ascii="Calibri" w:hAnsi="Calibri" w:cs="Calibr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rsidR="00DA14A2" w:rsidRDefault="004A11C6">
      <w:pPr>
        <w:pStyle w:val="NormalWeb"/>
        <w:numPr>
          <w:ilvl w:val="1"/>
          <w:numId w:val="42"/>
        </w:numPr>
        <w:suppressAutoHyphens w:val="0"/>
        <w:spacing w:before="0" w:after="0"/>
        <w:ind w:left="1440" w:hanging="360"/>
        <w:jc w:val="both"/>
      </w:pPr>
      <w:r>
        <w:rPr>
          <w:rFonts w:ascii="Calibri" w:hAnsi="Calibri" w:cs="Calibri"/>
          <w:color w:val="000000"/>
          <w:sz w:val="22"/>
          <w:szCs w:val="22"/>
        </w:rPr>
        <w:t>Entered into an avoidance scheme identified by HMRC’s published Spotlights list</w:t>
      </w:r>
      <w:r>
        <w:rPr>
          <w:rStyle w:val="FootnoteReference"/>
          <w:rFonts w:ascii="Calibri" w:hAnsi="Calibri" w:cs="Calibri"/>
          <w:color w:val="000000"/>
          <w:sz w:val="22"/>
          <w:szCs w:val="22"/>
        </w:rPr>
        <w:footnoteReference w:id="7"/>
      </w:r>
      <w:r>
        <w:rPr>
          <w:rFonts w:ascii="Calibri" w:hAnsi="Calibri" w:cs="Calibri"/>
          <w:color w:val="000000"/>
          <w:sz w:val="22"/>
          <w:szCs w:val="22"/>
        </w:rPr>
        <w:t>;</w:t>
      </w:r>
    </w:p>
    <w:p w:rsidR="00DA14A2" w:rsidRDefault="004A11C6">
      <w:pPr>
        <w:pStyle w:val="NormalWeb"/>
        <w:numPr>
          <w:ilvl w:val="1"/>
          <w:numId w:val="42"/>
        </w:numPr>
        <w:suppressAutoHyphens w:val="0"/>
        <w:spacing w:after="120"/>
        <w:ind w:left="1440" w:hanging="360"/>
        <w:jc w:val="both"/>
        <w:rPr>
          <w:rFonts w:ascii="Calibri" w:hAnsi="Calibri" w:cs="Calibri"/>
          <w:color w:val="000000"/>
          <w:sz w:val="22"/>
          <w:szCs w:val="22"/>
        </w:rPr>
      </w:pPr>
      <w:r>
        <w:rPr>
          <w:rFonts w:ascii="Calibri" w:hAnsi="Calibri" w:cs="Calibri"/>
          <w:color w:val="000000"/>
          <w:sz w:val="22"/>
          <w:szCs w:val="22"/>
        </w:rPr>
        <w:t>Engaged in conduct which falls under rules in other jurisdictions which are equivalent or similar to (a) to (f) above.</w:t>
      </w:r>
    </w:p>
    <w:p w:rsidR="00DA14A2" w:rsidRDefault="004A11C6">
      <w:pPr>
        <w:pStyle w:val="NormalWeb"/>
        <w:spacing w:after="120"/>
        <w:jc w:val="both"/>
      </w:pPr>
      <w:r>
        <w:rPr>
          <w:rFonts w:ascii="Calibri" w:hAnsi="Calibri" w:cs="Calibri"/>
          <w:i/>
          <w:iCs/>
          <w:color w:val="000000"/>
          <w:sz w:val="22"/>
          <w:szCs w:val="22"/>
        </w:rPr>
        <w:t>Condition three (Arrangements are admitted, or subject to litigation/prosecution or identified in a published list (Spotlights))</w:t>
      </w:r>
    </w:p>
    <w:p w:rsidR="00DA14A2" w:rsidRDefault="004A11C6">
      <w:pPr>
        <w:pStyle w:val="NormalWeb"/>
        <w:numPr>
          <w:ilvl w:val="0"/>
          <w:numId w:val="40"/>
        </w:numPr>
        <w:suppressAutoHyphens w:val="0"/>
        <w:spacing w:before="0" w:after="0"/>
        <w:jc w:val="both"/>
      </w:pPr>
      <w:r>
        <w:rPr>
          <w:rFonts w:ascii="Calibri" w:hAnsi="Calibri" w:cs="Calibri"/>
          <w:color w:val="000000"/>
          <w:sz w:val="22"/>
          <w:szCs w:val="22"/>
        </w:rPr>
        <w:lastRenderedPageBreak/>
        <w:t xml:space="preserve">X’s activity in </w:t>
      </w:r>
      <w:r>
        <w:rPr>
          <w:rFonts w:ascii="Calibri" w:hAnsi="Calibri" w:cs="Calibri"/>
          <w:i/>
          <w:color w:val="000000"/>
          <w:sz w:val="22"/>
          <w:szCs w:val="22"/>
        </w:rPr>
        <w:t>Condition 2</w:t>
      </w:r>
      <w:r>
        <w:rPr>
          <w:rFonts w:ascii="Calibri" w:hAnsi="Calibri" w:cs="Calibri"/>
          <w:color w:val="000000"/>
          <w:sz w:val="22"/>
          <w:szCs w:val="22"/>
        </w:rPr>
        <w:t xml:space="preserve"> is, where applicable, subject to dispute and/or litigation as follows:</w:t>
      </w:r>
    </w:p>
    <w:p w:rsidR="00DA14A2" w:rsidRDefault="00DA14A2">
      <w:pPr>
        <w:pStyle w:val="NormalWeb"/>
        <w:spacing w:after="0"/>
        <w:ind w:firstLine="60"/>
        <w:rPr>
          <w:rFonts w:ascii="Calibri" w:hAnsi="Calibri" w:cs="Calibri"/>
          <w:sz w:val="22"/>
          <w:szCs w:val="22"/>
        </w:rPr>
      </w:pPr>
    </w:p>
    <w:p w:rsidR="00DA14A2" w:rsidRDefault="004A11C6">
      <w:pPr>
        <w:pStyle w:val="NormalWeb"/>
        <w:numPr>
          <w:ilvl w:val="1"/>
          <w:numId w:val="4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(a), either X:</w:t>
      </w:r>
    </w:p>
    <w:p w:rsidR="00DA14A2" w:rsidRDefault="004A11C6">
      <w:pPr>
        <w:pStyle w:val="NormalWeb"/>
        <w:numPr>
          <w:ilvl w:val="2"/>
          <w:numId w:val="43"/>
        </w:numPr>
        <w:tabs>
          <w:tab w:val="left" w:pos="1418"/>
        </w:tabs>
        <w:suppressAutoHyphens w:val="0"/>
        <w:spacing w:before="0" w:after="0"/>
        <w:ind w:left="1418" w:hanging="425"/>
        <w:jc w:val="both"/>
      </w:pPr>
      <w:r>
        <w:rPr>
          <w:rFonts w:ascii="Calibri" w:hAnsi="Calibri" w:cs="Calibri"/>
          <w:color w:val="000000"/>
          <w:sz w:val="22"/>
          <w:szCs w:val="22"/>
        </w:rPr>
        <w:t>Has accepted the terms of an offer made under a Contractual Disclosure Facility (CDF) pursuant to the Code of Practice 9 (COP9) procedure</w:t>
      </w:r>
      <w:r>
        <w:rPr>
          <w:rStyle w:val="FootnoteReference"/>
          <w:rFonts w:ascii="Calibri" w:hAnsi="Calibri" w:cs="Calibri"/>
          <w:color w:val="000000"/>
          <w:sz w:val="22"/>
          <w:szCs w:val="22"/>
        </w:rPr>
        <w:footnoteReference w:id="8"/>
      </w:r>
      <w:r>
        <w:rPr>
          <w:rFonts w:ascii="Calibri" w:hAnsi="Calibri" w:cs="Calibri"/>
          <w:color w:val="000000"/>
          <w:sz w:val="22"/>
          <w:szCs w:val="22"/>
        </w:rPr>
        <w:t>; or,</w:t>
      </w:r>
    </w:p>
    <w:p w:rsidR="00DA14A2" w:rsidRDefault="004A11C6">
      <w:pPr>
        <w:pStyle w:val="NormalWeb"/>
        <w:numPr>
          <w:ilvl w:val="2"/>
          <w:numId w:val="43"/>
        </w:numPr>
        <w:tabs>
          <w:tab w:val="left" w:pos="1418"/>
          <w:tab w:val="left" w:pos="2160"/>
        </w:tabs>
        <w:suppressAutoHyphens w:val="0"/>
        <w:spacing w:before="0" w:after="0"/>
        <w:ind w:left="1418" w:hanging="425"/>
        <w:jc w:val="both"/>
        <w:rPr>
          <w:rFonts w:ascii="Calibri" w:hAnsi="Calibri" w:cs="Calibri"/>
          <w:color w:val="000000"/>
          <w:sz w:val="22"/>
          <w:szCs w:val="22"/>
        </w:rPr>
      </w:pPr>
      <w:r>
        <w:rPr>
          <w:rFonts w:ascii="Calibri" w:hAnsi="Calibri" w:cs="Calibri"/>
          <w:color w:val="000000"/>
          <w:sz w:val="22"/>
          <w:szCs w:val="22"/>
        </w:rPr>
        <w:t xml:space="preserve">Has been charged with an offence of fraudulent evasion. </w:t>
      </w:r>
    </w:p>
    <w:p w:rsidR="00DA14A2" w:rsidRDefault="004A11C6">
      <w:pPr>
        <w:pStyle w:val="NormalWeb"/>
        <w:numPr>
          <w:ilvl w:val="1"/>
          <w:numId w:val="4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DA14A2" w:rsidRDefault="004A11C6">
      <w:pPr>
        <w:pStyle w:val="NormalWeb"/>
        <w:numPr>
          <w:ilvl w:val="1"/>
          <w:numId w:val="4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 during an HMRC enquiry, if it has been agreed between HMRC and X that there is a pause with the enquiry in order to await the outcome of related litigation.</w:t>
      </w:r>
    </w:p>
    <w:p w:rsidR="00DA14A2" w:rsidRDefault="004A11C6">
      <w:pPr>
        <w:pStyle w:val="NormalWeb"/>
        <w:numPr>
          <w:ilvl w:val="1"/>
          <w:numId w:val="4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(f) this condition is satisfied without any further steps being taken.</w:t>
      </w:r>
    </w:p>
    <w:p w:rsidR="00DA14A2" w:rsidRDefault="004A11C6">
      <w:pPr>
        <w:pStyle w:val="NormalWeb"/>
        <w:numPr>
          <w:ilvl w:val="1"/>
          <w:numId w:val="4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(g) the foreign equivalent to each of the corresponding steps set out above in (i) to (iii).</w:t>
      </w:r>
    </w:p>
    <w:p w:rsidR="00DA14A2" w:rsidRDefault="004A11C6">
      <w:pPr>
        <w:pStyle w:val="NormalWeb"/>
        <w:spacing w:after="120"/>
        <w:jc w:val="both"/>
        <w:rPr>
          <w:rFonts w:ascii="Calibri" w:hAnsi="Calibri" w:cs="Calibri"/>
          <w:sz w:val="22"/>
          <w:szCs w:val="22"/>
        </w:rPr>
      </w:pPr>
      <w:r>
        <w:rPr>
          <w:rFonts w:ascii="Calibri" w:hAnsi="Calibri" w:cs="Calibri"/>
          <w:sz w:val="22"/>
          <w:szCs w:val="22"/>
        </w:rPr>
        <w:t> </w:t>
      </w:r>
    </w:p>
    <w:p w:rsidR="00DA14A2" w:rsidRDefault="004A11C6">
      <w:pPr>
        <w:pStyle w:val="Heading3"/>
        <w:keepNext w:val="0"/>
        <w:keepLines w:val="0"/>
        <w:tabs>
          <w:tab w:val="left" w:pos="1701"/>
        </w:tabs>
        <w:spacing w:before="0" w:after="220" w:line="240" w:lineRule="auto"/>
        <w:jc w:val="both"/>
        <w:rPr>
          <w:rFonts w:ascii="Calibri" w:hAnsi="Calibri" w:cs="Calibri"/>
          <w:color w:val="auto"/>
          <w:sz w:val="22"/>
          <w:szCs w:val="22"/>
        </w:rPr>
      </w:pPr>
      <w:r>
        <w:rPr>
          <w:rFonts w:ascii="Calibri" w:hAnsi="Calibri" w:cs="Calibri"/>
          <w:color w:val="auto"/>
          <w:sz w:val="22"/>
          <w:szCs w:val="22"/>
        </w:rPr>
        <w:t>For the avoidance of doubt, any reference in this Annex 1 to any Law includes a reference to that Law as amended, extended, consolidated or re</w:t>
      </w:r>
      <w:r>
        <w:rPr>
          <w:rFonts w:ascii="Calibri" w:hAnsi="Calibri" w:cs="Calibri"/>
          <w:color w:val="auto"/>
          <w:sz w:val="22"/>
          <w:szCs w:val="22"/>
        </w:rPr>
        <w:noBreakHyphen/>
        <w:t xml:space="preserve">enacted from time to time including any implementing or successor legislation. </w:t>
      </w:r>
    </w:p>
    <w:p w:rsidR="00DA14A2" w:rsidRDefault="00DA14A2">
      <w:pPr>
        <w:pStyle w:val="Heading3"/>
        <w:keepNext w:val="0"/>
        <w:keepLines w:val="0"/>
        <w:tabs>
          <w:tab w:val="left" w:pos="1701"/>
        </w:tabs>
        <w:spacing w:before="0" w:after="220" w:line="240" w:lineRule="auto"/>
        <w:jc w:val="both"/>
        <w:rPr>
          <w:rFonts w:ascii="Calibri" w:hAnsi="Calibri" w:cs="Calibri"/>
          <w:color w:val="auto"/>
          <w:sz w:val="22"/>
          <w:szCs w:val="22"/>
        </w:rPr>
      </w:pPr>
    </w:p>
    <w:p w:rsidR="00DA14A2" w:rsidRDefault="004A11C6">
      <w:pPr>
        <w:pStyle w:val="Heading3"/>
        <w:keepNext w:val="0"/>
        <w:keepLines w:val="0"/>
        <w:tabs>
          <w:tab w:val="left" w:pos="1701"/>
        </w:tabs>
        <w:spacing w:before="0" w:after="220" w:line="240" w:lineRule="auto"/>
        <w:jc w:val="both"/>
      </w:pPr>
      <w:r>
        <w:rPr>
          <w:sz w:val="16"/>
          <w:szCs w:val="16"/>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p w:rsidR="00DA14A2" w:rsidRDefault="00DA14A2">
      <w:pPr>
        <w:jc w:val="center"/>
        <w:rPr>
          <w:rFonts w:cs="Calibri"/>
          <w:b/>
        </w:rPr>
      </w:pPr>
    </w:p>
    <w:p w:rsidR="00DA14A2" w:rsidRDefault="004A11C6">
      <w:pPr>
        <w:jc w:val="center"/>
        <w:rPr>
          <w:rFonts w:cs="Calibri"/>
          <w:b/>
        </w:rPr>
      </w:pPr>
      <w:r>
        <w:rPr>
          <w:rFonts w:cs="Calibri"/>
          <w:b/>
        </w:rPr>
        <w:t xml:space="preserve">Annex 2 Form </w:t>
      </w:r>
    </w:p>
    <w:p w:rsidR="00DA14A2" w:rsidRDefault="004A11C6">
      <w:pPr>
        <w:jc w:val="center"/>
        <w:rPr>
          <w:rFonts w:cs="Calibri"/>
          <w:b/>
        </w:rPr>
      </w:pPr>
      <w:r>
        <w:rPr>
          <w:rFonts w:cs="Calibri"/>
          <w:b/>
        </w:rPr>
        <w:t xml:space="preserve">CONFIDENTIALITY DECLARATION </w:t>
      </w:r>
    </w:p>
    <w:p w:rsidR="00DA14A2" w:rsidRDefault="004A11C6">
      <w:pPr>
        <w:jc w:val="both"/>
        <w:rPr>
          <w:rFonts w:cs="Calibri"/>
        </w:rPr>
      </w:pPr>
      <w:r>
        <w:rPr>
          <w:rFonts w:cs="Calibri"/>
        </w:rPr>
        <w:t>CONTRACT REFERENCE: [for Supplier to insert Contract reference number and contract date] (‘the Agreement’)</w:t>
      </w:r>
    </w:p>
    <w:p w:rsidR="00DA14A2" w:rsidRDefault="004A11C6">
      <w:pPr>
        <w:jc w:val="both"/>
        <w:rPr>
          <w:rFonts w:cs="Calibri"/>
        </w:rPr>
      </w:pPr>
      <w:r>
        <w:rPr>
          <w:rFonts w:cs="Calibri"/>
        </w:rPr>
        <w:t>DECLARATION:</w:t>
      </w:r>
    </w:p>
    <w:p w:rsidR="00DA14A2" w:rsidRDefault="004A11C6">
      <w:pPr>
        <w:jc w:val="both"/>
        <w:rPr>
          <w:rFonts w:cs="Calibri"/>
        </w:rPr>
      </w:pPr>
      <w:r>
        <w:rPr>
          <w:rFonts w:cs="Calibri"/>
        </w:rPr>
        <w:t xml:space="preserve">I solemnly declare that: </w:t>
      </w:r>
    </w:p>
    <w:p w:rsidR="00DA14A2" w:rsidRDefault="004A11C6">
      <w:pPr>
        <w:pStyle w:val="ListParagraph"/>
        <w:numPr>
          <w:ilvl w:val="0"/>
          <w:numId w:val="44"/>
        </w:numPr>
        <w:suppressAutoHyphens w:val="0"/>
        <w:spacing w:after="160"/>
        <w:ind w:left="426" w:hanging="426"/>
        <w:jc w:val="both"/>
        <w:textAlignment w:val="auto"/>
      </w:pPr>
      <w:r>
        <w:rPr>
          <w:rFonts w:cs="Calibri"/>
        </w:rPr>
        <w:t xml:space="preserve">I am aware that the duty of confidentiality imposed by section 18 of the Commissioners for Revenue and Customs Act 2005 applies to </w:t>
      </w:r>
      <w:r>
        <w:t xml:space="preserve">Authority Data (as defined in the Agreement) </w:t>
      </w:r>
      <w:r>
        <w:rPr>
          <w:rFonts w:cs="Calibri"/>
        </w:rPr>
        <w:t>that has been or will be provided to me in accordance with the Agreement.</w:t>
      </w:r>
    </w:p>
    <w:p w:rsidR="00DA14A2" w:rsidRDefault="004A11C6">
      <w:pPr>
        <w:pStyle w:val="ListParagraph"/>
        <w:numPr>
          <w:ilvl w:val="0"/>
          <w:numId w:val="44"/>
        </w:numPr>
        <w:suppressAutoHyphens w:val="0"/>
        <w:spacing w:after="160"/>
        <w:ind w:left="426" w:hanging="426"/>
        <w:jc w:val="both"/>
        <w:textAlignment w:val="auto"/>
        <w:rPr>
          <w:rFonts w:cs="Calibri"/>
        </w:rPr>
      </w:pPr>
      <w:r>
        <w:rPr>
          <w:rFonts w:cs="Calibri"/>
        </w:rPr>
        <w:t xml:space="preserve">I understand and acknowledge that under Section 19 of the Commissioners for Revenue and Customs Act 2005 it may be a criminal offence to disclose any Authority Data provided to me. </w:t>
      </w:r>
    </w:p>
    <w:p w:rsidR="00DA14A2" w:rsidRDefault="00DA14A2">
      <w:pPr>
        <w:pStyle w:val="ListParagraph"/>
        <w:ind w:left="426"/>
        <w:jc w:val="both"/>
        <w:rPr>
          <w:rFonts w:cs="Calibri"/>
        </w:rPr>
      </w:pPr>
    </w:p>
    <w:tbl>
      <w:tblPr>
        <w:tblW w:w="5670" w:type="dxa"/>
        <w:tblInd w:w="421" w:type="dxa"/>
        <w:tblCellMar>
          <w:left w:w="10" w:type="dxa"/>
          <w:right w:w="10" w:type="dxa"/>
        </w:tblCellMar>
        <w:tblLook w:val="0000" w:firstRow="0" w:lastRow="0" w:firstColumn="0" w:lastColumn="0" w:noHBand="0" w:noVBand="0"/>
      </w:tblPr>
      <w:tblGrid>
        <w:gridCol w:w="5670"/>
      </w:tblGrid>
      <w:tr w:rsidR="00DA14A2">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4A2" w:rsidRDefault="004A11C6">
            <w:pPr>
              <w:spacing w:line="360" w:lineRule="auto"/>
              <w:textAlignment w:val="auto"/>
              <w:rPr>
                <w:rFonts w:ascii="Calibri" w:eastAsia="Calibri" w:hAnsi="Calibri" w:cs="Calibri"/>
                <w:lang w:eastAsia="en-US"/>
              </w:rPr>
            </w:pPr>
            <w:r>
              <w:rPr>
                <w:rFonts w:ascii="Calibri" w:eastAsia="Calibri" w:hAnsi="Calibri" w:cs="Calibri"/>
                <w:lang w:eastAsia="en-US"/>
              </w:rPr>
              <w:t>SIGNED:</w:t>
            </w:r>
            <w:r w:rsidR="00695B46" w:rsidRPr="00695B46">
              <w:rPr>
                <w:rFonts w:ascii="Calibri" w:eastAsia="Calibri" w:hAnsi="Calibri" w:cs="Calibri"/>
                <w:highlight w:val="black"/>
                <w:lang w:eastAsia="en-US"/>
              </w:rPr>
              <w:t>XXXXXXXXXXXXXXXXXXXXXXXXXXXXXXXXXXXX</w:t>
            </w:r>
          </w:p>
        </w:tc>
      </w:tr>
      <w:tr w:rsidR="00DA14A2">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4A2" w:rsidRDefault="004A11C6">
            <w:pPr>
              <w:spacing w:line="360" w:lineRule="auto"/>
              <w:textAlignment w:val="auto"/>
              <w:rPr>
                <w:rFonts w:ascii="Calibri" w:eastAsia="Calibri" w:hAnsi="Calibri" w:cs="Calibri"/>
                <w:lang w:eastAsia="en-US"/>
              </w:rPr>
            </w:pPr>
            <w:r>
              <w:rPr>
                <w:rFonts w:ascii="Calibri" w:eastAsia="Calibri" w:hAnsi="Calibri" w:cs="Calibri"/>
                <w:lang w:eastAsia="en-US"/>
              </w:rPr>
              <w:t>FULL NAME:</w:t>
            </w:r>
            <w:r w:rsidR="00695B46" w:rsidRPr="00695B46">
              <w:rPr>
                <w:rFonts w:ascii="Calibri" w:eastAsia="Calibri" w:hAnsi="Calibri" w:cs="Calibri"/>
                <w:highlight w:val="black"/>
                <w:lang w:eastAsia="en-US"/>
              </w:rPr>
              <w:t>XXXXXXXXXXXXXXXXXXXXXXXXXXXXXXXXX</w:t>
            </w:r>
          </w:p>
        </w:tc>
      </w:tr>
      <w:tr w:rsidR="00DA14A2">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4A2" w:rsidRDefault="004A11C6">
            <w:pPr>
              <w:spacing w:line="360" w:lineRule="auto"/>
              <w:textAlignment w:val="auto"/>
              <w:rPr>
                <w:rFonts w:ascii="Calibri" w:eastAsia="Calibri" w:hAnsi="Calibri" w:cs="Calibri"/>
                <w:lang w:eastAsia="en-US"/>
              </w:rPr>
            </w:pPr>
            <w:r>
              <w:rPr>
                <w:rFonts w:ascii="Calibri" w:eastAsia="Calibri" w:hAnsi="Calibri" w:cs="Calibri"/>
                <w:lang w:eastAsia="en-US"/>
              </w:rPr>
              <w:t>POSITION:</w:t>
            </w:r>
            <w:r w:rsidR="00695B46" w:rsidRPr="00695B46">
              <w:rPr>
                <w:rFonts w:ascii="Calibri" w:eastAsia="Calibri" w:hAnsi="Calibri" w:cs="Calibri"/>
                <w:highlight w:val="black"/>
                <w:lang w:eastAsia="en-US"/>
              </w:rPr>
              <w:t>XXXXXXXXXXXXXXXXXXXXXXXXXXXXXXX</w:t>
            </w:r>
          </w:p>
        </w:tc>
      </w:tr>
      <w:tr w:rsidR="00DA14A2">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4A2" w:rsidRDefault="004A11C6">
            <w:pPr>
              <w:spacing w:line="360" w:lineRule="auto"/>
              <w:textAlignment w:val="auto"/>
              <w:rPr>
                <w:rFonts w:ascii="Calibri" w:eastAsia="Calibri" w:hAnsi="Calibri" w:cs="Calibri"/>
                <w:lang w:eastAsia="en-US"/>
              </w:rPr>
            </w:pPr>
            <w:r>
              <w:rPr>
                <w:rFonts w:ascii="Calibri" w:eastAsia="Calibri" w:hAnsi="Calibri" w:cs="Calibri"/>
                <w:lang w:eastAsia="en-US"/>
              </w:rPr>
              <w:t xml:space="preserve">COMPANY: </w:t>
            </w:r>
            <w:r w:rsidR="00695B46" w:rsidRPr="00695B46">
              <w:rPr>
                <w:rFonts w:ascii="Calibri" w:eastAsia="Calibri" w:hAnsi="Calibri" w:cs="Calibri"/>
                <w:highlight w:val="black"/>
                <w:lang w:eastAsia="en-US"/>
              </w:rPr>
              <w:t>XXXXXXXXXXXXXXXXXXXXXXXXXXXXXXX</w:t>
            </w:r>
          </w:p>
        </w:tc>
      </w:tr>
      <w:tr w:rsidR="00DA14A2">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4A2" w:rsidRDefault="004A11C6">
            <w:pPr>
              <w:spacing w:line="360" w:lineRule="auto"/>
              <w:textAlignment w:val="auto"/>
              <w:rPr>
                <w:rFonts w:ascii="Calibri" w:eastAsia="Calibri" w:hAnsi="Calibri" w:cs="Times New Roman"/>
                <w:lang w:eastAsia="en-US"/>
              </w:rPr>
            </w:pPr>
            <w:r>
              <w:rPr>
                <w:rFonts w:ascii="Calibri" w:eastAsia="Calibri" w:hAnsi="Calibri" w:cs="Times New Roman"/>
                <w:lang w:eastAsia="en-US"/>
              </w:rPr>
              <w:t xml:space="preserve">DATE OF SIGNATURE: </w:t>
            </w:r>
            <w:r w:rsidR="00695B46" w:rsidRPr="00695B46">
              <w:rPr>
                <w:rFonts w:ascii="Calibri" w:eastAsia="Calibri" w:hAnsi="Calibri" w:cs="Calibri"/>
                <w:highlight w:val="black"/>
                <w:lang w:eastAsia="en-US"/>
              </w:rPr>
              <w:t>XXXXXXXXXXXXXXXXXXXXXXXXXXXXXXX</w:t>
            </w:r>
          </w:p>
        </w:tc>
      </w:tr>
    </w:tbl>
    <w:p w:rsidR="004109E5" w:rsidRDefault="004109E5">
      <w:pPr>
        <w:sectPr w:rsidR="004109E5">
          <w:footerReference w:type="default" r:id="rId27"/>
          <w:pgSz w:w="11909" w:h="16834"/>
          <w:pgMar w:top="720" w:right="1134" w:bottom="1134" w:left="1134" w:header="720" w:footer="720" w:gutter="0"/>
          <w:pgNumType w:start="1"/>
          <w:cols w:space="720"/>
        </w:sectPr>
      </w:pPr>
    </w:p>
    <w:p w:rsidR="00DA14A2" w:rsidRDefault="004A11C6" w:rsidP="00695B46">
      <w:pPr>
        <w:pStyle w:val="Heading2"/>
        <w:rPr>
          <w:rFonts w:ascii="Calibri" w:eastAsia="Calibri" w:hAnsi="Calibri" w:cs="Calibri"/>
          <w:lang w:eastAsia="en-US"/>
        </w:rPr>
      </w:pPr>
      <w:r>
        <w:lastRenderedPageBreak/>
        <w:t>Schedule 9: Security Questionnaire Response</w:t>
      </w:r>
      <w:r w:rsidR="00695B46" w:rsidRPr="00695B46">
        <w:rPr>
          <w:rFonts w:ascii="Calibri" w:eastAsia="Calibri" w:hAnsi="Calibri" w:cs="Calibri"/>
          <w:highlight w:val="black"/>
          <w:lang w:eastAsia="en-US"/>
        </w:rPr>
        <w:t xml:space="preserve"> </w:t>
      </w:r>
    </w:p>
    <w:p w:rsidR="00695B46" w:rsidRDefault="00695B46" w:rsidP="00695B46">
      <w:pPr>
        <w:rPr>
          <w:lang w:eastAsia="en-US"/>
        </w:rPr>
      </w:pPr>
    </w:p>
    <w:p w:rsid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95B46" w:rsidRPr="00695B46" w:rsidRDefault="00695B46" w:rsidP="00695B46">
      <w:pPr>
        <w:rPr>
          <w:lang w:eastAsia="en-US"/>
        </w:rPr>
      </w:pPr>
      <w:r w:rsidRPr="00695B46">
        <w:rPr>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bookmarkStart w:id="35" w:name="_GoBack"/>
      <w:bookmarkEnd w:id="35"/>
    </w:p>
    <w:p w:rsidR="00DA14A2" w:rsidRDefault="00DA14A2"/>
    <w:sectPr w:rsidR="00DA14A2">
      <w:headerReference w:type="default" r:id="rId28"/>
      <w:footerReference w:type="default" r:id="rId29"/>
      <w:pgSz w:w="16834" w:h="11909" w:orient="landscape"/>
      <w:pgMar w:top="1134" w:right="720"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1C6" w:rsidRDefault="004A11C6">
      <w:pPr>
        <w:spacing w:line="240" w:lineRule="auto"/>
      </w:pPr>
      <w:r>
        <w:separator/>
      </w:r>
    </w:p>
  </w:endnote>
  <w:endnote w:type="continuationSeparator" w:id="0">
    <w:p w:rsidR="004A11C6" w:rsidRDefault="004A1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mp;quot">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BE3" w:rsidRDefault="004A11C6">
    <w:pPr>
      <w:pStyle w:val="Footer"/>
      <w:ind w:right="360"/>
    </w:pPr>
    <w:r>
      <w:rPr>
        <w:noProof/>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ge">
                <wp:align>bottom</wp:align>
              </wp:positionV>
              <wp:extent cx="7772400" cy="462915"/>
              <wp:effectExtent l="0" t="0" r="0" b="13335"/>
              <wp:wrapNone/>
              <wp:docPr id="1" name="MSIPCM3f024686ba908e6a1889d063"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rsidR="00244BE3" w:rsidRPr="00695B46" w:rsidRDefault="00695B46" w:rsidP="00695B46">
                          <w:pPr>
                            <w:jc w:val="center"/>
                            <w:rPr>
                              <w:rFonts w:ascii="Calibri" w:hAnsi="Calibri" w:cs="Calibri"/>
                              <w:color w:val="000000"/>
                              <w:sz w:val="20"/>
                            </w:rPr>
                          </w:pPr>
                          <w:r w:rsidRPr="00695B46">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MSIPCM3f024686ba908e6a1889d063" o:spid="_x0000_s1026" type="#_x0000_t202" alt="{&quot;HashCode&quot;:-1264847310,&quot;Height&quot;:9999999.0,&quot;Width&quot;:9999999.0,&quot;Placement&quot;:&quot;Footer&quot;,&quot;Index&quot;:&quot;Primary&quot;,&quot;Section&quot;:1,&quot;Top&quot;:0.0,&quot;Left&quot;:0.0}" style="position:absolute;margin-left:0;margin-top:0;width:612pt;height:36.4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" o:allowincell="f" filled="f" stroked="f">
              <v:textbox inset=",0,,0">
                <w:txbxContent>
                  <w:p w:rsidR="00244BE3" w:rsidRPr="00695B46" w:rsidRDefault="00695B46" w:rsidP="00695B46">
                    <w:pPr>
                      <w:jc w:val="center"/>
                      <w:rPr>
                        <w:rFonts w:ascii="Calibri" w:hAnsi="Calibri" w:cs="Calibri"/>
                        <w:color w:val="000000"/>
                        <w:sz w:val="20"/>
                      </w:rPr>
                    </w:pPr>
                    <w:r w:rsidRPr="00695B46">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13972" cy="13972"/>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rsidR="00244BE3" w:rsidRDefault="004A11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id="Frame1" o:spid="_x0000_s1027"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" filled="f" stroked="f">
              <v:textbox style="mso-fit-shape-to-text:t" inset="0,0,0,0">
                <w:txbxContent>
                  <w:p w:rsidR="00244BE3" w:rsidRDefault="004A11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BE3" w:rsidRDefault="004A11C6">
    <w:pPr>
      <w:pStyle w:val="Footer"/>
      <w:ind w:right="360"/>
    </w:pP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bottom</wp:align>
              </wp:positionV>
              <wp:extent cx="7772400" cy="462915"/>
              <wp:effectExtent l="0" t="0" r="0" b="13335"/>
              <wp:wrapNone/>
              <wp:docPr id="3" name="MSIPCM0a184f4c98e74ca46b293764"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rsidR="00244BE3" w:rsidRDefault="004A11C6">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MSIPCM0a184f4c98e74ca46b293764" o:spid="_x0000_s1028" type="#_x0000_t202" alt="{&quot;HashCode&quot;:-1264847310,&quot;Height&quot;:9999999.0,&quot;Width&quot;:9999999.0,&quot;Placement&quot;:&quot;Footer&quot;,&quot;Index&quot;:&quot;Primary&quot;,&quot;Section&quot;:2,&quot;Top&quot;:0.0,&quot;Left&quot;:0.0}" style="position:absolute;margin-left:0;margin-top:0;width:612pt;height:36.4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" filled="f" stroked="f">
              <v:textbox inset=",0,,0">
                <w:txbxContent>
                  <w:p w:rsidR="00244BE3" w:rsidRDefault="004A11C6">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722</wp:posOffset>
              </wp:positionV>
              <wp:extent cx="13972" cy="13972"/>
              <wp:effectExtent l="0" t="0" r="0" b="0"/>
              <wp:wrapTopAndBottom/>
              <wp:docPr id="4"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rsidR="00244BE3" w:rsidRDefault="004A11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id="_x0000_s1029" type="#_x0000_t202" style="position:absolute;margin-left:-50.1pt;margin-top:.05pt;width:1.1pt;height:1.1pt;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" filled="f" stroked="f">
              <v:textbox style="mso-fit-shape-to-text:t" inset="0,0,0,0">
                <w:txbxContent>
                  <w:p w:rsidR="00244BE3" w:rsidRDefault="004A11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1C6" w:rsidRDefault="004A11C6">
      <w:pPr>
        <w:spacing w:line="240" w:lineRule="auto"/>
      </w:pPr>
      <w:r>
        <w:rPr>
          <w:color w:val="000000"/>
        </w:rPr>
        <w:separator/>
      </w:r>
    </w:p>
  </w:footnote>
  <w:footnote w:type="continuationSeparator" w:id="0">
    <w:p w:rsidR="004A11C6" w:rsidRDefault="004A11C6">
      <w:pPr>
        <w:spacing w:line="240" w:lineRule="auto"/>
      </w:pPr>
      <w:r>
        <w:continuationSeparator/>
      </w:r>
    </w:p>
  </w:footnote>
  <w:footnote w:id="1">
    <w:p w:rsidR="00DA14A2" w:rsidRDefault="004A11C6">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rsidR="00DA14A2" w:rsidRDefault="004A11C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rsidR="00DA14A2" w:rsidRDefault="004A11C6">
      <w:pPr>
        <w:pStyle w:val="FootnoteText"/>
        <w:jc w:val="both"/>
      </w:pPr>
      <w:r>
        <w:rPr>
          <w:rStyle w:val="FootnoteReference"/>
        </w:rPr>
        <w:footnoteRef/>
      </w:r>
      <w:r>
        <w:t xml:space="preserve"> “General Anti-Abuse Rule” means (a) the legislation in Part 5 of the Finance Act 2013; and (b) any</w:t>
      </w:r>
    </w:p>
    <w:p w:rsidR="00DA14A2" w:rsidRDefault="004A11C6">
      <w:pPr>
        <w:pStyle w:val="FootnoteText"/>
        <w:jc w:val="both"/>
      </w:pPr>
      <w:r>
        <w:t>future legislation introduced into Parliament to counteract tax advantages arising from abusive</w:t>
      </w:r>
    </w:p>
    <w:p w:rsidR="00DA14A2" w:rsidRDefault="004A11C6">
      <w:pPr>
        <w:pStyle w:val="FootnoteText"/>
      </w:pPr>
      <w:r>
        <w:t>arrangements to avoid national insurance contributions</w:t>
      </w:r>
    </w:p>
  </w:footnote>
  <w:footnote w:id="4">
    <w:p w:rsidR="00DA14A2" w:rsidRDefault="004A11C6">
      <w:pPr>
        <w:pStyle w:val="FootnoteText"/>
      </w:pPr>
      <w:r>
        <w:rPr>
          <w:rStyle w:val="FootnoteReference"/>
        </w:rPr>
        <w:footnoteRef/>
      </w:r>
      <w:r>
        <w:t xml:space="preserve"> “Halifax Abuse Principle” means the principle explained in the CJEU Case C-255/02 Halifax and others</w:t>
      </w:r>
    </w:p>
  </w:footnote>
  <w:footnote w:id="5">
    <w:p w:rsidR="00DA14A2" w:rsidRDefault="004A11C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rsidR="00DA14A2" w:rsidRDefault="004A11C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rsidR="00DA14A2" w:rsidRDefault="004A11C6">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rsidR="00DA14A2" w:rsidRDefault="004A11C6">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BE3" w:rsidRDefault="0069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145"/>
    <w:multiLevelType w:val="multilevel"/>
    <w:tmpl w:val="BFEEA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1E6F5E"/>
    <w:multiLevelType w:val="multilevel"/>
    <w:tmpl w:val="9530002E"/>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85E8B"/>
    <w:multiLevelType w:val="multilevel"/>
    <w:tmpl w:val="7144A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50519C"/>
    <w:multiLevelType w:val="multilevel"/>
    <w:tmpl w:val="3B5805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71900F4"/>
    <w:multiLevelType w:val="multilevel"/>
    <w:tmpl w:val="91BE96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77423B9"/>
    <w:multiLevelType w:val="multilevel"/>
    <w:tmpl w:val="44666D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E003B99"/>
    <w:multiLevelType w:val="multilevel"/>
    <w:tmpl w:val="13AE5ED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F4B577C"/>
    <w:multiLevelType w:val="multilevel"/>
    <w:tmpl w:val="045699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94662"/>
    <w:multiLevelType w:val="multilevel"/>
    <w:tmpl w:val="A3D6E4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1E400FF"/>
    <w:multiLevelType w:val="multilevel"/>
    <w:tmpl w:val="B21ED4A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782B58"/>
    <w:multiLevelType w:val="multilevel"/>
    <w:tmpl w:val="EEB6795C"/>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726B67"/>
    <w:multiLevelType w:val="multilevel"/>
    <w:tmpl w:val="33CC84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7832AFB"/>
    <w:multiLevelType w:val="multilevel"/>
    <w:tmpl w:val="349CA27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3" w15:restartNumberingAfterBreak="0">
    <w:nsid w:val="1CC6116A"/>
    <w:multiLevelType w:val="multilevel"/>
    <w:tmpl w:val="813AE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1C0519"/>
    <w:multiLevelType w:val="multilevel"/>
    <w:tmpl w:val="69E60A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D8F3FE5"/>
    <w:multiLevelType w:val="multilevel"/>
    <w:tmpl w:val="D8EEE4E0"/>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6" w15:restartNumberingAfterBreak="0">
    <w:nsid w:val="27191BD1"/>
    <w:multiLevelType w:val="multilevel"/>
    <w:tmpl w:val="C638CB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8ED34A8"/>
    <w:multiLevelType w:val="multilevel"/>
    <w:tmpl w:val="A7166D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C9A5E9E"/>
    <w:multiLevelType w:val="multilevel"/>
    <w:tmpl w:val="3B48A5D6"/>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9" w15:restartNumberingAfterBreak="0">
    <w:nsid w:val="2E006463"/>
    <w:multiLevelType w:val="multilevel"/>
    <w:tmpl w:val="D0109860"/>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4B7DFC"/>
    <w:multiLevelType w:val="multilevel"/>
    <w:tmpl w:val="F53810E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D475CD"/>
    <w:multiLevelType w:val="multilevel"/>
    <w:tmpl w:val="FF70F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0FB3826"/>
    <w:multiLevelType w:val="multilevel"/>
    <w:tmpl w:val="B2CCCB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1500132"/>
    <w:multiLevelType w:val="multilevel"/>
    <w:tmpl w:val="0A5AA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6C430A4"/>
    <w:multiLevelType w:val="multilevel"/>
    <w:tmpl w:val="8D487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8F149E"/>
    <w:multiLevelType w:val="multilevel"/>
    <w:tmpl w:val="3E7A4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9CC1223"/>
    <w:multiLevelType w:val="multilevel"/>
    <w:tmpl w:val="1E368922"/>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5A46544"/>
    <w:multiLevelType w:val="multilevel"/>
    <w:tmpl w:val="49AE0F1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8535073"/>
    <w:multiLevelType w:val="multilevel"/>
    <w:tmpl w:val="375AEDB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B083ABF"/>
    <w:multiLevelType w:val="multilevel"/>
    <w:tmpl w:val="FCB2D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FA33E4"/>
    <w:multiLevelType w:val="multilevel"/>
    <w:tmpl w:val="BF0A5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2083313"/>
    <w:multiLevelType w:val="multilevel"/>
    <w:tmpl w:val="4E78D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65D76F7"/>
    <w:multiLevelType w:val="multilevel"/>
    <w:tmpl w:val="6AA2286C"/>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3" w15:restartNumberingAfterBreak="0">
    <w:nsid w:val="6120519D"/>
    <w:multiLevelType w:val="multilevel"/>
    <w:tmpl w:val="9802F7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216438F"/>
    <w:multiLevelType w:val="multilevel"/>
    <w:tmpl w:val="132C0150"/>
    <w:lvl w:ilvl="0">
      <w:start w:val="1"/>
      <w:numFmt w:val="decimal"/>
      <w:lvlText w:val="%1."/>
      <w:lvlJc w:val="left"/>
      <w:pPr>
        <w:ind w:left="776" w:hanging="360"/>
      </w:pPr>
    </w:lvl>
    <w:lvl w:ilvl="1">
      <w:start w:val="1"/>
      <w:numFmt w:val="lowerLetter"/>
      <w:lvlText w:val="%2."/>
      <w:lvlJc w:val="left"/>
      <w:pPr>
        <w:ind w:left="1496" w:hanging="360"/>
      </w:pPr>
    </w:lvl>
    <w:lvl w:ilvl="2">
      <w:start w:val="1"/>
      <w:numFmt w:val="lowerRoman"/>
      <w:lvlText w:val="%3."/>
      <w:lvlJc w:val="right"/>
      <w:pPr>
        <w:ind w:left="2216" w:hanging="180"/>
      </w:pPr>
    </w:lvl>
    <w:lvl w:ilvl="3">
      <w:start w:val="1"/>
      <w:numFmt w:val="decimal"/>
      <w:lvlText w:val="%4."/>
      <w:lvlJc w:val="left"/>
      <w:pPr>
        <w:ind w:left="2936" w:hanging="360"/>
      </w:pPr>
    </w:lvl>
    <w:lvl w:ilvl="4">
      <w:start w:val="1"/>
      <w:numFmt w:val="lowerLetter"/>
      <w:lvlText w:val="%5."/>
      <w:lvlJc w:val="left"/>
      <w:pPr>
        <w:ind w:left="3656" w:hanging="360"/>
      </w:pPr>
    </w:lvl>
    <w:lvl w:ilvl="5">
      <w:start w:val="1"/>
      <w:numFmt w:val="lowerRoman"/>
      <w:lvlText w:val="%6."/>
      <w:lvlJc w:val="right"/>
      <w:pPr>
        <w:ind w:left="4376" w:hanging="180"/>
      </w:pPr>
    </w:lvl>
    <w:lvl w:ilvl="6">
      <w:start w:val="1"/>
      <w:numFmt w:val="decimal"/>
      <w:lvlText w:val="%7."/>
      <w:lvlJc w:val="left"/>
      <w:pPr>
        <w:ind w:left="5096" w:hanging="360"/>
      </w:pPr>
    </w:lvl>
    <w:lvl w:ilvl="7">
      <w:start w:val="1"/>
      <w:numFmt w:val="lowerLetter"/>
      <w:lvlText w:val="%8."/>
      <w:lvlJc w:val="left"/>
      <w:pPr>
        <w:ind w:left="5816" w:hanging="360"/>
      </w:pPr>
    </w:lvl>
    <w:lvl w:ilvl="8">
      <w:start w:val="1"/>
      <w:numFmt w:val="lowerRoman"/>
      <w:lvlText w:val="%9."/>
      <w:lvlJc w:val="right"/>
      <w:pPr>
        <w:ind w:left="6536" w:hanging="180"/>
      </w:pPr>
    </w:lvl>
  </w:abstractNum>
  <w:abstractNum w:abstractNumId="35" w15:restartNumberingAfterBreak="0">
    <w:nsid w:val="65761DFF"/>
    <w:multiLevelType w:val="multilevel"/>
    <w:tmpl w:val="ED84A0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1CA1EE8"/>
    <w:multiLevelType w:val="multilevel"/>
    <w:tmpl w:val="C55C11F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273663B"/>
    <w:multiLevelType w:val="multilevel"/>
    <w:tmpl w:val="5AF4C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7F77B2"/>
    <w:multiLevelType w:val="multilevel"/>
    <w:tmpl w:val="894804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5D132C4"/>
    <w:multiLevelType w:val="multilevel"/>
    <w:tmpl w:val="B0B6CB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9324945"/>
    <w:multiLevelType w:val="multilevel"/>
    <w:tmpl w:val="24E24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3F207A"/>
    <w:multiLevelType w:val="multilevel"/>
    <w:tmpl w:val="5D5633B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402FFF"/>
    <w:multiLevelType w:val="multilevel"/>
    <w:tmpl w:val="EF867F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F6446D"/>
    <w:multiLevelType w:val="multilevel"/>
    <w:tmpl w:val="97B0E246"/>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num w:numId="1">
    <w:abstractNumId w:val="28"/>
  </w:num>
  <w:num w:numId="2">
    <w:abstractNumId w:val="0"/>
  </w:num>
  <w:num w:numId="3">
    <w:abstractNumId w:val="34"/>
  </w:num>
  <w:num w:numId="4">
    <w:abstractNumId w:val="29"/>
  </w:num>
  <w:num w:numId="5">
    <w:abstractNumId w:val="40"/>
  </w:num>
  <w:num w:numId="6">
    <w:abstractNumId w:val="37"/>
  </w:num>
  <w:num w:numId="7">
    <w:abstractNumId w:val="24"/>
  </w:num>
  <w:num w:numId="8">
    <w:abstractNumId w:val="11"/>
  </w:num>
  <w:num w:numId="9">
    <w:abstractNumId w:val="23"/>
  </w:num>
  <w:num w:numId="10">
    <w:abstractNumId w:val="6"/>
  </w:num>
  <w:num w:numId="11">
    <w:abstractNumId w:val="14"/>
  </w:num>
  <w:num w:numId="12">
    <w:abstractNumId w:val="27"/>
  </w:num>
  <w:num w:numId="13">
    <w:abstractNumId w:val="25"/>
  </w:num>
  <w:num w:numId="14">
    <w:abstractNumId w:val="9"/>
  </w:num>
  <w:num w:numId="15">
    <w:abstractNumId w:val="35"/>
  </w:num>
  <w:num w:numId="16">
    <w:abstractNumId w:val="36"/>
  </w:num>
  <w:num w:numId="17">
    <w:abstractNumId w:val="31"/>
  </w:num>
  <w:num w:numId="18">
    <w:abstractNumId w:val="30"/>
  </w:num>
  <w:num w:numId="19">
    <w:abstractNumId w:val="2"/>
  </w:num>
  <w:num w:numId="20">
    <w:abstractNumId w:val="39"/>
  </w:num>
  <w:num w:numId="21">
    <w:abstractNumId w:val="33"/>
  </w:num>
  <w:num w:numId="22">
    <w:abstractNumId w:val="3"/>
  </w:num>
  <w:num w:numId="23">
    <w:abstractNumId w:val="38"/>
  </w:num>
  <w:num w:numId="24">
    <w:abstractNumId w:val="8"/>
  </w:num>
  <w:num w:numId="25">
    <w:abstractNumId w:val="21"/>
  </w:num>
  <w:num w:numId="26">
    <w:abstractNumId w:val="5"/>
  </w:num>
  <w:num w:numId="27">
    <w:abstractNumId w:val="17"/>
  </w:num>
  <w:num w:numId="28">
    <w:abstractNumId w:val="4"/>
  </w:num>
  <w:num w:numId="29">
    <w:abstractNumId w:val="16"/>
  </w:num>
  <w:num w:numId="30">
    <w:abstractNumId w:val="20"/>
  </w:num>
  <w:num w:numId="31">
    <w:abstractNumId w:val="43"/>
  </w:num>
  <w:num w:numId="32">
    <w:abstractNumId w:val="15"/>
  </w:num>
  <w:num w:numId="33">
    <w:abstractNumId w:val="41"/>
  </w:num>
  <w:num w:numId="34">
    <w:abstractNumId w:val="1"/>
  </w:num>
  <w:num w:numId="35">
    <w:abstractNumId w:val="19"/>
  </w:num>
  <w:num w:numId="36">
    <w:abstractNumId w:val="12"/>
  </w:num>
  <w:num w:numId="37">
    <w:abstractNumId w:val="18"/>
  </w:num>
  <w:num w:numId="38">
    <w:abstractNumId w:val="32"/>
  </w:num>
  <w:num w:numId="39">
    <w:abstractNumId w:val="10"/>
  </w:num>
  <w:num w:numId="40">
    <w:abstractNumId w:val="13"/>
  </w:num>
  <w:num w:numId="41">
    <w:abstractNumId w:val="42"/>
  </w:num>
  <w:num w:numId="42">
    <w:abstractNumId w:val="26"/>
  </w:num>
  <w:num w:numId="43">
    <w:abstractNumId w:val="2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A2"/>
    <w:rsid w:val="004109E5"/>
    <w:rsid w:val="004A11C6"/>
    <w:rsid w:val="00695B46"/>
    <w:rsid w:val="008D4AC0"/>
    <w:rsid w:val="00DA14A2"/>
    <w:rsid w:val="00E3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BC596"/>
  <w15:docId w15:val="{EB54C6FC-1B06-465E-8E3D-80F11630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Heading2Char">
    <w:name w:val="Heading 2 Char"/>
    <w:basedOn w:val="DefaultParagraphFont"/>
    <w:rPr>
      <w:sz w:val="32"/>
      <w:szCs w:val="32"/>
    </w:rPr>
  </w:style>
  <w:style w:type="character" w:customStyle="1" w:styleId="Heading3Char">
    <w:name w:val="Heading 3 Char"/>
    <w:basedOn w:val="DefaultParagraphFont"/>
    <w:rPr>
      <w:color w:val="000000"/>
      <w:sz w:val="28"/>
      <w:szCs w:val="28"/>
    </w:rPr>
  </w:style>
  <w:style w:type="paragraph" w:customStyle="1" w:styleId="Body2">
    <w:name w:val="Body2"/>
    <w:basedOn w:val="Normal"/>
    <w:pPr>
      <w:suppressAutoHyphens w:val="0"/>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pPr>
      <w:suppressAutoHyphens w:val="0"/>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paragraph" w:styleId="FootnoteText">
    <w:name w:val="footnote text"/>
    <w:basedOn w:val="Normal"/>
    <w:pPr>
      <w:suppressAutoHyphens w:val="0"/>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paragraph" w:customStyle="1" w:styleId="paragraph">
    <w:name w:val="paragraph"/>
    <w:basedOn w:val="Normal"/>
    <w:pPr>
      <w:suppressAutoHyphens w:val="0"/>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17414</Words>
  <Characters>99265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Yeates, Rebecca (Commercial)</cp:lastModifiedBy>
  <cp:revision>2</cp:revision>
  <cp:lastPrinted>2021-06-08T12:58:00Z</cp:lastPrinted>
  <dcterms:created xsi:type="dcterms:W3CDTF">2021-07-01T13:33:00Z</dcterms:created>
  <dcterms:modified xsi:type="dcterms:W3CDTF">2021-07-01T13:33:00Z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2021-05-26T10:27:45Z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6228830d-b15c-47d0-808e-6963c3a3cdce</vt:lpwstr>
  </property>
  <property fmtid="{D5CDD505-2E9C-101B-9397-08002B2CF9AE}" pid="8" name="MSIP_Label_f9af038e-07b4-4369-a678-c835687cb272_ContentBits">
    <vt:lpwstr>2</vt:lpwstr>
  </property>
</Properties>
</file>