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D9" w:rsidRPr="00EE5AE1" w:rsidRDefault="00475FD9" w:rsidP="00475FD9">
      <w:pPr>
        <w:pStyle w:val="Chapter"/>
      </w:pPr>
      <w:bookmarkStart w:id="0" w:name="_Toc450136220"/>
      <w:bookmarkStart w:id="1" w:name="_Toc458089280"/>
      <w:bookmarkStart w:id="2" w:name="_Toc278544909"/>
      <w:bookmarkStart w:id="3" w:name="_GoBack"/>
      <w:bookmarkEnd w:id="3"/>
      <w:r>
        <w:t>Appendix B</w:t>
      </w:r>
      <w:r w:rsidRPr="00EE5AE1">
        <w:t xml:space="preserve"> </w:t>
      </w:r>
      <w:r>
        <w:t>–</w:t>
      </w:r>
      <w:r w:rsidRPr="00EE5AE1">
        <w:t xml:space="preserve"> </w:t>
      </w:r>
      <w:bookmarkEnd w:id="0"/>
      <w:r>
        <w:t>Service Description</w:t>
      </w:r>
      <w:bookmarkEnd w:id="1"/>
    </w:p>
    <w:p w:rsidR="00475FD9" w:rsidRDefault="00475FD9" w:rsidP="00FA5229">
      <w:pPr>
        <w:pStyle w:val="bodystrongcentred"/>
        <w:rPr>
          <w:rFonts w:ascii="Calibri" w:hAnsi="Calibri"/>
        </w:rPr>
      </w:pPr>
    </w:p>
    <w:p w:rsidR="00910C2D" w:rsidRDefault="00910C2D" w:rsidP="00910C2D">
      <w:pPr>
        <w:pStyle w:val="bodystrongcentred"/>
        <w:jc w:val="left"/>
        <w:rPr>
          <w:rStyle w:val="Emphasis"/>
        </w:rPr>
      </w:pPr>
    </w:p>
    <w:p w:rsidR="00FA5229" w:rsidRDefault="00FA5229" w:rsidP="00910C2D">
      <w:pPr>
        <w:pStyle w:val="bodystrongcentred"/>
        <w:jc w:val="left"/>
        <w:rPr>
          <w:rStyle w:val="Emphasis"/>
        </w:rPr>
      </w:pPr>
      <w:r w:rsidRPr="00910C2D">
        <w:rPr>
          <w:rStyle w:val="Emphasis"/>
        </w:rPr>
        <w:t>CONTENTS</w:t>
      </w:r>
    </w:p>
    <w:p w:rsidR="00910C2D" w:rsidRPr="00910C2D" w:rsidRDefault="00910C2D" w:rsidP="00910C2D">
      <w:pPr>
        <w:pStyle w:val="bodystrongcentred"/>
        <w:jc w:val="left"/>
        <w:rPr>
          <w:rStyle w:val="Emphasis"/>
        </w:rPr>
      </w:pPr>
    </w:p>
    <w:p w:rsidR="00FA5229" w:rsidRPr="00B3136B" w:rsidRDefault="00FA5229" w:rsidP="00FA5229">
      <w:pPr>
        <w:rPr>
          <w:rFonts w:ascii="Calibri" w:hAnsi="Calibri"/>
        </w:rPr>
      </w:pPr>
    </w:p>
    <w:p w:rsidR="00E0791B" w:rsidRDefault="00910C2D">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\h \z \u </w:instrText>
      </w:r>
      <w:r>
        <w:rPr>
          <w:rFonts w:ascii="Calibri" w:hAnsi="Calibri"/>
          <w:caps w:val="0"/>
        </w:rPr>
        <w:fldChar w:fldCharType="separate"/>
      </w:r>
      <w:hyperlink w:anchor="_Toc458089280" w:history="1">
        <w:r w:rsidR="00E0791B" w:rsidRPr="00540309">
          <w:rPr>
            <w:rStyle w:val="Hyperlink"/>
            <w:noProof/>
          </w:rPr>
          <w:t>Appendix B – Service Description</w:t>
        </w:r>
        <w:r w:rsidR="00E0791B">
          <w:rPr>
            <w:noProof/>
            <w:webHidden/>
          </w:rPr>
          <w:tab/>
        </w:r>
        <w:r w:rsidR="00E0791B">
          <w:rPr>
            <w:noProof/>
            <w:webHidden/>
          </w:rPr>
          <w:fldChar w:fldCharType="begin"/>
        </w:r>
        <w:r w:rsidR="00E0791B">
          <w:rPr>
            <w:noProof/>
            <w:webHidden/>
          </w:rPr>
          <w:instrText xml:space="preserve"> PAGEREF _Toc458089280 \h </w:instrText>
        </w:r>
        <w:r w:rsidR="00E0791B">
          <w:rPr>
            <w:noProof/>
            <w:webHidden/>
          </w:rPr>
        </w:r>
        <w:r w:rsidR="00E0791B">
          <w:rPr>
            <w:noProof/>
            <w:webHidden/>
          </w:rPr>
          <w:fldChar w:fldCharType="separate"/>
        </w:r>
        <w:r w:rsidR="00E0791B">
          <w:rPr>
            <w:noProof/>
            <w:webHidden/>
          </w:rPr>
          <w:t>1</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1" w:history="1">
        <w:r w:rsidR="00E0791B" w:rsidRPr="00540309">
          <w:rPr>
            <w:rStyle w:val="Hyperlink"/>
            <w:noProof/>
          </w:rPr>
          <w:t>1.</w:t>
        </w:r>
        <w:r w:rsidR="00E0791B">
          <w:rPr>
            <w:rFonts w:asciiTheme="minorHAnsi" w:eastAsiaTheme="minorEastAsia" w:hAnsiTheme="minorHAnsi" w:cstheme="minorBidi"/>
            <w:caps w:val="0"/>
            <w:noProof/>
            <w:sz w:val="22"/>
            <w:lang w:eastAsia="en-GB"/>
          </w:rPr>
          <w:tab/>
        </w:r>
        <w:r w:rsidR="00E0791B" w:rsidRPr="00540309">
          <w:rPr>
            <w:rStyle w:val="Hyperlink"/>
            <w:noProof/>
          </w:rPr>
          <w:t>INTRODUCTION</w:t>
        </w:r>
        <w:r w:rsidR="00E0791B">
          <w:rPr>
            <w:noProof/>
            <w:webHidden/>
          </w:rPr>
          <w:tab/>
        </w:r>
        <w:r w:rsidR="00E0791B">
          <w:rPr>
            <w:noProof/>
            <w:webHidden/>
          </w:rPr>
          <w:fldChar w:fldCharType="begin"/>
        </w:r>
        <w:r w:rsidR="00E0791B">
          <w:rPr>
            <w:noProof/>
            <w:webHidden/>
          </w:rPr>
          <w:instrText xml:space="preserve"> PAGEREF _Toc458089281 \h </w:instrText>
        </w:r>
        <w:r w:rsidR="00E0791B">
          <w:rPr>
            <w:noProof/>
            <w:webHidden/>
          </w:rPr>
        </w:r>
        <w:r w:rsidR="00E0791B">
          <w:rPr>
            <w:noProof/>
            <w:webHidden/>
          </w:rPr>
          <w:fldChar w:fldCharType="separate"/>
        </w:r>
        <w:r w:rsidR="00E0791B">
          <w:rPr>
            <w:noProof/>
            <w:webHidden/>
          </w:rPr>
          <w:t>2</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2" w:history="1">
        <w:r w:rsidR="00E0791B" w:rsidRPr="00540309">
          <w:rPr>
            <w:rStyle w:val="Hyperlink"/>
            <w:noProof/>
          </w:rPr>
          <w:t>2.</w:t>
        </w:r>
        <w:r w:rsidR="00E0791B">
          <w:rPr>
            <w:rFonts w:asciiTheme="minorHAnsi" w:eastAsiaTheme="minorEastAsia" w:hAnsiTheme="minorHAnsi" w:cstheme="minorBidi"/>
            <w:caps w:val="0"/>
            <w:noProof/>
            <w:sz w:val="22"/>
            <w:lang w:eastAsia="en-GB"/>
          </w:rPr>
          <w:tab/>
        </w:r>
        <w:r w:rsidR="00E0791B" w:rsidRPr="00540309">
          <w:rPr>
            <w:rStyle w:val="Hyperlink"/>
            <w:noProof/>
          </w:rPr>
          <w:t>PURPOSE</w:t>
        </w:r>
        <w:r w:rsidR="00E0791B">
          <w:rPr>
            <w:noProof/>
            <w:webHidden/>
          </w:rPr>
          <w:tab/>
        </w:r>
        <w:r w:rsidR="00E0791B">
          <w:rPr>
            <w:noProof/>
            <w:webHidden/>
          </w:rPr>
          <w:fldChar w:fldCharType="begin"/>
        </w:r>
        <w:r w:rsidR="00E0791B">
          <w:rPr>
            <w:noProof/>
            <w:webHidden/>
          </w:rPr>
          <w:instrText xml:space="preserve"> PAGEREF _Toc458089282 \h </w:instrText>
        </w:r>
        <w:r w:rsidR="00E0791B">
          <w:rPr>
            <w:noProof/>
            <w:webHidden/>
          </w:rPr>
        </w:r>
        <w:r w:rsidR="00E0791B">
          <w:rPr>
            <w:noProof/>
            <w:webHidden/>
          </w:rPr>
          <w:fldChar w:fldCharType="separate"/>
        </w:r>
        <w:r w:rsidR="00E0791B">
          <w:rPr>
            <w:noProof/>
            <w:webHidden/>
          </w:rPr>
          <w:t>2</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3" w:history="1">
        <w:r w:rsidR="00E0791B" w:rsidRPr="00540309">
          <w:rPr>
            <w:rStyle w:val="Hyperlink"/>
            <w:noProof/>
          </w:rPr>
          <w:t>3.</w:t>
        </w:r>
        <w:r w:rsidR="00E0791B">
          <w:rPr>
            <w:rFonts w:asciiTheme="minorHAnsi" w:eastAsiaTheme="minorEastAsia" w:hAnsiTheme="minorHAnsi" w:cstheme="minorBidi"/>
            <w:caps w:val="0"/>
            <w:noProof/>
            <w:sz w:val="22"/>
            <w:lang w:eastAsia="en-GB"/>
          </w:rPr>
          <w:tab/>
        </w:r>
        <w:r w:rsidR="00E0791B" w:rsidRPr="00540309">
          <w:rPr>
            <w:rStyle w:val="Hyperlink"/>
            <w:noProof/>
          </w:rPr>
          <w:t>background to the authority</w:t>
        </w:r>
        <w:r w:rsidR="00E0791B">
          <w:rPr>
            <w:noProof/>
            <w:webHidden/>
          </w:rPr>
          <w:tab/>
        </w:r>
        <w:r w:rsidR="00E0791B">
          <w:rPr>
            <w:noProof/>
            <w:webHidden/>
          </w:rPr>
          <w:fldChar w:fldCharType="begin"/>
        </w:r>
        <w:r w:rsidR="00E0791B">
          <w:rPr>
            <w:noProof/>
            <w:webHidden/>
          </w:rPr>
          <w:instrText xml:space="preserve"> PAGEREF _Toc458089283 \h </w:instrText>
        </w:r>
        <w:r w:rsidR="00E0791B">
          <w:rPr>
            <w:noProof/>
            <w:webHidden/>
          </w:rPr>
        </w:r>
        <w:r w:rsidR="00E0791B">
          <w:rPr>
            <w:noProof/>
            <w:webHidden/>
          </w:rPr>
          <w:fldChar w:fldCharType="separate"/>
        </w:r>
        <w:r w:rsidR="00E0791B">
          <w:rPr>
            <w:noProof/>
            <w:webHidden/>
          </w:rPr>
          <w:t>2</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4" w:history="1">
        <w:r w:rsidR="00E0791B" w:rsidRPr="00540309">
          <w:rPr>
            <w:rStyle w:val="Hyperlink"/>
            <w:noProof/>
          </w:rPr>
          <w:t>4.</w:t>
        </w:r>
        <w:r w:rsidR="00E0791B">
          <w:rPr>
            <w:rFonts w:asciiTheme="minorHAnsi" w:eastAsiaTheme="minorEastAsia" w:hAnsiTheme="minorHAnsi" w:cstheme="minorBidi"/>
            <w:caps w:val="0"/>
            <w:noProof/>
            <w:sz w:val="22"/>
            <w:lang w:eastAsia="en-GB"/>
          </w:rPr>
          <w:tab/>
        </w:r>
        <w:r w:rsidR="00E0791B" w:rsidRPr="00540309">
          <w:rPr>
            <w:rStyle w:val="Hyperlink"/>
            <w:noProof/>
          </w:rPr>
          <w:t>Background to requirement/OVERVIEW of requirement</w:t>
        </w:r>
        <w:r w:rsidR="00E0791B">
          <w:rPr>
            <w:noProof/>
            <w:webHidden/>
          </w:rPr>
          <w:tab/>
        </w:r>
        <w:r w:rsidR="00E0791B">
          <w:rPr>
            <w:noProof/>
            <w:webHidden/>
          </w:rPr>
          <w:fldChar w:fldCharType="begin"/>
        </w:r>
        <w:r w:rsidR="00E0791B">
          <w:rPr>
            <w:noProof/>
            <w:webHidden/>
          </w:rPr>
          <w:instrText xml:space="preserve"> PAGEREF _Toc458089284 \h </w:instrText>
        </w:r>
        <w:r w:rsidR="00E0791B">
          <w:rPr>
            <w:noProof/>
            <w:webHidden/>
          </w:rPr>
        </w:r>
        <w:r w:rsidR="00E0791B">
          <w:rPr>
            <w:noProof/>
            <w:webHidden/>
          </w:rPr>
          <w:fldChar w:fldCharType="separate"/>
        </w:r>
        <w:r w:rsidR="00E0791B">
          <w:rPr>
            <w:noProof/>
            <w:webHidden/>
          </w:rPr>
          <w:t>3</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5" w:history="1">
        <w:r w:rsidR="00E0791B" w:rsidRPr="00540309">
          <w:rPr>
            <w:rStyle w:val="Hyperlink"/>
            <w:noProof/>
          </w:rPr>
          <w:t>5.</w:t>
        </w:r>
        <w:r w:rsidR="00E0791B">
          <w:rPr>
            <w:rFonts w:asciiTheme="minorHAnsi" w:eastAsiaTheme="minorEastAsia" w:hAnsiTheme="minorHAnsi" w:cstheme="minorBidi"/>
            <w:caps w:val="0"/>
            <w:noProof/>
            <w:sz w:val="22"/>
            <w:lang w:eastAsia="en-GB"/>
          </w:rPr>
          <w:tab/>
        </w:r>
        <w:r w:rsidR="00E0791B" w:rsidRPr="00540309">
          <w:rPr>
            <w:rStyle w:val="Hyperlink"/>
            <w:noProof/>
          </w:rPr>
          <w:t>scope of requirement</w:t>
        </w:r>
        <w:r w:rsidR="00E0791B">
          <w:rPr>
            <w:noProof/>
            <w:webHidden/>
          </w:rPr>
          <w:tab/>
        </w:r>
        <w:r w:rsidR="00E0791B">
          <w:rPr>
            <w:noProof/>
            <w:webHidden/>
          </w:rPr>
          <w:fldChar w:fldCharType="begin"/>
        </w:r>
        <w:r w:rsidR="00E0791B">
          <w:rPr>
            <w:noProof/>
            <w:webHidden/>
          </w:rPr>
          <w:instrText xml:space="preserve"> PAGEREF _Toc458089285 \h </w:instrText>
        </w:r>
        <w:r w:rsidR="00E0791B">
          <w:rPr>
            <w:noProof/>
            <w:webHidden/>
          </w:rPr>
        </w:r>
        <w:r w:rsidR="00E0791B">
          <w:rPr>
            <w:noProof/>
            <w:webHidden/>
          </w:rPr>
          <w:fldChar w:fldCharType="separate"/>
        </w:r>
        <w:r w:rsidR="00E0791B">
          <w:rPr>
            <w:noProof/>
            <w:webHidden/>
          </w:rPr>
          <w:t>5</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6" w:history="1">
        <w:r w:rsidR="00E0791B" w:rsidRPr="00540309">
          <w:rPr>
            <w:rStyle w:val="Hyperlink"/>
            <w:noProof/>
          </w:rPr>
          <w:t>6.</w:t>
        </w:r>
        <w:r w:rsidR="00E0791B">
          <w:rPr>
            <w:rFonts w:asciiTheme="minorHAnsi" w:eastAsiaTheme="minorEastAsia" w:hAnsiTheme="minorHAnsi" w:cstheme="minorBidi"/>
            <w:caps w:val="0"/>
            <w:noProof/>
            <w:sz w:val="22"/>
            <w:lang w:eastAsia="en-GB"/>
          </w:rPr>
          <w:tab/>
        </w:r>
        <w:r w:rsidR="00E0791B" w:rsidRPr="00540309">
          <w:rPr>
            <w:rStyle w:val="Hyperlink"/>
            <w:noProof/>
          </w:rPr>
          <w:t>service levels and performance</w:t>
        </w:r>
        <w:r w:rsidR="00E0791B">
          <w:rPr>
            <w:noProof/>
            <w:webHidden/>
          </w:rPr>
          <w:tab/>
        </w:r>
        <w:r w:rsidR="00E0791B">
          <w:rPr>
            <w:noProof/>
            <w:webHidden/>
          </w:rPr>
          <w:fldChar w:fldCharType="begin"/>
        </w:r>
        <w:r w:rsidR="00E0791B">
          <w:rPr>
            <w:noProof/>
            <w:webHidden/>
          </w:rPr>
          <w:instrText xml:space="preserve"> PAGEREF _Toc458089286 \h </w:instrText>
        </w:r>
        <w:r w:rsidR="00E0791B">
          <w:rPr>
            <w:noProof/>
            <w:webHidden/>
          </w:rPr>
        </w:r>
        <w:r w:rsidR="00E0791B">
          <w:rPr>
            <w:noProof/>
            <w:webHidden/>
          </w:rPr>
          <w:fldChar w:fldCharType="separate"/>
        </w:r>
        <w:r w:rsidR="00E0791B">
          <w:rPr>
            <w:noProof/>
            <w:webHidden/>
          </w:rPr>
          <w:t>5</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7" w:history="1">
        <w:r w:rsidR="00E0791B" w:rsidRPr="00540309">
          <w:rPr>
            <w:rStyle w:val="Hyperlink"/>
            <w:noProof/>
          </w:rPr>
          <w:t>7.</w:t>
        </w:r>
        <w:r w:rsidR="00E0791B">
          <w:rPr>
            <w:rFonts w:asciiTheme="minorHAnsi" w:eastAsiaTheme="minorEastAsia" w:hAnsiTheme="minorHAnsi" w:cstheme="minorBidi"/>
            <w:caps w:val="0"/>
            <w:noProof/>
            <w:sz w:val="22"/>
            <w:lang w:eastAsia="en-GB"/>
          </w:rPr>
          <w:tab/>
        </w:r>
        <w:r w:rsidR="00E0791B" w:rsidRPr="00540309">
          <w:rPr>
            <w:rStyle w:val="Hyperlink"/>
            <w:noProof/>
          </w:rPr>
          <w:t>Location</w:t>
        </w:r>
        <w:r w:rsidR="00E0791B">
          <w:rPr>
            <w:noProof/>
            <w:webHidden/>
          </w:rPr>
          <w:tab/>
        </w:r>
        <w:r w:rsidR="00E0791B">
          <w:rPr>
            <w:noProof/>
            <w:webHidden/>
          </w:rPr>
          <w:fldChar w:fldCharType="begin"/>
        </w:r>
        <w:r w:rsidR="00E0791B">
          <w:rPr>
            <w:noProof/>
            <w:webHidden/>
          </w:rPr>
          <w:instrText xml:space="preserve"> PAGEREF _Toc458089287 \h </w:instrText>
        </w:r>
        <w:r w:rsidR="00E0791B">
          <w:rPr>
            <w:noProof/>
            <w:webHidden/>
          </w:rPr>
        </w:r>
        <w:r w:rsidR="00E0791B">
          <w:rPr>
            <w:noProof/>
            <w:webHidden/>
          </w:rPr>
          <w:fldChar w:fldCharType="separate"/>
        </w:r>
        <w:r w:rsidR="00E0791B">
          <w:rPr>
            <w:noProof/>
            <w:webHidden/>
          </w:rPr>
          <w:t>7</w:t>
        </w:r>
        <w:r w:rsidR="00E0791B">
          <w:rPr>
            <w:noProof/>
            <w:webHidden/>
          </w:rPr>
          <w:fldChar w:fldCharType="end"/>
        </w:r>
      </w:hyperlink>
    </w:p>
    <w:p w:rsidR="00E0791B" w:rsidRDefault="008E1E90">
      <w:pPr>
        <w:pStyle w:val="TOC1"/>
        <w:rPr>
          <w:rFonts w:asciiTheme="minorHAnsi" w:eastAsiaTheme="minorEastAsia" w:hAnsiTheme="minorHAnsi" w:cstheme="minorBidi"/>
          <w:caps w:val="0"/>
          <w:noProof/>
          <w:sz w:val="22"/>
          <w:lang w:eastAsia="en-GB"/>
        </w:rPr>
      </w:pPr>
      <w:hyperlink w:anchor="_Toc458089288" w:history="1">
        <w:r w:rsidR="00E0791B" w:rsidRPr="00540309">
          <w:rPr>
            <w:rStyle w:val="Hyperlink"/>
            <w:noProof/>
          </w:rPr>
          <w:t>8.</w:t>
        </w:r>
        <w:r w:rsidR="00E0791B">
          <w:rPr>
            <w:rFonts w:asciiTheme="minorHAnsi" w:eastAsiaTheme="minorEastAsia" w:hAnsiTheme="minorHAnsi" w:cstheme="minorBidi"/>
            <w:caps w:val="0"/>
            <w:noProof/>
            <w:sz w:val="22"/>
            <w:lang w:eastAsia="en-GB"/>
          </w:rPr>
          <w:tab/>
        </w:r>
        <w:r w:rsidR="00E0791B" w:rsidRPr="00540309">
          <w:rPr>
            <w:rStyle w:val="Hyperlink"/>
            <w:noProof/>
          </w:rPr>
          <w:t>BUDGET</w:t>
        </w:r>
        <w:r w:rsidR="00E0791B">
          <w:rPr>
            <w:noProof/>
            <w:webHidden/>
          </w:rPr>
          <w:tab/>
        </w:r>
        <w:r w:rsidR="00E0791B">
          <w:rPr>
            <w:noProof/>
            <w:webHidden/>
          </w:rPr>
          <w:fldChar w:fldCharType="begin"/>
        </w:r>
        <w:r w:rsidR="00E0791B">
          <w:rPr>
            <w:noProof/>
            <w:webHidden/>
          </w:rPr>
          <w:instrText xml:space="preserve"> PAGEREF _Toc458089288 \h </w:instrText>
        </w:r>
        <w:r w:rsidR="00E0791B">
          <w:rPr>
            <w:noProof/>
            <w:webHidden/>
          </w:rPr>
        </w:r>
        <w:r w:rsidR="00E0791B">
          <w:rPr>
            <w:noProof/>
            <w:webHidden/>
          </w:rPr>
          <w:fldChar w:fldCharType="separate"/>
        </w:r>
        <w:r w:rsidR="00E0791B">
          <w:rPr>
            <w:noProof/>
            <w:webHidden/>
          </w:rPr>
          <w:t>7</w:t>
        </w:r>
        <w:r w:rsidR="00E0791B">
          <w:rPr>
            <w:noProof/>
            <w:webHidden/>
          </w:rPr>
          <w:fldChar w:fldCharType="end"/>
        </w:r>
      </w:hyperlink>
    </w:p>
    <w:p w:rsidR="00FA5229" w:rsidRPr="00B3136B" w:rsidRDefault="00910C2D" w:rsidP="00FA5229">
      <w:pPr>
        <w:spacing w:after="120"/>
        <w:jc w:val="center"/>
        <w:rPr>
          <w:rFonts w:ascii="Calibri" w:hAnsi="Calibri"/>
          <w:b/>
        </w:rPr>
      </w:pPr>
      <w:r>
        <w:rPr>
          <w:rFonts w:ascii="Calibri" w:eastAsia="STZhongsong" w:hAnsi="Calibri"/>
          <w:caps/>
          <w:lang w:eastAsia="zh-CN"/>
        </w:rPr>
        <w:fldChar w:fldCharType="end"/>
      </w:r>
    </w:p>
    <w:p w:rsidR="001530F5" w:rsidRDefault="00FA5229" w:rsidP="00910C2D">
      <w:pPr>
        <w:pStyle w:val="Heading1"/>
      </w:pPr>
      <w:bookmarkStart w:id="4" w:name="_Toc297554772"/>
      <w:bookmarkEnd w:id="2"/>
      <w:r w:rsidRPr="00910C2D">
        <w:br w:type="page"/>
      </w:r>
      <w:bookmarkStart w:id="5" w:name="_Toc458089281"/>
      <w:r w:rsidR="001530F5" w:rsidRPr="00910C2D">
        <w:lastRenderedPageBreak/>
        <w:t>INTRODUCTION</w:t>
      </w:r>
      <w:bookmarkEnd w:id="5"/>
      <w:r w:rsidR="001530F5" w:rsidRPr="00910C2D">
        <w:tab/>
      </w:r>
    </w:p>
    <w:p w:rsidR="00010E85" w:rsidRDefault="00010E85" w:rsidP="00373587">
      <w:pPr>
        <w:pStyle w:val="Heading2"/>
      </w:pPr>
      <w:r>
        <w:t xml:space="preserve">The Department of Health (DH) helps people to live better for longer. We lead, shape and fund health and care in England, making sure people have the support, care and treatment they need, with the compassion, respect and dignity they deserve. </w:t>
      </w:r>
    </w:p>
    <w:p w:rsidR="00010E85" w:rsidRDefault="00010E85" w:rsidP="00010E85">
      <w:pPr>
        <w:pStyle w:val="Heading2"/>
      </w:pPr>
      <w:r>
        <w:t>As part of its leadership of an EU Joint Action on Dementia work package on dementia friendly communities, DH requires a report describing the global evidence on dementia friendly communities</w:t>
      </w:r>
      <w:r w:rsidR="00C56F85">
        <w:t xml:space="preserve"> as the first major deliverable of the work package and to inform later deliverables. </w:t>
      </w:r>
      <w:r>
        <w:t xml:space="preserve"> </w:t>
      </w:r>
    </w:p>
    <w:p w:rsidR="00010E85" w:rsidRPr="00910C2D" w:rsidRDefault="00010E85" w:rsidP="00010E85">
      <w:pPr>
        <w:pStyle w:val="Heading1"/>
        <w:numPr>
          <w:ilvl w:val="0"/>
          <w:numId w:val="0"/>
        </w:numPr>
        <w:ind w:left="720"/>
      </w:pPr>
    </w:p>
    <w:p w:rsidR="00E35542" w:rsidRPr="00910C2D" w:rsidRDefault="002C546C" w:rsidP="00910C2D">
      <w:pPr>
        <w:pStyle w:val="Heading1"/>
      </w:pPr>
      <w:bookmarkStart w:id="6" w:name="_Toc458089282"/>
      <w:r w:rsidRPr="00910C2D">
        <w:t>PURPOSE</w:t>
      </w:r>
      <w:bookmarkEnd w:id="4"/>
      <w:bookmarkEnd w:id="6"/>
    </w:p>
    <w:p w:rsidR="005170DE" w:rsidRPr="005170DE" w:rsidRDefault="005170DE" w:rsidP="00010E85">
      <w:pPr>
        <w:spacing w:line="276" w:lineRule="auto"/>
        <w:ind w:left="720" w:hanging="720"/>
        <w:rPr>
          <w:rFonts w:eastAsia="STZhongsong" w:cs="Times New Roman"/>
          <w:szCs w:val="20"/>
          <w:lang w:eastAsia="zh-CN"/>
        </w:rPr>
      </w:pPr>
      <w:bookmarkStart w:id="7" w:name="_Toc297554773"/>
      <w:bookmarkStart w:id="8" w:name="_Toc296415805"/>
      <w:bookmarkStart w:id="9" w:name="_Toc296415793"/>
      <w:r>
        <w:rPr>
          <w:rFonts w:ascii="Calibri" w:eastAsia="Calibri" w:hAnsi="Calibri" w:cs="Calibri"/>
          <w:color w:val="000000"/>
          <w:sz w:val="22"/>
          <w:u w:color="000000"/>
          <w:lang w:val="en-US"/>
        </w:rPr>
        <w:t>2.1</w:t>
      </w:r>
      <w:r>
        <w:rPr>
          <w:rFonts w:ascii="Calibri" w:eastAsia="Calibri" w:hAnsi="Calibri" w:cs="Calibri"/>
          <w:color w:val="000000"/>
          <w:sz w:val="22"/>
          <w:u w:color="000000"/>
          <w:lang w:val="en-US"/>
        </w:rPr>
        <w:tab/>
      </w:r>
      <w:r w:rsidRPr="005170DE">
        <w:rPr>
          <w:rFonts w:eastAsia="STZhongsong" w:cs="Times New Roman"/>
          <w:szCs w:val="20"/>
          <w:lang w:eastAsia="zh-CN"/>
        </w:rPr>
        <w:t xml:space="preserve">The UK Government, through DH, will lead a work package (WP7) on </w:t>
      </w:r>
      <w:r w:rsidR="00C56F85">
        <w:rPr>
          <w:rFonts w:eastAsia="STZhongsong" w:cs="Times New Roman"/>
          <w:szCs w:val="20"/>
          <w:lang w:eastAsia="zh-CN"/>
        </w:rPr>
        <w:t>d</w:t>
      </w:r>
      <w:r w:rsidRPr="005170DE">
        <w:rPr>
          <w:rFonts w:eastAsia="STZhongsong" w:cs="Times New Roman"/>
          <w:szCs w:val="20"/>
          <w:lang w:eastAsia="zh-CN"/>
        </w:rPr>
        <w:t xml:space="preserve">ementia </w:t>
      </w:r>
      <w:r w:rsidR="00C56F85">
        <w:rPr>
          <w:rFonts w:eastAsia="STZhongsong" w:cs="Times New Roman"/>
          <w:szCs w:val="20"/>
          <w:lang w:eastAsia="zh-CN"/>
        </w:rPr>
        <w:t>f</w:t>
      </w:r>
      <w:r w:rsidRPr="005170DE">
        <w:rPr>
          <w:rFonts w:eastAsia="STZhongsong" w:cs="Times New Roman"/>
          <w:szCs w:val="20"/>
          <w:lang w:eastAsia="zh-CN"/>
        </w:rPr>
        <w:t xml:space="preserve">riendly </w:t>
      </w:r>
      <w:r w:rsidR="00C56F85">
        <w:rPr>
          <w:rFonts w:eastAsia="STZhongsong" w:cs="Times New Roman"/>
          <w:szCs w:val="20"/>
          <w:lang w:eastAsia="zh-CN"/>
        </w:rPr>
        <w:t>c</w:t>
      </w:r>
      <w:r w:rsidRPr="005170DE">
        <w:rPr>
          <w:rFonts w:eastAsia="STZhongsong" w:cs="Times New Roman"/>
          <w:szCs w:val="20"/>
          <w:lang w:eastAsia="zh-CN"/>
        </w:rPr>
        <w:t xml:space="preserve">ommunities as part of the second European Union Joint Action (EU JA) on Dementia that commenced in March 2016 and will last for three years. This commitment, strengthened by a legal agreement between the relevant parties in early 2016, was given as part of the UK’s/DH’s global leadership on dementia that has built since the 2013 G8 summit in London, strongly supported both by the </w:t>
      </w:r>
      <w:r w:rsidR="00C56F85">
        <w:rPr>
          <w:rFonts w:eastAsia="STZhongsong" w:cs="Times New Roman"/>
          <w:szCs w:val="20"/>
          <w:lang w:eastAsia="zh-CN"/>
        </w:rPr>
        <w:t>then-</w:t>
      </w:r>
      <w:r w:rsidRPr="005170DE">
        <w:rPr>
          <w:rFonts w:eastAsia="STZhongsong" w:cs="Times New Roman"/>
          <w:szCs w:val="20"/>
          <w:lang w:eastAsia="zh-CN"/>
        </w:rPr>
        <w:t xml:space="preserve">Prime Minister and the Secretary of State for Health. England also has a very strong record in the creation of dementia friendly communities, a key focus of the Prime Minister’s Challenge on Dementia 2020, so </w:t>
      </w:r>
      <w:r w:rsidR="00C56F85">
        <w:rPr>
          <w:rFonts w:eastAsia="STZhongsong" w:cs="Times New Roman"/>
          <w:szCs w:val="20"/>
          <w:lang w:eastAsia="zh-CN"/>
        </w:rPr>
        <w:t>is very well</w:t>
      </w:r>
      <w:r w:rsidRPr="005170DE">
        <w:rPr>
          <w:rFonts w:eastAsia="STZhongsong" w:cs="Times New Roman"/>
          <w:szCs w:val="20"/>
          <w:lang w:eastAsia="zh-CN"/>
        </w:rPr>
        <w:t xml:space="preserve"> placed to lead this specific work package.   </w:t>
      </w:r>
    </w:p>
    <w:p w:rsidR="005170DE" w:rsidRPr="005170DE" w:rsidRDefault="005170DE" w:rsidP="005170DE">
      <w:pPr>
        <w:pStyle w:val="Heading1"/>
        <w:numPr>
          <w:ilvl w:val="0"/>
          <w:numId w:val="0"/>
        </w:numPr>
        <w:spacing w:line="276" w:lineRule="auto"/>
      </w:pPr>
      <w:r w:rsidRPr="005170DE">
        <w:rPr>
          <w:rFonts w:ascii="Calibri" w:eastAsia="Times New Roman" w:hAnsi="Calibri" w:cs="Times New Roman"/>
          <w:b w:val="0"/>
          <w:caps w:val="0"/>
          <w:color w:val="auto"/>
          <w:sz w:val="22"/>
          <w:szCs w:val="22"/>
          <w:lang w:eastAsia="en-GB"/>
        </w:rPr>
        <w:t xml:space="preserve"> </w:t>
      </w:r>
    </w:p>
    <w:p w:rsidR="000C73A3" w:rsidRPr="00910C2D" w:rsidRDefault="000C73A3" w:rsidP="005170DE">
      <w:pPr>
        <w:pStyle w:val="Heading1"/>
        <w:spacing w:line="276" w:lineRule="auto"/>
      </w:pPr>
      <w:bookmarkStart w:id="10" w:name="_Toc458089283"/>
      <w:r w:rsidRPr="00910C2D">
        <w:t>background to the authority</w:t>
      </w:r>
      <w:bookmarkEnd w:id="10"/>
    </w:p>
    <w:p w:rsidR="00CE07DE" w:rsidRDefault="00373587" w:rsidP="00CE07DE">
      <w:pPr>
        <w:pStyle w:val="Heading2"/>
      </w:pPr>
      <w:r>
        <w:t xml:space="preserve">DH </w:t>
      </w:r>
      <w:r w:rsidR="00CE07DE">
        <w:t>lead</w:t>
      </w:r>
      <w:r>
        <w:t>s</w:t>
      </w:r>
      <w:r w:rsidR="00CE07DE">
        <w:t xml:space="preserve"> across health and care by creating national policies and legislation, providing the long-term vision and ambition to meet current and future challenges, putting health and care at the heart of government and being a global leader in health and care policy</w:t>
      </w:r>
    </w:p>
    <w:p w:rsidR="00CE07DE" w:rsidRDefault="00CE07DE" w:rsidP="00CE07DE">
      <w:pPr>
        <w:pStyle w:val="Heading2"/>
      </w:pPr>
      <w:r>
        <w:t>We support the integrity of the system by providing funding, assuring the delivery and continuity of services and accounting to Parliament in a way that represents the best interests of the patient, public and taxpayer.</w:t>
      </w:r>
    </w:p>
    <w:p w:rsidR="00CE07DE" w:rsidRDefault="0099632A" w:rsidP="00CE07DE">
      <w:pPr>
        <w:pStyle w:val="Heading2"/>
      </w:pPr>
      <w:r>
        <w:t>DH</w:t>
      </w:r>
      <w:r w:rsidR="00CE07DE">
        <w:t xml:space="preserve"> champion</w:t>
      </w:r>
      <w:r w:rsidR="00C56F85">
        <w:t>s</w:t>
      </w:r>
      <w:r w:rsidR="00CE07DE">
        <w:t xml:space="preserve"> innovation and improvement by supporting research and technology, promoting honesty, openness and transparency, and instilling a culture that values compassion, dignity and the highest quality of care above everything</w:t>
      </w:r>
      <w:r>
        <w:t>.</w:t>
      </w:r>
    </w:p>
    <w:p w:rsidR="00CE07DE" w:rsidRDefault="00CE07DE" w:rsidP="00CE07DE">
      <w:pPr>
        <w:pStyle w:val="Heading2"/>
      </w:pPr>
      <w:r>
        <w:lastRenderedPageBreak/>
        <w:t>Above all, DH encourages staff in every health and care organisation, including our own, to understand and learn from people’s experience of health and care and to apply this to everything we do</w:t>
      </w:r>
      <w:r w:rsidR="00C56F85">
        <w:t>.</w:t>
      </w:r>
    </w:p>
    <w:p w:rsidR="00E35542" w:rsidRPr="00910C2D" w:rsidRDefault="000C73A3" w:rsidP="00910C2D">
      <w:pPr>
        <w:pStyle w:val="Heading1"/>
      </w:pPr>
      <w:bookmarkStart w:id="11" w:name="_Toc458089284"/>
      <w:r w:rsidRPr="00910C2D">
        <w:t>Background to requirement/</w:t>
      </w:r>
      <w:r w:rsidR="002C546C" w:rsidRPr="00910C2D">
        <w:t>OVERVIEW</w:t>
      </w:r>
      <w:bookmarkEnd w:id="7"/>
      <w:r w:rsidRPr="00910C2D">
        <w:t xml:space="preserve"> of requirement</w:t>
      </w:r>
      <w:bookmarkEnd w:id="11"/>
    </w:p>
    <w:p w:rsidR="00010E85" w:rsidRDefault="00010E85" w:rsidP="00010E85">
      <w:pPr>
        <w:pStyle w:val="Heading2"/>
      </w:pPr>
      <w:bookmarkStart w:id="12" w:name="_Toc297554774"/>
      <w:bookmarkEnd w:id="8"/>
      <w:r w:rsidRPr="00010E85">
        <w:t>The Scottish Government will lead the overarching EU JA which is focussed on improving post-diagnosis care and support for people with dementia throughout EU28.    WP7 will provide all EU Member States with clear, evidence-based and tested information and recommendations on how to effect change and improve support for people with dementia to live at home through the development of dementia friendly communities, by March 2019.</w:t>
      </w:r>
    </w:p>
    <w:p w:rsidR="00373587" w:rsidRDefault="00010E85" w:rsidP="00010E85">
      <w:pPr>
        <w:pStyle w:val="Heading2"/>
      </w:pPr>
      <w:r w:rsidRPr="00373587">
        <w:t>DH will be supported in the delivery of WP7 by official partner organisat</w:t>
      </w:r>
      <w:r w:rsidR="00373587">
        <w:t>ions in Bulgaria and Greece</w:t>
      </w:r>
      <w:r w:rsidR="00C56F85">
        <w:t xml:space="preserve"> as well as by other collaborating partners, including Alzheimer’s Europe. </w:t>
      </w:r>
      <w:r w:rsidR="00373587">
        <w:t xml:space="preserve"> </w:t>
      </w:r>
    </w:p>
    <w:p w:rsidR="00373587" w:rsidRDefault="00010E85" w:rsidP="00010E85">
      <w:pPr>
        <w:pStyle w:val="Heading2"/>
      </w:pPr>
      <w:r w:rsidRPr="00373587">
        <w:t xml:space="preserve">As background to </w:t>
      </w:r>
      <w:r w:rsidR="00C56F85">
        <w:t xml:space="preserve">why </w:t>
      </w:r>
      <w:r w:rsidRPr="00373587">
        <w:t>WP7</w:t>
      </w:r>
      <w:r w:rsidR="00C56F85">
        <w:t xml:space="preserve"> is necessary</w:t>
      </w:r>
      <w:r w:rsidRPr="00373587">
        <w:t>,  in 2013, the Alzheimer’s Society conducted a survey via YouGov that found that less than half of the respondents to the survey thought their area was geared up to help them live well with dementia (42%) and less than half considered themselves a part of the community (47%).  Stigma was particularly highlighted by people with dementia and carers.  More than half of those surveyed thought that the inclusion of people with dementia in the community was fairly bad or very bad (59%). WP7 aims to improve this situation throughout the EU</w:t>
      </w:r>
      <w:r w:rsidR="00C56F85">
        <w:t>28</w:t>
      </w:r>
      <w:r w:rsidRPr="00373587">
        <w:t xml:space="preserve">. </w:t>
      </w:r>
    </w:p>
    <w:p w:rsidR="00373587" w:rsidRDefault="00373587" w:rsidP="00010E85">
      <w:pPr>
        <w:pStyle w:val="Heading2"/>
      </w:pPr>
      <w:r w:rsidRPr="00373587">
        <w:t>T</w:t>
      </w:r>
      <w:r w:rsidR="00010E85" w:rsidRPr="00373587">
        <w:t>he EU JA objectives are, therefore, two-fold:</w:t>
      </w:r>
    </w:p>
    <w:p w:rsidR="00373587" w:rsidRDefault="00010E85" w:rsidP="00010E85">
      <w:pPr>
        <w:pStyle w:val="Heading2"/>
        <w:numPr>
          <w:ilvl w:val="0"/>
          <w:numId w:val="26"/>
        </w:numPr>
      </w:pPr>
      <w:r w:rsidRPr="00373587">
        <w:t>to identify evidence-based examples of best practice in key aspects of promoting, nurturing and sustaining dementia friendly communities; and</w:t>
      </w:r>
    </w:p>
    <w:p w:rsidR="00010E85" w:rsidRDefault="00010E85" w:rsidP="00010E85">
      <w:pPr>
        <w:pStyle w:val="Heading2"/>
        <w:numPr>
          <w:ilvl w:val="0"/>
          <w:numId w:val="26"/>
        </w:numPr>
      </w:pPr>
      <w:r w:rsidRPr="00373587">
        <w:t>to test evidence-based examples of best practice in key aspects of promoting, nurturing and sustaining dementia friendly communities, including application of improvement science methodologies where possible.</w:t>
      </w:r>
    </w:p>
    <w:p w:rsidR="00373587" w:rsidRDefault="00010E85" w:rsidP="00373587">
      <w:pPr>
        <w:pStyle w:val="Heading2"/>
      </w:pPr>
      <w:r w:rsidRPr="00010E85">
        <w:t>WP7 of the EU JA will broadly be delivered via the following three-year plan:</w:t>
      </w:r>
    </w:p>
    <w:p w:rsidR="00373587" w:rsidRDefault="00010E85" w:rsidP="00373587">
      <w:pPr>
        <w:pStyle w:val="Heading2"/>
        <w:numPr>
          <w:ilvl w:val="0"/>
          <w:numId w:val="0"/>
        </w:numPr>
        <w:ind w:left="720"/>
      </w:pPr>
      <w:r w:rsidRPr="00010E85">
        <w:t>Year 1 - (i) collect and collate evidence on best practice (ii) use that to inform development of tool kit and metrics and (iii) design pilots, and id</w:t>
      </w:r>
      <w:r w:rsidR="00C56F85">
        <w:t xml:space="preserve">entify and agree pilot sites. </w:t>
      </w:r>
    </w:p>
    <w:p w:rsidR="00373587" w:rsidRDefault="00010E85" w:rsidP="00373587">
      <w:pPr>
        <w:pStyle w:val="Heading2"/>
        <w:numPr>
          <w:ilvl w:val="0"/>
          <w:numId w:val="0"/>
        </w:numPr>
        <w:ind w:left="720"/>
      </w:pPr>
      <w:r w:rsidRPr="00010E85">
        <w:t xml:space="preserve">Year 2 – run the pilots </w:t>
      </w:r>
      <w:r w:rsidR="00373587">
        <w:t xml:space="preserve">in England and in other EU </w:t>
      </w:r>
      <w:r w:rsidR="0099632A">
        <w:t>M</w:t>
      </w:r>
      <w:r w:rsidR="00373587">
        <w:t>ember States</w:t>
      </w:r>
      <w:r w:rsidR="0099632A">
        <w:t>,</w:t>
      </w:r>
      <w:r w:rsidR="00373587">
        <w:t xml:space="preserve"> </w:t>
      </w:r>
      <w:r w:rsidRPr="00010E85">
        <w:t xml:space="preserve">using the tool kit intervention; identify enablers and barriers, making adaptations in-year as necessary.  </w:t>
      </w:r>
    </w:p>
    <w:p w:rsidR="00010E85" w:rsidRPr="00010E85" w:rsidRDefault="00010E85" w:rsidP="00373587">
      <w:pPr>
        <w:pStyle w:val="Heading2"/>
        <w:numPr>
          <w:ilvl w:val="0"/>
          <w:numId w:val="0"/>
        </w:numPr>
        <w:ind w:left="720"/>
      </w:pPr>
      <w:r w:rsidRPr="00010E85">
        <w:lastRenderedPageBreak/>
        <w:t xml:space="preserve">Year 3 – evaluate pilots to inform development of final </w:t>
      </w:r>
      <w:r w:rsidR="00C56F85">
        <w:t xml:space="preserve">report and </w:t>
      </w:r>
      <w:r w:rsidRPr="00010E85">
        <w:t xml:space="preserve">tool kit to be published and shared with EU28 </w:t>
      </w:r>
      <w:r w:rsidR="0099632A">
        <w:t xml:space="preserve">and beyond. </w:t>
      </w:r>
      <w:r w:rsidRPr="00010E85">
        <w:t xml:space="preserve"> </w:t>
      </w:r>
    </w:p>
    <w:p w:rsidR="00373587" w:rsidRDefault="00010E85" w:rsidP="004F671B">
      <w:pPr>
        <w:pStyle w:val="Heading2"/>
        <w:rPr>
          <w:b/>
          <w:caps/>
        </w:rPr>
      </w:pPr>
      <w:r w:rsidRPr="00010E85">
        <w:t xml:space="preserve">This </w:t>
      </w:r>
      <w:r w:rsidR="00373587">
        <w:t xml:space="preserve">tender </w:t>
      </w:r>
      <w:r w:rsidRPr="00010E85">
        <w:t xml:space="preserve">is concerned with the first major EU JA WP7 deliverable in Year 1 </w:t>
      </w:r>
      <w:r w:rsidR="00373587">
        <w:t>–</w:t>
      </w:r>
      <w:r w:rsidR="004F671B">
        <w:t xml:space="preserve">collecting and collating </w:t>
      </w:r>
      <w:r w:rsidRPr="00010E85">
        <w:t>evidence on best practice, with an evidence review being conducted and a report being produced to inform subsequent WP</w:t>
      </w:r>
      <w:r w:rsidR="0099632A">
        <w:t>7</w:t>
      </w:r>
      <w:r w:rsidRPr="00010E85">
        <w:t xml:space="preserve"> deliverables.</w:t>
      </w:r>
    </w:p>
    <w:p w:rsidR="004F671B" w:rsidRPr="004F671B" w:rsidRDefault="004F671B" w:rsidP="004F671B">
      <w:pPr>
        <w:ind w:left="720" w:hanging="720"/>
        <w:rPr>
          <w:rFonts w:eastAsia="STZhongsong" w:cs="Times New Roman"/>
          <w:szCs w:val="20"/>
          <w:lang w:eastAsia="zh-CN"/>
        </w:rPr>
      </w:pPr>
      <w:r w:rsidRPr="004F671B">
        <w:rPr>
          <w:rFonts w:eastAsia="STZhongsong" w:cs="Times New Roman"/>
          <w:szCs w:val="20"/>
          <w:lang w:eastAsia="zh-CN"/>
        </w:rPr>
        <w:t>4.7</w:t>
      </w:r>
      <w:r w:rsidRPr="004F671B">
        <w:rPr>
          <w:rFonts w:eastAsia="STZhongsong" w:cs="Times New Roman"/>
          <w:szCs w:val="20"/>
          <w:lang w:eastAsia="zh-CN"/>
        </w:rPr>
        <w:tab/>
        <w:t>While there will be many more relevant sources of information and evidence from Europe and beyond, to assist the successful bidder in these tasks, a list of some highly relevant materials is provided below:</w:t>
      </w:r>
    </w:p>
    <w:p w:rsidR="004F671B" w:rsidRDefault="004F671B" w:rsidP="004F671B">
      <w:pPr>
        <w:rPr>
          <w:rFonts w:eastAsia="STZhongsong" w:cs="Times New Roman"/>
          <w:szCs w:val="20"/>
          <w:lang w:eastAsia="zh-CN"/>
        </w:rPr>
      </w:pPr>
    </w:p>
    <w:p w:rsidR="004F671B" w:rsidRPr="004F671B" w:rsidRDefault="004F671B" w:rsidP="004F671B">
      <w:pPr>
        <w:rPr>
          <w:rFonts w:eastAsia="STZhongsong" w:cs="Times New Roman"/>
          <w:szCs w:val="20"/>
          <w:lang w:eastAsia="zh-CN"/>
        </w:rPr>
      </w:pPr>
      <w:r w:rsidRPr="004F671B">
        <w:rPr>
          <w:rFonts w:eastAsia="STZhongsong" w:cs="Times New Roman"/>
          <w:szCs w:val="20"/>
          <w:lang w:eastAsia="zh-CN"/>
        </w:rPr>
        <w:t>Global</w:t>
      </w:r>
    </w:p>
    <w:p w:rsidR="004F671B" w:rsidRPr="004F671B" w:rsidRDefault="004F671B" w:rsidP="004F671B">
      <w:pPr>
        <w:pStyle w:val="ListParagraph"/>
        <w:numPr>
          <w:ilvl w:val="0"/>
          <w:numId w:val="33"/>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 xml:space="preserve">Alzheimer’s Disease International’s Dementia friendly communities: Key principles and Dementia friendly communities: Global developments  </w:t>
      </w:r>
    </w:p>
    <w:p w:rsidR="004F671B" w:rsidRPr="004F671B" w:rsidRDefault="004F671B" w:rsidP="004F671B">
      <w:pPr>
        <w:rPr>
          <w:rFonts w:eastAsia="STZhongsong" w:cs="Times New Roman"/>
          <w:szCs w:val="20"/>
          <w:lang w:eastAsia="zh-CN"/>
        </w:rPr>
      </w:pPr>
      <w:r w:rsidRPr="004F671B">
        <w:rPr>
          <w:rFonts w:eastAsia="STZhongsong" w:cs="Times New Roman"/>
          <w:szCs w:val="20"/>
          <w:lang w:eastAsia="zh-CN"/>
        </w:rPr>
        <w:t>Europe</w:t>
      </w:r>
    </w:p>
    <w:p w:rsidR="004F671B" w:rsidRPr="004F671B" w:rsidRDefault="004F671B" w:rsidP="004F671B">
      <w:pPr>
        <w:pStyle w:val="ListParagraph"/>
        <w:numPr>
          <w:ilvl w:val="0"/>
          <w:numId w:val="34"/>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Alzheimer’s Europe’s Dementia in Europe Yearbook 2015: Is Europe becoming more dementia friendly?</w:t>
      </w:r>
    </w:p>
    <w:p w:rsidR="004F671B" w:rsidRPr="004F671B" w:rsidRDefault="004F671B" w:rsidP="004F671B">
      <w:pPr>
        <w:pStyle w:val="ListParagraph"/>
        <w:numPr>
          <w:ilvl w:val="0"/>
          <w:numId w:val="34"/>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EFID’s (Mental Health Foundation’s) Mapping dementia-friendly communities across Europe</w:t>
      </w:r>
    </w:p>
    <w:p w:rsidR="004F671B" w:rsidRPr="004F671B" w:rsidRDefault="004F671B" w:rsidP="004F671B">
      <w:pPr>
        <w:rPr>
          <w:rFonts w:eastAsia="STZhongsong" w:cs="Times New Roman"/>
          <w:szCs w:val="20"/>
          <w:lang w:eastAsia="zh-CN"/>
        </w:rPr>
      </w:pPr>
      <w:r w:rsidRPr="004F671B">
        <w:rPr>
          <w:rFonts w:eastAsia="STZhongsong" w:cs="Times New Roman"/>
          <w:szCs w:val="20"/>
          <w:lang w:eastAsia="zh-CN"/>
        </w:rPr>
        <w:t xml:space="preserve">UK </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Building dementia-friendly communities: A priority for everyone, Alzheimer’s Society, 2013</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The cost of dementia to English businesses, Centre for Economics and Business Research, 2014.</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Alzheimer’s Society’s annual report 2015: Chapter 7 on Driving forward dementia-friendly communities</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LGA’s Dementia friendly communities: guidance for councils</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AS/BSI’s PAS1365:2015 – Code of practice for the recognition of dementia-friendly communities in England</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JRF’s Evaluation of the Bradford dementia friendly communities programme</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JRF’s Evaluation of the York dementia friendly communities programme</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Prime Minister’s Challenge on Dementia 2020, 2015</w:t>
      </w:r>
    </w:p>
    <w:p w:rsidR="004F671B" w:rsidRPr="004F671B" w:rsidRDefault="004F671B" w:rsidP="004F671B">
      <w:pPr>
        <w:pStyle w:val="ListParagraph"/>
        <w:numPr>
          <w:ilvl w:val="0"/>
          <w:numId w:val="35"/>
        </w:numPr>
        <w:spacing w:after="200" w:line="276" w:lineRule="auto"/>
        <w:contextualSpacing/>
        <w:rPr>
          <w:rFonts w:ascii="Helvetica Neue" w:eastAsia="STZhongsong" w:hAnsi="Helvetica Neue" w:cs="Times New Roman"/>
          <w:sz w:val="20"/>
          <w:szCs w:val="20"/>
        </w:rPr>
      </w:pPr>
      <w:r w:rsidRPr="004F671B">
        <w:rPr>
          <w:rFonts w:ascii="Helvetica Neue" w:eastAsia="STZhongsong" w:hAnsi="Helvetica Neue" w:cs="Times New Roman"/>
          <w:sz w:val="20"/>
          <w:szCs w:val="20"/>
        </w:rPr>
        <w:t>Prime Minister’s Challenge on Dementia 2020: Implementation Plan, 2016</w:t>
      </w:r>
    </w:p>
    <w:p w:rsidR="004F671B" w:rsidRPr="00A764B6" w:rsidRDefault="004F671B" w:rsidP="004F671B">
      <w:pPr>
        <w:rPr>
          <w:rFonts w:ascii="Georgia" w:hAnsi="Georgia"/>
          <w:sz w:val="24"/>
          <w:szCs w:val="24"/>
        </w:rPr>
      </w:pPr>
    </w:p>
    <w:p w:rsidR="00373587" w:rsidRPr="00373587" w:rsidRDefault="00010E85" w:rsidP="00373587">
      <w:pPr>
        <w:pStyle w:val="Heading1"/>
        <w:numPr>
          <w:ilvl w:val="0"/>
          <w:numId w:val="0"/>
        </w:numPr>
        <w:ind w:left="720"/>
      </w:pPr>
      <w:r w:rsidRPr="00010E85">
        <w:rPr>
          <w:rFonts w:ascii="Helvetica Neue" w:hAnsi="Helvetica Neue" w:cs="Times New Roman"/>
          <w:b w:val="0"/>
          <w:caps w:val="0"/>
          <w:color w:val="auto"/>
          <w:sz w:val="20"/>
          <w:szCs w:val="20"/>
        </w:rPr>
        <w:lastRenderedPageBreak/>
        <w:t xml:space="preserve"> </w:t>
      </w:r>
    </w:p>
    <w:p w:rsidR="00316D27" w:rsidRPr="00910C2D" w:rsidRDefault="00373587" w:rsidP="00010E85">
      <w:pPr>
        <w:pStyle w:val="Heading1"/>
      </w:pPr>
      <w:bookmarkStart w:id="13" w:name="_Toc458089285"/>
      <w:r>
        <w:t xml:space="preserve">scope of </w:t>
      </w:r>
      <w:r w:rsidR="002C546C" w:rsidRPr="00910C2D">
        <w:t>requirement</w:t>
      </w:r>
      <w:bookmarkEnd w:id="12"/>
      <w:bookmarkEnd w:id="13"/>
    </w:p>
    <w:p w:rsidR="0099632A" w:rsidRPr="00910C2D" w:rsidRDefault="0099632A" w:rsidP="0099632A">
      <w:pPr>
        <w:pStyle w:val="Heading2"/>
      </w:pPr>
      <w:bookmarkStart w:id="14" w:name="_Toc302637211"/>
      <w:bookmarkEnd w:id="9"/>
      <w:r w:rsidRPr="00910C2D">
        <w:t>The Authority will measure the quality of the Supplier’s delivery by:</w:t>
      </w:r>
    </w:p>
    <w:p w:rsidR="0099632A" w:rsidRDefault="0099632A" w:rsidP="0099632A">
      <w:pPr>
        <w:pStyle w:val="Heading3"/>
        <w:numPr>
          <w:ilvl w:val="0"/>
          <w:numId w:val="28"/>
        </w:numPr>
      </w:pPr>
      <w:r>
        <w:t xml:space="preserve">Production of a final written evidence review report to DH drawing on both primary and secondary data sources and including as a minimum: </w:t>
      </w:r>
    </w:p>
    <w:p w:rsidR="0099632A" w:rsidRDefault="0099632A" w:rsidP="0099632A">
      <w:pPr>
        <w:pStyle w:val="Heading3"/>
        <w:numPr>
          <w:ilvl w:val="0"/>
          <w:numId w:val="0"/>
        </w:numPr>
        <w:ind w:left="2153" w:hanging="735"/>
      </w:pPr>
      <w:r>
        <w:t>•</w:t>
      </w:r>
      <w:r>
        <w:tab/>
        <w:t>A robust definition or definitions of DFCs which can be applied/makes sense across all EU Member States, why they are desirable and where and how well they are operating in practice; and</w:t>
      </w:r>
    </w:p>
    <w:p w:rsidR="0099632A" w:rsidRDefault="0099632A" w:rsidP="0099632A">
      <w:pPr>
        <w:pStyle w:val="Heading3"/>
        <w:numPr>
          <w:ilvl w:val="0"/>
          <w:numId w:val="0"/>
        </w:numPr>
        <w:ind w:left="2127" w:hanging="709"/>
      </w:pPr>
      <w:r>
        <w:t>•</w:t>
      </w:r>
      <w:r>
        <w:tab/>
        <w:t xml:space="preserve">From the description of existing practice across the EU and beyond, a definition of what a ‘good’ or ‘effective’ DFC should look like in the EU, including the key components and characteristics, essential participants and enablers and barriers,  ideally to be based on real-life evidence of tangible,  measurable improvements or benefits (or otherwise). These impacts should include those reported by people with dementia, carers and/or their families, those supported by health and/or social care data sets and any wider societal or economic benefits of DFCs.  </w:t>
      </w:r>
    </w:p>
    <w:p w:rsidR="0099632A" w:rsidRPr="00CE07DE" w:rsidRDefault="0099632A" w:rsidP="0099632A">
      <w:pPr>
        <w:pStyle w:val="Heading2"/>
        <w:numPr>
          <w:ilvl w:val="0"/>
          <w:numId w:val="28"/>
        </w:numPr>
      </w:pPr>
      <w:r w:rsidRPr="00CE07DE">
        <w:t>The evidence review should include: (i) primary data - direct engagement with expert organisations or individuals actively engaged or involved with DFCs within the EU to draw on their experiences and evidence: e.g. via survey or (telephone) interview; and (ii) secondary data – an exhaustive systematic review of the available sources of information from around the world, including ‘grey’ literature, with a particular focus on evidence from EU countries.</w:t>
      </w:r>
    </w:p>
    <w:p w:rsidR="00A028E8" w:rsidRPr="00910C2D" w:rsidRDefault="00A028E8" w:rsidP="0099632A">
      <w:pPr>
        <w:pStyle w:val="Heading1"/>
      </w:pPr>
      <w:bookmarkStart w:id="15" w:name="_Toc458089286"/>
      <w:r w:rsidRPr="00910C2D">
        <w:t>service levels and performance</w:t>
      </w:r>
      <w:bookmarkEnd w:id="14"/>
      <w:bookmarkEnd w:id="15"/>
    </w:p>
    <w:p w:rsidR="004B18C5" w:rsidRPr="004B18C5" w:rsidRDefault="004B18C5" w:rsidP="004B18C5">
      <w:pPr>
        <w:pStyle w:val="Heading2"/>
      </w:pPr>
      <w:r w:rsidRPr="004B18C5">
        <w:t>The Authority will measure the quality of the Supplier’</w:t>
      </w:r>
      <w:r w:rsidR="00C56F85">
        <w:t>s</w:t>
      </w:r>
      <w:r w:rsidRPr="004B18C5">
        <w:t xml:space="preserve"> delivery by</w:t>
      </w:r>
      <w:r w:rsidR="004F671B">
        <w:t xml:space="preserve"> the following key performance indicators (KPIs)</w:t>
      </w:r>
      <w:r w:rsidRPr="004B18C5">
        <w:t xml:space="preserve">: </w:t>
      </w:r>
    </w:p>
    <w:p w:rsidR="00CE07DE" w:rsidRDefault="004B18C5" w:rsidP="004B18C5">
      <w:pPr>
        <w:pStyle w:val="Heading2"/>
        <w:numPr>
          <w:ilvl w:val="0"/>
          <w:numId w:val="0"/>
        </w:numPr>
        <w:ind w:left="720"/>
        <w:rPr>
          <w:b/>
        </w:rPr>
      </w:pPr>
      <w:r w:rsidRPr="004B18C5">
        <w:rPr>
          <w:b/>
        </w:rPr>
        <w:t>Literature review</w:t>
      </w:r>
    </w:p>
    <w:p w:rsidR="004B18C5" w:rsidRPr="004B18C5" w:rsidRDefault="004B18C5" w:rsidP="004B18C5">
      <w:pPr>
        <w:pStyle w:val="Heading2"/>
        <w:numPr>
          <w:ilvl w:val="0"/>
          <w:numId w:val="28"/>
        </w:numPr>
        <w:rPr>
          <w:b/>
        </w:rPr>
      </w:pPr>
      <w:r>
        <w:t>Description of scope and specific aims</w:t>
      </w:r>
    </w:p>
    <w:p w:rsidR="004B18C5" w:rsidRPr="004B18C5" w:rsidRDefault="004B18C5" w:rsidP="004B18C5">
      <w:pPr>
        <w:pStyle w:val="Heading2"/>
        <w:numPr>
          <w:ilvl w:val="0"/>
          <w:numId w:val="28"/>
        </w:numPr>
        <w:rPr>
          <w:b/>
        </w:rPr>
      </w:pPr>
      <w:r>
        <w:t>Description of search strategy</w:t>
      </w:r>
    </w:p>
    <w:p w:rsidR="004B18C5" w:rsidRDefault="004B18C5" w:rsidP="004B18C5">
      <w:pPr>
        <w:pStyle w:val="Heading2"/>
        <w:numPr>
          <w:ilvl w:val="0"/>
          <w:numId w:val="28"/>
        </w:numPr>
      </w:pPr>
      <w:r w:rsidRPr="004B18C5">
        <w:t xml:space="preserve">Description of </w:t>
      </w:r>
      <w:r>
        <w:t>study selection (included and excluded studies)</w:t>
      </w:r>
    </w:p>
    <w:p w:rsidR="004B18C5" w:rsidRDefault="004B18C5" w:rsidP="004B18C5">
      <w:pPr>
        <w:pStyle w:val="Heading2"/>
        <w:numPr>
          <w:ilvl w:val="0"/>
          <w:numId w:val="28"/>
        </w:numPr>
      </w:pPr>
      <w:r>
        <w:t>Methodological quality assessment of the included studies (critical appraisal)</w:t>
      </w:r>
    </w:p>
    <w:p w:rsidR="004B18C5" w:rsidRDefault="004B18C5" w:rsidP="004B18C5">
      <w:pPr>
        <w:pStyle w:val="Heading2"/>
        <w:numPr>
          <w:ilvl w:val="0"/>
          <w:numId w:val="28"/>
        </w:numPr>
      </w:pPr>
      <w:r>
        <w:lastRenderedPageBreak/>
        <w:t>Synthesis of evidence from selected studies (population, intervention, outcomes and type of study)</w:t>
      </w:r>
    </w:p>
    <w:p w:rsidR="004B18C5" w:rsidRDefault="004B18C5" w:rsidP="004B18C5">
      <w:pPr>
        <w:pStyle w:val="Heading2"/>
        <w:numPr>
          <w:ilvl w:val="0"/>
          <w:numId w:val="28"/>
        </w:numPr>
      </w:pPr>
      <w:r>
        <w:t>Conclusions and recommendations clearly related to findings</w:t>
      </w:r>
    </w:p>
    <w:p w:rsidR="004B18C5" w:rsidRDefault="004B18C5" w:rsidP="004B18C5">
      <w:pPr>
        <w:pStyle w:val="Heading2"/>
        <w:numPr>
          <w:ilvl w:val="0"/>
          <w:numId w:val="0"/>
        </w:numPr>
        <w:ind w:left="720"/>
        <w:rPr>
          <w:b/>
        </w:rPr>
      </w:pPr>
      <w:r w:rsidRPr="004B18C5">
        <w:rPr>
          <w:b/>
        </w:rPr>
        <w:t>Semi-structured questionnaire, survey and/or interviews</w:t>
      </w:r>
      <w:r>
        <w:rPr>
          <w:b/>
        </w:rPr>
        <w:br/>
      </w:r>
    </w:p>
    <w:p w:rsidR="004B18C5" w:rsidRDefault="004B18C5" w:rsidP="004B18C5">
      <w:pPr>
        <w:pStyle w:val="Heading2"/>
        <w:numPr>
          <w:ilvl w:val="0"/>
          <w:numId w:val="29"/>
        </w:numPr>
      </w:pPr>
      <w:r>
        <w:t>Description of strategy to reach best practices</w:t>
      </w:r>
    </w:p>
    <w:p w:rsidR="004B18C5" w:rsidRDefault="004B18C5" w:rsidP="004B18C5">
      <w:pPr>
        <w:pStyle w:val="Heading2"/>
        <w:numPr>
          <w:ilvl w:val="0"/>
          <w:numId w:val="29"/>
        </w:numPr>
      </w:pPr>
      <w:r>
        <w:t>Description of best practices (inclusion and exclusion criteria)</w:t>
      </w:r>
    </w:p>
    <w:p w:rsidR="004B18C5" w:rsidRDefault="004B18C5" w:rsidP="004B18C5">
      <w:pPr>
        <w:pStyle w:val="Heading2"/>
        <w:numPr>
          <w:ilvl w:val="0"/>
          <w:numId w:val="29"/>
        </w:numPr>
      </w:pPr>
      <w:r>
        <w:t>Descri</w:t>
      </w:r>
      <w:r w:rsidR="00C56F85">
        <w:t>ption of the survey and content</w:t>
      </w:r>
    </w:p>
    <w:p w:rsidR="004B18C5" w:rsidRDefault="004B18C5" w:rsidP="004B18C5">
      <w:pPr>
        <w:pStyle w:val="Heading2"/>
        <w:numPr>
          <w:ilvl w:val="0"/>
          <w:numId w:val="29"/>
        </w:numPr>
      </w:pPr>
      <w:r>
        <w:t>Description of the fieldwork (contact, who answers, forma</w:t>
      </w:r>
      <w:r w:rsidR="00C56F85">
        <w:t>t of data collection, analysis)</w:t>
      </w:r>
    </w:p>
    <w:p w:rsidR="004B18C5" w:rsidRDefault="00C56F85" w:rsidP="004B18C5">
      <w:pPr>
        <w:pStyle w:val="Heading2"/>
        <w:numPr>
          <w:ilvl w:val="0"/>
          <w:numId w:val="29"/>
        </w:numPr>
      </w:pPr>
      <w:r>
        <w:t>Key stakeholders involved</w:t>
      </w:r>
      <w:r w:rsidR="004B18C5">
        <w:t xml:space="preserve"> </w:t>
      </w:r>
    </w:p>
    <w:p w:rsidR="004B18C5" w:rsidRDefault="004B18C5" w:rsidP="004B18C5">
      <w:pPr>
        <w:pStyle w:val="Heading2"/>
        <w:numPr>
          <w:ilvl w:val="0"/>
          <w:numId w:val="29"/>
        </w:numPr>
      </w:pPr>
      <w:r>
        <w:t>Conclusions and recommendati</w:t>
      </w:r>
      <w:r w:rsidR="00C56F85">
        <w:t>ons clearly related to findings</w:t>
      </w:r>
      <w:r>
        <w:t xml:space="preserve"> </w:t>
      </w:r>
    </w:p>
    <w:p w:rsidR="004F671B" w:rsidRDefault="004F671B" w:rsidP="004F671B">
      <w:pPr>
        <w:pStyle w:val="Heading2"/>
        <w:numPr>
          <w:ilvl w:val="0"/>
          <w:numId w:val="29"/>
        </w:numPr>
      </w:pPr>
      <w:r>
        <w:t>Monitor the quality of the service provision to ensure customer satisfaction in accordance with the key performance indicators outlined in the Contract, unless otherwise approved by the Project Manager;</w:t>
      </w:r>
    </w:p>
    <w:p w:rsidR="004F671B" w:rsidRPr="004F671B" w:rsidRDefault="004F671B" w:rsidP="00E0791B">
      <w:pPr>
        <w:pStyle w:val="Heading2"/>
        <w:numPr>
          <w:ilvl w:val="0"/>
          <w:numId w:val="0"/>
        </w:numPr>
        <w:ind w:left="720" w:hanging="720"/>
        <w:rPr>
          <w:b/>
          <w:caps/>
        </w:rPr>
      </w:pPr>
      <w:r w:rsidRPr="004F671B">
        <w:t>6.2</w:t>
      </w:r>
      <w:r>
        <w:rPr>
          <w:rFonts w:eastAsia="SimSun"/>
          <w:sz w:val="22"/>
        </w:rPr>
        <w:tab/>
      </w:r>
      <w:r w:rsidRPr="004F671B">
        <w:t xml:space="preserve">The </w:t>
      </w:r>
      <w:r>
        <w:t>Supplier</w:t>
      </w:r>
      <w:r w:rsidRPr="004F671B">
        <w:t xml:space="preserve"> will monitor the quality of the service provision to ensure customer </w:t>
      </w:r>
      <w:r w:rsidR="003B26CE">
        <w:rPr>
          <w:b/>
          <w:caps/>
        </w:rPr>
        <w:t xml:space="preserve"> </w:t>
      </w:r>
      <w:r w:rsidRPr="004F671B">
        <w:t xml:space="preserve">satisfaction in accordance with the </w:t>
      </w:r>
      <w:r>
        <w:t>KPIs outlined at 6.1 above</w:t>
      </w:r>
      <w:r w:rsidRPr="004F671B">
        <w:t>, unless otherwise approved by the Project Manager</w:t>
      </w:r>
      <w:r>
        <w:t>, including through</w:t>
      </w:r>
      <w:r w:rsidRPr="004F671B">
        <w:t>;</w:t>
      </w:r>
    </w:p>
    <w:p w:rsidR="004F671B" w:rsidRPr="004F671B" w:rsidRDefault="004F671B" w:rsidP="00E0791B">
      <w:pPr>
        <w:pStyle w:val="Heading3"/>
        <w:numPr>
          <w:ilvl w:val="2"/>
          <w:numId w:val="36"/>
        </w:numPr>
        <w:ind w:hanging="666"/>
        <w:rPr>
          <w:b/>
          <w:caps/>
        </w:rPr>
      </w:pPr>
      <w:r w:rsidRPr="004F671B">
        <w:t>Provid</w:t>
      </w:r>
      <w:r>
        <w:t>ing</w:t>
      </w:r>
      <w:r w:rsidRPr="004F671B">
        <w:t xml:space="preserve"> a report on progress in delivering the requirement to the Project Manager on a regular basis;</w:t>
      </w:r>
    </w:p>
    <w:p w:rsidR="004F671B" w:rsidRPr="004F671B" w:rsidRDefault="004F671B" w:rsidP="00E0791B">
      <w:pPr>
        <w:pStyle w:val="Heading3"/>
        <w:numPr>
          <w:ilvl w:val="2"/>
          <w:numId w:val="36"/>
        </w:numPr>
        <w:tabs>
          <w:tab w:val="clear" w:pos="1800"/>
          <w:tab w:val="num" w:pos="1843"/>
        </w:tabs>
        <w:ind w:hanging="666"/>
        <w:rPr>
          <w:b/>
          <w:caps/>
        </w:rPr>
      </w:pPr>
      <w:r w:rsidRPr="004F671B">
        <w:t>Attend</w:t>
      </w:r>
      <w:r>
        <w:t>ing</w:t>
      </w:r>
      <w:r w:rsidRPr="004F671B">
        <w:t xml:space="preserve"> meetings on site to review progress and discuss the service, as required by the Project Manager; and             </w:t>
      </w:r>
    </w:p>
    <w:p w:rsidR="004F671B" w:rsidRDefault="004F671B" w:rsidP="00E0791B">
      <w:pPr>
        <w:pStyle w:val="Heading3"/>
        <w:numPr>
          <w:ilvl w:val="2"/>
          <w:numId w:val="36"/>
        </w:numPr>
        <w:tabs>
          <w:tab w:val="clear" w:pos="1800"/>
          <w:tab w:val="num" w:pos="1843"/>
        </w:tabs>
        <w:ind w:hanging="666"/>
        <w:rPr>
          <w:b/>
          <w:caps/>
        </w:rPr>
      </w:pPr>
      <w:r w:rsidRPr="004F671B">
        <w:t>Attend</w:t>
      </w:r>
      <w:r>
        <w:t>ing</w:t>
      </w:r>
      <w:r w:rsidRPr="004F671B">
        <w:t xml:space="preserve"> a post contract review with the Department to review whether the objectives of the contract were met, to review the benefits achieved and to identify any lessons learnt for future projects.</w:t>
      </w:r>
    </w:p>
    <w:p w:rsidR="004F671B" w:rsidRPr="004F671B" w:rsidRDefault="004F671B" w:rsidP="004F671B">
      <w:pPr>
        <w:pStyle w:val="Heading1"/>
        <w:numPr>
          <w:ilvl w:val="0"/>
          <w:numId w:val="0"/>
        </w:numPr>
        <w:ind w:left="1440"/>
        <w:rPr>
          <w:rFonts w:ascii="Helvetica Neue" w:hAnsi="Helvetica Neue" w:cs="Times New Roman"/>
          <w:b w:val="0"/>
          <w:caps w:val="0"/>
          <w:color w:val="auto"/>
          <w:sz w:val="20"/>
          <w:szCs w:val="20"/>
        </w:rPr>
      </w:pPr>
    </w:p>
    <w:p w:rsidR="000C73A3" w:rsidRPr="00910C2D" w:rsidRDefault="000C73A3" w:rsidP="00910C2D">
      <w:pPr>
        <w:pStyle w:val="Heading1"/>
      </w:pPr>
      <w:bookmarkStart w:id="16" w:name="_Toc458089287"/>
      <w:r w:rsidRPr="00910C2D">
        <w:t>Location</w:t>
      </w:r>
      <w:bookmarkEnd w:id="16"/>
    </w:p>
    <w:p w:rsidR="000C73A3" w:rsidRPr="00910C2D" w:rsidRDefault="000C73A3" w:rsidP="00910C2D">
      <w:pPr>
        <w:pStyle w:val="Heading2"/>
      </w:pPr>
      <w:r w:rsidRPr="00910C2D">
        <w:t xml:space="preserve">The location of the Services will be carried out at </w:t>
      </w:r>
      <w:r w:rsidR="00CE07DE">
        <w:t xml:space="preserve">a place of the successful bidder’s choosing. </w:t>
      </w:r>
    </w:p>
    <w:p w:rsidR="00B459C5" w:rsidRPr="00C56F85" w:rsidRDefault="003B26CE" w:rsidP="00910C2D">
      <w:pPr>
        <w:pStyle w:val="Heading1"/>
      </w:pPr>
      <w:r w:rsidRPr="00C56F85">
        <w:t xml:space="preserve"> </w:t>
      </w:r>
      <w:bookmarkStart w:id="17" w:name="_Toc458089288"/>
      <w:r w:rsidR="00B459C5" w:rsidRPr="00C56F85">
        <w:t>BUDGET</w:t>
      </w:r>
      <w:bookmarkEnd w:id="17"/>
    </w:p>
    <w:p w:rsidR="00A028E8" w:rsidRPr="00C56F85" w:rsidRDefault="00CE07DE" w:rsidP="00CE07DE">
      <w:pPr>
        <w:pStyle w:val="Heading2"/>
      </w:pPr>
      <w:r w:rsidRPr="00C56F85">
        <w:t>£30,000.00 inclusive of expenses and exclusive of VAT (if applicable).</w:t>
      </w:r>
    </w:p>
    <w:sectPr w:rsidR="00A028E8" w:rsidRPr="00C56F85" w:rsidSect="00667389">
      <w:headerReference w:type="default" r:id="rId9"/>
      <w:footerReference w:type="default" r:id="rId10"/>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630" w:rsidRDefault="001B7630">
      <w:pPr>
        <w:spacing w:line="20" w:lineRule="exact"/>
      </w:pPr>
    </w:p>
  </w:endnote>
  <w:endnote w:type="continuationSeparator" w:id="0">
    <w:p w:rsidR="001B7630" w:rsidRDefault="001B7630">
      <w:pPr>
        <w:spacing w:line="20" w:lineRule="exact"/>
      </w:pPr>
      <w:r>
        <w:t xml:space="preserve"> </w:t>
      </w:r>
    </w:p>
  </w:endnote>
  <w:endnote w:type="continuationNotice" w:id="1">
    <w:p w:rsidR="001B7630" w:rsidRDefault="001B763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074357">
    <w:pPr>
      <w:pStyle w:val="Footer"/>
      <w:pBdr>
        <w:top w:val="single" w:sz="6" w:space="1" w:color="auto"/>
      </w:pBdr>
      <w:tabs>
        <w:tab w:val="clear" w:pos="4153"/>
        <w:tab w:val="clear" w:pos="8306"/>
      </w:tabs>
      <w:ind w:right="-43"/>
      <w:jc w:val="center"/>
      <w:rPr>
        <w:rFonts w:cstheme="minorHAnsi"/>
      </w:rPr>
    </w:pPr>
  </w:p>
  <w:p w:rsidR="009D4478" w:rsidRPr="00475FD9" w:rsidRDefault="009D4478" w:rsidP="00074357">
    <w:pPr>
      <w:pStyle w:val="Footer"/>
      <w:tabs>
        <w:tab w:val="clear" w:pos="8306"/>
      </w:tabs>
      <w:ind w:right="-43"/>
      <w:jc w:val="center"/>
      <w:rPr>
        <w:rFonts w:cstheme="minorHAnsi"/>
        <w:szCs w:val="20"/>
      </w:rPr>
    </w:pPr>
    <w:r w:rsidRPr="00475FD9">
      <w:rPr>
        <w:rFonts w:cstheme="minorHAnsi"/>
        <w:szCs w:val="20"/>
      </w:rPr>
      <w:t xml:space="preserve">Page </w:t>
    </w:r>
    <w:r w:rsidRPr="00475FD9">
      <w:rPr>
        <w:rFonts w:cstheme="minorHAnsi"/>
        <w:szCs w:val="20"/>
      </w:rPr>
      <w:fldChar w:fldCharType="begin"/>
    </w:r>
    <w:r w:rsidRPr="00475FD9">
      <w:rPr>
        <w:rFonts w:cstheme="minorHAnsi"/>
        <w:szCs w:val="20"/>
      </w:rPr>
      <w:instrText xml:space="preserve"> PAGE </w:instrText>
    </w:r>
    <w:r w:rsidRPr="00475FD9">
      <w:rPr>
        <w:rFonts w:cstheme="minorHAnsi"/>
        <w:szCs w:val="20"/>
      </w:rPr>
      <w:fldChar w:fldCharType="separate"/>
    </w:r>
    <w:r w:rsidR="008E1E90">
      <w:rPr>
        <w:rFonts w:cstheme="minorHAnsi"/>
        <w:noProof/>
        <w:szCs w:val="20"/>
      </w:rPr>
      <w:t>2</w:t>
    </w:r>
    <w:r w:rsidRPr="00475FD9">
      <w:rPr>
        <w:rFonts w:cstheme="minorHAnsi"/>
        <w:szCs w:val="20"/>
      </w:rPr>
      <w:fldChar w:fldCharType="end"/>
    </w:r>
    <w:r w:rsidRPr="00475FD9">
      <w:rPr>
        <w:rFonts w:cstheme="minorHAnsi"/>
        <w:szCs w:val="20"/>
      </w:rPr>
      <w:t xml:space="preserve"> of </w:t>
    </w:r>
    <w:r w:rsidRPr="00475FD9">
      <w:rPr>
        <w:rFonts w:cstheme="minorHAnsi"/>
        <w:szCs w:val="20"/>
      </w:rPr>
      <w:fldChar w:fldCharType="begin"/>
    </w:r>
    <w:r w:rsidRPr="00475FD9">
      <w:rPr>
        <w:rFonts w:cstheme="minorHAnsi"/>
        <w:szCs w:val="20"/>
      </w:rPr>
      <w:instrText xml:space="preserve"> NUMPAGES </w:instrText>
    </w:r>
    <w:r w:rsidRPr="00475FD9">
      <w:rPr>
        <w:rFonts w:cstheme="minorHAnsi"/>
        <w:szCs w:val="20"/>
      </w:rPr>
      <w:fldChar w:fldCharType="separate"/>
    </w:r>
    <w:r w:rsidR="008E1E90">
      <w:rPr>
        <w:rFonts w:cstheme="minorHAnsi"/>
        <w:noProof/>
        <w:szCs w:val="20"/>
      </w:rPr>
      <w:t>7</w:t>
    </w:r>
    <w:r w:rsidRPr="00475FD9">
      <w:rPr>
        <w:rFonts w:cs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630" w:rsidRDefault="001B7630">
      <w:r>
        <w:separator/>
      </w:r>
    </w:p>
  </w:footnote>
  <w:footnote w:type="continuationSeparator" w:id="0">
    <w:p w:rsidR="001B7630" w:rsidRDefault="001B7630">
      <w:r>
        <w:continuationSeparator/>
      </w:r>
    </w:p>
  </w:footnote>
  <w:footnote w:type="continuationNotice" w:id="1">
    <w:p w:rsidR="001B7630" w:rsidRDefault="001B76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478" w:rsidRPr="00475FD9" w:rsidRDefault="009D4478" w:rsidP="00806295">
    <w:pPr>
      <w:pStyle w:val="Header"/>
      <w:jc w:val="center"/>
      <w:rPr>
        <w:rFonts w:cstheme="minorHAnsi"/>
        <w:b/>
        <w:szCs w:val="20"/>
      </w:rPr>
    </w:pPr>
  </w:p>
  <w:p w:rsidR="00475FD9" w:rsidRPr="007A3343" w:rsidRDefault="00475FD9" w:rsidP="00475FD9">
    <w:pPr>
      <w:pStyle w:val="Header"/>
      <w:jc w:val="center"/>
    </w:pPr>
  </w:p>
  <w:p w:rsidR="009D4478" w:rsidRPr="00475FD9" w:rsidRDefault="002C34AB" w:rsidP="00074357">
    <w:pPr>
      <w:pStyle w:val="Header"/>
      <w:jc w:val="center"/>
      <w:rPr>
        <w:rFonts w:cstheme="minorHAnsi"/>
        <w:szCs w:val="20"/>
      </w:rPr>
    </w:pPr>
    <w:r w:rsidRPr="002C34AB">
      <w:t>ITT60283</w:t>
    </w:r>
    <w:r w:rsidR="005170DE" w:rsidRPr="002C34AB">
      <w:t xml:space="preserve"> – </w:t>
    </w:r>
    <w:r w:rsidR="005170DE">
      <w:t>Evidence Review of Dementia Friendly Communities A</w:t>
    </w:r>
    <w:r w:rsidR="009D4478" w:rsidRPr="00475FD9">
      <w:rPr>
        <w:rFonts w:cstheme="minorHAnsi"/>
        <w:szCs w:val="20"/>
      </w:rPr>
      <w:t>ppendix B – Service Description</w:t>
    </w:r>
  </w:p>
  <w:p w:rsidR="009D4478" w:rsidRDefault="009D4478" w:rsidP="00074357">
    <w:pPr>
      <w:pStyle w:val="Header"/>
      <w:tabs>
        <w:tab w:val="clear" w:pos="4153"/>
        <w:tab w:val="clear" w:pos="8306"/>
        <w:tab w:val="center" w:pos="4514"/>
      </w:tabs>
    </w:pPr>
    <w:r>
      <w:tab/>
    </w:r>
  </w:p>
  <w:p w:rsidR="009D4478" w:rsidRPr="00074357" w:rsidRDefault="00EF6E4C" w:rsidP="00074357">
    <w:pPr>
      <w:pStyle w:val="Header"/>
    </w:pPr>
    <w:r>
      <w:rPr>
        <w:noProof/>
      </w:rPr>
      <mc:AlternateContent>
        <mc:Choice Requires="wps">
          <w:drawing>
            <wp:anchor distT="0" distB="0" distL="114300" distR="114300" simplePos="0" relativeHeight="251657216" behindDoc="0" locked="0" layoutInCell="1" allowOverlap="1" wp14:anchorId="7096D531" wp14:editId="657D99D5">
              <wp:simplePos x="0" y="0"/>
              <wp:positionH relativeFrom="column">
                <wp:posOffset>-55245</wp:posOffset>
              </wp:positionH>
              <wp:positionV relativeFrom="paragraph">
                <wp:posOffset>-3810</wp:posOffset>
              </wp:positionV>
              <wp:extent cx="5853430" cy="0"/>
              <wp:effectExtent l="11430" t="5715" r="12065" b="133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35pt;margin-top:-.3pt;width:46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Hw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0F605FE"/>
    <w:multiLevelType w:val="hybridMultilevel"/>
    <w:tmpl w:val="30246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3A37BB"/>
    <w:multiLevelType w:val="hybridMultilevel"/>
    <w:tmpl w:val="8708A1C6"/>
    <w:lvl w:ilvl="0" w:tplc="8FCCFF1E">
      <w:start w:val="1"/>
      <w:numFmt w:val="bullet"/>
      <w:lvlText w:val=""/>
      <w:lvlJc w:val="left"/>
      <w:pPr>
        <w:tabs>
          <w:tab w:val="num" w:pos="360"/>
        </w:tabs>
        <w:ind w:left="360" w:hanging="360"/>
      </w:pPr>
      <w:rPr>
        <w:rFonts w:ascii="Wingdings 2" w:hAnsi="Wingdings 2" w:hint="default"/>
      </w:rPr>
    </w:lvl>
    <w:lvl w:ilvl="1" w:tplc="BB88D4F2">
      <w:start w:val="1"/>
      <w:numFmt w:val="bullet"/>
      <w:lvlText w:val=""/>
      <w:lvlJc w:val="left"/>
      <w:pPr>
        <w:tabs>
          <w:tab w:val="num" w:pos="1080"/>
        </w:tabs>
        <w:ind w:left="1080" w:hanging="360"/>
      </w:pPr>
      <w:rPr>
        <w:rFonts w:ascii="Wingdings 2" w:hAnsi="Wingdings 2" w:hint="default"/>
      </w:rPr>
    </w:lvl>
    <w:lvl w:ilvl="2" w:tplc="E140CE6E" w:tentative="1">
      <w:start w:val="1"/>
      <w:numFmt w:val="bullet"/>
      <w:lvlText w:val=""/>
      <w:lvlJc w:val="left"/>
      <w:pPr>
        <w:tabs>
          <w:tab w:val="num" w:pos="1800"/>
        </w:tabs>
        <w:ind w:left="1800" w:hanging="360"/>
      </w:pPr>
      <w:rPr>
        <w:rFonts w:ascii="Wingdings 2" w:hAnsi="Wingdings 2" w:hint="default"/>
      </w:rPr>
    </w:lvl>
    <w:lvl w:ilvl="3" w:tplc="03DECBA8" w:tentative="1">
      <w:start w:val="1"/>
      <w:numFmt w:val="bullet"/>
      <w:lvlText w:val=""/>
      <w:lvlJc w:val="left"/>
      <w:pPr>
        <w:tabs>
          <w:tab w:val="num" w:pos="2520"/>
        </w:tabs>
        <w:ind w:left="2520" w:hanging="360"/>
      </w:pPr>
      <w:rPr>
        <w:rFonts w:ascii="Wingdings 2" w:hAnsi="Wingdings 2" w:hint="default"/>
      </w:rPr>
    </w:lvl>
    <w:lvl w:ilvl="4" w:tplc="7F24FCF2" w:tentative="1">
      <w:start w:val="1"/>
      <w:numFmt w:val="bullet"/>
      <w:lvlText w:val=""/>
      <w:lvlJc w:val="left"/>
      <w:pPr>
        <w:tabs>
          <w:tab w:val="num" w:pos="3240"/>
        </w:tabs>
        <w:ind w:left="3240" w:hanging="360"/>
      </w:pPr>
      <w:rPr>
        <w:rFonts w:ascii="Wingdings 2" w:hAnsi="Wingdings 2" w:hint="default"/>
      </w:rPr>
    </w:lvl>
    <w:lvl w:ilvl="5" w:tplc="915E25E0" w:tentative="1">
      <w:start w:val="1"/>
      <w:numFmt w:val="bullet"/>
      <w:lvlText w:val=""/>
      <w:lvlJc w:val="left"/>
      <w:pPr>
        <w:tabs>
          <w:tab w:val="num" w:pos="3960"/>
        </w:tabs>
        <w:ind w:left="3960" w:hanging="360"/>
      </w:pPr>
      <w:rPr>
        <w:rFonts w:ascii="Wingdings 2" w:hAnsi="Wingdings 2" w:hint="default"/>
      </w:rPr>
    </w:lvl>
    <w:lvl w:ilvl="6" w:tplc="57967414" w:tentative="1">
      <w:start w:val="1"/>
      <w:numFmt w:val="bullet"/>
      <w:lvlText w:val=""/>
      <w:lvlJc w:val="left"/>
      <w:pPr>
        <w:tabs>
          <w:tab w:val="num" w:pos="4680"/>
        </w:tabs>
        <w:ind w:left="4680" w:hanging="360"/>
      </w:pPr>
      <w:rPr>
        <w:rFonts w:ascii="Wingdings 2" w:hAnsi="Wingdings 2" w:hint="default"/>
      </w:rPr>
    </w:lvl>
    <w:lvl w:ilvl="7" w:tplc="9F76025C" w:tentative="1">
      <w:start w:val="1"/>
      <w:numFmt w:val="bullet"/>
      <w:lvlText w:val=""/>
      <w:lvlJc w:val="left"/>
      <w:pPr>
        <w:tabs>
          <w:tab w:val="num" w:pos="5400"/>
        </w:tabs>
        <w:ind w:left="5400" w:hanging="360"/>
      </w:pPr>
      <w:rPr>
        <w:rFonts w:ascii="Wingdings 2" w:hAnsi="Wingdings 2" w:hint="default"/>
      </w:rPr>
    </w:lvl>
    <w:lvl w:ilvl="8" w:tplc="F8C41A92" w:tentative="1">
      <w:start w:val="1"/>
      <w:numFmt w:val="bullet"/>
      <w:lvlText w:val=""/>
      <w:lvlJc w:val="left"/>
      <w:pPr>
        <w:tabs>
          <w:tab w:val="num" w:pos="6120"/>
        </w:tabs>
        <w:ind w:left="6120" w:hanging="360"/>
      </w:pPr>
      <w:rPr>
        <w:rFonts w:ascii="Wingdings 2" w:hAnsi="Wingdings 2" w:hint="default"/>
      </w:r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nsid w:val="2BFA44B9"/>
    <w:multiLevelType w:val="hybridMultilevel"/>
    <w:tmpl w:val="14AA4032"/>
    <w:lvl w:ilvl="0" w:tplc="08090001">
      <w:start w:val="1"/>
      <w:numFmt w:val="bullet"/>
      <w:lvlText w:val=""/>
      <w:lvlJc w:val="left"/>
      <w:pPr>
        <w:ind w:left="837" w:hanging="360"/>
      </w:pPr>
      <w:rPr>
        <w:rFonts w:ascii="Symbol" w:hAnsi="Symbol" w:hint="default"/>
      </w:rPr>
    </w:lvl>
    <w:lvl w:ilvl="1" w:tplc="FFCE2510">
      <w:numFmt w:val="bullet"/>
      <w:lvlText w:val="•"/>
      <w:lvlJc w:val="left"/>
      <w:pPr>
        <w:ind w:left="1917" w:hanging="720"/>
      </w:pPr>
      <w:rPr>
        <w:rFonts w:ascii="Georgia" w:eastAsiaTheme="minorHAnsi" w:hAnsi="Georgia" w:cstheme="minorBidi"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6">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pStyle w:val="Heading8"/>
      <w:lvlText w:val="%8."/>
      <w:lvlJc w:val="left"/>
      <w:pPr>
        <w:ind w:left="5760" w:hanging="360"/>
      </w:pPr>
    </w:lvl>
    <w:lvl w:ilvl="8" w:tplc="08090005" w:tentative="1">
      <w:start w:val="1"/>
      <w:numFmt w:val="lowerRoman"/>
      <w:lvlText w:val="%9."/>
      <w:lvlJc w:val="right"/>
      <w:pPr>
        <w:ind w:left="6480" w:hanging="180"/>
      </w:pPr>
    </w:lvl>
  </w:abstractNum>
  <w:abstractNum w:abstractNumId="2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21">
    <w:nsid w:val="439D14CB"/>
    <w:multiLevelType w:val="multilevel"/>
    <w:tmpl w:val="BFAEF3C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b w:val="0"/>
        <w:caps w:val="0"/>
        <w:effect w:val="none"/>
      </w:rPr>
    </w:lvl>
    <w:lvl w:ilvl="2">
      <w:start w:val="1"/>
      <w:numFmt w:val="bullet"/>
      <w:lvlText w:val=""/>
      <w:lvlJc w:val="left"/>
      <w:pPr>
        <w:tabs>
          <w:tab w:val="num" w:pos="1800"/>
        </w:tabs>
        <w:ind w:left="1800" w:hanging="1080"/>
      </w:pPr>
      <w:rPr>
        <w:rFonts w:ascii="Symbol" w:hAnsi="Symbol" w:hint="default"/>
        <w:b w:val="0"/>
        <w:caps w:val="0"/>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2">
    <w:nsid w:val="43D0498A"/>
    <w:multiLevelType w:val="hybridMultilevel"/>
    <w:tmpl w:val="01DED8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D6468D"/>
    <w:multiLevelType w:val="hybridMultilevel"/>
    <w:tmpl w:val="A7804CFA"/>
    <w:name w:val="Recital Numbering List"/>
    <w:lvl w:ilvl="0" w:tplc="6D6C36DE">
      <w:start w:val="1"/>
      <w:numFmt w:val="bullet"/>
      <w:lvlText w:val=""/>
      <w:lvlJc w:val="left"/>
      <w:pPr>
        <w:ind w:left="720" w:hanging="360"/>
      </w:pPr>
      <w:rPr>
        <w:rFonts w:ascii="Symbol" w:hAnsi="Symbol" w:hint="default"/>
      </w:rPr>
    </w:lvl>
    <w:lvl w:ilvl="1" w:tplc="299A5028" w:tentative="1">
      <w:start w:val="1"/>
      <w:numFmt w:val="bullet"/>
      <w:lvlText w:val="o"/>
      <w:lvlJc w:val="left"/>
      <w:pPr>
        <w:ind w:left="1440" w:hanging="360"/>
      </w:pPr>
      <w:rPr>
        <w:rFonts w:ascii="Courier New" w:hAnsi="Courier New" w:cs="Courier New" w:hint="default"/>
      </w:rPr>
    </w:lvl>
    <w:lvl w:ilvl="2" w:tplc="92F683B2" w:tentative="1">
      <w:start w:val="1"/>
      <w:numFmt w:val="bullet"/>
      <w:lvlText w:val=""/>
      <w:lvlJc w:val="left"/>
      <w:pPr>
        <w:ind w:left="2160" w:hanging="360"/>
      </w:pPr>
      <w:rPr>
        <w:rFonts w:ascii="Wingdings" w:hAnsi="Wingdings" w:hint="default"/>
      </w:rPr>
    </w:lvl>
    <w:lvl w:ilvl="3" w:tplc="E206B276" w:tentative="1">
      <w:start w:val="1"/>
      <w:numFmt w:val="bullet"/>
      <w:lvlText w:val=""/>
      <w:lvlJc w:val="left"/>
      <w:pPr>
        <w:ind w:left="2880" w:hanging="360"/>
      </w:pPr>
      <w:rPr>
        <w:rFonts w:ascii="Symbol" w:hAnsi="Symbol" w:hint="default"/>
      </w:rPr>
    </w:lvl>
    <w:lvl w:ilvl="4" w:tplc="DE829AB4" w:tentative="1">
      <w:start w:val="1"/>
      <w:numFmt w:val="bullet"/>
      <w:lvlText w:val="o"/>
      <w:lvlJc w:val="left"/>
      <w:pPr>
        <w:ind w:left="3600" w:hanging="360"/>
      </w:pPr>
      <w:rPr>
        <w:rFonts w:ascii="Courier New" w:hAnsi="Courier New" w:cs="Courier New" w:hint="default"/>
      </w:rPr>
    </w:lvl>
    <w:lvl w:ilvl="5" w:tplc="6D5A88FE" w:tentative="1">
      <w:start w:val="1"/>
      <w:numFmt w:val="bullet"/>
      <w:lvlText w:val=""/>
      <w:lvlJc w:val="left"/>
      <w:pPr>
        <w:ind w:left="4320" w:hanging="360"/>
      </w:pPr>
      <w:rPr>
        <w:rFonts w:ascii="Wingdings" w:hAnsi="Wingdings" w:hint="default"/>
      </w:rPr>
    </w:lvl>
    <w:lvl w:ilvl="6" w:tplc="ED683928" w:tentative="1">
      <w:start w:val="1"/>
      <w:numFmt w:val="bullet"/>
      <w:lvlText w:val=""/>
      <w:lvlJc w:val="left"/>
      <w:pPr>
        <w:ind w:left="5040" w:hanging="360"/>
      </w:pPr>
      <w:rPr>
        <w:rFonts w:ascii="Symbol" w:hAnsi="Symbol" w:hint="default"/>
      </w:rPr>
    </w:lvl>
    <w:lvl w:ilvl="7" w:tplc="40D80B62" w:tentative="1">
      <w:start w:val="1"/>
      <w:numFmt w:val="bullet"/>
      <w:lvlText w:val="o"/>
      <w:lvlJc w:val="left"/>
      <w:pPr>
        <w:ind w:left="5760" w:hanging="360"/>
      </w:pPr>
      <w:rPr>
        <w:rFonts w:ascii="Courier New" w:hAnsi="Courier New" w:cs="Courier New" w:hint="default"/>
      </w:rPr>
    </w:lvl>
    <w:lvl w:ilvl="8" w:tplc="1248942E" w:tentative="1">
      <w:start w:val="1"/>
      <w:numFmt w:val="bullet"/>
      <w:lvlText w:val=""/>
      <w:lvlJc w:val="left"/>
      <w:pPr>
        <w:ind w:left="6480" w:hanging="360"/>
      </w:pPr>
      <w:rPr>
        <w:rFonts w:ascii="Wingdings" w:hAnsi="Wingdings" w:hint="default"/>
      </w:rPr>
    </w:lvl>
  </w:abstractNum>
  <w:abstractNum w:abstractNumId="25">
    <w:nsid w:val="50965CCA"/>
    <w:multiLevelType w:val="multilevel"/>
    <w:tmpl w:val="1332CCD4"/>
    <w:name w:val="Plato Schedule Numbering List"/>
    <w:numStyleLink w:val="111111"/>
  </w:abstractNum>
  <w:abstractNum w:abstractNumId="26">
    <w:nsid w:val="51200365"/>
    <w:multiLevelType w:val="multilevel"/>
    <w:tmpl w:val="28A8180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rFonts w:cs="Times New Roman" w:hint="default"/>
        <w:b w:val="0"/>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7">
    <w:nsid w:val="56DD2996"/>
    <w:multiLevelType w:val="hybridMultilevel"/>
    <w:tmpl w:val="D15C5F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29">
    <w:nsid w:val="600617AA"/>
    <w:multiLevelType w:val="hybridMultilevel"/>
    <w:tmpl w:val="0E9CEAF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478212B"/>
    <w:multiLevelType w:val="hybridMultilevel"/>
    <w:tmpl w:val="6936C824"/>
    <w:lvl w:ilvl="0" w:tplc="A51EF2DA">
      <w:start w:val="1"/>
      <w:numFmt w:val="bullet"/>
      <w:lvlText w:val=""/>
      <w:lvlJc w:val="left"/>
      <w:pPr>
        <w:tabs>
          <w:tab w:val="num" w:pos="360"/>
        </w:tabs>
        <w:ind w:left="360" w:hanging="360"/>
      </w:pPr>
      <w:rPr>
        <w:rFonts w:ascii="Wingdings 2" w:hAnsi="Wingdings 2" w:hint="default"/>
      </w:rPr>
    </w:lvl>
    <w:lvl w:ilvl="1" w:tplc="42B8F786">
      <w:start w:val="1"/>
      <w:numFmt w:val="bullet"/>
      <w:lvlText w:val=""/>
      <w:lvlJc w:val="left"/>
      <w:pPr>
        <w:tabs>
          <w:tab w:val="num" w:pos="1080"/>
        </w:tabs>
        <w:ind w:left="1080" w:hanging="360"/>
      </w:pPr>
      <w:rPr>
        <w:rFonts w:ascii="Wingdings 2" w:hAnsi="Wingdings 2" w:hint="default"/>
      </w:rPr>
    </w:lvl>
    <w:lvl w:ilvl="2" w:tplc="6E9024B2" w:tentative="1">
      <w:start w:val="1"/>
      <w:numFmt w:val="bullet"/>
      <w:lvlText w:val=""/>
      <w:lvlJc w:val="left"/>
      <w:pPr>
        <w:tabs>
          <w:tab w:val="num" w:pos="1800"/>
        </w:tabs>
        <w:ind w:left="1800" w:hanging="360"/>
      </w:pPr>
      <w:rPr>
        <w:rFonts w:ascii="Wingdings 2" w:hAnsi="Wingdings 2" w:hint="default"/>
      </w:rPr>
    </w:lvl>
    <w:lvl w:ilvl="3" w:tplc="3E5E024A" w:tentative="1">
      <w:start w:val="1"/>
      <w:numFmt w:val="bullet"/>
      <w:lvlText w:val=""/>
      <w:lvlJc w:val="left"/>
      <w:pPr>
        <w:tabs>
          <w:tab w:val="num" w:pos="2520"/>
        </w:tabs>
        <w:ind w:left="2520" w:hanging="360"/>
      </w:pPr>
      <w:rPr>
        <w:rFonts w:ascii="Wingdings 2" w:hAnsi="Wingdings 2" w:hint="default"/>
      </w:rPr>
    </w:lvl>
    <w:lvl w:ilvl="4" w:tplc="4CCCBC36" w:tentative="1">
      <w:start w:val="1"/>
      <w:numFmt w:val="bullet"/>
      <w:lvlText w:val=""/>
      <w:lvlJc w:val="left"/>
      <w:pPr>
        <w:tabs>
          <w:tab w:val="num" w:pos="3240"/>
        </w:tabs>
        <w:ind w:left="3240" w:hanging="360"/>
      </w:pPr>
      <w:rPr>
        <w:rFonts w:ascii="Wingdings 2" w:hAnsi="Wingdings 2" w:hint="default"/>
      </w:rPr>
    </w:lvl>
    <w:lvl w:ilvl="5" w:tplc="E782FFCA" w:tentative="1">
      <w:start w:val="1"/>
      <w:numFmt w:val="bullet"/>
      <w:lvlText w:val=""/>
      <w:lvlJc w:val="left"/>
      <w:pPr>
        <w:tabs>
          <w:tab w:val="num" w:pos="3960"/>
        </w:tabs>
        <w:ind w:left="3960" w:hanging="360"/>
      </w:pPr>
      <w:rPr>
        <w:rFonts w:ascii="Wingdings 2" w:hAnsi="Wingdings 2" w:hint="default"/>
      </w:rPr>
    </w:lvl>
    <w:lvl w:ilvl="6" w:tplc="977E2262" w:tentative="1">
      <w:start w:val="1"/>
      <w:numFmt w:val="bullet"/>
      <w:lvlText w:val=""/>
      <w:lvlJc w:val="left"/>
      <w:pPr>
        <w:tabs>
          <w:tab w:val="num" w:pos="4680"/>
        </w:tabs>
        <w:ind w:left="4680" w:hanging="360"/>
      </w:pPr>
      <w:rPr>
        <w:rFonts w:ascii="Wingdings 2" w:hAnsi="Wingdings 2" w:hint="default"/>
      </w:rPr>
    </w:lvl>
    <w:lvl w:ilvl="7" w:tplc="94503EA8" w:tentative="1">
      <w:start w:val="1"/>
      <w:numFmt w:val="bullet"/>
      <w:lvlText w:val=""/>
      <w:lvlJc w:val="left"/>
      <w:pPr>
        <w:tabs>
          <w:tab w:val="num" w:pos="5400"/>
        </w:tabs>
        <w:ind w:left="5400" w:hanging="360"/>
      </w:pPr>
      <w:rPr>
        <w:rFonts w:ascii="Wingdings 2" w:hAnsi="Wingdings 2" w:hint="default"/>
      </w:rPr>
    </w:lvl>
    <w:lvl w:ilvl="8" w:tplc="3D8A50D0" w:tentative="1">
      <w:start w:val="1"/>
      <w:numFmt w:val="bullet"/>
      <w:lvlText w:val=""/>
      <w:lvlJc w:val="left"/>
      <w:pPr>
        <w:tabs>
          <w:tab w:val="num" w:pos="6120"/>
        </w:tabs>
        <w:ind w:left="6120" w:hanging="360"/>
      </w:pPr>
      <w:rPr>
        <w:rFonts w:ascii="Wingdings 2" w:hAnsi="Wingdings 2" w:hint="default"/>
      </w:rPr>
    </w:lvl>
  </w:abstractNum>
  <w:abstractNum w:abstractNumId="32">
    <w:nsid w:val="663548B3"/>
    <w:multiLevelType w:val="hybridMultilevel"/>
    <w:tmpl w:val="7768722E"/>
    <w:name w:val="List Bullet "/>
    <w:lvl w:ilvl="0" w:tplc="02722598">
      <w:start w:val="1"/>
      <w:numFmt w:val="bullet"/>
      <w:lvlText w:val=""/>
      <w:lvlJc w:val="left"/>
      <w:pPr>
        <w:ind w:left="720" w:hanging="360"/>
      </w:pPr>
      <w:rPr>
        <w:rFonts w:ascii="Symbol" w:hAnsi="Symbol" w:hint="default"/>
      </w:rPr>
    </w:lvl>
    <w:lvl w:ilvl="1" w:tplc="8370D526" w:tentative="1">
      <w:start w:val="1"/>
      <w:numFmt w:val="bullet"/>
      <w:lvlText w:val="o"/>
      <w:lvlJc w:val="left"/>
      <w:pPr>
        <w:ind w:left="1440" w:hanging="360"/>
      </w:pPr>
      <w:rPr>
        <w:rFonts w:ascii="Courier New" w:hAnsi="Courier New" w:cs="Courier New" w:hint="default"/>
      </w:rPr>
    </w:lvl>
    <w:lvl w:ilvl="2" w:tplc="C4F47C34" w:tentative="1">
      <w:start w:val="1"/>
      <w:numFmt w:val="bullet"/>
      <w:lvlText w:val=""/>
      <w:lvlJc w:val="left"/>
      <w:pPr>
        <w:ind w:left="2160" w:hanging="360"/>
      </w:pPr>
      <w:rPr>
        <w:rFonts w:ascii="Wingdings" w:hAnsi="Wingdings" w:hint="default"/>
      </w:rPr>
    </w:lvl>
    <w:lvl w:ilvl="3" w:tplc="7DE8A4EC" w:tentative="1">
      <w:start w:val="1"/>
      <w:numFmt w:val="bullet"/>
      <w:lvlText w:val=""/>
      <w:lvlJc w:val="left"/>
      <w:pPr>
        <w:ind w:left="2880" w:hanging="360"/>
      </w:pPr>
      <w:rPr>
        <w:rFonts w:ascii="Symbol" w:hAnsi="Symbol" w:hint="default"/>
      </w:rPr>
    </w:lvl>
    <w:lvl w:ilvl="4" w:tplc="84229B94" w:tentative="1">
      <w:start w:val="1"/>
      <w:numFmt w:val="bullet"/>
      <w:lvlText w:val="o"/>
      <w:lvlJc w:val="left"/>
      <w:pPr>
        <w:ind w:left="3600" w:hanging="360"/>
      </w:pPr>
      <w:rPr>
        <w:rFonts w:ascii="Courier New" w:hAnsi="Courier New" w:cs="Courier New" w:hint="default"/>
      </w:rPr>
    </w:lvl>
    <w:lvl w:ilvl="5" w:tplc="1874970C" w:tentative="1">
      <w:start w:val="1"/>
      <w:numFmt w:val="bullet"/>
      <w:lvlText w:val=""/>
      <w:lvlJc w:val="left"/>
      <w:pPr>
        <w:ind w:left="4320" w:hanging="360"/>
      </w:pPr>
      <w:rPr>
        <w:rFonts w:ascii="Wingdings" w:hAnsi="Wingdings" w:hint="default"/>
      </w:rPr>
    </w:lvl>
    <w:lvl w:ilvl="6" w:tplc="3F7E57DA" w:tentative="1">
      <w:start w:val="1"/>
      <w:numFmt w:val="bullet"/>
      <w:lvlText w:val=""/>
      <w:lvlJc w:val="left"/>
      <w:pPr>
        <w:ind w:left="5040" w:hanging="360"/>
      </w:pPr>
      <w:rPr>
        <w:rFonts w:ascii="Symbol" w:hAnsi="Symbol" w:hint="default"/>
      </w:rPr>
    </w:lvl>
    <w:lvl w:ilvl="7" w:tplc="BE0A2082" w:tentative="1">
      <w:start w:val="1"/>
      <w:numFmt w:val="bullet"/>
      <w:lvlText w:val="o"/>
      <w:lvlJc w:val="left"/>
      <w:pPr>
        <w:ind w:left="5760" w:hanging="360"/>
      </w:pPr>
      <w:rPr>
        <w:rFonts w:ascii="Courier New" w:hAnsi="Courier New" w:cs="Courier New" w:hint="default"/>
      </w:rPr>
    </w:lvl>
    <w:lvl w:ilvl="8" w:tplc="9BC2FD36" w:tentative="1">
      <w:start w:val="1"/>
      <w:numFmt w:val="bullet"/>
      <w:lvlText w:val=""/>
      <w:lvlJc w:val="left"/>
      <w:pPr>
        <w:ind w:left="6480" w:hanging="360"/>
      </w:pPr>
      <w:rPr>
        <w:rFonts w:ascii="Wingdings" w:hAnsi="Wingdings" w:hint="default"/>
      </w:rPr>
    </w:lvl>
  </w:abstractNum>
  <w:abstractNum w:abstractNumId="33">
    <w:nsid w:val="6FAF6F31"/>
    <w:multiLevelType w:val="hybridMultilevel"/>
    <w:tmpl w:val="F1805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7857A58"/>
    <w:multiLevelType w:val="hybridMultilevel"/>
    <w:tmpl w:val="4830E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166E2A"/>
    <w:multiLevelType w:val="hybridMultilevel"/>
    <w:tmpl w:val="33C8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6"/>
  </w:num>
  <w:num w:numId="4">
    <w:abstractNumId w:val="6"/>
  </w:num>
  <w:num w:numId="5">
    <w:abstractNumId w:val="23"/>
  </w:num>
  <w:num w:numId="6">
    <w:abstractNumId w:val="18"/>
  </w:num>
  <w:num w:numId="7">
    <w:abstractNumId w:val="4"/>
  </w:num>
  <w:num w:numId="8">
    <w:abstractNumId w:val="3"/>
  </w:num>
  <w:num w:numId="9">
    <w:abstractNumId w:val="2"/>
  </w:num>
  <w:num w:numId="10">
    <w:abstractNumId w:val="1"/>
  </w:num>
  <w:num w:numId="11">
    <w:abstractNumId w:val="0"/>
  </w:num>
  <w:num w:numId="12">
    <w:abstractNumId w:val="36"/>
  </w:num>
  <w:num w:numId="13">
    <w:abstractNumId w:val="11"/>
  </w:num>
  <w:num w:numId="14">
    <w:abstractNumId w:val="30"/>
  </w:num>
  <w:num w:numId="15">
    <w:abstractNumId w:val="10"/>
  </w:num>
  <w:num w:numId="16">
    <w:abstractNumId w:val="20"/>
  </w:num>
  <w:num w:numId="17">
    <w:abstractNumId w:val="17"/>
  </w:num>
  <w:num w:numId="18">
    <w:abstractNumId w:val="28"/>
  </w:num>
  <w:num w:numId="19">
    <w:abstractNumId w:val="12"/>
  </w:num>
  <w:num w:numId="20">
    <w:abstractNumId w:val="19"/>
  </w:num>
  <w:num w:numId="21">
    <w:abstractNumId w:val="26"/>
  </w:num>
  <w:num w:numId="22">
    <w:abstractNumId w:val="13"/>
  </w:num>
  <w:num w:numId="23">
    <w:abstractNumId w:val="31"/>
  </w:num>
  <w:num w:numId="24">
    <w:abstractNumId w:val="9"/>
  </w:num>
  <w:num w:numId="25">
    <w:abstractNumId w:val="8"/>
  </w:num>
  <w:num w:numId="26">
    <w:abstractNumId w:val="22"/>
  </w:num>
  <w:num w:numId="27">
    <w:abstractNumId w:val="26"/>
  </w:num>
  <w:num w:numId="28">
    <w:abstractNumId w:val="27"/>
  </w:num>
  <w:num w:numId="29">
    <w:abstractNumId w:val="5"/>
  </w:num>
  <w:num w:numId="30">
    <w:abstractNumId w:val="33"/>
  </w:num>
  <w:num w:numId="31">
    <w:abstractNumId w:val="26"/>
  </w:num>
  <w:num w:numId="32">
    <w:abstractNumId w:val="29"/>
  </w:num>
  <w:num w:numId="33">
    <w:abstractNumId w:val="15"/>
  </w:num>
  <w:num w:numId="34">
    <w:abstractNumId w:val="34"/>
  </w:num>
  <w:num w:numId="35">
    <w:abstractNumId w:val="3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0E85"/>
    <w:rsid w:val="000110CC"/>
    <w:rsid w:val="00011988"/>
    <w:rsid w:val="00012987"/>
    <w:rsid w:val="0001386E"/>
    <w:rsid w:val="00014A44"/>
    <w:rsid w:val="00020611"/>
    <w:rsid w:val="0002117B"/>
    <w:rsid w:val="00022304"/>
    <w:rsid w:val="0002409B"/>
    <w:rsid w:val="00024B2F"/>
    <w:rsid w:val="00026CBD"/>
    <w:rsid w:val="00026E28"/>
    <w:rsid w:val="00027C05"/>
    <w:rsid w:val="000318CA"/>
    <w:rsid w:val="0003289F"/>
    <w:rsid w:val="00035A45"/>
    <w:rsid w:val="00037CB6"/>
    <w:rsid w:val="00040A60"/>
    <w:rsid w:val="000459DD"/>
    <w:rsid w:val="000507E9"/>
    <w:rsid w:val="00051F62"/>
    <w:rsid w:val="00052A65"/>
    <w:rsid w:val="0005414E"/>
    <w:rsid w:val="000541C6"/>
    <w:rsid w:val="00056F7F"/>
    <w:rsid w:val="00060D0E"/>
    <w:rsid w:val="00066D70"/>
    <w:rsid w:val="0007280F"/>
    <w:rsid w:val="00074357"/>
    <w:rsid w:val="00074D97"/>
    <w:rsid w:val="000763EA"/>
    <w:rsid w:val="000812AE"/>
    <w:rsid w:val="0008330B"/>
    <w:rsid w:val="00090D6B"/>
    <w:rsid w:val="000910A7"/>
    <w:rsid w:val="000924BD"/>
    <w:rsid w:val="00094E2D"/>
    <w:rsid w:val="00096F76"/>
    <w:rsid w:val="00097669"/>
    <w:rsid w:val="000A0C5F"/>
    <w:rsid w:val="000A0D22"/>
    <w:rsid w:val="000A5E95"/>
    <w:rsid w:val="000B1C66"/>
    <w:rsid w:val="000B29B2"/>
    <w:rsid w:val="000B5C9F"/>
    <w:rsid w:val="000C2484"/>
    <w:rsid w:val="000C2E05"/>
    <w:rsid w:val="000C5EC7"/>
    <w:rsid w:val="000C68BF"/>
    <w:rsid w:val="000C73A3"/>
    <w:rsid w:val="000C7C2B"/>
    <w:rsid w:val="000E3471"/>
    <w:rsid w:val="000E4C53"/>
    <w:rsid w:val="000E6CD7"/>
    <w:rsid w:val="000F232D"/>
    <w:rsid w:val="000F3348"/>
    <w:rsid w:val="000F3500"/>
    <w:rsid w:val="000F3E1D"/>
    <w:rsid w:val="00100B77"/>
    <w:rsid w:val="0010318E"/>
    <w:rsid w:val="0010453E"/>
    <w:rsid w:val="0010577C"/>
    <w:rsid w:val="00105FBC"/>
    <w:rsid w:val="00106AAD"/>
    <w:rsid w:val="00110F67"/>
    <w:rsid w:val="00113459"/>
    <w:rsid w:val="001173D2"/>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30F5"/>
    <w:rsid w:val="001541D4"/>
    <w:rsid w:val="00156231"/>
    <w:rsid w:val="0015696A"/>
    <w:rsid w:val="00156E2F"/>
    <w:rsid w:val="00157D99"/>
    <w:rsid w:val="001600AF"/>
    <w:rsid w:val="0016383C"/>
    <w:rsid w:val="00163E79"/>
    <w:rsid w:val="00166299"/>
    <w:rsid w:val="0017225B"/>
    <w:rsid w:val="00173352"/>
    <w:rsid w:val="0017368C"/>
    <w:rsid w:val="00173AA5"/>
    <w:rsid w:val="00176DF8"/>
    <w:rsid w:val="00181D58"/>
    <w:rsid w:val="00183EB0"/>
    <w:rsid w:val="00184673"/>
    <w:rsid w:val="001863E6"/>
    <w:rsid w:val="0018756A"/>
    <w:rsid w:val="001962E6"/>
    <w:rsid w:val="001A1780"/>
    <w:rsid w:val="001A3C4D"/>
    <w:rsid w:val="001A7AB1"/>
    <w:rsid w:val="001B2EA8"/>
    <w:rsid w:val="001B38BD"/>
    <w:rsid w:val="001B3C1C"/>
    <w:rsid w:val="001B485F"/>
    <w:rsid w:val="001B4B79"/>
    <w:rsid w:val="001B52D8"/>
    <w:rsid w:val="001B7630"/>
    <w:rsid w:val="001B7875"/>
    <w:rsid w:val="001C18A7"/>
    <w:rsid w:val="001C210F"/>
    <w:rsid w:val="001C4CDC"/>
    <w:rsid w:val="001C609B"/>
    <w:rsid w:val="001C63F8"/>
    <w:rsid w:val="001D0473"/>
    <w:rsid w:val="001D1ADF"/>
    <w:rsid w:val="001D1CC2"/>
    <w:rsid w:val="001D3018"/>
    <w:rsid w:val="001D420C"/>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513D"/>
    <w:rsid w:val="00225865"/>
    <w:rsid w:val="0022592F"/>
    <w:rsid w:val="002262A5"/>
    <w:rsid w:val="002268D4"/>
    <w:rsid w:val="0022721A"/>
    <w:rsid w:val="00227460"/>
    <w:rsid w:val="00234955"/>
    <w:rsid w:val="00241853"/>
    <w:rsid w:val="00243276"/>
    <w:rsid w:val="00243547"/>
    <w:rsid w:val="00245342"/>
    <w:rsid w:val="00245B30"/>
    <w:rsid w:val="00246795"/>
    <w:rsid w:val="00250446"/>
    <w:rsid w:val="00257039"/>
    <w:rsid w:val="00257F38"/>
    <w:rsid w:val="002600C6"/>
    <w:rsid w:val="002608F4"/>
    <w:rsid w:val="0026119D"/>
    <w:rsid w:val="002630FA"/>
    <w:rsid w:val="002634FE"/>
    <w:rsid w:val="0027062E"/>
    <w:rsid w:val="00273C21"/>
    <w:rsid w:val="00274416"/>
    <w:rsid w:val="00275B97"/>
    <w:rsid w:val="00277524"/>
    <w:rsid w:val="002802B6"/>
    <w:rsid w:val="00280B5B"/>
    <w:rsid w:val="002848C1"/>
    <w:rsid w:val="0028697F"/>
    <w:rsid w:val="00286F62"/>
    <w:rsid w:val="002876FE"/>
    <w:rsid w:val="00293E2C"/>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76E"/>
    <w:rsid w:val="002C2802"/>
    <w:rsid w:val="002C2D54"/>
    <w:rsid w:val="002C3316"/>
    <w:rsid w:val="002C34AB"/>
    <w:rsid w:val="002C4729"/>
    <w:rsid w:val="002C538F"/>
    <w:rsid w:val="002C546C"/>
    <w:rsid w:val="002C671C"/>
    <w:rsid w:val="002D2841"/>
    <w:rsid w:val="002D3A27"/>
    <w:rsid w:val="002E05A6"/>
    <w:rsid w:val="002E0DBC"/>
    <w:rsid w:val="002E5436"/>
    <w:rsid w:val="002E594B"/>
    <w:rsid w:val="002F13FD"/>
    <w:rsid w:val="002F1F7F"/>
    <w:rsid w:val="002F42F4"/>
    <w:rsid w:val="002F4D97"/>
    <w:rsid w:val="0030141E"/>
    <w:rsid w:val="0030285B"/>
    <w:rsid w:val="00311429"/>
    <w:rsid w:val="00314691"/>
    <w:rsid w:val="00316D27"/>
    <w:rsid w:val="00323541"/>
    <w:rsid w:val="00323EAA"/>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587"/>
    <w:rsid w:val="00373767"/>
    <w:rsid w:val="0037526E"/>
    <w:rsid w:val="00376922"/>
    <w:rsid w:val="00376FF7"/>
    <w:rsid w:val="00386338"/>
    <w:rsid w:val="00386706"/>
    <w:rsid w:val="003874EB"/>
    <w:rsid w:val="003908EB"/>
    <w:rsid w:val="00390BC3"/>
    <w:rsid w:val="0039193D"/>
    <w:rsid w:val="00396B62"/>
    <w:rsid w:val="003978E9"/>
    <w:rsid w:val="003A0CDA"/>
    <w:rsid w:val="003A1894"/>
    <w:rsid w:val="003A199A"/>
    <w:rsid w:val="003A1B63"/>
    <w:rsid w:val="003A2C48"/>
    <w:rsid w:val="003A4DD7"/>
    <w:rsid w:val="003B0599"/>
    <w:rsid w:val="003B26CE"/>
    <w:rsid w:val="003B4727"/>
    <w:rsid w:val="003B4B25"/>
    <w:rsid w:val="003C1CB5"/>
    <w:rsid w:val="003C4135"/>
    <w:rsid w:val="003C54C9"/>
    <w:rsid w:val="003D0A36"/>
    <w:rsid w:val="003D164F"/>
    <w:rsid w:val="003D1E1C"/>
    <w:rsid w:val="003D2039"/>
    <w:rsid w:val="003D2902"/>
    <w:rsid w:val="003D4366"/>
    <w:rsid w:val="003D4F07"/>
    <w:rsid w:val="003D6D0B"/>
    <w:rsid w:val="003E17EB"/>
    <w:rsid w:val="003F06FF"/>
    <w:rsid w:val="003F1C5D"/>
    <w:rsid w:val="003F68D6"/>
    <w:rsid w:val="00402F0D"/>
    <w:rsid w:val="00404F9C"/>
    <w:rsid w:val="0040508D"/>
    <w:rsid w:val="00407320"/>
    <w:rsid w:val="004126C0"/>
    <w:rsid w:val="004128DA"/>
    <w:rsid w:val="00413A43"/>
    <w:rsid w:val="004147A7"/>
    <w:rsid w:val="00415016"/>
    <w:rsid w:val="00416045"/>
    <w:rsid w:val="004206EA"/>
    <w:rsid w:val="00422823"/>
    <w:rsid w:val="0042602C"/>
    <w:rsid w:val="00426AB4"/>
    <w:rsid w:val="00427A64"/>
    <w:rsid w:val="0043067F"/>
    <w:rsid w:val="004324B4"/>
    <w:rsid w:val="00442EDE"/>
    <w:rsid w:val="00447F11"/>
    <w:rsid w:val="0045279B"/>
    <w:rsid w:val="00453D4F"/>
    <w:rsid w:val="00453EE6"/>
    <w:rsid w:val="00461688"/>
    <w:rsid w:val="00466CA2"/>
    <w:rsid w:val="0047027E"/>
    <w:rsid w:val="00470A2A"/>
    <w:rsid w:val="00475FD9"/>
    <w:rsid w:val="00476F39"/>
    <w:rsid w:val="004771C4"/>
    <w:rsid w:val="00480506"/>
    <w:rsid w:val="00480E50"/>
    <w:rsid w:val="00485BCA"/>
    <w:rsid w:val="004900A1"/>
    <w:rsid w:val="004909B0"/>
    <w:rsid w:val="0049625F"/>
    <w:rsid w:val="004A1958"/>
    <w:rsid w:val="004A225E"/>
    <w:rsid w:val="004A2D0B"/>
    <w:rsid w:val="004A31F5"/>
    <w:rsid w:val="004A4371"/>
    <w:rsid w:val="004B18C5"/>
    <w:rsid w:val="004B4E34"/>
    <w:rsid w:val="004B6951"/>
    <w:rsid w:val="004C0636"/>
    <w:rsid w:val="004C1460"/>
    <w:rsid w:val="004C252B"/>
    <w:rsid w:val="004C50CD"/>
    <w:rsid w:val="004C53C2"/>
    <w:rsid w:val="004C5C6B"/>
    <w:rsid w:val="004C63D6"/>
    <w:rsid w:val="004D0392"/>
    <w:rsid w:val="004D0A59"/>
    <w:rsid w:val="004D1EED"/>
    <w:rsid w:val="004D267E"/>
    <w:rsid w:val="004D2D01"/>
    <w:rsid w:val="004D34B9"/>
    <w:rsid w:val="004D4D43"/>
    <w:rsid w:val="004D5500"/>
    <w:rsid w:val="004E0FDB"/>
    <w:rsid w:val="004E1F9F"/>
    <w:rsid w:val="004E445C"/>
    <w:rsid w:val="004E6874"/>
    <w:rsid w:val="004F2229"/>
    <w:rsid w:val="004F2D68"/>
    <w:rsid w:val="004F4E7F"/>
    <w:rsid w:val="004F671B"/>
    <w:rsid w:val="004F6B43"/>
    <w:rsid w:val="004F6EE0"/>
    <w:rsid w:val="0050062B"/>
    <w:rsid w:val="005009A0"/>
    <w:rsid w:val="00502279"/>
    <w:rsid w:val="00502DB6"/>
    <w:rsid w:val="0050537E"/>
    <w:rsid w:val="00505473"/>
    <w:rsid w:val="005121E9"/>
    <w:rsid w:val="005147FE"/>
    <w:rsid w:val="00515D51"/>
    <w:rsid w:val="005170DE"/>
    <w:rsid w:val="00517904"/>
    <w:rsid w:val="00522AAC"/>
    <w:rsid w:val="00527040"/>
    <w:rsid w:val="00531360"/>
    <w:rsid w:val="0053220D"/>
    <w:rsid w:val="00533F76"/>
    <w:rsid w:val="005364E3"/>
    <w:rsid w:val="0054536C"/>
    <w:rsid w:val="00545E13"/>
    <w:rsid w:val="00561BB6"/>
    <w:rsid w:val="00564CCA"/>
    <w:rsid w:val="005713C4"/>
    <w:rsid w:val="005750D7"/>
    <w:rsid w:val="005750F5"/>
    <w:rsid w:val="005759DD"/>
    <w:rsid w:val="00576C34"/>
    <w:rsid w:val="005770EC"/>
    <w:rsid w:val="005821EF"/>
    <w:rsid w:val="0058297A"/>
    <w:rsid w:val="0058409F"/>
    <w:rsid w:val="00585D06"/>
    <w:rsid w:val="00586CC2"/>
    <w:rsid w:val="005924FF"/>
    <w:rsid w:val="00593CFF"/>
    <w:rsid w:val="00595C15"/>
    <w:rsid w:val="00597B02"/>
    <w:rsid w:val="005B28B1"/>
    <w:rsid w:val="005B2BA5"/>
    <w:rsid w:val="005B466A"/>
    <w:rsid w:val="005C084E"/>
    <w:rsid w:val="005C2951"/>
    <w:rsid w:val="005C3B95"/>
    <w:rsid w:val="005C6291"/>
    <w:rsid w:val="005C6503"/>
    <w:rsid w:val="005D2362"/>
    <w:rsid w:val="005E2029"/>
    <w:rsid w:val="005E29A1"/>
    <w:rsid w:val="005E4205"/>
    <w:rsid w:val="005E4793"/>
    <w:rsid w:val="005E4F6C"/>
    <w:rsid w:val="005E5DD9"/>
    <w:rsid w:val="005E77ED"/>
    <w:rsid w:val="005E7C19"/>
    <w:rsid w:val="005F11AF"/>
    <w:rsid w:val="005F2A14"/>
    <w:rsid w:val="005F2F66"/>
    <w:rsid w:val="005F6E6D"/>
    <w:rsid w:val="005F79C0"/>
    <w:rsid w:val="00600D97"/>
    <w:rsid w:val="00600EA9"/>
    <w:rsid w:val="00601DFB"/>
    <w:rsid w:val="00605194"/>
    <w:rsid w:val="006054F0"/>
    <w:rsid w:val="006072D7"/>
    <w:rsid w:val="0061104D"/>
    <w:rsid w:val="00613C6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524C"/>
    <w:rsid w:val="006754B9"/>
    <w:rsid w:val="006772C0"/>
    <w:rsid w:val="00680C72"/>
    <w:rsid w:val="00682503"/>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E66C0"/>
    <w:rsid w:val="006F098A"/>
    <w:rsid w:val="006F0C06"/>
    <w:rsid w:val="006F490F"/>
    <w:rsid w:val="006F6878"/>
    <w:rsid w:val="006F6F85"/>
    <w:rsid w:val="007003CC"/>
    <w:rsid w:val="00702C1F"/>
    <w:rsid w:val="00704A4D"/>
    <w:rsid w:val="00706FCC"/>
    <w:rsid w:val="007110A9"/>
    <w:rsid w:val="007145F1"/>
    <w:rsid w:val="007160DB"/>
    <w:rsid w:val="0072081F"/>
    <w:rsid w:val="00724885"/>
    <w:rsid w:val="007321C1"/>
    <w:rsid w:val="00733ACF"/>
    <w:rsid w:val="0073540C"/>
    <w:rsid w:val="00735D7F"/>
    <w:rsid w:val="007378D3"/>
    <w:rsid w:val="00740B2E"/>
    <w:rsid w:val="007435B9"/>
    <w:rsid w:val="0075008F"/>
    <w:rsid w:val="0075444C"/>
    <w:rsid w:val="00755A73"/>
    <w:rsid w:val="00756064"/>
    <w:rsid w:val="00760E17"/>
    <w:rsid w:val="0076266E"/>
    <w:rsid w:val="0076417D"/>
    <w:rsid w:val="007642C7"/>
    <w:rsid w:val="00764DBB"/>
    <w:rsid w:val="0077082E"/>
    <w:rsid w:val="007714CA"/>
    <w:rsid w:val="00772062"/>
    <w:rsid w:val="007723BF"/>
    <w:rsid w:val="007734F9"/>
    <w:rsid w:val="00773DF3"/>
    <w:rsid w:val="007742BD"/>
    <w:rsid w:val="0077722D"/>
    <w:rsid w:val="0078132F"/>
    <w:rsid w:val="00781B53"/>
    <w:rsid w:val="00781F72"/>
    <w:rsid w:val="007838E0"/>
    <w:rsid w:val="00784548"/>
    <w:rsid w:val="00791568"/>
    <w:rsid w:val="007915BD"/>
    <w:rsid w:val="00792A76"/>
    <w:rsid w:val="00792F41"/>
    <w:rsid w:val="00793CFE"/>
    <w:rsid w:val="007948B4"/>
    <w:rsid w:val="007957E7"/>
    <w:rsid w:val="007A1810"/>
    <w:rsid w:val="007A1EDB"/>
    <w:rsid w:val="007A4212"/>
    <w:rsid w:val="007B22E8"/>
    <w:rsid w:val="007B3FCD"/>
    <w:rsid w:val="007B5019"/>
    <w:rsid w:val="007B52CD"/>
    <w:rsid w:val="007B7B17"/>
    <w:rsid w:val="007C33F9"/>
    <w:rsid w:val="007C389F"/>
    <w:rsid w:val="007C79FC"/>
    <w:rsid w:val="007D04CE"/>
    <w:rsid w:val="007D1C75"/>
    <w:rsid w:val="007D3DA3"/>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06295"/>
    <w:rsid w:val="00811C30"/>
    <w:rsid w:val="0081457C"/>
    <w:rsid w:val="00821734"/>
    <w:rsid w:val="008227FE"/>
    <w:rsid w:val="00825DD7"/>
    <w:rsid w:val="0082702F"/>
    <w:rsid w:val="00827E8F"/>
    <w:rsid w:val="00830EA9"/>
    <w:rsid w:val="0083566B"/>
    <w:rsid w:val="00837A47"/>
    <w:rsid w:val="00842735"/>
    <w:rsid w:val="00843256"/>
    <w:rsid w:val="008433A5"/>
    <w:rsid w:val="00843CA8"/>
    <w:rsid w:val="00843FCC"/>
    <w:rsid w:val="00845DE9"/>
    <w:rsid w:val="00846256"/>
    <w:rsid w:val="008519A1"/>
    <w:rsid w:val="0085331D"/>
    <w:rsid w:val="00854513"/>
    <w:rsid w:val="008556F2"/>
    <w:rsid w:val="00856E6C"/>
    <w:rsid w:val="00861D08"/>
    <w:rsid w:val="00862C72"/>
    <w:rsid w:val="00862E1D"/>
    <w:rsid w:val="008633FF"/>
    <w:rsid w:val="00873E83"/>
    <w:rsid w:val="00877AA1"/>
    <w:rsid w:val="0088161D"/>
    <w:rsid w:val="00882465"/>
    <w:rsid w:val="00890886"/>
    <w:rsid w:val="008916A4"/>
    <w:rsid w:val="00896FCC"/>
    <w:rsid w:val="008A17B5"/>
    <w:rsid w:val="008A20B1"/>
    <w:rsid w:val="008A3F1A"/>
    <w:rsid w:val="008A464C"/>
    <w:rsid w:val="008A5EAC"/>
    <w:rsid w:val="008A74AE"/>
    <w:rsid w:val="008A7C5C"/>
    <w:rsid w:val="008B2760"/>
    <w:rsid w:val="008B3DC8"/>
    <w:rsid w:val="008B4EC5"/>
    <w:rsid w:val="008B5210"/>
    <w:rsid w:val="008B7859"/>
    <w:rsid w:val="008C05F1"/>
    <w:rsid w:val="008C218B"/>
    <w:rsid w:val="008C59EE"/>
    <w:rsid w:val="008C6917"/>
    <w:rsid w:val="008C6DD8"/>
    <w:rsid w:val="008D01FD"/>
    <w:rsid w:val="008D17C0"/>
    <w:rsid w:val="008D1AFC"/>
    <w:rsid w:val="008D1F53"/>
    <w:rsid w:val="008D28A6"/>
    <w:rsid w:val="008D2A86"/>
    <w:rsid w:val="008D52B0"/>
    <w:rsid w:val="008D66D4"/>
    <w:rsid w:val="008D7794"/>
    <w:rsid w:val="008E0B8A"/>
    <w:rsid w:val="008E1E90"/>
    <w:rsid w:val="008E6D8C"/>
    <w:rsid w:val="008E7D6B"/>
    <w:rsid w:val="008F0B3A"/>
    <w:rsid w:val="008F0B5B"/>
    <w:rsid w:val="008F0F5B"/>
    <w:rsid w:val="008F48B8"/>
    <w:rsid w:val="008F7730"/>
    <w:rsid w:val="00900BFA"/>
    <w:rsid w:val="00900E71"/>
    <w:rsid w:val="009021F5"/>
    <w:rsid w:val="009024C9"/>
    <w:rsid w:val="0090447A"/>
    <w:rsid w:val="00905BFB"/>
    <w:rsid w:val="009064EA"/>
    <w:rsid w:val="009066E0"/>
    <w:rsid w:val="00910C2D"/>
    <w:rsid w:val="00910C56"/>
    <w:rsid w:val="00911C93"/>
    <w:rsid w:val="00912B1E"/>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53E"/>
    <w:rsid w:val="00965F55"/>
    <w:rsid w:val="00970943"/>
    <w:rsid w:val="00970C86"/>
    <w:rsid w:val="00971A11"/>
    <w:rsid w:val="009738CD"/>
    <w:rsid w:val="0097525F"/>
    <w:rsid w:val="009758F3"/>
    <w:rsid w:val="0097705B"/>
    <w:rsid w:val="0098237E"/>
    <w:rsid w:val="00983AEF"/>
    <w:rsid w:val="00985750"/>
    <w:rsid w:val="00986DDB"/>
    <w:rsid w:val="00993750"/>
    <w:rsid w:val="00995864"/>
    <w:rsid w:val="0099632A"/>
    <w:rsid w:val="00996944"/>
    <w:rsid w:val="00997A9A"/>
    <w:rsid w:val="009A041A"/>
    <w:rsid w:val="009A0DA6"/>
    <w:rsid w:val="009A28B5"/>
    <w:rsid w:val="009A3653"/>
    <w:rsid w:val="009A37CD"/>
    <w:rsid w:val="009B0A14"/>
    <w:rsid w:val="009B0E63"/>
    <w:rsid w:val="009B2117"/>
    <w:rsid w:val="009C2B62"/>
    <w:rsid w:val="009C3578"/>
    <w:rsid w:val="009C3DAF"/>
    <w:rsid w:val="009D08E6"/>
    <w:rsid w:val="009D12CD"/>
    <w:rsid w:val="009D29AF"/>
    <w:rsid w:val="009D4478"/>
    <w:rsid w:val="009D7801"/>
    <w:rsid w:val="009E2289"/>
    <w:rsid w:val="009E22EF"/>
    <w:rsid w:val="009E38B3"/>
    <w:rsid w:val="009E46E8"/>
    <w:rsid w:val="009E7CA6"/>
    <w:rsid w:val="009F0DAB"/>
    <w:rsid w:val="00A028E8"/>
    <w:rsid w:val="00A03D60"/>
    <w:rsid w:val="00A04242"/>
    <w:rsid w:val="00A055F2"/>
    <w:rsid w:val="00A06EEA"/>
    <w:rsid w:val="00A07797"/>
    <w:rsid w:val="00A07BA2"/>
    <w:rsid w:val="00A10867"/>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54BC"/>
    <w:rsid w:val="00A46AE8"/>
    <w:rsid w:val="00A50DAC"/>
    <w:rsid w:val="00A520BB"/>
    <w:rsid w:val="00A53C90"/>
    <w:rsid w:val="00A544DF"/>
    <w:rsid w:val="00A54C8F"/>
    <w:rsid w:val="00A5594A"/>
    <w:rsid w:val="00A57890"/>
    <w:rsid w:val="00A6238E"/>
    <w:rsid w:val="00A63F3F"/>
    <w:rsid w:val="00A646DE"/>
    <w:rsid w:val="00A72352"/>
    <w:rsid w:val="00A73E58"/>
    <w:rsid w:val="00A81243"/>
    <w:rsid w:val="00A845EC"/>
    <w:rsid w:val="00A852B4"/>
    <w:rsid w:val="00A90772"/>
    <w:rsid w:val="00A9295D"/>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4AA0"/>
    <w:rsid w:val="00B06B86"/>
    <w:rsid w:val="00B06CDF"/>
    <w:rsid w:val="00B1155E"/>
    <w:rsid w:val="00B1289A"/>
    <w:rsid w:val="00B12987"/>
    <w:rsid w:val="00B13340"/>
    <w:rsid w:val="00B21EB6"/>
    <w:rsid w:val="00B238B0"/>
    <w:rsid w:val="00B240CE"/>
    <w:rsid w:val="00B3136B"/>
    <w:rsid w:val="00B316A1"/>
    <w:rsid w:val="00B366A1"/>
    <w:rsid w:val="00B36D8D"/>
    <w:rsid w:val="00B37052"/>
    <w:rsid w:val="00B42707"/>
    <w:rsid w:val="00B432A0"/>
    <w:rsid w:val="00B4536E"/>
    <w:rsid w:val="00B459C5"/>
    <w:rsid w:val="00B46D5E"/>
    <w:rsid w:val="00B4720A"/>
    <w:rsid w:val="00B50FC5"/>
    <w:rsid w:val="00B55F78"/>
    <w:rsid w:val="00B561E8"/>
    <w:rsid w:val="00B57549"/>
    <w:rsid w:val="00B60BBF"/>
    <w:rsid w:val="00B64C19"/>
    <w:rsid w:val="00B67970"/>
    <w:rsid w:val="00B720D3"/>
    <w:rsid w:val="00B7286F"/>
    <w:rsid w:val="00B7431E"/>
    <w:rsid w:val="00B74E47"/>
    <w:rsid w:val="00B768E2"/>
    <w:rsid w:val="00B769AD"/>
    <w:rsid w:val="00B81D11"/>
    <w:rsid w:val="00B82F46"/>
    <w:rsid w:val="00B8687D"/>
    <w:rsid w:val="00B92A35"/>
    <w:rsid w:val="00B9425F"/>
    <w:rsid w:val="00B9498B"/>
    <w:rsid w:val="00B951B1"/>
    <w:rsid w:val="00B979BD"/>
    <w:rsid w:val="00B97A23"/>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7C8B"/>
    <w:rsid w:val="00BF19C4"/>
    <w:rsid w:val="00BF3BAD"/>
    <w:rsid w:val="00BF3CBD"/>
    <w:rsid w:val="00BF423A"/>
    <w:rsid w:val="00C02A15"/>
    <w:rsid w:val="00C02C4F"/>
    <w:rsid w:val="00C12346"/>
    <w:rsid w:val="00C1747F"/>
    <w:rsid w:val="00C25BEE"/>
    <w:rsid w:val="00C26F1C"/>
    <w:rsid w:val="00C35E26"/>
    <w:rsid w:val="00C36C28"/>
    <w:rsid w:val="00C3701E"/>
    <w:rsid w:val="00C44DC2"/>
    <w:rsid w:val="00C5443A"/>
    <w:rsid w:val="00C56F85"/>
    <w:rsid w:val="00C613B7"/>
    <w:rsid w:val="00C61512"/>
    <w:rsid w:val="00C61ED0"/>
    <w:rsid w:val="00C63BFD"/>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3052"/>
    <w:rsid w:val="00CA3130"/>
    <w:rsid w:val="00CA69F1"/>
    <w:rsid w:val="00CB14F9"/>
    <w:rsid w:val="00CB1680"/>
    <w:rsid w:val="00CB3318"/>
    <w:rsid w:val="00CC1B02"/>
    <w:rsid w:val="00CC2078"/>
    <w:rsid w:val="00CC5CB2"/>
    <w:rsid w:val="00CD10B1"/>
    <w:rsid w:val="00CD3EE5"/>
    <w:rsid w:val="00CD4D5D"/>
    <w:rsid w:val="00CD505B"/>
    <w:rsid w:val="00CE07DE"/>
    <w:rsid w:val="00CE2942"/>
    <w:rsid w:val="00CE43E0"/>
    <w:rsid w:val="00CE650D"/>
    <w:rsid w:val="00CF09E4"/>
    <w:rsid w:val="00CF199D"/>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7BAC"/>
    <w:rsid w:val="00D42A06"/>
    <w:rsid w:val="00D440C9"/>
    <w:rsid w:val="00D44A45"/>
    <w:rsid w:val="00D463B4"/>
    <w:rsid w:val="00D47B67"/>
    <w:rsid w:val="00D5114F"/>
    <w:rsid w:val="00D53F84"/>
    <w:rsid w:val="00D62E47"/>
    <w:rsid w:val="00D70A58"/>
    <w:rsid w:val="00D7211C"/>
    <w:rsid w:val="00D74C4C"/>
    <w:rsid w:val="00D80252"/>
    <w:rsid w:val="00D8251C"/>
    <w:rsid w:val="00D82A24"/>
    <w:rsid w:val="00D82DB4"/>
    <w:rsid w:val="00D83B95"/>
    <w:rsid w:val="00D846CA"/>
    <w:rsid w:val="00D84A3C"/>
    <w:rsid w:val="00D92179"/>
    <w:rsid w:val="00D94567"/>
    <w:rsid w:val="00D95287"/>
    <w:rsid w:val="00D9647E"/>
    <w:rsid w:val="00DA5C32"/>
    <w:rsid w:val="00DA6D7B"/>
    <w:rsid w:val="00DA770E"/>
    <w:rsid w:val="00DB0CEC"/>
    <w:rsid w:val="00DB3C6E"/>
    <w:rsid w:val="00DB3D51"/>
    <w:rsid w:val="00DB4281"/>
    <w:rsid w:val="00DB7133"/>
    <w:rsid w:val="00DC0208"/>
    <w:rsid w:val="00DC465C"/>
    <w:rsid w:val="00DC6E1E"/>
    <w:rsid w:val="00DD4374"/>
    <w:rsid w:val="00DD6502"/>
    <w:rsid w:val="00DD6E07"/>
    <w:rsid w:val="00DD714C"/>
    <w:rsid w:val="00DE015D"/>
    <w:rsid w:val="00DE0CDD"/>
    <w:rsid w:val="00DE0F16"/>
    <w:rsid w:val="00DE1254"/>
    <w:rsid w:val="00DE29D7"/>
    <w:rsid w:val="00DE3681"/>
    <w:rsid w:val="00DF4C9B"/>
    <w:rsid w:val="00DF5C2C"/>
    <w:rsid w:val="00E024D2"/>
    <w:rsid w:val="00E030C9"/>
    <w:rsid w:val="00E05439"/>
    <w:rsid w:val="00E05F1D"/>
    <w:rsid w:val="00E074E6"/>
    <w:rsid w:val="00E0791B"/>
    <w:rsid w:val="00E10534"/>
    <w:rsid w:val="00E13CFC"/>
    <w:rsid w:val="00E14310"/>
    <w:rsid w:val="00E14E59"/>
    <w:rsid w:val="00E20D35"/>
    <w:rsid w:val="00E22084"/>
    <w:rsid w:val="00E22767"/>
    <w:rsid w:val="00E232BF"/>
    <w:rsid w:val="00E240D9"/>
    <w:rsid w:val="00E25C2D"/>
    <w:rsid w:val="00E2791D"/>
    <w:rsid w:val="00E3410E"/>
    <w:rsid w:val="00E35542"/>
    <w:rsid w:val="00E41D60"/>
    <w:rsid w:val="00E420B0"/>
    <w:rsid w:val="00E43AB0"/>
    <w:rsid w:val="00E450B0"/>
    <w:rsid w:val="00E50B0C"/>
    <w:rsid w:val="00E57739"/>
    <w:rsid w:val="00E57A45"/>
    <w:rsid w:val="00E57EE4"/>
    <w:rsid w:val="00E613F6"/>
    <w:rsid w:val="00E63383"/>
    <w:rsid w:val="00E63E21"/>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00BC"/>
    <w:rsid w:val="00EC1B98"/>
    <w:rsid w:val="00EC212C"/>
    <w:rsid w:val="00EC3A14"/>
    <w:rsid w:val="00EC57AA"/>
    <w:rsid w:val="00EC6DAB"/>
    <w:rsid w:val="00ED08E0"/>
    <w:rsid w:val="00ED0E52"/>
    <w:rsid w:val="00ED208B"/>
    <w:rsid w:val="00ED3242"/>
    <w:rsid w:val="00ED3ECF"/>
    <w:rsid w:val="00ED6D4F"/>
    <w:rsid w:val="00EE2602"/>
    <w:rsid w:val="00EE3490"/>
    <w:rsid w:val="00EE3CAE"/>
    <w:rsid w:val="00EE6DC8"/>
    <w:rsid w:val="00EF0368"/>
    <w:rsid w:val="00EF14C7"/>
    <w:rsid w:val="00EF5B11"/>
    <w:rsid w:val="00EF6E4C"/>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6F55"/>
    <w:rsid w:val="00F37B26"/>
    <w:rsid w:val="00F40B47"/>
    <w:rsid w:val="00F40C92"/>
    <w:rsid w:val="00F439AD"/>
    <w:rsid w:val="00F4664B"/>
    <w:rsid w:val="00F468FE"/>
    <w:rsid w:val="00F476A1"/>
    <w:rsid w:val="00F533A3"/>
    <w:rsid w:val="00F5434A"/>
    <w:rsid w:val="00F6463B"/>
    <w:rsid w:val="00F70732"/>
    <w:rsid w:val="00F718BA"/>
    <w:rsid w:val="00F722CD"/>
    <w:rsid w:val="00F741D4"/>
    <w:rsid w:val="00F7526B"/>
    <w:rsid w:val="00F80355"/>
    <w:rsid w:val="00F8366A"/>
    <w:rsid w:val="00F8387B"/>
    <w:rsid w:val="00F83B65"/>
    <w:rsid w:val="00F87597"/>
    <w:rsid w:val="00F9070D"/>
    <w:rsid w:val="00F950A3"/>
    <w:rsid w:val="00FA0C0A"/>
    <w:rsid w:val="00FA11A4"/>
    <w:rsid w:val="00FA27DB"/>
    <w:rsid w:val="00FA361A"/>
    <w:rsid w:val="00FA5229"/>
    <w:rsid w:val="00FA5C55"/>
    <w:rsid w:val="00FA79DC"/>
    <w:rsid w:val="00FB1A3D"/>
    <w:rsid w:val="00FB2431"/>
    <w:rsid w:val="00FC0100"/>
    <w:rsid w:val="00FC0D7C"/>
    <w:rsid w:val="00FC38BB"/>
    <w:rsid w:val="00FC7CF2"/>
    <w:rsid w:val="00FD080D"/>
    <w:rsid w:val="00FD0FBD"/>
    <w:rsid w:val="00FD330F"/>
    <w:rsid w:val="00FD4289"/>
    <w:rsid w:val="00FD6F08"/>
    <w:rsid w:val="00FE008E"/>
    <w:rsid w:val="00FE0D7E"/>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9" w:uiPriority="39"/>
    <w:lsdException w:name="annotation text" w:uiPriority="99"/>
    <w:lsdException w:name="header"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99" w:unhideWhenUsed="0" w:qFormat="1"/>
    <w:lsdException w:name="Emphasis" w:semiHidden="0" w:uiPriority="99" w:unhideWhenUsed="0" w:qFormat="1"/>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910C2D"/>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910C2D"/>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910C2D"/>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910C2D"/>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910C2D"/>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910C2D"/>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910C2D"/>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910C2D"/>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910C2D"/>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910C2D"/>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910C2D"/>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910C2D"/>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910C2D"/>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rPr>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qFormat/>
    <w:rsid w:val="00910C2D"/>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910C2D"/>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qFormat/>
    <w:rsid w:val="00910C2D"/>
    <w:pPr>
      <w:ind w:left="720"/>
    </w:pPr>
    <w:rPr>
      <w:rFonts w:ascii="Arial"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910C2D"/>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qFormat/>
    <w:rsid w:val="00910C2D"/>
    <w:rPr>
      <w:rFonts w:ascii="Calibri" w:hAnsi="Calibri"/>
      <w:lang w:val="en-US" w:eastAsia="en-US"/>
    </w:rPr>
  </w:style>
  <w:style w:type="character" w:customStyle="1" w:styleId="NoSpacingChar">
    <w:name w:val="No Spacing Char"/>
    <w:basedOn w:val="DefaultParagraphFont"/>
    <w:link w:val="NoSpacing"/>
    <w:uiPriority w:val="99"/>
    <w:rsid w:val="00910C2D"/>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910C2D"/>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910C2D"/>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910C2D"/>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910C2D"/>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910C2D"/>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910C2D"/>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910C2D"/>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StyleBodyTextIndent2Linespacingsingle">
    <w:name w:val="Style Body Text Indent 2 + Line spacing:  single"/>
    <w:basedOn w:val="BodyTextIndent2"/>
    <w:rsid w:val="00E35542"/>
    <w:pPr>
      <w:numPr>
        <w:ilvl w:val="0"/>
        <w:numId w:val="0"/>
      </w:numPr>
      <w:overflowPunct w:val="0"/>
      <w:autoSpaceDE w:val="0"/>
      <w:autoSpaceDN w:val="0"/>
      <w:ind w:left="1440"/>
      <w:textAlignment w:val="baseline"/>
    </w:pPr>
    <w:rPr>
      <w:rFonts w:eastAsia="Times New Roman"/>
      <w:lang w:eastAsia="en-US"/>
    </w:rPr>
  </w:style>
  <w:style w:type="paragraph" w:customStyle="1" w:styleId="Chapter">
    <w:name w:val="Chapter"/>
    <w:basedOn w:val="Title"/>
    <w:link w:val="ChapterChar"/>
    <w:qFormat/>
    <w:rsid w:val="00910C2D"/>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910C2D"/>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910C2D"/>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910C2D"/>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910C2D"/>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paragraph" w:styleId="Quote">
    <w:name w:val="Quote"/>
    <w:basedOn w:val="Normal"/>
    <w:next w:val="Normal"/>
    <w:link w:val="QuoteChar"/>
    <w:uiPriority w:val="29"/>
    <w:qFormat/>
    <w:rsid w:val="00910C2D"/>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910C2D"/>
    <w:rPr>
      <w:rFonts w:ascii="Arial" w:eastAsia="SimSun" w:hAnsi="Arial"/>
      <w:i/>
      <w:iCs/>
      <w:color w:val="000000" w:themeColor="text1"/>
      <w:szCs w:val="24"/>
      <w:lang w:eastAsia="zh-CN"/>
    </w:rPr>
  </w:style>
  <w:style w:type="character" w:styleId="SubtleEmphasis">
    <w:name w:val="Subtle Emphasis"/>
    <w:uiPriority w:val="19"/>
    <w:qFormat/>
    <w:rsid w:val="00910C2D"/>
    <w:rPr>
      <w:i/>
      <w:iCs/>
      <w:color w:val="808080" w:themeColor="text1" w:themeTint="7F"/>
    </w:rPr>
  </w:style>
  <w:style w:type="character" w:styleId="IntenseReference">
    <w:name w:val="Intense Reference"/>
    <w:uiPriority w:val="32"/>
    <w:qFormat/>
    <w:rsid w:val="00910C2D"/>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0707">
      <w:bodyDiv w:val="1"/>
      <w:marLeft w:val="0"/>
      <w:marRight w:val="0"/>
      <w:marTop w:val="0"/>
      <w:marBottom w:val="0"/>
      <w:divBdr>
        <w:top w:val="none" w:sz="0" w:space="0" w:color="auto"/>
        <w:left w:val="none" w:sz="0" w:space="0" w:color="auto"/>
        <w:bottom w:val="none" w:sz="0" w:space="0" w:color="auto"/>
        <w:right w:val="none" w:sz="0" w:space="0" w:color="auto"/>
      </w:divBdr>
    </w:div>
    <w:div w:id="60885742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9016C-EF0A-4209-9E7A-2DC15603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7</Pages>
  <Words>1470</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10205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Stafford, Simon</cp:lastModifiedBy>
  <cp:revision>2</cp:revision>
  <cp:lastPrinted>2016-07-28T14:26:00Z</cp:lastPrinted>
  <dcterms:created xsi:type="dcterms:W3CDTF">2016-08-09T09:44:00Z</dcterms:created>
  <dcterms:modified xsi:type="dcterms:W3CDTF">2016-08-09T09:44:00Z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