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C36" w:rsidRDefault="00861C36" w:rsidP="00861C36">
      <w:pPr>
        <w:spacing w:line="240" w:lineRule="auto"/>
        <w:jc w:val="center"/>
        <w:rPr>
          <w:rFonts w:cs="Arial"/>
          <w:sz w:val="22"/>
          <w:szCs w:val="22"/>
        </w:rPr>
      </w:pPr>
      <w:r w:rsidRPr="00821FBE">
        <w:rPr>
          <w:rFonts w:eastAsia="Calibri" w:cs="Arial"/>
          <w:b/>
          <w:bCs/>
          <w:iCs/>
          <w:sz w:val="22"/>
          <w:szCs w:val="22"/>
        </w:rPr>
        <w:t>Anne</w:t>
      </w:r>
      <w:r>
        <w:rPr>
          <w:rFonts w:eastAsia="Calibri" w:cs="Arial"/>
          <w:b/>
          <w:bCs/>
          <w:iCs/>
          <w:sz w:val="22"/>
          <w:szCs w:val="22"/>
        </w:rPr>
        <w:t>x 1</w:t>
      </w:r>
      <w:r w:rsidRPr="00821FBE">
        <w:rPr>
          <w:rFonts w:eastAsia="Calibri" w:cs="Arial"/>
          <w:b/>
          <w:bCs/>
          <w:iCs/>
          <w:sz w:val="22"/>
          <w:szCs w:val="22"/>
        </w:rPr>
        <w:t xml:space="preserve">: </w:t>
      </w:r>
      <w:r>
        <w:rPr>
          <w:rFonts w:eastAsia="Calibri" w:cs="Arial"/>
          <w:b/>
          <w:bCs/>
          <w:iCs/>
          <w:sz w:val="22"/>
          <w:szCs w:val="22"/>
        </w:rPr>
        <w:t>Order Form</w:t>
      </w:r>
    </w:p>
    <w:p w:rsidR="00861C36" w:rsidRPr="003B5DE4" w:rsidRDefault="00861C36" w:rsidP="00861C36">
      <w:pPr>
        <w:spacing w:line="240" w:lineRule="auto"/>
        <w:rPr>
          <w:rFonts w:cs="Arial"/>
          <w:sz w:val="22"/>
          <w:szCs w:val="22"/>
          <w:lang w:eastAsia="zh-CN"/>
        </w:rPr>
      </w:pPr>
    </w:p>
    <w:p w:rsidR="00861C36" w:rsidRDefault="00861C36" w:rsidP="00861C36">
      <w:pPr>
        <w:spacing w:beforeLines="120" w:before="288"/>
        <w:jc w:val="center"/>
        <w:rPr>
          <w:b/>
          <w:u w:val="single"/>
        </w:rPr>
      </w:pPr>
      <w:r w:rsidRPr="004219EF">
        <w:rPr>
          <w:b/>
          <w:u w:val="single"/>
        </w:rPr>
        <w:t xml:space="preserve">THE SUPPLY OF </w:t>
      </w:r>
      <w:r>
        <w:rPr>
          <w:b/>
          <w:u w:val="single"/>
        </w:rPr>
        <w:t>NON CLINICAL</w:t>
      </w:r>
      <w:r w:rsidRPr="004219EF">
        <w:rPr>
          <w:b/>
          <w:u w:val="single"/>
        </w:rPr>
        <w:t xml:space="preserve"> TEMPORARY AND FIXED TERM STAFF   FRAMEWORK </w:t>
      </w:r>
      <w:r w:rsidR="00A8757F">
        <w:rPr>
          <w:b/>
          <w:u w:val="single"/>
        </w:rPr>
        <w:t>CONTRACT</w:t>
      </w:r>
      <w:r w:rsidRPr="004219EF">
        <w:rPr>
          <w:b/>
          <w:u w:val="single"/>
        </w:rPr>
        <w:t>: RM</w:t>
      </w:r>
      <w:r>
        <w:rPr>
          <w:b/>
          <w:u w:val="single"/>
        </w:rPr>
        <w:t>6160</w:t>
      </w:r>
    </w:p>
    <w:p w:rsidR="00861C36" w:rsidRDefault="00861C36" w:rsidP="00861C36">
      <w:pPr>
        <w:rPr>
          <w:i/>
        </w:rPr>
      </w:pPr>
      <w:r w:rsidRPr="004219EF">
        <w:rPr>
          <w:b/>
        </w:rPr>
        <w:t xml:space="preserve">FROM: </w:t>
      </w:r>
    </w:p>
    <w:p w:rsidR="00B060C3" w:rsidRPr="004219EF" w:rsidRDefault="00B060C3" w:rsidP="00861C36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7"/>
        <w:gridCol w:w="4675"/>
      </w:tblGrid>
      <w:tr w:rsidR="00861C36" w:rsidRPr="004219EF" w:rsidTr="008E68F7">
        <w:trPr>
          <w:jc w:val="center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61C36" w:rsidRPr="004219EF" w:rsidRDefault="00861C36" w:rsidP="008E68F7">
            <w:pPr>
              <w:rPr>
                <w:b/>
              </w:rPr>
            </w:pPr>
            <w:r>
              <w:rPr>
                <w:b/>
              </w:rPr>
              <w:t>CONTRACTING AUTHORITY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36" w:rsidRPr="004219EF" w:rsidRDefault="008E68F7" w:rsidP="008E68F7">
            <w:r>
              <w:t>Insolvency Service</w:t>
            </w:r>
          </w:p>
        </w:tc>
      </w:tr>
      <w:tr w:rsidR="00861C36" w:rsidRPr="004219EF" w:rsidTr="008E68F7">
        <w:trPr>
          <w:jc w:val="center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61C36" w:rsidRPr="004219EF" w:rsidRDefault="00861C36" w:rsidP="008E68F7">
            <w:pPr>
              <w:rPr>
                <w:b/>
              </w:rPr>
            </w:pPr>
            <w:r>
              <w:rPr>
                <w:b/>
              </w:rPr>
              <w:t>CONTRACTING AUTHORITY</w:t>
            </w:r>
            <w:r w:rsidRPr="004219EF">
              <w:rPr>
                <w:b/>
              </w:rPr>
              <w:t xml:space="preserve"> ADDRESS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A58" w:rsidRDefault="00F57A58" w:rsidP="00F57A58">
            <w:r w:rsidRPr="00F57A58">
              <w:t>Canon House</w:t>
            </w:r>
          </w:p>
          <w:p w:rsidR="00F57A58" w:rsidRPr="00F57A58" w:rsidRDefault="00F57A58" w:rsidP="00F57A58">
            <w:r w:rsidRPr="00F57A58">
              <w:t>Birmingham</w:t>
            </w:r>
          </w:p>
          <w:p w:rsidR="00861C36" w:rsidRPr="004219EF" w:rsidRDefault="00F57A58" w:rsidP="00F57A58">
            <w:r w:rsidRPr="00F57A58">
              <w:t>B4 6FD</w:t>
            </w:r>
          </w:p>
        </w:tc>
      </w:tr>
      <w:tr w:rsidR="00861C36" w:rsidRPr="004219EF" w:rsidTr="008E68F7">
        <w:trPr>
          <w:trHeight w:val="375"/>
          <w:jc w:val="center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61C36" w:rsidRPr="004219EF" w:rsidRDefault="00861C36" w:rsidP="008E68F7">
            <w:pPr>
              <w:rPr>
                <w:b/>
              </w:rPr>
            </w:pPr>
            <w:r w:rsidRPr="004219EF">
              <w:rPr>
                <w:b/>
              </w:rPr>
              <w:t>INVOICE ADDRESS</w:t>
            </w:r>
            <w:r>
              <w:rPr>
                <w:b/>
              </w:rPr>
              <w:t xml:space="preserve"> </w:t>
            </w:r>
            <w:r w:rsidRPr="004219EF">
              <w:rPr>
                <w:b/>
              </w:rPr>
              <w:t>(if different)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36" w:rsidRPr="00F57A58" w:rsidRDefault="00320070" w:rsidP="00F57A58">
            <w:pPr>
              <w:rPr>
                <w:rFonts w:cs="Arial"/>
                <w:szCs w:val="20"/>
              </w:rPr>
            </w:pPr>
            <w:r>
              <w:t>REDACTED</w:t>
            </w:r>
          </w:p>
        </w:tc>
      </w:tr>
      <w:tr w:rsidR="00861C36" w:rsidRPr="004219EF" w:rsidTr="008E68F7">
        <w:trPr>
          <w:jc w:val="center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61C36" w:rsidRPr="004219EF" w:rsidRDefault="00861C36" w:rsidP="008E68F7">
            <w:pPr>
              <w:rPr>
                <w:b/>
              </w:rPr>
            </w:pPr>
            <w:r w:rsidRPr="004219EF">
              <w:rPr>
                <w:b/>
              </w:rPr>
              <w:t>CONTACT REFERENCE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36" w:rsidRPr="004219EF" w:rsidRDefault="00861C36" w:rsidP="008E68F7">
            <w:pPr>
              <w:ind w:left="33"/>
            </w:pPr>
            <w:r w:rsidRPr="004219EF">
              <w:t>Authoriser Name:</w:t>
            </w:r>
            <w:r w:rsidR="00F57A58">
              <w:t xml:space="preserve"> </w:t>
            </w:r>
            <w:r w:rsidR="00320070">
              <w:t>REDACTED</w:t>
            </w:r>
            <w:r w:rsidRPr="004219EF">
              <w:t xml:space="preserve">        </w:t>
            </w:r>
          </w:p>
          <w:p w:rsidR="00861C36" w:rsidRPr="004219EF" w:rsidRDefault="00861C36" w:rsidP="008E68F7">
            <w:pPr>
              <w:ind w:left="33"/>
            </w:pPr>
            <w:r w:rsidRPr="004219EF">
              <w:t>Tel:</w:t>
            </w:r>
            <w:r w:rsidR="00F57A58">
              <w:t xml:space="preserve"> </w:t>
            </w:r>
            <w:r w:rsidR="00320070">
              <w:t>REDACTED</w:t>
            </w:r>
            <w:r w:rsidRPr="004219EF">
              <w:t xml:space="preserve">                            </w:t>
            </w:r>
          </w:p>
          <w:p w:rsidR="00861C36" w:rsidRPr="004219EF" w:rsidRDefault="00861C36" w:rsidP="008E68F7">
            <w:pPr>
              <w:ind w:left="33"/>
            </w:pPr>
            <w:r w:rsidRPr="004219EF">
              <w:t>e-mail:</w:t>
            </w:r>
            <w:r w:rsidR="00320070">
              <w:t xml:space="preserve"> REDACTED</w:t>
            </w:r>
          </w:p>
        </w:tc>
      </w:tr>
      <w:tr w:rsidR="00861C36" w:rsidRPr="004219EF" w:rsidTr="008E68F7">
        <w:trPr>
          <w:jc w:val="center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61C36" w:rsidRPr="00AD4F1B" w:rsidRDefault="00861C36" w:rsidP="008E68F7">
            <w:r w:rsidRPr="00AD4F1B">
              <w:rPr>
                <w:b/>
              </w:rPr>
              <w:t>ORDER NUMBER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36" w:rsidRPr="00AD4F1B" w:rsidRDefault="00AD4F1B" w:rsidP="00F57A5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120" w:line="240" w:lineRule="auto"/>
              <w:textAlignment w:val="baseline"/>
              <w:outlineLvl w:val="1"/>
            </w:pPr>
            <w:r w:rsidRPr="00AD4F1B">
              <w:t>TIS0327</w:t>
            </w:r>
          </w:p>
        </w:tc>
      </w:tr>
      <w:tr w:rsidR="00861C36" w:rsidRPr="004219EF" w:rsidTr="008E68F7">
        <w:trPr>
          <w:jc w:val="center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61C36" w:rsidRPr="004219EF" w:rsidRDefault="00861C36" w:rsidP="008E68F7">
            <w:pPr>
              <w:rPr>
                <w:b/>
              </w:rPr>
            </w:pPr>
            <w:r w:rsidRPr="004219EF">
              <w:rPr>
                <w:b/>
              </w:rPr>
              <w:t>ORDER DATE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36" w:rsidRPr="004219EF" w:rsidRDefault="00F57A58" w:rsidP="008E68F7">
            <w:r>
              <w:t>23</w:t>
            </w:r>
            <w:r w:rsidRPr="00F57A58">
              <w:rPr>
                <w:vertAlign w:val="superscript"/>
              </w:rPr>
              <w:t>rd</w:t>
            </w:r>
            <w:r>
              <w:t xml:space="preserve"> August 2019</w:t>
            </w:r>
          </w:p>
        </w:tc>
      </w:tr>
    </w:tbl>
    <w:p w:rsidR="00861C36" w:rsidRPr="004219EF" w:rsidRDefault="00861C36" w:rsidP="00AD4F1B">
      <w:pPr>
        <w:ind w:left="720" w:firstLine="720"/>
        <w:rPr>
          <w:b/>
        </w:rPr>
      </w:pPr>
      <w:r w:rsidRPr="004219EF">
        <w:rPr>
          <w:b/>
        </w:rPr>
        <w:t>TO: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00"/>
        <w:gridCol w:w="4622"/>
      </w:tblGrid>
      <w:tr w:rsidR="00861C36" w:rsidRPr="004219EF" w:rsidTr="008E68F7">
        <w:trPr>
          <w:jc w:val="center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61C36" w:rsidRPr="004219EF" w:rsidRDefault="00861C36" w:rsidP="008E68F7">
            <w:pPr>
              <w:rPr>
                <w:b/>
              </w:rPr>
            </w:pPr>
            <w:r>
              <w:rPr>
                <w:b/>
              </w:rPr>
              <w:t>SUPPLIER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36" w:rsidRPr="004219EF" w:rsidRDefault="00001C24" w:rsidP="008E68F7">
            <w:r>
              <w:t>Hays</w:t>
            </w:r>
            <w:r w:rsidR="00B456C9">
              <w:t xml:space="preserve"> Specialist Recruitment Ltd (company number 00975677)</w:t>
            </w:r>
          </w:p>
        </w:tc>
      </w:tr>
      <w:tr w:rsidR="00861C36" w:rsidRPr="004219EF" w:rsidTr="008E68F7">
        <w:trPr>
          <w:jc w:val="center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61C36" w:rsidRPr="004219EF" w:rsidRDefault="00861C36" w:rsidP="008E68F7">
            <w:pPr>
              <w:rPr>
                <w:b/>
              </w:rPr>
            </w:pPr>
            <w:r>
              <w:rPr>
                <w:b/>
              </w:rPr>
              <w:t>SUPPLIER’S</w:t>
            </w:r>
            <w:r w:rsidRPr="004219EF">
              <w:rPr>
                <w:b/>
              </w:rPr>
              <w:t xml:space="preserve"> ADDRESS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36" w:rsidRPr="004219EF" w:rsidRDefault="00320070" w:rsidP="008E68F7">
            <w:r>
              <w:t>REDACTED</w:t>
            </w:r>
          </w:p>
        </w:tc>
      </w:tr>
      <w:tr w:rsidR="00861C36" w:rsidRPr="004219EF" w:rsidTr="008E68F7">
        <w:trPr>
          <w:jc w:val="center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61C36" w:rsidRPr="004219EF" w:rsidRDefault="00861C36" w:rsidP="008E68F7">
            <w:pPr>
              <w:rPr>
                <w:b/>
              </w:rPr>
            </w:pPr>
            <w:r w:rsidRPr="004219EF">
              <w:rPr>
                <w:b/>
              </w:rPr>
              <w:t xml:space="preserve">ACCOUNT MANAGER 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36" w:rsidRPr="004219EF" w:rsidRDefault="00861C36" w:rsidP="008E68F7">
            <w:pPr>
              <w:ind w:left="87"/>
            </w:pPr>
            <w:r w:rsidRPr="004219EF">
              <w:t>Name:</w:t>
            </w:r>
            <w:r w:rsidR="0018313C">
              <w:t xml:space="preserve"> </w:t>
            </w:r>
            <w:r w:rsidR="00320070">
              <w:t>REDACTED</w:t>
            </w:r>
          </w:p>
          <w:p w:rsidR="00861C36" w:rsidRPr="004219EF" w:rsidRDefault="00861C36" w:rsidP="0018313C">
            <w:r w:rsidRPr="004219EF">
              <w:t>Address:</w:t>
            </w:r>
            <w:r w:rsidR="0018313C">
              <w:t xml:space="preserve"> </w:t>
            </w:r>
            <w:r w:rsidR="00320070">
              <w:rPr>
                <w:rFonts w:cs="Arial"/>
                <w:szCs w:val="20"/>
              </w:rPr>
              <w:t>REDACTED</w:t>
            </w:r>
            <w:r w:rsidR="0018313C">
              <w:rPr>
                <w:rFonts w:cs="Arial"/>
                <w:szCs w:val="20"/>
              </w:rPr>
              <w:t xml:space="preserve"> </w:t>
            </w:r>
          </w:p>
          <w:p w:rsidR="00861C36" w:rsidRPr="004219EF" w:rsidRDefault="00861C36" w:rsidP="008E68F7">
            <w:pPr>
              <w:ind w:left="87"/>
            </w:pPr>
            <w:r w:rsidRPr="004219EF">
              <w:t>Tel:</w:t>
            </w:r>
            <w:r w:rsidR="0018313C">
              <w:rPr>
                <w:rFonts w:cs="Arial"/>
                <w:szCs w:val="20"/>
              </w:rPr>
              <w:t xml:space="preserve"> </w:t>
            </w:r>
            <w:r w:rsidR="00320070">
              <w:rPr>
                <w:rFonts w:cs="Arial"/>
                <w:szCs w:val="20"/>
              </w:rPr>
              <w:t>REDACTED</w:t>
            </w:r>
            <w:r w:rsidRPr="004219EF">
              <w:t xml:space="preserve">                       </w:t>
            </w:r>
          </w:p>
          <w:p w:rsidR="00861C36" w:rsidRPr="004219EF" w:rsidRDefault="00861C36" w:rsidP="008E68F7">
            <w:pPr>
              <w:ind w:left="87"/>
            </w:pPr>
            <w:r w:rsidRPr="004219EF">
              <w:t>E-mail:</w:t>
            </w:r>
            <w:r w:rsidR="0018313C">
              <w:t xml:space="preserve"> </w:t>
            </w:r>
            <w:hyperlink r:id="rId7" w:history="1">
              <w:r w:rsidR="00320070" w:rsidRPr="00320070">
                <w:rPr>
                  <w:rStyle w:val="Hyperlink"/>
                  <w:rFonts w:cs="Arial"/>
                  <w:color w:val="auto"/>
                  <w:szCs w:val="20"/>
                  <w:u w:val="none"/>
                </w:rPr>
                <w:t>REDACTED</w:t>
              </w:r>
            </w:hyperlink>
          </w:p>
        </w:tc>
      </w:tr>
    </w:tbl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40"/>
        <w:gridCol w:w="1149"/>
        <w:gridCol w:w="1692"/>
        <w:gridCol w:w="2841"/>
      </w:tblGrid>
      <w:tr w:rsidR="00861C36" w:rsidRPr="004219EF" w:rsidTr="00B060C3">
        <w:trPr>
          <w:jc w:val="center"/>
        </w:trPr>
        <w:tc>
          <w:tcPr>
            <w:tcW w:w="8522" w:type="dxa"/>
            <w:gridSpan w:val="4"/>
            <w:shd w:val="clear" w:color="auto" w:fill="BDD6EE" w:themeFill="accent1" w:themeFillTint="66"/>
          </w:tcPr>
          <w:p w:rsidR="00861C36" w:rsidRPr="004219EF" w:rsidRDefault="00861C36" w:rsidP="008E68F7">
            <w:pPr>
              <w:ind w:left="10" w:hanging="10"/>
              <w:rPr>
                <w:b/>
              </w:rPr>
            </w:pPr>
            <w:r w:rsidRPr="004219EF">
              <w:rPr>
                <w:b/>
              </w:rPr>
              <w:t xml:space="preserve">PART 1: SERVICE REQUIREMENT </w:t>
            </w:r>
          </w:p>
          <w:p w:rsidR="00861C36" w:rsidRPr="004219EF" w:rsidRDefault="00861C36" w:rsidP="008E68F7">
            <w:pPr>
              <w:ind w:left="10" w:hanging="10"/>
              <w:rPr>
                <w:i/>
              </w:rPr>
            </w:pPr>
          </w:p>
        </w:tc>
      </w:tr>
      <w:tr w:rsidR="00861C36" w:rsidRPr="004219EF" w:rsidTr="00B060C3">
        <w:trPr>
          <w:jc w:val="center"/>
        </w:trPr>
        <w:tc>
          <w:tcPr>
            <w:tcW w:w="8522" w:type="dxa"/>
            <w:gridSpan w:val="4"/>
            <w:shd w:val="clear" w:color="auto" w:fill="BDD6EE" w:themeFill="accent1" w:themeFillTint="66"/>
          </w:tcPr>
          <w:p w:rsidR="00861C36" w:rsidRPr="004219EF" w:rsidRDefault="00861C36" w:rsidP="008E68F7">
            <w:pPr>
              <w:ind w:left="10" w:hanging="10"/>
            </w:pPr>
            <w:r w:rsidRPr="004219EF">
              <w:rPr>
                <w:b/>
              </w:rPr>
              <w:t>PART 1.1: SERVICE AND DELIVERABLES REQUIRED:</w:t>
            </w:r>
            <w:r w:rsidRPr="004219EF">
              <w:t xml:space="preserve"> Temporary Worker Requirements:</w:t>
            </w:r>
          </w:p>
        </w:tc>
      </w:tr>
      <w:tr w:rsidR="00861C36" w:rsidRPr="004219EF" w:rsidTr="008E68F7">
        <w:trPr>
          <w:jc w:val="center"/>
        </w:trPr>
        <w:tc>
          <w:tcPr>
            <w:tcW w:w="3989" w:type="dxa"/>
            <w:gridSpan w:val="2"/>
            <w:shd w:val="clear" w:color="auto" w:fill="D9D9D9"/>
          </w:tcPr>
          <w:p w:rsidR="00861C36" w:rsidRPr="004219EF" w:rsidRDefault="00861C36" w:rsidP="008E68F7">
            <w:pPr>
              <w:ind w:left="10" w:hanging="10"/>
              <w:rPr>
                <w:b/>
              </w:rPr>
            </w:pPr>
            <w:r w:rsidRPr="004219EF">
              <w:rPr>
                <w:b/>
              </w:rPr>
              <w:t>RM</w:t>
            </w:r>
            <w:r>
              <w:rPr>
                <w:b/>
              </w:rPr>
              <w:t>6160</w:t>
            </w:r>
            <w:r w:rsidRPr="004219EF">
              <w:rPr>
                <w:b/>
              </w:rPr>
              <w:t xml:space="preserve"> LOT:</w:t>
            </w:r>
          </w:p>
        </w:tc>
        <w:tc>
          <w:tcPr>
            <w:tcW w:w="4533" w:type="dxa"/>
            <w:gridSpan w:val="2"/>
          </w:tcPr>
          <w:p w:rsidR="00861C36" w:rsidRPr="004219EF" w:rsidRDefault="00001C24" w:rsidP="008E68F7">
            <w:pPr>
              <w:ind w:left="10" w:hanging="10"/>
            </w:pPr>
            <w:r>
              <w:t>Lot 1</w:t>
            </w:r>
          </w:p>
        </w:tc>
      </w:tr>
      <w:tr w:rsidR="00861C36" w:rsidRPr="004219EF" w:rsidTr="008E68F7">
        <w:trPr>
          <w:jc w:val="center"/>
        </w:trPr>
        <w:tc>
          <w:tcPr>
            <w:tcW w:w="3989" w:type="dxa"/>
            <w:gridSpan w:val="2"/>
            <w:shd w:val="clear" w:color="auto" w:fill="D9D9D9"/>
          </w:tcPr>
          <w:p w:rsidR="00861C36" w:rsidRPr="004219EF" w:rsidRDefault="00861C36" w:rsidP="008E68F7">
            <w:pPr>
              <w:ind w:left="10" w:hanging="10"/>
              <w:rPr>
                <w:b/>
              </w:rPr>
            </w:pPr>
            <w:r w:rsidRPr="004219EF">
              <w:rPr>
                <w:b/>
              </w:rPr>
              <w:t>NUMBER OF ROLES REQUIRED:</w:t>
            </w:r>
          </w:p>
        </w:tc>
        <w:tc>
          <w:tcPr>
            <w:tcW w:w="4533" w:type="dxa"/>
            <w:gridSpan w:val="2"/>
          </w:tcPr>
          <w:p w:rsidR="00861C36" w:rsidRPr="004219EF" w:rsidRDefault="00001C24" w:rsidP="008E68F7">
            <w:pPr>
              <w:ind w:left="10" w:hanging="10"/>
            </w:pPr>
            <w:r>
              <w:t>1</w:t>
            </w:r>
            <w:r w:rsidR="00B456C9">
              <w:t xml:space="preserve"> (named </w:t>
            </w:r>
            <w:r w:rsidR="00320070">
              <w:t>REDACTED</w:t>
            </w:r>
            <w:r w:rsidR="00B456C9">
              <w:t>)</w:t>
            </w:r>
          </w:p>
        </w:tc>
      </w:tr>
      <w:tr w:rsidR="00861C36" w:rsidRPr="004219EF" w:rsidTr="008E68F7">
        <w:trPr>
          <w:jc w:val="center"/>
        </w:trPr>
        <w:tc>
          <w:tcPr>
            <w:tcW w:w="3989" w:type="dxa"/>
            <w:gridSpan w:val="2"/>
            <w:shd w:val="clear" w:color="auto" w:fill="D9D9D9"/>
          </w:tcPr>
          <w:p w:rsidR="00861C36" w:rsidRPr="004219EF" w:rsidRDefault="00861C36" w:rsidP="008E68F7">
            <w:pPr>
              <w:ind w:left="10" w:hanging="10"/>
              <w:rPr>
                <w:b/>
              </w:rPr>
            </w:pPr>
            <w:r>
              <w:rPr>
                <w:b/>
              </w:rPr>
              <w:t>NUMBER OF CVS REQUIRED:</w:t>
            </w:r>
          </w:p>
        </w:tc>
        <w:tc>
          <w:tcPr>
            <w:tcW w:w="4533" w:type="dxa"/>
            <w:gridSpan w:val="2"/>
          </w:tcPr>
          <w:p w:rsidR="00861C36" w:rsidRPr="004219EF" w:rsidRDefault="00001C24" w:rsidP="008E68F7">
            <w:pPr>
              <w:ind w:left="10" w:hanging="10"/>
            </w:pPr>
            <w:r>
              <w:t>1</w:t>
            </w:r>
          </w:p>
        </w:tc>
      </w:tr>
      <w:tr w:rsidR="00861C36" w:rsidRPr="004219EF" w:rsidTr="008E68F7">
        <w:trPr>
          <w:jc w:val="center"/>
        </w:trPr>
        <w:tc>
          <w:tcPr>
            <w:tcW w:w="3989" w:type="dxa"/>
            <w:gridSpan w:val="2"/>
            <w:shd w:val="clear" w:color="auto" w:fill="D9D9D9"/>
          </w:tcPr>
          <w:p w:rsidR="00861C36" w:rsidRPr="004219EF" w:rsidRDefault="00861C36" w:rsidP="008E68F7">
            <w:pPr>
              <w:ind w:left="10" w:hanging="10"/>
              <w:rPr>
                <w:b/>
                <w:caps/>
              </w:rPr>
            </w:pPr>
            <w:r w:rsidRPr="004219EF">
              <w:rPr>
                <w:b/>
                <w:caps/>
              </w:rPr>
              <w:t>Job Role/Title:</w:t>
            </w:r>
          </w:p>
        </w:tc>
        <w:tc>
          <w:tcPr>
            <w:tcW w:w="4533" w:type="dxa"/>
            <w:gridSpan w:val="2"/>
          </w:tcPr>
          <w:p w:rsidR="00861C36" w:rsidRPr="004219EF" w:rsidRDefault="00001C24" w:rsidP="008E68F7">
            <w:pPr>
              <w:ind w:left="10" w:hanging="10"/>
            </w:pPr>
            <w:r w:rsidRPr="00381C85">
              <w:t>Estates Finance and Management Information Executive</w:t>
            </w:r>
          </w:p>
        </w:tc>
      </w:tr>
      <w:tr w:rsidR="00861C36" w:rsidRPr="004219EF" w:rsidTr="008E68F7">
        <w:trPr>
          <w:jc w:val="center"/>
        </w:trPr>
        <w:tc>
          <w:tcPr>
            <w:tcW w:w="3989" w:type="dxa"/>
            <w:gridSpan w:val="2"/>
            <w:shd w:val="clear" w:color="auto" w:fill="D9D9D9"/>
          </w:tcPr>
          <w:p w:rsidR="00861C36" w:rsidRPr="004219EF" w:rsidRDefault="003A0228" w:rsidP="008E68F7">
            <w:pPr>
              <w:ind w:left="10" w:hanging="10"/>
              <w:rPr>
                <w:b/>
                <w:caps/>
              </w:rPr>
            </w:pPr>
            <w:r>
              <w:rPr>
                <w:b/>
                <w:caps/>
              </w:rPr>
              <w:t>pay band:</w:t>
            </w:r>
          </w:p>
        </w:tc>
        <w:tc>
          <w:tcPr>
            <w:tcW w:w="4533" w:type="dxa"/>
            <w:gridSpan w:val="2"/>
          </w:tcPr>
          <w:p w:rsidR="00861C36" w:rsidRPr="004219EF" w:rsidRDefault="00861C36" w:rsidP="008E68F7">
            <w:pPr>
              <w:ind w:left="10" w:hanging="10"/>
            </w:pPr>
          </w:p>
        </w:tc>
      </w:tr>
      <w:tr w:rsidR="00861C36" w:rsidRPr="004219EF" w:rsidTr="008E68F7">
        <w:trPr>
          <w:jc w:val="center"/>
        </w:trPr>
        <w:tc>
          <w:tcPr>
            <w:tcW w:w="3989" w:type="dxa"/>
            <w:gridSpan w:val="2"/>
            <w:shd w:val="clear" w:color="auto" w:fill="D9D9D9"/>
          </w:tcPr>
          <w:p w:rsidR="00861C36" w:rsidRPr="004219EF" w:rsidRDefault="00861C36" w:rsidP="008E68F7">
            <w:pPr>
              <w:ind w:left="10" w:hanging="10"/>
              <w:rPr>
                <w:b/>
                <w:caps/>
              </w:rPr>
            </w:pPr>
            <w:r w:rsidRPr="004219EF">
              <w:rPr>
                <w:b/>
                <w:caps/>
              </w:rPr>
              <w:t>Hours/Days Required:</w:t>
            </w:r>
          </w:p>
        </w:tc>
        <w:tc>
          <w:tcPr>
            <w:tcW w:w="4533" w:type="dxa"/>
            <w:gridSpan w:val="2"/>
          </w:tcPr>
          <w:p w:rsidR="00861C36" w:rsidRPr="004219EF" w:rsidRDefault="00A10944" w:rsidP="008E68F7">
            <w:pPr>
              <w:ind w:left="10" w:hanging="10"/>
            </w:pPr>
            <w:r>
              <w:t>37 per week</w:t>
            </w:r>
          </w:p>
        </w:tc>
      </w:tr>
      <w:tr w:rsidR="00861C36" w:rsidRPr="004219EF" w:rsidTr="008E68F7">
        <w:trPr>
          <w:jc w:val="center"/>
        </w:trPr>
        <w:tc>
          <w:tcPr>
            <w:tcW w:w="3989" w:type="dxa"/>
            <w:gridSpan w:val="2"/>
            <w:shd w:val="clear" w:color="auto" w:fill="D9D9D9"/>
            <w:vAlign w:val="bottom"/>
          </w:tcPr>
          <w:p w:rsidR="00861C36" w:rsidRPr="004219EF" w:rsidRDefault="00861C36" w:rsidP="008E68F7">
            <w:pPr>
              <w:ind w:left="10" w:hanging="10"/>
              <w:rPr>
                <w:b/>
                <w:caps/>
              </w:rPr>
            </w:pPr>
            <w:r w:rsidRPr="004219EF">
              <w:rPr>
                <w:b/>
                <w:caps/>
              </w:rPr>
              <w:t>Any unsocial hours required? (give detail)</w:t>
            </w:r>
            <w:r w:rsidRPr="004219EF">
              <w:rPr>
                <w:b/>
                <w:caps/>
              </w:rPr>
              <w:br/>
              <w:t>[Outside 8am to 6pm Mon to Friday]</w:t>
            </w:r>
          </w:p>
        </w:tc>
        <w:tc>
          <w:tcPr>
            <w:tcW w:w="4533" w:type="dxa"/>
            <w:gridSpan w:val="2"/>
          </w:tcPr>
          <w:p w:rsidR="00861C36" w:rsidRPr="004219EF" w:rsidRDefault="00B456C9" w:rsidP="008E68F7">
            <w:pPr>
              <w:ind w:left="10" w:hanging="10"/>
            </w:pPr>
            <w:r w:rsidRPr="00A10944">
              <w:t>Not Applicable</w:t>
            </w:r>
          </w:p>
        </w:tc>
      </w:tr>
      <w:tr w:rsidR="00861C36" w:rsidRPr="004219EF" w:rsidTr="008E68F7">
        <w:trPr>
          <w:jc w:val="center"/>
        </w:trPr>
        <w:tc>
          <w:tcPr>
            <w:tcW w:w="3989" w:type="dxa"/>
            <w:gridSpan w:val="2"/>
            <w:shd w:val="clear" w:color="auto" w:fill="D9D9D9"/>
            <w:vAlign w:val="bottom"/>
          </w:tcPr>
          <w:p w:rsidR="00861C36" w:rsidRPr="00B060C3" w:rsidRDefault="00861C36" w:rsidP="008E68F7">
            <w:pPr>
              <w:ind w:left="10" w:hanging="10"/>
              <w:rPr>
                <w:b/>
                <w:caps/>
              </w:rPr>
            </w:pPr>
            <w:r w:rsidRPr="00B060C3">
              <w:rPr>
                <w:b/>
                <w:caps/>
              </w:rPr>
              <w:t>ARE THERE ANY HEALTH AND SAFETY RISKS RELEVANT TO ROLE?</w:t>
            </w:r>
          </w:p>
        </w:tc>
        <w:tc>
          <w:tcPr>
            <w:tcW w:w="4533" w:type="dxa"/>
            <w:gridSpan w:val="2"/>
          </w:tcPr>
          <w:p w:rsidR="00861C36" w:rsidRPr="00B060C3" w:rsidRDefault="00B456C9" w:rsidP="008E68F7">
            <w:pPr>
              <w:ind w:left="10" w:hanging="10"/>
            </w:pPr>
            <w:r w:rsidRPr="00A10944">
              <w:t>Not Applicable</w:t>
            </w:r>
          </w:p>
        </w:tc>
      </w:tr>
      <w:tr w:rsidR="00861C36" w:rsidRPr="004219EF" w:rsidTr="008E68F7">
        <w:trPr>
          <w:jc w:val="center"/>
        </w:trPr>
        <w:tc>
          <w:tcPr>
            <w:tcW w:w="3989" w:type="dxa"/>
            <w:gridSpan w:val="2"/>
            <w:shd w:val="clear" w:color="auto" w:fill="D9D9D9"/>
            <w:vAlign w:val="center"/>
          </w:tcPr>
          <w:p w:rsidR="00861C36" w:rsidRPr="00B060C3" w:rsidRDefault="00861C36" w:rsidP="008E68F7">
            <w:pPr>
              <w:ind w:left="10" w:hanging="10"/>
              <w:rPr>
                <w:b/>
                <w:caps/>
              </w:rPr>
            </w:pPr>
            <w:r w:rsidRPr="00B060C3">
              <w:rPr>
                <w:b/>
                <w:caps/>
              </w:rPr>
              <w:t>Fee Type:</w:t>
            </w:r>
          </w:p>
        </w:tc>
        <w:tc>
          <w:tcPr>
            <w:tcW w:w="4533" w:type="dxa"/>
            <w:gridSpan w:val="2"/>
          </w:tcPr>
          <w:p w:rsidR="00861C36" w:rsidRPr="00A10944" w:rsidRDefault="00861C36" w:rsidP="00861C36">
            <w:pPr>
              <w:numPr>
                <w:ilvl w:val="0"/>
                <w:numId w:val="2"/>
              </w:numPr>
              <w:spacing w:line="240" w:lineRule="auto"/>
              <w:ind w:left="10" w:hanging="10"/>
              <w:rPr>
                <w:strike/>
              </w:rPr>
            </w:pPr>
            <w:r w:rsidRPr="00A10944">
              <w:rPr>
                <w:strike/>
              </w:rPr>
              <w:t>Patient Facing</w:t>
            </w:r>
          </w:p>
          <w:p w:rsidR="00861C36" w:rsidRPr="00A10944" w:rsidRDefault="00861C36" w:rsidP="00861C36">
            <w:pPr>
              <w:numPr>
                <w:ilvl w:val="0"/>
                <w:numId w:val="2"/>
              </w:numPr>
              <w:spacing w:line="240" w:lineRule="auto"/>
              <w:ind w:left="10" w:hanging="10"/>
              <w:rPr>
                <w:strike/>
              </w:rPr>
            </w:pPr>
            <w:r w:rsidRPr="00A10944">
              <w:rPr>
                <w:strike/>
              </w:rPr>
              <w:t>Non-Patient Facing (Disclosure)</w:t>
            </w:r>
          </w:p>
          <w:p w:rsidR="00255210" w:rsidRPr="00255210" w:rsidRDefault="00861C36" w:rsidP="00255210">
            <w:pPr>
              <w:numPr>
                <w:ilvl w:val="0"/>
                <w:numId w:val="2"/>
              </w:numPr>
              <w:spacing w:line="240" w:lineRule="auto"/>
              <w:ind w:left="10" w:hanging="10"/>
              <w:rPr>
                <w:b/>
              </w:rPr>
            </w:pPr>
            <w:r w:rsidRPr="00A10944">
              <w:rPr>
                <w:b/>
              </w:rPr>
              <w:t>Non-Patient Facing (No Disclosure</w:t>
            </w:r>
            <w:r w:rsidR="00255210">
              <w:rPr>
                <w:b/>
              </w:rPr>
              <w:t xml:space="preserve"> </w:t>
            </w:r>
            <w:proofErr w:type="gramStart"/>
            <w:r w:rsidR="00255210">
              <w:rPr>
                <w:b/>
              </w:rPr>
              <w:t>IF  BPPS</w:t>
            </w:r>
            <w:proofErr w:type="gramEnd"/>
            <w:r w:rsidR="00255210">
              <w:rPr>
                <w:b/>
              </w:rPr>
              <w:t xml:space="preserve"> IS REQUIRED (SEE BELOW) THIS INCLUDES THE REQUIREMENT FOR A DISCLOSURE, THEREFORE SUPPLIER FEE 2 APPLIES</w:t>
            </w:r>
          </w:p>
        </w:tc>
      </w:tr>
      <w:tr w:rsidR="007130BB" w:rsidRPr="004219EF" w:rsidTr="008E68F7">
        <w:trPr>
          <w:jc w:val="center"/>
        </w:trPr>
        <w:tc>
          <w:tcPr>
            <w:tcW w:w="3989" w:type="dxa"/>
            <w:gridSpan w:val="2"/>
            <w:shd w:val="clear" w:color="auto" w:fill="D9D9D9"/>
            <w:vAlign w:val="center"/>
          </w:tcPr>
          <w:p w:rsidR="007130BB" w:rsidRPr="00B060C3" w:rsidRDefault="007130BB" w:rsidP="008E68F7">
            <w:pPr>
              <w:ind w:left="10" w:hanging="10"/>
              <w:rPr>
                <w:b/>
                <w:caps/>
              </w:rPr>
            </w:pPr>
            <w:r w:rsidRPr="00B060C3">
              <w:rPr>
                <w:b/>
                <w:caps/>
              </w:rPr>
              <w:t>IMMUNISATION REQUIREMENTS   (FEE TYPE 1 ONLY)</w:t>
            </w:r>
          </w:p>
        </w:tc>
        <w:tc>
          <w:tcPr>
            <w:tcW w:w="4533" w:type="dxa"/>
            <w:gridSpan w:val="2"/>
          </w:tcPr>
          <w:p w:rsidR="007130BB" w:rsidRPr="00B060C3" w:rsidRDefault="00B456C9" w:rsidP="00B060C3">
            <w:pPr>
              <w:spacing w:line="240" w:lineRule="auto"/>
            </w:pPr>
            <w:r w:rsidRPr="00A10944">
              <w:t>Not Applicable</w:t>
            </w:r>
            <w:r w:rsidRPr="00A10944" w:rsidDel="00B456C9">
              <w:t xml:space="preserve"> </w:t>
            </w:r>
          </w:p>
        </w:tc>
      </w:tr>
      <w:tr w:rsidR="007130BB" w:rsidRPr="004219EF" w:rsidTr="008E68F7">
        <w:trPr>
          <w:jc w:val="center"/>
        </w:trPr>
        <w:tc>
          <w:tcPr>
            <w:tcW w:w="3989" w:type="dxa"/>
            <w:gridSpan w:val="2"/>
            <w:shd w:val="clear" w:color="auto" w:fill="D9D9D9"/>
            <w:vAlign w:val="center"/>
          </w:tcPr>
          <w:p w:rsidR="007130BB" w:rsidRPr="00B060C3" w:rsidRDefault="007130BB" w:rsidP="007130BB">
            <w:pPr>
              <w:ind w:left="10" w:hanging="10"/>
              <w:rPr>
                <w:b/>
                <w:caps/>
              </w:rPr>
            </w:pPr>
            <w:r w:rsidRPr="00B060C3">
              <w:rPr>
                <w:b/>
                <w:caps/>
              </w:rPr>
              <w:t>Criminal records check</w:t>
            </w:r>
          </w:p>
        </w:tc>
        <w:tc>
          <w:tcPr>
            <w:tcW w:w="4533" w:type="dxa"/>
            <w:gridSpan w:val="2"/>
          </w:tcPr>
          <w:p w:rsidR="007130BB" w:rsidRPr="00B060C3" w:rsidRDefault="00B456C9" w:rsidP="007130BB">
            <w:pPr>
              <w:spacing w:line="240" w:lineRule="auto"/>
              <w:ind w:left="10"/>
            </w:pPr>
            <w:r w:rsidRPr="00A10944">
              <w:t>Not Applicable</w:t>
            </w:r>
          </w:p>
        </w:tc>
      </w:tr>
      <w:tr w:rsidR="00B060C3" w:rsidRPr="004219EF" w:rsidTr="008E68F7">
        <w:trPr>
          <w:jc w:val="center"/>
        </w:trPr>
        <w:tc>
          <w:tcPr>
            <w:tcW w:w="3989" w:type="dxa"/>
            <w:gridSpan w:val="2"/>
            <w:shd w:val="clear" w:color="auto" w:fill="D9D9D9"/>
            <w:vAlign w:val="center"/>
          </w:tcPr>
          <w:p w:rsidR="00B060C3" w:rsidRPr="00B060C3" w:rsidRDefault="00B060C3" w:rsidP="007130BB">
            <w:pPr>
              <w:ind w:left="10" w:hanging="10"/>
              <w:rPr>
                <w:b/>
                <w:caps/>
              </w:rPr>
            </w:pPr>
            <w:r>
              <w:rPr>
                <w:b/>
                <w:caps/>
              </w:rPr>
              <w:t>bpss REQUIRED</w:t>
            </w:r>
          </w:p>
        </w:tc>
        <w:tc>
          <w:tcPr>
            <w:tcW w:w="4533" w:type="dxa"/>
            <w:gridSpan w:val="2"/>
          </w:tcPr>
          <w:p w:rsidR="00B060C3" w:rsidRPr="00A10944" w:rsidRDefault="00B456C9" w:rsidP="00A10944">
            <w:pPr>
              <w:spacing w:line="240" w:lineRule="auto"/>
              <w:ind w:left="10"/>
            </w:pPr>
            <w:r>
              <w:t>Applicable</w:t>
            </w:r>
          </w:p>
        </w:tc>
      </w:tr>
      <w:tr w:rsidR="007130BB" w:rsidRPr="004219EF" w:rsidTr="008E68F7">
        <w:trPr>
          <w:jc w:val="center"/>
        </w:trPr>
        <w:tc>
          <w:tcPr>
            <w:tcW w:w="3989" w:type="dxa"/>
            <w:gridSpan w:val="2"/>
            <w:shd w:val="clear" w:color="auto" w:fill="D9D9D9"/>
            <w:vAlign w:val="center"/>
          </w:tcPr>
          <w:p w:rsidR="007130BB" w:rsidRDefault="007130BB" w:rsidP="00B060C3">
            <w:pPr>
              <w:ind w:left="10" w:hanging="10"/>
              <w:rPr>
                <w:b/>
                <w:caps/>
                <w:color w:val="FF0000"/>
              </w:rPr>
            </w:pPr>
            <w:r w:rsidRPr="00B060C3">
              <w:rPr>
                <w:b/>
                <w:caps/>
              </w:rPr>
              <w:lastRenderedPageBreak/>
              <w:t>State</w:t>
            </w:r>
            <w:r w:rsidR="00B060C3">
              <w:rPr>
                <w:b/>
                <w:caps/>
              </w:rPr>
              <w:t xml:space="preserve"> ANY ADDITIONAL</w:t>
            </w:r>
            <w:r w:rsidRPr="00B060C3">
              <w:rPr>
                <w:b/>
                <w:caps/>
              </w:rPr>
              <w:t xml:space="preserve"> clearance &amp; background checking</w:t>
            </w:r>
            <w:r w:rsidR="00B060C3">
              <w:rPr>
                <w:b/>
                <w:caps/>
              </w:rPr>
              <w:t xml:space="preserve"> </w:t>
            </w:r>
            <w:r w:rsidR="00B060C3" w:rsidRPr="00B060C3">
              <w:rPr>
                <w:b/>
                <w:caps/>
              </w:rPr>
              <w:t>required</w:t>
            </w:r>
          </w:p>
        </w:tc>
        <w:tc>
          <w:tcPr>
            <w:tcW w:w="4533" w:type="dxa"/>
            <w:gridSpan w:val="2"/>
          </w:tcPr>
          <w:p w:rsidR="007130BB" w:rsidRPr="00667751" w:rsidRDefault="00A10944" w:rsidP="00B060C3">
            <w:pPr>
              <w:spacing w:line="240" w:lineRule="auto"/>
              <w:rPr>
                <w:rFonts w:cs="Arial"/>
                <w:bCs/>
                <w:sz w:val="17"/>
                <w:szCs w:val="17"/>
              </w:rPr>
            </w:pPr>
            <w:r w:rsidRPr="00A10944">
              <w:t>Not Applicable.</w:t>
            </w:r>
          </w:p>
        </w:tc>
      </w:tr>
      <w:tr w:rsidR="007130BB" w:rsidRPr="004219EF" w:rsidTr="008E68F7">
        <w:trPr>
          <w:jc w:val="center"/>
        </w:trPr>
        <w:tc>
          <w:tcPr>
            <w:tcW w:w="3989" w:type="dxa"/>
            <w:gridSpan w:val="2"/>
            <w:shd w:val="clear" w:color="auto" w:fill="D9D9D9"/>
            <w:vAlign w:val="bottom"/>
          </w:tcPr>
          <w:p w:rsidR="007130BB" w:rsidRPr="004219EF" w:rsidRDefault="007130BB" w:rsidP="007130BB">
            <w:pPr>
              <w:ind w:left="10" w:hanging="10"/>
              <w:rPr>
                <w:b/>
                <w:caps/>
              </w:rPr>
            </w:pPr>
            <w:r w:rsidRPr="004219EF">
              <w:rPr>
                <w:b/>
                <w:caps/>
              </w:rPr>
              <w:t>Regulated or Controlled Activity (ISA)?</w:t>
            </w:r>
          </w:p>
        </w:tc>
        <w:tc>
          <w:tcPr>
            <w:tcW w:w="4533" w:type="dxa"/>
            <w:gridSpan w:val="2"/>
          </w:tcPr>
          <w:p w:rsidR="007130BB" w:rsidRPr="004219EF" w:rsidRDefault="00B456C9" w:rsidP="007130BB">
            <w:pPr>
              <w:ind w:left="10" w:hanging="10"/>
            </w:pPr>
            <w:r w:rsidRPr="00A10944">
              <w:t>Not Applicable</w:t>
            </w:r>
            <w:r w:rsidR="00A10944">
              <w:t>.</w:t>
            </w:r>
          </w:p>
        </w:tc>
      </w:tr>
      <w:tr w:rsidR="007130BB" w:rsidRPr="004219EF" w:rsidTr="008E68F7">
        <w:trPr>
          <w:jc w:val="center"/>
        </w:trPr>
        <w:tc>
          <w:tcPr>
            <w:tcW w:w="3989" w:type="dxa"/>
            <w:gridSpan w:val="2"/>
            <w:shd w:val="clear" w:color="auto" w:fill="D9D9D9"/>
            <w:vAlign w:val="bottom"/>
          </w:tcPr>
          <w:p w:rsidR="007130BB" w:rsidRDefault="007130BB" w:rsidP="007130BB">
            <w:pPr>
              <w:ind w:left="10" w:hanging="10"/>
              <w:rPr>
                <w:b/>
                <w:caps/>
              </w:rPr>
            </w:pPr>
            <w:r w:rsidRPr="004219EF">
              <w:rPr>
                <w:b/>
                <w:caps/>
              </w:rPr>
              <w:t xml:space="preserve">Skills, </w:t>
            </w:r>
            <w:r w:rsidR="00B060C3">
              <w:rPr>
                <w:b/>
                <w:caps/>
              </w:rPr>
              <w:t xml:space="preserve">MANDATORY AND OTHER </w:t>
            </w:r>
            <w:r w:rsidRPr="004219EF">
              <w:rPr>
                <w:b/>
                <w:caps/>
              </w:rPr>
              <w:t>Training and Qualifications necessary to performance of the role:</w:t>
            </w:r>
          </w:p>
          <w:p w:rsidR="007130BB" w:rsidRPr="004219EF" w:rsidRDefault="007130BB" w:rsidP="007130BB">
            <w:pPr>
              <w:rPr>
                <w:b/>
                <w:caps/>
              </w:rPr>
            </w:pPr>
          </w:p>
        </w:tc>
        <w:tc>
          <w:tcPr>
            <w:tcW w:w="4533" w:type="dxa"/>
            <w:gridSpan w:val="2"/>
          </w:tcPr>
          <w:p w:rsidR="007130BB" w:rsidRPr="004219EF" w:rsidRDefault="00704167" w:rsidP="007130BB">
            <w:pPr>
              <w:ind w:left="10" w:hanging="10"/>
            </w:pPr>
            <w:r>
              <w:t>Expert-level qualifications/experience of purchase to pay systems. Significant experience of public sector commercial work. Significant experience of Estates-category work.</w:t>
            </w:r>
          </w:p>
        </w:tc>
      </w:tr>
      <w:tr w:rsidR="007130BB" w:rsidRPr="004219EF" w:rsidTr="008E68F7">
        <w:trPr>
          <w:jc w:val="center"/>
        </w:trPr>
        <w:tc>
          <w:tcPr>
            <w:tcW w:w="3989" w:type="dxa"/>
            <w:gridSpan w:val="2"/>
            <w:shd w:val="clear" w:color="auto" w:fill="D9D9D9"/>
            <w:vAlign w:val="bottom"/>
          </w:tcPr>
          <w:p w:rsidR="007130BB" w:rsidRPr="004219EF" w:rsidRDefault="007130BB" w:rsidP="007130BB">
            <w:pPr>
              <w:ind w:left="10" w:hanging="10"/>
              <w:rPr>
                <w:b/>
                <w:caps/>
              </w:rPr>
            </w:pPr>
            <w:r w:rsidRPr="004219EF">
              <w:rPr>
                <w:b/>
                <w:caps/>
              </w:rPr>
              <w:t>Person and Dept to whom work-seeker should report at start:</w:t>
            </w:r>
          </w:p>
        </w:tc>
        <w:tc>
          <w:tcPr>
            <w:tcW w:w="4533" w:type="dxa"/>
            <w:gridSpan w:val="2"/>
          </w:tcPr>
          <w:p w:rsidR="007130BB" w:rsidRPr="004219EF" w:rsidRDefault="00A10944" w:rsidP="00A10944">
            <w:pPr>
              <w:ind w:left="10" w:hanging="10"/>
            </w:pPr>
            <w:r w:rsidRPr="00A10944">
              <w:rPr>
                <w:rFonts w:cs="Arial"/>
                <w:bCs/>
                <w:color w:val="1F497D"/>
                <w:szCs w:val="20"/>
              </w:rPr>
              <w:t xml:space="preserve">Head of Estates, </w:t>
            </w:r>
            <w:r w:rsidR="00320070">
              <w:t>REDACTED</w:t>
            </w:r>
          </w:p>
        </w:tc>
      </w:tr>
      <w:tr w:rsidR="007130BB" w:rsidRPr="004219EF" w:rsidTr="008E68F7">
        <w:trPr>
          <w:jc w:val="center"/>
        </w:trPr>
        <w:tc>
          <w:tcPr>
            <w:tcW w:w="3989" w:type="dxa"/>
            <w:gridSpan w:val="2"/>
            <w:shd w:val="clear" w:color="auto" w:fill="D9D9D9"/>
            <w:vAlign w:val="bottom"/>
          </w:tcPr>
          <w:p w:rsidR="007130BB" w:rsidRPr="004219EF" w:rsidRDefault="007130BB" w:rsidP="007130BB">
            <w:pPr>
              <w:ind w:left="10" w:hanging="10"/>
              <w:rPr>
                <w:b/>
                <w:caps/>
              </w:rPr>
            </w:pPr>
            <w:r>
              <w:rPr>
                <w:b/>
                <w:caps/>
              </w:rPr>
              <w:t>EXPENSES TO BE PAID OR BENEFITS OFFERED TO CANDIDATE:</w:t>
            </w:r>
          </w:p>
        </w:tc>
        <w:tc>
          <w:tcPr>
            <w:tcW w:w="4533" w:type="dxa"/>
            <w:gridSpan w:val="2"/>
          </w:tcPr>
          <w:p w:rsidR="007130BB" w:rsidRPr="004219EF" w:rsidRDefault="00E83125" w:rsidP="00E83125">
            <w:r>
              <w:t xml:space="preserve">Expenses paid if candidate working outside of Contracting Authority address: </w:t>
            </w:r>
            <w:r w:rsidRPr="00F57A58">
              <w:t>Canon House</w:t>
            </w:r>
            <w:r>
              <w:t xml:space="preserve">, </w:t>
            </w:r>
            <w:r w:rsidRPr="00F57A58">
              <w:t>Birmingham</w:t>
            </w:r>
            <w:r>
              <w:t xml:space="preserve">, </w:t>
            </w:r>
            <w:r w:rsidRPr="00F57A58">
              <w:t>B4 6FD</w:t>
            </w:r>
            <w:r>
              <w:t>.</w:t>
            </w:r>
          </w:p>
        </w:tc>
      </w:tr>
      <w:tr w:rsidR="007130BB" w:rsidRPr="004219EF" w:rsidTr="008E68F7">
        <w:trPr>
          <w:jc w:val="center"/>
        </w:trPr>
        <w:tc>
          <w:tcPr>
            <w:tcW w:w="3989" w:type="dxa"/>
            <w:gridSpan w:val="2"/>
            <w:shd w:val="clear" w:color="auto" w:fill="D9D9D9"/>
          </w:tcPr>
          <w:p w:rsidR="007130BB" w:rsidRPr="004219EF" w:rsidRDefault="007130BB" w:rsidP="007130BB">
            <w:pPr>
              <w:ind w:left="10" w:hanging="10"/>
              <w:rPr>
                <w:b/>
                <w:caps/>
              </w:rPr>
            </w:pPr>
            <w:r>
              <w:rPr>
                <w:b/>
                <w:caps/>
              </w:rPr>
              <w:t>EXPENSES TO BE PAID BY CANDIDATE:</w:t>
            </w:r>
          </w:p>
        </w:tc>
        <w:tc>
          <w:tcPr>
            <w:tcW w:w="4533" w:type="dxa"/>
            <w:gridSpan w:val="2"/>
          </w:tcPr>
          <w:p w:rsidR="007130BB" w:rsidRPr="00B2628F" w:rsidRDefault="00B456C9" w:rsidP="007130BB">
            <w:pPr>
              <w:ind w:left="10" w:hanging="10"/>
              <w:rPr>
                <w:i/>
                <w:highlight w:val="yellow"/>
              </w:rPr>
            </w:pPr>
            <w:r w:rsidRPr="00A10944">
              <w:t>Not Applicable</w:t>
            </w:r>
          </w:p>
        </w:tc>
      </w:tr>
      <w:tr w:rsidR="007130BB" w:rsidRPr="004219EF" w:rsidTr="008E68F7">
        <w:trPr>
          <w:jc w:val="center"/>
        </w:trPr>
        <w:tc>
          <w:tcPr>
            <w:tcW w:w="3989" w:type="dxa"/>
            <w:gridSpan w:val="2"/>
            <w:shd w:val="clear" w:color="auto" w:fill="D9D9D9"/>
          </w:tcPr>
          <w:p w:rsidR="007130BB" w:rsidRPr="004219EF" w:rsidRDefault="007130BB" w:rsidP="007130BB">
            <w:pPr>
              <w:ind w:left="10" w:hanging="10"/>
              <w:rPr>
                <w:b/>
                <w:caps/>
              </w:rPr>
            </w:pPr>
            <w:r w:rsidRPr="004219EF">
              <w:rPr>
                <w:b/>
                <w:caps/>
              </w:rPr>
              <w:t>aDDITIONAL REQUIREMENTS:</w:t>
            </w:r>
          </w:p>
        </w:tc>
        <w:tc>
          <w:tcPr>
            <w:tcW w:w="4533" w:type="dxa"/>
            <w:gridSpan w:val="2"/>
          </w:tcPr>
          <w:p w:rsidR="007130BB" w:rsidRPr="00A10944" w:rsidRDefault="00B456C9" w:rsidP="007130BB">
            <w:pPr>
              <w:ind w:left="10" w:hanging="10"/>
              <w:rPr>
                <w:highlight w:val="yellow"/>
              </w:rPr>
            </w:pPr>
            <w:r w:rsidRPr="00A10944">
              <w:t>Not Applicable</w:t>
            </w:r>
          </w:p>
        </w:tc>
      </w:tr>
      <w:tr w:rsidR="007130BB" w:rsidRPr="004219EF" w:rsidTr="00B060C3">
        <w:trPr>
          <w:jc w:val="center"/>
        </w:trPr>
        <w:tc>
          <w:tcPr>
            <w:tcW w:w="8522" w:type="dxa"/>
            <w:gridSpan w:val="4"/>
            <w:shd w:val="clear" w:color="auto" w:fill="BDD6EE" w:themeFill="accent1" w:themeFillTint="66"/>
          </w:tcPr>
          <w:p w:rsidR="007130BB" w:rsidRPr="004219EF" w:rsidRDefault="007130BB" w:rsidP="007130BB">
            <w:pPr>
              <w:ind w:left="10" w:hanging="10"/>
              <w:rPr>
                <w:i/>
              </w:rPr>
            </w:pPr>
            <w:r w:rsidRPr="004219EF">
              <w:rPr>
                <w:b/>
              </w:rPr>
              <w:t>PART 1.2: ANCIPATED DURATION OF CONTRACT</w:t>
            </w:r>
          </w:p>
        </w:tc>
      </w:tr>
      <w:tr w:rsidR="007130BB" w:rsidRPr="004219EF" w:rsidTr="008E68F7">
        <w:trPr>
          <w:jc w:val="center"/>
        </w:trPr>
        <w:tc>
          <w:tcPr>
            <w:tcW w:w="3989" w:type="dxa"/>
            <w:gridSpan w:val="2"/>
            <w:shd w:val="clear" w:color="auto" w:fill="D9D9D9"/>
          </w:tcPr>
          <w:p w:rsidR="007130BB" w:rsidRPr="004219EF" w:rsidRDefault="007130BB" w:rsidP="007130BB">
            <w:pPr>
              <w:ind w:left="10" w:hanging="10"/>
              <w:rPr>
                <w:b/>
                <w:caps/>
              </w:rPr>
            </w:pPr>
            <w:r w:rsidRPr="004219EF">
              <w:rPr>
                <w:b/>
                <w:caps/>
              </w:rPr>
              <w:t>Commencement Date:</w:t>
            </w:r>
          </w:p>
        </w:tc>
        <w:tc>
          <w:tcPr>
            <w:tcW w:w="4533" w:type="dxa"/>
            <w:gridSpan w:val="2"/>
          </w:tcPr>
          <w:p w:rsidR="007130BB" w:rsidRPr="00A10944" w:rsidRDefault="00A10944" w:rsidP="007130BB">
            <w:pPr>
              <w:ind w:left="10" w:hanging="10"/>
            </w:pPr>
            <w:r w:rsidRPr="00A10944">
              <w:t>1</w:t>
            </w:r>
            <w:r w:rsidRPr="00A10944">
              <w:rPr>
                <w:vertAlign w:val="superscript"/>
              </w:rPr>
              <w:t>st</w:t>
            </w:r>
            <w:r w:rsidRPr="00A10944">
              <w:t xml:space="preserve"> September 2019</w:t>
            </w:r>
          </w:p>
        </w:tc>
      </w:tr>
      <w:tr w:rsidR="007130BB" w:rsidRPr="004219EF" w:rsidTr="008E68F7">
        <w:trPr>
          <w:jc w:val="center"/>
        </w:trPr>
        <w:tc>
          <w:tcPr>
            <w:tcW w:w="3989" w:type="dxa"/>
            <w:gridSpan w:val="2"/>
            <w:shd w:val="clear" w:color="auto" w:fill="D9D9D9"/>
          </w:tcPr>
          <w:p w:rsidR="007130BB" w:rsidRPr="004219EF" w:rsidRDefault="007130BB" w:rsidP="007130BB">
            <w:pPr>
              <w:ind w:left="10" w:hanging="10"/>
              <w:rPr>
                <w:b/>
                <w:caps/>
              </w:rPr>
            </w:pPr>
            <w:r w:rsidRPr="004219EF">
              <w:rPr>
                <w:b/>
                <w:caps/>
              </w:rPr>
              <w:t>Anticipated End Date:</w:t>
            </w:r>
          </w:p>
        </w:tc>
        <w:tc>
          <w:tcPr>
            <w:tcW w:w="4533" w:type="dxa"/>
            <w:gridSpan w:val="2"/>
          </w:tcPr>
          <w:p w:rsidR="007130BB" w:rsidRPr="00A10944" w:rsidRDefault="00A10944" w:rsidP="007130BB">
            <w:pPr>
              <w:ind w:left="10" w:hanging="10"/>
            </w:pPr>
            <w:r w:rsidRPr="00A10944">
              <w:t>28</w:t>
            </w:r>
            <w:r w:rsidRPr="00A10944">
              <w:rPr>
                <w:vertAlign w:val="superscript"/>
              </w:rPr>
              <w:t>th</w:t>
            </w:r>
            <w:r w:rsidRPr="00A10944">
              <w:t xml:space="preserve"> February 2020</w:t>
            </w:r>
          </w:p>
        </w:tc>
      </w:tr>
      <w:tr w:rsidR="007130BB" w:rsidRPr="004219EF" w:rsidTr="008E68F7">
        <w:trPr>
          <w:jc w:val="center"/>
        </w:trPr>
        <w:tc>
          <w:tcPr>
            <w:tcW w:w="3989" w:type="dxa"/>
            <w:gridSpan w:val="2"/>
            <w:shd w:val="clear" w:color="auto" w:fill="D9D9D9"/>
          </w:tcPr>
          <w:p w:rsidR="007130BB" w:rsidRPr="004219EF" w:rsidRDefault="007130BB" w:rsidP="007130BB">
            <w:pPr>
              <w:ind w:left="10" w:hanging="10"/>
              <w:rPr>
                <w:b/>
                <w:caps/>
              </w:rPr>
            </w:pPr>
            <w:r>
              <w:rPr>
                <w:b/>
                <w:caps/>
              </w:rPr>
              <w:t>Temporary or</w:t>
            </w:r>
            <w:r w:rsidRPr="004219EF">
              <w:rPr>
                <w:b/>
                <w:caps/>
              </w:rPr>
              <w:t xml:space="preserve"> Fixed Term Assignment:</w:t>
            </w:r>
          </w:p>
        </w:tc>
        <w:tc>
          <w:tcPr>
            <w:tcW w:w="4533" w:type="dxa"/>
            <w:gridSpan w:val="2"/>
          </w:tcPr>
          <w:p w:rsidR="007130BB" w:rsidRPr="00A10944" w:rsidRDefault="00A10944" w:rsidP="007130BB">
            <w:pPr>
              <w:ind w:left="10" w:hanging="10"/>
              <w:rPr>
                <w:highlight w:val="yellow"/>
              </w:rPr>
            </w:pPr>
            <w:r w:rsidRPr="00A10944">
              <w:t>Temporary</w:t>
            </w:r>
          </w:p>
        </w:tc>
      </w:tr>
      <w:tr w:rsidR="007130BB" w:rsidRPr="004219EF" w:rsidTr="00B060C3">
        <w:trPr>
          <w:jc w:val="center"/>
        </w:trPr>
        <w:tc>
          <w:tcPr>
            <w:tcW w:w="8522" w:type="dxa"/>
            <w:gridSpan w:val="4"/>
            <w:shd w:val="clear" w:color="auto" w:fill="BDD6EE" w:themeFill="accent1" w:themeFillTint="66"/>
          </w:tcPr>
          <w:p w:rsidR="007130BB" w:rsidRPr="004219EF" w:rsidRDefault="007130BB" w:rsidP="007130BB">
            <w:pPr>
              <w:ind w:left="10" w:hanging="10"/>
              <w:rPr>
                <w:i/>
              </w:rPr>
            </w:pPr>
            <w:r w:rsidRPr="004219EF">
              <w:rPr>
                <w:b/>
              </w:rPr>
              <w:t>PART 1.3: MILESTONES AND KEY DELIVERABLES</w:t>
            </w:r>
          </w:p>
        </w:tc>
      </w:tr>
      <w:tr w:rsidR="007130BB" w:rsidRPr="004219EF" w:rsidTr="008E68F7">
        <w:trPr>
          <w:jc w:val="center"/>
        </w:trPr>
        <w:tc>
          <w:tcPr>
            <w:tcW w:w="8522" w:type="dxa"/>
            <w:gridSpan w:val="4"/>
            <w:shd w:val="clear" w:color="auto" w:fill="FFFFFF" w:themeFill="background1"/>
          </w:tcPr>
          <w:p w:rsidR="003F47E0" w:rsidRPr="004C35C5" w:rsidRDefault="00704167" w:rsidP="004C35C5">
            <w:pPr>
              <w:pStyle w:val="ListParagraph"/>
              <w:numPr>
                <w:ilvl w:val="0"/>
                <w:numId w:val="5"/>
              </w:numPr>
            </w:pPr>
            <w:r w:rsidRPr="004C35C5">
              <w:t>Handover to permanent member of staff to include BW functional training. Master spreadsheet training. Introduction to key points of contact (e.g.</w:t>
            </w:r>
            <w:r w:rsidR="004C35C5" w:rsidRPr="004C35C5">
              <w:t xml:space="preserve"> CBRE, GPA, F&amp;C, Payments Team)</w:t>
            </w:r>
            <w:r w:rsidR="003F47E0" w:rsidRPr="004C35C5">
              <w:t xml:space="preserve">       </w:t>
            </w:r>
          </w:p>
          <w:p w:rsidR="003F47E0" w:rsidRPr="004C35C5" w:rsidRDefault="003F47E0" w:rsidP="003F47E0">
            <w:pPr>
              <w:pStyle w:val="ListParagraph"/>
              <w:numPr>
                <w:ilvl w:val="0"/>
                <w:numId w:val="5"/>
              </w:numPr>
            </w:pPr>
            <w:r w:rsidRPr="004C35C5">
              <w:t>BW Assist Exchequer Services in Requisition/PO transition.</w:t>
            </w:r>
          </w:p>
          <w:p w:rsidR="003F47E0" w:rsidRPr="004C35C5" w:rsidRDefault="003F47E0" w:rsidP="003F47E0">
            <w:pPr>
              <w:pStyle w:val="ListParagraph"/>
              <w:numPr>
                <w:ilvl w:val="0"/>
                <w:numId w:val="5"/>
              </w:numPr>
            </w:pPr>
            <w:r w:rsidRPr="004C35C5">
              <w:t>BW</w:t>
            </w:r>
            <w:r w:rsidRPr="004C35C5">
              <w:rPr>
                <w:b/>
              </w:rPr>
              <w:t xml:space="preserve"> </w:t>
            </w:r>
            <w:r w:rsidRPr="004C35C5">
              <w:t>Transition existing and new data processes required for maintaining the running of the property estate into BW.</w:t>
            </w:r>
          </w:p>
          <w:p w:rsidR="003F47E0" w:rsidRPr="004C35C5" w:rsidRDefault="003F47E0" w:rsidP="003F47E0">
            <w:pPr>
              <w:pStyle w:val="ListParagraph"/>
              <w:numPr>
                <w:ilvl w:val="0"/>
                <w:numId w:val="5"/>
              </w:numPr>
            </w:pPr>
            <w:r w:rsidRPr="004C35C5">
              <w:t>BW Creation and Input of requisitions and PO’s onto BW.</w:t>
            </w:r>
          </w:p>
          <w:p w:rsidR="003F47E0" w:rsidRPr="004C35C5" w:rsidRDefault="003F47E0" w:rsidP="003F47E0">
            <w:pPr>
              <w:pStyle w:val="ListParagraph"/>
              <w:numPr>
                <w:ilvl w:val="0"/>
                <w:numId w:val="5"/>
              </w:numPr>
            </w:pPr>
            <w:r w:rsidRPr="004C35C5">
              <w:t>BW Update/Maintenance of transitioned Estates Requisitions and PO</w:t>
            </w:r>
            <w:r w:rsidR="00B456C9">
              <w:t>´</w:t>
            </w:r>
            <w:r w:rsidRPr="004C35C5">
              <w:t>s.</w:t>
            </w:r>
          </w:p>
          <w:p w:rsidR="003F47E0" w:rsidRPr="004C35C5" w:rsidRDefault="003F47E0" w:rsidP="003F47E0">
            <w:pPr>
              <w:pStyle w:val="ListParagraph"/>
              <w:numPr>
                <w:ilvl w:val="0"/>
                <w:numId w:val="5"/>
              </w:numPr>
            </w:pPr>
            <w:r w:rsidRPr="004C35C5">
              <w:t>BW The collation and review of large quantities of invoices to support BW activities.</w:t>
            </w:r>
          </w:p>
          <w:p w:rsidR="003F47E0" w:rsidRPr="004C35C5" w:rsidRDefault="003F47E0" w:rsidP="003F47E0">
            <w:pPr>
              <w:pStyle w:val="ListParagraph"/>
              <w:numPr>
                <w:ilvl w:val="0"/>
                <w:numId w:val="5"/>
              </w:numPr>
            </w:pPr>
            <w:r w:rsidRPr="004C35C5">
              <w:t>BW Enable the accurate/correct data to be entered onto BW for the creation of estates suppliers.</w:t>
            </w:r>
          </w:p>
          <w:p w:rsidR="003F47E0" w:rsidRPr="004C35C5" w:rsidRDefault="003F47E0" w:rsidP="003F47E0">
            <w:pPr>
              <w:pStyle w:val="ListParagraph"/>
              <w:numPr>
                <w:ilvl w:val="0"/>
                <w:numId w:val="5"/>
              </w:numPr>
            </w:pPr>
            <w:r w:rsidRPr="004C35C5">
              <w:t>BW Maintenance of estates supplier data on BW.</w:t>
            </w:r>
          </w:p>
          <w:p w:rsidR="003F47E0" w:rsidRPr="004C35C5" w:rsidRDefault="003F47E0" w:rsidP="003F47E0">
            <w:pPr>
              <w:pStyle w:val="ListParagraph"/>
              <w:numPr>
                <w:ilvl w:val="0"/>
                <w:numId w:val="5"/>
              </w:numPr>
            </w:pPr>
            <w:r w:rsidRPr="004C35C5">
              <w:t>Reconciling and authorising invoices for payment</w:t>
            </w:r>
          </w:p>
          <w:p w:rsidR="003F47E0" w:rsidRPr="004C35C5" w:rsidRDefault="003F47E0" w:rsidP="003F47E0">
            <w:pPr>
              <w:pStyle w:val="ListParagraph"/>
              <w:numPr>
                <w:ilvl w:val="0"/>
                <w:numId w:val="5"/>
              </w:numPr>
            </w:pPr>
            <w:r w:rsidRPr="004C35C5">
              <w:t>Dispute identification and resolution of invoices/payment queries, dealing with customers, suppliers and other stakeholders</w:t>
            </w:r>
          </w:p>
          <w:p w:rsidR="003F47E0" w:rsidRPr="004C35C5" w:rsidRDefault="003F47E0" w:rsidP="003F47E0">
            <w:pPr>
              <w:pStyle w:val="ListParagraph"/>
              <w:numPr>
                <w:ilvl w:val="0"/>
                <w:numId w:val="5"/>
              </w:numPr>
            </w:pPr>
            <w:r w:rsidRPr="004C35C5">
              <w:t>Ensuring financial records are accurately maintained and recorded</w:t>
            </w:r>
          </w:p>
          <w:p w:rsidR="003F47E0" w:rsidRPr="00B456C9" w:rsidRDefault="003F47E0" w:rsidP="003F47E0">
            <w:pPr>
              <w:pStyle w:val="ListParagraph"/>
              <w:numPr>
                <w:ilvl w:val="0"/>
                <w:numId w:val="5"/>
              </w:numPr>
              <w:rPr>
                <w:i/>
              </w:rPr>
            </w:pPr>
            <w:r w:rsidRPr="004C35C5">
              <w:t>Ensuring that property related databases and files are accurately updated post project (i.e. e-PIMS, physical building files, financial files).</w:t>
            </w:r>
          </w:p>
          <w:p w:rsidR="00255210" w:rsidRPr="00704167" w:rsidRDefault="00255210" w:rsidP="003F47E0">
            <w:pPr>
              <w:pStyle w:val="ListParagraph"/>
              <w:numPr>
                <w:ilvl w:val="0"/>
                <w:numId w:val="5"/>
              </w:numPr>
              <w:rPr>
                <w:i/>
              </w:rPr>
            </w:pPr>
            <w:r>
              <w:t>SIGN OFF OF TIMESHEET IMPLIES SATISFACTION WITH WORK UNDERTAKEN AND THE WORKER WILL BE PAID AND CUSTOMER CHARGES INCURRED ON RECEIPT OF APPROVED TIMESHEET</w:t>
            </w:r>
          </w:p>
        </w:tc>
      </w:tr>
      <w:tr w:rsidR="007130BB" w:rsidRPr="004219EF" w:rsidTr="00B060C3">
        <w:trPr>
          <w:jc w:val="center"/>
        </w:trPr>
        <w:tc>
          <w:tcPr>
            <w:tcW w:w="8522" w:type="dxa"/>
            <w:gridSpan w:val="4"/>
            <w:shd w:val="clear" w:color="auto" w:fill="BDD6EE" w:themeFill="accent1" w:themeFillTint="66"/>
          </w:tcPr>
          <w:p w:rsidR="007130BB" w:rsidRPr="004219EF" w:rsidRDefault="007130BB" w:rsidP="007130BB">
            <w:pPr>
              <w:ind w:left="10" w:hanging="10"/>
              <w:rPr>
                <w:b/>
              </w:rPr>
            </w:pPr>
            <w:r w:rsidRPr="004219EF">
              <w:rPr>
                <w:b/>
              </w:rPr>
              <w:t xml:space="preserve">PART 1.4: </w:t>
            </w:r>
            <w:r w:rsidRPr="004219EF">
              <w:rPr>
                <w:b/>
                <w:caps/>
              </w:rPr>
              <w:t xml:space="preserve">Charges Payable by </w:t>
            </w:r>
            <w:r>
              <w:rPr>
                <w:b/>
                <w:caps/>
              </w:rPr>
              <w:t>Contracting Authority</w:t>
            </w:r>
            <w:r w:rsidRPr="004219EF">
              <w:rPr>
                <w:b/>
                <w:caps/>
              </w:rPr>
              <w:t xml:space="preserve"> (including any applicable discount and method of payment e.g. Government Procurement Card or BACS):</w:t>
            </w:r>
          </w:p>
        </w:tc>
      </w:tr>
      <w:tr w:rsidR="007130BB" w:rsidRPr="004219EF" w:rsidTr="008E68F7">
        <w:trPr>
          <w:jc w:val="center"/>
        </w:trPr>
        <w:tc>
          <w:tcPr>
            <w:tcW w:w="8522" w:type="dxa"/>
            <w:gridSpan w:val="4"/>
            <w:shd w:val="clear" w:color="auto" w:fill="FFFFFF" w:themeFill="background1"/>
          </w:tcPr>
          <w:p w:rsidR="007130BB" w:rsidRPr="00B456C9" w:rsidRDefault="00B456C9" w:rsidP="007130BB">
            <w:pPr>
              <w:ind w:left="10" w:hanging="10"/>
              <w:rPr>
                <w:highlight w:val="yellow"/>
              </w:rPr>
            </w:pPr>
            <w:r>
              <w:t>Invoices will be issued weekly with charges a</w:t>
            </w:r>
            <w:r w:rsidRPr="00577A49">
              <w:t>s per the Framework Agreement.</w:t>
            </w:r>
          </w:p>
        </w:tc>
      </w:tr>
      <w:tr w:rsidR="007130BB" w:rsidRPr="004219EF" w:rsidTr="008E68F7">
        <w:trPr>
          <w:jc w:val="center"/>
        </w:trPr>
        <w:tc>
          <w:tcPr>
            <w:tcW w:w="2840" w:type="dxa"/>
            <w:shd w:val="clear" w:color="auto" w:fill="FFFFFF" w:themeFill="background1"/>
          </w:tcPr>
          <w:p w:rsidR="007130BB" w:rsidRPr="004219EF" w:rsidRDefault="007130BB" w:rsidP="007130BB">
            <w:pPr>
              <w:ind w:left="10" w:hanging="10"/>
            </w:pPr>
          </w:p>
        </w:tc>
        <w:tc>
          <w:tcPr>
            <w:tcW w:w="2841" w:type="dxa"/>
            <w:gridSpan w:val="2"/>
            <w:shd w:val="clear" w:color="auto" w:fill="FFFFFF" w:themeFill="background1"/>
          </w:tcPr>
          <w:p w:rsidR="007130BB" w:rsidRPr="004219EF" w:rsidRDefault="007130BB" w:rsidP="007130BB">
            <w:pPr>
              <w:ind w:left="10" w:hanging="10"/>
              <w:rPr>
                <w:b/>
              </w:rPr>
            </w:pPr>
            <w:r w:rsidRPr="004219EF">
              <w:rPr>
                <w:b/>
              </w:rPr>
              <w:t>Pre-AWR</w:t>
            </w:r>
          </w:p>
        </w:tc>
        <w:tc>
          <w:tcPr>
            <w:tcW w:w="2841" w:type="dxa"/>
            <w:shd w:val="clear" w:color="auto" w:fill="FFFFFF" w:themeFill="background1"/>
          </w:tcPr>
          <w:p w:rsidR="007130BB" w:rsidRPr="004219EF" w:rsidRDefault="007130BB" w:rsidP="007130BB">
            <w:pPr>
              <w:ind w:left="10" w:hanging="10"/>
              <w:rPr>
                <w:b/>
              </w:rPr>
            </w:pPr>
            <w:r w:rsidRPr="004219EF">
              <w:rPr>
                <w:b/>
              </w:rPr>
              <w:t>Post-AWR</w:t>
            </w:r>
          </w:p>
        </w:tc>
      </w:tr>
      <w:tr w:rsidR="007130BB" w:rsidRPr="004219EF" w:rsidTr="008E68F7">
        <w:trPr>
          <w:jc w:val="center"/>
        </w:trPr>
        <w:tc>
          <w:tcPr>
            <w:tcW w:w="2840" w:type="dxa"/>
            <w:shd w:val="clear" w:color="auto" w:fill="FFFFFF" w:themeFill="background1"/>
          </w:tcPr>
          <w:p w:rsidR="007130BB" w:rsidRPr="004219EF" w:rsidRDefault="007130BB" w:rsidP="007130BB">
            <w:pPr>
              <w:ind w:left="10" w:hanging="10"/>
              <w:rPr>
                <w:b/>
              </w:rPr>
            </w:pPr>
            <w:r w:rsidRPr="004219EF">
              <w:rPr>
                <w:b/>
              </w:rPr>
              <w:t>Pay to Worker(s)</w:t>
            </w:r>
          </w:p>
        </w:tc>
        <w:tc>
          <w:tcPr>
            <w:tcW w:w="2841" w:type="dxa"/>
            <w:gridSpan w:val="2"/>
            <w:shd w:val="clear" w:color="auto" w:fill="FFFFFF" w:themeFill="background1"/>
          </w:tcPr>
          <w:p w:rsidR="007130BB" w:rsidRPr="004219EF" w:rsidRDefault="007130BB" w:rsidP="007130BB">
            <w:pPr>
              <w:ind w:left="10" w:hanging="10"/>
            </w:pPr>
            <w:r w:rsidRPr="004219EF">
              <w:t>£      (Hour/Day)</w:t>
            </w:r>
          </w:p>
        </w:tc>
        <w:tc>
          <w:tcPr>
            <w:tcW w:w="2841" w:type="dxa"/>
            <w:shd w:val="clear" w:color="auto" w:fill="FFFFFF" w:themeFill="background1"/>
          </w:tcPr>
          <w:p w:rsidR="007130BB" w:rsidRPr="004219EF" w:rsidRDefault="007130BB" w:rsidP="007130BB">
            <w:pPr>
              <w:ind w:left="10" w:hanging="10"/>
            </w:pPr>
            <w:r w:rsidRPr="004219EF">
              <w:t>£      (Hour/Day)</w:t>
            </w:r>
          </w:p>
        </w:tc>
      </w:tr>
      <w:tr w:rsidR="007130BB" w:rsidRPr="004219EF" w:rsidTr="008E68F7">
        <w:trPr>
          <w:jc w:val="center"/>
        </w:trPr>
        <w:tc>
          <w:tcPr>
            <w:tcW w:w="2840" w:type="dxa"/>
            <w:shd w:val="clear" w:color="auto" w:fill="FFFFFF" w:themeFill="background1"/>
          </w:tcPr>
          <w:p w:rsidR="007130BB" w:rsidRPr="004219EF" w:rsidRDefault="007130BB" w:rsidP="007130BB">
            <w:pPr>
              <w:ind w:left="10" w:hanging="10"/>
              <w:rPr>
                <w:b/>
              </w:rPr>
            </w:pPr>
            <w:r w:rsidRPr="004219EF">
              <w:rPr>
                <w:b/>
              </w:rPr>
              <w:t>Total Charge</w:t>
            </w:r>
          </w:p>
        </w:tc>
        <w:tc>
          <w:tcPr>
            <w:tcW w:w="2841" w:type="dxa"/>
            <w:gridSpan w:val="2"/>
            <w:shd w:val="clear" w:color="auto" w:fill="FFFFFF" w:themeFill="background1"/>
          </w:tcPr>
          <w:p w:rsidR="007130BB" w:rsidRDefault="007130BB" w:rsidP="007130BB">
            <w:pPr>
              <w:ind w:left="10" w:hanging="10"/>
            </w:pPr>
            <w:r w:rsidRPr="004219EF">
              <w:t xml:space="preserve">£      </w:t>
            </w:r>
            <w:r w:rsidR="00320070">
              <w:rPr>
                <w:rFonts w:cs="Arial"/>
                <w:b/>
                <w:szCs w:val="20"/>
                <w:lang w:eastAsia="en-US"/>
              </w:rPr>
              <w:t>R</w:t>
            </w:r>
            <w:r w:rsidR="00320070">
              <w:rPr>
                <w:b/>
                <w:lang w:eastAsia="en-US"/>
              </w:rPr>
              <w:t>EDACTED</w:t>
            </w:r>
            <w:r w:rsidR="009F720A">
              <w:rPr>
                <w:rFonts w:cs="Arial"/>
                <w:szCs w:val="20"/>
                <w:lang w:eastAsia="en-US"/>
              </w:rPr>
              <w:t xml:space="preserve"> </w:t>
            </w:r>
            <w:r w:rsidRPr="004219EF">
              <w:t>Day</w:t>
            </w:r>
            <w:r w:rsidR="009F720A">
              <w:t xml:space="preserve"> (excluding VAT)</w:t>
            </w:r>
          </w:p>
          <w:p w:rsidR="009F720A" w:rsidRPr="004219EF" w:rsidRDefault="009F720A" w:rsidP="007130BB">
            <w:pPr>
              <w:ind w:left="10" w:hanging="10"/>
            </w:pPr>
            <w:r>
              <w:lastRenderedPageBreak/>
              <w:t xml:space="preserve">Max contract value= </w:t>
            </w:r>
            <w:r w:rsidRPr="009F720A">
              <w:rPr>
                <w:b/>
              </w:rPr>
              <w:t>£35,000</w:t>
            </w:r>
          </w:p>
        </w:tc>
        <w:tc>
          <w:tcPr>
            <w:tcW w:w="2841" w:type="dxa"/>
            <w:shd w:val="clear" w:color="auto" w:fill="FFFFFF" w:themeFill="background1"/>
          </w:tcPr>
          <w:p w:rsidR="007130BB" w:rsidRPr="004219EF" w:rsidRDefault="007130BB" w:rsidP="007130BB">
            <w:pPr>
              <w:ind w:left="10" w:hanging="10"/>
            </w:pPr>
            <w:r w:rsidRPr="004219EF">
              <w:lastRenderedPageBreak/>
              <w:t>£</w:t>
            </w:r>
            <w:proofErr w:type="gramStart"/>
            <w:r w:rsidRPr="004219EF">
              <w:t xml:space="preserve">   (</w:t>
            </w:r>
            <w:proofErr w:type="gramEnd"/>
            <w:r w:rsidRPr="004219EF">
              <w:t>Hour/Day)</w:t>
            </w:r>
          </w:p>
        </w:tc>
      </w:tr>
      <w:tr w:rsidR="007130BB" w:rsidRPr="004219EF" w:rsidTr="008E68F7">
        <w:trPr>
          <w:jc w:val="center"/>
        </w:trPr>
        <w:tc>
          <w:tcPr>
            <w:tcW w:w="8522" w:type="dxa"/>
            <w:gridSpan w:val="4"/>
            <w:shd w:val="clear" w:color="auto" w:fill="D9D9D9" w:themeFill="background1" w:themeFillShade="D9"/>
          </w:tcPr>
          <w:p w:rsidR="007130BB" w:rsidRPr="0081284B" w:rsidRDefault="007130BB" w:rsidP="007130BB">
            <w:pPr>
              <w:ind w:left="10" w:hanging="10"/>
              <w:rPr>
                <w:b/>
                <w:caps/>
              </w:rPr>
            </w:pPr>
            <w:r w:rsidRPr="0081284B">
              <w:rPr>
                <w:b/>
                <w:caps/>
              </w:rPr>
              <w:t>Payment profile will be ‘</w:t>
            </w:r>
            <w:r>
              <w:rPr>
                <w:b/>
                <w:caps/>
              </w:rPr>
              <w:t>on completion of works’</w:t>
            </w:r>
            <w:r w:rsidRPr="0081284B">
              <w:rPr>
                <w:b/>
                <w:caps/>
              </w:rPr>
              <w:t xml:space="preserve"> as per paragraph 9.3 of schedule 2 of these call-off terms and conditions.</w:t>
            </w:r>
          </w:p>
        </w:tc>
      </w:tr>
      <w:tr w:rsidR="007130BB" w:rsidRPr="004219EF" w:rsidTr="008E68F7">
        <w:trPr>
          <w:jc w:val="center"/>
        </w:trPr>
        <w:tc>
          <w:tcPr>
            <w:tcW w:w="3989" w:type="dxa"/>
            <w:gridSpan w:val="2"/>
            <w:shd w:val="clear" w:color="auto" w:fill="D9D9D9"/>
          </w:tcPr>
          <w:p w:rsidR="007130BB" w:rsidRPr="004219EF" w:rsidRDefault="007130BB" w:rsidP="007130BB">
            <w:pPr>
              <w:ind w:left="10" w:hanging="10"/>
              <w:rPr>
                <w:b/>
                <w:caps/>
              </w:rPr>
            </w:pPr>
            <w:r w:rsidRPr="004219EF">
              <w:rPr>
                <w:b/>
                <w:caps/>
              </w:rPr>
              <w:t>Discounts Applicable:</w:t>
            </w:r>
          </w:p>
        </w:tc>
        <w:tc>
          <w:tcPr>
            <w:tcW w:w="4533" w:type="dxa"/>
            <w:gridSpan w:val="2"/>
          </w:tcPr>
          <w:p w:rsidR="007130BB" w:rsidRPr="00E83125" w:rsidRDefault="00B456C9" w:rsidP="007130BB">
            <w:pPr>
              <w:ind w:left="10" w:hanging="10"/>
              <w:rPr>
                <w:highlight w:val="yellow"/>
              </w:rPr>
            </w:pPr>
            <w:r w:rsidRPr="00A10944">
              <w:t>Not Applicable</w:t>
            </w:r>
            <w:r w:rsidR="00E83125" w:rsidRPr="00E83125">
              <w:t>.</w:t>
            </w:r>
          </w:p>
        </w:tc>
      </w:tr>
      <w:tr w:rsidR="007130BB" w:rsidRPr="004219EF" w:rsidTr="00B060C3">
        <w:trPr>
          <w:jc w:val="center"/>
        </w:trPr>
        <w:tc>
          <w:tcPr>
            <w:tcW w:w="8522" w:type="dxa"/>
            <w:gridSpan w:val="4"/>
            <w:shd w:val="clear" w:color="auto" w:fill="BDD6EE" w:themeFill="accent1" w:themeFillTint="66"/>
          </w:tcPr>
          <w:p w:rsidR="007130BB" w:rsidRPr="004219EF" w:rsidRDefault="007130BB" w:rsidP="007130BB">
            <w:pPr>
              <w:ind w:left="10" w:hanging="10"/>
              <w:rPr>
                <w:i/>
              </w:rPr>
            </w:pPr>
            <w:r w:rsidRPr="004219EF">
              <w:rPr>
                <w:b/>
              </w:rPr>
              <w:t xml:space="preserve">PART 1.5: </w:t>
            </w:r>
            <w:r w:rsidRPr="004219EF">
              <w:rPr>
                <w:b/>
                <w:caps/>
              </w:rPr>
              <w:t>Acceptance prior to Payment</w:t>
            </w:r>
          </w:p>
        </w:tc>
      </w:tr>
      <w:tr w:rsidR="007130BB" w:rsidRPr="004219EF" w:rsidTr="008E68F7">
        <w:trPr>
          <w:jc w:val="center"/>
        </w:trPr>
        <w:tc>
          <w:tcPr>
            <w:tcW w:w="8522" w:type="dxa"/>
            <w:gridSpan w:val="4"/>
            <w:shd w:val="clear" w:color="auto" w:fill="FFFFFF" w:themeFill="background1"/>
          </w:tcPr>
          <w:p w:rsidR="007130BB" w:rsidRPr="00B456C9" w:rsidRDefault="00B456C9" w:rsidP="007130BB">
            <w:pPr>
              <w:ind w:left="10" w:hanging="10"/>
            </w:pPr>
            <w:r>
              <w:t>Approval of a timesheet by the Customer will constitute acceptance.</w:t>
            </w:r>
          </w:p>
        </w:tc>
      </w:tr>
      <w:tr w:rsidR="007130BB" w:rsidRPr="004219EF" w:rsidTr="00B060C3">
        <w:trPr>
          <w:jc w:val="center"/>
        </w:trPr>
        <w:tc>
          <w:tcPr>
            <w:tcW w:w="8522" w:type="dxa"/>
            <w:gridSpan w:val="4"/>
            <w:shd w:val="clear" w:color="auto" w:fill="BDD6EE" w:themeFill="accent1" w:themeFillTint="66"/>
          </w:tcPr>
          <w:p w:rsidR="007130BB" w:rsidRPr="004219EF" w:rsidRDefault="007130BB" w:rsidP="007130BB">
            <w:pPr>
              <w:ind w:left="54"/>
              <w:rPr>
                <w:b/>
              </w:rPr>
            </w:pPr>
            <w:r w:rsidRPr="004219EF">
              <w:rPr>
                <w:b/>
              </w:rPr>
              <w:t xml:space="preserve">PART 2: </w:t>
            </w:r>
            <w:r>
              <w:rPr>
                <w:b/>
                <w:caps/>
              </w:rPr>
              <w:t>CONTRACTING AUTHORITY CONTRACTUAL REQUIREMENTS</w:t>
            </w:r>
          </w:p>
        </w:tc>
      </w:tr>
      <w:tr w:rsidR="007130BB" w:rsidRPr="004219EF" w:rsidTr="008E68F7">
        <w:trPr>
          <w:jc w:val="center"/>
        </w:trPr>
        <w:tc>
          <w:tcPr>
            <w:tcW w:w="8522" w:type="dxa"/>
            <w:gridSpan w:val="4"/>
          </w:tcPr>
          <w:p w:rsidR="00E83125" w:rsidRPr="00E83125" w:rsidRDefault="00E83125" w:rsidP="007130BB">
            <w:pPr>
              <w:ind w:left="54"/>
              <w:rPr>
                <w:iCs/>
              </w:rPr>
            </w:pPr>
            <w:r w:rsidRPr="00E83125">
              <w:rPr>
                <w:iCs/>
              </w:rPr>
              <w:t xml:space="preserve">The Call-Off Contract shall </w:t>
            </w:r>
            <w:r w:rsidR="00E405CB">
              <w:rPr>
                <w:iCs/>
              </w:rPr>
              <w:t>be valid</w:t>
            </w:r>
            <w:r w:rsidRPr="00E83125">
              <w:rPr>
                <w:iCs/>
              </w:rPr>
              <w:t xml:space="preserve"> for an initial period of 6 months. The Contracting Authority shall retain the right to extend the Call-Off Contract by up to 6 months by providing a minimum of 1 month notice to the Supplier.</w:t>
            </w:r>
          </w:p>
          <w:p w:rsidR="00E83125" w:rsidRPr="00381C85" w:rsidRDefault="00E83125" w:rsidP="00381C85">
            <w:pPr>
              <w:rPr>
                <w:iCs/>
              </w:rPr>
            </w:pPr>
          </w:p>
          <w:p w:rsidR="00255210" w:rsidRPr="00381C85" w:rsidRDefault="00381C85" w:rsidP="00381C85">
            <w:pPr>
              <w:spacing w:line="240" w:lineRule="auto"/>
              <w:contextualSpacing/>
              <w:rPr>
                <w:iCs/>
              </w:rPr>
            </w:pPr>
            <w:r w:rsidRPr="00381C85">
              <w:rPr>
                <w:iCs/>
              </w:rPr>
              <w:t xml:space="preserve">The </w:t>
            </w:r>
            <w:r>
              <w:rPr>
                <w:iCs/>
              </w:rPr>
              <w:t>Temporary resource</w:t>
            </w:r>
            <w:r w:rsidRPr="00381C85">
              <w:rPr>
                <w:iCs/>
              </w:rPr>
              <w:t xml:space="preserve"> provided to support the delivery of the Services shall be available for 100% of the contracted period</w:t>
            </w:r>
            <w:r w:rsidR="00255210">
              <w:rPr>
                <w:iCs/>
              </w:rPr>
              <w:t xml:space="preserve"> subject to factors outside of the Supplier’s control – for example the worker chooses to leave the </w:t>
            </w:r>
            <w:proofErr w:type="gramStart"/>
            <w:r w:rsidR="00255210">
              <w:rPr>
                <w:iCs/>
              </w:rPr>
              <w:t xml:space="preserve">assignment </w:t>
            </w:r>
            <w:r w:rsidRPr="00381C85">
              <w:rPr>
                <w:iCs/>
              </w:rPr>
              <w:t>.</w:t>
            </w:r>
            <w:proofErr w:type="gramEnd"/>
            <w:r w:rsidRPr="00381C85">
              <w:rPr>
                <w:iCs/>
              </w:rPr>
              <w:t xml:space="preserve"> Any deviation from this must be agreed in writing with the </w:t>
            </w:r>
            <w:r w:rsidR="00B456C9">
              <w:rPr>
                <w:iCs/>
              </w:rPr>
              <w:t>Contracting Authority</w:t>
            </w:r>
            <w:r w:rsidR="00B456C9" w:rsidRPr="00381C85">
              <w:rPr>
                <w:iCs/>
              </w:rPr>
              <w:t xml:space="preserve"> </w:t>
            </w:r>
            <w:r w:rsidRPr="00381C85">
              <w:rPr>
                <w:iCs/>
              </w:rPr>
              <w:t>with a minimum of 2 months</w:t>
            </w:r>
            <w:r w:rsidR="00B456C9">
              <w:rPr>
                <w:iCs/>
              </w:rPr>
              <w:t>´</w:t>
            </w:r>
            <w:r w:rsidRPr="00381C85">
              <w:rPr>
                <w:iCs/>
              </w:rPr>
              <w:t xml:space="preserve"> notice.</w:t>
            </w:r>
          </w:p>
          <w:p w:rsidR="00381C85" w:rsidRPr="00381C85" w:rsidRDefault="00381C85" w:rsidP="00381C85">
            <w:pPr>
              <w:rPr>
                <w:iCs/>
              </w:rPr>
            </w:pPr>
          </w:p>
          <w:p w:rsidR="00381C85" w:rsidRPr="00381C85" w:rsidRDefault="00381C85" w:rsidP="00381C85">
            <w:pPr>
              <w:rPr>
                <w:iCs/>
              </w:rPr>
            </w:pPr>
            <w:r w:rsidRPr="00381C85">
              <w:rPr>
                <w:iCs/>
              </w:rPr>
              <w:t xml:space="preserve">Supplier resources provided to the </w:t>
            </w:r>
            <w:r>
              <w:rPr>
                <w:iCs/>
              </w:rPr>
              <w:t>Contracting Authority</w:t>
            </w:r>
            <w:r w:rsidRPr="00381C85">
              <w:rPr>
                <w:iCs/>
              </w:rPr>
              <w:t xml:space="preserve"> via this Call-Off Contract shall be available throughout the contracted period and shall not be reassigned without approval from the </w:t>
            </w:r>
            <w:r>
              <w:rPr>
                <w:iCs/>
              </w:rPr>
              <w:t>Contracting Authority</w:t>
            </w:r>
            <w:r w:rsidRPr="00381C85">
              <w:rPr>
                <w:iCs/>
              </w:rPr>
              <w:t xml:space="preserve">. </w:t>
            </w:r>
          </w:p>
          <w:p w:rsidR="00E83125" w:rsidRPr="004C35C5" w:rsidRDefault="00E83125" w:rsidP="007130BB">
            <w:pPr>
              <w:ind w:left="54"/>
              <w:rPr>
                <w:iCs/>
              </w:rPr>
            </w:pPr>
          </w:p>
          <w:p w:rsidR="007130BB" w:rsidRPr="00E83125" w:rsidRDefault="004C35C5" w:rsidP="00E83125">
            <w:pPr>
              <w:ind w:left="54"/>
              <w:rPr>
                <w:i/>
                <w:iCs/>
                <w:highlight w:val="yellow"/>
              </w:rPr>
            </w:pPr>
            <w:r w:rsidRPr="004C35C5">
              <w:rPr>
                <w:iCs/>
              </w:rPr>
              <w:t>The Temporary resource shall be responsible for all deliverables identified in 1.3</w:t>
            </w:r>
            <w:r w:rsidR="00255210">
              <w:rPr>
                <w:iCs/>
              </w:rPr>
              <w:t xml:space="preserve"> under the Supervision, Direction and Control of the Contracting Authority</w:t>
            </w:r>
          </w:p>
        </w:tc>
      </w:tr>
      <w:tr w:rsidR="007130BB" w:rsidRPr="004219EF" w:rsidTr="00B060C3">
        <w:trPr>
          <w:jc w:val="center"/>
        </w:trPr>
        <w:tc>
          <w:tcPr>
            <w:tcW w:w="8522" w:type="dxa"/>
            <w:gridSpan w:val="4"/>
            <w:shd w:val="clear" w:color="auto" w:fill="BDD6EE" w:themeFill="accent1" w:themeFillTint="66"/>
          </w:tcPr>
          <w:p w:rsidR="007130BB" w:rsidRPr="004219EF" w:rsidRDefault="007130BB" w:rsidP="00E83125">
            <w:pPr>
              <w:rPr>
                <w:i/>
              </w:rPr>
            </w:pPr>
            <w:r w:rsidRPr="004219EF">
              <w:rPr>
                <w:b/>
              </w:rPr>
              <w:t>PART 3: FURTHER-COMPETITION ORDER - ADDITIONAL REQUIREMENTS</w:t>
            </w:r>
          </w:p>
        </w:tc>
      </w:tr>
      <w:tr w:rsidR="007130BB" w:rsidRPr="004219EF" w:rsidTr="00B060C3">
        <w:trPr>
          <w:jc w:val="center"/>
        </w:trPr>
        <w:tc>
          <w:tcPr>
            <w:tcW w:w="3989" w:type="dxa"/>
            <w:gridSpan w:val="2"/>
            <w:shd w:val="clear" w:color="auto" w:fill="BDD6EE" w:themeFill="accent1" w:themeFillTint="66"/>
          </w:tcPr>
          <w:p w:rsidR="007130BB" w:rsidRPr="004219EF" w:rsidRDefault="007130BB" w:rsidP="007130BB">
            <w:pPr>
              <w:rPr>
                <w:b/>
                <w:caps/>
              </w:rPr>
            </w:pPr>
            <w:r w:rsidRPr="004219EF">
              <w:rPr>
                <w:b/>
                <w:caps/>
              </w:rPr>
              <w:t>PART 3.1: Supplemental Requirements in addition to Call-Off Terms and Conditions:</w:t>
            </w:r>
          </w:p>
        </w:tc>
        <w:tc>
          <w:tcPr>
            <w:tcW w:w="4533" w:type="dxa"/>
            <w:gridSpan w:val="2"/>
          </w:tcPr>
          <w:p w:rsidR="007130BB" w:rsidRPr="004219EF" w:rsidRDefault="00B456C9" w:rsidP="007130BB">
            <w:r w:rsidRPr="00A10944">
              <w:t>Not Applicable</w:t>
            </w:r>
          </w:p>
        </w:tc>
      </w:tr>
      <w:tr w:rsidR="00B456C9" w:rsidRPr="004219EF" w:rsidTr="00B060C3">
        <w:trPr>
          <w:jc w:val="center"/>
        </w:trPr>
        <w:tc>
          <w:tcPr>
            <w:tcW w:w="3989" w:type="dxa"/>
            <w:gridSpan w:val="2"/>
            <w:shd w:val="clear" w:color="auto" w:fill="BDD6EE" w:themeFill="accent1" w:themeFillTint="66"/>
          </w:tcPr>
          <w:p w:rsidR="00B456C9" w:rsidRPr="004219EF" w:rsidRDefault="00B456C9" w:rsidP="00B456C9">
            <w:pPr>
              <w:rPr>
                <w:b/>
                <w:caps/>
              </w:rPr>
            </w:pPr>
            <w:r w:rsidRPr="004219EF">
              <w:rPr>
                <w:b/>
                <w:caps/>
              </w:rPr>
              <w:t>PART 3.2: Variations to Call-Off Terms and Conditions:</w:t>
            </w:r>
          </w:p>
        </w:tc>
        <w:tc>
          <w:tcPr>
            <w:tcW w:w="4533" w:type="dxa"/>
            <w:gridSpan w:val="2"/>
          </w:tcPr>
          <w:p w:rsidR="00D6627C" w:rsidRDefault="00D6627C" w:rsidP="00D6627C">
            <w:pPr>
              <w:pStyle w:val="ListParagraph"/>
              <w:numPr>
                <w:ilvl w:val="0"/>
                <w:numId w:val="6"/>
              </w:numPr>
              <w:ind w:hanging="201"/>
            </w:pPr>
            <w:r>
              <w:t xml:space="preserve">Where a Fixed Term Assignment will be placed with the Contracting Authority under this Agreement, Framework Schedule 1 Clause 5.3.5 and Clause 5.3.6 shall not apply. </w:t>
            </w:r>
          </w:p>
          <w:p w:rsidR="00D6627C" w:rsidRDefault="00D6627C" w:rsidP="00D6627C">
            <w:pPr>
              <w:pStyle w:val="ListParagraph"/>
              <w:numPr>
                <w:ilvl w:val="0"/>
                <w:numId w:val="6"/>
              </w:numPr>
              <w:ind w:hanging="201"/>
            </w:pPr>
            <w:r>
              <w:t xml:space="preserve">The </w:t>
            </w:r>
            <w:r w:rsidRPr="000A667F">
              <w:t>Parties</w:t>
            </w:r>
            <w:r>
              <w:t xml:space="preserve"> agree that for the fulfilment of Framework Schedule 1 (Specification) Clause 11.2 it is sufficient where the Supplier will show the Charges and hours worked on each invoice issued. </w:t>
            </w:r>
          </w:p>
          <w:p w:rsidR="00D6627C" w:rsidRDefault="00D6627C" w:rsidP="00D6627C">
            <w:pPr>
              <w:pStyle w:val="ListParagraph"/>
              <w:numPr>
                <w:ilvl w:val="0"/>
                <w:numId w:val="6"/>
              </w:numPr>
              <w:ind w:hanging="201"/>
            </w:pPr>
            <w:r>
              <w:t>Cl. 12.2 – 12.4.1 Framework Schedule 1 (Specification)shall be replaced with the below:</w:t>
            </w:r>
          </w:p>
          <w:p w:rsidR="00D6627C" w:rsidRPr="00871960" w:rsidRDefault="00D6627C" w:rsidP="00D6627C">
            <w:pPr>
              <w:pStyle w:val="Default"/>
              <w:spacing w:after="175"/>
              <w:rPr>
                <w:i/>
                <w:sz w:val="20"/>
                <w:szCs w:val="22"/>
              </w:rPr>
            </w:pPr>
            <w:r w:rsidRPr="00871960">
              <w:rPr>
                <w:i/>
                <w:sz w:val="20"/>
                <w:szCs w:val="22"/>
              </w:rPr>
              <w:t xml:space="preserve">12.2. Suppliers that are Employment Businesses can charge Transfer Fees as long as, during or following the most recent Assignment of the relevant Temporary Work-Seeker, the Contracting Authority has first been given the option by the Supplier, to have that Temporary Work-Seeker supplied by the Supplier for a further period of eighteen (18) full weeks from when the Contracting Authority provides notice in writing (“the Extended Hire Period”) and the Contracting Authority has not utilised this option. </w:t>
            </w:r>
          </w:p>
          <w:p w:rsidR="00D6627C" w:rsidRPr="00871960" w:rsidRDefault="00D6627C" w:rsidP="00D6627C">
            <w:pPr>
              <w:pStyle w:val="Default"/>
              <w:spacing w:after="175"/>
              <w:rPr>
                <w:i/>
                <w:sz w:val="20"/>
                <w:szCs w:val="22"/>
              </w:rPr>
            </w:pPr>
            <w:r w:rsidRPr="00871960">
              <w:rPr>
                <w:i/>
                <w:sz w:val="20"/>
                <w:szCs w:val="22"/>
              </w:rPr>
              <w:t xml:space="preserve">12.3. The Supplier cannot charge a Transfer Fee when an Assignment’s duration is </w:t>
            </w:r>
            <w:proofErr w:type="gramStart"/>
            <w:r w:rsidRPr="00871960">
              <w:rPr>
                <w:i/>
                <w:sz w:val="20"/>
                <w:szCs w:val="22"/>
              </w:rPr>
              <w:t>twenty six</w:t>
            </w:r>
            <w:proofErr w:type="gramEnd"/>
            <w:r w:rsidRPr="00871960">
              <w:rPr>
                <w:i/>
                <w:sz w:val="20"/>
                <w:szCs w:val="22"/>
              </w:rPr>
              <w:t xml:space="preserve"> (26) Working Weeks or more, providing the Contracting Authority has given the appropriate notice period (“the Extended Hire Period”) of at least eighteen (18) weeks. </w:t>
            </w:r>
          </w:p>
          <w:p w:rsidR="00D6627C" w:rsidRPr="00871960" w:rsidRDefault="00D6627C" w:rsidP="00D6627C">
            <w:pPr>
              <w:pStyle w:val="Default"/>
              <w:rPr>
                <w:i/>
                <w:sz w:val="20"/>
                <w:szCs w:val="22"/>
              </w:rPr>
            </w:pPr>
            <w:r w:rsidRPr="00871960">
              <w:rPr>
                <w:i/>
                <w:sz w:val="20"/>
                <w:szCs w:val="22"/>
              </w:rPr>
              <w:lastRenderedPageBreak/>
              <w:t xml:space="preserve">12.4. A Supplier of Temporary Work-Seekers can only charge Transfer Fees in accordance with paragraphs 12.9 to 12.12, where the transfer takes place within: </w:t>
            </w:r>
          </w:p>
          <w:p w:rsidR="00D6627C" w:rsidRPr="00871960" w:rsidRDefault="00D6627C" w:rsidP="00D6627C">
            <w:pPr>
              <w:pStyle w:val="Default"/>
              <w:rPr>
                <w:i/>
                <w:sz w:val="20"/>
                <w:szCs w:val="22"/>
              </w:rPr>
            </w:pPr>
          </w:p>
          <w:p w:rsidR="00D6627C" w:rsidRPr="00871960" w:rsidRDefault="00D6627C" w:rsidP="00D6627C">
            <w:pPr>
              <w:pStyle w:val="Default"/>
              <w:rPr>
                <w:i/>
                <w:sz w:val="20"/>
                <w:szCs w:val="22"/>
              </w:rPr>
            </w:pPr>
            <w:r w:rsidRPr="00871960">
              <w:rPr>
                <w:i/>
                <w:sz w:val="20"/>
                <w:szCs w:val="22"/>
              </w:rPr>
              <w:t xml:space="preserve">12.4.1. Eight (8) weeks from the start of the first Assignment with the Contracting Authority </w:t>
            </w:r>
          </w:p>
          <w:p w:rsidR="00D6627C" w:rsidRPr="00871960" w:rsidRDefault="00D6627C" w:rsidP="00D6627C">
            <w:pPr>
              <w:pStyle w:val="Default"/>
              <w:rPr>
                <w:i/>
                <w:sz w:val="20"/>
                <w:szCs w:val="22"/>
              </w:rPr>
            </w:pPr>
          </w:p>
          <w:p w:rsidR="00D6627C" w:rsidRPr="00871960" w:rsidRDefault="00D6627C" w:rsidP="00D6627C">
            <w:pPr>
              <w:pStyle w:val="Default"/>
              <w:spacing w:after="175"/>
              <w:rPr>
                <w:i/>
                <w:sz w:val="20"/>
                <w:szCs w:val="22"/>
              </w:rPr>
            </w:pPr>
            <w:r w:rsidRPr="00871960">
              <w:rPr>
                <w:i/>
                <w:sz w:val="20"/>
                <w:szCs w:val="22"/>
              </w:rPr>
              <w:t xml:space="preserve">12.4.1.1. If the Contracting Authority makes a Temporary Worker permanent within the first eight (8) weeks of an Assignment. </w:t>
            </w:r>
          </w:p>
          <w:p w:rsidR="00D6627C" w:rsidRPr="00871960" w:rsidRDefault="00D6627C" w:rsidP="00D6627C">
            <w:pPr>
              <w:pStyle w:val="Default"/>
              <w:spacing w:after="175"/>
              <w:rPr>
                <w:i/>
                <w:sz w:val="20"/>
                <w:szCs w:val="22"/>
              </w:rPr>
            </w:pPr>
            <w:r w:rsidRPr="00871960">
              <w:rPr>
                <w:i/>
                <w:sz w:val="20"/>
                <w:szCs w:val="22"/>
              </w:rPr>
              <w:t xml:space="preserve">12.4.1.2. From week eight (8), the Contracting Authority may utilise the extended hire period of 18 weeks and no transfer fee will be payable. </w:t>
            </w:r>
          </w:p>
          <w:p w:rsidR="00D6627C" w:rsidRDefault="00D6627C" w:rsidP="00D6627C">
            <w:pPr>
              <w:pStyle w:val="Default"/>
              <w:spacing w:after="240"/>
              <w:rPr>
                <w:i/>
                <w:sz w:val="20"/>
                <w:szCs w:val="22"/>
              </w:rPr>
            </w:pPr>
            <w:r w:rsidRPr="00871960">
              <w:rPr>
                <w:i/>
                <w:sz w:val="20"/>
                <w:szCs w:val="22"/>
              </w:rPr>
              <w:t xml:space="preserve">12.4.1.3. A Contracting Authority may provide the appropriate notice period anytime up to the end of the eighth working week and take the Temporary Worker permanently without a Transfer Fee at the end of </w:t>
            </w:r>
            <w:proofErr w:type="gramStart"/>
            <w:r w:rsidRPr="00871960">
              <w:rPr>
                <w:i/>
                <w:sz w:val="20"/>
                <w:szCs w:val="22"/>
              </w:rPr>
              <w:t>twenty six</w:t>
            </w:r>
            <w:proofErr w:type="gramEnd"/>
            <w:r w:rsidRPr="00871960">
              <w:rPr>
                <w:i/>
                <w:sz w:val="20"/>
                <w:szCs w:val="22"/>
              </w:rPr>
              <w:t xml:space="preserve"> (26) Working Weeks. For example, if notice was given at week (six) 6, then the notice period would be twenty (20) weeks, taking it to the end of </w:t>
            </w:r>
            <w:proofErr w:type="gramStart"/>
            <w:r w:rsidRPr="00871960">
              <w:rPr>
                <w:i/>
                <w:sz w:val="20"/>
                <w:szCs w:val="22"/>
              </w:rPr>
              <w:t>twenty six</w:t>
            </w:r>
            <w:proofErr w:type="gramEnd"/>
            <w:r w:rsidRPr="00871960">
              <w:rPr>
                <w:i/>
                <w:sz w:val="20"/>
                <w:szCs w:val="22"/>
              </w:rPr>
              <w:t xml:space="preserve"> (26) working weeks. </w:t>
            </w:r>
          </w:p>
          <w:p w:rsidR="00D6627C" w:rsidRPr="000C7695" w:rsidRDefault="00D6627C" w:rsidP="00D6627C">
            <w:pPr>
              <w:pStyle w:val="Default"/>
              <w:rPr>
                <w:i/>
                <w:sz w:val="20"/>
                <w:szCs w:val="20"/>
              </w:rPr>
            </w:pPr>
            <w:r w:rsidRPr="000C7695">
              <w:rPr>
                <w:i/>
                <w:sz w:val="20"/>
                <w:szCs w:val="20"/>
              </w:rPr>
              <w:t xml:space="preserve">12.4.2 </w:t>
            </w:r>
            <w:r>
              <w:rPr>
                <w:i/>
                <w:sz w:val="20"/>
                <w:szCs w:val="20"/>
              </w:rPr>
              <w:t>Eight</w:t>
            </w:r>
            <w:r w:rsidRPr="000C7695">
              <w:rPr>
                <w:i/>
                <w:sz w:val="20"/>
                <w:szCs w:val="20"/>
              </w:rPr>
              <w:t xml:space="preserve"> (</w:t>
            </w:r>
            <w:r>
              <w:rPr>
                <w:i/>
                <w:sz w:val="20"/>
                <w:szCs w:val="20"/>
              </w:rPr>
              <w:t>8</w:t>
            </w:r>
            <w:r w:rsidRPr="000C7695">
              <w:rPr>
                <w:i/>
                <w:sz w:val="20"/>
                <w:szCs w:val="20"/>
              </w:rPr>
              <w:t xml:space="preserve">) weeks from the end of any Assignment </w:t>
            </w:r>
          </w:p>
          <w:p w:rsidR="00D6627C" w:rsidRPr="00871960" w:rsidRDefault="00D6627C" w:rsidP="00D6627C">
            <w:pPr>
              <w:pStyle w:val="Default"/>
              <w:rPr>
                <w:i/>
                <w:sz w:val="20"/>
                <w:szCs w:val="22"/>
              </w:rPr>
            </w:pPr>
          </w:p>
          <w:p w:rsidR="00D6627C" w:rsidRPr="009B799E" w:rsidRDefault="00D6627C" w:rsidP="00D6627C">
            <w:pPr>
              <w:pStyle w:val="ListParagraph"/>
              <w:numPr>
                <w:ilvl w:val="0"/>
                <w:numId w:val="6"/>
              </w:numPr>
              <w:ind w:hanging="201"/>
            </w:pPr>
            <w:r w:rsidRPr="009B799E">
              <w:t xml:space="preserve">For the avoidance of doubt Joint Schedule 1 (Definitions) Clause 1.4 “Temporary Work-Seeker”  shall </w:t>
            </w:r>
            <w:r>
              <w:t>apply</w:t>
            </w:r>
            <w:r w:rsidRPr="009B799E">
              <w:t xml:space="preserve"> “b) Any worker supplied to a Contracting Authority under this Framework Contract on a temporary basis, by a Supplier acting as an Employment Business, being a person who carries on business of their own account, through a limited company or otherwise and who works under supervision and direction </w:t>
            </w:r>
            <w:r w:rsidRPr="009B799E">
              <w:rPr>
                <w:u w:val="single"/>
              </w:rPr>
              <w:t>of the Contracting Authority</w:t>
            </w:r>
            <w:r>
              <w:rPr>
                <w:u w:val="single"/>
              </w:rPr>
              <w:t>”</w:t>
            </w:r>
          </w:p>
          <w:p w:rsidR="00D6627C" w:rsidRDefault="00D6627C" w:rsidP="00D6627C">
            <w:pPr>
              <w:pStyle w:val="ListParagraph"/>
              <w:numPr>
                <w:ilvl w:val="0"/>
                <w:numId w:val="6"/>
              </w:numPr>
              <w:ind w:hanging="201"/>
            </w:pPr>
            <w:r w:rsidRPr="00857087">
              <w:t>The Parties acknowledge</w:t>
            </w:r>
            <w:r w:rsidRPr="000A667F">
              <w:t xml:space="preserve"> that for the purposes of the Data Protection Legislation, </w:t>
            </w:r>
            <w:r>
              <w:t xml:space="preserve">under </w:t>
            </w:r>
            <w:r w:rsidRPr="000A667F">
              <w:t xml:space="preserve">these Call Off Terms the Parties are independent Data Controllers of Personal Data. For the avoidance of doubt, </w:t>
            </w:r>
            <w:r>
              <w:t>Joint Schedule 11 Clauses 2 – 16 shall not apply.</w:t>
            </w:r>
          </w:p>
          <w:p w:rsidR="00B456C9" w:rsidRPr="004219EF" w:rsidRDefault="00D6627C" w:rsidP="00D6627C">
            <w:pPr>
              <w:pStyle w:val="ListParagraph"/>
              <w:numPr>
                <w:ilvl w:val="0"/>
                <w:numId w:val="6"/>
              </w:numPr>
              <w:ind w:hanging="201"/>
            </w:pPr>
            <w:r>
              <w:t xml:space="preserve">For the avoidance of doubt the Parties agree that Core Terms Clause 4.11 does not prevent the Supplier from </w:t>
            </w:r>
            <w:r w:rsidRPr="004541F1">
              <w:t>raising genuine queries in relation to invoices or from working with CCS or the Contracting Authority to resolve invoicing issues.</w:t>
            </w:r>
          </w:p>
        </w:tc>
      </w:tr>
      <w:tr w:rsidR="00B456C9" w:rsidRPr="004219EF" w:rsidTr="00B060C3">
        <w:trPr>
          <w:jc w:val="center"/>
        </w:trPr>
        <w:tc>
          <w:tcPr>
            <w:tcW w:w="8522" w:type="dxa"/>
            <w:gridSpan w:val="4"/>
            <w:shd w:val="clear" w:color="auto" w:fill="BDD6EE" w:themeFill="accent1" w:themeFillTint="66"/>
          </w:tcPr>
          <w:p w:rsidR="00B456C9" w:rsidRPr="004219EF" w:rsidRDefault="00B456C9" w:rsidP="00B456C9">
            <w:pPr>
              <w:rPr>
                <w:b/>
              </w:rPr>
            </w:pPr>
            <w:r w:rsidRPr="004219EF">
              <w:rPr>
                <w:b/>
              </w:rPr>
              <w:lastRenderedPageBreak/>
              <w:t>PART 4: PERFORMANCE OF THE SERVICES AND DELIVERABLES</w:t>
            </w:r>
          </w:p>
        </w:tc>
      </w:tr>
      <w:tr w:rsidR="00B456C9" w:rsidRPr="004219EF" w:rsidTr="00B060C3">
        <w:trPr>
          <w:jc w:val="center"/>
        </w:trPr>
        <w:tc>
          <w:tcPr>
            <w:tcW w:w="3989" w:type="dxa"/>
            <w:gridSpan w:val="2"/>
            <w:shd w:val="clear" w:color="auto" w:fill="BDD6EE" w:themeFill="accent1" w:themeFillTint="66"/>
          </w:tcPr>
          <w:p w:rsidR="00B456C9" w:rsidRPr="004219EF" w:rsidRDefault="00B456C9" w:rsidP="00B456C9">
            <w:pPr>
              <w:rPr>
                <w:b/>
                <w:caps/>
              </w:rPr>
            </w:pPr>
            <w:r w:rsidRPr="004219EF">
              <w:rPr>
                <w:b/>
                <w:caps/>
              </w:rPr>
              <w:t>PART 4.1: Key Personnel of the Service Provider to be involved in the Services and Deliverables:</w:t>
            </w:r>
          </w:p>
        </w:tc>
        <w:tc>
          <w:tcPr>
            <w:tcW w:w="4533" w:type="dxa"/>
            <w:gridSpan w:val="2"/>
          </w:tcPr>
          <w:p w:rsidR="00B456C9" w:rsidRPr="004219EF" w:rsidRDefault="00B456C9" w:rsidP="00B456C9"/>
        </w:tc>
      </w:tr>
      <w:tr w:rsidR="00B456C9" w:rsidRPr="004219EF" w:rsidTr="00B060C3">
        <w:trPr>
          <w:jc w:val="center"/>
        </w:trPr>
        <w:tc>
          <w:tcPr>
            <w:tcW w:w="3989" w:type="dxa"/>
            <w:gridSpan w:val="2"/>
            <w:shd w:val="clear" w:color="auto" w:fill="BDD6EE" w:themeFill="accent1" w:themeFillTint="66"/>
          </w:tcPr>
          <w:p w:rsidR="00B456C9" w:rsidRPr="004219EF" w:rsidRDefault="00B456C9" w:rsidP="00B456C9">
            <w:pPr>
              <w:rPr>
                <w:b/>
                <w:caps/>
              </w:rPr>
            </w:pPr>
            <w:r w:rsidRPr="004219EF">
              <w:rPr>
                <w:b/>
                <w:caps/>
              </w:rPr>
              <w:lastRenderedPageBreak/>
              <w:t>PART 4.2: Sub-Contractors to be involved in the Services and Deliverables:</w:t>
            </w:r>
          </w:p>
        </w:tc>
        <w:tc>
          <w:tcPr>
            <w:tcW w:w="4533" w:type="dxa"/>
            <w:gridSpan w:val="2"/>
          </w:tcPr>
          <w:p w:rsidR="00B456C9" w:rsidRPr="004219EF" w:rsidRDefault="00B456C9" w:rsidP="00B456C9">
            <w:r w:rsidRPr="00A10944">
              <w:t>Not Applicable</w:t>
            </w:r>
          </w:p>
        </w:tc>
      </w:tr>
      <w:tr w:rsidR="00B456C9" w:rsidRPr="004219EF" w:rsidTr="00B060C3">
        <w:trPr>
          <w:jc w:val="center"/>
        </w:trPr>
        <w:tc>
          <w:tcPr>
            <w:tcW w:w="8522" w:type="dxa"/>
            <w:gridSpan w:val="4"/>
            <w:shd w:val="clear" w:color="auto" w:fill="BDD6EE" w:themeFill="accent1" w:themeFillTint="66"/>
          </w:tcPr>
          <w:p w:rsidR="00B456C9" w:rsidRPr="004219EF" w:rsidRDefault="00B456C9" w:rsidP="00B456C9">
            <w:pPr>
              <w:rPr>
                <w:b/>
              </w:rPr>
            </w:pPr>
            <w:r w:rsidRPr="004219EF">
              <w:rPr>
                <w:b/>
              </w:rPr>
              <w:t>PART 5: CONFIDENTIAL INFORMATION</w:t>
            </w:r>
          </w:p>
        </w:tc>
      </w:tr>
      <w:tr w:rsidR="00B456C9" w:rsidRPr="004219EF" w:rsidTr="00B060C3">
        <w:trPr>
          <w:jc w:val="center"/>
        </w:trPr>
        <w:tc>
          <w:tcPr>
            <w:tcW w:w="3989" w:type="dxa"/>
            <w:gridSpan w:val="2"/>
            <w:shd w:val="clear" w:color="auto" w:fill="BDD6EE" w:themeFill="accent1" w:themeFillTint="66"/>
          </w:tcPr>
          <w:p w:rsidR="00B456C9" w:rsidRPr="004219EF" w:rsidRDefault="00B456C9" w:rsidP="00B456C9">
            <w:pPr>
              <w:rPr>
                <w:b/>
                <w:caps/>
              </w:rPr>
            </w:pPr>
            <w:r w:rsidRPr="004219EF">
              <w:rPr>
                <w:b/>
                <w:caps/>
              </w:rPr>
              <w:t>PART 5.1:</w:t>
            </w:r>
            <w:r w:rsidRPr="004219EF">
              <w:t xml:space="preserve"> </w:t>
            </w:r>
            <w:r w:rsidRPr="004219EF">
              <w:rPr>
                <w:b/>
                <w:caps/>
              </w:rPr>
              <w:t>The following information shall be deemed Commercially Sensitive Information or Confidential Information:</w:t>
            </w:r>
          </w:p>
        </w:tc>
        <w:tc>
          <w:tcPr>
            <w:tcW w:w="4533" w:type="dxa"/>
            <w:gridSpan w:val="2"/>
          </w:tcPr>
          <w:p w:rsidR="00B456C9" w:rsidRPr="004219EF" w:rsidRDefault="00B456C9" w:rsidP="00B456C9">
            <w:r w:rsidRPr="00A10944">
              <w:t>Not Applicable</w:t>
            </w:r>
          </w:p>
        </w:tc>
      </w:tr>
    </w:tbl>
    <w:p w:rsidR="00B456C9" w:rsidRDefault="00B456C9" w:rsidP="00B060C3">
      <w:pPr>
        <w:spacing w:beforeLines="120" w:before="288"/>
        <w:ind w:left="993"/>
        <w:rPr>
          <w:b/>
        </w:rPr>
      </w:pPr>
    </w:p>
    <w:p w:rsidR="00B456C9" w:rsidRDefault="00B456C9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861C36" w:rsidRPr="004219EF" w:rsidRDefault="00861C36" w:rsidP="00B060C3">
      <w:pPr>
        <w:spacing w:beforeLines="120" w:before="288"/>
        <w:ind w:left="993"/>
      </w:pPr>
      <w:r w:rsidRPr="004219EF">
        <w:rPr>
          <w:b/>
        </w:rPr>
        <w:lastRenderedPageBreak/>
        <w:t xml:space="preserve">BY SIGNING AND RETURNING THIS ORDER FORM THE </w:t>
      </w:r>
      <w:r>
        <w:rPr>
          <w:b/>
        </w:rPr>
        <w:t>SUPPLIER</w:t>
      </w:r>
      <w:r w:rsidRPr="004219EF">
        <w:rPr>
          <w:b/>
        </w:rPr>
        <w:t xml:space="preserve"> AGREES</w:t>
      </w:r>
      <w:r w:rsidRPr="004219EF">
        <w:t xml:space="preserve"> to enter a legally binding contract with the </w:t>
      </w:r>
      <w:r>
        <w:t>Contracting Authority</w:t>
      </w:r>
      <w:r w:rsidRPr="004219EF">
        <w:t xml:space="preserve"> to provide to the </w:t>
      </w:r>
      <w:r>
        <w:t>Contracting Authority</w:t>
      </w:r>
      <w:r w:rsidRPr="004219EF">
        <w:t xml:space="preserve"> the Services specified in the Service Order Requirements set out in this Order Form [(together with where completed and applicable, the further-competition order (additional requirements)] incorporating the rights and obligations in the Call-Off Terms and Conditions set out in the Framework </w:t>
      </w:r>
      <w:r w:rsidR="00A8757F">
        <w:t>Contract</w:t>
      </w:r>
      <w:r w:rsidRPr="004219EF">
        <w:t xml:space="preserve"> between the </w:t>
      </w:r>
      <w:r>
        <w:t>Supplier</w:t>
      </w:r>
      <w:r w:rsidRPr="004219EF">
        <w:t xml:space="preserve"> and the </w:t>
      </w:r>
      <w:r>
        <w:t>Authority</w:t>
      </w:r>
      <w:r w:rsidRPr="004219EF">
        <w:t>.</w:t>
      </w:r>
    </w:p>
    <w:p w:rsidR="00861C36" w:rsidRPr="004219EF" w:rsidRDefault="00861C36" w:rsidP="00B060C3">
      <w:pPr>
        <w:spacing w:beforeLines="120" w:before="288"/>
        <w:ind w:left="851" w:firstLine="142"/>
        <w:rPr>
          <w:b/>
          <w:caps/>
        </w:rPr>
      </w:pPr>
      <w:r w:rsidRPr="004219EF">
        <w:rPr>
          <w:b/>
          <w:caps/>
        </w:rPr>
        <w:t xml:space="preserve">For and on behalf of the </w:t>
      </w:r>
      <w:r>
        <w:rPr>
          <w:b/>
          <w:caps/>
        </w:rPr>
        <w:t>SUPPLIER</w:t>
      </w:r>
      <w:r w:rsidRPr="004219EF">
        <w:rPr>
          <w:b/>
          <w:caps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9"/>
        <w:gridCol w:w="5153"/>
      </w:tblGrid>
      <w:tr w:rsidR="00861C36" w:rsidRPr="004219EF" w:rsidTr="008E68F7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61C36" w:rsidRPr="004219EF" w:rsidRDefault="00861C36" w:rsidP="008E68F7">
            <w:pPr>
              <w:rPr>
                <w:b/>
              </w:rPr>
            </w:pPr>
            <w:r w:rsidRPr="004219EF">
              <w:rPr>
                <w:b/>
              </w:rPr>
              <w:t>NAME: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36" w:rsidRPr="004219EF" w:rsidRDefault="00861C36" w:rsidP="008E68F7"/>
        </w:tc>
      </w:tr>
      <w:tr w:rsidR="00861C36" w:rsidRPr="004219EF" w:rsidTr="008E68F7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61C36" w:rsidRPr="004219EF" w:rsidRDefault="00861C36" w:rsidP="008E68F7">
            <w:pPr>
              <w:rPr>
                <w:b/>
              </w:rPr>
            </w:pPr>
            <w:r w:rsidRPr="004219EF">
              <w:rPr>
                <w:b/>
              </w:rPr>
              <w:t>TITLE: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36" w:rsidRPr="004219EF" w:rsidRDefault="00861C36" w:rsidP="008E68F7"/>
        </w:tc>
      </w:tr>
      <w:tr w:rsidR="00861C36" w:rsidRPr="004219EF" w:rsidTr="008E68F7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61C36" w:rsidRPr="004219EF" w:rsidRDefault="00861C36" w:rsidP="008E68F7">
            <w:pPr>
              <w:rPr>
                <w:b/>
              </w:rPr>
            </w:pPr>
            <w:r>
              <w:rPr>
                <w:b/>
              </w:rPr>
              <w:t>SIGNA</w:t>
            </w:r>
            <w:r w:rsidRPr="004219EF">
              <w:rPr>
                <w:b/>
              </w:rPr>
              <w:t>TURE: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36" w:rsidRDefault="00861C36" w:rsidP="008E68F7"/>
          <w:p w:rsidR="00B456C9" w:rsidRDefault="00B456C9" w:rsidP="008E68F7"/>
          <w:p w:rsidR="00B456C9" w:rsidRPr="004219EF" w:rsidRDefault="00B456C9" w:rsidP="008E68F7"/>
        </w:tc>
      </w:tr>
      <w:tr w:rsidR="00861C36" w:rsidRPr="004219EF" w:rsidTr="008E68F7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61C36" w:rsidRPr="004219EF" w:rsidRDefault="00861C36" w:rsidP="008E68F7">
            <w:pPr>
              <w:rPr>
                <w:b/>
              </w:rPr>
            </w:pPr>
            <w:r w:rsidRPr="004219EF">
              <w:rPr>
                <w:b/>
              </w:rPr>
              <w:t>DATE: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36" w:rsidRPr="004219EF" w:rsidRDefault="00861C36" w:rsidP="008E68F7"/>
        </w:tc>
      </w:tr>
    </w:tbl>
    <w:p w:rsidR="00861C36" w:rsidRPr="004219EF" w:rsidRDefault="00861C36" w:rsidP="00B060C3">
      <w:pPr>
        <w:spacing w:beforeLines="120" w:before="288"/>
        <w:ind w:left="284" w:firstLine="709"/>
        <w:rPr>
          <w:b/>
          <w:caps/>
        </w:rPr>
      </w:pPr>
      <w:r w:rsidRPr="004219EF">
        <w:rPr>
          <w:b/>
          <w:caps/>
        </w:rPr>
        <w:t xml:space="preserve">For and on behalf of the </w:t>
      </w:r>
      <w:r>
        <w:rPr>
          <w:b/>
          <w:caps/>
        </w:rPr>
        <w:t>CONTRACTING AUTHORITY</w:t>
      </w:r>
      <w:r w:rsidRPr="004219EF">
        <w:rPr>
          <w:b/>
          <w:caps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9"/>
        <w:gridCol w:w="5153"/>
      </w:tblGrid>
      <w:tr w:rsidR="00861C36" w:rsidRPr="004219EF" w:rsidTr="008E68F7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61C36" w:rsidRPr="004219EF" w:rsidRDefault="00861C36" w:rsidP="008E68F7">
            <w:pPr>
              <w:rPr>
                <w:b/>
              </w:rPr>
            </w:pPr>
            <w:r w:rsidRPr="004219EF">
              <w:rPr>
                <w:b/>
              </w:rPr>
              <w:t>NAME: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36" w:rsidRPr="004219EF" w:rsidRDefault="00861C36" w:rsidP="008E68F7">
            <w:bookmarkStart w:id="0" w:name="_GoBack"/>
            <w:bookmarkEnd w:id="0"/>
          </w:p>
        </w:tc>
      </w:tr>
      <w:tr w:rsidR="00861C36" w:rsidRPr="004219EF" w:rsidTr="008E68F7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61C36" w:rsidRPr="004219EF" w:rsidRDefault="00861C36" w:rsidP="008E68F7">
            <w:pPr>
              <w:rPr>
                <w:b/>
              </w:rPr>
            </w:pPr>
            <w:r w:rsidRPr="004219EF">
              <w:rPr>
                <w:b/>
              </w:rPr>
              <w:t>TITLE: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36" w:rsidRPr="004219EF" w:rsidRDefault="00861C36" w:rsidP="008E68F7"/>
        </w:tc>
      </w:tr>
      <w:tr w:rsidR="00861C36" w:rsidRPr="004219EF" w:rsidTr="008E68F7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61C36" w:rsidRPr="004219EF" w:rsidRDefault="00861C36" w:rsidP="008E68F7">
            <w:pPr>
              <w:rPr>
                <w:b/>
              </w:rPr>
            </w:pPr>
            <w:r>
              <w:rPr>
                <w:b/>
              </w:rPr>
              <w:t>SIGNA</w:t>
            </w:r>
            <w:r w:rsidRPr="004219EF">
              <w:rPr>
                <w:b/>
              </w:rPr>
              <w:t>TURE: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36" w:rsidRDefault="00861C36" w:rsidP="008E68F7"/>
          <w:p w:rsidR="00B456C9" w:rsidRDefault="00B456C9" w:rsidP="008E68F7"/>
          <w:p w:rsidR="00B456C9" w:rsidRPr="004219EF" w:rsidRDefault="00B456C9" w:rsidP="008E68F7"/>
        </w:tc>
      </w:tr>
      <w:tr w:rsidR="00861C36" w:rsidRPr="004219EF" w:rsidTr="008E68F7">
        <w:trPr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61C36" w:rsidRPr="004219EF" w:rsidRDefault="00861C36" w:rsidP="008E68F7">
            <w:pPr>
              <w:rPr>
                <w:b/>
              </w:rPr>
            </w:pPr>
            <w:r w:rsidRPr="004219EF">
              <w:rPr>
                <w:b/>
              </w:rPr>
              <w:t>DATE: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36" w:rsidRPr="004219EF" w:rsidRDefault="00861C36" w:rsidP="008E68F7"/>
        </w:tc>
      </w:tr>
    </w:tbl>
    <w:p w:rsidR="00051775" w:rsidRDefault="00051775" w:rsidP="00861C36">
      <w:pPr>
        <w:spacing w:line="240" w:lineRule="auto"/>
      </w:pPr>
    </w:p>
    <w:sectPr w:rsidR="00051775" w:rsidSect="00B060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DD2" w:rsidRDefault="00367DD2" w:rsidP="00861C36">
      <w:pPr>
        <w:spacing w:line="240" w:lineRule="auto"/>
      </w:pPr>
      <w:r>
        <w:separator/>
      </w:r>
    </w:p>
  </w:endnote>
  <w:endnote w:type="continuationSeparator" w:id="0">
    <w:p w:rsidR="00367DD2" w:rsidRDefault="00367DD2" w:rsidP="00861C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8F6" w:rsidRDefault="00FF78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8F6" w:rsidRDefault="00FF78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8F6" w:rsidRDefault="00FF78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DD2" w:rsidRDefault="00367DD2" w:rsidP="00861C36">
      <w:pPr>
        <w:spacing w:line="240" w:lineRule="auto"/>
      </w:pPr>
      <w:r>
        <w:separator/>
      </w:r>
    </w:p>
  </w:footnote>
  <w:footnote w:type="continuationSeparator" w:id="0">
    <w:p w:rsidR="00367DD2" w:rsidRDefault="00367DD2" w:rsidP="00861C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8F6" w:rsidRDefault="00FF78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8F6" w:rsidRDefault="00FF78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8F6" w:rsidRDefault="00FF78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422DC"/>
    <w:multiLevelType w:val="hybridMultilevel"/>
    <w:tmpl w:val="D954FE16"/>
    <w:lvl w:ilvl="0" w:tplc="0809001B">
      <w:start w:val="1"/>
      <w:numFmt w:val="lowerRoman"/>
      <w:lvlText w:val="%1."/>
      <w:lvlJc w:val="righ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834937"/>
    <w:multiLevelType w:val="hybridMultilevel"/>
    <w:tmpl w:val="7BC835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D021A"/>
    <w:multiLevelType w:val="hybridMultilevel"/>
    <w:tmpl w:val="484CE1AC"/>
    <w:lvl w:ilvl="0" w:tplc="F6245D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5430D"/>
    <w:multiLevelType w:val="hybridMultilevel"/>
    <w:tmpl w:val="F6B29E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F14058"/>
    <w:multiLevelType w:val="hybridMultilevel"/>
    <w:tmpl w:val="7592EC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2936E4"/>
    <w:multiLevelType w:val="multilevel"/>
    <w:tmpl w:val="E242BC00"/>
    <w:lvl w:ilvl="0">
      <w:start w:val="1"/>
      <w:numFmt w:val="decimal"/>
      <w:pStyle w:val="GPSL1CLAUSEHEADING"/>
      <w:lvlText w:val="%1."/>
      <w:lvlJc w:val="left"/>
      <w:pPr>
        <w:ind w:left="36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GPSL2NumberedBoldHeading"/>
      <w:isLgl/>
      <w:lvlText w:val="%1.%2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GPSL3numberedclause"/>
      <w:isLgl/>
      <w:lvlText w:val="%1.%2.%3"/>
      <w:lvlJc w:val="left"/>
      <w:pPr>
        <w:ind w:left="2422" w:hanging="72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GPSL4numberedclause"/>
      <w:lvlText w:val="(%4)"/>
      <w:lvlJc w:val="left"/>
      <w:pPr>
        <w:ind w:left="2847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GPSL5numberedclause"/>
      <w:lvlText w:val="(%5)"/>
      <w:lvlJc w:val="left"/>
      <w:pPr>
        <w:ind w:left="1440" w:hanging="1080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C36"/>
    <w:rsid w:val="00001C24"/>
    <w:rsid w:val="00051775"/>
    <w:rsid w:val="000841EA"/>
    <w:rsid w:val="00154BB2"/>
    <w:rsid w:val="0018313C"/>
    <w:rsid w:val="00252F89"/>
    <w:rsid w:val="00255210"/>
    <w:rsid w:val="00260DB7"/>
    <w:rsid w:val="003152C1"/>
    <w:rsid w:val="00320070"/>
    <w:rsid w:val="00367DD2"/>
    <w:rsid w:val="00381C85"/>
    <w:rsid w:val="0038486B"/>
    <w:rsid w:val="003A0228"/>
    <w:rsid w:val="003F47E0"/>
    <w:rsid w:val="004C35C5"/>
    <w:rsid w:val="00586CA5"/>
    <w:rsid w:val="005F6DD0"/>
    <w:rsid w:val="00667751"/>
    <w:rsid w:val="00704167"/>
    <w:rsid w:val="007130BB"/>
    <w:rsid w:val="00861C36"/>
    <w:rsid w:val="008A658C"/>
    <w:rsid w:val="008D23C2"/>
    <w:rsid w:val="008E68F7"/>
    <w:rsid w:val="008F6A67"/>
    <w:rsid w:val="009A595F"/>
    <w:rsid w:val="009F720A"/>
    <w:rsid w:val="00A10944"/>
    <w:rsid w:val="00A36131"/>
    <w:rsid w:val="00A75912"/>
    <w:rsid w:val="00A8757F"/>
    <w:rsid w:val="00AB49A7"/>
    <w:rsid w:val="00AD4F1B"/>
    <w:rsid w:val="00AD53E4"/>
    <w:rsid w:val="00B060C3"/>
    <w:rsid w:val="00B13DE4"/>
    <w:rsid w:val="00B456C9"/>
    <w:rsid w:val="00D10F47"/>
    <w:rsid w:val="00D13B29"/>
    <w:rsid w:val="00D6627C"/>
    <w:rsid w:val="00E16B07"/>
    <w:rsid w:val="00E405CB"/>
    <w:rsid w:val="00E70C1D"/>
    <w:rsid w:val="00E83125"/>
    <w:rsid w:val="00F07770"/>
    <w:rsid w:val="00F57A58"/>
    <w:rsid w:val="00FD17DF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AAD9583"/>
  <w15:docId w15:val="{33227913-AE08-4168-BEFD-136E80EA0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1C36"/>
    <w:pPr>
      <w:spacing w:after="0" w:line="288" w:lineRule="auto"/>
    </w:pPr>
    <w:rPr>
      <w:rFonts w:ascii="Arial" w:eastAsia="Times New Roman" w:hAnsi="Arial" w:cs="Times New Roman"/>
      <w:sz w:val="20"/>
      <w:szCs w:val="1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C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rsid w:val="00861C36"/>
    <w:pPr>
      <w:numPr>
        <w:numId w:val="1"/>
      </w:numPr>
      <w:tabs>
        <w:tab w:val="left" w:pos="142"/>
      </w:tabs>
      <w:adjustRightInd w:val="0"/>
      <w:spacing w:before="120" w:after="240" w:line="240" w:lineRule="auto"/>
      <w:jc w:val="both"/>
      <w:outlineLvl w:val="1"/>
    </w:pPr>
    <w:rPr>
      <w:rFonts w:ascii="Calibri" w:eastAsia="STZhongsong" w:hAnsi="Calibri" w:cs="Arial"/>
      <w:b/>
      <w:caps/>
      <w:sz w:val="22"/>
      <w:szCs w:val="22"/>
      <w:lang w:eastAsia="zh-CN"/>
    </w:rPr>
  </w:style>
  <w:style w:type="paragraph" w:customStyle="1" w:styleId="GPSL3numberedclause">
    <w:name w:val="GPS L3 numbered clause"/>
    <w:basedOn w:val="Normal"/>
    <w:qFormat/>
    <w:rsid w:val="00861C36"/>
    <w:pPr>
      <w:numPr>
        <w:ilvl w:val="2"/>
        <w:numId w:val="1"/>
      </w:numPr>
      <w:tabs>
        <w:tab w:val="left" w:pos="1985"/>
      </w:tabs>
      <w:adjustRightInd w:val="0"/>
      <w:spacing w:before="120" w:after="120" w:line="240" w:lineRule="auto"/>
      <w:jc w:val="both"/>
    </w:pPr>
    <w:rPr>
      <w:rFonts w:ascii="Calibri" w:hAnsi="Calibri" w:cs="Arial"/>
      <w:sz w:val="22"/>
      <w:szCs w:val="22"/>
      <w:lang w:eastAsia="zh-CN"/>
    </w:rPr>
  </w:style>
  <w:style w:type="paragraph" w:customStyle="1" w:styleId="GPSL4numberedclause">
    <w:name w:val="GPS L4 numbered clause"/>
    <w:basedOn w:val="GPSL3numberedclause"/>
    <w:qFormat/>
    <w:rsid w:val="00861C36"/>
    <w:pPr>
      <w:numPr>
        <w:ilvl w:val="3"/>
      </w:numPr>
      <w:tabs>
        <w:tab w:val="clear" w:pos="1985"/>
        <w:tab w:val="num" w:pos="2520"/>
      </w:tabs>
      <w:ind w:left="2592" w:hanging="936"/>
    </w:pPr>
  </w:style>
  <w:style w:type="paragraph" w:customStyle="1" w:styleId="GPSL5numberedclause">
    <w:name w:val="GPS L5 numbered clause"/>
    <w:basedOn w:val="GPSL4numberedclause"/>
    <w:qFormat/>
    <w:rsid w:val="00861C36"/>
    <w:pPr>
      <w:numPr>
        <w:ilvl w:val="4"/>
      </w:numPr>
      <w:tabs>
        <w:tab w:val="num" w:pos="360"/>
        <w:tab w:val="left" w:pos="3119"/>
        <w:tab w:val="num" w:pos="3240"/>
      </w:tabs>
      <w:ind w:left="3119" w:hanging="567"/>
    </w:pPr>
  </w:style>
  <w:style w:type="paragraph" w:customStyle="1" w:styleId="GPSL2NumberedBoldHeading">
    <w:name w:val="GPS L2 Numbered Bold Heading"/>
    <w:basedOn w:val="Normal"/>
    <w:qFormat/>
    <w:rsid w:val="00861C36"/>
    <w:pPr>
      <w:numPr>
        <w:ilvl w:val="1"/>
        <w:numId w:val="1"/>
      </w:numPr>
      <w:tabs>
        <w:tab w:val="left" w:pos="1134"/>
      </w:tabs>
      <w:adjustRightInd w:val="0"/>
      <w:spacing w:before="120" w:after="120" w:line="240" w:lineRule="auto"/>
      <w:ind w:hanging="218"/>
      <w:jc w:val="both"/>
    </w:pPr>
    <w:rPr>
      <w:rFonts w:ascii="Calibri" w:hAnsi="Calibri" w:cs="Arial"/>
      <w:b/>
      <w:sz w:val="22"/>
      <w:szCs w:val="22"/>
      <w:lang w:eastAsia="zh-CN"/>
    </w:rPr>
  </w:style>
  <w:style w:type="paragraph" w:customStyle="1" w:styleId="GPSL6numbered">
    <w:name w:val="GPS L6 numbered"/>
    <w:basedOn w:val="GPSL5numberedclause"/>
    <w:qFormat/>
    <w:rsid w:val="00861C36"/>
    <w:pPr>
      <w:numPr>
        <w:ilvl w:val="5"/>
      </w:numPr>
      <w:tabs>
        <w:tab w:val="num" w:pos="360"/>
        <w:tab w:val="num" w:pos="3240"/>
        <w:tab w:val="left" w:pos="3686"/>
        <w:tab w:val="num" w:pos="3960"/>
      </w:tabs>
      <w:ind w:left="3686" w:hanging="567"/>
    </w:pPr>
  </w:style>
  <w:style w:type="paragraph" w:styleId="Header">
    <w:name w:val="header"/>
    <w:basedOn w:val="Normal"/>
    <w:link w:val="HeaderChar"/>
    <w:uiPriority w:val="99"/>
    <w:unhideWhenUsed/>
    <w:rsid w:val="00861C3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C36"/>
    <w:rPr>
      <w:rFonts w:ascii="Arial" w:eastAsia="Times New Roman" w:hAnsi="Arial" w:cs="Times New Roman"/>
      <w:sz w:val="20"/>
      <w:szCs w:val="19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61C3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C36"/>
    <w:rPr>
      <w:rFonts w:ascii="Arial" w:eastAsia="Times New Roman" w:hAnsi="Arial" w:cs="Times New Roman"/>
      <w:sz w:val="20"/>
      <w:szCs w:val="19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A02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022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0228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02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0228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22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228"/>
    <w:rPr>
      <w:rFonts w:ascii="Segoe UI" w:eastAsia="Times New Roman" w:hAnsi="Segoe UI" w:cs="Segoe UI"/>
      <w:sz w:val="18"/>
      <w:szCs w:val="18"/>
      <w:lang w:eastAsia="en-GB"/>
    </w:rPr>
  </w:style>
  <w:style w:type="character" w:styleId="Hyperlink">
    <w:name w:val="Hyperlink"/>
    <w:basedOn w:val="DefaultParagraphFont"/>
    <w:uiPriority w:val="99"/>
    <w:unhideWhenUsed/>
    <w:rsid w:val="00F57A5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04167"/>
    <w:pPr>
      <w:ind w:left="720"/>
      <w:contextualSpacing/>
    </w:pPr>
  </w:style>
  <w:style w:type="paragraph" w:customStyle="1" w:styleId="Default">
    <w:name w:val="Default"/>
    <w:basedOn w:val="Normal"/>
    <w:rsid w:val="00B456C9"/>
    <w:pPr>
      <w:autoSpaceDE w:val="0"/>
      <w:autoSpaceDN w:val="0"/>
      <w:spacing w:line="240" w:lineRule="auto"/>
    </w:pPr>
    <w:rPr>
      <w:rFonts w:eastAsiaTheme="minorHAnsi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67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edd.bodman@hay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1461</Words>
  <Characters>8334</Characters>
  <Application>Microsoft Office Word</Application>
  <DocSecurity>4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9776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Danielle Withey</dc:creator>
  <cp:lastModifiedBy>Jane.Cooper</cp:lastModifiedBy>
  <cp:revision>2</cp:revision>
  <dcterms:created xsi:type="dcterms:W3CDTF">2019-09-27T13:16:00Z</dcterms:created>
  <dcterms:modified xsi:type="dcterms:W3CDTF">2019-09-27T13:16:00Z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555cd2-a0e5-4892-bd57-65997e298809_Enabled">
    <vt:lpwstr>True</vt:lpwstr>
  </property>
  <property fmtid="{D5CDD505-2E9C-101B-9397-08002B2CF9AE}" pid="3" name="MSIP_Label_72555cd2-a0e5-4892-bd57-65997e298809_SiteId">
    <vt:lpwstr>9a18d34a-f01e-4c31-ad16-523150b47949</vt:lpwstr>
  </property>
  <property fmtid="{D5CDD505-2E9C-101B-9397-08002B2CF9AE}" pid="4" name="MSIP_Label_72555cd2-a0e5-4892-bd57-65997e298809_Owner">
    <vt:lpwstr>Steven.Linden@insolvency.gov.uk</vt:lpwstr>
  </property>
  <property fmtid="{D5CDD505-2E9C-101B-9397-08002B2CF9AE}" pid="5" name="MSIP_Label_72555cd2-a0e5-4892-bd57-65997e298809_SetDate">
    <vt:lpwstr>2019-09-13T08:16:32.6611217Z</vt:lpwstr>
  </property>
  <property fmtid="{D5CDD505-2E9C-101B-9397-08002B2CF9AE}" pid="6" name="MSIP_Label_72555cd2-a0e5-4892-bd57-65997e298809_Name">
    <vt:lpwstr>General</vt:lpwstr>
  </property>
  <property fmtid="{D5CDD505-2E9C-101B-9397-08002B2CF9AE}" pid="7" name="MSIP_Label_72555cd2-a0e5-4892-bd57-65997e298809_Application">
    <vt:lpwstr>Microsoft Azure Information Protection</vt:lpwstr>
  </property>
  <property fmtid="{D5CDD505-2E9C-101B-9397-08002B2CF9AE}" pid="8" name="MSIP_Label_72555cd2-a0e5-4892-bd57-65997e298809_ActionId">
    <vt:lpwstr>941c2182-dfc6-4d91-b4d6-3e56ac06c3d8</vt:lpwstr>
  </property>
  <property fmtid="{D5CDD505-2E9C-101B-9397-08002B2CF9AE}" pid="9" name="MSIP_Label_72555cd2-a0e5-4892-bd57-65997e298809_Extended_MSFT_Method">
    <vt:lpwstr>Automatic</vt:lpwstr>
  </property>
  <property fmtid="{D5CDD505-2E9C-101B-9397-08002B2CF9AE}" pid="10" name="Sensitivity">
    <vt:lpwstr>General</vt:lpwstr>
  </property>
</Properties>
</file>