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FEC" w:rsidRPr="003604D6" w:rsidRDefault="007D1FEC" w:rsidP="00801368">
      <w:pPr>
        <w:pStyle w:val="BodyText2"/>
        <w:tabs>
          <w:tab w:val="right" w:pos="13960"/>
        </w:tabs>
        <w:spacing w:after="0" w:line="240" w:lineRule="auto"/>
        <w:jc w:val="center"/>
        <w:rPr>
          <w:rFonts w:ascii="Arial" w:hAnsi="Arial" w:cs="Arial"/>
          <w:b/>
          <w:u w:val="single"/>
        </w:rPr>
      </w:pPr>
      <w:bookmarkStart w:id="0" w:name="_GoBack"/>
      <w:bookmarkEnd w:id="0"/>
      <w:r>
        <w:rPr>
          <w:rFonts w:ascii="Arial" w:hAnsi="Arial" w:cs="Arial"/>
          <w:b/>
          <w:u w:val="single"/>
        </w:rPr>
        <w:t>KEY PERFORMANCE INDICATOR</w:t>
      </w:r>
      <w:r w:rsidR="00F242FF">
        <w:rPr>
          <w:rFonts w:ascii="Arial" w:hAnsi="Arial" w:cs="Arial"/>
          <w:b/>
          <w:u w:val="single"/>
        </w:rPr>
        <w:t>S</w:t>
      </w:r>
    </w:p>
    <w:p w:rsidR="007D1FEC" w:rsidRDefault="007D1FEC" w:rsidP="003A16A0">
      <w:pPr>
        <w:pStyle w:val="BodyText2"/>
        <w:tabs>
          <w:tab w:val="right" w:pos="13960"/>
        </w:tabs>
        <w:spacing w:after="0" w:line="240" w:lineRule="auto"/>
        <w:rPr>
          <w:rFonts w:ascii="Arial" w:hAnsi="Arial" w:cs="Arial"/>
          <w:b/>
          <w:u w:val="single"/>
        </w:rPr>
      </w:pPr>
    </w:p>
    <w:p w:rsidR="003A16A0" w:rsidRDefault="003A16A0" w:rsidP="005B7C37">
      <w:pPr>
        <w:pStyle w:val="BodyText2"/>
        <w:tabs>
          <w:tab w:val="right" w:pos="13960"/>
        </w:tabs>
        <w:spacing w:after="0" w:line="240" w:lineRule="auto"/>
        <w:rPr>
          <w:rFonts w:ascii="Arial" w:hAnsi="Arial" w:cs="Arial"/>
          <w:b/>
        </w:rPr>
      </w:pPr>
      <w:r w:rsidRPr="00B96D1B">
        <w:rPr>
          <w:rFonts w:ascii="Arial" w:hAnsi="Arial" w:cs="Arial"/>
          <w:b/>
          <w:u w:val="single"/>
        </w:rPr>
        <w:t>TIM</w:t>
      </w:r>
      <w:r w:rsidR="005B7C37">
        <w:rPr>
          <w:rFonts w:ascii="Arial" w:hAnsi="Arial" w:cs="Arial"/>
          <w:b/>
          <w:u w:val="single"/>
        </w:rPr>
        <w:t>E</w:t>
      </w:r>
    </w:p>
    <w:p w:rsidR="003A16A0" w:rsidRDefault="003A16A0" w:rsidP="003A16A0">
      <w:pPr>
        <w:pStyle w:val="BodyText2"/>
        <w:tabs>
          <w:tab w:val="right" w:pos="13960"/>
        </w:tabs>
        <w:spacing w:after="0" w:line="240" w:lineRule="auto"/>
        <w:rPr>
          <w:rFonts w:ascii="Arial" w:hAnsi="Arial" w:cs="Arial"/>
          <w:b/>
        </w:rPr>
      </w:pPr>
    </w:p>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4"/>
        <w:gridCol w:w="4637"/>
        <w:gridCol w:w="4221"/>
        <w:gridCol w:w="872"/>
        <w:gridCol w:w="2050"/>
      </w:tblGrid>
      <w:tr w:rsidR="003A16A0" w:rsidRPr="00804000" w:rsidTr="00804000">
        <w:tc>
          <w:tcPr>
            <w:tcW w:w="80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KPI</w:t>
            </w:r>
          </w:p>
          <w:p w:rsidR="003A16A0" w:rsidRPr="00804000" w:rsidRDefault="003A16A0" w:rsidP="00804000">
            <w:pPr>
              <w:pStyle w:val="BodyText2"/>
              <w:spacing w:after="0" w:line="240" w:lineRule="auto"/>
              <w:jc w:val="center"/>
              <w:rPr>
                <w:rFonts w:ascii="Arial" w:hAnsi="Arial" w:cs="Arial"/>
                <w:b/>
              </w:rPr>
            </w:pPr>
          </w:p>
        </w:tc>
        <w:tc>
          <w:tcPr>
            <w:tcW w:w="2214"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Criteria</w:t>
            </w:r>
          </w:p>
        </w:tc>
        <w:tc>
          <w:tcPr>
            <w:tcW w:w="4637"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Performance Indicator</w:t>
            </w:r>
          </w:p>
        </w:tc>
        <w:tc>
          <w:tcPr>
            <w:tcW w:w="4221"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Measurement</w:t>
            </w:r>
          </w:p>
        </w:tc>
        <w:tc>
          <w:tcPr>
            <w:tcW w:w="87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 xml:space="preserve">Month </w:t>
            </w:r>
          </w:p>
        </w:tc>
        <w:tc>
          <w:tcPr>
            <w:tcW w:w="2050"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Status</w:t>
            </w:r>
          </w:p>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(Green/Amber/Red)</w:t>
            </w:r>
          </w:p>
        </w:tc>
      </w:tr>
      <w:tr w:rsidR="00F45F47" w:rsidRPr="00804000" w:rsidTr="00804000">
        <w:trPr>
          <w:trHeight w:val="1732"/>
        </w:trPr>
        <w:tc>
          <w:tcPr>
            <w:tcW w:w="802" w:type="dxa"/>
            <w:shd w:val="clear" w:color="auto" w:fill="auto"/>
          </w:tcPr>
          <w:p w:rsidR="00F45F47" w:rsidRPr="00804000" w:rsidRDefault="00F45F47" w:rsidP="002F11C7">
            <w:pPr>
              <w:pStyle w:val="BodyText2"/>
              <w:spacing w:after="0" w:line="240" w:lineRule="auto"/>
              <w:jc w:val="center"/>
              <w:rPr>
                <w:rFonts w:ascii="Arial" w:hAnsi="Arial" w:cs="Arial"/>
                <w:b/>
              </w:rPr>
            </w:pPr>
          </w:p>
          <w:p w:rsidR="00F45F47" w:rsidRPr="00804000" w:rsidRDefault="00F45F47" w:rsidP="002F11C7">
            <w:pPr>
              <w:pStyle w:val="BodyText2"/>
              <w:spacing w:after="0" w:line="240" w:lineRule="auto"/>
              <w:jc w:val="center"/>
              <w:rPr>
                <w:rFonts w:ascii="Arial" w:hAnsi="Arial" w:cs="Arial"/>
                <w:b/>
              </w:rPr>
            </w:pPr>
            <w:r w:rsidRPr="00804000">
              <w:rPr>
                <w:rFonts w:ascii="Arial" w:hAnsi="Arial" w:cs="Arial"/>
                <w:b/>
              </w:rPr>
              <w:t>1</w:t>
            </w:r>
          </w:p>
        </w:tc>
        <w:tc>
          <w:tcPr>
            <w:tcW w:w="2214" w:type="dxa"/>
            <w:shd w:val="clear" w:color="auto" w:fill="auto"/>
          </w:tcPr>
          <w:p w:rsidR="001B0E69" w:rsidRDefault="001B0E69" w:rsidP="00804000">
            <w:pPr>
              <w:pStyle w:val="BodyText2"/>
              <w:spacing w:after="0" w:line="240" w:lineRule="auto"/>
              <w:rPr>
                <w:rFonts w:ascii="Arial" w:hAnsi="Arial" w:cs="Arial"/>
              </w:rPr>
            </w:pPr>
          </w:p>
          <w:p w:rsidR="00F45F47" w:rsidRPr="000B33E4" w:rsidRDefault="00F45F47" w:rsidP="00804000">
            <w:pPr>
              <w:pStyle w:val="BodyText2"/>
              <w:spacing w:after="0" w:line="240" w:lineRule="auto"/>
              <w:rPr>
                <w:rFonts w:ascii="Arial" w:hAnsi="Arial" w:cs="Arial"/>
              </w:rPr>
            </w:pPr>
            <w:r w:rsidRPr="000B33E4">
              <w:rPr>
                <w:rFonts w:ascii="Arial" w:hAnsi="Arial" w:cs="Arial"/>
              </w:rPr>
              <w:t>Service Availability</w:t>
            </w:r>
          </w:p>
          <w:p w:rsidR="00F45F47" w:rsidRPr="000B33E4" w:rsidRDefault="00F45F47" w:rsidP="00804000">
            <w:pPr>
              <w:pStyle w:val="BodyText2"/>
              <w:spacing w:after="0" w:line="240" w:lineRule="auto"/>
              <w:rPr>
                <w:rFonts w:ascii="Arial" w:hAnsi="Arial" w:cs="Arial"/>
              </w:rPr>
            </w:pPr>
          </w:p>
          <w:p w:rsidR="00F45F47" w:rsidRPr="00804000" w:rsidRDefault="00F45F47" w:rsidP="001B0E69">
            <w:pPr>
              <w:pStyle w:val="BodyText2"/>
              <w:spacing w:after="0" w:line="240" w:lineRule="auto"/>
              <w:rPr>
                <w:rFonts w:ascii="Arial" w:hAnsi="Arial" w:cs="Arial"/>
              </w:rPr>
            </w:pPr>
            <w:r w:rsidRPr="000B33E4">
              <w:rPr>
                <w:rFonts w:ascii="Arial" w:hAnsi="Arial" w:cs="Arial"/>
              </w:rPr>
              <w:t>SOR Serials 1.1</w:t>
            </w:r>
            <w:r w:rsidR="00AD1537">
              <w:rPr>
                <w:rFonts w:ascii="Arial" w:hAnsi="Arial" w:cs="Arial"/>
              </w:rPr>
              <w:t xml:space="preserve"> </w:t>
            </w:r>
            <w:r w:rsidR="003145E8" w:rsidRPr="000B33E4">
              <w:rPr>
                <w:rFonts w:ascii="Arial" w:hAnsi="Arial" w:cs="Arial"/>
              </w:rPr>
              <w:t>&amp;</w:t>
            </w:r>
            <w:r w:rsidR="0096139B" w:rsidRPr="000B33E4">
              <w:rPr>
                <w:rFonts w:ascii="Arial" w:hAnsi="Arial" w:cs="Arial"/>
              </w:rPr>
              <w:t xml:space="preserve"> 2.1 </w:t>
            </w:r>
            <w:r w:rsidRPr="000B33E4">
              <w:rPr>
                <w:rFonts w:ascii="Arial" w:hAnsi="Arial" w:cs="Arial"/>
              </w:rPr>
              <w:t xml:space="preserve"> refer</w:t>
            </w:r>
            <w:r w:rsidR="00C40577">
              <w:rPr>
                <w:rFonts w:ascii="Arial" w:hAnsi="Arial" w:cs="Arial"/>
              </w:rPr>
              <w:t>s</w:t>
            </w:r>
            <w:r w:rsidR="00D72712">
              <w:rPr>
                <w:rFonts w:ascii="Arial" w:hAnsi="Arial" w:cs="Arial"/>
              </w:rPr>
              <w:t xml:space="preserve"> (Annex A to Schedule 2)</w:t>
            </w:r>
          </w:p>
        </w:tc>
        <w:tc>
          <w:tcPr>
            <w:tcW w:w="4637" w:type="dxa"/>
            <w:shd w:val="clear" w:color="auto" w:fill="auto"/>
          </w:tcPr>
          <w:p w:rsidR="00F45F47" w:rsidRPr="00804000" w:rsidRDefault="00F45F47" w:rsidP="00492A24">
            <w:pPr>
              <w:pStyle w:val="BodyText2"/>
              <w:spacing w:after="0" w:line="240" w:lineRule="auto"/>
              <w:rPr>
                <w:rFonts w:ascii="Arial" w:hAnsi="Arial" w:cs="Arial"/>
              </w:rPr>
            </w:pPr>
            <w:r w:rsidRPr="00804000">
              <w:rPr>
                <w:rFonts w:ascii="Arial" w:hAnsi="Arial" w:cs="Arial"/>
              </w:rPr>
              <w:t>All</w:t>
            </w:r>
            <w:r w:rsidR="00492A24">
              <w:rPr>
                <w:rFonts w:ascii="Arial" w:hAnsi="Arial" w:cs="Arial"/>
              </w:rPr>
              <w:t xml:space="preserve"> </w:t>
            </w:r>
            <w:r w:rsidR="00E36A3E">
              <w:rPr>
                <w:rFonts w:ascii="Arial" w:hAnsi="Arial" w:cs="Arial"/>
              </w:rPr>
              <w:t xml:space="preserve">output (hours) </w:t>
            </w:r>
            <w:r w:rsidRPr="00804000">
              <w:rPr>
                <w:rFonts w:ascii="Arial" w:hAnsi="Arial" w:cs="Arial"/>
              </w:rPr>
              <w:t xml:space="preserve">provided </w:t>
            </w:r>
            <w:r w:rsidR="001524D1" w:rsidRPr="00804000">
              <w:rPr>
                <w:rFonts w:ascii="Arial" w:hAnsi="Arial" w:cs="Arial"/>
              </w:rPr>
              <w:t xml:space="preserve">by the contractor </w:t>
            </w:r>
            <w:r w:rsidR="00746C0F" w:rsidRPr="00804000">
              <w:rPr>
                <w:rFonts w:ascii="Arial" w:hAnsi="Arial" w:cs="Arial"/>
              </w:rPr>
              <w:t>in</w:t>
            </w:r>
            <w:r w:rsidRPr="00804000">
              <w:rPr>
                <w:rFonts w:ascii="Arial" w:hAnsi="Arial" w:cs="Arial"/>
              </w:rPr>
              <w:t xml:space="preserve"> support of</w:t>
            </w:r>
            <w:r w:rsidR="002A71AA">
              <w:rPr>
                <w:rFonts w:ascii="Arial" w:hAnsi="Arial" w:cs="Arial"/>
              </w:rPr>
              <w:t xml:space="preserve"> the requirement </w:t>
            </w:r>
            <w:r w:rsidR="00136CE1">
              <w:rPr>
                <w:rFonts w:ascii="Arial" w:hAnsi="Arial" w:cs="Arial"/>
              </w:rPr>
              <w:t>available at</w:t>
            </w:r>
            <w:r w:rsidR="003406CC">
              <w:rPr>
                <w:rFonts w:ascii="Arial" w:hAnsi="Arial" w:cs="Arial"/>
              </w:rPr>
              <w:t xml:space="preserve"> the site</w:t>
            </w:r>
            <w:r w:rsidR="00136CE1">
              <w:rPr>
                <w:rFonts w:ascii="Arial" w:hAnsi="Arial" w:cs="Arial"/>
              </w:rPr>
              <w:t xml:space="preserve">  during </w:t>
            </w:r>
            <w:r w:rsidRPr="00804000">
              <w:rPr>
                <w:rFonts w:ascii="Arial" w:hAnsi="Arial" w:cs="Arial"/>
              </w:rPr>
              <w:t>operating hours/agreed timeframes.</w:t>
            </w:r>
          </w:p>
        </w:tc>
        <w:tc>
          <w:tcPr>
            <w:tcW w:w="4221" w:type="dxa"/>
            <w:shd w:val="clear" w:color="auto" w:fill="auto"/>
          </w:tcPr>
          <w:p w:rsidR="004E3DA6" w:rsidRDefault="00F45F47"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w:t>
            </w:r>
            <w:r w:rsidR="00136CE1">
              <w:rPr>
                <w:rFonts w:ascii="Arial" w:hAnsi="Arial" w:cs="Arial"/>
                <w:b/>
              </w:rPr>
              <w:t>unauthorised</w:t>
            </w:r>
          </w:p>
          <w:p w:rsidR="004E3DA6" w:rsidRDefault="004E3DA6" w:rsidP="004E3DA6">
            <w:pPr>
              <w:pStyle w:val="BodyText2"/>
              <w:spacing w:after="0" w:line="240" w:lineRule="auto"/>
              <w:rPr>
                <w:rFonts w:ascii="Arial" w:hAnsi="Arial" w:cs="Arial"/>
                <w:b/>
              </w:rPr>
            </w:pPr>
            <w:r>
              <w:rPr>
                <w:rFonts w:ascii="Arial" w:hAnsi="Arial" w:cs="Arial"/>
                <w:b/>
              </w:rPr>
              <w:t>non-availability.</w:t>
            </w:r>
            <w:r w:rsidR="00A45414">
              <w:rPr>
                <w:rFonts w:ascii="Arial" w:hAnsi="Arial" w:cs="Arial"/>
                <w:b/>
              </w:rPr>
              <w:t xml:space="preserve"> </w:t>
            </w:r>
          </w:p>
          <w:p w:rsidR="004E3DA6" w:rsidRDefault="00F45F47" w:rsidP="004E3DA6">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2 instances of </w:t>
            </w:r>
            <w:r w:rsidR="00136CE1">
              <w:rPr>
                <w:rFonts w:ascii="Arial" w:hAnsi="Arial" w:cs="Arial"/>
                <w:b/>
              </w:rPr>
              <w:t>unauthorised</w:t>
            </w:r>
            <w:r w:rsidR="004E3DA6">
              <w:rPr>
                <w:rFonts w:ascii="Arial" w:hAnsi="Arial" w:cs="Arial"/>
                <w:b/>
              </w:rPr>
              <w:t xml:space="preserve"> non-availability. </w:t>
            </w:r>
          </w:p>
          <w:p w:rsidR="00F45F47" w:rsidRPr="00804000" w:rsidRDefault="00F45F47" w:rsidP="004E3DA6">
            <w:pPr>
              <w:pStyle w:val="BodyText2"/>
              <w:spacing w:after="0" w:line="240" w:lineRule="auto"/>
              <w:rPr>
                <w:rFonts w:ascii="Arial" w:hAnsi="Arial" w:cs="Arial"/>
                <w:b/>
              </w:rPr>
            </w:pPr>
            <w:r w:rsidRPr="00804000">
              <w:rPr>
                <w:rFonts w:ascii="Arial" w:hAnsi="Arial" w:cs="Arial"/>
                <w:b/>
                <w:highlight w:val="red"/>
              </w:rPr>
              <w:t>Red</w:t>
            </w:r>
            <w:r w:rsidRPr="00804000">
              <w:rPr>
                <w:rFonts w:ascii="Arial" w:hAnsi="Arial" w:cs="Arial"/>
                <w:b/>
              </w:rPr>
              <w:t xml:space="preserve"> – </w:t>
            </w:r>
            <w:r w:rsidR="00596DBC" w:rsidRPr="00804000">
              <w:rPr>
                <w:rFonts w:ascii="Arial" w:hAnsi="Arial" w:cs="Arial"/>
                <w:b/>
              </w:rPr>
              <w:t>3</w:t>
            </w:r>
            <w:r w:rsidRPr="00804000">
              <w:rPr>
                <w:rFonts w:ascii="Arial" w:hAnsi="Arial" w:cs="Arial"/>
                <w:b/>
              </w:rPr>
              <w:t xml:space="preserve"> or more instances of </w:t>
            </w:r>
            <w:r w:rsidR="00136CE1">
              <w:rPr>
                <w:rFonts w:ascii="Arial" w:hAnsi="Arial" w:cs="Arial"/>
                <w:b/>
              </w:rPr>
              <w:t>unauthorised</w:t>
            </w:r>
            <w:r w:rsidR="00A45414">
              <w:rPr>
                <w:rFonts w:ascii="Arial" w:hAnsi="Arial" w:cs="Arial"/>
                <w:b/>
              </w:rPr>
              <w:t xml:space="preserve"> </w:t>
            </w:r>
            <w:r w:rsidR="004E3DA6">
              <w:rPr>
                <w:rFonts w:ascii="Arial" w:hAnsi="Arial" w:cs="Arial"/>
                <w:b/>
              </w:rPr>
              <w:t>non-availability.</w:t>
            </w:r>
          </w:p>
        </w:tc>
        <w:tc>
          <w:tcPr>
            <w:tcW w:w="872" w:type="dxa"/>
            <w:shd w:val="clear" w:color="auto" w:fill="auto"/>
          </w:tcPr>
          <w:p w:rsidR="00F45F47" w:rsidRPr="00804000" w:rsidRDefault="00F45F47" w:rsidP="00804000">
            <w:pPr>
              <w:pStyle w:val="BodyText2"/>
              <w:spacing w:after="0" w:line="240" w:lineRule="auto"/>
              <w:rPr>
                <w:rFonts w:ascii="Arial" w:hAnsi="Arial" w:cs="Arial"/>
                <w:b/>
              </w:rPr>
            </w:pPr>
          </w:p>
        </w:tc>
        <w:tc>
          <w:tcPr>
            <w:tcW w:w="2050" w:type="dxa"/>
            <w:shd w:val="clear" w:color="auto" w:fill="auto"/>
          </w:tcPr>
          <w:p w:rsidR="00F45F47" w:rsidRPr="00804000" w:rsidRDefault="00F45F47" w:rsidP="00804000">
            <w:pPr>
              <w:pStyle w:val="BodyText2"/>
              <w:spacing w:after="0" w:line="240" w:lineRule="auto"/>
              <w:rPr>
                <w:rFonts w:ascii="Arial" w:hAnsi="Arial" w:cs="Arial"/>
                <w:b/>
              </w:rPr>
            </w:pPr>
          </w:p>
        </w:tc>
      </w:tr>
      <w:tr w:rsidR="003A16A0" w:rsidRPr="00804000" w:rsidTr="00804000">
        <w:tc>
          <w:tcPr>
            <w:tcW w:w="802" w:type="dxa"/>
            <w:shd w:val="clear" w:color="auto" w:fill="auto"/>
          </w:tcPr>
          <w:p w:rsidR="003A16A0" w:rsidRPr="00804000" w:rsidRDefault="003A16A0" w:rsidP="002F11C7">
            <w:pPr>
              <w:pStyle w:val="BodyText2"/>
              <w:spacing w:after="0" w:line="240" w:lineRule="auto"/>
              <w:jc w:val="center"/>
              <w:rPr>
                <w:rFonts w:ascii="Arial" w:hAnsi="Arial" w:cs="Arial"/>
                <w:b/>
              </w:rPr>
            </w:pPr>
            <w:r w:rsidRPr="00804000">
              <w:rPr>
                <w:rFonts w:ascii="Arial" w:hAnsi="Arial" w:cs="Arial"/>
                <w:b/>
              </w:rPr>
              <w:t>2</w:t>
            </w:r>
          </w:p>
          <w:p w:rsidR="003A16A0" w:rsidRPr="00804000" w:rsidRDefault="003A16A0" w:rsidP="002F11C7">
            <w:pPr>
              <w:pStyle w:val="BodyText2"/>
              <w:spacing w:after="0" w:line="240" w:lineRule="auto"/>
              <w:jc w:val="center"/>
              <w:rPr>
                <w:rFonts w:ascii="Arial" w:hAnsi="Arial" w:cs="Arial"/>
                <w:b/>
              </w:rPr>
            </w:pPr>
          </w:p>
        </w:tc>
        <w:tc>
          <w:tcPr>
            <w:tcW w:w="2214" w:type="dxa"/>
            <w:shd w:val="clear" w:color="auto" w:fill="auto"/>
          </w:tcPr>
          <w:p w:rsidR="003A16A0" w:rsidRPr="000B33E4" w:rsidRDefault="003A16A0" w:rsidP="00804000">
            <w:pPr>
              <w:pStyle w:val="BodyText2"/>
              <w:spacing w:after="0" w:line="240" w:lineRule="auto"/>
              <w:rPr>
                <w:rFonts w:ascii="Arial" w:hAnsi="Arial" w:cs="Arial"/>
              </w:rPr>
            </w:pPr>
            <w:r w:rsidRPr="000B33E4">
              <w:rPr>
                <w:rFonts w:ascii="Arial" w:hAnsi="Arial" w:cs="Arial"/>
              </w:rPr>
              <w:t>Reports</w:t>
            </w:r>
          </w:p>
          <w:p w:rsidR="00B45A2E" w:rsidRPr="000B33E4" w:rsidRDefault="00B45A2E" w:rsidP="00804000">
            <w:pPr>
              <w:pStyle w:val="BodyText2"/>
              <w:spacing w:after="0" w:line="240" w:lineRule="auto"/>
              <w:rPr>
                <w:rFonts w:ascii="Arial" w:hAnsi="Arial" w:cs="Arial"/>
              </w:rPr>
            </w:pPr>
          </w:p>
          <w:p w:rsidR="00B45A2E" w:rsidRPr="000B33E4" w:rsidRDefault="00B45A2E" w:rsidP="00804000">
            <w:pPr>
              <w:pStyle w:val="BodyText2"/>
              <w:spacing w:after="0" w:line="240" w:lineRule="auto"/>
              <w:rPr>
                <w:rFonts w:ascii="Arial" w:hAnsi="Arial" w:cs="Arial"/>
              </w:rPr>
            </w:pPr>
            <w:r w:rsidRPr="000B33E4">
              <w:rPr>
                <w:rFonts w:ascii="Arial" w:hAnsi="Arial" w:cs="Arial"/>
              </w:rPr>
              <w:t>SOR Serial</w:t>
            </w:r>
            <w:r w:rsidR="003145E8" w:rsidRPr="000B33E4">
              <w:rPr>
                <w:rFonts w:ascii="Arial" w:hAnsi="Arial" w:cs="Arial"/>
              </w:rPr>
              <w:t xml:space="preserve"> 2.1</w:t>
            </w:r>
            <w:r w:rsidR="002F11C7" w:rsidRPr="000B33E4">
              <w:rPr>
                <w:rFonts w:ascii="Arial" w:hAnsi="Arial" w:cs="Arial"/>
              </w:rPr>
              <w:t xml:space="preserve"> refers</w:t>
            </w:r>
            <w:r w:rsidR="00D72712">
              <w:rPr>
                <w:rFonts w:ascii="Arial" w:hAnsi="Arial" w:cs="Arial"/>
              </w:rPr>
              <w:t xml:space="preserve"> (Annex A to Schedule 2)</w:t>
            </w:r>
            <w:r w:rsidR="002F11C7" w:rsidRPr="000B33E4">
              <w:rPr>
                <w:rFonts w:ascii="Arial" w:hAnsi="Arial" w:cs="Arial"/>
              </w:rPr>
              <w:t xml:space="preserve"> </w:t>
            </w:r>
          </w:p>
        </w:tc>
        <w:tc>
          <w:tcPr>
            <w:tcW w:w="4637" w:type="dxa"/>
            <w:shd w:val="clear" w:color="auto" w:fill="auto"/>
          </w:tcPr>
          <w:p w:rsidR="003A16A0" w:rsidRPr="000B33E4" w:rsidRDefault="003A16A0" w:rsidP="00804000">
            <w:pPr>
              <w:pStyle w:val="BodyText2"/>
              <w:spacing w:after="0" w:line="240" w:lineRule="auto"/>
              <w:rPr>
                <w:rFonts w:ascii="Arial" w:hAnsi="Arial" w:cs="Arial"/>
              </w:rPr>
            </w:pPr>
            <w:r w:rsidRPr="000B33E4">
              <w:rPr>
                <w:rFonts w:ascii="Arial" w:hAnsi="Arial" w:cs="Arial"/>
              </w:rPr>
              <w:t xml:space="preserve">Contractor maintains/responds to all </w:t>
            </w:r>
            <w:r w:rsidR="00746C0F" w:rsidRPr="000B33E4">
              <w:rPr>
                <w:rFonts w:ascii="Arial" w:hAnsi="Arial" w:cs="Arial"/>
              </w:rPr>
              <w:t>Management Information (MI)</w:t>
            </w:r>
            <w:r w:rsidRPr="000B33E4">
              <w:rPr>
                <w:rFonts w:ascii="Arial" w:hAnsi="Arial" w:cs="Arial"/>
              </w:rPr>
              <w:t xml:space="preserve"> requests within required timeframes.</w:t>
            </w:r>
          </w:p>
        </w:tc>
        <w:tc>
          <w:tcPr>
            <w:tcW w:w="4221"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1 -3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red"/>
              </w:rPr>
              <w:t>Red</w:t>
            </w:r>
            <w:r w:rsidR="00596DBC" w:rsidRPr="00804000">
              <w:rPr>
                <w:rFonts w:ascii="Arial" w:hAnsi="Arial" w:cs="Arial"/>
                <w:b/>
              </w:rPr>
              <w:t xml:space="preserve"> – </w:t>
            </w:r>
            <w:r w:rsidRPr="00804000">
              <w:rPr>
                <w:rFonts w:ascii="Arial" w:hAnsi="Arial" w:cs="Arial"/>
                <w:b/>
              </w:rPr>
              <w:t xml:space="preserve">more </w:t>
            </w:r>
            <w:r w:rsidR="00596DBC" w:rsidRPr="00804000">
              <w:rPr>
                <w:rFonts w:ascii="Arial" w:hAnsi="Arial" w:cs="Arial"/>
                <w:b/>
              </w:rPr>
              <w:t xml:space="preserve">than 3 </w:t>
            </w:r>
            <w:r w:rsidRPr="00804000">
              <w:rPr>
                <w:rFonts w:ascii="Arial" w:hAnsi="Arial" w:cs="Arial"/>
                <w:b/>
              </w:rPr>
              <w:t>instances of failure</w:t>
            </w:r>
          </w:p>
        </w:tc>
        <w:tc>
          <w:tcPr>
            <w:tcW w:w="872" w:type="dxa"/>
            <w:shd w:val="clear" w:color="auto" w:fill="auto"/>
          </w:tcPr>
          <w:p w:rsidR="003A16A0" w:rsidRPr="00804000" w:rsidRDefault="003A16A0" w:rsidP="00804000">
            <w:pPr>
              <w:pStyle w:val="BodyText2"/>
              <w:spacing w:after="0" w:line="240" w:lineRule="auto"/>
              <w:rPr>
                <w:rFonts w:ascii="Arial" w:hAnsi="Arial" w:cs="Arial"/>
                <w:b/>
              </w:rPr>
            </w:pPr>
          </w:p>
        </w:tc>
        <w:tc>
          <w:tcPr>
            <w:tcW w:w="2050" w:type="dxa"/>
            <w:shd w:val="clear" w:color="auto" w:fill="auto"/>
          </w:tcPr>
          <w:p w:rsidR="003A16A0" w:rsidRPr="00804000" w:rsidRDefault="003A16A0" w:rsidP="00804000">
            <w:pPr>
              <w:pStyle w:val="BodyText2"/>
              <w:spacing w:after="0" w:line="240" w:lineRule="auto"/>
              <w:rPr>
                <w:rFonts w:ascii="Arial" w:hAnsi="Arial" w:cs="Arial"/>
                <w:b/>
              </w:rPr>
            </w:pPr>
          </w:p>
        </w:tc>
      </w:tr>
      <w:tr w:rsidR="00237792" w:rsidRPr="00804000" w:rsidTr="00804000">
        <w:trPr>
          <w:trHeight w:val="811"/>
        </w:trPr>
        <w:tc>
          <w:tcPr>
            <w:tcW w:w="802" w:type="dxa"/>
            <w:shd w:val="clear" w:color="auto" w:fill="auto"/>
          </w:tcPr>
          <w:p w:rsidR="00237792" w:rsidRPr="00804000" w:rsidRDefault="00237792" w:rsidP="002F11C7">
            <w:pPr>
              <w:pStyle w:val="BodyText2"/>
              <w:spacing w:after="0" w:line="240" w:lineRule="auto"/>
              <w:jc w:val="center"/>
              <w:rPr>
                <w:rFonts w:ascii="Arial" w:hAnsi="Arial" w:cs="Arial"/>
                <w:b/>
              </w:rPr>
            </w:pPr>
            <w:r w:rsidRPr="00804000">
              <w:rPr>
                <w:rFonts w:ascii="Arial" w:hAnsi="Arial" w:cs="Arial"/>
                <w:b/>
              </w:rPr>
              <w:t>3</w:t>
            </w:r>
          </w:p>
        </w:tc>
        <w:tc>
          <w:tcPr>
            <w:tcW w:w="2214" w:type="dxa"/>
            <w:shd w:val="clear" w:color="auto" w:fill="auto"/>
          </w:tcPr>
          <w:p w:rsidR="00237792" w:rsidRPr="000B33E4" w:rsidRDefault="00237792" w:rsidP="00804000">
            <w:pPr>
              <w:pStyle w:val="BodyText2"/>
              <w:spacing w:after="0" w:line="240" w:lineRule="auto"/>
              <w:rPr>
                <w:rFonts w:ascii="Arial" w:hAnsi="Arial" w:cs="Arial"/>
              </w:rPr>
            </w:pPr>
            <w:r w:rsidRPr="000B33E4">
              <w:rPr>
                <w:rFonts w:ascii="Arial" w:hAnsi="Arial" w:cs="Arial"/>
              </w:rPr>
              <w:t>Focal Point</w:t>
            </w:r>
          </w:p>
          <w:p w:rsidR="00B45A2E" w:rsidRPr="000B33E4" w:rsidRDefault="00B45A2E" w:rsidP="00804000">
            <w:pPr>
              <w:pStyle w:val="BodyText2"/>
              <w:spacing w:after="0" w:line="240" w:lineRule="auto"/>
              <w:rPr>
                <w:rFonts w:ascii="Arial" w:hAnsi="Arial" w:cs="Arial"/>
              </w:rPr>
            </w:pPr>
          </w:p>
          <w:p w:rsidR="00B45A2E" w:rsidRPr="00804000" w:rsidRDefault="00B45A2E" w:rsidP="00804000">
            <w:pPr>
              <w:pStyle w:val="BodyText2"/>
              <w:spacing w:after="0" w:line="240" w:lineRule="auto"/>
              <w:rPr>
                <w:rFonts w:ascii="Arial" w:hAnsi="Arial" w:cs="Arial"/>
              </w:rPr>
            </w:pPr>
            <w:r w:rsidRPr="000B33E4">
              <w:rPr>
                <w:rFonts w:ascii="Arial" w:hAnsi="Arial" w:cs="Arial"/>
              </w:rPr>
              <w:t xml:space="preserve">SOR Serial </w:t>
            </w:r>
            <w:r w:rsidR="003145E8" w:rsidRPr="000B33E4">
              <w:rPr>
                <w:rFonts w:ascii="Arial" w:hAnsi="Arial" w:cs="Arial"/>
              </w:rPr>
              <w:t>2.2</w:t>
            </w:r>
            <w:r w:rsidR="002F11C7" w:rsidRPr="000B33E4">
              <w:rPr>
                <w:rFonts w:ascii="Arial" w:hAnsi="Arial" w:cs="Arial"/>
              </w:rPr>
              <w:t xml:space="preserve"> refers</w:t>
            </w:r>
            <w:r w:rsidR="00D72712">
              <w:rPr>
                <w:rFonts w:ascii="Arial" w:hAnsi="Arial" w:cs="Arial"/>
              </w:rPr>
              <w:t xml:space="preserve"> (Annex A to Schedule 2)</w:t>
            </w:r>
            <w:r w:rsidR="002F11C7">
              <w:rPr>
                <w:rFonts w:ascii="Arial" w:hAnsi="Arial" w:cs="Arial"/>
                <w:color w:val="FF0000"/>
              </w:rPr>
              <w:t xml:space="preserve"> </w:t>
            </w:r>
          </w:p>
        </w:tc>
        <w:tc>
          <w:tcPr>
            <w:tcW w:w="4637" w:type="dxa"/>
            <w:shd w:val="clear" w:color="auto" w:fill="auto"/>
          </w:tcPr>
          <w:p w:rsidR="00237792" w:rsidRPr="00804000" w:rsidRDefault="00237792" w:rsidP="00804000">
            <w:pPr>
              <w:pStyle w:val="BodyText2"/>
              <w:spacing w:after="0" w:line="240" w:lineRule="auto"/>
              <w:rPr>
                <w:rFonts w:ascii="Arial" w:hAnsi="Arial" w:cs="Arial"/>
              </w:rPr>
            </w:pPr>
            <w:r w:rsidRPr="00804000">
              <w:rPr>
                <w:rFonts w:ascii="Arial" w:hAnsi="Arial" w:cs="Arial"/>
              </w:rPr>
              <w:t>Contractor maintains/responds to all communication requests within the required timeframes</w:t>
            </w:r>
          </w:p>
        </w:tc>
        <w:tc>
          <w:tcPr>
            <w:tcW w:w="4221" w:type="dxa"/>
            <w:shd w:val="clear" w:color="auto" w:fill="auto"/>
          </w:tcPr>
          <w:p w:rsidR="00237792" w:rsidRPr="00804000" w:rsidRDefault="00237792"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w:t>
            </w:r>
          </w:p>
          <w:p w:rsidR="00237792" w:rsidRPr="00804000" w:rsidRDefault="00237792"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1 -3 instances of failure/non availability of focal point</w:t>
            </w:r>
          </w:p>
          <w:p w:rsidR="00237792" w:rsidRPr="00804000" w:rsidRDefault="00237792" w:rsidP="00804000">
            <w:pPr>
              <w:pStyle w:val="BodyText2"/>
              <w:spacing w:after="0" w:line="240" w:lineRule="auto"/>
              <w:rPr>
                <w:rFonts w:ascii="Arial" w:hAnsi="Arial" w:cs="Arial"/>
                <w:b/>
              </w:rPr>
            </w:pPr>
            <w:r w:rsidRPr="00804000">
              <w:rPr>
                <w:rFonts w:ascii="Arial" w:hAnsi="Arial" w:cs="Arial"/>
                <w:b/>
                <w:highlight w:val="red"/>
              </w:rPr>
              <w:t>Red</w:t>
            </w:r>
            <w:r w:rsidR="00596DBC" w:rsidRPr="00804000">
              <w:rPr>
                <w:rFonts w:ascii="Arial" w:hAnsi="Arial" w:cs="Arial"/>
                <w:b/>
              </w:rPr>
              <w:t xml:space="preserve"> – </w:t>
            </w:r>
            <w:r w:rsidRPr="00804000">
              <w:rPr>
                <w:rFonts w:ascii="Arial" w:hAnsi="Arial" w:cs="Arial"/>
                <w:b/>
              </w:rPr>
              <w:t xml:space="preserve">more </w:t>
            </w:r>
            <w:r w:rsidR="00596DBC" w:rsidRPr="00804000">
              <w:rPr>
                <w:rFonts w:ascii="Arial" w:hAnsi="Arial" w:cs="Arial"/>
                <w:b/>
              </w:rPr>
              <w:t xml:space="preserve">than 3 </w:t>
            </w:r>
            <w:r w:rsidRPr="00804000">
              <w:rPr>
                <w:rFonts w:ascii="Arial" w:hAnsi="Arial" w:cs="Arial"/>
                <w:b/>
              </w:rPr>
              <w:t>instances of failure/non availability of focal point</w:t>
            </w:r>
          </w:p>
        </w:tc>
        <w:tc>
          <w:tcPr>
            <w:tcW w:w="872" w:type="dxa"/>
            <w:shd w:val="clear" w:color="auto" w:fill="auto"/>
          </w:tcPr>
          <w:p w:rsidR="00237792" w:rsidRPr="00804000" w:rsidRDefault="00237792" w:rsidP="00804000">
            <w:pPr>
              <w:pStyle w:val="BodyText2"/>
              <w:spacing w:after="0" w:line="240" w:lineRule="auto"/>
              <w:rPr>
                <w:rFonts w:ascii="Arial" w:hAnsi="Arial" w:cs="Arial"/>
                <w:b/>
              </w:rPr>
            </w:pPr>
          </w:p>
        </w:tc>
        <w:tc>
          <w:tcPr>
            <w:tcW w:w="2050" w:type="dxa"/>
            <w:shd w:val="clear" w:color="auto" w:fill="auto"/>
          </w:tcPr>
          <w:p w:rsidR="00237792" w:rsidRPr="00804000" w:rsidRDefault="00237792" w:rsidP="00804000">
            <w:pPr>
              <w:pStyle w:val="BodyText2"/>
              <w:spacing w:after="0" w:line="240" w:lineRule="auto"/>
              <w:rPr>
                <w:rFonts w:ascii="Arial" w:hAnsi="Arial" w:cs="Arial"/>
                <w:b/>
              </w:rPr>
            </w:pPr>
          </w:p>
        </w:tc>
      </w:tr>
    </w:tbl>
    <w:p w:rsidR="003A16A0" w:rsidRPr="00B96D1B" w:rsidRDefault="003A16A0" w:rsidP="003A16A0">
      <w:pPr>
        <w:rPr>
          <w:rFonts w:ascii="Arial" w:hAnsi="Arial" w:cs="Arial"/>
          <w:b/>
          <w:u w:val="single"/>
        </w:rPr>
      </w:pPr>
      <w:r>
        <w:br w:type="page"/>
      </w:r>
      <w:r w:rsidRPr="00B96D1B">
        <w:rPr>
          <w:rFonts w:ascii="Arial" w:hAnsi="Arial" w:cs="Arial"/>
          <w:b/>
          <w:u w:val="single"/>
        </w:rPr>
        <w:lastRenderedPageBreak/>
        <w:t>QUALITY</w:t>
      </w:r>
    </w:p>
    <w:p w:rsidR="003A16A0" w:rsidRPr="00B96D1B" w:rsidRDefault="003A16A0" w:rsidP="003A16A0">
      <w:pPr>
        <w:rPr>
          <w:b/>
        </w:rPr>
      </w:pPr>
    </w:p>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4"/>
        <w:gridCol w:w="4637"/>
        <w:gridCol w:w="4221"/>
        <w:gridCol w:w="872"/>
        <w:gridCol w:w="2050"/>
      </w:tblGrid>
      <w:tr w:rsidR="003A16A0" w:rsidRPr="00804000" w:rsidTr="00804000">
        <w:tc>
          <w:tcPr>
            <w:tcW w:w="80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KPI</w:t>
            </w:r>
          </w:p>
          <w:p w:rsidR="003A16A0" w:rsidRPr="00804000" w:rsidRDefault="003A16A0" w:rsidP="00804000">
            <w:pPr>
              <w:pStyle w:val="BodyText2"/>
              <w:spacing w:after="0" w:line="240" w:lineRule="auto"/>
              <w:jc w:val="center"/>
              <w:rPr>
                <w:rFonts w:ascii="Arial" w:hAnsi="Arial" w:cs="Arial"/>
                <w:b/>
              </w:rPr>
            </w:pPr>
          </w:p>
        </w:tc>
        <w:tc>
          <w:tcPr>
            <w:tcW w:w="2214"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Criteria</w:t>
            </w:r>
          </w:p>
        </w:tc>
        <w:tc>
          <w:tcPr>
            <w:tcW w:w="4637"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Performance Indicator</w:t>
            </w:r>
          </w:p>
        </w:tc>
        <w:tc>
          <w:tcPr>
            <w:tcW w:w="4221"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Measurement</w:t>
            </w:r>
          </w:p>
        </w:tc>
        <w:tc>
          <w:tcPr>
            <w:tcW w:w="87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 xml:space="preserve">Month </w:t>
            </w:r>
          </w:p>
        </w:tc>
        <w:tc>
          <w:tcPr>
            <w:tcW w:w="2050"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Status</w:t>
            </w:r>
          </w:p>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(Green/Amber/Red)</w:t>
            </w:r>
          </w:p>
        </w:tc>
      </w:tr>
      <w:tr w:rsidR="003A16A0" w:rsidRPr="00804000" w:rsidTr="00804000">
        <w:tc>
          <w:tcPr>
            <w:tcW w:w="802" w:type="dxa"/>
            <w:shd w:val="clear" w:color="auto" w:fill="auto"/>
          </w:tcPr>
          <w:p w:rsidR="003A16A0" w:rsidRPr="00804000" w:rsidRDefault="003A16A0" w:rsidP="002F11C7">
            <w:pPr>
              <w:pStyle w:val="BodyText2"/>
              <w:spacing w:after="0" w:line="240" w:lineRule="auto"/>
              <w:jc w:val="center"/>
              <w:rPr>
                <w:rFonts w:ascii="Arial" w:hAnsi="Arial" w:cs="Arial"/>
                <w:b/>
              </w:rPr>
            </w:pPr>
            <w:r w:rsidRPr="00804000">
              <w:rPr>
                <w:rFonts w:ascii="Arial" w:hAnsi="Arial" w:cs="Arial"/>
                <w:b/>
              </w:rPr>
              <w:t>1</w:t>
            </w:r>
          </w:p>
        </w:tc>
        <w:tc>
          <w:tcPr>
            <w:tcW w:w="2214" w:type="dxa"/>
            <w:shd w:val="clear" w:color="auto" w:fill="auto"/>
          </w:tcPr>
          <w:p w:rsidR="003A16A0" w:rsidRPr="00232683" w:rsidRDefault="003A16A0" w:rsidP="00804000">
            <w:pPr>
              <w:pStyle w:val="BodyText2"/>
              <w:spacing w:after="0" w:line="240" w:lineRule="auto"/>
              <w:rPr>
                <w:rFonts w:ascii="Arial" w:hAnsi="Arial" w:cs="Arial"/>
              </w:rPr>
            </w:pPr>
            <w:r w:rsidRPr="00232683">
              <w:rPr>
                <w:rFonts w:ascii="Arial" w:hAnsi="Arial" w:cs="Arial"/>
              </w:rPr>
              <w:t>Service Delivery</w:t>
            </w:r>
          </w:p>
          <w:p w:rsidR="00B45A2E" w:rsidRPr="00232683" w:rsidRDefault="00B45A2E" w:rsidP="00804000">
            <w:pPr>
              <w:pStyle w:val="BodyText2"/>
              <w:spacing w:after="0" w:line="240" w:lineRule="auto"/>
              <w:rPr>
                <w:rFonts w:ascii="Arial" w:hAnsi="Arial" w:cs="Arial"/>
              </w:rPr>
            </w:pPr>
          </w:p>
          <w:p w:rsidR="00B45A2E" w:rsidRPr="00804000" w:rsidRDefault="00B45A2E" w:rsidP="00AD1537">
            <w:pPr>
              <w:pStyle w:val="BodyText2"/>
              <w:spacing w:after="0" w:line="240" w:lineRule="auto"/>
              <w:rPr>
                <w:rFonts w:ascii="Arial" w:hAnsi="Arial" w:cs="Arial"/>
              </w:rPr>
            </w:pPr>
            <w:r w:rsidRPr="00232683">
              <w:rPr>
                <w:rFonts w:ascii="Arial" w:hAnsi="Arial" w:cs="Arial"/>
              </w:rPr>
              <w:t>SOR Serial</w:t>
            </w:r>
            <w:r w:rsidR="003145E8" w:rsidRPr="00232683">
              <w:rPr>
                <w:rFonts w:ascii="Arial" w:hAnsi="Arial" w:cs="Arial"/>
              </w:rPr>
              <w:t>s</w:t>
            </w:r>
            <w:r w:rsidRPr="00232683">
              <w:rPr>
                <w:rFonts w:ascii="Arial" w:hAnsi="Arial" w:cs="Arial"/>
              </w:rPr>
              <w:t xml:space="preserve"> </w:t>
            </w:r>
            <w:r w:rsidR="003145E8" w:rsidRPr="00232683">
              <w:rPr>
                <w:rFonts w:ascii="Arial" w:hAnsi="Arial" w:cs="Arial"/>
              </w:rPr>
              <w:t>1.1</w:t>
            </w:r>
            <w:r w:rsidR="00AD1537">
              <w:rPr>
                <w:rFonts w:ascii="Arial" w:hAnsi="Arial" w:cs="Arial"/>
              </w:rPr>
              <w:t xml:space="preserve"> </w:t>
            </w:r>
            <w:r w:rsidR="003145E8" w:rsidRPr="00232683">
              <w:rPr>
                <w:rFonts w:ascii="Arial" w:hAnsi="Arial" w:cs="Arial"/>
              </w:rPr>
              <w:t>&amp; 3.1 refer</w:t>
            </w:r>
            <w:r w:rsidR="00C40577">
              <w:rPr>
                <w:rFonts w:ascii="Arial" w:hAnsi="Arial" w:cs="Arial"/>
              </w:rPr>
              <w:t>s</w:t>
            </w:r>
            <w:r w:rsidR="00D72712">
              <w:rPr>
                <w:rFonts w:ascii="Arial" w:hAnsi="Arial" w:cs="Arial"/>
              </w:rPr>
              <w:t xml:space="preserve"> (Annex A to Schedule 2)</w:t>
            </w:r>
          </w:p>
        </w:tc>
        <w:tc>
          <w:tcPr>
            <w:tcW w:w="4637" w:type="dxa"/>
            <w:shd w:val="clear" w:color="auto" w:fill="auto"/>
          </w:tcPr>
          <w:p w:rsidR="003A16A0" w:rsidRPr="00492A24" w:rsidRDefault="003A16A0" w:rsidP="00F45006">
            <w:pPr>
              <w:pStyle w:val="BodyText2"/>
              <w:spacing w:after="0" w:line="240" w:lineRule="auto"/>
              <w:rPr>
                <w:rFonts w:ascii="Arial" w:hAnsi="Arial" w:cs="Arial"/>
              </w:rPr>
            </w:pPr>
            <w:r w:rsidRPr="00492A24">
              <w:rPr>
                <w:rFonts w:ascii="Arial" w:hAnsi="Arial" w:cs="Arial"/>
              </w:rPr>
              <w:t xml:space="preserve">All services delivered to the defined standards at Schedule </w:t>
            </w:r>
            <w:r w:rsidR="00F45006" w:rsidRPr="00492A24">
              <w:rPr>
                <w:rFonts w:ascii="Arial" w:hAnsi="Arial" w:cs="Arial"/>
              </w:rPr>
              <w:t>2</w:t>
            </w:r>
            <w:r w:rsidRPr="00492A24">
              <w:rPr>
                <w:rFonts w:ascii="Arial" w:hAnsi="Arial" w:cs="Arial"/>
              </w:rPr>
              <w:t xml:space="preserve"> (</w:t>
            </w:r>
            <w:r w:rsidR="005E7DF5" w:rsidRPr="00492A24">
              <w:rPr>
                <w:rFonts w:ascii="Arial" w:hAnsi="Arial" w:cs="Arial"/>
              </w:rPr>
              <w:t xml:space="preserve">Statement </w:t>
            </w:r>
            <w:r w:rsidRPr="00492A24">
              <w:rPr>
                <w:rFonts w:ascii="Arial" w:hAnsi="Arial" w:cs="Arial"/>
              </w:rPr>
              <w:t>of Requirements)</w:t>
            </w:r>
            <w:r w:rsidR="00E824D8" w:rsidRPr="00492A24">
              <w:rPr>
                <w:rFonts w:ascii="Arial" w:hAnsi="Arial" w:cs="Arial"/>
              </w:rPr>
              <w:t xml:space="preserve"> and associated annexes</w:t>
            </w:r>
            <w:r w:rsidR="005E7DF5" w:rsidRPr="00492A24">
              <w:rPr>
                <w:rFonts w:ascii="Arial" w:hAnsi="Arial" w:cs="Arial"/>
              </w:rPr>
              <w:t>, as applicable.</w:t>
            </w:r>
          </w:p>
        </w:tc>
        <w:tc>
          <w:tcPr>
            <w:tcW w:w="4221"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2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red"/>
              </w:rPr>
              <w:t>Red</w:t>
            </w:r>
            <w:r w:rsidRPr="00804000">
              <w:rPr>
                <w:rFonts w:ascii="Arial" w:hAnsi="Arial" w:cs="Arial"/>
                <w:b/>
              </w:rPr>
              <w:t xml:space="preserve"> – </w:t>
            </w:r>
            <w:r w:rsidR="00596DBC" w:rsidRPr="00804000">
              <w:rPr>
                <w:rFonts w:ascii="Arial" w:hAnsi="Arial" w:cs="Arial"/>
                <w:b/>
              </w:rPr>
              <w:t>3</w:t>
            </w:r>
            <w:r w:rsidRPr="00804000">
              <w:rPr>
                <w:rFonts w:ascii="Arial" w:hAnsi="Arial" w:cs="Arial"/>
                <w:b/>
              </w:rPr>
              <w:t xml:space="preserve"> or more instances of failure</w:t>
            </w:r>
          </w:p>
        </w:tc>
        <w:tc>
          <w:tcPr>
            <w:tcW w:w="872" w:type="dxa"/>
            <w:shd w:val="clear" w:color="auto" w:fill="auto"/>
          </w:tcPr>
          <w:p w:rsidR="003A16A0" w:rsidRPr="00804000" w:rsidRDefault="003A16A0" w:rsidP="00804000">
            <w:pPr>
              <w:pStyle w:val="BodyText2"/>
              <w:spacing w:after="0" w:line="240" w:lineRule="auto"/>
              <w:rPr>
                <w:rFonts w:ascii="Arial" w:hAnsi="Arial" w:cs="Arial"/>
                <w:b/>
              </w:rPr>
            </w:pPr>
          </w:p>
        </w:tc>
        <w:tc>
          <w:tcPr>
            <w:tcW w:w="2050" w:type="dxa"/>
            <w:shd w:val="clear" w:color="auto" w:fill="auto"/>
          </w:tcPr>
          <w:p w:rsidR="003A16A0" w:rsidRPr="00804000" w:rsidRDefault="003A16A0" w:rsidP="00804000">
            <w:pPr>
              <w:pStyle w:val="BodyText2"/>
              <w:spacing w:after="0" w:line="240" w:lineRule="auto"/>
              <w:rPr>
                <w:rFonts w:ascii="Arial" w:hAnsi="Arial" w:cs="Arial"/>
                <w:b/>
              </w:rPr>
            </w:pPr>
          </w:p>
        </w:tc>
      </w:tr>
      <w:tr w:rsidR="003A16A0" w:rsidRPr="00804000" w:rsidTr="00804000">
        <w:tc>
          <w:tcPr>
            <w:tcW w:w="802" w:type="dxa"/>
            <w:shd w:val="clear" w:color="auto" w:fill="auto"/>
          </w:tcPr>
          <w:p w:rsidR="003A16A0" w:rsidRPr="00804000" w:rsidRDefault="003A16A0" w:rsidP="002F11C7">
            <w:pPr>
              <w:pStyle w:val="BodyText2"/>
              <w:spacing w:after="0" w:line="240" w:lineRule="auto"/>
              <w:jc w:val="center"/>
              <w:rPr>
                <w:rFonts w:ascii="Arial" w:hAnsi="Arial" w:cs="Arial"/>
                <w:b/>
              </w:rPr>
            </w:pPr>
            <w:r w:rsidRPr="00804000">
              <w:rPr>
                <w:rFonts w:ascii="Arial" w:hAnsi="Arial" w:cs="Arial"/>
                <w:b/>
              </w:rPr>
              <w:t>2</w:t>
            </w:r>
          </w:p>
        </w:tc>
        <w:tc>
          <w:tcPr>
            <w:tcW w:w="2214" w:type="dxa"/>
            <w:shd w:val="clear" w:color="auto" w:fill="auto"/>
          </w:tcPr>
          <w:p w:rsidR="00B45A2E" w:rsidRDefault="009631C6" w:rsidP="005E7DF5">
            <w:pPr>
              <w:pStyle w:val="BodyText2"/>
              <w:spacing w:after="0" w:line="240" w:lineRule="auto"/>
              <w:rPr>
                <w:rFonts w:ascii="Arial" w:hAnsi="Arial" w:cs="Arial"/>
              </w:rPr>
            </w:pPr>
            <w:r>
              <w:rPr>
                <w:rFonts w:ascii="Arial" w:hAnsi="Arial" w:cs="Arial"/>
              </w:rPr>
              <w:t>Training</w:t>
            </w:r>
          </w:p>
          <w:p w:rsidR="001B0E69" w:rsidRDefault="001B0E69" w:rsidP="001B0E69">
            <w:pPr>
              <w:pStyle w:val="BodyText2"/>
              <w:spacing w:after="0" w:line="240" w:lineRule="auto"/>
              <w:rPr>
                <w:rFonts w:ascii="Arial" w:hAnsi="Arial" w:cs="Arial"/>
              </w:rPr>
            </w:pPr>
          </w:p>
          <w:p w:rsidR="001B0E69" w:rsidRPr="005E7DF5" w:rsidRDefault="001B0E69" w:rsidP="001B0E69">
            <w:pPr>
              <w:pStyle w:val="BodyText2"/>
              <w:spacing w:after="0" w:line="240" w:lineRule="auto"/>
              <w:rPr>
                <w:rFonts w:ascii="Arial" w:hAnsi="Arial" w:cs="Arial"/>
              </w:rPr>
            </w:pPr>
            <w:r w:rsidRPr="00232683">
              <w:rPr>
                <w:rFonts w:ascii="Arial" w:hAnsi="Arial" w:cs="Arial"/>
              </w:rPr>
              <w:t>SOR Serials 1.1</w:t>
            </w:r>
            <w:r>
              <w:rPr>
                <w:rFonts w:ascii="Arial" w:hAnsi="Arial" w:cs="Arial"/>
              </w:rPr>
              <w:t xml:space="preserve"> </w:t>
            </w:r>
            <w:r w:rsidRPr="00232683">
              <w:rPr>
                <w:rFonts w:ascii="Arial" w:hAnsi="Arial" w:cs="Arial"/>
              </w:rPr>
              <w:t xml:space="preserve">&amp; </w:t>
            </w:r>
            <w:r>
              <w:rPr>
                <w:rFonts w:ascii="Arial" w:hAnsi="Arial" w:cs="Arial"/>
              </w:rPr>
              <w:t>2</w:t>
            </w:r>
            <w:r w:rsidRPr="00232683">
              <w:rPr>
                <w:rFonts w:ascii="Arial" w:hAnsi="Arial" w:cs="Arial"/>
              </w:rPr>
              <w:t>.1 refer</w:t>
            </w:r>
            <w:r w:rsidR="00C40577">
              <w:rPr>
                <w:rFonts w:ascii="Arial" w:hAnsi="Arial" w:cs="Arial"/>
              </w:rPr>
              <w:t>s</w:t>
            </w:r>
            <w:r w:rsidR="00D72712">
              <w:rPr>
                <w:rFonts w:ascii="Arial" w:hAnsi="Arial" w:cs="Arial"/>
              </w:rPr>
              <w:t xml:space="preserve"> (Annex A to Schedule 2)</w:t>
            </w:r>
          </w:p>
        </w:tc>
        <w:tc>
          <w:tcPr>
            <w:tcW w:w="4637" w:type="dxa"/>
            <w:shd w:val="clear" w:color="auto" w:fill="auto"/>
          </w:tcPr>
          <w:p w:rsidR="003A16A0" w:rsidRPr="005E7DF5" w:rsidRDefault="00B8039E" w:rsidP="009E1B85">
            <w:pPr>
              <w:pStyle w:val="BodyText2"/>
              <w:spacing w:after="0" w:line="240" w:lineRule="auto"/>
              <w:rPr>
                <w:rFonts w:ascii="Arial" w:hAnsi="Arial" w:cs="Arial"/>
              </w:rPr>
            </w:pPr>
            <w:r>
              <w:rPr>
                <w:rFonts w:ascii="Arial" w:hAnsi="Arial" w:cs="Arial"/>
              </w:rPr>
              <w:t>Operatives are appropriately trained and qualified (where applicable)</w:t>
            </w:r>
          </w:p>
        </w:tc>
        <w:tc>
          <w:tcPr>
            <w:tcW w:w="4221"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2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red"/>
              </w:rPr>
              <w:t>Red</w:t>
            </w:r>
            <w:r w:rsidRPr="00804000">
              <w:rPr>
                <w:rFonts w:ascii="Arial" w:hAnsi="Arial" w:cs="Arial"/>
                <w:b/>
              </w:rPr>
              <w:t xml:space="preserve"> – </w:t>
            </w:r>
            <w:r w:rsidR="00596DBC" w:rsidRPr="00804000">
              <w:rPr>
                <w:rFonts w:ascii="Arial" w:hAnsi="Arial" w:cs="Arial"/>
                <w:b/>
              </w:rPr>
              <w:t>3</w:t>
            </w:r>
            <w:r w:rsidRPr="00804000">
              <w:rPr>
                <w:rFonts w:ascii="Arial" w:hAnsi="Arial" w:cs="Arial"/>
                <w:b/>
              </w:rPr>
              <w:t xml:space="preserve"> or more instances of failure</w:t>
            </w:r>
          </w:p>
        </w:tc>
        <w:tc>
          <w:tcPr>
            <w:tcW w:w="872" w:type="dxa"/>
            <w:shd w:val="clear" w:color="auto" w:fill="auto"/>
          </w:tcPr>
          <w:p w:rsidR="003A16A0" w:rsidRPr="00804000" w:rsidRDefault="003A16A0" w:rsidP="00804000">
            <w:pPr>
              <w:pStyle w:val="BodyText2"/>
              <w:spacing w:after="0" w:line="240" w:lineRule="auto"/>
              <w:rPr>
                <w:rFonts w:ascii="Arial" w:hAnsi="Arial" w:cs="Arial"/>
                <w:b/>
              </w:rPr>
            </w:pPr>
          </w:p>
        </w:tc>
        <w:tc>
          <w:tcPr>
            <w:tcW w:w="2050" w:type="dxa"/>
            <w:shd w:val="clear" w:color="auto" w:fill="auto"/>
          </w:tcPr>
          <w:p w:rsidR="003A16A0" w:rsidRPr="00804000" w:rsidRDefault="003A16A0" w:rsidP="00804000">
            <w:pPr>
              <w:pStyle w:val="BodyText2"/>
              <w:spacing w:after="0" w:line="240" w:lineRule="auto"/>
              <w:rPr>
                <w:rFonts w:ascii="Arial" w:hAnsi="Arial" w:cs="Arial"/>
                <w:b/>
              </w:rPr>
            </w:pPr>
          </w:p>
        </w:tc>
      </w:tr>
      <w:tr w:rsidR="00EA5586" w:rsidRPr="00804000" w:rsidTr="00804000">
        <w:tc>
          <w:tcPr>
            <w:tcW w:w="802" w:type="dxa"/>
            <w:shd w:val="clear" w:color="auto" w:fill="auto"/>
          </w:tcPr>
          <w:p w:rsidR="00EA5586" w:rsidRDefault="00EA5586" w:rsidP="00EA5586">
            <w:pPr>
              <w:pStyle w:val="BodyText2"/>
              <w:spacing w:after="0" w:line="240" w:lineRule="auto"/>
              <w:jc w:val="center"/>
              <w:rPr>
                <w:rFonts w:ascii="Arial" w:hAnsi="Arial" w:cs="Arial"/>
                <w:b/>
              </w:rPr>
            </w:pPr>
          </w:p>
          <w:p w:rsidR="00EA5586" w:rsidRDefault="00EA5586" w:rsidP="00EA5586">
            <w:pPr>
              <w:pStyle w:val="BodyText2"/>
              <w:spacing w:after="0" w:line="240" w:lineRule="auto"/>
              <w:jc w:val="center"/>
              <w:rPr>
                <w:rFonts w:ascii="Arial" w:hAnsi="Arial" w:cs="Arial"/>
                <w:b/>
              </w:rPr>
            </w:pPr>
            <w:r>
              <w:rPr>
                <w:rFonts w:ascii="Arial" w:hAnsi="Arial" w:cs="Arial"/>
                <w:b/>
              </w:rPr>
              <w:t>3</w:t>
            </w:r>
          </w:p>
          <w:p w:rsidR="00EA5586" w:rsidRDefault="00EA5586" w:rsidP="00EA5586">
            <w:pPr>
              <w:pStyle w:val="BodyText2"/>
              <w:spacing w:after="0" w:line="240" w:lineRule="auto"/>
              <w:jc w:val="center"/>
              <w:rPr>
                <w:rFonts w:ascii="Arial" w:hAnsi="Arial" w:cs="Arial"/>
                <w:b/>
              </w:rPr>
            </w:pPr>
          </w:p>
          <w:p w:rsidR="00EA5586" w:rsidRPr="00804000" w:rsidRDefault="00EA5586" w:rsidP="002F11C7">
            <w:pPr>
              <w:pStyle w:val="BodyText2"/>
              <w:spacing w:after="0" w:line="240" w:lineRule="auto"/>
              <w:jc w:val="center"/>
              <w:rPr>
                <w:rFonts w:ascii="Arial" w:hAnsi="Arial" w:cs="Arial"/>
                <w:b/>
              </w:rPr>
            </w:pPr>
          </w:p>
        </w:tc>
        <w:tc>
          <w:tcPr>
            <w:tcW w:w="2214" w:type="dxa"/>
            <w:shd w:val="clear" w:color="auto" w:fill="auto"/>
          </w:tcPr>
          <w:p w:rsidR="003256F6" w:rsidRPr="00A47E61" w:rsidRDefault="00E77C81" w:rsidP="003256F6">
            <w:pPr>
              <w:pStyle w:val="BodyText2"/>
              <w:spacing w:after="0" w:line="240" w:lineRule="auto"/>
              <w:rPr>
                <w:rFonts w:ascii="Arial" w:hAnsi="Arial" w:cs="Arial"/>
              </w:rPr>
            </w:pPr>
            <w:r w:rsidRPr="00A47E61">
              <w:rPr>
                <w:rFonts w:ascii="Arial" w:hAnsi="Arial" w:cs="Arial"/>
              </w:rPr>
              <w:t>Information</w:t>
            </w:r>
            <w:r w:rsidR="00C40577">
              <w:rPr>
                <w:rFonts w:ascii="Arial" w:hAnsi="Arial" w:cs="Arial"/>
              </w:rPr>
              <w:t xml:space="preserve"> SOR Serial </w:t>
            </w:r>
            <w:r w:rsidR="005846DC" w:rsidRPr="00A47E61">
              <w:rPr>
                <w:rFonts w:ascii="Arial" w:hAnsi="Arial" w:cs="Arial"/>
              </w:rPr>
              <w:t>2.1</w:t>
            </w:r>
            <w:r w:rsidR="00C40577">
              <w:rPr>
                <w:rFonts w:ascii="Arial" w:hAnsi="Arial" w:cs="Arial"/>
              </w:rPr>
              <w:t xml:space="preserve"> refers (Annex A to Schedule 2)</w:t>
            </w:r>
          </w:p>
        </w:tc>
        <w:tc>
          <w:tcPr>
            <w:tcW w:w="4637" w:type="dxa"/>
            <w:shd w:val="clear" w:color="auto" w:fill="auto"/>
          </w:tcPr>
          <w:p w:rsidR="00EA5586" w:rsidRPr="00A47E61" w:rsidRDefault="00FE7035" w:rsidP="00A45414">
            <w:pPr>
              <w:pStyle w:val="BodyText2"/>
              <w:spacing w:after="0" w:line="240" w:lineRule="auto"/>
              <w:rPr>
                <w:rFonts w:ascii="Arial" w:hAnsi="Arial" w:cs="Arial"/>
              </w:rPr>
            </w:pPr>
            <w:r w:rsidRPr="00A47E61">
              <w:rPr>
                <w:rFonts w:ascii="Arial" w:hAnsi="Arial" w:cs="Arial"/>
              </w:rPr>
              <w:t>Safety performance information provided in a timely manner for monthly review meeting.</w:t>
            </w:r>
          </w:p>
        </w:tc>
        <w:tc>
          <w:tcPr>
            <w:tcW w:w="4221" w:type="dxa"/>
            <w:shd w:val="clear" w:color="auto" w:fill="auto"/>
          </w:tcPr>
          <w:p w:rsidR="00860254" w:rsidRPr="00804000" w:rsidRDefault="00860254" w:rsidP="00860254">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w:t>
            </w:r>
          </w:p>
          <w:p w:rsidR="00860254" w:rsidRPr="00804000" w:rsidRDefault="00860254" w:rsidP="00860254">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2 instances of failure</w:t>
            </w:r>
          </w:p>
          <w:p w:rsidR="00EA5586" w:rsidRPr="00804000" w:rsidRDefault="00860254" w:rsidP="00860254">
            <w:pPr>
              <w:pStyle w:val="BodyText2"/>
              <w:spacing w:after="0" w:line="240" w:lineRule="auto"/>
              <w:rPr>
                <w:rFonts w:ascii="Arial" w:hAnsi="Arial" w:cs="Arial"/>
                <w:b/>
                <w:highlight w:val="green"/>
              </w:rPr>
            </w:pPr>
            <w:r w:rsidRPr="00804000">
              <w:rPr>
                <w:rFonts w:ascii="Arial" w:hAnsi="Arial" w:cs="Arial"/>
                <w:b/>
                <w:highlight w:val="red"/>
              </w:rPr>
              <w:t>Red</w:t>
            </w:r>
            <w:r w:rsidRPr="00804000">
              <w:rPr>
                <w:rFonts w:ascii="Arial" w:hAnsi="Arial" w:cs="Arial"/>
                <w:b/>
              </w:rPr>
              <w:t xml:space="preserve"> – 3 or more instances of failure</w:t>
            </w:r>
          </w:p>
        </w:tc>
        <w:tc>
          <w:tcPr>
            <w:tcW w:w="872" w:type="dxa"/>
            <w:shd w:val="clear" w:color="auto" w:fill="auto"/>
          </w:tcPr>
          <w:p w:rsidR="00EA5586" w:rsidRPr="00804000" w:rsidRDefault="00EA5586" w:rsidP="00804000">
            <w:pPr>
              <w:pStyle w:val="BodyText2"/>
              <w:spacing w:after="0" w:line="240" w:lineRule="auto"/>
              <w:rPr>
                <w:rFonts w:ascii="Arial" w:hAnsi="Arial" w:cs="Arial"/>
                <w:b/>
              </w:rPr>
            </w:pPr>
          </w:p>
        </w:tc>
        <w:tc>
          <w:tcPr>
            <w:tcW w:w="2050" w:type="dxa"/>
            <w:shd w:val="clear" w:color="auto" w:fill="auto"/>
          </w:tcPr>
          <w:p w:rsidR="00EA5586" w:rsidRPr="00804000" w:rsidRDefault="00EA5586" w:rsidP="00804000">
            <w:pPr>
              <w:pStyle w:val="BodyText2"/>
              <w:spacing w:after="0" w:line="240" w:lineRule="auto"/>
              <w:rPr>
                <w:rFonts w:ascii="Arial" w:hAnsi="Arial" w:cs="Arial"/>
                <w:b/>
              </w:rPr>
            </w:pPr>
          </w:p>
        </w:tc>
      </w:tr>
    </w:tbl>
    <w:p w:rsidR="003A16A0" w:rsidRDefault="003A16A0" w:rsidP="003A16A0">
      <w:pPr>
        <w:rPr>
          <w:rFonts w:ascii="Arial" w:hAnsi="Arial" w:cs="Arial"/>
          <w:sz w:val="18"/>
          <w:szCs w:val="18"/>
        </w:rPr>
      </w:pPr>
    </w:p>
    <w:p w:rsidR="008145D7" w:rsidRDefault="008145D7" w:rsidP="003A16A0">
      <w:pPr>
        <w:rPr>
          <w:rFonts w:ascii="Arial" w:hAnsi="Arial" w:cs="Arial"/>
          <w:sz w:val="18"/>
          <w:szCs w:val="18"/>
        </w:rPr>
      </w:pPr>
    </w:p>
    <w:p w:rsidR="008145D7" w:rsidRPr="00A61D63" w:rsidRDefault="008145D7" w:rsidP="003A16A0">
      <w:pPr>
        <w:rPr>
          <w:rFonts w:ascii="Arial" w:hAnsi="Arial" w:cs="Arial"/>
          <w:sz w:val="18"/>
          <w:szCs w:val="18"/>
        </w:rPr>
      </w:pPr>
    </w:p>
    <w:p w:rsidR="003A16A0" w:rsidRPr="00A61D63" w:rsidRDefault="003A16A0" w:rsidP="003A16A0">
      <w:pPr>
        <w:rPr>
          <w:rFonts w:ascii="Arial" w:hAnsi="Arial" w:cs="Arial"/>
          <w:b/>
          <w:sz w:val="18"/>
          <w:szCs w:val="18"/>
          <w:u w:val="single"/>
        </w:rPr>
      </w:pPr>
      <w:r w:rsidRPr="00A61D63">
        <w:rPr>
          <w:rFonts w:ascii="Arial" w:hAnsi="Arial" w:cs="Arial"/>
          <w:b/>
          <w:sz w:val="18"/>
          <w:szCs w:val="18"/>
          <w:u w:val="single"/>
        </w:rPr>
        <w:t>MANAGEMENT AND COMMUNICATION</w:t>
      </w:r>
    </w:p>
    <w:p w:rsidR="003A16A0" w:rsidRDefault="003A16A0" w:rsidP="003A16A0"/>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4"/>
        <w:gridCol w:w="4637"/>
        <w:gridCol w:w="4221"/>
        <w:gridCol w:w="872"/>
        <w:gridCol w:w="2050"/>
      </w:tblGrid>
      <w:tr w:rsidR="003A16A0" w:rsidRPr="00804000" w:rsidTr="00804000">
        <w:tc>
          <w:tcPr>
            <w:tcW w:w="80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KPI</w:t>
            </w:r>
          </w:p>
          <w:p w:rsidR="003A16A0" w:rsidRPr="00804000" w:rsidRDefault="003A16A0" w:rsidP="00804000">
            <w:pPr>
              <w:pStyle w:val="BodyText2"/>
              <w:spacing w:after="0" w:line="240" w:lineRule="auto"/>
              <w:jc w:val="center"/>
              <w:rPr>
                <w:rFonts w:ascii="Arial" w:hAnsi="Arial" w:cs="Arial"/>
                <w:b/>
              </w:rPr>
            </w:pPr>
          </w:p>
        </w:tc>
        <w:tc>
          <w:tcPr>
            <w:tcW w:w="2214"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Criteria</w:t>
            </w:r>
          </w:p>
        </w:tc>
        <w:tc>
          <w:tcPr>
            <w:tcW w:w="4637"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Performance Indicator</w:t>
            </w:r>
          </w:p>
        </w:tc>
        <w:tc>
          <w:tcPr>
            <w:tcW w:w="4221"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Measurement</w:t>
            </w:r>
          </w:p>
        </w:tc>
        <w:tc>
          <w:tcPr>
            <w:tcW w:w="87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 xml:space="preserve">Month </w:t>
            </w:r>
          </w:p>
        </w:tc>
        <w:tc>
          <w:tcPr>
            <w:tcW w:w="2050"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Status</w:t>
            </w:r>
          </w:p>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(Green/Amber/Red)</w:t>
            </w:r>
          </w:p>
        </w:tc>
      </w:tr>
      <w:tr w:rsidR="003A16A0" w:rsidRPr="00804000" w:rsidTr="00804000">
        <w:tc>
          <w:tcPr>
            <w:tcW w:w="802" w:type="dxa"/>
            <w:shd w:val="clear" w:color="auto" w:fill="auto"/>
          </w:tcPr>
          <w:p w:rsidR="003A16A0" w:rsidRPr="00804000" w:rsidRDefault="003A16A0" w:rsidP="002F11C7">
            <w:pPr>
              <w:pStyle w:val="BodyText2"/>
              <w:spacing w:after="0" w:line="240" w:lineRule="auto"/>
              <w:jc w:val="center"/>
              <w:rPr>
                <w:rFonts w:ascii="Arial" w:hAnsi="Arial" w:cs="Arial"/>
                <w:b/>
              </w:rPr>
            </w:pPr>
            <w:r w:rsidRPr="00804000">
              <w:rPr>
                <w:rFonts w:ascii="Arial" w:hAnsi="Arial" w:cs="Arial"/>
                <w:b/>
              </w:rPr>
              <w:t>1</w:t>
            </w:r>
          </w:p>
          <w:p w:rsidR="003A16A0" w:rsidRPr="00804000" w:rsidRDefault="003A16A0" w:rsidP="002F11C7">
            <w:pPr>
              <w:pStyle w:val="BodyText2"/>
              <w:spacing w:after="0" w:line="240" w:lineRule="auto"/>
              <w:jc w:val="center"/>
              <w:rPr>
                <w:rFonts w:ascii="Arial" w:hAnsi="Arial" w:cs="Arial"/>
                <w:b/>
              </w:rPr>
            </w:pPr>
          </w:p>
          <w:p w:rsidR="003A16A0" w:rsidRPr="00804000" w:rsidRDefault="003A16A0" w:rsidP="002F11C7">
            <w:pPr>
              <w:pStyle w:val="BodyText2"/>
              <w:spacing w:after="0" w:line="240" w:lineRule="auto"/>
              <w:jc w:val="center"/>
              <w:rPr>
                <w:rFonts w:ascii="Arial" w:hAnsi="Arial" w:cs="Arial"/>
                <w:b/>
              </w:rPr>
            </w:pPr>
          </w:p>
        </w:tc>
        <w:tc>
          <w:tcPr>
            <w:tcW w:w="2214" w:type="dxa"/>
            <w:shd w:val="clear" w:color="auto" w:fill="auto"/>
          </w:tcPr>
          <w:p w:rsidR="003A16A0" w:rsidRPr="005E7DF5" w:rsidRDefault="003A16A0" w:rsidP="00804000">
            <w:pPr>
              <w:pStyle w:val="BodyText2"/>
              <w:spacing w:after="0" w:line="240" w:lineRule="auto"/>
              <w:rPr>
                <w:rFonts w:ascii="Arial" w:hAnsi="Arial" w:cs="Arial"/>
              </w:rPr>
            </w:pPr>
            <w:r w:rsidRPr="005E7DF5">
              <w:rPr>
                <w:rFonts w:ascii="Arial" w:hAnsi="Arial" w:cs="Arial"/>
              </w:rPr>
              <w:t>Interface</w:t>
            </w:r>
          </w:p>
          <w:p w:rsidR="00B45A2E" w:rsidRPr="005E7DF5" w:rsidRDefault="00B45A2E" w:rsidP="00804000">
            <w:pPr>
              <w:pStyle w:val="BodyText2"/>
              <w:spacing w:after="0" w:line="240" w:lineRule="auto"/>
              <w:rPr>
                <w:rFonts w:ascii="Arial" w:hAnsi="Arial" w:cs="Arial"/>
              </w:rPr>
            </w:pPr>
          </w:p>
          <w:p w:rsidR="00B45A2E" w:rsidRPr="005E7DF5" w:rsidRDefault="00B45A2E" w:rsidP="00804000">
            <w:pPr>
              <w:pStyle w:val="BodyText2"/>
              <w:spacing w:after="0" w:line="240" w:lineRule="auto"/>
              <w:rPr>
                <w:rFonts w:ascii="Arial" w:hAnsi="Arial" w:cs="Arial"/>
              </w:rPr>
            </w:pPr>
            <w:r w:rsidRPr="005E7DF5">
              <w:rPr>
                <w:rFonts w:ascii="Arial" w:hAnsi="Arial" w:cs="Arial"/>
              </w:rPr>
              <w:t xml:space="preserve">SOR Serial </w:t>
            </w:r>
            <w:r w:rsidR="003145E8" w:rsidRPr="005E7DF5">
              <w:rPr>
                <w:rFonts w:ascii="Arial" w:hAnsi="Arial" w:cs="Arial"/>
              </w:rPr>
              <w:t>2.2</w:t>
            </w:r>
            <w:r w:rsidR="002F11C7" w:rsidRPr="005E7DF5">
              <w:rPr>
                <w:rFonts w:ascii="Arial" w:hAnsi="Arial" w:cs="Arial"/>
              </w:rPr>
              <w:t xml:space="preserve"> refers</w:t>
            </w:r>
            <w:r w:rsidR="00C40577">
              <w:rPr>
                <w:rFonts w:ascii="Arial" w:hAnsi="Arial" w:cs="Arial"/>
              </w:rPr>
              <w:t xml:space="preserve"> (Annex A to Schedule 2)</w:t>
            </w:r>
          </w:p>
        </w:tc>
        <w:tc>
          <w:tcPr>
            <w:tcW w:w="4637" w:type="dxa"/>
            <w:shd w:val="clear" w:color="auto" w:fill="auto"/>
          </w:tcPr>
          <w:p w:rsidR="003A16A0" w:rsidRPr="005E7DF5" w:rsidRDefault="003A16A0" w:rsidP="00804000">
            <w:pPr>
              <w:pStyle w:val="BodyText2"/>
              <w:spacing w:after="0" w:line="240" w:lineRule="auto"/>
              <w:rPr>
                <w:rFonts w:ascii="Arial" w:hAnsi="Arial" w:cs="Arial"/>
              </w:rPr>
            </w:pPr>
            <w:r w:rsidRPr="005E7DF5">
              <w:rPr>
                <w:rFonts w:ascii="Arial" w:hAnsi="Arial" w:cs="Arial"/>
              </w:rPr>
              <w:t>Contractor provides management interface and responds to all actions.</w:t>
            </w:r>
          </w:p>
        </w:tc>
        <w:tc>
          <w:tcPr>
            <w:tcW w:w="4221"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3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red"/>
              </w:rPr>
              <w:t>Red</w:t>
            </w:r>
            <w:r w:rsidR="00596DBC" w:rsidRPr="00804000">
              <w:rPr>
                <w:rFonts w:ascii="Arial" w:hAnsi="Arial" w:cs="Arial"/>
                <w:b/>
              </w:rPr>
              <w:t xml:space="preserve"> – </w:t>
            </w:r>
            <w:r w:rsidRPr="00804000">
              <w:rPr>
                <w:rFonts w:ascii="Arial" w:hAnsi="Arial" w:cs="Arial"/>
                <w:b/>
              </w:rPr>
              <w:t xml:space="preserve">more </w:t>
            </w:r>
            <w:r w:rsidR="00596DBC" w:rsidRPr="00804000">
              <w:rPr>
                <w:rFonts w:ascii="Arial" w:hAnsi="Arial" w:cs="Arial"/>
                <w:b/>
              </w:rPr>
              <w:t xml:space="preserve">than 3 </w:t>
            </w:r>
            <w:r w:rsidRPr="00804000">
              <w:rPr>
                <w:rFonts w:ascii="Arial" w:hAnsi="Arial" w:cs="Arial"/>
                <w:b/>
              </w:rPr>
              <w:t>instances of failure</w:t>
            </w:r>
          </w:p>
        </w:tc>
        <w:tc>
          <w:tcPr>
            <w:tcW w:w="872" w:type="dxa"/>
            <w:shd w:val="clear" w:color="auto" w:fill="auto"/>
          </w:tcPr>
          <w:p w:rsidR="003A16A0" w:rsidRPr="00804000" w:rsidRDefault="003A16A0" w:rsidP="00804000">
            <w:pPr>
              <w:pStyle w:val="BodyText2"/>
              <w:spacing w:after="0" w:line="240" w:lineRule="auto"/>
              <w:rPr>
                <w:rFonts w:ascii="Arial" w:hAnsi="Arial" w:cs="Arial"/>
                <w:b/>
              </w:rPr>
            </w:pPr>
          </w:p>
        </w:tc>
        <w:tc>
          <w:tcPr>
            <w:tcW w:w="2050" w:type="dxa"/>
            <w:shd w:val="clear" w:color="auto" w:fill="auto"/>
          </w:tcPr>
          <w:p w:rsidR="003A16A0" w:rsidRPr="00804000" w:rsidRDefault="003A16A0" w:rsidP="00804000">
            <w:pPr>
              <w:pStyle w:val="BodyText2"/>
              <w:spacing w:after="0" w:line="240" w:lineRule="auto"/>
              <w:rPr>
                <w:rFonts w:ascii="Arial" w:hAnsi="Arial" w:cs="Arial"/>
                <w:b/>
              </w:rPr>
            </w:pPr>
          </w:p>
        </w:tc>
      </w:tr>
    </w:tbl>
    <w:p w:rsidR="003A16A0" w:rsidRPr="004213C2" w:rsidRDefault="003A16A0" w:rsidP="003A16A0">
      <w:pPr>
        <w:rPr>
          <w:rFonts w:ascii="Arial" w:hAnsi="Arial" w:cs="Arial"/>
          <w:b/>
          <w:u w:val="single"/>
        </w:rPr>
      </w:pPr>
      <w:r>
        <w:br w:type="page"/>
      </w:r>
      <w:r w:rsidRPr="004213C2">
        <w:rPr>
          <w:rFonts w:ascii="Arial" w:hAnsi="Arial" w:cs="Arial"/>
          <w:b/>
          <w:u w:val="single"/>
        </w:rPr>
        <w:lastRenderedPageBreak/>
        <w:t>COST</w:t>
      </w:r>
    </w:p>
    <w:p w:rsidR="003A16A0" w:rsidRPr="004213C2" w:rsidRDefault="003A16A0" w:rsidP="003A16A0">
      <w:pPr>
        <w:rPr>
          <w:b/>
          <w:u w:val="single"/>
        </w:rPr>
      </w:pPr>
    </w:p>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4"/>
        <w:gridCol w:w="4637"/>
        <w:gridCol w:w="4221"/>
        <w:gridCol w:w="872"/>
        <w:gridCol w:w="2050"/>
      </w:tblGrid>
      <w:tr w:rsidR="003A16A0" w:rsidRPr="00804000" w:rsidTr="00804000">
        <w:tc>
          <w:tcPr>
            <w:tcW w:w="80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KPI</w:t>
            </w:r>
          </w:p>
          <w:p w:rsidR="003A16A0" w:rsidRPr="00804000" w:rsidRDefault="003A16A0" w:rsidP="00804000">
            <w:pPr>
              <w:pStyle w:val="BodyText2"/>
              <w:spacing w:after="0" w:line="240" w:lineRule="auto"/>
              <w:jc w:val="center"/>
              <w:rPr>
                <w:rFonts w:ascii="Arial" w:hAnsi="Arial" w:cs="Arial"/>
                <w:b/>
              </w:rPr>
            </w:pPr>
          </w:p>
        </w:tc>
        <w:tc>
          <w:tcPr>
            <w:tcW w:w="2214"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Criteria</w:t>
            </w:r>
          </w:p>
        </w:tc>
        <w:tc>
          <w:tcPr>
            <w:tcW w:w="4637"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Performance Indicator</w:t>
            </w:r>
          </w:p>
        </w:tc>
        <w:tc>
          <w:tcPr>
            <w:tcW w:w="4221"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Measurement</w:t>
            </w:r>
          </w:p>
        </w:tc>
        <w:tc>
          <w:tcPr>
            <w:tcW w:w="872"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 xml:space="preserve">Month </w:t>
            </w:r>
          </w:p>
        </w:tc>
        <w:tc>
          <w:tcPr>
            <w:tcW w:w="2050" w:type="dxa"/>
            <w:shd w:val="clear" w:color="auto" w:fill="CC99FF"/>
          </w:tcPr>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Status</w:t>
            </w:r>
          </w:p>
          <w:p w:rsidR="003A16A0" w:rsidRPr="00804000" w:rsidRDefault="003A16A0" w:rsidP="00804000">
            <w:pPr>
              <w:pStyle w:val="BodyText2"/>
              <w:spacing w:after="0" w:line="240" w:lineRule="auto"/>
              <w:jc w:val="center"/>
              <w:rPr>
                <w:rFonts w:ascii="Arial" w:hAnsi="Arial" w:cs="Arial"/>
                <w:b/>
              </w:rPr>
            </w:pPr>
            <w:r w:rsidRPr="00804000">
              <w:rPr>
                <w:rFonts w:ascii="Arial" w:hAnsi="Arial" w:cs="Arial"/>
                <w:b/>
              </w:rPr>
              <w:t>(Green/Amber/Red)</w:t>
            </w:r>
          </w:p>
        </w:tc>
      </w:tr>
      <w:tr w:rsidR="003A16A0" w:rsidRPr="00804000" w:rsidTr="00804000">
        <w:tc>
          <w:tcPr>
            <w:tcW w:w="802" w:type="dxa"/>
            <w:shd w:val="clear" w:color="auto" w:fill="auto"/>
          </w:tcPr>
          <w:p w:rsidR="003A16A0" w:rsidRPr="00804000" w:rsidRDefault="003A16A0" w:rsidP="002F11C7">
            <w:pPr>
              <w:pStyle w:val="BodyText2"/>
              <w:spacing w:after="0" w:line="240" w:lineRule="auto"/>
              <w:jc w:val="center"/>
              <w:rPr>
                <w:rFonts w:ascii="Arial" w:hAnsi="Arial" w:cs="Arial"/>
                <w:b/>
              </w:rPr>
            </w:pPr>
            <w:r w:rsidRPr="00804000">
              <w:rPr>
                <w:rFonts w:ascii="Arial" w:hAnsi="Arial" w:cs="Arial"/>
                <w:b/>
              </w:rPr>
              <w:t>1</w:t>
            </w:r>
          </w:p>
          <w:p w:rsidR="003A16A0" w:rsidRPr="00804000" w:rsidRDefault="003A16A0" w:rsidP="002F11C7">
            <w:pPr>
              <w:pStyle w:val="BodyText2"/>
              <w:spacing w:after="0" w:line="240" w:lineRule="auto"/>
              <w:jc w:val="center"/>
              <w:rPr>
                <w:rFonts w:ascii="Arial" w:hAnsi="Arial" w:cs="Arial"/>
                <w:b/>
              </w:rPr>
            </w:pPr>
          </w:p>
        </w:tc>
        <w:tc>
          <w:tcPr>
            <w:tcW w:w="2214" w:type="dxa"/>
            <w:shd w:val="clear" w:color="auto" w:fill="auto"/>
          </w:tcPr>
          <w:p w:rsidR="003A16A0" w:rsidRPr="005E7DF5" w:rsidRDefault="003A16A0" w:rsidP="00804000">
            <w:pPr>
              <w:pStyle w:val="BodyText2"/>
              <w:spacing w:after="0" w:line="240" w:lineRule="auto"/>
              <w:rPr>
                <w:rFonts w:ascii="Arial" w:hAnsi="Arial" w:cs="Arial"/>
              </w:rPr>
            </w:pPr>
            <w:r w:rsidRPr="005E7DF5">
              <w:rPr>
                <w:rFonts w:ascii="Arial" w:hAnsi="Arial" w:cs="Arial"/>
              </w:rPr>
              <w:t>Payment</w:t>
            </w:r>
          </w:p>
          <w:p w:rsidR="00B45A2E" w:rsidRPr="005E7DF5" w:rsidRDefault="00B45A2E" w:rsidP="00804000">
            <w:pPr>
              <w:pStyle w:val="BodyText2"/>
              <w:spacing w:after="0" w:line="240" w:lineRule="auto"/>
              <w:rPr>
                <w:rFonts w:ascii="Arial" w:hAnsi="Arial" w:cs="Arial"/>
              </w:rPr>
            </w:pPr>
          </w:p>
          <w:p w:rsidR="00B45A2E" w:rsidRPr="005E7DF5" w:rsidRDefault="00E30AAA" w:rsidP="001B0E69">
            <w:pPr>
              <w:pStyle w:val="BodyText2"/>
              <w:spacing w:after="0" w:line="240" w:lineRule="auto"/>
              <w:rPr>
                <w:rFonts w:ascii="Arial" w:hAnsi="Arial" w:cs="Arial"/>
              </w:rPr>
            </w:pPr>
            <w:r w:rsidRPr="005E7DF5">
              <w:rPr>
                <w:rFonts w:ascii="Arial" w:hAnsi="Arial" w:cs="Arial"/>
              </w:rPr>
              <w:t>Clause</w:t>
            </w:r>
            <w:r w:rsidR="001B0E69">
              <w:rPr>
                <w:rFonts w:ascii="Arial" w:hAnsi="Arial" w:cs="Arial"/>
              </w:rPr>
              <w:t xml:space="preserve"> </w:t>
            </w:r>
            <w:r w:rsidR="00325BC0">
              <w:rPr>
                <w:rFonts w:ascii="Arial" w:hAnsi="Arial" w:cs="Arial"/>
              </w:rPr>
              <w:t>36</w:t>
            </w:r>
            <w:r w:rsidR="001B0E69">
              <w:rPr>
                <w:rFonts w:ascii="Arial" w:hAnsi="Arial" w:cs="Arial"/>
              </w:rPr>
              <w:t xml:space="preserve"> </w:t>
            </w:r>
            <w:r w:rsidRPr="005E7DF5">
              <w:rPr>
                <w:rFonts w:ascii="Arial" w:hAnsi="Arial" w:cs="Arial"/>
              </w:rPr>
              <w:t xml:space="preserve">to </w:t>
            </w:r>
            <w:r w:rsidR="001B0E69">
              <w:rPr>
                <w:rFonts w:ascii="Arial" w:hAnsi="Arial" w:cs="Arial"/>
              </w:rPr>
              <w:t>SC</w:t>
            </w:r>
            <w:r w:rsidR="00325BC0">
              <w:rPr>
                <w:rFonts w:ascii="Arial" w:hAnsi="Arial" w:cs="Arial"/>
              </w:rPr>
              <w:t>2</w:t>
            </w:r>
            <w:r w:rsidR="001B0E69">
              <w:rPr>
                <w:rFonts w:ascii="Arial" w:hAnsi="Arial" w:cs="Arial"/>
              </w:rPr>
              <w:t xml:space="preserve"> </w:t>
            </w:r>
            <w:r w:rsidRPr="005E7DF5">
              <w:rPr>
                <w:rFonts w:ascii="Arial" w:hAnsi="Arial" w:cs="Arial"/>
              </w:rPr>
              <w:t xml:space="preserve">Schedule </w:t>
            </w:r>
            <w:r w:rsidR="001B0E69">
              <w:rPr>
                <w:rFonts w:ascii="Arial" w:hAnsi="Arial" w:cs="Arial"/>
              </w:rPr>
              <w:t>2</w:t>
            </w:r>
            <w:r w:rsidR="008145D7" w:rsidRPr="005E7DF5">
              <w:rPr>
                <w:rFonts w:ascii="Arial" w:hAnsi="Arial" w:cs="Arial"/>
              </w:rPr>
              <w:t xml:space="preserve"> refers. </w:t>
            </w:r>
          </w:p>
        </w:tc>
        <w:tc>
          <w:tcPr>
            <w:tcW w:w="4637" w:type="dxa"/>
            <w:shd w:val="clear" w:color="auto" w:fill="auto"/>
          </w:tcPr>
          <w:p w:rsidR="003A16A0" w:rsidRPr="005E7DF5" w:rsidRDefault="003A16A0" w:rsidP="00804000">
            <w:pPr>
              <w:pStyle w:val="BodyText2"/>
              <w:spacing w:after="0" w:line="240" w:lineRule="auto"/>
              <w:rPr>
                <w:rFonts w:ascii="Arial" w:hAnsi="Arial" w:cs="Arial"/>
                <w:b/>
              </w:rPr>
            </w:pPr>
            <w:r w:rsidRPr="005E7DF5">
              <w:rPr>
                <w:rFonts w:ascii="Arial" w:hAnsi="Arial" w:cs="Arial"/>
              </w:rPr>
              <w:t xml:space="preserve">All payment requests on time </w:t>
            </w:r>
            <w:r w:rsidR="008145D7" w:rsidRPr="005E7DF5">
              <w:rPr>
                <w:rFonts w:ascii="Arial" w:hAnsi="Arial" w:cs="Arial"/>
              </w:rPr>
              <w:t>and as per the pricing schedule.</w:t>
            </w:r>
          </w:p>
        </w:tc>
        <w:tc>
          <w:tcPr>
            <w:tcW w:w="4221"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 and 100% accuracy</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3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red"/>
              </w:rPr>
              <w:t>Red</w:t>
            </w:r>
            <w:r w:rsidR="00596DBC" w:rsidRPr="00804000">
              <w:rPr>
                <w:rFonts w:ascii="Arial" w:hAnsi="Arial" w:cs="Arial"/>
                <w:b/>
              </w:rPr>
              <w:t xml:space="preserve"> – </w:t>
            </w:r>
            <w:r w:rsidRPr="00804000">
              <w:rPr>
                <w:rFonts w:ascii="Arial" w:hAnsi="Arial" w:cs="Arial"/>
                <w:b/>
              </w:rPr>
              <w:t xml:space="preserve">more </w:t>
            </w:r>
            <w:r w:rsidR="00596DBC" w:rsidRPr="00804000">
              <w:rPr>
                <w:rFonts w:ascii="Arial" w:hAnsi="Arial" w:cs="Arial"/>
                <w:b/>
              </w:rPr>
              <w:t xml:space="preserve">than 3 </w:t>
            </w:r>
            <w:r w:rsidRPr="00804000">
              <w:rPr>
                <w:rFonts w:ascii="Arial" w:hAnsi="Arial" w:cs="Arial"/>
                <w:b/>
              </w:rPr>
              <w:t>instances of failure</w:t>
            </w:r>
          </w:p>
        </w:tc>
        <w:tc>
          <w:tcPr>
            <w:tcW w:w="872" w:type="dxa"/>
            <w:shd w:val="clear" w:color="auto" w:fill="auto"/>
          </w:tcPr>
          <w:p w:rsidR="003A16A0" w:rsidRPr="00804000" w:rsidRDefault="003A16A0" w:rsidP="00804000">
            <w:pPr>
              <w:pStyle w:val="BodyText2"/>
              <w:spacing w:after="0" w:line="240" w:lineRule="auto"/>
              <w:rPr>
                <w:rFonts w:ascii="Arial" w:hAnsi="Arial" w:cs="Arial"/>
                <w:b/>
              </w:rPr>
            </w:pPr>
          </w:p>
        </w:tc>
        <w:tc>
          <w:tcPr>
            <w:tcW w:w="2050" w:type="dxa"/>
            <w:shd w:val="clear" w:color="auto" w:fill="auto"/>
          </w:tcPr>
          <w:p w:rsidR="003A16A0" w:rsidRPr="00804000" w:rsidRDefault="003A16A0" w:rsidP="00804000">
            <w:pPr>
              <w:pStyle w:val="BodyText2"/>
              <w:spacing w:after="0" w:line="240" w:lineRule="auto"/>
              <w:rPr>
                <w:rFonts w:ascii="Arial" w:hAnsi="Arial" w:cs="Arial"/>
                <w:b/>
              </w:rPr>
            </w:pPr>
          </w:p>
        </w:tc>
      </w:tr>
      <w:tr w:rsidR="003A16A0" w:rsidRPr="00804000" w:rsidTr="00804000">
        <w:tc>
          <w:tcPr>
            <w:tcW w:w="802" w:type="dxa"/>
            <w:shd w:val="clear" w:color="auto" w:fill="auto"/>
          </w:tcPr>
          <w:p w:rsidR="003A16A0" w:rsidRPr="00804000" w:rsidRDefault="003A16A0" w:rsidP="002F11C7">
            <w:pPr>
              <w:pStyle w:val="BodyText2"/>
              <w:spacing w:after="0" w:line="240" w:lineRule="auto"/>
              <w:jc w:val="center"/>
              <w:rPr>
                <w:rFonts w:ascii="Arial" w:hAnsi="Arial" w:cs="Arial"/>
                <w:b/>
              </w:rPr>
            </w:pPr>
            <w:r w:rsidRPr="00804000">
              <w:rPr>
                <w:rFonts w:ascii="Arial" w:hAnsi="Arial" w:cs="Arial"/>
                <w:b/>
              </w:rPr>
              <w:t>2</w:t>
            </w:r>
          </w:p>
          <w:p w:rsidR="003A16A0" w:rsidRPr="00804000" w:rsidRDefault="003A16A0" w:rsidP="002F11C7">
            <w:pPr>
              <w:pStyle w:val="BodyText2"/>
              <w:spacing w:after="0" w:line="240" w:lineRule="auto"/>
              <w:jc w:val="center"/>
              <w:rPr>
                <w:rFonts w:ascii="Arial" w:hAnsi="Arial" w:cs="Arial"/>
                <w:b/>
              </w:rPr>
            </w:pPr>
          </w:p>
        </w:tc>
        <w:tc>
          <w:tcPr>
            <w:tcW w:w="2214" w:type="dxa"/>
            <w:shd w:val="clear" w:color="auto" w:fill="auto"/>
          </w:tcPr>
          <w:p w:rsidR="003A16A0" w:rsidRPr="00804000" w:rsidRDefault="003A16A0" w:rsidP="00804000">
            <w:pPr>
              <w:pStyle w:val="BodyText2"/>
              <w:spacing w:after="0" w:line="240" w:lineRule="auto"/>
              <w:rPr>
                <w:rFonts w:ascii="Arial" w:hAnsi="Arial" w:cs="Arial"/>
              </w:rPr>
            </w:pPr>
            <w:r w:rsidRPr="00804000">
              <w:rPr>
                <w:rFonts w:ascii="Arial" w:hAnsi="Arial" w:cs="Arial"/>
              </w:rPr>
              <w:t>Accounting</w:t>
            </w:r>
          </w:p>
        </w:tc>
        <w:tc>
          <w:tcPr>
            <w:tcW w:w="4637"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rPr>
              <w:t>Accounting processes and procedures operated in accordance with open book accounting principles</w:t>
            </w:r>
          </w:p>
        </w:tc>
        <w:tc>
          <w:tcPr>
            <w:tcW w:w="4221" w:type="dxa"/>
            <w:shd w:val="clear" w:color="auto" w:fill="auto"/>
          </w:tcPr>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green"/>
              </w:rPr>
              <w:t>Green</w:t>
            </w:r>
            <w:r w:rsidRPr="00804000">
              <w:rPr>
                <w:rFonts w:ascii="Arial" w:hAnsi="Arial" w:cs="Arial"/>
                <w:b/>
              </w:rPr>
              <w:t xml:space="preserve"> – No instances of failure </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yellow"/>
              </w:rPr>
              <w:t>Amber</w:t>
            </w:r>
            <w:r w:rsidRPr="00804000">
              <w:rPr>
                <w:rFonts w:ascii="Arial" w:hAnsi="Arial" w:cs="Arial"/>
                <w:b/>
              </w:rPr>
              <w:t xml:space="preserve"> – 1 – 3 instances of failure</w:t>
            </w:r>
          </w:p>
          <w:p w:rsidR="003A16A0" w:rsidRPr="00804000" w:rsidRDefault="003A16A0" w:rsidP="00804000">
            <w:pPr>
              <w:pStyle w:val="BodyText2"/>
              <w:spacing w:after="0" w:line="240" w:lineRule="auto"/>
              <w:rPr>
                <w:rFonts w:ascii="Arial" w:hAnsi="Arial" w:cs="Arial"/>
                <w:b/>
              </w:rPr>
            </w:pPr>
            <w:r w:rsidRPr="00804000">
              <w:rPr>
                <w:rFonts w:ascii="Arial" w:hAnsi="Arial" w:cs="Arial"/>
                <w:b/>
                <w:highlight w:val="red"/>
              </w:rPr>
              <w:t>Red</w:t>
            </w:r>
            <w:r w:rsidR="00596DBC" w:rsidRPr="00804000">
              <w:rPr>
                <w:rFonts w:ascii="Arial" w:hAnsi="Arial" w:cs="Arial"/>
                <w:b/>
              </w:rPr>
              <w:t xml:space="preserve"> – </w:t>
            </w:r>
            <w:r w:rsidRPr="00804000">
              <w:rPr>
                <w:rFonts w:ascii="Arial" w:hAnsi="Arial" w:cs="Arial"/>
                <w:b/>
              </w:rPr>
              <w:t xml:space="preserve">more </w:t>
            </w:r>
            <w:proofErr w:type="spellStart"/>
            <w:r w:rsidR="00596DBC" w:rsidRPr="00804000">
              <w:rPr>
                <w:rFonts w:ascii="Arial" w:hAnsi="Arial" w:cs="Arial"/>
                <w:b/>
              </w:rPr>
              <w:t>then</w:t>
            </w:r>
            <w:proofErr w:type="spellEnd"/>
            <w:r w:rsidR="00596DBC" w:rsidRPr="00804000">
              <w:rPr>
                <w:rFonts w:ascii="Arial" w:hAnsi="Arial" w:cs="Arial"/>
                <w:b/>
              </w:rPr>
              <w:t xml:space="preserve"> 3 </w:t>
            </w:r>
            <w:r w:rsidRPr="00804000">
              <w:rPr>
                <w:rFonts w:ascii="Arial" w:hAnsi="Arial" w:cs="Arial"/>
                <w:b/>
              </w:rPr>
              <w:t>instances of failure</w:t>
            </w:r>
          </w:p>
        </w:tc>
        <w:tc>
          <w:tcPr>
            <w:tcW w:w="872" w:type="dxa"/>
            <w:shd w:val="clear" w:color="auto" w:fill="auto"/>
          </w:tcPr>
          <w:p w:rsidR="003A16A0" w:rsidRPr="00804000" w:rsidRDefault="003A16A0" w:rsidP="00804000">
            <w:pPr>
              <w:pStyle w:val="BodyText2"/>
              <w:spacing w:after="0" w:line="240" w:lineRule="auto"/>
              <w:rPr>
                <w:rFonts w:ascii="Arial" w:hAnsi="Arial" w:cs="Arial"/>
                <w:b/>
              </w:rPr>
            </w:pPr>
          </w:p>
        </w:tc>
        <w:tc>
          <w:tcPr>
            <w:tcW w:w="2050" w:type="dxa"/>
            <w:shd w:val="clear" w:color="auto" w:fill="auto"/>
          </w:tcPr>
          <w:p w:rsidR="003A16A0" w:rsidRPr="00804000" w:rsidRDefault="003A16A0" w:rsidP="00804000">
            <w:pPr>
              <w:pStyle w:val="BodyText2"/>
              <w:spacing w:after="0" w:line="240" w:lineRule="auto"/>
              <w:rPr>
                <w:rFonts w:ascii="Arial" w:hAnsi="Arial" w:cs="Arial"/>
                <w:b/>
              </w:rPr>
            </w:pPr>
          </w:p>
        </w:tc>
      </w:tr>
    </w:tbl>
    <w:p w:rsidR="003A16A0" w:rsidRDefault="003A16A0" w:rsidP="003A16A0">
      <w:pPr>
        <w:pStyle w:val="BodyText2"/>
        <w:spacing w:after="0" w:line="240" w:lineRule="auto"/>
        <w:rPr>
          <w:rFonts w:ascii="Arial" w:hAnsi="Arial" w:cs="Arial"/>
          <w:b/>
        </w:rPr>
      </w:pPr>
    </w:p>
    <w:p w:rsidR="003A16A0" w:rsidRDefault="003A16A0" w:rsidP="003A16A0">
      <w:pPr>
        <w:pStyle w:val="BodyText2"/>
        <w:spacing w:after="0" w:line="240" w:lineRule="auto"/>
        <w:jc w:val="right"/>
        <w:rPr>
          <w:rFonts w:ascii="Arial" w:hAnsi="Arial" w:cs="Arial"/>
          <w:b/>
        </w:rPr>
      </w:pPr>
    </w:p>
    <w:p w:rsidR="003A16A0" w:rsidRPr="00986BA6" w:rsidRDefault="003A16A0" w:rsidP="003A16A0">
      <w:pPr>
        <w:pStyle w:val="BodyText2"/>
        <w:spacing w:after="0" w:line="240" w:lineRule="auto"/>
        <w:rPr>
          <w:rFonts w:ascii="Arial" w:hAnsi="Arial" w:cs="Arial"/>
          <w:b/>
          <w:u w:val="single"/>
        </w:rPr>
      </w:pPr>
      <w:r w:rsidRPr="00986BA6">
        <w:rPr>
          <w:rFonts w:ascii="Arial" w:hAnsi="Arial" w:cs="Arial"/>
          <w:b/>
          <w:u w:val="single"/>
        </w:rPr>
        <w:t>Notes</w:t>
      </w:r>
    </w:p>
    <w:p w:rsidR="003A16A0" w:rsidRPr="00986BA6" w:rsidRDefault="003A16A0" w:rsidP="003A16A0">
      <w:pPr>
        <w:pStyle w:val="BodyText2"/>
        <w:spacing w:after="0" w:line="240" w:lineRule="auto"/>
        <w:rPr>
          <w:rFonts w:ascii="Arial" w:hAnsi="Arial" w:cs="Arial"/>
          <w:b/>
        </w:rPr>
      </w:pPr>
    </w:p>
    <w:p w:rsidR="003A16A0" w:rsidRPr="00986BA6" w:rsidRDefault="003A16A0" w:rsidP="005D6ACC">
      <w:pPr>
        <w:pStyle w:val="BodyText2"/>
        <w:spacing w:after="0" w:line="240" w:lineRule="auto"/>
        <w:rPr>
          <w:rFonts w:ascii="Arial" w:hAnsi="Arial" w:cs="Arial"/>
        </w:rPr>
      </w:pPr>
      <w:r w:rsidRPr="00986BA6">
        <w:rPr>
          <w:rFonts w:ascii="Arial" w:hAnsi="Arial" w:cs="Arial"/>
        </w:rPr>
        <w:t>1.1</w:t>
      </w:r>
      <w:r w:rsidRPr="00986BA6">
        <w:rPr>
          <w:rFonts w:ascii="Arial" w:hAnsi="Arial" w:cs="Arial"/>
        </w:rPr>
        <w:tab/>
        <w:t>Performance will be monitored monthly in accordance with the above criteria.</w:t>
      </w:r>
      <w:r w:rsidR="0064203C" w:rsidRPr="00986BA6">
        <w:rPr>
          <w:rFonts w:ascii="Arial" w:hAnsi="Arial" w:cs="Arial"/>
        </w:rPr>
        <w:t xml:space="preserve"> </w:t>
      </w:r>
      <w:r w:rsidRPr="00986BA6">
        <w:rPr>
          <w:rFonts w:ascii="Arial" w:hAnsi="Arial" w:cs="Arial"/>
        </w:rPr>
        <w:t>Failure of performance (Red) shall result in a deduction to the monthly payment due by the Authority.  The reduction will be calculated as follows:</w:t>
      </w:r>
    </w:p>
    <w:p w:rsidR="003A16A0" w:rsidRPr="00986BA6" w:rsidRDefault="003A16A0" w:rsidP="003A16A0">
      <w:pPr>
        <w:pStyle w:val="BodyText2"/>
        <w:spacing w:after="0" w:line="240" w:lineRule="auto"/>
        <w:rPr>
          <w:rFonts w:ascii="Arial" w:hAnsi="Arial" w:cs="Arial"/>
        </w:rPr>
      </w:pPr>
    </w:p>
    <w:p w:rsidR="003A16A0" w:rsidRPr="00986BA6" w:rsidRDefault="003A16A0" w:rsidP="003A16A0">
      <w:pPr>
        <w:pStyle w:val="BodyText2"/>
        <w:spacing w:after="0" w:line="240" w:lineRule="auto"/>
        <w:rPr>
          <w:rFonts w:ascii="Arial" w:hAnsi="Arial" w:cs="Arial"/>
          <w:u w:val="single"/>
        </w:rPr>
      </w:pPr>
      <w:r w:rsidRPr="00986BA6">
        <w:rPr>
          <w:rFonts w:ascii="Arial" w:hAnsi="Arial" w:cs="Arial"/>
          <w:u w:val="single"/>
        </w:rPr>
        <w:t xml:space="preserve">Instances of failure </w:t>
      </w:r>
    </w:p>
    <w:p w:rsidR="003A16A0" w:rsidRPr="00986BA6" w:rsidRDefault="003A16A0" w:rsidP="003A16A0">
      <w:pPr>
        <w:pStyle w:val="BodyText2"/>
        <w:spacing w:after="0" w:line="240" w:lineRule="auto"/>
        <w:rPr>
          <w:rFonts w:ascii="Arial" w:hAnsi="Arial" w:cs="Arial"/>
        </w:rPr>
      </w:pPr>
    </w:p>
    <w:p w:rsidR="003A16A0" w:rsidRPr="00986BA6" w:rsidRDefault="003A16A0" w:rsidP="003A16A0">
      <w:pPr>
        <w:pStyle w:val="BodyText2"/>
        <w:spacing w:after="0" w:line="240" w:lineRule="auto"/>
        <w:rPr>
          <w:rFonts w:ascii="Arial" w:hAnsi="Arial" w:cs="Arial"/>
        </w:rPr>
      </w:pPr>
      <w:r w:rsidRPr="00986BA6">
        <w:rPr>
          <w:rFonts w:ascii="Arial" w:hAnsi="Arial" w:cs="Arial"/>
        </w:rPr>
        <w:t xml:space="preserve">Where KPI’s are measured as being Red, the Authority shall have the right to a reduction in the monthly payment due.  The reduction will be based on a percentage (%) reduction for each failing KPI occurring in the month, aggregated where there is more than one failing KPI, up to a maximum % reduction of 5% in any one calendar month. </w:t>
      </w:r>
    </w:p>
    <w:p w:rsidR="003A16A0" w:rsidRPr="00986BA6" w:rsidRDefault="003A16A0" w:rsidP="003A16A0">
      <w:pPr>
        <w:pStyle w:val="BodyText2"/>
        <w:spacing w:after="0" w:line="240" w:lineRule="auto"/>
        <w:rPr>
          <w:rFonts w:ascii="Arial" w:hAnsi="Arial" w:cs="Arial"/>
        </w:rPr>
      </w:pPr>
    </w:p>
    <w:p w:rsidR="003A16A0" w:rsidRPr="00986BA6" w:rsidRDefault="003A16A0" w:rsidP="003A16A0">
      <w:pPr>
        <w:pStyle w:val="BodyText2"/>
        <w:spacing w:after="0" w:line="240" w:lineRule="auto"/>
        <w:rPr>
          <w:rFonts w:ascii="Arial" w:hAnsi="Arial" w:cs="Arial"/>
        </w:rPr>
      </w:pPr>
      <w:r w:rsidRPr="00986BA6">
        <w:rPr>
          <w:rFonts w:ascii="Arial" w:hAnsi="Arial" w:cs="Arial"/>
        </w:rPr>
        <w:t>1 x Red KPI 2% reduction</w:t>
      </w:r>
    </w:p>
    <w:p w:rsidR="003A16A0" w:rsidRPr="00986BA6" w:rsidRDefault="003A16A0" w:rsidP="003A16A0">
      <w:pPr>
        <w:pStyle w:val="BodyText2"/>
        <w:spacing w:after="0" w:line="240" w:lineRule="auto"/>
        <w:rPr>
          <w:rFonts w:ascii="Arial" w:hAnsi="Arial" w:cs="Arial"/>
        </w:rPr>
      </w:pPr>
      <w:r w:rsidRPr="00986BA6">
        <w:rPr>
          <w:rFonts w:ascii="Arial" w:hAnsi="Arial" w:cs="Arial"/>
        </w:rPr>
        <w:t>2 x Red KPI 3% reduction</w:t>
      </w:r>
    </w:p>
    <w:p w:rsidR="003A16A0" w:rsidRPr="00986BA6" w:rsidRDefault="003A16A0" w:rsidP="003A16A0">
      <w:pPr>
        <w:pStyle w:val="BodyText2"/>
        <w:spacing w:after="0" w:line="240" w:lineRule="auto"/>
        <w:rPr>
          <w:rFonts w:ascii="Arial" w:hAnsi="Arial" w:cs="Arial"/>
        </w:rPr>
      </w:pPr>
      <w:r w:rsidRPr="00986BA6">
        <w:rPr>
          <w:rFonts w:ascii="Arial" w:hAnsi="Arial" w:cs="Arial"/>
        </w:rPr>
        <w:t xml:space="preserve">3 x Red KPI 5% reduction </w:t>
      </w:r>
    </w:p>
    <w:p w:rsidR="003A16A0" w:rsidRPr="00986BA6" w:rsidRDefault="003A16A0" w:rsidP="003A16A0">
      <w:pPr>
        <w:pStyle w:val="BodyText2"/>
        <w:spacing w:after="0" w:line="240" w:lineRule="auto"/>
        <w:rPr>
          <w:rFonts w:ascii="Arial" w:hAnsi="Arial" w:cs="Arial"/>
        </w:rPr>
      </w:pPr>
    </w:p>
    <w:p w:rsidR="008A5DEE" w:rsidRPr="00986BA6" w:rsidRDefault="008A5DEE" w:rsidP="003A16A0">
      <w:pPr>
        <w:pStyle w:val="BodyText2"/>
        <w:spacing w:after="0" w:line="240" w:lineRule="auto"/>
        <w:rPr>
          <w:rFonts w:ascii="Arial" w:hAnsi="Arial" w:cs="Arial"/>
        </w:rPr>
      </w:pPr>
      <w:r w:rsidRPr="00986BA6">
        <w:rPr>
          <w:rFonts w:ascii="Arial" w:hAnsi="Arial" w:cs="Arial"/>
        </w:rPr>
        <w:t>1.2</w:t>
      </w:r>
      <w:r w:rsidRPr="00986BA6">
        <w:rPr>
          <w:rFonts w:ascii="Arial" w:hAnsi="Arial" w:cs="Arial"/>
        </w:rPr>
        <w:tab/>
        <w:t>A Corrective Action Plan will be agreed between the Parties in the event of an Amber or Red KPI.</w:t>
      </w:r>
    </w:p>
    <w:p w:rsidR="008A5DEE" w:rsidRPr="00986BA6" w:rsidRDefault="008A5DEE" w:rsidP="003A16A0">
      <w:pPr>
        <w:pStyle w:val="BodyText2"/>
        <w:spacing w:after="0" w:line="240" w:lineRule="auto"/>
        <w:rPr>
          <w:rFonts w:ascii="Arial" w:hAnsi="Arial" w:cs="Arial"/>
        </w:rPr>
      </w:pPr>
    </w:p>
    <w:p w:rsidR="008A5DEE" w:rsidRPr="00986BA6" w:rsidRDefault="008A5DEE" w:rsidP="003A16A0">
      <w:pPr>
        <w:pStyle w:val="BodyText2"/>
        <w:spacing w:after="0" w:line="240" w:lineRule="auto"/>
        <w:rPr>
          <w:rFonts w:ascii="Arial" w:hAnsi="Arial" w:cs="Arial"/>
        </w:rPr>
      </w:pPr>
      <w:r w:rsidRPr="00986BA6">
        <w:rPr>
          <w:rFonts w:ascii="Arial" w:hAnsi="Arial" w:cs="Arial"/>
        </w:rPr>
        <w:t>1.3</w:t>
      </w:r>
      <w:r w:rsidRPr="00986BA6">
        <w:rPr>
          <w:rFonts w:ascii="Arial" w:hAnsi="Arial" w:cs="Arial"/>
        </w:rPr>
        <w:tab/>
        <w:t>Subsequently, in the event that the Contractor’s performance</w:t>
      </w:r>
      <w:r w:rsidR="00F2169B" w:rsidRPr="00986BA6">
        <w:rPr>
          <w:rFonts w:ascii="Arial" w:hAnsi="Arial" w:cs="Arial"/>
        </w:rPr>
        <w:t xml:space="preserve"> </w:t>
      </w:r>
      <w:r w:rsidRPr="00986BA6">
        <w:rPr>
          <w:rFonts w:ascii="Arial" w:hAnsi="Arial" w:cs="Arial"/>
        </w:rPr>
        <w:t>continue</w:t>
      </w:r>
      <w:r w:rsidR="00F2169B" w:rsidRPr="00986BA6">
        <w:rPr>
          <w:rFonts w:ascii="Arial" w:hAnsi="Arial" w:cs="Arial"/>
        </w:rPr>
        <w:t>s</w:t>
      </w:r>
      <w:r w:rsidRPr="00986BA6">
        <w:rPr>
          <w:rFonts w:ascii="Arial" w:hAnsi="Arial" w:cs="Arial"/>
        </w:rPr>
        <w:t xml:space="preserve"> to be assessed on a consecutive monthly basis as Red against</w:t>
      </w:r>
      <w:r w:rsidR="00F2169B" w:rsidRPr="00986BA6">
        <w:rPr>
          <w:rFonts w:ascii="Arial" w:hAnsi="Arial" w:cs="Arial"/>
        </w:rPr>
        <w:t xml:space="preserve"> </w:t>
      </w:r>
      <w:r w:rsidRPr="00986BA6">
        <w:rPr>
          <w:rFonts w:ascii="Arial" w:hAnsi="Arial" w:cs="Arial"/>
        </w:rPr>
        <w:t>individual KPIs</w:t>
      </w:r>
      <w:r w:rsidR="00F2169B" w:rsidRPr="00986BA6">
        <w:rPr>
          <w:rFonts w:ascii="Arial" w:hAnsi="Arial" w:cs="Arial"/>
        </w:rPr>
        <w:t xml:space="preserve">, </w:t>
      </w:r>
      <w:r w:rsidRPr="00986BA6">
        <w:rPr>
          <w:rFonts w:ascii="Arial" w:hAnsi="Arial" w:cs="Arial"/>
        </w:rPr>
        <w:t>where there are two monthly consecutive Red KPI Status or there are three Re</w:t>
      </w:r>
      <w:r w:rsidR="00F2169B" w:rsidRPr="00986BA6">
        <w:rPr>
          <w:rFonts w:ascii="Arial" w:hAnsi="Arial" w:cs="Arial"/>
        </w:rPr>
        <w:t>d</w:t>
      </w:r>
      <w:r w:rsidRPr="00986BA6">
        <w:rPr>
          <w:rFonts w:ascii="Arial" w:hAnsi="Arial" w:cs="Arial"/>
        </w:rPr>
        <w:t xml:space="preserve"> KPIs in a twelve month rolling period, the Authority shall have the right to the</w:t>
      </w:r>
      <w:r w:rsidR="00062965" w:rsidRPr="00986BA6">
        <w:rPr>
          <w:rFonts w:ascii="Arial" w:hAnsi="Arial" w:cs="Arial"/>
        </w:rPr>
        <w:t xml:space="preserve"> te</w:t>
      </w:r>
      <w:r w:rsidR="00986BA6" w:rsidRPr="00986BA6">
        <w:rPr>
          <w:rFonts w:ascii="Arial" w:hAnsi="Arial" w:cs="Arial"/>
        </w:rPr>
        <w:t xml:space="preserve">rminate the Contract in accordance with Clause 43 (Material Breach). </w:t>
      </w:r>
      <w:r w:rsidRPr="00986BA6">
        <w:rPr>
          <w:rFonts w:ascii="Arial" w:hAnsi="Arial" w:cs="Arial"/>
        </w:rPr>
        <w:t xml:space="preserve"> </w:t>
      </w:r>
    </w:p>
    <w:p w:rsidR="008A5DEE" w:rsidRPr="00986BA6" w:rsidRDefault="008A5DEE" w:rsidP="003A16A0">
      <w:pPr>
        <w:pStyle w:val="BodyText2"/>
        <w:spacing w:after="0" w:line="240" w:lineRule="auto"/>
        <w:rPr>
          <w:rFonts w:ascii="Arial" w:hAnsi="Arial" w:cs="Arial"/>
        </w:rPr>
      </w:pPr>
    </w:p>
    <w:p w:rsidR="008A5DEE" w:rsidRPr="00000EC8" w:rsidRDefault="008A5DEE" w:rsidP="003A16A0">
      <w:pPr>
        <w:pStyle w:val="BodyText2"/>
        <w:spacing w:after="0" w:line="240" w:lineRule="auto"/>
        <w:rPr>
          <w:rFonts w:ascii="Arial" w:hAnsi="Arial" w:cs="Arial"/>
        </w:rPr>
      </w:pPr>
      <w:r w:rsidRPr="00986BA6">
        <w:rPr>
          <w:rFonts w:ascii="Arial" w:hAnsi="Arial" w:cs="Arial"/>
        </w:rPr>
        <w:t>1.4</w:t>
      </w:r>
      <w:r w:rsidRPr="00986BA6">
        <w:rPr>
          <w:rFonts w:ascii="Arial" w:hAnsi="Arial" w:cs="Arial"/>
        </w:rPr>
        <w:tab/>
        <w:t>The Contractor shall not fail (eg Amber or Red) KPIs due to acts or omissions of the Authority or force majeure events</w:t>
      </w:r>
      <w:r>
        <w:rPr>
          <w:rFonts w:ascii="Arial" w:hAnsi="Arial" w:cs="Arial"/>
        </w:rPr>
        <w:t xml:space="preserve">. </w:t>
      </w:r>
    </w:p>
    <w:sectPr w:rsidR="008A5DEE" w:rsidRPr="00000EC8" w:rsidSect="00F737C4">
      <w:headerReference w:type="default" r:id="rId10"/>
      <w:footerReference w:type="even" r:id="rId11"/>
      <w:footerReference w:type="default" r:id="rId12"/>
      <w:pgSz w:w="16840" w:h="11907" w:orient="landscape"/>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F4E" w:rsidRDefault="00F47F4E">
      <w:r>
        <w:separator/>
      </w:r>
    </w:p>
  </w:endnote>
  <w:endnote w:type="continuationSeparator" w:id="0">
    <w:p w:rsidR="00F47F4E" w:rsidRDefault="00F4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500" w:rsidRDefault="00360500" w:rsidP="00727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0500" w:rsidRDefault="00360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500" w:rsidRPr="00360500" w:rsidRDefault="00360500" w:rsidP="00727E2F">
    <w:pPr>
      <w:pStyle w:val="Footer"/>
      <w:framePr w:wrap="around" w:vAnchor="text" w:hAnchor="margin" w:xAlign="center" w:y="1"/>
      <w:rPr>
        <w:rStyle w:val="PageNumber"/>
        <w:rFonts w:ascii="Arial" w:hAnsi="Arial" w:cs="Arial"/>
        <w:sz w:val="22"/>
        <w:szCs w:val="22"/>
      </w:rPr>
    </w:pPr>
    <w:r w:rsidRPr="00360500">
      <w:rPr>
        <w:rStyle w:val="PageNumber"/>
        <w:rFonts w:ascii="Arial" w:hAnsi="Arial" w:cs="Arial"/>
        <w:sz w:val="22"/>
        <w:szCs w:val="22"/>
      </w:rPr>
      <w:fldChar w:fldCharType="begin"/>
    </w:r>
    <w:r w:rsidRPr="00360500">
      <w:rPr>
        <w:rStyle w:val="PageNumber"/>
        <w:rFonts w:ascii="Arial" w:hAnsi="Arial" w:cs="Arial"/>
        <w:sz w:val="22"/>
        <w:szCs w:val="22"/>
      </w:rPr>
      <w:instrText xml:space="preserve">PAGE  </w:instrText>
    </w:r>
    <w:r w:rsidRPr="00360500">
      <w:rPr>
        <w:rStyle w:val="PageNumber"/>
        <w:rFonts w:ascii="Arial" w:hAnsi="Arial" w:cs="Arial"/>
        <w:sz w:val="22"/>
        <w:szCs w:val="22"/>
      </w:rPr>
      <w:fldChar w:fldCharType="separate"/>
    </w:r>
    <w:r w:rsidR="0064203C">
      <w:rPr>
        <w:rStyle w:val="PageNumber"/>
        <w:rFonts w:ascii="Arial" w:hAnsi="Arial" w:cs="Arial"/>
        <w:noProof/>
        <w:sz w:val="22"/>
        <w:szCs w:val="22"/>
      </w:rPr>
      <w:t>3</w:t>
    </w:r>
    <w:r w:rsidRPr="00360500">
      <w:rPr>
        <w:rStyle w:val="PageNumber"/>
        <w:rFonts w:ascii="Arial" w:hAnsi="Arial" w:cs="Arial"/>
        <w:sz w:val="22"/>
        <w:szCs w:val="22"/>
      </w:rPr>
      <w:fldChar w:fldCharType="end"/>
    </w:r>
  </w:p>
  <w:p w:rsidR="00360500" w:rsidRDefault="00360500" w:rsidP="00360500">
    <w:pPr>
      <w:pStyle w:val="Footer"/>
      <w:jc w:val="center"/>
      <w:rPr>
        <w:rFonts w:ascii="Arial" w:hAnsi="Arial" w:cs="Arial"/>
        <w:sz w:val="22"/>
        <w:szCs w:val="22"/>
      </w:rPr>
    </w:pPr>
  </w:p>
  <w:p w:rsidR="00360500" w:rsidRDefault="00360500" w:rsidP="00360500">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F4E" w:rsidRDefault="00F47F4E">
      <w:r>
        <w:separator/>
      </w:r>
    </w:p>
  </w:footnote>
  <w:footnote w:type="continuationSeparator" w:id="0">
    <w:p w:rsidR="00F47F4E" w:rsidRDefault="00F4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500" w:rsidRPr="00360500" w:rsidRDefault="00360500" w:rsidP="00360500">
    <w:pPr>
      <w:pStyle w:val="Header"/>
      <w:jc w:val="center"/>
      <w:rPr>
        <w:rFonts w:ascii="Arial" w:hAnsi="Arial" w:cs="Arial"/>
        <w:bCs/>
        <w:sz w:val="22"/>
        <w:szCs w:val="22"/>
      </w:rPr>
    </w:pPr>
  </w:p>
  <w:p w:rsidR="00F45F47" w:rsidRPr="00DE11AD" w:rsidRDefault="00F45F47" w:rsidP="00360500">
    <w:pPr>
      <w:pStyle w:val="Header"/>
      <w:jc w:val="right"/>
      <w:rPr>
        <w:rFonts w:ascii="Arial" w:hAnsi="Arial" w:cs="Arial"/>
        <w:b/>
        <w:u w:val="single"/>
      </w:rPr>
    </w:pPr>
    <w:r w:rsidRPr="00DE11AD">
      <w:rPr>
        <w:rFonts w:ascii="Arial" w:hAnsi="Arial" w:cs="Arial"/>
        <w:b/>
        <w:u w:val="single"/>
      </w:rPr>
      <w:t xml:space="preserve">ANNEX </w:t>
    </w:r>
    <w:r w:rsidR="004B321B">
      <w:rPr>
        <w:rFonts w:ascii="Arial" w:hAnsi="Arial" w:cs="Arial"/>
        <w:b/>
        <w:u w:val="single"/>
      </w:rPr>
      <w:t>C</w:t>
    </w:r>
    <w:r w:rsidR="00E63089">
      <w:rPr>
        <w:rFonts w:ascii="Arial" w:hAnsi="Arial" w:cs="Arial"/>
        <w:b/>
        <w:u w:val="single"/>
      </w:rPr>
      <w:t xml:space="preserve"> </w:t>
    </w:r>
    <w:r w:rsidRPr="00DE11AD">
      <w:rPr>
        <w:rFonts w:ascii="Arial" w:hAnsi="Arial" w:cs="Arial"/>
        <w:b/>
        <w:u w:val="single"/>
      </w:rPr>
      <w:t>TO</w:t>
    </w:r>
  </w:p>
  <w:p w:rsidR="00F45F47" w:rsidRPr="00DE11AD" w:rsidRDefault="00D074EE" w:rsidP="00F45F47">
    <w:pPr>
      <w:pStyle w:val="Header"/>
      <w:jc w:val="right"/>
      <w:rPr>
        <w:rFonts w:ascii="Arial" w:hAnsi="Arial" w:cs="Arial"/>
        <w:b/>
        <w:u w:val="single"/>
      </w:rPr>
    </w:pPr>
    <w:r>
      <w:rPr>
        <w:rFonts w:ascii="Arial" w:hAnsi="Arial" w:cs="Arial"/>
        <w:b/>
        <w:u w:val="single"/>
      </w:rPr>
      <w:t xml:space="preserve">SC2 </w:t>
    </w:r>
    <w:r w:rsidR="00F45F47" w:rsidRPr="00DE11AD">
      <w:rPr>
        <w:rFonts w:ascii="Arial" w:hAnsi="Arial" w:cs="Arial"/>
        <w:b/>
        <w:u w:val="single"/>
      </w:rPr>
      <w:t xml:space="preserve">SCHEDULE </w:t>
    </w:r>
    <w:r w:rsidR="004B321B">
      <w:rPr>
        <w:rFonts w:ascii="Arial" w:hAnsi="Arial" w:cs="Arial"/>
        <w:b/>
        <w:u w:val="single"/>
      </w:rPr>
      <w:t>2</w:t>
    </w:r>
    <w:r>
      <w:rPr>
        <w:rFonts w:ascii="Arial" w:hAnsi="Arial" w:cs="Arial"/>
        <w:b/>
        <w:u w:val="single"/>
      </w:rPr>
      <w:t xml:space="preserve"> </w:t>
    </w:r>
    <w:r w:rsidR="00F45F47" w:rsidRPr="00DE11AD">
      <w:rPr>
        <w:rFonts w:ascii="Arial" w:hAnsi="Arial" w:cs="Arial"/>
        <w:b/>
        <w:u w:val="single"/>
      </w:rPr>
      <w:t>TO</w:t>
    </w:r>
  </w:p>
  <w:p w:rsidR="00F45F47" w:rsidRPr="00DE11AD" w:rsidRDefault="00400C40" w:rsidP="00F45F47">
    <w:pPr>
      <w:pStyle w:val="Header"/>
      <w:jc w:val="right"/>
      <w:rPr>
        <w:rFonts w:ascii="Arial" w:hAnsi="Arial" w:cs="Arial"/>
        <w:b/>
        <w:u w:val="single"/>
      </w:rPr>
    </w:pPr>
    <w:r>
      <w:rPr>
        <w:rFonts w:ascii="Arial" w:hAnsi="Arial" w:cs="Arial"/>
        <w:b/>
        <w:u w:val="single"/>
      </w:rPr>
      <w:t>70</w:t>
    </w:r>
    <w:r w:rsidR="00D074EE">
      <w:rPr>
        <w:rFonts w:ascii="Arial" w:hAnsi="Arial" w:cs="Arial"/>
        <w:b/>
        <w:u w:val="single"/>
      </w:rPr>
      <w:t>0002211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6A0"/>
    <w:rsid w:val="00000EC8"/>
    <w:rsid w:val="000158B3"/>
    <w:rsid w:val="00050551"/>
    <w:rsid w:val="0005416A"/>
    <w:rsid w:val="00062965"/>
    <w:rsid w:val="00064250"/>
    <w:rsid w:val="00080EB1"/>
    <w:rsid w:val="000B33E4"/>
    <w:rsid w:val="000D4AAD"/>
    <w:rsid w:val="000F5BA9"/>
    <w:rsid w:val="0010760F"/>
    <w:rsid w:val="00117991"/>
    <w:rsid w:val="00136CE1"/>
    <w:rsid w:val="001524D1"/>
    <w:rsid w:val="001A2818"/>
    <w:rsid w:val="001B0E69"/>
    <w:rsid w:val="001E08C9"/>
    <w:rsid w:val="001E1005"/>
    <w:rsid w:val="00212B5E"/>
    <w:rsid w:val="00232164"/>
    <w:rsid w:val="00232683"/>
    <w:rsid w:val="00237792"/>
    <w:rsid w:val="002645EA"/>
    <w:rsid w:val="00282F4B"/>
    <w:rsid w:val="00296B44"/>
    <w:rsid w:val="002A71AA"/>
    <w:rsid w:val="002E5644"/>
    <w:rsid w:val="002F11C7"/>
    <w:rsid w:val="003145E8"/>
    <w:rsid w:val="003256F6"/>
    <w:rsid w:val="00325BC0"/>
    <w:rsid w:val="003406CC"/>
    <w:rsid w:val="00353B22"/>
    <w:rsid w:val="00360500"/>
    <w:rsid w:val="00377C4D"/>
    <w:rsid w:val="00385FCD"/>
    <w:rsid w:val="003A16A0"/>
    <w:rsid w:val="003B2EEA"/>
    <w:rsid w:val="00400C40"/>
    <w:rsid w:val="00426F0E"/>
    <w:rsid w:val="00446A80"/>
    <w:rsid w:val="00462A1D"/>
    <w:rsid w:val="00474862"/>
    <w:rsid w:val="00492A24"/>
    <w:rsid w:val="004A06D0"/>
    <w:rsid w:val="004B321B"/>
    <w:rsid w:val="004D287B"/>
    <w:rsid w:val="004E3DA6"/>
    <w:rsid w:val="004F72C3"/>
    <w:rsid w:val="00515F29"/>
    <w:rsid w:val="00517E2C"/>
    <w:rsid w:val="005432A1"/>
    <w:rsid w:val="00553D6D"/>
    <w:rsid w:val="005774B6"/>
    <w:rsid w:val="005846DC"/>
    <w:rsid w:val="005936CA"/>
    <w:rsid w:val="00596DBC"/>
    <w:rsid w:val="005B7C37"/>
    <w:rsid w:val="005D2086"/>
    <w:rsid w:val="005D3834"/>
    <w:rsid w:val="005D6ACC"/>
    <w:rsid w:val="005E7DF5"/>
    <w:rsid w:val="00613625"/>
    <w:rsid w:val="0061619A"/>
    <w:rsid w:val="00617613"/>
    <w:rsid w:val="00625256"/>
    <w:rsid w:val="006407E4"/>
    <w:rsid w:val="0064203C"/>
    <w:rsid w:val="00646452"/>
    <w:rsid w:val="00656F00"/>
    <w:rsid w:val="006665E3"/>
    <w:rsid w:val="006963B8"/>
    <w:rsid w:val="006B4145"/>
    <w:rsid w:val="006C1F4A"/>
    <w:rsid w:val="006E5D17"/>
    <w:rsid w:val="00727E2F"/>
    <w:rsid w:val="00732E19"/>
    <w:rsid w:val="00746C0F"/>
    <w:rsid w:val="00776B68"/>
    <w:rsid w:val="00777434"/>
    <w:rsid w:val="00782112"/>
    <w:rsid w:val="007A4481"/>
    <w:rsid w:val="007C48C0"/>
    <w:rsid w:val="007D1FEC"/>
    <w:rsid w:val="007E0BE7"/>
    <w:rsid w:val="00800EA8"/>
    <w:rsid w:val="00801368"/>
    <w:rsid w:val="00804000"/>
    <w:rsid w:val="00812C53"/>
    <w:rsid w:val="008145D7"/>
    <w:rsid w:val="00845360"/>
    <w:rsid w:val="00860254"/>
    <w:rsid w:val="00861580"/>
    <w:rsid w:val="0088365B"/>
    <w:rsid w:val="00890854"/>
    <w:rsid w:val="0089358E"/>
    <w:rsid w:val="008942C2"/>
    <w:rsid w:val="00895A32"/>
    <w:rsid w:val="008A5DEE"/>
    <w:rsid w:val="008C5D7C"/>
    <w:rsid w:val="008F2E17"/>
    <w:rsid w:val="0096139B"/>
    <w:rsid w:val="009631C6"/>
    <w:rsid w:val="00971ABD"/>
    <w:rsid w:val="00986BA6"/>
    <w:rsid w:val="00995432"/>
    <w:rsid w:val="009D45E2"/>
    <w:rsid w:val="009D646A"/>
    <w:rsid w:val="009E1B85"/>
    <w:rsid w:val="009E2186"/>
    <w:rsid w:val="009F5A87"/>
    <w:rsid w:val="00A06C74"/>
    <w:rsid w:val="00A0729D"/>
    <w:rsid w:val="00A40693"/>
    <w:rsid w:val="00A42958"/>
    <w:rsid w:val="00A45414"/>
    <w:rsid w:val="00A47D99"/>
    <w:rsid w:val="00A47E61"/>
    <w:rsid w:val="00A50111"/>
    <w:rsid w:val="00A73299"/>
    <w:rsid w:val="00A84660"/>
    <w:rsid w:val="00A87585"/>
    <w:rsid w:val="00A95696"/>
    <w:rsid w:val="00AA5964"/>
    <w:rsid w:val="00AC30F4"/>
    <w:rsid w:val="00AD1537"/>
    <w:rsid w:val="00AD35D6"/>
    <w:rsid w:val="00B340E3"/>
    <w:rsid w:val="00B34A91"/>
    <w:rsid w:val="00B45A2E"/>
    <w:rsid w:val="00B62794"/>
    <w:rsid w:val="00B8039E"/>
    <w:rsid w:val="00B85A78"/>
    <w:rsid w:val="00BD1032"/>
    <w:rsid w:val="00BF6815"/>
    <w:rsid w:val="00C212CC"/>
    <w:rsid w:val="00C302A3"/>
    <w:rsid w:val="00C35C7B"/>
    <w:rsid w:val="00C40577"/>
    <w:rsid w:val="00C80C72"/>
    <w:rsid w:val="00CC3D6D"/>
    <w:rsid w:val="00CD568A"/>
    <w:rsid w:val="00CE50A1"/>
    <w:rsid w:val="00CF431C"/>
    <w:rsid w:val="00D074EE"/>
    <w:rsid w:val="00D4213D"/>
    <w:rsid w:val="00D51B34"/>
    <w:rsid w:val="00D72712"/>
    <w:rsid w:val="00DA20B6"/>
    <w:rsid w:val="00DA29C1"/>
    <w:rsid w:val="00DE11AD"/>
    <w:rsid w:val="00DE685D"/>
    <w:rsid w:val="00DE7E4B"/>
    <w:rsid w:val="00E02321"/>
    <w:rsid w:val="00E052E0"/>
    <w:rsid w:val="00E11364"/>
    <w:rsid w:val="00E30AAA"/>
    <w:rsid w:val="00E32795"/>
    <w:rsid w:val="00E36A3E"/>
    <w:rsid w:val="00E52719"/>
    <w:rsid w:val="00E5329E"/>
    <w:rsid w:val="00E63089"/>
    <w:rsid w:val="00E7432D"/>
    <w:rsid w:val="00E77C81"/>
    <w:rsid w:val="00E824D8"/>
    <w:rsid w:val="00E83C4C"/>
    <w:rsid w:val="00EA5586"/>
    <w:rsid w:val="00EB1602"/>
    <w:rsid w:val="00ED4761"/>
    <w:rsid w:val="00ED720C"/>
    <w:rsid w:val="00F2169B"/>
    <w:rsid w:val="00F242FF"/>
    <w:rsid w:val="00F32CF4"/>
    <w:rsid w:val="00F45006"/>
    <w:rsid w:val="00F45F47"/>
    <w:rsid w:val="00F47F4E"/>
    <w:rsid w:val="00F67681"/>
    <w:rsid w:val="00F737C4"/>
    <w:rsid w:val="00FD0335"/>
    <w:rsid w:val="00FD5A0E"/>
    <w:rsid w:val="00FE7035"/>
    <w:rsid w:val="00FF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248A16-9152-435D-AF2B-3C294253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16A0"/>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A16A0"/>
    <w:pPr>
      <w:tabs>
        <w:tab w:val="center" w:pos="4320"/>
        <w:tab w:val="right" w:pos="8640"/>
      </w:tabs>
    </w:pPr>
  </w:style>
  <w:style w:type="table" w:styleId="TableGrid">
    <w:name w:val="Table Grid"/>
    <w:basedOn w:val="TableNormal"/>
    <w:rsid w:val="003A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16A0"/>
    <w:pPr>
      <w:spacing w:after="120" w:line="480" w:lineRule="auto"/>
    </w:pPr>
  </w:style>
  <w:style w:type="paragraph" w:styleId="Footer">
    <w:name w:val="footer"/>
    <w:basedOn w:val="Normal"/>
    <w:rsid w:val="003A16A0"/>
    <w:pPr>
      <w:tabs>
        <w:tab w:val="center" w:pos="4153"/>
        <w:tab w:val="right" w:pos="8306"/>
      </w:tabs>
    </w:pPr>
  </w:style>
  <w:style w:type="character" w:styleId="PageNumber">
    <w:name w:val="page number"/>
    <w:basedOn w:val="DefaultParagraphFont"/>
    <w:rsid w:val="00360500"/>
  </w:style>
  <w:style w:type="paragraph" w:styleId="BalloonText">
    <w:name w:val="Balloon Text"/>
    <w:basedOn w:val="Normal"/>
    <w:semiHidden/>
    <w:rsid w:val="00596DBC"/>
    <w:rPr>
      <w:rFonts w:ascii="Tahoma" w:hAnsi="Tahoma" w:cs="Tahoma"/>
      <w:sz w:val="16"/>
      <w:szCs w:val="16"/>
    </w:rPr>
  </w:style>
  <w:style w:type="character" w:styleId="Emphasis">
    <w:name w:val="Emphasis"/>
    <w:qFormat/>
    <w:rsid w:val="007C4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E7DD3A47063B94382C9DAD04FA53DCE" ma:contentTypeVersion="26" ma:contentTypeDescription="Designed to facilitate the storage of MOD Documents with a '.doc' or '.docx' extension" ma:contentTypeScope="" ma:versionID="13c55617e6ea26b6d6fb1fce68541b59">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325e4f50fd66ca1efe150704c2219971"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ELECTRONIC WAYS OF WORKING"/>
                        <xsd:enumeration value="JOINT FORCES AND ORGANISATIONS"/>
                        <xsd:enumeration value="PROCUREMENT"/>
                        <xsd:enumeration value="RADIOS AND RADIO COMMUNICATION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rmy Headquarters"/>
                        <xsd:enumeration value="Army Recruiting and Training Division"/>
                        <xsd:enumeration value="Basic Level Budget Holder"/>
                        <xsd:enumeration value="Business management systems"/>
                        <xsd:enumeration value="Commercial guidance"/>
                        <xsd:enumeration value="Commercial publications"/>
                        <xsd:enumeration value="Contract negotiations"/>
                        <xsd:enumeration value="Individual training"/>
                        <xsd:enumeration value="Internal commun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Army Discipline"/>
                        <xsd:enumeration value="Army Recruiting and Training Division"/>
                        <xsd:enumeration value="Business Management"/>
                        <xsd:enumeration value="Communications"/>
                        <xsd:enumeration value="DECS"/>
                        <xsd:enumeration value="DEFFORM"/>
                        <xsd:enumeration value="DePS"/>
                        <xsd:enumeration value="February 12 update"/>
                        <xsd:enumeration value="Future Battlefield Ambulance"/>
                        <xsd:enumeration value="Helicopters"/>
                        <xsd:enumeration value="Information Management"/>
                        <xsd:enumeration value="LBTA"/>
                        <xsd:enumeration value="Light Protected Mobility Recovery"/>
                        <xsd:enumeration value="Multi Role Vehicle Protected"/>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Army Recruiting and Training Division"/>
              <xsd:enumeration value="DE&amp;S Commercial"/>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2_Command"/>
              <xsd:enumeration value="03_03 Manage Projects"/>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transferpending</MeridioEDCStatus>
    <Status xmlns="http://schemas.microsoft.com/sharepoint/v3" xsi:nil="true"/>
    <Supplier xmlns="1f5d0f06-49c0-4bfe-908f-329d27dc0ffe">SERCO Limited</Supplier>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Ireland, John Mr</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DocumentVersion xmlns="http://schemas.microsoft.com/sharepoint/v3" xsi:nil="true"/>
    <fileplanIDPTH xmlns="02b55df3-0b5e-4e8a-b51a-71a1fba18656">04_Deliver</fileplanIDPTH>
    <EIRDisclosabilityIndicator xmlns="http://schemas.microsoft.com/sharepoint/v3" xsi:nil="true"/>
    <CreatedOriginated xmlns="http://schemas.microsoft.com/sharepoint/v3">2015-03-27T00:00:00+00:00</CreatedOriginated>
    <FOIExemption xmlns="http://schemas.microsoft.com/sharepoint/v3">No</FOIExemption>
    <MeridioEDCData xmlns="87f1ad4a-dc9f-4c3f-9adf-966179b73aac">Wed, 16 May 2018 12:22:41 GMT</MeridioEDCData>
    <Stage xmlns="1f5d0f06-49c0-4bfe-908f-329d27dc0ffe">Contract Documents</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ARMYHQ4/00070</Contract_x0020_No>
  </documentManagement>
</p:properties>
</file>

<file path=customXml/itemProps1.xml><?xml version="1.0" encoding="utf-8"?>
<ds:datastoreItem xmlns:ds="http://schemas.openxmlformats.org/officeDocument/2006/customXml" ds:itemID="{7CDD0C1E-79F7-42B8-ADF4-F8FC4C182B16}">
  <ds:schemaRefs>
    <ds:schemaRef ds:uri="http://schemas.microsoft.com/office/2006/metadata/longProperties"/>
  </ds:schemaRefs>
</ds:datastoreItem>
</file>

<file path=customXml/itemProps2.xml><?xml version="1.0" encoding="utf-8"?>
<ds:datastoreItem xmlns:ds="http://schemas.openxmlformats.org/officeDocument/2006/customXml" ds:itemID="{4443CC2A-9E73-4CC5-8305-E5458F5622F2}">
  <ds:schemaRefs>
    <ds:schemaRef ds:uri="http://schemas.microsoft.com/sharepoint/v3/contenttype/forms"/>
  </ds:schemaRefs>
</ds:datastoreItem>
</file>

<file path=customXml/itemProps3.xml><?xml version="1.0" encoding="utf-8"?>
<ds:datastoreItem xmlns:ds="http://schemas.openxmlformats.org/officeDocument/2006/customXml" ds:itemID="{2FC92667-7D84-4E5E-B274-2370453BE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DFF305-3EF2-43CE-9324-30EF4CBBAEE9}">
  <ds:schemaRefs>
    <ds:schemaRef ds:uri="http://schemas.microsoft.com/office/2006/metadata/properties"/>
    <ds:schemaRef ds:uri="http://schemas.microsoft.com/office/infopath/2007/PartnerControl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Key Performance Indicators</vt:lpstr>
    </vt:vector>
  </TitlesOfParts>
  <Company>Ministry of Defence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Performance Indicators</dc:title>
  <dc:subject/>
  <dc:creator>beckettn115</dc:creator>
  <cp:keywords/>
  <cp:lastModifiedBy>Ireland, John Mr</cp:lastModifiedBy>
  <cp:revision>2</cp:revision>
  <cp:lastPrinted>2016-09-13T08:16:00Z</cp:lastPrinted>
  <dcterms:created xsi:type="dcterms:W3CDTF">2019-10-15T13:24:00Z</dcterms:created>
  <dcterms:modified xsi:type="dcterms:W3CDTF">2019-10-15T13:24:00Z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originalmeridioedcdata">
    <vt:lpwstr/>
  </property>
  <property fmtid="{D5CDD505-2E9C-101B-9397-08002B2CF9AE}" pid="4" name="originalmeridioedcstatus">
    <vt:lpwstr/>
  </property>
</Properties>
</file>