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524B4FE3" w14:textId="29500A80" w:rsidR="00C36B09" w:rsidRDefault="00C36B09" w:rsidP="00C36B09">
      <w:pPr>
        <w:pStyle w:val="BodyText"/>
        <w:kinsoku w:val="0"/>
        <w:overflowPunct w:val="0"/>
        <w:spacing w:before="2"/>
        <w:ind w:left="567" w:right="-53" w:firstLine="0"/>
        <w:jc w:val="center"/>
        <w:rPr>
          <w:b/>
          <w:bCs/>
          <w:spacing w:val="-1"/>
          <w:sz w:val="36"/>
          <w:szCs w:val="36"/>
        </w:rPr>
      </w:pPr>
      <w:bookmarkStart w:id="0" w:name="_Hlk146085373"/>
      <w:r>
        <w:rPr>
          <w:b/>
          <w:bCs/>
          <w:spacing w:val="-1"/>
          <w:sz w:val="36"/>
          <w:szCs w:val="36"/>
        </w:rPr>
        <w:t xml:space="preserve">Demolition of redundant toilet block and construction of </w:t>
      </w:r>
      <w:r w:rsidRPr="00351435">
        <w:rPr>
          <w:b/>
          <w:bCs/>
          <w:spacing w:val="-1"/>
          <w:sz w:val="36"/>
          <w:szCs w:val="36"/>
        </w:rPr>
        <w:t xml:space="preserve">Parish Council Office </w:t>
      </w:r>
      <w:r w:rsidR="00AB0B48">
        <w:rPr>
          <w:b/>
          <w:bCs/>
          <w:spacing w:val="-1"/>
          <w:sz w:val="36"/>
          <w:szCs w:val="36"/>
        </w:rPr>
        <w:t>and</w:t>
      </w:r>
      <w:r w:rsidRPr="00351435">
        <w:rPr>
          <w:b/>
          <w:bCs/>
          <w:spacing w:val="-1"/>
          <w:sz w:val="36"/>
          <w:szCs w:val="36"/>
        </w:rPr>
        <w:t xml:space="preserve"> Meeting Room</w:t>
      </w:r>
      <w:bookmarkEnd w:id="0"/>
      <w:r>
        <w:rPr>
          <w:b/>
          <w:bCs/>
          <w:spacing w:val="-1"/>
          <w:sz w:val="36"/>
          <w:szCs w:val="36"/>
        </w:rPr>
        <w:t>.</w:t>
      </w:r>
    </w:p>
    <w:p w14:paraId="2E448983" w14:textId="77777777" w:rsidR="00C36B09" w:rsidRDefault="00C36B09" w:rsidP="00C36B09">
      <w:pPr>
        <w:pStyle w:val="BodyText"/>
        <w:kinsoku w:val="0"/>
        <w:overflowPunct w:val="0"/>
        <w:spacing w:before="2"/>
        <w:ind w:left="567" w:right="-53" w:firstLine="0"/>
        <w:jc w:val="center"/>
        <w:rPr>
          <w:b/>
          <w:bCs/>
          <w:spacing w:val="-1"/>
          <w:sz w:val="36"/>
          <w:szCs w:val="36"/>
        </w:rPr>
      </w:pPr>
    </w:p>
    <w:p w14:paraId="165C3C76" w14:textId="77777777" w:rsidR="00C36B09" w:rsidRPr="00351435" w:rsidRDefault="00C36B09" w:rsidP="00C36B09">
      <w:pPr>
        <w:pStyle w:val="BodyText"/>
        <w:kinsoku w:val="0"/>
        <w:overflowPunct w:val="0"/>
        <w:spacing w:before="2"/>
        <w:ind w:left="567" w:right="-53" w:firstLine="0"/>
        <w:jc w:val="center"/>
        <w:rPr>
          <w:b/>
          <w:bCs/>
          <w:color w:val="FF0000"/>
          <w:sz w:val="36"/>
          <w:szCs w:val="36"/>
        </w:rPr>
      </w:pPr>
      <w:r>
        <w:rPr>
          <w:b/>
          <w:bCs/>
          <w:spacing w:val="-1"/>
          <w:sz w:val="36"/>
          <w:szCs w:val="36"/>
        </w:rPr>
        <w:t>Beach Rd. Portreath TR16 4NN</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0E585B9B" w:rsidR="000A3E97" w:rsidRPr="00C36B09" w:rsidRDefault="00C36B09" w:rsidP="006268C8">
      <w:pPr>
        <w:pStyle w:val="BodyText"/>
        <w:kinsoku w:val="0"/>
        <w:overflowPunct w:val="0"/>
        <w:spacing w:before="2"/>
        <w:ind w:left="567" w:right="-53" w:firstLine="0"/>
        <w:jc w:val="center"/>
        <w:rPr>
          <w:b/>
          <w:bCs/>
          <w:sz w:val="36"/>
          <w:szCs w:val="36"/>
        </w:rPr>
      </w:pPr>
      <w:r w:rsidRPr="00C36B09">
        <w:rPr>
          <w:b/>
          <w:bCs/>
          <w:sz w:val="36"/>
          <w:szCs w:val="36"/>
        </w:rPr>
        <w:t>CAP12003</w:t>
      </w:r>
    </w:p>
    <w:p w14:paraId="140BD49B" w14:textId="4A0B7E66" w:rsidR="00C21622" w:rsidRPr="0073095D" w:rsidRDefault="00C36B09" w:rsidP="006268C8">
      <w:pPr>
        <w:pStyle w:val="BodyText"/>
        <w:kinsoku w:val="0"/>
        <w:overflowPunct w:val="0"/>
        <w:spacing w:before="2"/>
        <w:ind w:left="567" w:right="-53" w:firstLine="0"/>
        <w:jc w:val="center"/>
        <w:rPr>
          <w:b/>
          <w:bCs/>
          <w:sz w:val="36"/>
          <w:szCs w:val="36"/>
        </w:rPr>
      </w:pPr>
      <w:r>
        <w:rPr>
          <w:b/>
          <w:bCs/>
          <w:noProof/>
          <w:sz w:val="36"/>
          <w:szCs w:val="36"/>
        </w:rPr>
        <w:drawing>
          <wp:inline distT="0" distB="0" distL="0" distR="0" wp14:anchorId="2BA7F3C3" wp14:editId="28EA92B9">
            <wp:extent cx="22860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1012DBE6" w:rsidR="00B71F0E" w:rsidRPr="00C36B09" w:rsidRDefault="00C36B09" w:rsidP="00C36B09">
      <w:pPr>
        <w:pStyle w:val="BodyText"/>
        <w:kinsoku w:val="0"/>
        <w:overflowPunct w:val="0"/>
        <w:spacing w:before="2"/>
        <w:ind w:left="567" w:right="-53" w:firstLine="0"/>
        <w:jc w:val="center"/>
        <w:rPr>
          <w:b/>
          <w:bCs/>
          <w:spacing w:val="-1"/>
          <w:sz w:val="36"/>
          <w:szCs w:val="36"/>
        </w:rPr>
      </w:pPr>
      <w:r w:rsidRPr="00C36B09">
        <w:rPr>
          <w:b/>
          <w:bCs/>
          <w:spacing w:val="-1"/>
          <w:sz w:val="36"/>
          <w:szCs w:val="36"/>
        </w:rPr>
        <w:t>September 2023</w:t>
      </w: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38003B9C" w:rsidR="000A3E97" w:rsidRDefault="000A3E97" w:rsidP="006268C8">
      <w:pPr>
        <w:pStyle w:val="BodyText"/>
        <w:kinsoku w:val="0"/>
        <w:overflowPunct w:val="0"/>
        <w:ind w:left="0" w:firstLine="0"/>
        <w:rPr>
          <w:b/>
          <w:bCs/>
          <w:color w:val="FF0000"/>
        </w:rPr>
      </w:pPr>
    </w:p>
    <w:p w14:paraId="7BFB902F" w14:textId="7CD743F8" w:rsidR="00C36B09" w:rsidRDefault="00C36B09" w:rsidP="006268C8">
      <w:pPr>
        <w:pStyle w:val="BodyText"/>
        <w:kinsoku w:val="0"/>
        <w:overflowPunct w:val="0"/>
        <w:ind w:left="0" w:firstLine="0"/>
        <w:rPr>
          <w:b/>
          <w:bCs/>
          <w:color w:val="FF0000"/>
        </w:rPr>
      </w:pPr>
    </w:p>
    <w:p w14:paraId="69578CAF" w14:textId="77777777" w:rsidR="00C36B09" w:rsidRPr="00421CBC" w:rsidRDefault="00C36B09" w:rsidP="006268C8">
      <w:pPr>
        <w:pStyle w:val="BodyText"/>
        <w:kinsoku w:val="0"/>
        <w:overflowPunct w:val="0"/>
        <w:ind w:left="0" w:firstLine="0"/>
        <w:rPr>
          <w:b/>
          <w:bCs/>
          <w:color w:val="FF0000"/>
        </w:rPr>
      </w:pPr>
    </w:p>
    <w:p w14:paraId="57A5513B" w14:textId="171089E8"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18F4381E" w:rsidR="008B4124" w:rsidRPr="004A562D" w:rsidRDefault="008B4124" w:rsidP="004A562D">
      <w:pPr>
        <w:pStyle w:val="Heading1"/>
      </w:pPr>
      <w:r w:rsidRPr="004A562D">
        <w:t xml:space="preserve">1. </w:t>
      </w:r>
      <w:r w:rsidR="003D4F03">
        <w:tab/>
      </w:r>
      <w:r w:rsidR="000A3E97" w:rsidRPr="004A562D">
        <w:t xml:space="preserve">About </w:t>
      </w:r>
      <w:r w:rsidR="00AB0B48">
        <w:t>Portreath Parish Council</w:t>
      </w:r>
    </w:p>
    <w:p w14:paraId="304A6DE1" w14:textId="77777777" w:rsidR="008B4124" w:rsidRPr="0073095D" w:rsidRDefault="008B4124" w:rsidP="00746AD2">
      <w:pPr>
        <w:rPr>
          <w:rFonts w:ascii="Verdana" w:hAnsi="Verdana"/>
          <w:sz w:val="22"/>
          <w:szCs w:val="22"/>
        </w:rPr>
      </w:pPr>
    </w:p>
    <w:p w14:paraId="2EC6FF67" w14:textId="61D75811" w:rsidR="00AB0B48" w:rsidRPr="00746AD2" w:rsidRDefault="00AB0B48">
      <w:pPr>
        <w:pStyle w:val="ListParagraph"/>
        <w:widowControl/>
        <w:numPr>
          <w:ilvl w:val="1"/>
          <w:numId w:val="3"/>
        </w:numPr>
        <w:shd w:val="clear" w:color="auto" w:fill="FFFFFF"/>
        <w:autoSpaceDE/>
        <w:autoSpaceDN/>
        <w:adjustRightInd/>
        <w:ind w:left="0" w:firstLine="0"/>
        <w:rPr>
          <w:rFonts w:ascii="Verdana" w:eastAsia="Times New Roman" w:hAnsi="Verdana" w:cs="Open Sans"/>
          <w:color w:val="333333"/>
          <w:sz w:val="22"/>
          <w:szCs w:val="22"/>
        </w:rPr>
      </w:pPr>
      <w:r w:rsidRPr="00746AD2">
        <w:rPr>
          <w:rFonts w:ascii="Verdana" w:eastAsia="Times New Roman" w:hAnsi="Verdana" w:cs="Open Sans"/>
          <w:color w:val="333333"/>
          <w:sz w:val="22"/>
          <w:szCs w:val="22"/>
        </w:rPr>
        <w:t>The Parish of Portreath spans a stretch of the North coast between Porthtowan and Gwithian, bordering with the village of Illogan to its South. Its closest towns are Redruth and Camborne.</w:t>
      </w:r>
    </w:p>
    <w:p w14:paraId="39C1FB6D" w14:textId="77777777" w:rsidR="00746AD2" w:rsidRPr="00746AD2" w:rsidRDefault="00746AD2" w:rsidP="00746AD2">
      <w:pPr>
        <w:pStyle w:val="ListParagraph"/>
        <w:widowControl/>
        <w:shd w:val="clear" w:color="auto" w:fill="FFFFFF"/>
        <w:autoSpaceDE/>
        <w:autoSpaceDN/>
        <w:adjustRightInd/>
        <w:rPr>
          <w:rFonts w:ascii="Verdana" w:eastAsia="Times New Roman" w:hAnsi="Verdana" w:cs="Open Sans"/>
          <w:color w:val="333333"/>
          <w:sz w:val="22"/>
          <w:szCs w:val="22"/>
        </w:rPr>
      </w:pPr>
    </w:p>
    <w:p w14:paraId="36F0C52F" w14:textId="4DC9637C" w:rsidR="00746AD2" w:rsidRPr="00746AD2" w:rsidRDefault="00AB0B48">
      <w:pPr>
        <w:pStyle w:val="ListParagraph"/>
        <w:widowControl/>
        <w:numPr>
          <w:ilvl w:val="1"/>
          <w:numId w:val="3"/>
        </w:numPr>
        <w:shd w:val="clear" w:color="auto" w:fill="FFFFFF"/>
        <w:autoSpaceDE/>
        <w:autoSpaceDN/>
        <w:adjustRightInd/>
        <w:ind w:left="0" w:firstLine="0"/>
        <w:rPr>
          <w:rFonts w:ascii="Verdana" w:eastAsia="Times New Roman" w:hAnsi="Verdana" w:cs="Open Sans"/>
          <w:color w:val="333333"/>
          <w:sz w:val="22"/>
          <w:szCs w:val="22"/>
        </w:rPr>
      </w:pPr>
      <w:r w:rsidRPr="00746AD2">
        <w:rPr>
          <w:rFonts w:ascii="Verdana" w:eastAsia="Times New Roman" w:hAnsi="Verdana" w:cs="Open Sans"/>
          <w:color w:val="333333"/>
          <w:sz w:val="22"/>
          <w:szCs w:val="22"/>
        </w:rPr>
        <w:t xml:space="preserve">In the past, Portreath prospered from its busy harbour, exporting tin </w:t>
      </w:r>
      <w:proofErr w:type="gramStart"/>
      <w:r w:rsidRPr="00746AD2">
        <w:rPr>
          <w:rFonts w:ascii="Verdana" w:eastAsia="Times New Roman" w:hAnsi="Verdana" w:cs="Open Sans"/>
          <w:color w:val="333333"/>
          <w:sz w:val="22"/>
          <w:szCs w:val="22"/>
        </w:rPr>
        <w:t>ore</w:t>
      </w:r>
      <w:proofErr w:type="gramEnd"/>
      <w:r w:rsidRPr="00746AD2">
        <w:rPr>
          <w:rFonts w:ascii="Verdana" w:eastAsia="Times New Roman" w:hAnsi="Verdana" w:cs="Open Sans"/>
          <w:color w:val="333333"/>
          <w:sz w:val="22"/>
          <w:szCs w:val="22"/>
        </w:rPr>
        <w:t xml:space="preserve"> and importing coal for the mining industry. Fishing also played a major role in village life, and continues into the present</w:t>
      </w:r>
    </w:p>
    <w:p w14:paraId="703BA503" w14:textId="5DF46A59" w:rsidR="00AB0B48" w:rsidRPr="00746AD2" w:rsidRDefault="00AB0B48" w:rsidP="00746AD2">
      <w:pPr>
        <w:pStyle w:val="ListParagraph"/>
        <w:widowControl/>
        <w:shd w:val="clear" w:color="auto" w:fill="FFFFFF"/>
        <w:autoSpaceDE/>
        <w:autoSpaceDN/>
        <w:adjustRightInd/>
        <w:rPr>
          <w:rFonts w:ascii="Verdana" w:eastAsia="Times New Roman" w:hAnsi="Verdana" w:cs="Open Sans"/>
          <w:color w:val="333333"/>
          <w:sz w:val="22"/>
          <w:szCs w:val="22"/>
        </w:rPr>
      </w:pPr>
    </w:p>
    <w:p w14:paraId="2BE9DA16" w14:textId="5C440531" w:rsidR="00AB0B48" w:rsidRPr="00AB0B48" w:rsidRDefault="00AB0B48" w:rsidP="00746AD2">
      <w:pPr>
        <w:widowControl/>
        <w:shd w:val="clear" w:color="auto" w:fill="FFFFFF"/>
        <w:autoSpaceDE/>
        <w:autoSpaceDN/>
        <w:adjustRightInd/>
        <w:rPr>
          <w:rFonts w:ascii="Verdana" w:eastAsia="Times New Roman" w:hAnsi="Verdana" w:cs="Open Sans"/>
          <w:color w:val="333333"/>
          <w:sz w:val="22"/>
          <w:szCs w:val="22"/>
        </w:rPr>
      </w:pPr>
      <w:r w:rsidRPr="002F3B0F">
        <w:rPr>
          <w:rFonts w:ascii="Verdana" w:eastAsia="Times New Roman" w:hAnsi="Verdana" w:cs="Open Sans"/>
          <w:color w:val="333333"/>
          <w:sz w:val="22"/>
          <w:szCs w:val="22"/>
        </w:rPr>
        <w:t>1.3</w:t>
      </w:r>
      <w:r w:rsidRPr="002F3B0F">
        <w:rPr>
          <w:rFonts w:ascii="Verdana" w:eastAsia="Times New Roman" w:hAnsi="Verdana" w:cs="Open Sans"/>
          <w:color w:val="333333"/>
          <w:sz w:val="22"/>
          <w:szCs w:val="22"/>
        </w:rPr>
        <w:tab/>
      </w:r>
      <w:r w:rsidRPr="00AB0B48">
        <w:rPr>
          <w:rFonts w:ascii="Verdana" w:eastAsia="Times New Roman" w:hAnsi="Verdana" w:cs="Open Sans"/>
          <w:color w:val="333333"/>
          <w:sz w:val="22"/>
          <w:szCs w:val="22"/>
        </w:rPr>
        <w:t xml:space="preserve">Today, Portreath is a very popular tourist </w:t>
      </w:r>
      <w:proofErr w:type="gramStart"/>
      <w:r w:rsidRPr="00AB0B48">
        <w:rPr>
          <w:rFonts w:ascii="Verdana" w:eastAsia="Times New Roman" w:hAnsi="Verdana" w:cs="Open Sans"/>
          <w:color w:val="333333"/>
          <w:sz w:val="22"/>
          <w:szCs w:val="22"/>
        </w:rPr>
        <w:t>destination</w:t>
      </w:r>
      <w:proofErr w:type="gramEnd"/>
      <w:r w:rsidRPr="00AB0B48">
        <w:rPr>
          <w:rFonts w:ascii="Verdana" w:eastAsia="Times New Roman" w:hAnsi="Verdana" w:cs="Open Sans"/>
          <w:color w:val="333333"/>
          <w:sz w:val="22"/>
          <w:szCs w:val="22"/>
        </w:rPr>
        <w:t xml:space="preserve"> and the village welcomes our visitors every year. Evidence of our industrial and war time past can still be found all over the Parish. Surfers flock here, as well as families looking for a friendly relaxed holida</w:t>
      </w:r>
      <w:r w:rsidRPr="002F3B0F">
        <w:rPr>
          <w:rFonts w:ascii="Verdana" w:eastAsia="Times New Roman" w:hAnsi="Verdana" w:cs="Open Sans"/>
          <w:color w:val="333333"/>
          <w:sz w:val="22"/>
          <w:szCs w:val="22"/>
        </w:rPr>
        <w:t>y.</w:t>
      </w:r>
    </w:p>
    <w:p w14:paraId="59D42EFE" w14:textId="48F4B2C1" w:rsidR="002D4526" w:rsidRDefault="002D4526" w:rsidP="002D4526"/>
    <w:p w14:paraId="486248F4" w14:textId="77777777" w:rsidR="00AB0B48" w:rsidRPr="002D4526" w:rsidRDefault="00AB0B48"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530FFF2" w14:textId="188AB0EF" w:rsidR="00C36B09" w:rsidRPr="00AB0B48" w:rsidRDefault="00AB0B48" w:rsidP="00C36B09">
      <w:pPr>
        <w:pStyle w:val="Heading1"/>
        <w:rPr>
          <w:rFonts w:eastAsia="Calibri" w:cs="Times New Roman"/>
          <w:b w:val="0"/>
          <w:bCs w:val="0"/>
          <w:spacing w:val="0"/>
          <w:lang w:eastAsia="en-US"/>
        </w:rPr>
      </w:pPr>
      <w:r>
        <w:rPr>
          <w:rFonts w:eastAsia="Calibri" w:cs="Times New Roman"/>
          <w:b w:val="0"/>
          <w:bCs w:val="0"/>
          <w:spacing w:val="0"/>
          <w:lang w:eastAsia="en-US"/>
        </w:rPr>
        <w:t>2.1</w:t>
      </w:r>
      <w:r>
        <w:rPr>
          <w:rFonts w:eastAsia="Calibri" w:cs="Times New Roman"/>
          <w:b w:val="0"/>
          <w:bCs w:val="0"/>
          <w:spacing w:val="0"/>
          <w:lang w:eastAsia="en-US"/>
        </w:rPr>
        <w:tab/>
      </w:r>
      <w:r w:rsidR="00C36B09" w:rsidRPr="00AB0B48">
        <w:rPr>
          <w:rFonts w:eastAsia="Calibri" w:cs="Times New Roman"/>
          <w:b w:val="0"/>
          <w:bCs w:val="0"/>
          <w:spacing w:val="0"/>
          <w:lang w:eastAsia="en-US"/>
        </w:rPr>
        <w:t xml:space="preserve">The contractor is invited to tender for the demolition of the redundant toilet block and construction of a new parish office and community meeting room. The intention of the project is to create a suitable working space for the parish clerk </w:t>
      </w:r>
      <w:proofErr w:type="gramStart"/>
      <w:r w:rsidR="00C36B09" w:rsidRPr="00AB0B48">
        <w:rPr>
          <w:rFonts w:eastAsia="Calibri" w:cs="Times New Roman"/>
          <w:b w:val="0"/>
          <w:bCs w:val="0"/>
          <w:spacing w:val="0"/>
          <w:lang w:eastAsia="en-US"/>
        </w:rPr>
        <w:t>and also</w:t>
      </w:r>
      <w:proofErr w:type="gramEnd"/>
      <w:r w:rsidR="00C36B09" w:rsidRPr="00AB0B48">
        <w:rPr>
          <w:rFonts w:eastAsia="Calibri" w:cs="Times New Roman"/>
          <w:b w:val="0"/>
          <w:bCs w:val="0"/>
          <w:spacing w:val="0"/>
          <w:lang w:eastAsia="en-US"/>
        </w:rPr>
        <w:t xml:space="preserve"> to provide a meeting place for community groups.</w:t>
      </w:r>
    </w:p>
    <w:p w14:paraId="436D2FB5" w14:textId="77777777" w:rsidR="00AB0B48" w:rsidRDefault="00AB0B48" w:rsidP="00C36B09">
      <w:pPr>
        <w:pStyle w:val="Heading1"/>
        <w:rPr>
          <w:rFonts w:eastAsia="Calibri" w:cs="Times New Roman"/>
          <w:b w:val="0"/>
          <w:bCs w:val="0"/>
          <w:spacing w:val="0"/>
          <w:lang w:eastAsia="en-US"/>
        </w:rPr>
      </w:pPr>
    </w:p>
    <w:p w14:paraId="74056176" w14:textId="703262B5" w:rsidR="00C36B09" w:rsidRPr="00AB0B48" w:rsidRDefault="00AB0B48" w:rsidP="00C36B09">
      <w:pPr>
        <w:pStyle w:val="Heading1"/>
        <w:rPr>
          <w:rFonts w:eastAsia="Calibri" w:cs="Times New Roman"/>
          <w:b w:val="0"/>
          <w:bCs w:val="0"/>
          <w:spacing w:val="0"/>
          <w:lang w:eastAsia="en-US"/>
        </w:rPr>
      </w:pPr>
      <w:r>
        <w:rPr>
          <w:rFonts w:eastAsia="Calibri" w:cs="Times New Roman"/>
          <w:b w:val="0"/>
          <w:bCs w:val="0"/>
          <w:spacing w:val="0"/>
          <w:lang w:eastAsia="en-US"/>
        </w:rPr>
        <w:t>2.2</w:t>
      </w:r>
      <w:r>
        <w:rPr>
          <w:rFonts w:eastAsia="Calibri" w:cs="Times New Roman"/>
          <w:b w:val="0"/>
          <w:bCs w:val="0"/>
          <w:spacing w:val="0"/>
          <w:lang w:eastAsia="en-US"/>
        </w:rPr>
        <w:tab/>
      </w:r>
      <w:r w:rsidR="00C36B09" w:rsidRPr="00AB0B48">
        <w:rPr>
          <w:rFonts w:eastAsia="Calibri" w:cs="Times New Roman"/>
          <w:b w:val="0"/>
          <w:bCs w:val="0"/>
          <w:spacing w:val="0"/>
          <w:lang w:eastAsia="en-US"/>
        </w:rPr>
        <w:t xml:space="preserve">The project is part of a CLUP grant funded application process and therefore procurement will be subject to grant approval of the project. This will not be known before November 2023. We will assess tenders received on a Most Economically Advantageous Tender. </w:t>
      </w:r>
    </w:p>
    <w:p w14:paraId="706D3E15" w14:textId="77777777" w:rsidR="00C36B09" w:rsidRDefault="00C36B09" w:rsidP="00C36B09">
      <w:pPr>
        <w:pStyle w:val="Heading1"/>
        <w:rPr>
          <w:rFonts w:ascii="Calibri" w:eastAsia="Calibri" w:hAnsi="Calibri" w:cs="Times New Roman"/>
          <w:b w:val="0"/>
          <w:bCs w:val="0"/>
          <w:i/>
          <w:iCs/>
          <w:spacing w:val="0"/>
          <w:sz w:val="24"/>
          <w:szCs w:val="24"/>
          <w:lang w:eastAsia="en-US"/>
        </w:rPr>
      </w:pPr>
    </w:p>
    <w:p w14:paraId="515771A5" w14:textId="0D78DAC4" w:rsidR="000F0421" w:rsidRPr="004A562D" w:rsidRDefault="00C21622" w:rsidP="00C36B09">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93CBEC6"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735D63">
        <w:rPr>
          <w:spacing w:val="-1"/>
        </w:rPr>
        <w:t>deliver the d</w:t>
      </w:r>
      <w:r w:rsidR="00735D63" w:rsidRPr="00735D63">
        <w:rPr>
          <w:spacing w:val="-1"/>
        </w:rPr>
        <w:t xml:space="preserve">emolition of redundant toilet block and construction of </w:t>
      </w:r>
      <w:r w:rsidR="00735D63">
        <w:rPr>
          <w:spacing w:val="-1"/>
        </w:rPr>
        <w:t xml:space="preserve">Portreath </w:t>
      </w:r>
      <w:r w:rsidR="00735D63" w:rsidRPr="00735D63">
        <w:rPr>
          <w:spacing w:val="-1"/>
        </w:rPr>
        <w:t>Parish Council</w:t>
      </w:r>
      <w:r w:rsidR="00735D63">
        <w:rPr>
          <w:spacing w:val="-1"/>
        </w:rPr>
        <w:t xml:space="preserve"> (</w:t>
      </w:r>
      <w:r w:rsidR="001C6F29">
        <w:rPr>
          <w:spacing w:val="-1"/>
        </w:rPr>
        <w:t>PPC</w:t>
      </w:r>
      <w:r w:rsidR="00735D63">
        <w:rPr>
          <w:spacing w:val="-1"/>
        </w:rPr>
        <w:t>)</w:t>
      </w:r>
      <w:r w:rsidR="00735D63" w:rsidRPr="00735D63">
        <w:rPr>
          <w:spacing w:val="-1"/>
        </w:rPr>
        <w:t xml:space="preserve"> Office and Meeting Room</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548B335" w14:textId="1FFC890C" w:rsidR="002E2791" w:rsidRDefault="00C21622" w:rsidP="003D4853">
      <w:pPr>
        <w:pStyle w:val="Neading3"/>
      </w:pPr>
      <w:r>
        <w:t>3</w:t>
      </w:r>
      <w:r w:rsidR="002E2791" w:rsidRPr="00837579">
        <w:t>.1</w:t>
      </w:r>
      <w:r w:rsidR="00B634E3">
        <w:tab/>
      </w:r>
      <w:r w:rsidR="007B44AD">
        <w:t>Design Specifications</w:t>
      </w:r>
      <w:r w:rsidR="00137C54">
        <w:t xml:space="preserve"> and </w:t>
      </w:r>
      <w:r w:rsidR="002F60F5">
        <w:t>Drawing set</w:t>
      </w:r>
    </w:p>
    <w:p w14:paraId="362246C9" w14:textId="5C02540D" w:rsidR="00137C54" w:rsidRDefault="00137C54" w:rsidP="003D4853">
      <w:pPr>
        <w:pStyle w:val="Neading3"/>
      </w:pPr>
    </w:p>
    <w:tbl>
      <w:tblPr>
        <w:tblW w:w="9214" w:type="dxa"/>
        <w:tblInd w:w="-5" w:type="dxa"/>
        <w:tblLook w:val="04A0" w:firstRow="1" w:lastRow="0" w:firstColumn="1" w:lastColumn="0" w:noHBand="0" w:noVBand="1"/>
      </w:tblPr>
      <w:tblGrid>
        <w:gridCol w:w="1938"/>
        <w:gridCol w:w="4441"/>
        <w:gridCol w:w="1505"/>
        <w:gridCol w:w="1330"/>
      </w:tblGrid>
      <w:tr w:rsidR="00D70915" w:rsidRPr="00857538" w14:paraId="1E5CDFA8" w14:textId="17B683EE" w:rsidTr="00D70915">
        <w:trPr>
          <w:trHeight w:val="306"/>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9F5EF" w14:textId="77777777" w:rsidR="00D70915" w:rsidRPr="00D70915" w:rsidRDefault="00D70915" w:rsidP="00104355">
            <w:pPr>
              <w:widowControl/>
              <w:autoSpaceDE/>
              <w:autoSpaceDN/>
              <w:adjustRightInd/>
              <w:rPr>
                <w:rFonts w:ascii="Verdana" w:eastAsia="Times New Roman" w:hAnsi="Verdana" w:cs="Calibri"/>
                <w:b/>
                <w:bCs/>
                <w:color w:val="000000"/>
                <w:sz w:val="22"/>
                <w:szCs w:val="22"/>
              </w:rPr>
            </w:pPr>
          </w:p>
          <w:p w14:paraId="18EC7112" w14:textId="77777777" w:rsidR="00D70915" w:rsidRPr="00D70915" w:rsidRDefault="00D70915" w:rsidP="00104355">
            <w:pPr>
              <w:widowControl/>
              <w:autoSpaceDE/>
              <w:autoSpaceDN/>
              <w:adjustRightInd/>
              <w:rPr>
                <w:rFonts w:ascii="Verdana" w:eastAsia="Times New Roman" w:hAnsi="Verdana" w:cs="Calibri"/>
                <w:b/>
                <w:bCs/>
                <w:color w:val="000000"/>
                <w:sz w:val="22"/>
                <w:szCs w:val="22"/>
              </w:rPr>
            </w:pPr>
            <w:r w:rsidRPr="00D70915">
              <w:rPr>
                <w:rFonts w:ascii="Verdana" w:eastAsia="Times New Roman" w:hAnsi="Verdana" w:cs="Calibri"/>
                <w:b/>
                <w:bCs/>
                <w:color w:val="000000"/>
                <w:sz w:val="22"/>
                <w:szCs w:val="22"/>
              </w:rPr>
              <w:t>Title</w:t>
            </w:r>
          </w:p>
        </w:tc>
        <w:tc>
          <w:tcPr>
            <w:tcW w:w="4441" w:type="dxa"/>
            <w:tcBorders>
              <w:top w:val="single" w:sz="4" w:space="0" w:color="auto"/>
              <w:left w:val="nil"/>
              <w:bottom w:val="single" w:sz="4" w:space="0" w:color="auto"/>
              <w:right w:val="single" w:sz="4" w:space="0" w:color="auto"/>
            </w:tcBorders>
            <w:shd w:val="clear" w:color="auto" w:fill="auto"/>
            <w:noWrap/>
            <w:vAlign w:val="bottom"/>
            <w:hideMark/>
          </w:tcPr>
          <w:p w14:paraId="41BA8F91" w14:textId="77777777" w:rsidR="00D70915" w:rsidRPr="00D70915" w:rsidRDefault="00D70915" w:rsidP="00104355">
            <w:pPr>
              <w:widowControl/>
              <w:autoSpaceDE/>
              <w:autoSpaceDN/>
              <w:adjustRightInd/>
              <w:rPr>
                <w:rFonts w:ascii="Verdana" w:eastAsia="Times New Roman" w:hAnsi="Verdana" w:cs="Calibri"/>
                <w:b/>
                <w:bCs/>
                <w:color w:val="000000"/>
                <w:sz w:val="22"/>
                <w:szCs w:val="22"/>
              </w:rPr>
            </w:pPr>
            <w:r w:rsidRPr="00D70915">
              <w:rPr>
                <w:rFonts w:ascii="Verdana" w:eastAsia="Times New Roman" w:hAnsi="Verdana" w:cs="Calibri"/>
                <w:b/>
                <w:bCs/>
                <w:color w:val="000000"/>
                <w:sz w:val="22"/>
                <w:szCs w:val="22"/>
              </w:rPr>
              <w:t>Doc Ref</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14:paraId="2D2277DB" w14:textId="77777777" w:rsidR="00D70915" w:rsidRPr="00D70915" w:rsidRDefault="00D70915" w:rsidP="00104355">
            <w:pPr>
              <w:widowControl/>
              <w:autoSpaceDE/>
              <w:autoSpaceDN/>
              <w:adjustRightInd/>
              <w:rPr>
                <w:rFonts w:ascii="Verdana" w:eastAsia="Times New Roman" w:hAnsi="Verdana" w:cs="Calibri"/>
                <w:b/>
                <w:bCs/>
                <w:color w:val="000000"/>
                <w:sz w:val="22"/>
                <w:szCs w:val="22"/>
              </w:rPr>
            </w:pPr>
            <w:r w:rsidRPr="00D70915">
              <w:rPr>
                <w:rFonts w:ascii="Verdana" w:eastAsia="Times New Roman" w:hAnsi="Verdana" w:cs="Calibri"/>
                <w:b/>
                <w:bCs/>
                <w:color w:val="000000"/>
                <w:sz w:val="22"/>
                <w:szCs w:val="22"/>
              </w:rPr>
              <w:t>Date</w:t>
            </w:r>
          </w:p>
        </w:tc>
        <w:tc>
          <w:tcPr>
            <w:tcW w:w="1330" w:type="dxa"/>
            <w:tcBorders>
              <w:top w:val="single" w:sz="4" w:space="0" w:color="auto"/>
              <w:left w:val="nil"/>
              <w:bottom w:val="single" w:sz="4" w:space="0" w:color="auto"/>
              <w:right w:val="single" w:sz="4" w:space="0" w:color="auto"/>
            </w:tcBorders>
          </w:tcPr>
          <w:p w14:paraId="4FF01202" w14:textId="018646C1" w:rsidR="00D70915" w:rsidRPr="00D70915" w:rsidRDefault="00D70915" w:rsidP="00D70915">
            <w:pPr>
              <w:widowControl/>
              <w:autoSpaceDE/>
              <w:autoSpaceDN/>
              <w:adjustRightInd/>
              <w:jc w:val="center"/>
              <w:rPr>
                <w:rFonts w:ascii="Verdana" w:eastAsia="Times New Roman" w:hAnsi="Verdana" w:cs="Calibri"/>
                <w:b/>
                <w:bCs/>
                <w:color w:val="000000"/>
                <w:sz w:val="22"/>
                <w:szCs w:val="22"/>
              </w:rPr>
            </w:pPr>
            <w:r w:rsidRPr="00D70915">
              <w:rPr>
                <w:rFonts w:ascii="Verdana" w:eastAsia="Times New Roman" w:hAnsi="Verdana" w:cs="Calibri"/>
                <w:b/>
                <w:bCs/>
                <w:color w:val="000000"/>
                <w:sz w:val="22"/>
                <w:szCs w:val="22"/>
              </w:rPr>
              <w:t>E</w:t>
            </w:r>
            <w:r w:rsidRPr="00D70915">
              <w:rPr>
                <w:rFonts w:ascii="Verdana" w:eastAsia="Times New Roman" w:hAnsi="Verdana" w:cs="Calibri"/>
                <w:color w:val="000000"/>
                <w:sz w:val="22"/>
                <w:szCs w:val="22"/>
              </w:rPr>
              <w:t>nclosure</w:t>
            </w:r>
          </w:p>
        </w:tc>
      </w:tr>
      <w:tr w:rsidR="00D70915" w:rsidRPr="00857538" w14:paraId="06169AA3" w14:textId="47EFBAAE"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6BFCF45D"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 xml:space="preserve">4280 10A </w:t>
            </w:r>
          </w:p>
        </w:tc>
        <w:tc>
          <w:tcPr>
            <w:tcW w:w="4441" w:type="dxa"/>
            <w:tcBorders>
              <w:top w:val="nil"/>
              <w:left w:val="nil"/>
              <w:bottom w:val="single" w:sz="4" w:space="0" w:color="auto"/>
              <w:right w:val="single" w:sz="4" w:space="0" w:color="auto"/>
            </w:tcBorders>
            <w:shd w:val="clear" w:color="auto" w:fill="auto"/>
            <w:noWrap/>
            <w:vAlign w:val="bottom"/>
            <w:hideMark/>
          </w:tcPr>
          <w:p w14:paraId="623786CC" w14:textId="77777777" w:rsidR="00D70915" w:rsidRPr="00D70915" w:rsidRDefault="00D70915" w:rsidP="00104355">
            <w:pPr>
              <w:widowControl/>
              <w:autoSpaceDE/>
              <w:autoSpaceDN/>
              <w:adjustRightInd/>
              <w:rPr>
                <w:rFonts w:ascii="Verdana" w:eastAsia="Times New Roman" w:hAnsi="Verdana" w:cs="Calibri"/>
                <w:color w:val="000000"/>
                <w:sz w:val="22"/>
                <w:szCs w:val="22"/>
              </w:rPr>
            </w:pPr>
            <w:proofErr w:type="spellStart"/>
            <w:r w:rsidRPr="00D70915">
              <w:rPr>
                <w:rFonts w:ascii="Verdana" w:eastAsia="Times New Roman" w:hAnsi="Verdana" w:cs="Calibri"/>
                <w:color w:val="000000"/>
                <w:sz w:val="22"/>
                <w:szCs w:val="22"/>
              </w:rPr>
              <w:t>Bldg</w:t>
            </w:r>
            <w:proofErr w:type="spellEnd"/>
            <w:r w:rsidRPr="00D70915">
              <w:rPr>
                <w:rFonts w:ascii="Verdana" w:eastAsia="Times New Roman" w:hAnsi="Verdana" w:cs="Calibri"/>
                <w:color w:val="000000"/>
                <w:sz w:val="22"/>
                <w:szCs w:val="22"/>
              </w:rPr>
              <w:t xml:space="preserve"> Regs. Existing plans, elevations, site plan and location plan</w:t>
            </w:r>
          </w:p>
        </w:tc>
        <w:tc>
          <w:tcPr>
            <w:tcW w:w="1505" w:type="dxa"/>
            <w:tcBorders>
              <w:top w:val="nil"/>
              <w:left w:val="nil"/>
              <w:bottom w:val="single" w:sz="4" w:space="0" w:color="auto"/>
              <w:right w:val="single" w:sz="4" w:space="0" w:color="auto"/>
            </w:tcBorders>
            <w:shd w:val="clear" w:color="auto" w:fill="auto"/>
            <w:noWrap/>
            <w:vAlign w:val="bottom"/>
            <w:hideMark/>
          </w:tcPr>
          <w:p w14:paraId="073B396C"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Feb-23</w:t>
            </w:r>
          </w:p>
        </w:tc>
        <w:tc>
          <w:tcPr>
            <w:tcW w:w="1330" w:type="dxa"/>
            <w:tcBorders>
              <w:top w:val="nil"/>
              <w:left w:val="nil"/>
              <w:bottom w:val="single" w:sz="4" w:space="0" w:color="auto"/>
              <w:right w:val="single" w:sz="4" w:space="0" w:color="auto"/>
            </w:tcBorders>
          </w:tcPr>
          <w:p w14:paraId="52D98AE3" w14:textId="7BFDF734"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sidRPr="00D70915">
              <w:rPr>
                <w:rFonts w:ascii="Verdana" w:eastAsia="Times New Roman" w:hAnsi="Verdana" w:cs="Calibri"/>
                <w:color w:val="000000"/>
                <w:sz w:val="22"/>
                <w:szCs w:val="22"/>
              </w:rPr>
              <w:t>1</w:t>
            </w:r>
          </w:p>
        </w:tc>
      </w:tr>
      <w:tr w:rsidR="00D70915" w:rsidRPr="00857538" w14:paraId="141133AD" w14:textId="7EB212F5"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2C370DBF"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4280 11A</w:t>
            </w:r>
          </w:p>
        </w:tc>
        <w:tc>
          <w:tcPr>
            <w:tcW w:w="4441" w:type="dxa"/>
            <w:tcBorders>
              <w:top w:val="nil"/>
              <w:left w:val="nil"/>
              <w:bottom w:val="single" w:sz="4" w:space="0" w:color="auto"/>
              <w:right w:val="single" w:sz="4" w:space="0" w:color="auto"/>
            </w:tcBorders>
            <w:shd w:val="clear" w:color="auto" w:fill="auto"/>
            <w:noWrap/>
            <w:vAlign w:val="bottom"/>
            <w:hideMark/>
          </w:tcPr>
          <w:p w14:paraId="57172A82" w14:textId="77777777" w:rsidR="00D70915" w:rsidRPr="00D70915" w:rsidRDefault="00D70915" w:rsidP="00104355">
            <w:pPr>
              <w:widowControl/>
              <w:autoSpaceDE/>
              <w:autoSpaceDN/>
              <w:adjustRightInd/>
              <w:rPr>
                <w:rFonts w:ascii="Verdana" w:eastAsia="Times New Roman" w:hAnsi="Verdana" w:cs="Calibri"/>
                <w:color w:val="000000"/>
                <w:sz w:val="22"/>
                <w:szCs w:val="22"/>
              </w:rPr>
            </w:pPr>
            <w:proofErr w:type="spellStart"/>
            <w:r w:rsidRPr="00D70915">
              <w:rPr>
                <w:rFonts w:ascii="Verdana" w:eastAsia="Times New Roman" w:hAnsi="Verdana" w:cs="Calibri"/>
                <w:color w:val="000000"/>
                <w:sz w:val="22"/>
                <w:szCs w:val="22"/>
              </w:rPr>
              <w:t>Bldg</w:t>
            </w:r>
            <w:proofErr w:type="spellEnd"/>
            <w:r w:rsidRPr="00D70915">
              <w:rPr>
                <w:rFonts w:ascii="Verdana" w:eastAsia="Times New Roman" w:hAnsi="Verdana" w:cs="Calibri"/>
                <w:color w:val="000000"/>
                <w:sz w:val="22"/>
                <w:szCs w:val="22"/>
              </w:rPr>
              <w:t xml:space="preserve"> Regs. Proposed plan </w:t>
            </w:r>
          </w:p>
        </w:tc>
        <w:tc>
          <w:tcPr>
            <w:tcW w:w="1505" w:type="dxa"/>
            <w:tcBorders>
              <w:top w:val="nil"/>
              <w:left w:val="nil"/>
              <w:bottom w:val="single" w:sz="4" w:space="0" w:color="auto"/>
              <w:right w:val="single" w:sz="4" w:space="0" w:color="auto"/>
            </w:tcBorders>
            <w:shd w:val="clear" w:color="auto" w:fill="auto"/>
            <w:noWrap/>
            <w:vAlign w:val="bottom"/>
            <w:hideMark/>
          </w:tcPr>
          <w:p w14:paraId="2EC69A10"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Feb-23</w:t>
            </w:r>
          </w:p>
        </w:tc>
        <w:tc>
          <w:tcPr>
            <w:tcW w:w="1330" w:type="dxa"/>
            <w:tcBorders>
              <w:top w:val="nil"/>
              <w:left w:val="nil"/>
              <w:bottom w:val="single" w:sz="4" w:space="0" w:color="auto"/>
              <w:right w:val="single" w:sz="4" w:space="0" w:color="auto"/>
            </w:tcBorders>
          </w:tcPr>
          <w:p w14:paraId="108E41CF" w14:textId="61E84942"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2</w:t>
            </w:r>
          </w:p>
        </w:tc>
      </w:tr>
      <w:tr w:rsidR="00D70915" w:rsidRPr="00857538" w14:paraId="50AEC000" w14:textId="3C7F5EF7"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72F841D8"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4280 12</w:t>
            </w:r>
          </w:p>
        </w:tc>
        <w:tc>
          <w:tcPr>
            <w:tcW w:w="4441" w:type="dxa"/>
            <w:tcBorders>
              <w:top w:val="nil"/>
              <w:left w:val="nil"/>
              <w:bottom w:val="single" w:sz="4" w:space="0" w:color="auto"/>
              <w:right w:val="single" w:sz="4" w:space="0" w:color="auto"/>
            </w:tcBorders>
            <w:shd w:val="clear" w:color="auto" w:fill="auto"/>
            <w:noWrap/>
            <w:vAlign w:val="bottom"/>
            <w:hideMark/>
          </w:tcPr>
          <w:p w14:paraId="3902FF0B" w14:textId="77777777" w:rsidR="00D70915" w:rsidRPr="00D70915" w:rsidRDefault="00D70915" w:rsidP="00104355">
            <w:pPr>
              <w:widowControl/>
              <w:autoSpaceDE/>
              <w:autoSpaceDN/>
              <w:adjustRightInd/>
              <w:rPr>
                <w:rFonts w:ascii="Verdana" w:eastAsia="Times New Roman" w:hAnsi="Verdana" w:cs="Calibri"/>
                <w:color w:val="000000"/>
                <w:sz w:val="22"/>
                <w:szCs w:val="22"/>
              </w:rPr>
            </w:pPr>
            <w:proofErr w:type="spellStart"/>
            <w:r w:rsidRPr="00D70915">
              <w:rPr>
                <w:rFonts w:ascii="Verdana" w:eastAsia="Times New Roman" w:hAnsi="Verdana" w:cs="Calibri"/>
                <w:color w:val="000000"/>
                <w:sz w:val="22"/>
                <w:szCs w:val="22"/>
              </w:rPr>
              <w:t>Bldg</w:t>
            </w:r>
            <w:proofErr w:type="spellEnd"/>
            <w:r w:rsidRPr="00D70915">
              <w:rPr>
                <w:rFonts w:ascii="Verdana" w:eastAsia="Times New Roman" w:hAnsi="Verdana" w:cs="Calibri"/>
                <w:color w:val="000000"/>
                <w:sz w:val="22"/>
                <w:szCs w:val="22"/>
              </w:rPr>
              <w:t xml:space="preserve"> Regs. Section A </w:t>
            </w:r>
          </w:p>
        </w:tc>
        <w:tc>
          <w:tcPr>
            <w:tcW w:w="1505" w:type="dxa"/>
            <w:tcBorders>
              <w:top w:val="nil"/>
              <w:left w:val="nil"/>
              <w:bottom w:val="single" w:sz="4" w:space="0" w:color="auto"/>
              <w:right w:val="single" w:sz="4" w:space="0" w:color="auto"/>
            </w:tcBorders>
            <w:shd w:val="clear" w:color="auto" w:fill="auto"/>
            <w:noWrap/>
            <w:vAlign w:val="bottom"/>
            <w:hideMark/>
          </w:tcPr>
          <w:p w14:paraId="42FF2156"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Feb-23</w:t>
            </w:r>
          </w:p>
        </w:tc>
        <w:tc>
          <w:tcPr>
            <w:tcW w:w="1330" w:type="dxa"/>
            <w:tcBorders>
              <w:top w:val="nil"/>
              <w:left w:val="nil"/>
              <w:bottom w:val="single" w:sz="4" w:space="0" w:color="auto"/>
              <w:right w:val="single" w:sz="4" w:space="0" w:color="auto"/>
            </w:tcBorders>
          </w:tcPr>
          <w:p w14:paraId="7D6B0F7B" w14:textId="274F5F11"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3</w:t>
            </w:r>
          </w:p>
        </w:tc>
      </w:tr>
      <w:tr w:rsidR="00D70915" w:rsidRPr="00857538" w14:paraId="1C9B2312" w14:textId="0F3DD527"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5B089F15"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4280 13</w:t>
            </w:r>
          </w:p>
        </w:tc>
        <w:tc>
          <w:tcPr>
            <w:tcW w:w="4441" w:type="dxa"/>
            <w:tcBorders>
              <w:top w:val="nil"/>
              <w:left w:val="nil"/>
              <w:bottom w:val="single" w:sz="4" w:space="0" w:color="auto"/>
              <w:right w:val="single" w:sz="4" w:space="0" w:color="auto"/>
            </w:tcBorders>
            <w:shd w:val="clear" w:color="auto" w:fill="auto"/>
            <w:noWrap/>
            <w:vAlign w:val="bottom"/>
            <w:hideMark/>
          </w:tcPr>
          <w:p w14:paraId="74CBD5B9" w14:textId="77777777" w:rsidR="00D70915" w:rsidRPr="00D70915" w:rsidRDefault="00D70915" w:rsidP="00104355">
            <w:pPr>
              <w:widowControl/>
              <w:autoSpaceDE/>
              <w:autoSpaceDN/>
              <w:adjustRightInd/>
              <w:rPr>
                <w:rFonts w:ascii="Verdana" w:eastAsia="Times New Roman" w:hAnsi="Verdana" w:cs="Calibri"/>
                <w:color w:val="000000"/>
                <w:sz w:val="22"/>
                <w:szCs w:val="22"/>
              </w:rPr>
            </w:pPr>
            <w:proofErr w:type="spellStart"/>
            <w:r w:rsidRPr="00D70915">
              <w:rPr>
                <w:rFonts w:ascii="Verdana" w:eastAsia="Times New Roman" w:hAnsi="Verdana" w:cs="Calibri"/>
                <w:color w:val="000000"/>
                <w:sz w:val="22"/>
                <w:szCs w:val="22"/>
              </w:rPr>
              <w:t>Bldg</w:t>
            </w:r>
            <w:proofErr w:type="spellEnd"/>
            <w:r w:rsidRPr="00D70915">
              <w:rPr>
                <w:rFonts w:ascii="Verdana" w:eastAsia="Times New Roman" w:hAnsi="Verdana" w:cs="Calibri"/>
                <w:color w:val="000000"/>
                <w:sz w:val="22"/>
                <w:szCs w:val="22"/>
              </w:rPr>
              <w:t xml:space="preserve"> Regs. Section B </w:t>
            </w:r>
          </w:p>
        </w:tc>
        <w:tc>
          <w:tcPr>
            <w:tcW w:w="1505" w:type="dxa"/>
            <w:tcBorders>
              <w:top w:val="nil"/>
              <w:left w:val="nil"/>
              <w:bottom w:val="single" w:sz="4" w:space="0" w:color="auto"/>
              <w:right w:val="single" w:sz="4" w:space="0" w:color="auto"/>
            </w:tcBorders>
            <w:shd w:val="clear" w:color="auto" w:fill="auto"/>
            <w:noWrap/>
            <w:vAlign w:val="bottom"/>
            <w:hideMark/>
          </w:tcPr>
          <w:p w14:paraId="4AD30607"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Feb-23</w:t>
            </w:r>
          </w:p>
        </w:tc>
        <w:tc>
          <w:tcPr>
            <w:tcW w:w="1330" w:type="dxa"/>
            <w:tcBorders>
              <w:top w:val="nil"/>
              <w:left w:val="nil"/>
              <w:bottom w:val="single" w:sz="4" w:space="0" w:color="auto"/>
              <w:right w:val="single" w:sz="4" w:space="0" w:color="auto"/>
            </w:tcBorders>
          </w:tcPr>
          <w:p w14:paraId="5226E932" w14:textId="2AFECCD8"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4</w:t>
            </w:r>
          </w:p>
        </w:tc>
      </w:tr>
      <w:tr w:rsidR="00D70915" w:rsidRPr="00857538" w14:paraId="60884507" w14:textId="39CD0D90"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069D2BEE" w14:textId="4ABBF412" w:rsidR="00D70915" w:rsidRPr="00D70915" w:rsidRDefault="006B43EE" w:rsidP="00104355">
            <w:pPr>
              <w:widowControl/>
              <w:autoSpaceDE/>
              <w:autoSpaceDN/>
              <w:adjustRightInd/>
              <w:rPr>
                <w:rFonts w:ascii="Verdana" w:eastAsia="Times New Roman" w:hAnsi="Verdana" w:cs="Calibri"/>
                <w:color w:val="000000"/>
                <w:sz w:val="22"/>
                <w:szCs w:val="22"/>
              </w:rPr>
            </w:pPr>
            <w:r w:rsidRPr="006B43EE">
              <w:rPr>
                <w:rFonts w:ascii="Verdana" w:eastAsia="Times New Roman" w:hAnsi="Verdana" w:cs="Calibri"/>
                <w:color w:val="000000"/>
                <w:sz w:val="22"/>
                <w:szCs w:val="22"/>
              </w:rPr>
              <w:t>22-0427-001</w:t>
            </w:r>
          </w:p>
        </w:tc>
        <w:tc>
          <w:tcPr>
            <w:tcW w:w="4441" w:type="dxa"/>
            <w:tcBorders>
              <w:top w:val="nil"/>
              <w:left w:val="nil"/>
              <w:bottom w:val="single" w:sz="4" w:space="0" w:color="auto"/>
              <w:right w:val="single" w:sz="4" w:space="0" w:color="auto"/>
            </w:tcBorders>
            <w:shd w:val="clear" w:color="auto" w:fill="auto"/>
            <w:noWrap/>
            <w:vAlign w:val="bottom"/>
            <w:hideMark/>
          </w:tcPr>
          <w:p w14:paraId="56AAFA63"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 xml:space="preserve">Topographical Survey </w:t>
            </w:r>
          </w:p>
        </w:tc>
        <w:tc>
          <w:tcPr>
            <w:tcW w:w="1505" w:type="dxa"/>
            <w:tcBorders>
              <w:top w:val="nil"/>
              <w:left w:val="nil"/>
              <w:bottom w:val="single" w:sz="4" w:space="0" w:color="auto"/>
              <w:right w:val="single" w:sz="4" w:space="0" w:color="auto"/>
            </w:tcBorders>
            <w:shd w:val="clear" w:color="auto" w:fill="auto"/>
            <w:noWrap/>
            <w:vAlign w:val="bottom"/>
            <w:hideMark/>
          </w:tcPr>
          <w:p w14:paraId="78549941"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14-Feb-23</w:t>
            </w:r>
          </w:p>
        </w:tc>
        <w:tc>
          <w:tcPr>
            <w:tcW w:w="1330" w:type="dxa"/>
            <w:tcBorders>
              <w:top w:val="nil"/>
              <w:left w:val="nil"/>
              <w:bottom w:val="single" w:sz="4" w:space="0" w:color="auto"/>
              <w:right w:val="single" w:sz="4" w:space="0" w:color="auto"/>
            </w:tcBorders>
          </w:tcPr>
          <w:p w14:paraId="0A8E2475" w14:textId="0C0540C1"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5</w:t>
            </w:r>
          </w:p>
        </w:tc>
      </w:tr>
      <w:tr w:rsidR="00D70915" w:rsidRPr="00857538" w14:paraId="634386A2" w14:textId="0A195980"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66CD0577" w14:textId="2C57642A" w:rsidR="00D70915" w:rsidRPr="00D70915" w:rsidRDefault="006B43EE" w:rsidP="00104355">
            <w:pPr>
              <w:widowControl/>
              <w:autoSpaceDE/>
              <w:autoSpaceDN/>
              <w:adjustRightInd/>
              <w:rPr>
                <w:rFonts w:ascii="Verdana" w:eastAsia="Times New Roman" w:hAnsi="Verdana" w:cs="Calibri"/>
                <w:color w:val="000000"/>
                <w:sz w:val="22"/>
                <w:szCs w:val="22"/>
              </w:rPr>
            </w:pPr>
            <w:r w:rsidRPr="006B43EE">
              <w:rPr>
                <w:rFonts w:ascii="Verdana" w:eastAsia="Times New Roman" w:hAnsi="Verdana" w:cs="Calibri"/>
                <w:color w:val="000000"/>
                <w:sz w:val="22"/>
                <w:szCs w:val="22"/>
              </w:rPr>
              <w:t>JHA-1392-01</w:t>
            </w:r>
          </w:p>
        </w:tc>
        <w:tc>
          <w:tcPr>
            <w:tcW w:w="4441" w:type="dxa"/>
            <w:tcBorders>
              <w:top w:val="nil"/>
              <w:left w:val="nil"/>
              <w:bottom w:val="single" w:sz="4" w:space="0" w:color="auto"/>
              <w:right w:val="single" w:sz="4" w:space="0" w:color="auto"/>
            </w:tcBorders>
            <w:shd w:val="clear" w:color="auto" w:fill="auto"/>
            <w:noWrap/>
            <w:vAlign w:val="bottom"/>
            <w:hideMark/>
          </w:tcPr>
          <w:p w14:paraId="6257A3F5"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 xml:space="preserve">Piling and ground beam layout </w:t>
            </w:r>
          </w:p>
        </w:tc>
        <w:tc>
          <w:tcPr>
            <w:tcW w:w="1505" w:type="dxa"/>
            <w:tcBorders>
              <w:top w:val="nil"/>
              <w:left w:val="nil"/>
              <w:bottom w:val="single" w:sz="4" w:space="0" w:color="auto"/>
              <w:right w:val="single" w:sz="4" w:space="0" w:color="auto"/>
            </w:tcBorders>
            <w:shd w:val="clear" w:color="auto" w:fill="auto"/>
            <w:noWrap/>
            <w:vAlign w:val="bottom"/>
            <w:hideMark/>
          </w:tcPr>
          <w:p w14:paraId="5739E643"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Jul-23</w:t>
            </w:r>
          </w:p>
        </w:tc>
        <w:tc>
          <w:tcPr>
            <w:tcW w:w="1330" w:type="dxa"/>
            <w:tcBorders>
              <w:top w:val="nil"/>
              <w:left w:val="nil"/>
              <w:bottom w:val="single" w:sz="4" w:space="0" w:color="auto"/>
              <w:right w:val="single" w:sz="4" w:space="0" w:color="auto"/>
            </w:tcBorders>
          </w:tcPr>
          <w:p w14:paraId="098B316F" w14:textId="71BB8BB8"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6</w:t>
            </w:r>
          </w:p>
        </w:tc>
      </w:tr>
      <w:tr w:rsidR="00D70915" w:rsidRPr="00857538" w14:paraId="0B9AB3FE" w14:textId="3BF43010"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14:paraId="3090DD14" w14:textId="3B07ABDB" w:rsidR="00D70915" w:rsidRPr="00D70915" w:rsidRDefault="006B43EE" w:rsidP="00104355">
            <w:pPr>
              <w:widowControl/>
              <w:autoSpaceDE/>
              <w:autoSpaceDN/>
              <w:adjustRightInd/>
              <w:rPr>
                <w:rFonts w:ascii="Verdana" w:eastAsia="Times New Roman" w:hAnsi="Verdana"/>
                <w:color w:val="000000"/>
                <w:sz w:val="22"/>
                <w:szCs w:val="22"/>
              </w:rPr>
            </w:pPr>
            <w:r>
              <w:rPr>
                <w:rFonts w:ascii="Verdana" w:eastAsia="Times New Roman" w:hAnsi="Verdana"/>
                <w:color w:val="000000"/>
                <w:sz w:val="22"/>
                <w:szCs w:val="22"/>
              </w:rPr>
              <w:t xml:space="preserve">JHA 2013 RC </w:t>
            </w:r>
          </w:p>
        </w:tc>
        <w:tc>
          <w:tcPr>
            <w:tcW w:w="4441" w:type="dxa"/>
            <w:tcBorders>
              <w:top w:val="nil"/>
              <w:left w:val="nil"/>
              <w:bottom w:val="single" w:sz="4" w:space="0" w:color="auto"/>
              <w:right w:val="single" w:sz="4" w:space="0" w:color="auto"/>
            </w:tcBorders>
            <w:shd w:val="clear" w:color="auto" w:fill="auto"/>
            <w:noWrap/>
            <w:vAlign w:val="bottom"/>
            <w:hideMark/>
          </w:tcPr>
          <w:p w14:paraId="407E1524"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RC Beam details</w:t>
            </w:r>
          </w:p>
        </w:tc>
        <w:tc>
          <w:tcPr>
            <w:tcW w:w="1505" w:type="dxa"/>
            <w:tcBorders>
              <w:top w:val="nil"/>
              <w:left w:val="nil"/>
              <w:bottom w:val="single" w:sz="4" w:space="0" w:color="auto"/>
              <w:right w:val="single" w:sz="4" w:space="0" w:color="auto"/>
            </w:tcBorders>
            <w:shd w:val="clear" w:color="auto" w:fill="auto"/>
            <w:noWrap/>
            <w:vAlign w:val="bottom"/>
            <w:hideMark/>
          </w:tcPr>
          <w:p w14:paraId="3FFDEDDB"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26 Jun 23</w:t>
            </w:r>
          </w:p>
        </w:tc>
        <w:tc>
          <w:tcPr>
            <w:tcW w:w="1330" w:type="dxa"/>
            <w:tcBorders>
              <w:top w:val="nil"/>
              <w:left w:val="nil"/>
              <w:bottom w:val="single" w:sz="4" w:space="0" w:color="auto"/>
              <w:right w:val="single" w:sz="4" w:space="0" w:color="auto"/>
            </w:tcBorders>
          </w:tcPr>
          <w:p w14:paraId="21E4AD42" w14:textId="749172B5"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7</w:t>
            </w:r>
          </w:p>
        </w:tc>
      </w:tr>
      <w:tr w:rsidR="00D70915" w:rsidRPr="00857538" w14:paraId="02DB722A" w14:textId="5CD76F7A" w:rsidTr="00D70915">
        <w:trPr>
          <w:trHeight w:val="306"/>
        </w:trPr>
        <w:tc>
          <w:tcPr>
            <w:tcW w:w="1938" w:type="dxa"/>
            <w:tcBorders>
              <w:top w:val="nil"/>
              <w:left w:val="single" w:sz="4" w:space="0" w:color="auto"/>
              <w:bottom w:val="single" w:sz="4" w:space="0" w:color="auto"/>
              <w:right w:val="single" w:sz="4" w:space="0" w:color="auto"/>
            </w:tcBorders>
            <w:shd w:val="clear" w:color="auto" w:fill="auto"/>
            <w:noWrap/>
            <w:vAlign w:val="bottom"/>
            <w:hideMark/>
          </w:tcPr>
          <w:p w14:paraId="48F7CB0C" w14:textId="1D841521" w:rsidR="00D70915" w:rsidRPr="00D70915" w:rsidRDefault="006B43EE" w:rsidP="00104355">
            <w:pPr>
              <w:widowControl/>
              <w:autoSpaceDE/>
              <w:autoSpaceDN/>
              <w:adjustRightInd/>
              <w:rPr>
                <w:rFonts w:ascii="Verdana" w:eastAsia="Times New Roman" w:hAnsi="Verdana" w:cs="Calibri"/>
                <w:color w:val="000000"/>
                <w:sz w:val="22"/>
                <w:szCs w:val="22"/>
              </w:rPr>
            </w:pPr>
            <w:r>
              <w:rPr>
                <w:rFonts w:ascii="Verdana" w:eastAsia="Times New Roman" w:hAnsi="Verdana" w:cs="Calibri"/>
                <w:color w:val="000000"/>
                <w:sz w:val="22"/>
                <w:szCs w:val="22"/>
              </w:rPr>
              <w:t>JHA 2031 SK</w:t>
            </w:r>
            <w:r w:rsidR="00D70915" w:rsidRPr="00D70915">
              <w:rPr>
                <w:rFonts w:ascii="Verdana" w:eastAsia="Times New Roman" w:hAnsi="Verdana" w:cs="Calibri"/>
                <w:color w:val="000000"/>
                <w:sz w:val="22"/>
                <w:szCs w:val="22"/>
              </w:rPr>
              <w:t xml:space="preserve"> </w:t>
            </w:r>
          </w:p>
        </w:tc>
        <w:tc>
          <w:tcPr>
            <w:tcW w:w="4441" w:type="dxa"/>
            <w:tcBorders>
              <w:top w:val="nil"/>
              <w:left w:val="nil"/>
              <w:bottom w:val="single" w:sz="4" w:space="0" w:color="auto"/>
              <w:right w:val="single" w:sz="4" w:space="0" w:color="auto"/>
            </w:tcBorders>
            <w:shd w:val="clear" w:color="auto" w:fill="auto"/>
            <w:noWrap/>
            <w:vAlign w:val="bottom"/>
            <w:hideMark/>
          </w:tcPr>
          <w:p w14:paraId="653578E7"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Bar schedules</w:t>
            </w:r>
          </w:p>
        </w:tc>
        <w:tc>
          <w:tcPr>
            <w:tcW w:w="1505" w:type="dxa"/>
            <w:tcBorders>
              <w:top w:val="nil"/>
              <w:left w:val="nil"/>
              <w:bottom w:val="single" w:sz="4" w:space="0" w:color="auto"/>
              <w:right w:val="single" w:sz="4" w:space="0" w:color="auto"/>
            </w:tcBorders>
            <w:shd w:val="clear" w:color="auto" w:fill="auto"/>
            <w:noWrap/>
            <w:vAlign w:val="bottom"/>
            <w:hideMark/>
          </w:tcPr>
          <w:p w14:paraId="4F6C2530" w14:textId="77777777" w:rsidR="00D70915" w:rsidRPr="00D70915" w:rsidRDefault="00D70915" w:rsidP="00104355">
            <w:pPr>
              <w:widowControl/>
              <w:autoSpaceDE/>
              <w:autoSpaceDN/>
              <w:adjustRightInd/>
              <w:rPr>
                <w:rFonts w:ascii="Verdana" w:eastAsia="Times New Roman" w:hAnsi="Verdana" w:cs="Calibri"/>
                <w:color w:val="000000"/>
                <w:sz w:val="22"/>
                <w:szCs w:val="22"/>
              </w:rPr>
            </w:pPr>
            <w:r w:rsidRPr="00D70915">
              <w:rPr>
                <w:rFonts w:ascii="Verdana" w:eastAsia="Times New Roman" w:hAnsi="Verdana" w:cs="Calibri"/>
                <w:color w:val="000000"/>
                <w:sz w:val="22"/>
                <w:szCs w:val="22"/>
              </w:rPr>
              <w:t>28 Jun 23</w:t>
            </w:r>
          </w:p>
        </w:tc>
        <w:tc>
          <w:tcPr>
            <w:tcW w:w="1330" w:type="dxa"/>
            <w:tcBorders>
              <w:top w:val="nil"/>
              <w:left w:val="nil"/>
              <w:bottom w:val="single" w:sz="4" w:space="0" w:color="auto"/>
              <w:right w:val="single" w:sz="4" w:space="0" w:color="auto"/>
            </w:tcBorders>
          </w:tcPr>
          <w:p w14:paraId="4FDC857E" w14:textId="0AEA8923" w:rsidR="00D70915" w:rsidRPr="00D70915" w:rsidRDefault="00D70915" w:rsidP="00D70915">
            <w:pPr>
              <w:widowControl/>
              <w:autoSpaceDE/>
              <w:autoSpaceDN/>
              <w:adjustRightInd/>
              <w:jc w:val="center"/>
              <w:rPr>
                <w:rFonts w:ascii="Verdana" w:eastAsia="Times New Roman" w:hAnsi="Verdana" w:cs="Calibri"/>
                <w:color w:val="000000"/>
                <w:sz w:val="22"/>
                <w:szCs w:val="22"/>
              </w:rPr>
            </w:pPr>
            <w:r>
              <w:rPr>
                <w:rFonts w:ascii="Verdana" w:eastAsia="Times New Roman" w:hAnsi="Verdana" w:cs="Calibri"/>
                <w:color w:val="000000"/>
                <w:sz w:val="22"/>
                <w:szCs w:val="22"/>
              </w:rPr>
              <w:t>8</w:t>
            </w:r>
          </w:p>
        </w:tc>
      </w:tr>
    </w:tbl>
    <w:p w14:paraId="1863252A" w14:textId="2E956CF6" w:rsidR="00137C54" w:rsidRDefault="00137C54" w:rsidP="003D4853">
      <w:pPr>
        <w:pStyle w:val="Neading3"/>
      </w:pPr>
    </w:p>
    <w:p w14:paraId="02FB8F23" w14:textId="19143DFA" w:rsidR="002F60F5" w:rsidRDefault="00C21622" w:rsidP="009071BD">
      <w:pPr>
        <w:widowControl/>
        <w:autoSpaceDE/>
        <w:autoSpaceDN/>
        <w:adjustRightInd/>
        <w:spacing w:after="200"/>
        <w:rPr>
          <w:rFonts w:ascii="Verdana" w:eastAsia="Calibri" w:hAnsi="Verdana" w:cs="Arial"/>
          <w:b/>
          <w:sz w:val="22"/>
          <w:szCs w:val="22"/>
          <w:lang w:eastAsia="en-US"/>
        </w:rPr>
      </w:pPr>
      <w:r w:rsidRPr="00F3682A">
        <w:rPr>
          <w:rStyle w:val="Neading3Char"/>
          <w:b/>
          <w:bCs/>
          <w:sz w:val="22"/>
          <w:szCs w:val="22"/>
        </w:rPr>
        <w:lastRenderedPageBreak/>
        <w:t>3</w:t>
      </w:r>
      <w:r w:rsidR="00043839" w:rsidRPr="00F3682A">
        <w:rPr>
          <w:rStyle w:val="Neading3Char"/>
          <w:b/>
          <w:bCs/>
          <w:sz w:val="22"/>
          <w:szCs w:val="22"/>
        </w:rPr>
        <w:t>.</w:t>
      </w:r>
      <w:r w:rsidR="00F3682A" w:rsidRPr="00F3682A">
        <w:rPr>
          <w:rStyle w:val="Neading3Char"/>
          <w:b/>
          <w:bCs/>
          <w:sz w:val="22"/>
          <w:szCs w:val="22"/>
        </w:rPr>
        <w:t>3</w:t>
      </w:r>
      <w:r w:rsidR="002F60F5" w:rsidRPr="002F60F5">
        <w:rPr>
          <w:rFonts w:ascii="Verdana" w:eastAsia="Calibri" w:hAnsi="Verdana" w:cs="Arial"/>
          <w:b/>
          <w:sz w:val="22"/>
          <w:szCs w:val="22"/>
          <w:lang w:eastAsia="en-US"/>
        </w:rPr>
        <w:tab/>
        <w:t>Bill of Materials</w:t>
      </w:r>
      <w:r w:rsidR="00F3682A">
        <w:rPr>
          <w:rFonts w:ascii="Verdana" w:eastAsia="Calibri" w:hAnsi="Verdana" w:cs="Arial"/>
          <w:b/>
          <w:sz w:val="22"/>
          <w:szCs w:val="22"/>
          <w:lang w:eastAsia="en-US"/>
        </w:rPr>
        <w:t xml:space="preserve"> and </w:t>
      </w:r>
      <w:r w:rsidR="002F60F5">
        <w:rPr>
          <w:rFonts w:ascii="Verdana" w:eastAsia="Calibri" w:hAnsi="Verdana" w:cs="Arial"/>
          <w:b/>
          <w:sz w:val="22"/>
          <w:szCs w:val="22"/>
          <w:lang w:eastAsia="en-US"/>
        </w:rPr>
        <w:t>Pricing Document</w:t>
      </w:r>
    </w:p>
    <w:p w14:paraId="389A5DDD" w14:textId="5EE89CB4" w:rsidR="00F3682A" w:rsidRPr="00F3682A" w:rsidRDefault="00F3682A" w:rsidP="009071BD">
      <w:pPr>
        <w:widowControl/>
        <w:autoSpaceDE/>
        <w:autoSpaceDN/>
        <w:adjustRightInd/>
        <w:spacing w:after="200"/>
        <w:rPr>
          <w:rFonts w:ascii="Verdana" w:eastAsia="Calibri" w:hAnsi="Verdana" w:cs="Arial"/>
          <w:bCs/>
          <w:sz w:val="22"/>
          <w:szCs w:val="22"/>
          <w:lang w:eastAsia="en-US"/>
        </w:rPr>
      </w:pPr>
      <w:r w:rsidRPr="00F3682A">
        <w:rPr>
          <w:rFonts w:ascii="Verdana" w:eastAsia="Calibri" w:hAnsi="Verdana" w:cs="Arial"/>
          <w:bCs/>
          <w:sz w:val="22"/>
          <w:szCs w:val="22"/>
          <w:lang w:eastAsia="en-US"/>
        </w:rPr>
        <w:t>The Bill of Materials for Pricing by the supplier is at Enclosure</w:t>
      </w:r>
      <w:r>
        <w:rPr>
          <w:rFonts w:ascii="Verdana" w:eastAsia="Calibri" w:hAnsi="Verdana" w:cs="Arial"/>
          <w:bCs/>
          <w:sz w:val="22"/>
          <w:szCs w:val="22"/>
          <w:lang w:eastAsia="en-US"/>
        </w:rPr>
        <w:t xml:space="preserve"> 9</w:t>
      </w:r>
    </w:p>
    <w:p w14:paraId="50C96996" w14:textId="0708BB4F" w:rsidR="002F60F5" w:rsidRDefault="002F60F5"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w:t>
      </w:r>
      <w:r w:rsidR="00F3682A">
        <w:rPr>
          <w:rFonts w:ascii="Verdana" w:eastAsia="Calibri" w:hAnsi="Verdana" w:cs="Arial"/>
          <w:b/>
          <w:sz w:val="22"/>
          <w:szCs w:val="22"/>
          <w:lang w:eastAsia="en-US"/>
        </w:rPr>
        <w:t>4</w:t>
      </w:r>
      <w:r>
        <w:rPr>
          <w:rFonts w:ascii="Verdana" w:eastAsia="Calibri" w:hAnsi="Verdana" w:cs="Arial"/>
          <w:b/>
          <w:sz w:val="22"/>
          <w:szCs w:val="22"/>
          <w:lang w:eastAsia="en-US"/>
        </w:rPr>
        <w:tab/>
        <w:t xml:space="preserve">Form of </w:t>
      </w:r>
      <w:r w:rsidR="002F3B0F">
        <w:rPr>
          <w:rFonts w:ascii="Verdana" w:eastAsia="Calibri" w:hAnsi="Verdana" w:cs="Arial"/>
          <w:b/>
          <w:sz w:val="22"/>
          <w:szCs w:val="22"/>
          <w:lang w:eastAsia="en-US"/>
        </w:rPr>
        <w:t>Tender</w:t>
      </w:r>
    </w:p>
    <w:p w14:paraId="716FBD21" w14:textId="4F29C0D8" w:rsidR="00F3682A" w:rsidRPr="00F3682A" w:rsidRDefault="00F3682A" w:rsidP="009071BD">
      <w:pPr>
        <w:widowControl/>
        <w:autoSpaceDE/>
        <w:autoSpaceDN/>
        <w:adjustRightInd/>
        <w:spacing w:after="200"/>
        <w:rPr>
          <w:rFonts w:ascii="Verdana" w:eastAsia="Calibri" w:hAnsi="Verdana" w:cs="Arial"/>
          <w:bCs/>
          <w:sz w:val="22"/>
          <w:szCs w:val="22"/>
          <w:lang w:eastAsia="en-US"/>
        </w:rPr>
      </w:pPr>
      <w:r w:rsidRPr="00F3682A">
        <w:rPr>
          <w:rFonts w:ascii="Verdana" w:eastAsia="Calibri" w:hAnsi="Verdana" w:cs="Arial"/>
          <w:bCs/>
          <w:sz w:val="22"/>
          <w:szCs w:val="22"/>
          <w:lang w:eastAsia="en-US"/>
        </w:rPr>
        <w:t>See Enclosure 10</w:t>
      </w:r>
      <w:r>
        <w:rPr>
          <w:rFonts w:ascii="Verdana" w:eastAsia="Calibri" w:hAnsi="Verdana" w:cs="Arial"/>
          <w:bCs/>
          <w:sz w:val="22"/>
          <w:szCs w:val="22"/>
          <w:lang w:eastAsia="en-US"/>
        </w:rPr>
        <w:t>.  This is to be completed and returned with your tender response.</w:t>
      </w:r>
      <w:r w:rsidRPr="00F3682A">
        <w:rPr>
          <w:rFonts w:ascii="Verdana" w:eastAsia="Calibri" w:hAnsi="Verdana" w:cs="Arial"/>
          <w:bCs/>
          <w:sz w:val="22"/>
          <w:szCs w:val="22"/>
          <w:lang w:eastAsia="en-US"/>
        </w:rPr>
        <w:t xml:space="preserve"> </w:t>
      </w:r>
    </w:p>
    <w:p w14:paraId="6B57CAA4" w14:textId="05F4E50A" w:rsidR="002F60F5" w:rsidRDefault="002F60F5" w:rsidP="009071BD">
      <w:pPr>
        <w:widowControl/>
        <w:autoSpaceDE/>
        <w:autoSpaceDN/>
        <w:adjustRightInd/>
        <w:spacing w:after="200"/>
        <w:rPr>
          <w:rFonts w:ascii="Verdana" w:eastAsia="Calibri" w:hAnsi="Verdana" w:cs="Arial"/>
          <w:b/>
          <w:i/>
          <w:iCs/>
          <w:sz w:val="22"/>
          <w:szCs w:val="22"/>
          <w:lang w:eastAsia="en-US"/>
        </w:rPr>
      </w:pPr>
      <w:r>
        <w:rPr>
          <w:rFonts w:ascii="Verdana" w:eastAsia="Calibri" w:hAnsi="Verdana" w:cs="Arial"/>
          <w:b/>
          <w:sz w:val="22"/>
          <w:szCs w:val="22"/>
          <w:lang w:eastAsia="en-US"/>
        </w:rPr>
        <w:t>3.</w:t>
      </w:r>
      <w:r w:rsidR="00F3682A">
        <w:rPr>
          <w:rFonts w:ascii="Verdana" w:eastAsia="Calibri" w:hAnsi="Verdana" w:cs="Arial"/>
          <w:b/>
          <w:sz w:val="22"/>
          <w:szCs w:val="22"/>
          <w:lang w:eastAsia="en-US"/>
        </w:rPr>
        <w:t>5</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2" w:history="1">
        <w:r w:rsidR="00CF4C27" w:rsidRPr="009E0756">
          <w:rPr>
            <w:rStyle w:val="Hyperlink"/>
            <w:rFonts w:ascii="Verdana" w:eastAsia="Calibri" w:hAnsi="Verdana" w:cs="Arial"/>
            <w:b/>
            <w:i/>
            <w:iCs/>
            <w:sz w:val="22"/>
            <w:szCs w:val="22"/>
            <w:lang w:eastAsia="en-US"/>
          </w:rPr>
          <w:t>https://ciosgoodgrowth.com/wp-content/uploads/2023/06/UK-SPF-_-Branding-and-Publicity-V7.pdf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13F95472"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7AEA7C32" w14:textId="55B34DD2" w:rsidR="002F60F5" w:rsidRPr="00C30B0B" w:rsidRDefault="001C6F29"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PPC</w:t>
      </w:r>
      <w:r w:rsidR="00CF4C27" w:rsidRPr="00735D63">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B32B4C"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34839CB1" w14:textId="27B9E22F" w:rsidR="006268C8" w:rsidRPr="00C86104" w:rsidRDefault="00C86104" w:rsidP="00C86104">
      <w:pPr>
        <w:widowControl/>
        <w:kinsoku w:val="0"/>
        <w:overflowPunct w:val="0"/>
        <w:autoSpaceDE/>
        <w:autoSpaceDN/>
        <w:adjustRightInd/>
        <w:spacing w:before="86"/>
        <w:textAlignment w:val="baseline"/>
        <w:rPr>
          <w:rFonts w:ascii="Verdana" w:eastAsia="Calibri" w:hAnsi="Verdana"/>
          <w:b/>
          <w:bCs/>
          <w:sz w:val="22"/>
          <w:szCs w:val="22"/>
          <w:lang w:eastAsia="en-US"/>
        </w:rPr>
      </w:pPr>
      <w:r w:rsidRPr="00C86104">
        <w:rPr>
          <w:rFonts w:ascii="Verdana" w:eastAsia="Calibri" w:hAnsi="Verdana"/>
          <w:b/>
          <w:bCs/>
          <w:sz w:val="22"/>
          <w:szCs w:val="22"/>
          <w:lang w:eastAsia="en-US"/>
        </w:rPr>
        <w:t>3.</w:t>
      </w:r>
      <w:r w:rsidR="00531A9D">
        <w:rPr>
          <w:rFonts w:ascii="Verdana" w:eastAsia="Calibri" w:hAnsi="Verdana"/>
          <w:b/>
          <w:bCs/>
          <w:sz w:val="22"/>
          <w:szCs w:val="22"/>
          <w:lang w:eastAsia="en-US"/>
        </w:rPr>
        <w:t>6</w:t>
      </w:r>
      <w:r>
        <w:rPr>
          <w:rFonts w:ascii="Verdana" w:eastAsia="Calibri" w:hAnsi="Verdana"/>
          <w:b/>
          <w:bCs/>
          <w:sz w:val="22"/>
          <w:szCs w:val="22"/>
          <w:lang w:eastAsia="en-US"/>
        </w:rPr>
        <w:tab/>
        <w:t xml:space="preserve">Report. </w:t>
      </w:r>
      <w:r w:rsidRPr="00C86104">
        <w:rPr>
          <w:rFonts w:ascii="Verdana" w:eastAsia="Calibri" w:hAnsi="Verdana"/>
          <w:sz w:val="22"/>
          <w:szCs w:val="22"/>
          <w:lang w:eastAsia="en-US"/>
        </w:rPr>
        <w:t>The successful supplier will be</w:t>
      </w:r>
      <w:r>
        <w:rPr>
          <w:rFonts w:ascii="Verdana" w:eastAsia="Calibri" w:hAnsi="Verdana"/>
          <w:sz w:val="22"/>
          <w:szCs w:val="22"/>
          <w:lang w:eastAsia="en-US"/>
        </w:rPr>
        <w:t xml:space="preserve"> require</w:t>
      </w:r>
      <w:r w:rsidR="003313CA">
        <w:rPr>
          <w:rFonts w:ascii="Verdana" w:eastAsia="Calibri" w:hAnsi="Verdana"/>
          <w:sz w:val="22"/>
          <w:szCs w:val="22"/>
          <w:lang w:eastAsia="en-US"/>
        </w:rPr>
        <w:t>d</w:t>
      </w:r>
      <w:r>
        <w:rPr>
          <w:rFonts w:ascii="Verdana" w:eastAsia="Calibri" w:hAnsi="Verdana"/>
          <w:sz w:val="22"/>
          <w:szCs w:val="22"/>
          <w:lang w:eastAsia="en-US"/>
        </w:rPr>
        <w:t xml:space="preserve"> to submit</w:t>
      </w:r>
      <w:r w:rsidRPr="00C86104">
        <w:rPr>
          <w:rFonts w:ascii="Verdana" w:eastAsia="Calibri" w:hAnsi="Verdana"/>
          <w:sz w:val="22"/>
          <w:szCs w:val="22"/>
          <w:lang w:eastAsia="en-US"/>
        </w:rPr>
        <w:t xml:space="preserve"> a report to</w:t>
      </w:r>
      <w:r w:rsidRPr="00735D63">
        <w:rPr>
          <w:rFonts w:ascii="Verdana" w:eastAsia="Calibri" w:hAnsi="Verdana"/>
          <w:sz w:val="22"/>
          <w:szCs w:val="22"/>
          <w:lang w:eastAsia="en-US"/>
        </w:rPr>
        <w:t xml:space="preserve"> </w:t>
      </w:r>
      <w:r w:rsidR="001C6F29">
        <w:rPr>
          <w:rFonts w:ascii="Verdana" w:eastAsia="Calibri" w:hAnsi="Verdana"/>
          <w:sz w:val="22"/>
          <w:szCs w:val="22"/>
          <w:lang w:eastAsia="en-US"/>
        </w:rPr>
        <w:t>PPC</w:t>
      </w:r>
      <w:r w:rsidRPr="00735D63">
        <w:rPr>
          <w:rFonts w:ascii="Verdana" w:eastAsia="Calibri" w:hAnsi="Verdana"/>
          <w:sz w:val="22"/>
          <w:szCs w:val="22"/>
          <w:lang w:eastAsia="en-US"/>
        </w:rPr>
        <w:t xml:space="preserve"> </w:t>
      </w:r>
      <w:r w:rsidRPr="00C86104">
        <w:rPr>
          <w:rFonts w:ascii="Verdana" w:eastAsia="Calibri" w:hAnsi="Verdana"/>
          <w:sz w:val="22"/>
          <w:szCs w:val="22"/>
          <w:lang w:eastAsia="en-US"/>
        </w:rPr>
        <w:t xml:space="preserve">on how the construction has met some of the Guide for Construction Projects </w:t>
      </w:r>
      <w:r w:rsidR="00B32B4C" w:rsidRPr="00C86104">
        <w:rPr>
          <w:rFonts w:ascii="Verdana" w:eastAsia="Calibri" w:hAnsi="Verdana"/>
          <w:sz w:val="22"/>
          <w:szCs w:val="22"/>
          <w:lang w:eastAsia="en-US"/>
        </w:rPr>
        <w:t>with</w:t>
      </w:r>
      <w:r w:rsidRPr="00C86104">
        <w:rPr>
          <w:rFonts w:ascii="Verdana" w:eastAsia="Calibri" w:hAnsi="Verdana"/>
          <w:sz w:val="22"/>
          <w:szCs w:val="22"/>
          <w:lang w:eastAsia="en-US"/>
        </w:rPr>
        <w:t xml:space="preserve"> a Project Value Over £100,000 Sections 2-5</w:t>
      </w:r>
      <w:r>
        <w:rPr>
          <w:rFonts w:ascii="Verdana" w:eastAsia="Calibri" w:hAnsi="Verdana"/>
          <w:sz w:val="22"/>
          <w:szCs w:val="22"/>
          <w:lang w:eastAsia="en-US"/>
        </w:rPr>
        <w:t xml:space="preserve"> (Enclosure </w:t>
      </w:r>
      <w:r w:rsidR="003313CA">
        <w:rPr>
          <w:rFonts w:ascii="Verdana" w:eastAsia="Calibri" w:hAnsi="Verdana"/>
          <w:sz w:val="22"/>
          <w:szCs w:val="22"/>
          <w:lang w:eastAsia="en-US"/>
        </w:rPr>
        <w:t>11</w:t>
      </w:r>
      <w:r w:rsidR="00C14D33">
        <w:rPr>
          <w:rFonts w:ascii="Verdana" w:eastAsia="Calibri" w:hAnsi="Verdana"/>
          <w:sz w:val="22"/>
          <w:szCs w:val="22"/>
          <w:lang w:eastAsia="en-US"/>
        </w:rPr>
        <w:t xml:space="preserve"> – SPF Construction Project Guidance</w:t>
      </w:r>
      <w:r>
        <w:rPr>
          <w:rFonts w:ascii="Verdana" w:eastAsia="Calibri" w:hAnsi="Verdana"/>
          <w:sz w:val="22"/>
          <w:szCs w:val="22"/>
          <w:lang w:eastAsia="en-US"/>
        </w:rPr>
        <w:t>)</w:t>
      </w:r>
      <w:r w:rsidR="00B32B4C">
        <w:rPr>
          <w:rFonts w:ascii="Verdana" w:eastAsia="Calibri" w:hAnsi="Verdana"/>
          <w:sz w:val="22"/>
          <w:szCs w:val="22"/>
          <w:lang w:eastAsia="en-US"/>
        </w:rPr>
        <w:t>.</w:t>
      </w:r>
    </w:p>
    <w:p w14:paraId="5EE4A309"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8473C46"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3313CA" w:rsidRPr="00531A9D">
        <w:rPr>
          <w:rFonts w:ascii="Verdana" w:hAnsi="Verdana"/>
          <w:color w:val="auto"/>
          <w:sz w:val="22"/>
          <w:szCs w:val="22"/>
        </w:rPr>
        <w:t>18</w:t>
      </w:r>
      <w:r w:rsidR="002F3B0F">
        <w:rPr>
          <w:rFonts w:ascii="Verdana" w:hAnsi="Verdana"/>
          <w:color w:val="auto"/>
          <w:sz w:val="22"/>
          <w:szCs w:val="22"/>
        </w:rPr>
        <w:t>0</w:t>
      </w:r>
      <w:r w:rsidR="003313CA" w:rsidRPr="00531A9D">
        <w:rPr>
          <w:rFonts w:ascii="Verdana" w:hAnsi="Verdana"/>
          <w:color w:val="auto"/>
          <w:sz w:val="22"/>
          <w:szCs w:val="22"/>
        </w:rPr>
        <w:t>,000.00</w:t>
      </w:r>
      <w:r w:rsidR="00381600" w:rsidRPr="00531A9D">
        <w:rPr>
          <w:rFonts w:ascii="Verdana" w:hAnsi="Verdana"/>
          <w:color w:val="auto"/>
          <w:sz w:val="22"/>
          <w:szCs w:val="22"/>
        </w:rPr>
        <w:t xml:space="preserve"> (exc</w:t>
      </w:r>
      <w:r w:rsidR="00C14D33">
        <w:rPr>
          <w:rFonts w:ascii="Verdana" w:hAnsi="Verdana"/>
          <w:color w:val="auto"/>
          <w:sz w:val="22"/>
          <w:szCs w:val="22"/>
        </w:rPr>
        <w:t>.</w:t>
      </w:r>
      <w:r w:rsidR="00381600" w:rsidRPr="00531A9D">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036F38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531A9D" w:rsidRPr="00531A9D">
        <w:rPr>
          <w:rFonts w:ascii="Verdana" w:hAnsi="Verdana"/>
          <w:color w:val="auto"/>
          <w:sz w:val="22"/>
          <w:szCs w:val="22"/>
        </w:rPr>
        <w:t xml:space="preserve">acceptance </w:t>
      </w:r>
      <w:r w:rsidR="00531A9D">
        <w:rPr>
          <w:rFonts w:ascii="Verdana" w:hAnsi="Verdana"/>
          <w:color w:val="auto"/>
          <w:sz w:val="22"/>
          <w:szCs w:val="22"/>
        </w:rPr>
        <w:t xml:space="preserve">and rectification period as per the JCT Minor Works Terms and </w:t>
      </w:r>
      <w:r w:rsidR="00531A9D">
        <w:rPr>
          <w:rFonts w:ascii="Verdana" w:hAnsi="Verdana"/>
          <w:color w:val="auto"/>
          <w:sz w:val="22"/>
          <w:szCs w:val="22"/>
        </w:rPr>
        <w:lastRenderedPageBreak/>
        <w:t>Conditions (Enclosure 12).</w:t>
      </w:r>
      <w:r w:rsidRPr="00531A9D">
        <w:rPr>
          <w:rFonts w:ascii="Verdana" w:hAnsi="Verdana"/>
          <w:color w:val="auto"/>
          <w:sz w:val="22"/>
          <w:szCs w:val="22"/>
        </w:rPr>
        <w:t xml:space="preserve">  </w:t>
      </w:r>
      <w:r w:rsidRPr="00043839">
        <w:rPr>
          <w:rFonts w:ascii="Verdana" w:hAnsi="Verdana"/>
          <w:color w:val="auto"/>
          <w:sz w:val="22"/>
          <w:szCs w:val="22"/>
        </w:rPr>
        <w:t>The timetable for submission of the Tende</w:t>
      </w:r>
      <w:r w:rsidR="00C45570">
        <w:rPr>
          <w:rFonts w:ascii="Verdana" w:hAnsi="Verdana"/>
          <w:color w:val="auto"/>
          <w:sz w:val="22"/>
          <w:szCs w:val="22"/>
        </w:rPr>
        <w:t>r and</w:t>
      </w:r>
      <w:r w:rsidRPr="00043839">
        <w:rPr>
          <w:rFonts w:ascii="Verdana" w:hAnsi="Verdana"/>
          <w:color w:val="auto"/>
          <w:sz w:val="22"/>
          <w:szCs w:val="22"/>
        </w:rPr>
        <w:t xml:space="preserve">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0B258B4E" w:rsidR="004A562D" w:rsidRPr="003313CA" w:rsidRDefault="003313CA" w:rsidP="004A562D">
            <w:pPr>
              <w:pStyle w:val="TableParagraph"/>
              <w:kinsoku w:val="0"/>
              <w:overflowPunct w:val="0"/>
              <w:rPr>
                <w:rFonts w:ascii="Verdana" w:hAnsi="Verdana"/>
                <w:sz w:val="22"/>
                <w:szCs w:val="22"/>
              </w:rPr>
            </w:pPr>
            <w:r>
              <w:rPr>
                <w:rFonts w:ascii="Verdana" w:hAnsi="Verdana"/>
                <w:sz w:val="22"/>
                <w:szCs w:val="22"/>
              </w:rPr>
              <w:t>25 September 2023</w:t>
            </w:r>
          </w:p>
        </w:tc>
      </w:tr>
      <w:tr w:rsidR="003313CA" w:rsidRPr="00043839" w14:paraId="367BFAA4" w14:textId="77777777" w:rsidTr="00067C34">
        <w:trPr>
          <w:trHeight w:hRule="exact" w:val="429"/>
        </w:trPr>
        <w:tc>
          <w:tcPr>
            <w:tcW w:w="5811" w:type="dxa"/>
            <w:shd w:val="clear" w:color="auto" w:fill="auto"/>
          </w:tcPr>
          <w:p w14:paraId="79E58141" w14:textId="07A0B98E" w:rsidR="003313CA" w:rsidRPr="00231011" w:rsidRDefault="003313CA" w:rsidP="004A562D">
            <w:pPr>
              <w:pStyle w:val="TableParagraph"/>
              <w:kinsoku w:val="0"/>
              <w:overflowPunct w:val="0"/>
              <w:ind w:left="102"/>
              <w:rPr>
                <w:rFonts w:ascii="Verdana" w:hAnsi="Verdana"/>
                <w:sz w:val="22"/>
                <w:szCs w:val="22"/>
              </w:rPr>
            </w:pPr>
            <w:r>
              <w:rPr>
                <w:rFonts w:ascii="Verdana" w:hAnsi="Verdana"/>
                <w:sz w:val="22"/>
                <w:szCs w:val="22"/>
              </w:rPr>
              <w:t>Site Visit</w:t>
            </w:r>
          </w:p>
        </w:tc>
        <w:tc>
          <w:tcPr>
            <w:tcW w:w="2694" w:type="dxa"/>
            <w:shd w:val="clear" w:color="auto" w:fill="auto"/>
          </w:tcPr>
          <w:p w14:paraId="749C97E4" w14:textId="772B69B0" w:rsidR="003313CA" w:rsidRPr="00231011" w:rsidRDefault="003313CA" w:rsidP="004A562D">
            <w:pPr>
              <w:pStyle w:val="TableParagraph"/>
              <w:kinsoku w:val="0"/>
              <w:overflowPunct w:val="0"/>
              <w:rPr>
                <w:rFonts w:ascii="Verdana" w:hAnsi="Verdana"/>
                <w:sz w:val="22"/>
                <w:szCs w:val="22"/>
              </w:rPr>
            </w:pPr>
            <w:r>
              <w:rPr>
                <w:rFonts w:ascii="Verdana" w:hAnsi="Verdana"/>
                <w:sz w:val="22"/>
                <w:szCs w:val="22"/>
              </w:rPr>
              <w:t>4 October 2023</w:t>
            </w:r>
          </w:p>
        </w:tc>
      </w:tr>
      <w:tr w:rsidR="004A562D" w:rsidRPr="00043839" w14:paraId="6C13F099" w14:textId="77777777" w:rsidTr="003313CA">
        <w:trPr>
          <w:trHeight w:hRule="exact" w:val="697"/>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03E46FB8" w:rsidR="004A562D" w:rsidRPr="00231011" w:rsidRDefault="003313CA" w:rsidP="004A562D">
            <w:pPr>
              <w:pStyle w:val="TableParagraph"/>
              <w:kinsoku w:val="0"/>
              <w:overflowPunct w:val="0"/>
              <w:rPr>
                <w:rFonts w:ascii="Verdana" w:hAnsi="Verdana"/>
                <w:sz w:val="22"/>
                <w:szCs w:val="22"/>
              </w:rPr>
            </w:pPr>
            <w:r>
              <w:rPr>
                <w:rFonts w:ascii="Verdana" w:hAnsi="Verdana"/>
                <w:sz w:val="22"/>
                <w:szCs w:val="22"/>
              </w:rPr>
              <w:t>1700: 15 October 2023</w:t>
            </w:r>
          </w:p>
        </w:tc>
      </w:tr>
      <w:tr w:rsidR="004A562D" w:rsidRPr="00043839" w14:paraId="7A17DE84" w14:textId="77777777" w:rsidTr="003313CA">
        <w:trPr>
          <w:trHeight w:hRule="exact" w:val="720"/>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5A4EE8E4" w:rsidR="004A562D" w:rsidRPr="00231011" w:rsidRDefault="003313CA" w:rsidP="004A562D">
            <w:pPr>
              <w:pStyle w:val="TableParagraph"/>
              <w:kinsoku w:val="0"/>
              <w:overflowPunct w:val="0"/>
              <w:rPr>
                <w:rFonts w:ascii="Verdana" w:hAnsi="Verdana"/>
                <w:sz w:val="22"/>
                <w:szCs w:val="22"/>
              </w:rPr>
            </w:pPr>
            <w:r>
              <w:rPr>
                <w:rFonts w:ascii="Verdana" w:hAnsi="Verdana"/>
                <w:sz w:val="22"/>
                <w:szCs w:val="22"/>
              </w:rPr>
              <w:t>1700</w:t>
            </w:r>
            <w:r w:rsidR="00C861D1">
              <w:rPr>
                <w:rFonts w:ascii="Verdana" w:hAnsi="Verdana"/>
                <w:sz w:val="22"/>
                <w:szCs w:val="22"/>
              </w:rPr>
              <w:t>:</w:t>
            </w:r>
            <w:r>
              <w:rPr>
                <w:rFonts w:ascii="Verdana" w:hAnsi="Verdana"/>
                <w:sz w:val="22"/>
                <w:szCs w:val="22"/>
              </w:rPr>
              <w:t xml:space="preserve"> 17 October 2023</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0496758" w:rsidR="004A562D" w:rsidRPr="00231011" w:rsidRDefault="003313CA" w:rsidP="004A562D">
            <w:pPr>
              <w:pStyle w:val="TableParagraph"/>
              <w:kinsoku w:val="0"/>
              <w:overflowPunct w:val="0"/>
              <w:rPr>
                <w:rFonts w:ascii="Verdana" w:hAnsi="Verdana"/>
                <w:b/>
                <w:sz w:val="22"/>
                <w:szCs w:val="22"/>
              </w:rPr>
            </w:pPr>
            <w:r>
              <w:rPr>
                <w:rFonts w:ascii="Verdana" w:hAnsi="Verdana"/>
                <w:b/>
                <w:sz w:val="22"/>
                <w:szCs w:val="22"/>
              </w:rPr>
              <w:t>1700</w:t>
            </w:r>
            <w:r w:rsidR="00C861D1">
              <w:rPr>
                <w:rFonts w:ascii="Verdana" w:hAnsi="Verdana"/>
                <w:b/>
                <w:sz w:val="22"/>
                <w:szCs w:val="22"/>
              </w:rPr>
              <w:t>:</w:t>
            </w:r>
            <w:r>
              <w:rPr>
                <w:rFonts w:ascii="Verdana" w:hAnsi="Verdana"/>
                <w:b/>
                <w:sz w:val="22"/>
                <w:szCs w:val="22"/>
              </w:rPr>
              <w:t xml:space="preserve"> 30 October 2023</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57E8AB8F" w:rsidR="004A562D" w:rsidRPr="00231011" w:rsidRDefault="003313CA" w:rsidP="004A562D">
            <w:pPr>
              <w:pStyle w:val="TableParagraph"/>
              <w:kinsoku w:val="0"/>
              <w:overflowPunct w:val="0"/>
              <w:rPr>
                <w:rFonts w:ascii="Verdana" w:hAnsi="Verdana"/>
                <w:sz w:val="22"/>
                <w:szCs w:val="22"/>
              </w:rPr>
            </w:pPr>
            <w:r>
              <w:rPr>
                <w:rFonts w:ascii="Verdana" w:hAnsi="Verdana"/>
                <w:sz w:val="22"/>
                <w:szCs w:val="22"/>
              </w:rPr>
              <w:t>1-3 November 2023</w:t>
            </w:r>
          </w:p>
        </w:tc>
      </w:tr>
      <w:tr w:rsidR="00231011" w:rsidRPr="00043839" w14:paraId="050A673F" w14:textId="77777777" w:rsidTr="00531A9D">
        <w:trPr>
          <w:trHeight w:hRule="exact" w:val="405"/>
        </w:trPr>
        <w:tc>
          <w:tcPr>
            <w:tcW w:w="5811" w:type="dxa"/>
            <w:shd w:val="clear" w:color="auto" w:fill="auto"/>
          </w:tcPr>
          <w:p w14:paraId="53163DC9" w14:textId="05C0F571" w:rsidR="00231011" w:rsidRPr="00231011" w:rsidRDefault="003313CA"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2C826273" w:rsidR="00231011" w:rsidRPr="00231011" w:rsidRDefault="00531A9D" w:rsidP="00231011">
            <w:pPr>
              <w:pStyle w:val="TableParagraph"/>
              <w:kinsoku w:val="0"/>
              <w:overflowPunct w:val="0"/>
              <w:rPr>
                <w:rFonts w:ascii="Verdana" w:hAnsi="Verdana"/>
                <w:sz w:val="22"/>
                <w:szCs w:val="22"/>
              </w:rPr>
            </w:pPr>
            <w:r>
              <w:rPr>
                <w:rFonts w:ascii="Verdana" w:hAnsi="Verdana"/>
                <w:sz w:val="22"/>
                <w:szCs w:val="22"/>
              </w:rPr>
              <w:t>7 November 2023</w:t>
            </w:r>
          </w:p>
        </w:tc>
      </w:tr>
      <w:tr w:rsidR="00231011" w:rsidRPr="00043839" w14:paraId="57484289" w14:textId="77777777" w:rsidTr="00EB28C2">
        <w:trPr>
          <w:trHeight w:hRule="exact" w:val="411"/>
        </w:trPr>
        <w:tc>
          <w:tcPr>
            <w:tcW w:w="5811" w:type="dxa"/>
          </w:tcPr>
          <w:p w14:paraId="7B277D27" w14:textId="7165AF1B" w:rsidR="00231011" w:rsidRPr="00043839" w:rsidRDefault="00531A9D" w:rsidP="00231011">
            <w:pPr>
              <w:pStyle w:val="TableParagraph"/>
              <w:kinsoku w:val="0"/>
              <w:overflowPunct w:val="0"/>
              <w:ind w:left="102"/>
              <w:rPr>
                <w:rFonts w:ascii="Verdana" w:hAnsi="Verdana"/>
                <w:sz w:val="22"/>
                <w:szCs w:val="22"/>
              </w:rPr>
            </w:pPr>
            <w:r>
              <w:rPr>
                <w:rFonts w:ascii="Verdana" w:hAnsi="Verdana"/>
                <w:sz w:val="22"/>
                <w:szCs w:val="22"/>
              </w:rPr>
              <w:t>Contract start date and commencement of work</w:t>
            </w:r>
          </w:p>
        </w:tc>
        <w:tc>
          <w:tcPr>
            <w:tcW w:w="2694" w:type="dxa"/>
          </w:tcPr>
          <w:p w14:paraId="34F933E2" w14:textId="597DF2DC" w:rsidR="00231011" w:rsidRPr="00043839" w:rsidRDefault="00531A9D" w:rsidP="00231011">
            <w:pPr>
              <w:pStyle w:val="TableParagraph"/>
              <w:kinsoku w:val="0"/>
              <w:overflowPunct w:val="0"/>
              <w:rPr>
                <w:rFonts w:ascii="Verdana" w:hAnsi="Verdana"/>
                <w:sz w:val="22"/>
                <w:szCs w:val="22"/>
              </w:rPr>
            </w:pPr>
            <w:r>
              <w:rPr>
                <w:rFonts w:ascii="Verdana" w:hAnsi="Verdana"/>
                <w:sz w:val="22"/>
                <w:szCs w:val="22"/>
              </w:rPr>
              <w:t>2 January 2024</w:t>
            </w:r>
          </w:p>
        </w:tc>
      </w:tr>
      <w:tr w:rsidR="00231011" w:rsidRPr="00043839" w14:paraId="46B4C80A" w14:textId="77777777" w:rsidTr="00EB28C2">
        <w:trPr>
          <w:trHeight w:hRule="exact" w:val="577"/>
        </w:trPr>
        <w:tc>
          <w:tcPr>
            <w:tcW w:w="5811" w:type="dxa"/>
          </w:tcPr>
          <w:p w14:paraId="0A2D6F05" w14:textId="1526F31E" w:rsidR="00231011" w:rsidRPr="00043839" w:rsidRDefault="00531A9D"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Work complete</w:t>
            </w:r>
          </w:p>
        </w:tc>
        <w:tc>
          <w:tcPr>
            <w:tcW w:w="2694" w:type="dxa"/>
          </w:tcPr>
          <w:p w14:paraId="0C08BFDA" w14:textId="6A9AA86B" w:rsidR="00231011" w:rsidRPr="00043839" w:rsidRDefault="00531A9D" w:rsidP="00231011">
            <w:pPr>
              <w:pStyle w:val="TableParagraph"/>
              <w:kinsoku w:val="0"/>
              <w:overflowPunct w:val="0"/>
              <w:rPr>
                <w:rFonts w:ascii="Verdana" w:hAnsi="Verdana"/>
                <w:sz w:val="22"/>
                <w:szCs w:val="22"/>
              </w:rPr>
            </w:pPr>
            <w:r>
              <w:rPr>
                <w:rFonts w:ascii="Verdana" w:hAnsi="Verdana"/>
                <w:sz w:val="22"/>
                <w:szCs w:val="22"/>
              </w:rPr>
              <w:t>30 June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340D3745" w:rsidR="00F131E4" w:rsidRPr="00043839" w:rsidRDefault="00F131E4">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1C6F29">
        <w:rPr>
          <w:rFonts w:ascii="Verdana" w:hAnsi="Verdana"/>
          <w:color w:val="auto"/>
          <w:sz w:val="22"/>
          <w:szCs w:val="22"/>
        </w:rPr>
        <w:t>PPC</w:t>
      </w:r>
      <w:r w:rsidRPr="00531A9D">
        <w:rPr>
          <w:rFonts w:ascii="Verdana" w:hAnsi="Verdana"/>
          <w:color w:val="auto"/>
          <w:sz w:val="22"/>
          <w:szCs w:val="22"/>
        </w:rPr>
        <w:t xml:space="preserve"> d</w:t>
      </w:r>
      <w:r w:rsidRPr="00043839">
        <w:rPr>
          <w:rFonts w:ascii="Verdana" w:hAnsi="Verdana"/>
          <w:color w:val="auto"/>
          <w:sz w:val="22"/>
          <w:szCs w:val="22"/>
        </w:rPr>
        <w:t>uring the tender selection process, and for further correspondence.</w:t>
      </w:r>
    </w:p>
    <w:p w14:paraId="2556EFF9" w14:textId="2B7BE30B" w:rsidR="00F241D3" w:rsidRPr="00043839" w:rsidRDefault="00F241D3">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r w:rsidR="00817701">
        <w:t>.</w:t>
      </w:r>
    </w:p>
    <w:p w14:paraId="0265525D" w14:textId="77777777" w:rsidR="004B66F2" w:rsidRPr="004B66F2" w:rsidRDefault="00F241D3">
      <w:pPr>
        <w:pStyle w:val="BodyText"/>
        <w:numPr>
          <w:ilvl w:val="0"/>
          <w:numId w:val="1"/>
        </w:numPr>
        <w:tabs>
          <w:tab w:val="left" w:pos="892"/>
          <w:tab w:val="left" w:pos="1418"/>
        </w:tabs>
        <w:kinsoku w:val="0"/>
        <w:overflowPunct w:val="0"/>
        <w:ind w:left="1418" w:hanging="709"/>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531A9D" w:rsidRDefault="004A562D">
      <w:pPr>
        <w:pStyle w:val="BodyText"/>
        <w:numPr>
          <w:ilvl w:val="0"/>
          <w:numId w:val="2"/>
        </w:numPr>
        <w:tabs>
          <w:tab w:val="left" w:pos="892"/>
          <w:tab w:val="left" w:pos="1418"/>
        </w:tabs>
        <w:kinsoku w:val="0"/>
        <w:overflowPunct w:val="0"/>
      </w:pPr>
      <w:r w:rsidRPr="004B66F2">
        <w:t xml:space="preserve">Professional Indemnity Insurance with a limit of indemnity of not less than </w:t>
      </w:r>
      <w:proofErr w:type="gramStart"/>
      <w:r w:rsidR="007B44AD" w:rsidRPr="00531A9D">
        <w:t>Five</w:t>
      </w:r>
      <w:proofErr w:type="gramEnd"/>
      <w:r w:rsidRPr="00531A9D">
        <w:t xml:space="preserve"> million (£</w:t>
      </w:r>
      <w:r w:rsidR="007B44AD" w:rsidRPr="00531A9D">
        <w:t>5</w:t>
      </w:r>
      <w:r w:rsidRPr="00531A9D">
        <w:t xml:space="preserve">,000,000), </w:t>
      </w:r>
    </w:p>
    <w:p w14:paraId="01A259E6" w14:textId="0D2AE66F" w:rsidR="004A562D" w:rsidRPr="00531A9D" w:rsidRDefault="004A562D">
      <w:pPr>
        <w:pStyle w:val="BodyText"/>
        <w:numPr>
          <w:ilvl w:val="0"/>
          <w:numId w:val="2"/>
        </w:numPr>
        <w:tabs>
          <w:tab w:val="left" w:pos="892"/>
          <w:tab w:val="left" w:pos="1418"/>
        </w:tabs>
        <w:kinsoku w:val="0"/>
        <w:overflowPunct w:val="0"/>
      </w:pPr>
      <w:r w:rsidRPr="00531A9D">
        <w:t xml:space="preserve">Employers Liability Insurance with a limit of indemnity of not less than </w:t>
      </w:r>
      <w:proofErr w:type="gramStart"/>
      <w:r w:rsidR="007B44AD" w:rsidRPr="00531A9D">
        <w:t>Five</w:t>
      </w:r>
      <w:proofErr w:type="gramEnd"/>
      <w:r w:rsidRPr="00531A9D">
        <w:t xml:space="preserve"> million (£</w:t>
      </w:r>
      <w:r w:rsidR="007B44AD" w:rsidRPr="00531A9D">
        <w:t>5</w:t>
      </w:r>
      <w:r w:rsidRPr="00531A9D">
        <w:t xml:space="preserve">,000,000) </w:t>
      </w:r>
    </w:p>
    <w:p w14:paraId="3A96C50A" w14:textId="4AC1F08A" w:rsidR="004A562D" w:rsidRDefault="004A562D">
      <w:pPr>
        <w:pStyle w:val="BodyText"/>
        <w:numPr>
          <w:ilvl w:val="0"/>
          <w:numId w:val="2"/>
        </w:numPr>
        <w:tabs>
          <w:tab w:val="left" w:pos="892"/>
          <w:tab w:val="left" w:pos="1418"/>
        </w:tabs>
        <w:kinsoku w:val="0"/>
        <w:overflowPunct w:val="0"/>
      </w:pPr>
      <w:r w:rsidRPr="00531A9D">
        <w:t xml:space="preserve">Public Liability Insurance with a limit of indemnity of not less than </w:t>
      </w:r>
      <w:proofErr w:type="gramStart"/>
      <w:r w:rsidR="007B44AD" w:rsidRPr="00531A9D">
        <w:t>Five</w:t>
      </w:r>
      <w:proofErr w:type="gramEnd"/>
      <w:r w:rsidRPr="00531A9D">
        <w:t xml:space="preserve"> million (£</w:t>
      </w:r>
      <w:r w:rsidR="007B44AD" w:rsidRPr="00531A9D">
        <w:t>5</w:t>
      </w:r>
      <w:r w:rsidRPr="00531A9D">
        <w:t>,000,000).</w:t>
      </w:r>
    </w:p>
    <w:p w14:paraId="0D35CC48" w14:textId="77777777" w:rsidR="00817701" w:rsidRPr="00531A9D" w:rsidRDefault="00817701" w:rsidP="00817701">
      <w:pPr>
        <w:pStyle w:val="BodyText"/>
        <w:tabs>
          <w:tab w:val="left" w:pos="892"/>
          <w:tab w:val="left" w:pos="1418"/>
        </w:tabs>
        <w:kinsoku w:val="0"/>
        <w:overflowPunct w:val="0"/>
        <w:ind w:left="2158" w:firstLine="0"/>
      </w:pPr>
    </w:p>
    <w:p w14:paraId="7B4F6A52" w14:textId="2310C71F" w:rsidR="00F241D3" w:rsidRDefault="00F241D3">
      <w:pPr>
        <w:pStyle w:val="BodyText"/>
        <w:numPr>
          <w:ilvl w:val="0"/>
          <w:numId w:val="1"/>
        </w:numPr>
        <w:tabs>
          <w:tab w:val="left" w:pos="1418"/>
          <w:tab w:val="left" w:pos="1560"/>
        </w:tabs>
        <w:kinsoku w:val="0"/>
        <w:overflowPunct w:val="0"/>
        <w:ind w:left="1418" w:hanging="709"/>
      </w:pPr>
      <w:r w:rsidRPr="00043839">
        <w:t>Conflict of interest statement</w:t>
      </w:r>
      <w:r w:rsidR="00BA6E8B">
        <w:t>.</w:t>
      </w:r>
    </w:p>
    <w:p w14:paraId="4319D5DA" w14:textId="55B3ABD4" w:rsidR="007B44AD" w:rsidRPr="00531A9D" w:rsidRDefault="007B44AD">
      <w:pPr>
        <w:pStyle w:val="BodyText"/>
        <w:numPr>
          <w:ilvl w:val="0"/>
          <w:numId w:val="1"/>
        </w:numPr>
        <w:tabs>
          <w:tab w:val="left" w:pos="1418"/>
          <w:tab w:val="left" w:pos="1560"/>
        </w:tabs>
        <w:kinsoku w:val="0"/>
        <w:overflowPunct w:val="0"/>
        <w:ind w:left="1418" w:hanging="709"/>
      </w:pPr>
      <w:r>
        <w:t xml:space="preserve">Confirmation that the supplier has read and understood the Shared Prosperity Branding and Publicity </w:t>
      </w:r>
      <w:r w:rsidRPr="00531A9D">
        <w:t>Guidance (see 3.</w:t>
      </w:r>
      <w:r w:rsidR="00531A9D" w:rsidRPr="00531A9D">
        <w:t>5</w:t>
      </w:r>
      <w:r w:rsidRPr="00531A9D">
        <w:t xml:space="preserve"> above)</w:t>
      </w:r>
      <w:r w:rsidR="00BA6E8B">
        <w:t>.</w:t>
      </w:r>
    </w:p>
    <w:p w14:paraId="669DDBBF" w14:textId="0F93EC32" w:rsidR="007B44AD" w:rsidRDefault="007B44AD">
      <w:pPr>
        <w:pStyle w:val="BodyText"/>
        <w:numPr>
          <w:ilvl w:val="0"/>
          <w:numId w:val="1"/>
        </w:numPr>
        <w:kinsoku w:val="0"/>
        <w:overflowPunct w:val="0"/>
        <w:ind w:left="1418" w:hanging="709"/>
      </w:pPr>
      <w:bookmarkStart w:id="1" w:name="_Hlk145870503"/>
      <w:r w:rsidRPr="00531A9D">
        <w:lastRenderedPageBreak/>
        <w:t xml:space="preserve">Confirmation the supplier will provide a report to </w:t>
      </w:r>
      <w:r w:rsidR="001C6F29">
        <w:t>PPC</w:t>
      </w:r>
      <w:r w:rsidRPr="00531A9D">
        <w:t xml:space="preserve"> on how the construction has met </w:t>
      </w:r>
      <w:r w:rsidR="00C86104" w:rsidRPr="00531A9D">
        <w:t xml:space="preserve">some of </w:t>
      </w:r>
      <w:r w:rsidRPr="00531A9D">
        <w:t xml:space="preserve">the Guide for </w:t>
      </w:r>
      <w:r w:rsidR="00C86104" w:rsidRPr="00531A9D">
        <w:t>Co</w:t>
      </w:r>
      <w:r w:rsidRPr="00531A9D">
        <w:t xml:space="preserve">nstruction </w:t>
      </w:r>
      <w:r w:rsidR="00C86104" w:rsidRPr="00531A9D">
        <w:t>P</w:t>
      </w:r>
      <w:r w:rsidRPr="00531A9D">
        <w:t xml:space="preserve">rojects </w:t>
      </w:r>
      <w:r w:rsidR="00BA6E8B">
        <w:t>w</w:t>
      </w:r>
      <w:r w:rsidRPr="00531A9D">
        <w:t xml:space="preserve">ith a Project Value Over £100,000 </w:t>
      </w:r>
      <w:r w:rsidR="002F60F5" w:rsidRPr="00531A9D">
        <w:t xml:space="preserve">Sections 2-5 </w:t>
      </w:r>
      <w:bookmarkEnd w:id="1"/>
      <w:r w:rsidR="002F60F5" w:rsidRPr="00531A9D">
        <w:t xml:space="preserve">(Enclosure </w:t>
      </w:r>
      <w:r w:rsidR="00531A9D" w:rsidRPr="00531A9D">
        <w:t>11</w:t>
      </w:r>
      <w:r w:rsidR="002F60F5" w:rsidRPr="00531A9D">
        <w:t>)</w:t>
      </w:r>
      <w:r w:rsidR="00BA6E8B">
        <w:t>.</w:t>
      </w:r>
    </w:p>
    <w:p w14:paraId="4CAFD505" w14:textId="77777777" w:rsidR="00A34945" w:rsidRDefault="00A34945" w:rsidP="00A626D2">
      <w:pPr>
        <w:pStyle w:val="BodyText"/>
        <w:tabs>
          <w:tab w:val="left" w:pos="709"/>
        </w:tabs>
        <w:kinsoku w:val="0"/>
        <w:overflowPunct w:val="0"/>
        <w:ind w:left="0" w:right="197" w:firstLine="0"/>
        <w:rPr>
          <w:spacing w:val="-1"/>
        </w:rPr>
      </w:pPr>
      <w:bookmarkStart w:id="2" w:name="_Hlk145938747"/>
    </w:p>
    <w:p w14:paraId="7A957C5C" w14:textId="1ADF5AC0" w:rsidR="002E24C0" w:rsidRPr="005B6B51" w:rsidRDefault="00E878B2" w:rsidP="00A626D2">
      <w:pPr>
        <w:pStyle w:val="BodyText"/>
        <w:tabs>
          <w:tab w:val="left" w:pos="709"/>
        </w:tabs>
        <w:kinsoku w:val="0"/>
        <w:overflowPunct w:val="0"/>
        <w:ind w:left="0" w:right="197" w:firstLine="0"/>
        <w:rPr>
          <w:b/>
          <w:bCs/>
          <w:spacing w:val="-1"/>
        </w:rPr>
      </w:pPr>
      <w:r w:rsidRPr="005B6B51">
        <w:rPr>
          <w:b/>
          <w:bCs/>
          <w:spacing w:val="-1"/>
        </w:rPr>
        <w:t>6</w:t>
      </w:r>
      <w:r w:rsidR="002E24C0" w:rsidRPr="005B6B51">
        <w:rPr>
          <w:b/>
          <w:bCs/>
          <w:spacing w:val="-1"/>
        </w:rPr>
        <w:t>.2</w:t>
      </w:r>
      <w:r w:rsidR="002E24C0" w:rsidRPr="005B6B51">
        <w:rPr>
          <w:b/>
          <w:bCs/>
          <w:spacing w:val="-1"/>
        </w:rPr>
        <w:tab/>
      </w:r>
      <w:r w:rsidR="009611CC" w:rsidRPr="005B6B51">
        <w:rPr>
          <w:b/>
          <w:bCs/>
          <w:spacing w:val="-1"/>
        </w:rPr>
        <w:t>Social Value</w:t>
      </w:r>
    </w:p>
    <w:p w14:paraId="05A939D7" w14:textId="77777777" w:rsidR="005B6B51" w:rsidRDefault="005B6B51" w:rsidP="00A626D2">
      <w:pPr>
        <w:pStyle w:val="BodyText"/>
        <w:tabs>
          <w:tab w:val="left" w:pos="709"/>
        </w:tabs>
        <w:kinsoku w:val="0"/>
        <w:overflowPunct w:val="0"/>
        <w:ind w:left="0" w:right="197" w:firstLine="0"/>
        <w:rPr>
          <w:spacing w:val="-1"/>
        </w:rPr>
      </w:pPr>
    </w:p>
    <w:p w14:paraId="2040DBC1" w14:textId="688BBD10" w:rsidR="009611CC" w:rsidRDefault="009611CC" w:rsidP="009611CC">
      <w:pPr>
        <w:pStyle w:val="BodyText"/>
        <w:tabs>
          <w:tab w:val="left" w:pos="709"/>
        </w:tabs>
        <w:kinsoku w:val="0"/>
        <w:overflowPunct w:val="0"/>
        <w:ind w:left="1440" w:right="197" w:hanging="1440"/>
        <w:rPr>
          <w:spacing w:val="-1"/>
        </w:rPr>
      </w:pPr>
      <w:r>
        <w:rPr>
          <w:spacing w:val="-1"/>
        </w:rPr>
        <w:tab/>
        <w:t>a.</w:t>
      </w:r>
      <w:r>
        <w:rPr>
          <w:spacing w:val="-1"/>
        </w:rPr>
        <w:tab/>
      </w:r>
      <w:r w:rsidRPr="009D2BE6">
        <w:t>Total amount (£) spent through contract with local micro, small and medium enterprises (MSMEs)</w:t>
      </w:r>
      <w:r w:rsidR="006176EF">
        <w:t>.</w:t>
      </w:r>
      <w:r w:rsidRPr="009D2BE6">
        <w:t xml:space="preserve">  </w:t>
      </w:r>
      <w:r w:rsidR="003A597A" w:rsidRPr="003A597A">
        <w:t>Local is defined as any SME with a Cornwall and the Isles of Scilly Postcode</w:t>
      </w:r>
      <w:r w:rsidR="006176EF">
        <w:t>.</w:t>
      </w:r>
    </w:p>
    <w:p w14:paraId="412F2040" w14:textId="26C78A72" w:rsidR="009611CC" w:rsidRDefault="009611CC" w:rsidP="00A626D2">
      <w:pPr>
        <w:pStyle w:val="BodyText"/>
        <w:tabs>
          <w:tab w:val="left" w:pos="709"/>
        </w:tabs>
        <w:kinsoku w:val="0"/>
        <w:overflowPunct w:val="0"/>
        <w:ind w:left="0" w:right="197" w:firstLine="0"/>
        <w:rPr>
          <w:spacing w:val="-1"/>
        </w:rPr>
      </w:pPr>
    </w:p>
    <w:p w14:paraId="2049E945" w14:textId="12BBD0B1" w:rsidR="009611CC" w:rsidRDefault="003A597A" w:rsidP="00531A9D">
      <w:pPr>
        <w:pStyle w:val="BodyText"/>
        <w:tabs>
          <w:tab w:val="left" w:pos="709"/>
        </w:tabs>
        <w:kinsoku w:val="0"/>
        <w:overflowPunct w:val="0"/>
        <w:ind w:left="1418" w:right="197" w:hanging="851"/>
        <w:rPr>
          <w:color w:val="FF0000"/>
          <w:spacing w:val="-1"/>
        </w:rPr>
      </w:pPr>
      <w:r>
        <w:rPr>
          <w:spacing w:val="-1"/>
        </w:rPr>
        <w:tab/>
      </w:r>
      <w:r w:rsidR="003742F6">
        <w:rPr>
          <w:spacing w:val="-1"/>
        </w:rPr>
        <w:t xml:space="preserve">b. </w:t>
      </w:r>
      <w:r w:rsidR="003742F6">
        <w:rPr>
          <w:color w:val="FF0000"/>
          <w:spacing w:val="-1"/>
        </w:rPr>
        <w:t xml:space="preserve"> </w:t>
      </w:r>
      <w:r w:rsidR="00531A9D">
        <w:rPr>
          <w:color w:val="FF0000"/>
          <w:spacing w:val="-1"/>
        </w:rPr>
        <w:tab/>
      </w:r>
      <w:r w:rsidR="00531A9D" w:rsidRPr="00A34945">
        <w:rPr>
          <w:spacing w:val="-1"/>
        </w:rPr>
        <w:t>How the supplier is going to contribute to Portreath Parish Climate Action Plan Adopted 20-07-20 (Enclosure 13).</w:t>
      </w:r>
    </w:p>
    <w:p w14:paraId="4A41C55B" w14:textId="77777777" w:rsidR="00531A9D" w:rsidRDefault="00531A9D" w:rsidP="00531A9D">
      <w:pPr>
        <w:pStyle w:val="BodyText"/>
        <w:tabs>
          <w:tab w:val="left" w:pos="709"/>
        </w:tabs>
        <w:kinsoku w:val="0"/>
        <w:overflowPunct w:val="0"/>
        <w:ind w:left="1418" w:right="197" w:hanging="851"/>
        <w:rPr>
          <w:spacing w:val="-1"/>
        </w:rPr>
      </w:pPr>
    </w:p>
    <w:p w14:paraId="2F176620" w14:textId="6A051602"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087C4B">
        <w:t>Details of 2 similar projects of value and size.  Each Example should be no more than 2 sides of A4.  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53E0EBCC" w:rsidR="00087C4B"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76C2DAE8" w14:textId="77777777" w:rsidR="006176EF" w:rsidRDefault="006176EF" w:rsidP="00A626D2">
      <w:pPr>
        <w:pStyle w:val="BodyText"/>
        <w:tabs>
          <w:tab w:val="left" w:pos="709"/>
        </w:tabs>
        <w:kinsoku w:val="0"/>
        <w:overflowPunct w:val="0"/>
        <w:ind w:left="720" w:hanging="720"/>
        <w:rPr>
          <w:spacing w:val="-1"/>
        </w:rPr>
      </w:pPr>
    </w:p>
    <w:p w14:paraId="5202C0CE" w14:textId="3F53A568" w:rsidR="00087C4B" w:rsidRDefault="00C54F23">
      <w:pPr>
        <w:pStyle w:val="BodyText"/>
        <w:numPr>
          <w:ilvl w:val="0"/>
          <w:numId w:val="4"/>
        </w:numPr>
        <w:tabs>
          <w:tab w:val="left" w:pos="709"/>
        </w:tabs>
        <w:kinsoku w:val="0"/>
        <w:overflowPunct w:val="0"/>
        <w:rPr>
          <w:spacing w:val="-1"/>
        </w:rPr>
      </w:pPr>
      <w:r w:rsidRPr="00C54F23">
        <w:rPr>
          <w:spacing w:val="-1"/>
        </w:rPr>
        <w:t xml:space="preserve">The management organisation of </w:t>
      </w:r>
      <w:r>
        <w:rPr>
          <w:spacing w:val="-1"/>
        </w:rPr>
        <w:t>the company to include who will be responsible for Health and Safety onsite and w</w:t>
      </w:r>
      <w:r w:rsidR="00087C4B">
        <w:rPr>
          <w:spacing w:val="-1"/>
        </w:rPr>
        <w:t>ho will be the Project Manager</w:t>
      </w:r>
      <w:r>
        <w:rPr>
          <w:spacing w:val="-1"/>
        </w:rPr>
        <w:t xml:space="preserve">.  Provide the CVs of </w:t>
      </w:r>
      <w:proofErr w:type="gramStart"/>
      <w:r>
        <w:rPr>
          <w:spacing w:val="-1"/>
        </w:rPr>
        <w:t>both of these</w:t>
      </w:r>
      <w:proofErr w:type="gramEnd"/>
      <w:r>
        <w:rPr>
          <w:spacing w:val="-1"/>
        </w:rPr>
        <w:t xml:space="preserve"> members of staff</w:t>
      </w:r>
      <w:r w:rsidR="00087C4B">
        <w:rPr>
          <w:spacing w:val="-1"/>
        </w:rPr>
        <w:t xml:space="preserve"> (the CV should be a maximum</w:t>
      </w:r>
      <w:r>
        <w:rPr>
          <w:spacing w:val="-1"/>
        </w:rPr>
        <w:t xml:space="preserve"> of 1 page of A4).  </w:t>
      </w:r>
    </w:p>
    <w:p w14:paraId="4F7E6774" w14:textId="77777777" w:rsidR="006176EF" w:rsidRDefault="006176EF" w:rsidP="006176EF">
      <w:pPr>
        <w:pStyle w:val="BodyText"/>
        <w:tabs>
          <w:tab w:val="left" w:pos="709"/>
        </w:tabs>
        <w:kinsoku w:val="0"/>
        <w:overflowPunct w:val="0"/>
        <w:ind w:left="1440" w:firstLine="0"/>
        <w:rPr>
          <w:spacing w:val="-1"/>
        </w:rPr>
      </w:pPr>
    </w:p>
    <w:p w14:paraId="68BA3889" w14:textId="4E4FFD42" w:rsidR="00C54F23" w:rsidRDefault="00C54F23">
      <w:pPr>
        <w:pStyle w:val="BodyText"/>
        <w:numPr>
          <w:ilvl w:val="0"/>
          <w:numId w:val="4"/>
        </w:numPr>
        <w:tabs>
          <w:tab w:val="left" w:pos="709"/>
        </w:tabs>
        <w:kinsoku w:val="0"/>
        <w:overflowPunct w:val="0"/>
        <w:rPr>
          <w:spacing w:val="-1"/>
        </w:rPr>
      </w:pPr>
      <w:r>
        <w:rPr>
          <w:spacing w:val="-1"/>
        </w:rPr>
        <w:t>Programme of work that demonstrates how you will meet the proposed timetable and key milestones.</w:t>
      </w:r>
    </w:p>
    <w:p w14:paraId="729EB9EF" w14:textId="77777777" w:rsidR="006176EF" w:rsidRDefault="006176EF" w:rsidP="006176EF">
      <w:pPr>
        <w:pStyle w:val="BodyText"/>
        <w:tabs>
          <w:tab w:val="left" w:pos="709"/>
        </w:tabs>
        <w:kinsoku w:val="0"/>
        <w:overflowPunct w:val="0"/>
        <w:ind w:left="0" w:firstLine="0"/>
        <w:rPr>
          <w:spacing w:val="-1"/>
        </w:rPr>
      </w:pPr>
    </w:p>
    <w:p w14:paraId="6D234436" w14:textId="54B29BF3" w:rsidR="00C54F23" w:rsidRDefault="00C54F23">
      <w:pPr>
        <w:pStyle w:val="BodyText"/>
        <w:numPr>
          <w:ilvl w:val="0"/>
          <w:numId w:val="4"/>
        </w:numPr>
        <w:tabs>
          <w:tab w:val="left" w:pos="709"/>
        </w:tabs>
        <w:kinsoku w:val="0"/>
        <w:overflowPunct w:val="0"/>
        <w:rPr>
          <w:spacing w:val="-1"/>
        </w:rPr>
      </w:pPr>
      <w:r>
        <w:rPr>
          <w:spacing w:val="-1"/>
        </w:rPr>
        <w:t>Details of any design proposals</w:t>
      </w:r>
      <w:r w:rsidR="006176EF">
        <w:rPr>
          <w:spacing w:val="-1"/>
        </w:rPr>
        <w:t>.</w:t>
      </w:r>
    </w:p>
    <w:p w14:paraId="2D91FD63" w14:textId="77777777" w:rsidR="006176EF" w:rsidRDefault="006176EF" w:rsidP="006176EF">
      <w:pPr>
        <w:pStyle w:val="BodyText"/>
        <w:tabs>
          <w:tab w:val="left" w:pos="709"/>
        </w:tabs>
        <w:kinsoku w:val="0"/>
        <w:overflowPunct w:val="0"/>
        <w:ind w:left="0" w:firstLine="0"/>
        <w:rPr>
          <w:spacing w:val="-1"/>
        </w:rPr>
      </w:pPr>
    </w:p>
    <w:p w14:paraId="758D579D" w14:textId="1BCDBA59" w:rsidR="00C54F23" w:rsidRPr="006176EF" w:rsidRDefault="00C54F23">
      <w:pPr>
        <w:pStyle w:val="BodyText"/>
        <w:numPr>
          <w:ilvl w:val="0"/>
          <w:numId w:val="4"/>
        </w:numPr>
        <w:tabs>
          <w:tab w:val="left" w:pos="709"/>
        </w:tabs>
        <w:kinsoku w:val="0"/>
        <w:overflowPunct w:val="0"/>
        <w:rPr>
          <w:spacing w:val="-1"/>
        </w:rPr>
      </w:pPr>
      <w:r>
        <w:rPr>
          <w:spacing w:val="-1"/>
        </w:rPr>
        <w:t xml:space="preserve">How you are going to meet </w:t>
      </w:r>
      <w:r w:rsidRPr="00C54F23">
        <w:rPr>
          <w:spacing w:val="-1"/>
        </w:rPr>
        <w:t>some of the Guide for Construction</w:t>
      </w:r>
      <w:r w:rsidR="006176EF">
        <w:rPr>
          <w:spacing w:val="-1"/>
        </w:rPr>
        <w:t xml:space="preserve"> </w:t>
      </w:r>
      <w:r w:rsidRPr="006176EF">
        <w:rPr>
          <w:spacing w:val="-1"/>
        </w:rPr>
        <w:t xml:space="preserve">Projects </w:t>
      </w:r>
      <w:r w:rsidR="006176EF">
        <w:rPr>
          <w:spacing w:val="-1"/>
        </w:rPr>
        <w:t>w</w:t>
      </w:r>
      <w:r w:rsidRPr="006176EF">
        <w:rPr>
          <w:spacing w:val="-1"/>
        </w:rPr>
        <w:t xml:space="preserve">ith a Project Value Over £100,000 Sections 2-5 (Enclosure </w:t>
      </w:r>
      <w:r w:rsidR="00A34945" w:rsidRPr="006176EF">
        <w:rPr>
          <w:spacing w:val="-1"/>
        </w:rPr>
        <w:t>11</w:t>
      </w:r>
      <w:r w:rsidRPr="006176EF">
        <w:rPr>
          <w:spacing w:val="-1"/>
        </w:rPr>
        <w:t>)</w:t>
      </w:r>
      <w:r w:rsidR="006176EF">
        <w:rPr>
          <w:spacing w:val="-1"/>
        </w:rPr>
        <w:t>.</w:t>
      </w:r>
    </w:p>
    <w:p w14:paraId="6D0CF723" w14:textId="77777777" w:rsidR="00C54F23" w:rsidRDefault="00C54F23" w:rsidP="00A626D2">
      <w:pPr>
        <w:pStyle w:val="BodyText"/>
        <w:tabs>
          <w:tab w:val="left" w:pos="709"/>
        </w:tabs>
        <w:kinsoku w:val="0"/>
        <w:overflowPunct w:val="0"/>
        <w:ind w:left="720" w:hanging="720"/>
        <w:rPr>
          <w:spacing w:val="-1"/>
        </w:rPr>
      </w:pPr>
    </w:p>
    <w:p w14:paraId="76C4BA63" w14:textId="77777777" w:rsidR="00087C4B" w:rsidRDefault="00087C4B" w:rsidP="00A626D2">
      <w:pPr>
        <w:pStyle w:val="BodyText"/>
        <w:tabs>
          <w:tab w:val="left" w:pos="709"/>
        </w:tabs>
        <w:kinsoku w:val="0"/>
        <w:overflowPunct w:val="0"/>
        <w:ind w:left="720" w:hanging="720"/>
        <w:rPr>
          <w:spacing w:val="-1"/>
        </w:rPr>
      </w:pPr>
    </w:p>
    <w:p w14:paraId="54F20D79" w14:textId="6FBA8AA0" w:rsidR="00A34945" w:rsidRPr="00A34945" w:rsidRDefault="00087C4B" w:rsidP="00A34945">
      <w:pPr>
        <w:pStyle w:val="BodyText"/>
        <w:tabs>
          <w:tab w:val="left" w:pos="709"/>
        </w:tabs>
        <w:kinsoku w:val="0"/>
        <w:overflowPunct w:val="0"/>
        <w:ind w:left="720" w:hanging="720"/>
        <w:rPr>
          <w:spacing w:val="-1"/>
        </w:rPr>
      </w:pPr>
      <w:r>
        <w:rPr>
          <w:spacing w:val="-1"/>
        </w:rPr>
        <w:t>6.5</w:t>
      </w:r>
      <w:r>
        <w:rPr>
          <w:spacing w:val="-1"/>
        </w:rPr>
        <w:tab/>
      </w:r>
      <w:r w:rsidR="00A34945" w:rsidRPr="00A34945">
        <w:rPr>
          <w:spacing w:val="-1"/>
        </w:rPr>
        <w:t xml:space="preserve">Completed and </w:t>
      </w:r>
      <w:r w:rsidR="00A34945">
        <w:rPr>
          <w:spacing w:val="-1"/>
        </w:rPr>
        <w:t>c</w:t>
      </w:r>
      <w:r w:rsidR="00A34945" w:rsidRPr="00A34945">
        <w:rPr>
          <w:spacing w:val="-1"/>
        </w:rPr>
        <w:t>osted Bill of Materials</w:t>
      </w:r>
      <w:r w:rsidR="00A34945">
        <w:rPr>
          <w:spacing w:val="-1"/>
        </w:rPr>
        <w:t xml:space="preserve"> and c</w:t>
      </w:r>
      <w:r w:rsidR="00A34945" w:rsidRPr="00A34945">
        <w:rPr>
          <w:spacing w:val="-1"/>
        </w:rPr>
        <w:t xml:space="preserve">ompleted and signed Form of </w:t>
      </w:r>
      <w:r w:rsidR="00875D87">
        <w:rPr>
          <w:spacing w:val="-1"/>
        </w:rPr>
        <w:t>Tender</w:t>
      </w:r>
      <w:r w:rsidR="00A34945">
        <w:rPr>
          <w:spacing w:val="-1"/>
        </w:rPr>
        <w:t>.</w:t>
      </w:r>
    </w:p>
    <w:p w14:paraId="3697E639" w14:textId="64FBAF2D" w:rsidR="002E24C0" w:rsidRPr="00043839" w:rsidRDefault="002E24C0" w:rsidP="00A626D2">
      <w:pPr>
        <w:pStyle w:val="BodyText"/>
        <w:tabs>
          <w:tab w:val="left" w:pos="709"/>
        </w:tabs>
        <w:kinsoku w:val="0"/>
        <w:overflowPunct w:val="0"/>
        <w:ind w:left="720" w:hanging="720"/>
        <w:rPr>
          <w:spacing w:val="-1"/>
        </w:rPr>
      </w:pPr>
    </w:p>
    <w:bookmarkEnd w:id="2"/>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61187F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A34945">
        <w:rPr>
          <w:rFonts w:ascii="Verdana" w:eastAsia="Times New Roman" w:hAnsi="Verdana" w:cs="Arial Narrow"/>
          <w:sz w:val="22"/>
          <w:szCs w:val="22"/>
        </w:rPr>
        <w:t xml:space="preserve">agreement with </w:t>
      </w:r>
      <w:r w:rsidR="001C6F29">
        <w:rPr>
          <w:rFonts w:ascii="Verdana" w:eastAsia="Times New Roman" w:hAnsi="Verdana" w:cs="Arial Narrow"/>
          <w:sz w:val="22"/>
          <w:szCs w:val="22"/>
        </w:rPr>
        <w:t>PPC</w:t>
      </w:r>
      <w:r w:rsidR="004B66F2" w:rsidRPr="00A34945">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E794A27"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A34945">
        <w:rPr>
          <w:rFonts w:ascii="Verdana" w:hAnsi="Verdana" w:cs="Verdana"/>
          <w:spacing w:val="-1"/>
          <w:sz w:val="22"/>
          <w:szCs w:val="22"/>
        </w:rPr>
        <w:t>organisation</w:t>
      </w:r>
      <w:r w:rsidRPr="00A34945">
        <w:rPr>
          <w:rFonts w:ascii="Verdana" w:hAnsi="Verdana" w:cs="Verdana"/>
          <w:spacing w:val="-2"/>
          <w:sz w:val="22"/>
          <w:szCs w:val="22"/>
        </w:rPr>
        <w:t xml:space="preserve"> </w:t>
      </w:r>
      <w:r w:rsidRPr="00A34945">
        <w:rPr>
          <w:rFonts w:ascii="Verdana" w:hAnsi="Verdana" w:cs="Verdana"/>
          <w:spacing w:val="-1"/>
          <w:sz w:val="22"/>
          <w:szCs w:val="22"/>
        </w:rPr>
        <w:t>and</w:t>
      </w:r>
      <w:r w:rsidRPr="00A34945">
        <w:rPr>
          <w:rFonts w:ascii="Verdana" w:hAnsi="Verdana" w:cs="Verdana"/>
          <w:spacing w:val="26"/>
          <w:sz w:val="22"/>
          <w:szCs w:val="22"/>
        </w:rPr>
        <w:t xml:space="preserve"> </w:t>
      </w:r>
      <w:r w:rsidR="001C6F29">
        <w:rPr>
          <w:rFonts w:ascii="Verdana" w:hAnsi="Verdana" w:cs="Verdana"/>
          <w:spacing w:val="-1"/>
          <w:sz w:val="22"/>
          <w:szCs w:val="22"/>
        </w:rPr>
        <w:t>PPC</w:t>
      </w:r>
      <w:r w:rsidRPr="00A34945">
        <w:rPr>
          <w:rFonts w:ascii="Verdana" w:hAnsi="Verdana" w:cs="Verdana"/>
          <w:spacing w:val="-2"/>
          <w:sz w:val="22"/>
          <w:szCs w:val="22"/>
        </w:rPr>
        <w:t xml:space="preserve"> </w:t>
      </w:r>
      <w:r w:rsidRPr="00A34945">
        <w:rPr>
          <w:rFonts w:ascii="Verdana" w:hAnsi="Verdana" w:cs="Verdana"/>
          <w:sz w:val="22"/>
          <w:szCs w:val="22"/>
        </w:rPr>
        <w:t>or</w:t>
      </w:r>
      <w:r w:rsidRPr="00A34945">
        <w:rPr>
          <w:rFonts w:ascii="Verdana" w:hAnsi="Verdana" w:cs="Verdana"/>
          <w:spacing w:val="-2"/>
          <w:sz w:val="22"/>
          <w:szCs w:val="22"/>
        </w:rPr>
        <w:t xml:space="preserve"> its</w:t>
      </w:r>
      <w:r w:rsidRPr="00A34945">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lastRenderedPageBreak/>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A34945" w:rsidRDefault="009E5BAE" w:rsidP="006268C8">
      <w:pPr>
        <w:kinsoku w:val="0"/>
        <w:overflowPunct w:val="0"/>
        <w:spacing w:before="3"/>
        <w:rPr>
          <w:rFonts w:ascii="Verdana" w:hAnsi="Verdana" w:cs="Verdana"/>
          <w:sz w:val="22"/>
          <w:szCs w:val="22"/>
        </w:rPr>
      </w:pPr>
    </w:p>
    <w:p w14:paraId="234CB10F" w14:textId="521610F4" w:rsidR="009E5BAE" w:rsidRPr="00A34945" w:rsidRDefault="009E5BAE" w:rsidP="006268C8">
      <w:pPr>
        <w:spacing w:before="60" w:after="60"/>
        <w:rPr>
          <w:rFonts w:ascii="Verdana" w:eastAsia="Times New Roman" w:hAnsi="Verdana" w:cs="Arial Narrow"/>
          <w:sz w:val="22"/>
          <w:szCs w:val="22"/>
        </w:rPr>
      </w:pPr>
      <w:r w:rsidRPr="00A34945">
        <w:rPr>
          <w:rFonts w:ascii="Verdana" w:eastAsia="Times New Roman" w:hAnsi="Verdana" w:cs="Arial Narrow"/>
          <w:sz w:val="22"/>
          <w:szCs w:val="22"/>
        </w:rPr>
        <w:t xml:space="preserve">Receipt of this statement will permit </w:t>
      </w:r>
      <w:r w:rsidR="001C6F29">
        <w:rPr>
          <w:rFonts w:ascii="Verdana" w:eastAsia="Times New Roman" w:hAnsi="Verdana" w:cs="Arial Narrow"/>
          <w:sz w:val="22"/>
          <w:szCs w:val="22"/>
        </w:rPr>
        <w:t>PPC</w:t>
      </w:r>
      <w:r w:rsidRPr="00A34945">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0F970B77" w14:textId="135CAB72" w:rsidR="00A34945" w:rsidRDefault="00A34945" w:rsidP="006268C8">
      <w:pPr>
        <w:pStyle w:val="Default"/>
        <w:spacing w:before="60" w:after="60"/>
      </w:pPr>
      <w:r w:rsidRPr="00A34945">
        <w:t xml:space="preserve">Ian Stewart </w:t>
      </w:r>
      <w:r>
        <w:t xml:space="preserve"> </w:t>
      </w:r>
      <w:hyperlink r:id="rId13" w:history="1">
        <w:r w:rsidRPr="00B95272">
          <w:rPr>
            <w:rStyle w:val="Hyperlink"/>
            <w:rFonts w:cs="Arial Narrow"/>
          </w:rPr>
          <w:t>ianstewartppc@outlook.com</w:t>
        </w:r>
      </w:hyperlink>
    </w:p>
    <w:p w14:paraId="426F2518" w14:textId="77777777" w:rsidR="00A34945" w:rsidRDefault="00A34945" w:rsidP="006268C8">
      <w:pPr>
        <w:pStyle w:val="Default"/>
        <w:spacing w:before="60" w:after="60"/>
        <w:rPr>
          <w:rFonts w:ascii="Verdana" w:hAnsi="Verdana"/>
          <w:b/>
          <w:color w:val="FF0000"/>
          <w:sz w:val="22"/>
          <w:szCs w:val="22"/>
        </w:rPr>
      </w:pPr>
    </w:p>
    <w:p w14:paraId="24FDBFEC" w14:textId="60EA1791"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2BCE6A6" w:rsidR="006D5657" w:rsidRPr="00A34945"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A34945">
        <w:rPr>
          <w:rFonts w:ascii="Verdana" w:hAnsi="Verdana"/>
          <w:color w:val="auto"/>
          <w:sz w:val="22"/>
          <w:szCs w:val="22"/>
        </w:rPr>
        <w:t xml:space="preserve">by </w:t>
      </w:r>
      <w:bookmarkStart w:id="3" w:name="_Hlk128568722"/>
      <w:r w:rsidR="001C6F29">
        <w:rPr>
          <w:rFonts w:ascii="Verdana" w:hAnsi="Verdana"/>
          <w:color w:val="auto"/>
          <w:sz w:val="22"/>
          <w:szCs w:val="22"/>
        </w:rPr>
        <w:t>PPC</w:t>
      </w:r>
      <w:r w:rsidR="004B66F2" w:rsidRPr="00A34945">
        <w:rPr>
          <w:rFonts w:ascii="Verdana" w:hAnsi="Verdana"/>
          <w:color w:val="auto"/>
          <w:sz w:val="22"/>
          <w:szCs w:val="22"/>
        </w:rPr>
        <w:t xml:space="preserve"> </w:t>
      </w:r>
      <w:bookmarkEnd w:id="3"/>
      <w:r w:rsidRPr="00A34945">
        <w:rPr>
          <w:rFonts w:ascii="Verdana" w:hAnsi="Verdana"/>
          <w:color w:val="auto"/>
          <w:sz w:val="22"/>
          <w:szCs w:val="22"/>
        </w:rPr>
        <w:t>to Contracts Finder and will be viewable to all tenderers.</w:t>
      </w:r>
    </w:p>
    <w:p w14:paraId="69424C18" w14:textId="77777777" w:rsidR="006D5657" w:rsidRPr="00A34945" w:rsidRDefault="006D5657" w:rsidP="006268C8">
      <w:pPr>
        <w:pStyle w:val="Default"/>
        <w:spacing w:before="60" w:after="60"/>
        <w:rPr>
          <w:rFonts w:ascii="Verdana" w:hAnsi="Verdana"/>
          <w:color w:val="auto"/>
          <w:sz w:val="22"/>
          <w:szCs w:val="22"/>
        </w:rPr>
      </w:pPr>
    </w:p>
    <w:p w14:paraId="2F6E3599" w14:textId="21F06CC2" w:rsidR="006D5657" w:rsidRPr="00043839" w:rsidRDefault="006D5657" w:rsidP="006268C8">
      <w:pPr>
        <w:pStyle w:val="Default"/>
        <w:spacing w:before="60" w:after="60"/>
        <w:rPr>
          <w:rFonts w:ascii="Verdana" w:hAnsi="Verdana"/>
          <w:color w:val="auto"/>
          <w:sz w:val="22"/>
          <w:szCs w:val="22"/>
        </w:rPr>
      </w:pPr>
      <w:r w:rsidRPr="00A34945">
        <w:rPr>
          <w:rFonts w:ascii="Verdana" w:hAnsi="Verdana"/>
          <w:color w:val="auto"/>
          <w:sz w:val="22"/>
          <w:szCs w:val="22"/>
        </w:rPr>
        <w:t xml:space="preserve">No representation by way of explanation or otherwise to persons or corporations tendering or desirous of tendering as to the meaning of the tender, </w:t>
      </w:r>
      <w:proofErr w:type="gramStart"/>
      <w:r w:rsidRPr="00A34945">
        <w:rPr>
          <w:rFonts w:ascii="Verdana" w:hAnsi="Verdana"/>
          <w:color w:val="auto"/>
          <w:sz w:val="22"/>
          <w:szCs w:val="22"/>
        </w:rPr>
        <w:t>contract</w:t>
      </w:r>
      <w:proofErr w:type="gramEnd"/>
      <w:r w:rsidRPr="00A34945">
        <w:rPr>
          <w:rFonts w:ascii="Verdana" w:hAnsi="Verdana"/>
          <w:color w:val="auto"/>
          <w:sz w:val="22"/>
          <w:szCs w:val="22"/>
        </w:rPr>
        <w:t xml:space="preserve"> or other tender documents or as to any other matter or thing to be done under the</w:t>
      </w:r>
      <w:r w:rsidRPr="00A34945">
        <w:rPr>
          <w:rFonts w:ascii="Verdana" w:hAnsi="Verdana"/>
          <w:color w:val="auto"/>
          <w:spacing w:val="-1"/>
          <w:sz w:val="22"/>
          <w:szCs w:val="22"/>
        </w:rPr>
        <w:t xml:space="preserve"> proposed</w:t>
      </w:r>
      <w:r w:rsidRPr="00A34945">
        <w:rPr>
          <w:rFonts w:ascii="Verdana" w:hAnsi="Verdana"/>
          <w:color w:val="auto"/>
          <w:spacing w:val="-2"/>
          <w:sz w:val="22"/>
          <w:szCs w:val="22"/>
        </w:rPr>
        <w:t xml:space="preserve"> </w:t>
      </w:r>
      <w:r w:rsidRPr="00A34945">
        <w:rPr>
          <w:rFonts w:ascii="Verdana" w:hAnsi="Verdana"/>
          <w:color w:val="auto"/>
          <w:spacing w:val="-1"/>
          <w:sz w:val="22"/>
          <w:szCs w:val="22"/>
        </w:rPr>
        <w:t>contract</w:t>
      </w:r>
      <w:r w:rsidRPr="00A34945">
        <w:rPr>
          <w:rFonts w:ascii="Verdana" w:hAnsi="Verdana"/>
          <w:color w:val="auto"/>
          <w:spacing w:val="-2"/>
          <w:sz w:val="22"/>
          <w:szCs w:val="22"/>
        </w:rPr>
        <w:t xml:space="preserve"> </w:t>
      </w:r>
      <w:r w:rsidRPr="00A34945">
        <w:rPr>
          <w:rFonts w:ascii="Verdana" w:hAnsi="Verdana"/>
          <w:color w:val="auto"/>
          <w:spacing w:val="-1"/>
          <w:sz w:val="22"/>
          <w:szCs w:val="22"/>
        </w:rPr>
        <w:t>shall</w:t>
      </w:r>
      <w:r w:rsidRPr="00A34945">
        <w:rPr>
          <w:rFonts w:ascii="Verdana" w:hAnsi="Verdana"/>
          <w:color w:val="auto"/>
          <w:spacing w:val="-2"/>
          <w:sz w:val="22"/>
          <w:szCs w:val="22"/>
        </w:rPr>
        <w:t xml:space="preserve"> </w:t>
      </w:r>
      <w:r w:rsidRPr="00A34945">
        <w:rPr>
          <w:rFonts w:ascii="Verdana" w:hAnsi="Verdana"/>
          <w:color w:val="auto"/>
          <w:spacing w:val="-1"/>
          <w:sz w:val="22"/>
          <w:szCs w:val="22"/>
        </w:rPr>
        <w:t>bind</w:t>
      </w:r>
      <w:r w:rsidRPr="00A34945">
        <w:rPr>
          <w:rFonts w:ascii="Verdana" w:hAnsi="Verdana"/>
          <w:color w:val="auto"/>
          <w:spacing w:val="-2"/>
          <w:sz w:val="22"/>
          <w:szCs w:val="22"/>
        </w:rPr>
        <w:t xml:space="preserve"> </w:t>
      </w:r>
      <w:r w:rsidR="001C6F29">
        <w:rPr>
          <w:rFonts w:ascii="Verdana" w:hAnsi="Verdana"/>
          <w:color w:val="auto"/>
          <w:spacing w:val="-1"/>
          <w:sz w:val="22"/>
          <w:szCs w:val="22"/>
        </w:rPr>
        <w:t>PPC</w:t>
      </w:r>
      <w:r w:rsidRPr="00A34945">
        <w:rPr>
          <w:rFonts w:ascii="Verdana" w:hAnsi="Verdana"/>
          <w:color w:val="auto"/>
          <w:spacing w:val="-2"/>
          <w:sz w:val="22"/>
          <w:szCs w:val="22"/>
        </w:rPr>
        <w:t xml:space="preserve"> </w:t>
      </w:r>
      <w:r w:rsidRPr="00A34945">
        <w:rPr>
          <w:rFonts w:ascii="Verdana" w:hAnsi="Verdana"/>
          <w:color w:val="auto"/>
          <w:spacing w:val="-1"/>
          <w:sz w:val="22"/>
          <w:szCs w:val="22"/>
        </w:rPr>
        <w:t>unless such</w:t>
      </w:r>
      <w:r w:rsidRPr="00A34945">
        <w:rPr>
          <w:rFonts w:ascii="Verdana" w:hAnsi="Verdana"/>
          <w:color w:val="auto"/>
          <w:spacing w:val="51"/>
          <w:sz w:val="22"/>
          <w:szCs w:val="22"/>
        </w:rPr>
        <w:t xml:space="preserve"> </w:t>
      </w:r>
      <w:r w:rsidRPr="00A34945">
        <w:rPr>
          <w:rFonts w:ascii="Verdana" w:hAnsi="Verdana"/>
          <w:color w:val="auto"/>
          <w:spacing w:val="-1"/>
          <w:sz w:val="22"/>
          <w:szCs w:val="22"/>
        </w:rPr>
        <w:t>representation</w:t>
      </w:r>
      <w:r w:rsidRPr="00A34945">
        <w:rPr>
          <w:rFonts w:ascii="Verdana" w:hAnsi="Verdana"/>
          <w:color w:val="auto"/>
          <w:spacing w:val="-2"/>
          <w:sz w:val="22"/>
          <w:szCs w:val="22"/>
        </w:rPr>
        <w:t xml:space="preserve"> is</w:t>
      </w:r>
      <w:r w:rsidRPr="00A34945">
        <w:rPr>
          <w:rFonts w:ascii="Verdana" w:hAnsi="Verdana"/>
          <w:color w:val="auto"/>
          <w:spacing w:val="1"/>
          <w:sz w:val="22"/>
          <w:szCs w:val="22"/>
        </w:rPr>
        <w:t xml:space="preserve"> </w:t>
      </w:r>
      <w:r w:rsidRPr="00A34945">
        <w:rPr>
          <w:rFonts w:ascii="Verdana" w:hAnsi="Verdana"/>
          <w:color w:val="auto"/>
          <w:spacing w:val="-1"/>
          <w:sz w:val="22"/>
          <w:szCs w:val="22"/>
        </w:rPr>
        <w:t>in</w:t>
      </w:r>
      <w:r w:rsidRPr="00A34945">
        <w:rPr>
          <w:rFonts w:ascii="Verdana" w:hAnsi="Verdana"/>
          <w:color w:val="auto"/>
          <w:spacing w:val="-2"/>
          <w:sz w:val="22"/>
          <w:szCs w:val="22"/>
        </w:rPr>
        <w:t xml:space="preserve"> </w:t>
      </w:r>
      <w:r w:rsidRPr="00A34945">
        <w:rPr>
          <w:rFonts w:ascii="Verdana" w:hAnsi="Verdana"/>
          <w:color w:val="auto"/>
          <w:spacing w:val="-1"/>
          <w:sz w:val="22"/>
          <w:szCs w:val="22"/>
        </w:rPr>
        <w:t>writing</w:t>
      </w:r>
      <w:r w:rsidRPr="00A34945">
        <w:rPr>
          <w:rFonts w:ascii="Verdana" w:hAnsi="Verdana"/>
          <w:color w:val="auto"/>
          <w:spacing w:val="-2"/>
          <w:sz w:val="22"/>
          <w:szCs w:val="22"/>
        </w:rPr>
        <w:t xml:space="preserve"> </w:t>
      </w:r>
      <w:r w:rsidRPr="00A34945">
        <w:rPr>
          <w:rFonts w:ascii="Verdana" w:hAnsi="Verdana"/>
          <w:color w:val="auto"/>
          <w:spacing w:val="-1"/>
          <w:sz w:val="22"/>
          <w:szCs w:val="22"/>
        </w:rPr>
        <w:t>and</w:t>
      </w:r>
      <w:r w:rsidRPr="00A34945">
        <w:rPr>
          <w:rFonts w:ascii="Verdana" w:hAnsi="Verdana"/>
          <w:color w:val="auto"/>
          <w:spacing w:val="-2"/>
          <w:sz w:val="22"/>
          <w:szCs w:val="22"/>
        </w:rPr>
        <w:t xml:space="preserve"> </w:t>
      </w:r>
      <w:r w:rsidRPr="00A34945">
        <w:rPr>
          <w:rFonts w:ascii="Verdana" w:hAnsi="Verdana"/>
          <w:color w:val="auto"/>
          <w:spacing w:val="-1"/>
          <w:sz w:val="22"/>
          <w:szCs w:val="22"/>
        </w:rPr>
        <w:t>duly</w:t>
      </w:r>
      <w:r w:rsidRPr="00A34945">
        <w:rPr>
          <w:rFonts w:ascii="Verdana" w:hAnsi="Verdana"/>
          <w:color w:val="auto"/>
          <w:spacing w:val="-2"/>
          <w:sz w:val="22"/>
          <w:szCs w:val="22"/>
        </w:rPr>
        <w:t xml:space="preserve"> </w:t>
      </w:r>
      <w:r w:rsidRPr="00A34945">
        <w:rPr>
          <w:rFonts w:ascii="Verdana" w:hAnsi="Verdana"/>
          <w:color w:val="auto"/>
          <w:spacing w:val="-1"/>
          <w:sz w:val="22"/>
          <w:szCs w:val="22"/>
        </w:rPr>
        <w:t>signed</w:t>
      </w:r>
      <w:r w:rsidRPr="00A34945">
        <w:rPr>
          <w:rFonts w:ascii="Verdana" w:hAnsi="Verdana"/>
          <w:color w:val="auto"/>
          <w:spacing w:val="1"/>
          <w:sz w:val="22"/>
          <w:szCs w:val="22"/>
        </w:rPr>
        <w:t xml:space="preserve"> </w:t>
      </w:r>
      <w:r w:rsidRPr="00A34945">
        <w:rPr>
          <w:rFonts w:ascii="Verdana" w:hAnsi="Verdana"/>
          <w:color w:val="auto"/>
          <w:spacing w:val="-1"/>
          <w:sz w:val="22"/>
          <w:szCs w:val="22"/>
        </w:rPr>
        <w:t>by</w:t>
      </w:r>
      <w:r w:rsidRPr="00A34945">
        <w:rPr>
          <w:rFonts w:ascii="Verdana" w:hAnsi="Verdana"/>
          <w:color w:val="auto"/>
          <w:spacing w:val="-2"/>
          <w:sz w:val="22"/>
          <w:szCs w:val="22"/>
        </w:rPr>
        <w:t xml:space="preserve"> </w:t>
      </w:r>
      <w:r w:rsidRPr="00A34945">
        <w:rPr>
          <w:rFonts w:ascii="Verdana" w:hAnsi="Verdana"/>
          <w:color w:val="auto"/>
          <w:sz w:val="22"/>
          <w:szCs w:val="22"/>
        </w:rPr>
        <w:t>a</w:t>
      </w:r>
      <w:r w:rsidRPr="00A34945">
        <w:rPr>
          <w:rFonts w:ascii="Verdana" w:hAnsi="Verdana"/>
          <w:color w:val="auto"/>
          <w:spacing w:val="-2"/>
          <w:sz w:val="22"/>
          <w:szCs w:val="22"/>
        </w:rPr>
        <w:t xml:space="preserve"> </w:t>
      </w:r>
      <w:r w:rsidRPr="00A34945">
        <w:rPr>
          <w:rFonts w:ascii="Verdana" w:hAnsi="Verdana"/>
          <w:color w:val="auto"/>
          <w:sz w:val="22"/>
          <w:szCs w:val="22"/>
        </w:rPr>
        <w:t xml:space="preserve">Director/Partner of the tenderer. All such correspondence </w:t>
      </w:r>
      <w:r w:rsidRPr="00043839">
        <w:rPr>
          <w:rFonts w:ascii="Verdana" w:hAnsi="Verdana"/>
          <w:color w:val="auto"/>
          <w:sz w:val="22"/>
          <w:szCs w:val="22"/>
        </w:rPr>
        <w:t>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340A3DA2"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 xml:space="preserve">Tender returns will be assessed </w:t>
      </w:r>
      <w:proofErr w:type="gramStart"/>
      <w:r w:rsidRPr="00043839">
        <w:rPr>
          <w:rFonts w:ascii="Verdana" w:eastAsia="Calibri" w:hAnsi="Verdana" w:cs="Calibri"/>
          <w:b/>
          <w:sz w:val="22"/>
          <w:szCs w:val="22"/>
          <w:lang w:eastAsia="en-US"/>
        </w:rPr>
        <w:t>on the basis of</w:t>
      </w:r>
      <w:proofErr w:type="gramEnd"/>
      <w:r w:rsidRPr="00043839">
        <w:rPr>
          <w:rFonts w:ascii="Verdana" w:eastAsia="Calibri" w:hAnsi="Verdana" w:cs="Calibri"/>
          <w:b/>
          <w:sz w:val="22"/>
          <w:szCs w:val="22"/>
          <w:lang w:eastAsia="en-US"/>
        </w:rPr>
        <w:t xml:space="preserve"> the following tender award criteria</w:t>
      </w:r>
      <w:r w:rsidR="0031791A">
        <w:rPr>
          <w:rFonts w:ascii="Verdana" w:eastAsia="Calibri" w:hAnsi="Verdana" w:cs="Calibri"/>
          <w:b/>
          <w:sz w:val="22"/>
          <w:szCs w:val="22"/>
          <w:lang w:eastAsia="en-US"/>
        </w:rPr>
        <w:t>:</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4"/>
          <w:bookmarkEnd w:id="5"/>
          <w:p w14:paraId="3AECB4AF" w14:textId="3AF74275" w:rsidR="00AC3C13" w:rsidRPr="00875D87" w:rsidRDefault="00043839" w:rsidP="006268C8">
            <w:pPr>
              <w:widowControl/>
              <w:autoSpaceDE/>
              <w:autoSpaceDN/>
              <w:adjustRightInd/>
              <w:spacing w:after="60"/>
              <w:rPr>
                <w:rFonts w:ascii="Verdana" w:eastAsia="Calibri" w:hAnsi="Verdana"/>
                <w:sz w:val="22"/>
                <w:szCs w:val="22"/>
                <w:lang w:eastAsia="en-US"/>
              </w:rPr>
            </w:pPr>
            <w:r w:rsidRPr="00875D87">
              <w:rPr>
                <w:rFonts w:ascii="Verdana" w:eastAsia="Calibri" w:hAnsi="Verdana"/>
                <w:sz w:val="22"/>
                <w:szCs w:val="22"/>
                <w:lang w:eastAsia="en-US"/>
              </w:rPr>
              <w:t xml:space="preserve">Ref </w:t>
            </w:r>
            <w:r w:rsidR="00E878B2" w:rsidRPr="00875D87">
              <w:rPr>
                <w:rFonts w:ascii="Verdana" w:eastAsia="Calibri" w:hAnsi="Verdana"/>
                <w:sz w:val="22"/>
                <w:szCs w:val="22"/>
                <w:lang w:eastAsia="en-US"/>
              </w:rPr>
              <w:t>6</w:t>
            </w:r>
            <w:r w:rsidR="00D478B4" w:rsidRPr="00875D87">
              <w:rPr>
                <w:rFonts w:ascii="Verdana" w:eastAsia="Calibri" w:hAnsi="Verdana"/>
                <w:sz w:val="22"/>
                <w:szCs w:val="22"/>
                <w:lang w:eastAsia="en-US"/>
              </w:rPr>
              <w:t>.1</w:t>
            </w:r>
            <w:r w:rsidR="00F33591" w:rsidRPr="00875D87">
              <w:rPr>
                <w:rFonts w:ascii="Verdana" w:eastAsia="Calibri" w:hAnsi="Verdana"/>
                <w:sz w:val="22"/>
                <w:szCs w:val="22"/>
                <w:lang w:eastAsia="en-US"/>
              </w:rPr>
              <w:t xml:space="preserve"> </w:t>
            </w:r>
            <w:r w:rsidR="00AC3C13" w:rsidRPr="00875D87">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875D87" w:rsidRDefault="00D478B4" w:rsidP="006268C8">
            <w:pPr>
              <w:widowControl/>
              <w:autoSpaceDE/>
              <w:autoSpaceDN/>
              <w:adjustRightInd/>
              <w:spacing w:after="60"/>
              <w:rPr>
                <w:rFonts w:ascii="Verdana" w:eastAsia="Calibri" w:hAnsi="Verdana"/>
                <w:sz w:val="22"/>
                <w:szCs w:val="22"/>
                <w:lang w:eastAsia="en-US"/>
              </w:rPr>
            </w:pPr>
            <w:r w:rsidRPr="00875D87">
              <w:rPr>
                <w:rFonts w:ascii="Verdana" w:eastAsia="Calibri" w:hAnsi="Verdana"/>
                <w:sz w:val="22"/>
                <w:szCs w:val="22"/>
                <w:lang w:eastAsia="en-US"/>
              </w:rPr>
              <w:t>Acceptable covering letter including confirmation o</w:t>
            </w:r>
            <w:r w:rsidR="00043839" w:rsidRPr="00875D87">
              <w:rPr>
                <w:rFonts w:ascii="Verdana" w:eastAsia="Calibri" w:hAnsi="Verdana"/>
                <w:sz w:val="22"/>
                <w:szCs w:val="22"/>
                <w:lang w:eastAsia="en-US"/>
              </w:rPr>
              <w:t xml:space="preserve">f the requirements detailed at </w:t>
            </w:r>
            <w:r w:rsidR="00E878B2" w:rsidRPr="00875D87">
              <w:rPr>
                <w:rFonts w:ascii="Verdana" w:eastAsia="Calibri" w:hAnsi="Verdana"/>
                <w:sz w:val="22"/>
                <w:szCs w:val="22"/>
                <w:lang w:eastAsia="en-US"/>
              </w:rPr>
              <w:t>6</w:t>
            </w:r>
            <w:r w:rsidRPr="00875D87">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2BF3B6A1" w:rsidR="00AC3C13" w:rsidRPr="00A34945" w:rsidRDefault="00043839" w:rsidP="006268C8">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 xml:space="preserve">Ref </w:t>
            </w:r>
            <w:r w:rsidR="00E878B2" w:rsidRPr="00A34945">
              <w:rPr>
                <w:rFonts w:ascii="Verdana" w:eastAsia="Calibri" w:hAnsi="Verdana"/>
                <w:sz w:val="22"/>
                <w:szCs w:val="22"/>
                <w:lang w:eastAsia="en-US"/>
              </w:rPr>
              <w:t>6</w:t>
            </w:r>
            <w:r w:rsidR="00CB0724" w:rsidRPr="00A34945">
              <w:rPr>
                <w:rFonts w:ascii="Verdana" w:eastAsia="Calibri" w:hAnsi="Verdana"/>
                <w:sz w:val="22"/>
                <w:szCs w:val="22"/>
                <w:lang w:eastAsia="en-US"/>
              </w:rPr>
              <w:t>.</w:t>
            </w:r>
            <w:r w:rsidR="00F33591" w:rsidRPr="00A34945">
              <w:rPr>
                <w:rFonts w:ascii="Verdana" w:eastAsia="Calibri" w:hAnsi="Verdana"/>
                <w:sz w:val="22"/>
                <w:szCs w:val="22"/>
                <w:lang w:eastAsia="en-US"/>
              </w:rPr>
              <w:t xml:space="preserve">2 </w:t>
            </w:r>
            <w:r w:rsidR="00BC0B63" w:rsidRPr="00A34945">
              <w:rPr>
                <w:rFonts w:ascii="Verdana" w:eastAsia="Calibri" w:hAnsi="Verdana"/>
                <w:sz w:val="22"/>
                <w:szCs w:val="22"/>
                <w:lang w:eastAsia="en-US"/>
              </w:rPr>
              <w:t>Social Value</w:t>
            </w:r>
          </w:p>
        </w:tc>
        <w:tc>
          <w:tcPr>
            <w:tcW w:w="916" w:type="dxa"/>
            <w:shd w:val="clear" w:color="auto" w:fill="D9D9D9"/>
          </w:tcPr>
          <w:p w14:paraId="28461C28" w14:textId="3116F80B" w:rsidR="00AC3C13" w:rsidRPr="00043839" w:rsidRDefault="00A3494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6307201D" w14:textId="23B18EF0" w:rsidR="00A34945" w:rsidRPr="00A34945" w:rsidRDefault="00A34945" w:rsidP="00A34945">
            <w:pPr>
              <w:widowControl/>
              <w:autoSpaceDE/>
              <w:autoSpaceDN/>
              <w:adjustRightInd/>
              <w:contextualSpacing/>
              <w:rPr>
                <w:rFonts w:ascii="Verdana" w:hAnsi="Verdana" w:cstheme="majorHAnsi"/>
                <w:sz w:val="22"/>
                <w:szCs w:val="22"/>
              </w:rPr>
            </w:pPr>
            <w:r w:rsidRPr="00A34945">
              <w:rPr>
                <w:rFonts w:ascii="Verdana" w:hAnsi="Verdana" w:cstheme="majorHAnsi"/>
                <w:sz w:val="22"/>
                <w:szCs w:val="22"/>
              </w:rPr>
              <w:t>Total amount (£) spent through contract with local micro, small and medium enterprises (MSMEs)</w:t>
            </w:r>
            <w:r w:rsidR="00BD4AF9">
              <w:rPr>
                <w:rFonts w:ascii="Verdana" w:hAnsi="Verdana" w:cstheme="majorHAnsi"/>
                <w:sz w:val="22"/>
                <w:szCs w:val="22"/>
              </w:rPr>
              <w:t xml:space="preserve">.  </w:t>
            </w:r>
            <w:r w:rsidRPr="00A34945">
              <w:rPr>
                <w:rFonts w:ascii="Verdana" w:hAnsi="Verdana" w:cstheme="majorHAnsi"/>
                <w:sz w:val="22"/>
                <w:szCs w:val="22"/>
              </w:rPr>
              <w:t>Local is defined as any SME with a Cornwall and the Isles of Scilly Postcode</w:t>
            </w:r>
            <w:r w:rsidR="00875D87">
              <w:rPr>
                <w:rFonts w:ascii="Verdana" w:hAnsi="Verdana" w:cstheme="majorHAnsi"/>
                <w:sz w:val="22"/>
                <w:szCs w:val="22"/>
              </w:rPr>
              <w:t>.  This will be calculated by the value of the local purchases divided by the total contract value x 5 marks.</w:t>
            </w:r>
          </w:p>
          <w:p w14:paraId="2367F5F8" w14:textId="77777777" w:rsidR="00A34945" w:rsidRPr="00A34945" w:rsidRDefault="00A34945" w:rsidP="00A34945">
            <w:pPr>
              <w:widowControl/>
              <w:autoSpaceDE/>
              <w:autoSpaceDN/>
              <w:adjustRightInd/>
              <w:contextualSpacing/>
              <w:rPr>
                <w:rFonts w:ascii="Verdana" w:hAnsi="Verdana" w:cstheme="majorHAnsi"/>
                <w:sz w:val="22"/>
                <w:szCs w:val="22"/>
              </w:rPr>
            </w:pPr>
          </w:p>
          <w:p w14:paraId="439F07CF" w14:textId="77777777" w:rsidR="001F725E" w:rsidRDefault="00A34945" w:rsidP="00A34945">
            <w:pPr>
              <w:widowControl/>
              <w:autoSpaceDE/>
              <w:autoSpaceDN/>
              <w:adjustRightInd/>
              <w:contextualSpacing/>
              <w:rPr>
                <w:rFonts w:ascii="Verdana" w:hAnsi="Verdana" w:cstheme="majorHAnsi"/>
                <w:sz w:val="22"/>
                <w:szCs w:val="22"/>
              </w:rPr>
            </w:pPr>
            <w:r w:rsidRPr="00A34945">
              <w:rPr>
                <w:rFonts w:ascii="Verdana" w:hAnsi="Verdana" w:cstheme="majorHAnsi"/>
                <w:sz w:val="22"/>
                <w:szCs w:val="22"/>
              </w:rPr>
              <w:t>How the supplier is going to contribute to Portreath Parish Climate Action Plan Adopted 20-07-20 (Enclosure 13).</w:t>
            </w:r>
            <w:r w:rsidR="00875D87">
              <w:rPr>
                <w:rFonts w:ascii="Verdana" w:hAnsi="Verdana" w:cstheme="majorHAnsi"/>
                <w:sz w:val="22"/>
                <w:szCs w:val="22"/>
              </w:rPr>
              <w:t xml:space="preserve"> (5 Marks)</w:t>
            </w:r>
          </w:p>
          <w:p w14:paraId="7D122B72" w14:textId="6DC542C2" w:rsidR="00BD4AF9" w:rsidRPr="00A34945" w:rsidRDefault="00BD4AF9" w:rsidP="00A34945">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A34945" w:rsidRDefault="00043839" w:rsidP="006268C8">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lastRenderedPageBreak/>
              <w:t xml:space="preserve">Ref </w:t>
            </w:r>
            <w:r w:rsidR="00E878B2" w:rsidRPr="00A34945">
              <w:rPr>
                <w:rFonts w:ascii="Verdana" w:eastAsia="Calibri" w:hAnsi="Verdana"/>
                <w:sz w:val="22"/>
                <w:szCs w:val="22"/>
                <w:lang w:eastAsia="en-US"/>
              </w:rPr>
              <w:t>6</w:t>
            </w:r>
            <w:r w:rsidR="00155205" w:rsidRPr="00A34945">
              <w:rPr>
                <w:rFonts w:ascii="Verdana" w:eastAsia="Calibri" w:hAnsi="Verdana"/>
                <w:sz w:val="22"/>
                <w:szCs w:val="22"/>
                <w:lang w:eastAsia="en-US"/>
              </w:rPr>
              <w:t>.3</w:t>
            </w:r>
            <w:r w:rsidR="00BC0B63" w:rsidRPr="00A34945">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39E7F65" w:rsidR="00B52E8E" w:rsidRPr="00A34945" w:rsidRDefault="00A34945" w:rsidP="006268C8">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Details of 2 similar projects of value and size.  Each Example should be no more than 2 sides of A4.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A34945" w:rsidRDefault="00BC0B63" w:rsidP="00BC0B63">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Ref 6.4 Project Method Statement</w:t>
            </w:r>
          </w:p>
        </w:tc>
        <w:tc>
          <w:tcPr>
            <w:tcW w:w="916" w:type="dxa"/>
            <w:shd w:val="clear" w:color="auto" w:fill="D9D9D9"/>
          </w:tcPr>
          <w:p w14:paraId="7991D4B5" w14:textId="71E97310"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A34945">
              <w:rPr>
                <w:rFonts w:ascii="Verdana" w:eastAsia="Calibri" w:hAnsi="Verdana"/>
                <w:sz w:val="22"/>
                <w:szCs w:val="22"/>
                <w:lang w:eastAsia="en-US"/>
              </w:rPr>
              <w:t>0</w:t>
            </w:r>
          </w:p>
        </w:tc>
      </w:tr>
      <w:tr w:rsidR="00BC0B63" w:rsidRPr="00421CBC" w14:paraId="68BFBAB6" w14:textId="77777777" w:rsidTr="00BC0B63">
        <w:tc>
          <w:tcPr>
            <w:tcW w:w="8222" w:type="dxa"/>
          </w:tcPr>
          <w:p w14:paraId="37826AEC" w14:textId="77777777" w:rsidR="00A34945" w:rsidRPr="00A34945" w:rsidRDefault="00A34945" w:rsidP="00A34945">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a.</w:t>
            </w:r>
            <w:r w:rsidRPr="00A34945">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w:t>
            </w:r>
            <w:proofErr w:type="gramStart"/>
            <w:r w:rsidRPr="00A34945">
              <w:rPr>
                <w:rFonts w:ascii="Verdana" w:eastAsia="Calibri" w:hAnsi="Verdana"/>
                <w:sz w:val="22"/>
                <w:szCs w:val="22"/>
                <w:lang w:eastAsia="en-US"/>
              </w:rPr>
              <w:t>both of these</w:t>
            </w:r>
            <w:proofErr w:type="gramEnd"/>
            <w:r w:rsidRPr="00A34945">
              <w:rPr>
                <w:rFonts w:ascii="Verdana" w:eastAsia="Calibri" w:hAnsi="Verdana"/>
                <w:sz w:val="22"/>
                <w:szCs w:val="22"/>
                <w:lang w:eastAsia="en-US"/>
              </w:rPr>
              <w:t xml:space="preserve"> members of staff (the CV should be a maximum of 1 page of A4).  </w:t>
            </w:r>
          </w:p>
          <w:p w14:paraId="214CA51F" w14:textId="416F2C1E" w:rsidR="00A34945" w:rsidRPr="00A34945" w:rsidRDefault="00A34945" w:rsidP="00A34945">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b.</w:t>
            </w:r>
            <w:r w:rsidRPr="00A34945">
              <w:rPr>
                <w:rFonts w:ascii="Verdana" w:eastAsia="Calibri" w:hAnsi="Verdana"/>
                <w:sz w:val="22"/>
                <w:szCs w:val="22"/>
                <w:lang w:eastAsia="en-US"/>
              </w:rPr>
              <w:tab/>
              <w:t>Programme of work that demonstrates how you will meet the proposed timetable and key milestones.</w:t>
            </w:r>
          </w:p>
          <w:p w14:paraId="14675162" w14:textId="16277DA6" w:rsidR="00A34945" w:rsidRPr="00A34945" w:rsidRDefault="00A34945" w:rsidP="00A34945">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c.</w:t>
            </w:r>
            <w:r w:rsidRPr="00A34945">
              <w:rPr>
                <w:rFonts w:ascii="Verdana" w:eastAsia="Calibri" w:hAnsi="Verdana"/>
                <w:sz w:val="22"/>
                <w:szCs w:val="22"/>
                <w:lang w:eastAsia="en-US"/>
              </w:rPr>
              <w:tab/>
              <w:t>Details of any design proposals</w:t>
            </w:r>
            <w:r w:rsidR="0029020B">
              <w:rPr>
                <w:rFonts w:ascii="Verdana" w:eastAsia="Calibri" w:hAnsi="Verdana"/>
                <w:sz w:val="22"/>
                <w:szCs w:val="22"/>
                <w:lang w:eastAsia="en-US"/>
              </w:rPr>
              <w:t>.</w:t>
            </w:r>
          </w:p>
          <w:p w14:paraId="3279ECC2" w14:textId="3BED9DA5" w:rsidR="00BC0B63" w:rsidRPr="00A34945" w:rsidRDefault="00A34945" w:rsidP="00A34945">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d.</w:t>
            </w:r>
            <w:r w:rsidRPr="00A34945">
              <w:rPr>
                <w:rFonts w:ascii="Verdana" w:eastAsia="Calibri" w:hAnsi="Verdana"/>
                <w:sz w:val="22"/>
                <w:szCs w:val="22"/>
                <w:lang w:eastAsia="en-US"/>
              </w:rPr>
              <w:tab/>
              <w:t xml:space="preserve">How you are going to meet some of the Guide for Construction Projects </w:t>
            </w:r>
            <w:r w:rsidR="0029020B">
              <w:rPr>
                <w:rFonts w:ascii="Verdana" w:eastAsia="Calibri" w:hAnsi="Verdana"/>
                <w:sz w:val="22"/>
                <w:szCs w:val="22"/>
                <w:lang w:eastAsia="en-US"/>
              </w:rPr>
              <w:t>w</w:t>
            </w:r>
            <w:r w:rsidRPr="00A34945">
              <w:rPr>
                <w:rFonts w:ascii="Verdana" w:eastAsia="Calibri" w:hAnsi="Verdana"/>
                <w:sz w:val="22"/>
                <w:szCs w:val="22"/>
                <w:lang w:eastAsia="en-US"/>
              </w:rPr>
              <w:t>ith a Project Value Over £100,000 Sections 2-5</w:t>
            </w:r>
            <w:r w:rsidR="007767C0">
              <w:rPr>
                <w:rFonts w:ascii="Verdana" w:eastAsia="Calibri" w:hAnsi="Verdana"/>
                <w:sz w:val="22"/>
                <w:szCs w:val="22"/>
                <w:lang w:eastAsia="en-US"/>
              </w:rPr>
              <w:t>.</w:t>
            </w:r>
            <w:r w:rsidRPr="00A34945">
              <w:rPr>
                <w:rFonts w:ascii="Verdana" w:eastAsia="Calibri" w:hAnsi="Verdana"/>
                <w:sz w:val="22"/>
                <w:szCs w:val="22"/>
                <w:lang w:eastAsia="en-US"/>
              </w:rPr>
              <w:t xml:space="preserve"> </w:t>
            </w:r>
            <w:r w:rsidR="007767C0">
              <w:rPr>
                <w:rFonts w:ascii="Verdana" w:eastAsia="Calibri" w:hAnsi="Verdana"/>
                <w:sz w:val="22"/>
                <w:szCs w:val="22"/>
                <w:lang w:eastAsia="en-US"/>
              </w:rPr>
              <w:t xml:space="preserve"> </w:t>
            </w:r>
            <w:r w:rsidRPr="00A34945">
              <w:rPr>
                <w:rFonts w:ascii="Verdana" w:eastAsia="Calibri" w:hAnsi="Verdana"/>
                <w:sz w:val="22"/>
                <w:szCs w:val="22"/>
                <w:lang w:eastAsia="en-US"/>
              </w:rPr>
              <w:t>(Enclosure 11)</w:t>
            </w:r>
            <w:r w:rsidR="0029020B">
              <w:rPr>
                <w:rFonts w:ascii="Verdana" w:eastAsia="Calibri" w:hAnsi="Verdana"/>
                <w:sz w:val="22"/>
                <w:szCs w:val="22"/>
                <w:lang w:eastAsia="en-US"/>
              </w:rPr>
              <w:t>.</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A34945">
        <w:trPr>
          <w:trHeight w:val="64"/>
        </w:trPr>
        <w:tc>
          <w:tcPr>
            <w:tcW w:w="8222" w:type="dxa"/>
            <w:shd w:val="clear" w:color="auto" w:fill="D9D9D9"/>
          </w:tcPr>
          <w:p w14:paraId="5E6FF7AC" w14:textId="76A557F7" w:rsidR="00BC0B63" w:rsidRPr="00A34945" w:rsidRDefault="00BC0B63" w:rsidP="00BC0B63">
            <w:pPr>
              <w:widowControl/>
              <w:autoSpaceDE/>
              <w:autoSpaceDN/>
              <w:adjustRightInd/>
              <w:spacing w:after="60"/>
              <w:rPr>
                <w:rFonts w:ascii="Verdana" w:eastAsia="Calibri" w:hAnsi="Verdana"/>
                <w:sz w:val="22"/>
                <w:szCs w:val="22"/>
                <w:lang w:eastAsia="en-US"/>
              </w:rPr>
            </w:pPr>
            <w:r w:rsidRPr="00A34945">
              <w:rPr>
                <w:rFonts w:ascii="Verdana" w:eastAsia="Calibri" w:hAnsi="Verdana"/>
                <w:sz w:val="22"/>
                <w:szCs w:val="22"/>
                <w:lang w:eastAsia="en-US"/>
              </w:rPr>
              <w:t>Ref 6.5 Budget</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2FEC576A"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(exc</w:t>
            </w:r>
            <w:r w:rsidR="0029020B">
              <w:rPr>
                <w:rFonts w:ascii="Verdana" w:hAnsi="Verdana" w:cstheme="majorHAnsi"/>
                <w:sz w:val="22"/>
                <w:szCs w:val="22"/>
              </w:rPr>
              <w:t>.</w:t>
            </w:r>
            <w:r w:rsidRPr="00043839">
              <w:rPr>
                <w:rFonts w:ascii="Verdana" w:hAnsi="Verdana" w:cstheme="majorHAnsi"/>
                <w:sz w:val="22"/>
                <w:szCs w:val="22"/>
              </w:rPr>
              <w:t xml:space="preserve"> VAT) including travel and other expenses</w:t>
            </w:r>
            <w:r w:rsidR="007767C0">
              <w:rPr>
                <w:rFonts w:ascii="Verdana" w:hAnsi="Verdana" w:cstheme="majorHAnsi"/>
                <w:sz w:val="22"/>
                <w:szCs w:val="22"/>
              </w:rPr>
              <w:t>.</w:t>
            </w:r>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20D6A926" w14:textId="7A6FD932" w:rsidR="00BC0B63" w:rsidRPr="00043839"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60</w:t>
            </w:r>
            <w:r w:rsidRPr="00043839">
              <w:rPr>
                <w:rFonts w:ascii="Verdana" w:eastAsia="Calibri" w:hAnsi="Verdana"/>
                <w:sz w:val="22"/>
                <w:szCs w:val="22"/>
                <w:lang w:eastAsia="en-US"/>
              </w:rPr>
              <w:t xml:space="preserve">marks. Other bids will be awarded a mark that is proportionate to the level of their bid in comparison to the lowest bid </w:t>
            </w:r>
            <w:r w:rsidR="0029020B" w:rsidRPr="00043839">
              <w:rPr>
                <w:rFonts w:ascii="Verdana" w:eastAsia="Calibri" w:hAnsi="Verdana"/>
                <w:sz w:val="22"/>
                <w:szCs w:val="22"/>
                <w:lang w:eastAsia="en-US"/>
              </w:rPr>
              <w:t>i.e.,</w:t>
            </w:r>
            <w:r w:rsidRPr="00043839">
              <w:rPr>
                <w:rFonts w:ascii="Verdana" w:eastAsia="Calibri" w:hAnsi="Verdana"/>
                <w:sz w:val="22"/>
                <w:szCs w:val="22"/>
                <w:lang w:eastAsia="en-US"/>
              </w:rPr>
              <w:t xml:space="preserve"> Marks awarded = </w:t>
            </w:r>
            <w:r>
              <w:rPr>
                <w:rFonts w:ascii="Verdana" w:eastAsia="Calibri" w:hAnsi="Verdana"/>
                <w:sz w:val="22"/>
                <w:szCs w:val="22"/>
                <w:lang w:eastAsia="en-US"/>
              </w:rPr>
              <w:t>60</w:t>
            </w:r>
            <w:r w:rsidRPr="00043839">
              <w:rPr>
                <w:rFonts w:ascii="Verdana" w:eastAsia="Calibri" w:hAnsi="Verdana"/>
                <w:sz w:val="22"/>
                <w:szCs w:val="22"/>
                <w:lang w:eastAsia="en-US"/>
              </w:rPr>
              <w:t xml:space="preserve"> x lowest bid/bid</w:t>
            </w:r>
            <w:r w:rsidR="007767C0">
              <w:rPr>
                <w:rFonts w:ascii="Verdana" w:eastAsia="Calibri" w:hAnsi="Verdana"/>
                <w:sz w:val="22"/>
                <w:szCs w:val="22"/>
                <w:lang w:eastAsia="en-US"/>
              </w:rPr>
              <w:t>.</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Some minor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6141FB3" w:rsidR="006C33DF" w:rsidRPr="00A34945" w:rsidRDefault="00944CA5" w:rsidP="006268C8">
      <w:pPr>
        <w:pStyle w:val="Default"/>
        <w:spacing w:before="60" w:after="60"/>
        <w:rPr>
          <w:rFonts w:ascii="Verdana" w:hAnsi="Verdana"/>
          <w:color w:val="auto"/>
          <w:sz w:val="22"/>
          <w:szCs w:val="22"/>
        </w:rPr>
      </w:pPr>
      <w:r w:rsidRPr="00A34945">
        <w:rPr>
          <w:rFonts w:ascii="Verdana" w:hAnsi="Verdana"/>
          <w:color w:val="auto"/>
          <w:sz w:val="22"/>
          <w:szCs w:val="22"/>
        </w:rPr>
        <w:t xml:space="preserve">During the tender assessment period, </w:t>
      </w:r>
      <w:r w:rsidR="001C6F29">
        <w:rPr>
          <w:rFonts w:ascii="Verdana" w:hAnsi="Verdana"/>
          <w:color w:val="auto"/>
          <w:sz w:val="22"/>
          <w:szCs w:val="22"/>
        </w:rPr>
        <w:t>PPC</w:t>
      </w:r>
      <w:r w:rsidRPr="00A34945">
        <w:rPr>
          <w:rFonts w:ascii="Verdana" w:hAnsi="Verdana"/>
          <w:color w:val="auto"/>
          <w:sz w:val="22"/>
          <w:szCs w:val="22"/>
        </w:rPr>
        <w:t xml:space="preserve"> reserves the right to seek clarification in writing from the tenderers, to assist it in it</w:t>
      </w:r>
      <w:r w:rsidR="006C33DF" w:rsidRPr="00A34945">
        <w:rPr>
          <w:rFonts w:ascii="Verdana" w:hAnsi="Verdana"/>
          <w:color w:val="auto"/>
          <w:sz w:val="22"/>
          <w:szCs w:val="22"/>
        </w:rPr>
        <w:t xml:space="preserve">s consideration of the tender. </w:t>
      </w:r>
      <w:r w:rsidRPr="00A34945">
        <w:rPr>
          <w:rFonts w:ascii="Verdana" w:hAnsi="Verdana"/>
          <w:color w:val="auto"/>
          <w:sz w:val="22"/>
          <w:szCs w:val="22"/>
        </w:rPr>
        <w:t>Tenders will be evaluated to determine the most economically advantageous offer taking into consideration the award criteria weightings in the table above.</w:t>
      </w:r>
      <w:r w:rsidR="006C33DF" w:rsidRPr="00A34945">
        <w:rPr>
          <w:rFonts w:ascii="Verdana" w:hAnsi="Verdana"/>
          <w:color w:val="auto"/>
          <w:sz w:val="22"/>
          <w:szCs w:val="22"/>
        </w:rPr>
        <w:t xml:space="preserve"> </w:t>
      </w:r>
    </w:p>
    <w:p w14:paraId="339EB6F3" w14:textId="77777777" w:rsidR="006C33DF" w:rsidRPr="00A34945" w:rsidRDefault="006C33DF" w:rsidP="006268C8">
      <w:pPr>
        <w:pStyle w:val="Default"/>
        <w:spacing w:before="60" w:after="60"/>
        <w:rPr>
          <w:rFonts w:ascii="Verdana" w:hAnsi="Verdana"/>
          <w:color w:val="auto"/>
          <w:sz w:val="22"/>
          <w:szCs w:val="22"/>
        </w:rPr>
      </w:pPr>
    </w:p>
    <w:p w14:paraId="6ADD5F0B" w14:textId="6215C363" w:rsidR="00944CA5" w:rsidRPr="00A34945" w:rsidRDefault="001C6F29" w:rsidP="006268C8">
      <w:pPr>
        <w:pStyle w:val="Default"/>
        <w:spacing w:before="60" w:after="60"/>
        <w:rPr>
          <w:rFonts w:ascii="Verdana" w:hAnsi="Verdana"/>
          <w:color w:val="auto"/>
          <w:sz w:val="22"/>
          <w:szCs w:val="22"/>
        </w:rPr>
      </w:pPr>
      <w:r>
        <w:rPr>
          <w:rFonts w:ascii="Verdana" w:hAnsi="Verdana"/>
          <w:color w:val="auto"/>
          <w:sz w:val="22"/>
          <w:szCs w:val="22"/>
        </w:rPr>
        <w:t>PPC</w:t>
      </w:r>
      <w:r w:rsidR="00944CA5" w:rsidRPr="00A34945">
        <w:rPr>
          <w:rFonts w:ascii="Verdana" w:hAnsi="Verdana"/>
          <w:color w:val="auto"/>
          <w:sz w:val="22"/>
          <w:szCs w:val="22"/>
        </w:rPr>
        <w:t xml:space="preserve"> is not bound to accept the lowest price or any tender. </w:t>
      </w:r>
      <w:r>
        <w:rPr>
          <w:rFonts w:ascii="Verdana" w:hAnsi="Verdana"/>
          <w:color w:val="auto"/>
          <w:sz w:val="22"/>
          <w:szCs w:val="22"/>
        </w:rPr>
        <w:t>PPC</w:t>
      </w:r>
      <w:r w:rsidR="00944CA5" w:rsidRPr="00A34945">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PPC</w:t>
      </w:r>
      <w:r w:rsidR="00944CA5" w:rsidRPr="00A34945">
        <w:rPr>
          <w:rFonts w:ascii="Verdana" w:hAnsi="Verdana"/>
          <w:color w:val="auto"/>
          <w:sz w:val="22"/>
          <w:szCs w:val="22"/>
        </w:rPr>
        <w:t xml:space="preserve">’s internal procedures and </w:t>
      </w:r>
      <w:r>
        <w:rPr>
          <w:rFonts w:ascii="Verdana" w:hAnsi="Verdana"/>
          <w:color w:val="auto"/>
          <w:sz w:val="22"/>
          <w:szCs w:val="22"/>
        </w:rPr>
        <w:t>PPC</w:t>
      </w:r>
      <w:r w:rsidR="00944CA5" w:rsidRPr="00A34945">
        <w:rPr>
          <w:rFonts w:ascii="Verdana" w:hAnsi="Verdana"/>
          <w:color w:val="auto"/>
          <w:sz w:val="22"/>
          <w:szCs w:val="22"/>
        </w:rPr>
        <w:t xml:space="preserve"> being able to proceed.</w:t>
      </w:r>
    </w:p>
    <w:p w14:paraId="29C8EE92" w14:textId="77777777" w:rsidR="007767C0" w:rsidRDefault="007767C0" w:rsidP="007767C0">
      <w:pPr>
        <w:widowControl/>
        <w:autoSpaceDE/>
        <w:autoSpaceDN/>
        <w:adjustRightInd/>
        <w:rPr>
          <w:rStyle w:val="Heading1Char"/>
        </w:rPr>
      </w:pPr>
    </w:p>
    <w:p w14:paraId="5031C6FC" w14:textId="25C5A147"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D5B636A" w:rsidR="009E5BAE" w:rsidRPr="00A34945" w:rsidRDefault="009E5BAE" w:rsidP="006268C8">
      <w:pPr>
        <w:widowControl/>
        <w:autoSpaceDE/>
        <w:autoSpaceDN/>
        <w:adjustRightInd/>
        <w:spacing w:after="200"/>
        <w:rPr>
          <w:rFonts w:ascii="Verdana" w:eastAsia="Calibri" w:hAnsi="Verdana"/>
          <w:sz w:val="22"/>
          <w:szCs w:val="22"/>
          <w:lang w:eastAsia="en-US"/>
        </w:rPr>
      </w:pPr>
      <w:r w:rsidRPr="00A34945">
        <w:rPr>
          <w:rFonts w:ascii="Verdana" w:eastAsia="Calibri" w:hAnsi="Verdana"/>
          <w:sz w:val="22"/>
          <w:szCs w:val="22"/>
          <w:lang w:eastAsia="en-US"/>
        </w:rPr>
        <w:t xml:space="preserve">Any contract awarded </w:t>
      </w:r>
      <w:proofErr w:type="gramStart"/>
      <w:r w:rsidRPr="00A34945">
        <w:rPr>
          <w:rFonts w:ascii="Verdana" w:eastAsia="Calibri" w:hAnsi="Verdana"/>
          <w:sz w:val="22"/>
          <w:szCs w:val="22"/>
          <w:lang w:eastAsia="en-US"/>
        </w:rPr>
        <w:t>as a result of</w:t>
      </w:r>
      <w:proofErr w:type="gramEnd"/>
      <w:r w:rsidRPr="00A34945">
        <w:rPr>
          <w:rFonts w:ascii="Verdana" w:eastAsia="Calibri" w:hAnsi="Verdana"/>
          <w:sz w:val="22"/>
          <w:szCs w:val="22"/>
          <w:lang w:eastAsia="en-US"/>
        </w:rPr>
        <w:t xml:space="preserve"> this tender process will be in accordance with the attached</w:t>
      </w:r>
      <w:r w:rsidR="00E748A6" w:rsidRPr="00A34945">
        <w:rPr>
          <w:rFonts w:ascii="Verdana" w:eastAsia="Calibri" w:hAnsi="Verdana"/>
          <w:sz w:val="22"/>
          <w:szCs w:val="22"/>
          <w:lang w:eastAsia="en-US"/>
        </w:rPr>
        <w:t xml:space="preserve"> </w:t>
      </w:r>
      <w:r w:rsidR="007B44AD" w:rsidRPr="00A34945">
        <w:rPr>
          <w:rFonts w:ascii="Verdana" w:eastAsia="Calibri" w:hAnsi="Verdana"/>
          <w:sz w:val="22"/>
          <w:szCs w:val="22"/>
          <w:lang w:eastAsia="en-US"/>
        </w:rPr>
        <w:t xml:space="preserve">JCT </w:t>
      </w:r>
      <w:r w:rsidR="00A34945" w:rsidRPr="00A34945">
        <w:rPr>
          <w:rFonts w:ascii="Verdana" w:eastAsia="Calibri" w:hAnsi="Verdana"/>
          <w:sz w:val="22"/>
          <w:szCs w:val="22"/>
          <w:lang w:eastAsia="en-US"/>
        </w:rPr>
        <w:t xml:space="preserve">Minor Works </w:t>
      </w:r>
      <w:r w:rsidR="007B44AD" w:rsidRPr="00A34945">
        <w:rPr>
          <w:rFonts w:ascii="Verdana" w:eastAsia="Calibri" w:hAnsi="Verdana"/>
          <w:sz w:val="22"/>
          <w:szCs w:val="22"/>
          <w:lang w:eastAsia="en-US"/>
        </w:rPr>
        <w:t>Contract</w:t>
      </w:r>
      <w:r w:rsidR="00A34945" w:rsidRPr="00A34945">
        <w:rPr>
          <w:rFonts w:ascii="Verdana" w:eastAsia="Calibri" w:hAnsi="Verdana"/>
          <w:sz w:val="22"/>
          <w:szCs w:val="22"/>
          <w:lang w:eastAsia="en-US"/>
        </w:rPr>
        <w:t xml:space="preserve"> (part completed)</w:t>
      </w:r>
      <w:r w:rsidR="007B44AD" w:rsidRPr="00A34945">
        <w:rPr>
          <w:rFonts w:ascii="Verdana" w:eastAsia="Calibri" w:hAnsi="Verdana"/>
          <w:sz w:val="22"/>
          <w:szCs w:val="22"/>
          <w:lang w:eastAsia="en-US"/>
        </w:rPr>
        <w:t xml:space="preserve"> at Enclosure </w:t>
      </w:r>
      <w:r w:rsidR="00A34945" w:rsidRPr="00A34945">
        <w:rPr>
          <w:rFonts w:ascii="Verdana" w:eastAsia="Calibri" w:hAnsi="Verdana"/>
          <w:sz w:val="22"/>
          <w:szCs w:val="22"/>
          <w:lang w:eastAsia="en-US"/>
        </w:rPr>
        <w:t>12</w:t>
      </w:r>
      <w:r w:rsidR="007767C0">
        <w:rPr>
          <w:rFonts w:ascii="Verdana" w:eastAsia="Calibri" w:hAnsi="Verdana"/>
          <w:sz w:val="22"/>
          <w:szCs w:val="22"/>
          <w:lang w:eastAsia="en-US"/>
        </w:rPr>
        <w:t>.</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18F29CE" w14:textId="51C4F685" w:rsidR="00A34945" w:rsidRPr="00875D87" w:rsidRDefault="00231011" w:rsidP="00A34945">
      <w:pPr>
        <w:pStyle w:val="Default"/>
        <w:spacing w:before="60" w:after="60"/>
        <w:rPr>
          <w:rFonts w:ascii="Verdana" w:hAnsi="Verdana"/>
          <w:spacing w:val="-1"/>
          <w:sz w:val="22"/>
          <w:szCs w:val="22"/>
        </w:rPr>
      </w:pPr>
      <w:r w:rsidRPr="00875D87">
        <w:rPr>
          <w:rFonts w:ascii="Verdana" w:hAnsi="Verdana"/>
          <w:spacing w:val="-1"/>
          <w:sz w:val="22"/>
          <w:szCs w:val="22"/>
        </w:rPr>
        <w:t xml:space="preserve">Emailed tenders should be sent electronically to </w:t>
      </w:r>
      <w:r w:rsidR="00D012EF" w:rsidRPr="00875D87">
        <w:rPr>
          <w:rFonts w:ascii="Verdana" w:hAnsi="Verdana"/>
          <w:spacing w:val="-1"/>
          <w:sz w:val="22"/>
          <w:szCs w:val="22"/>
        </w:rPr>
        <w:t>:</w:t>
      </w:r>
    </w:p>
    <w:p w14:paraId="655E279F" w14:textId="77777777" w:rsidR="00875D87" w:rsidRPr="00875D87" w:rsidRDefault="00875D87" w:rsidP="00A34945">
      <w:pPr>
        <w:pStyle w:val="Default"/>
        <w:spacing w:before="60" w:after="60"/>
        <w:rPr>
          <w:rFonts w:ascii="Verdana" w:hAnsi="Verdana"/>
          <w:sz w:val="22"/>
          <w:szCs w:val="22"/>
        </w:rPr>
      </w:pPr>
    </w:p>
    <w:p w14:paraId="452A882B" w14:textId="4C549ED5" w:rsidR="00A34945" w:rsidRPr="00875D87" w:rsidRDefault="00875D87" w:rsidP="00A34945">
      <w:pPr>
        <w:pStyle w:val="Default"/>
        <w:spacing w:before="60" w:after="60"/>
        <w:rPr>
          <w:rFonts w:ascii="Verdana" w:hAnsi="Verdana"/>
          <w:sz w:val="22"/>
          <w:szCs w:val="22"/>
        </w:rPr>
      </w:pPr>
      <w:r w:rsidRPr="00875D87">
        <w:rPr>
          <w:rFonts w:ascii="Verdana" w:hAnsi="Verdana"/>
          <w:sz w:val="22"/>
          <w:szCs w:val="22"/>
        </w:rPr>
        <w:t>portreathparishcouncil@gmail.com</w:t>
      </w:r>
    </w:p>
    <w:p w14:paraId="7CFB3607" w14:textId="77777777" w:rsidR="00875D87" w:rsidRDefault="00875D87" w:rsidP="00231011">
      <w:pPr>
        <w:pStyle w:val="BodyText"/>
        <w:kinsoku w:val="0"/>
        <w:overflowPunct w:val="0"/>
        <w:ind w:left="0" w:right="255" w:firstLine="0"/>
        <w:rPr>
          <w:spacing w:val="-1"/>
        </w:rPr>
      </w:pPr>
    </w:p>
    <w:p w14:paraId="3D5E4FBD" w14:textId="0A947939" w:rsidR="00231011" w:rsidRDefault="00231011" w:rsidP="00231011">
      <w:pPr>
        <w:pStyle w:val="BodyText"/>
        <w:kinsoku w:val="0"/>
        <w:overflowPunct w:val="0"/>
        <w:ind w:left="0" w:right="255" w:firstLine="0"/>
        <w:rPr>
          <w:spacing w:val="-1"/>
        </w:rPr>
      </w:pPr>
      <w:r w:rsidRPr="00D012EF">
        <w:rPr>
          <w:spacing w:val="-1"/>
        </w:rPr>
        <w:t>with the following message clearly noted in the Subject box; ‘</w:t>
      </w:r>
      <w:r w:rsidR="00D012EF" w:rsidRPr="00D012EF">
        <w:rPr>
          <w:spacing w:val="-1"/>
        </w:rPr>
        <w:t>Demolition of redundant toilet block and construction of Parish Council Office and Meeting Room.</w:t>
      </w:r>
      <w:r w:rsidR="00FC0A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6601DBF5" w:rsidR="00231011" w:rsidRDefault="00231011" w:rsidP="00231011">
      <w:pPr>
        <w:pStyle w:val="BodyText"/>
        <w:kinsoku w:val="0"/>
        <w:overflowPunct w:val="0"/>
        <w:ind w:left="0" w:right="255" w:firstLine="0"/>
        <w:rPr>
          <w:color w:val="FF0000"/>
          <w:spacing w:val="-1"/>
          <w:highlight w:val="yellow"/>
        </w:rPr>
      </w:pPr>
    </w:p>
    <w:p w14:paraId="706028FB" w14:textId="77777777" w:rsidR="007767C0" w:rsidRPr="00421CBC" w:rsidRDefault="007767C0"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lastRenderedPageBreak/>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F3E8F65" w:rsidR="00F241D3" w:rsidRPr="00D012EF"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1C6F29">
        <w:rPr>
          <w:rFonts w:ascii="Verdana" w:hAnsi="Verdana"/>
          <w:color w:val="auto"/>
          <w:sz w:val="22"/>
          <w:szCs w:val="22"/>
        </w:rPr>
        <w:t>PPC</w:t>
      </w:r>
      <w:r w:rsidR="00FC0A24" w:rsidRPr="00D012EF">
        <w:rPr>
          <w:rFonts w:ascii="Verdana" w:hAnsi="Verdana"/>
          <w:color w:val="auto"/>
          <w:sz w:val="22"/>
          <w:szCs w:val="22"/>
        </w:rPr>
        <w:t xml:space="preserve"> </w:t>
      </w:r>
      <w:r w:rsidRPr="00D012EF">
        <w:rPr>
          <w:rFonts w:ascii="Verdana" w:hAnsi="Verdana"/>
          <w:color w:val="auto"/>
          <w:sz w:val="22"/>
          <w:szCs w:val="22"/>
        </w:rPr>
        <w:t xml:space="preserve">to award any contract pursuant to the tender process or </w:t>
      </w:r>
      <w:proofErr w:type="gramStart"/>
      <w:r w:rsidRPr="00D012EF">
        <w:rPr>
          <w:rFonts w:ascii="Verdana" w:hAnsi="Verdana"/>
          <w:color w:val="auto"/>
          <w:sz w:val="22"/>
          <w:szCs w:val="22"/>
        </w:rPr>
        <w:t>enter into</w:t>
      </w:r>
      <w:proofErr w:type="gramEnd"/>
      <w:r w:rsidRPr="00D012EF">
        <w:rPr>
          <w:rFonts w:ascii="Verdana" w:hAnsi="Verdana"/>
          <w:color w:val="auto"/>
          <w:sz w:val="22"/>
          <w:szCs w:val="22"/>
        </w:rPr>
        <w:t xml:space="preserve"> a contractual relationship with any provider of the service. Nothing in the documentation or in any other communications made between </w:t>
      </w:r>
      <w:r w:rsidR="001C6F29">
        <w:rPr>
          <w:rFonts w:ascii="Verdana" w:hAnsi="Verdana"/>
          <w:color w:val="auto"/>
          <w:sz w:val="22"/>
          <w:szCs w:val="22"/>
        </w:rPr>
        <w:t>PPC</w:t>
      </w:r>
      <w:r w:rsidRPr="00D012EF">
        <w:rPr>
          <w:rFonts w:ascii="Verdana" w:hAnsi="Verdana"/>
          <w:color w:val="auto"/>
          <w:sz w:val="22"/>
          <w:szCs w:val="22"/>
        </w:rPr>
        <w:t xml:space="preserve"> or its agents and any other party, or any part thereof, shall be taken as constituting a contract, </w:t>
      </w:r>
      <w:r w:rsidR="00A86BD5" w:rsidRPr="00D012EF">
        <w:rPr>
          <w:rFonts w:ascii="Verdana" w:hAnsi="Verdana"/>
          <w:color w:val="auto"/>
          <w:sz w:val="22"/>
          <w:szCs w:val="22"/>
        </w:rPr>
        <w:t>agreement,</w:t>
      </w:r>
      <w:r w:rsidRPr="00D012EF">
        <w:rPr>
          <w:rFonts w:ascii="Verdana" w:hAnsi="Verdana"/>
          <w:color w:val="auto"/>
          <w:sz w:val="22"/>
          <w:szCs w:val="22"/>
        </w:rPr>
        <w:t xml:space="preserve"> or representation between </w:t>
      </w:r>
      <w:r w:rsidR="001C6F29">
        <w:rPr>
          <w:rFonts w:ascii="Verdana" w:hAnsi="Verdana"/>
          <w:color w:val="auto"/>
          <w:sz w:val="22"/>
          <w:szCs w:val="22"/>
        </w:rPr>
        <w:t>PPC</w:t>
      </w:r>
      <w:r w:rsidRPr="00D012EF">
        <w:rPr>
          <w:rFonts w:ascii="Verdana" w:hAnsi="Verdana"/>
          <w:color w:val="auto"/>
          <w:sz w:val="22"/>
          <w:szCs w:val="22"/>
        </w:rPr>
        <w:t xml:space="preserve"> and any other party (save for a formal award of contract made in writing by </w:t>
      </w:r>
      <w:r w:rsidR="001C6F29">
        <w:rPr>
          <w:rFonts w:ascii="Verdana" w:hAnsi="Verdana"/>
          <w:color w:val="auto"/>
          <w:sz w:val="22"/>
          <w:szCs w:val="22"/>
        </w:rPr>
        <w:t>PPC</w:t>
      </w:r>
      <w:r w:rsidR="00FC0A24" w:rsidRPr="00D012EF">
        <w:rPr>
          <w:rFonts w:ascii="Verdana" w:hAnsi="Verdana"/>
          <w:color w:val="auto"/>
          <w:sz w:val="22"/>
          <w:szCs w:val="22"/>
        </w:rPr>
        <w:t xml:space="preserve"> </w:t>
      </w:r>
      <w:r w:rsidRPr="00D012EF">
        <w:rPr>
          <w:rFonts w:ascii="Verdana" w:hAnsi="Verdana"/>
          <w:color w:val="auto"/>
          <w:sz w:val="22"/>
          <w:szCs w:val="22"/>
        </w:rPr>
        <w:t xml:space="preserve">or on behalf of </w:t>
      </w:r>
      <w:r w:rsidR="001C6F29">
        <w:rPr>
          <w:rFonts w:ascii="Verdana" w:hAnsi="Verdana"/>
          <w:color w:val="auto"/>
          <w:sz w:val="22"/>
          <w:szCs w:val="22"/>
        </w:rPr>
        <w:t>PPC</w:t>
      </w:r>
      <w:r w:rsidRPr="00D012EF">
        <w:rPr>
          <w:rFonts w:ascii="Verdana" w:hAnsi="Verdana"/>
          <w:color w:val="auto"/>
          <w:sz w:val="22"/>
          <w:szCs w:val="22"/>
        </w:rPr>
        <w:t>).</w:t>
      </w:r>
    </w:p>
    <w:p w14:paraId="5FE722E3" w14:textId="77777777" w:rsidR="00F241D3" w:rsidRPr="00D012EF" w:rsidRDefault="00F241D3" w:rsidP="006268C8">
      <w:pPr>
        <w:pStyle w:val="Default"/>
        <w:spacing w:before="60" w:after="60"/>
        <w:ind w:left="459"/>
        <w:rPr>
          <w:rFonts w:ascii="Verdana" w:hAnsi="Verdana"/>
          <w:color w:val="auto"/>
          <w:sz w:val="22"/>
          <w:szCs w:val="22"/>
        </w:rPr>
      </w:pPr>
    </w:p>
    <w:p w14:paraId="4132511B" w14:textId="676840D0" w:rsidR="00F241D3" w:rsidRPr="00D012EF" w:rsidRDefault="00F241D3" w:rsidP="006268C8">
      <w:pPr>
        <w:pStyle w:val="Default"/>
        <w:spacing w:before="60" w:after="60"/>
        <w:rPr>
          <w:rFonts w:ascii="Verdana" w:hAnsi="Verdana"/>
          <w:color w:val="auto"/>
          <w:sz w:val="22"/>
          <w:szCs w:val="22"/>
        </w:rPr>
      </w:pPr>
      <w:r w:rsidRPr="00D012E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A86BD5">
        <w:rPr>
          <w:rFonts w:ascii="Verdana" w:hAnsi="Verdana"/>
          <w:color w:val="auto"/>
          <w:sz w:val="22"/>
          <w:szCs w:val="22"/>
        </w:rPr>
        <w:t>PPC,</w:t>
      </w:r>
      <w:r w:rsidRPr="00D012EF">
        <w:rPr>
          <w:rFonts w:ascii="Verdana" w:hAnsi="Verdana"/>
          <w:color w:val="auto"/>
          <w:sz w:val="22"/>
          <w:szCs w:val="22"/>
        </w:rPr>
        <w:t xml:space="preserve"> or any information contained in </w:t>
      </w:r>
      <w:r w:rsidR="001C6F29">
        <w:rPr>
          <w:rFonts w:ascii="Verdana" w:hAnsi="Verdana"/>
          <w:color w:val="auto"/>
          <w:sz w:val="22"/>
          <w:szCs w:val="22"/>
        </w:rPr>
        <w:t>PPC</w:t>
      </w:r>
      <w:r w:rsidRPr="00D012E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C6F29">
        <w:rPr>
          <w:rFonts w:ascii="Verdana" w:hAnsi="Verdana"/>
          <w:color w:val="auto"/>
          <w:sz w:val="22"/>
          <w:szCs w:val="22"/>
        </w:rPr>
        <w:t>PPC</w:t>
      </w:r>
      <w:r w:rsidRPr="00D012EF">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012EF" w:rsidRDefault="00F241D3" w:rsidP="006268C8">
      <w:pPr>
        <w:pStyle w:val="BodyText"/>
        <w:kinsoku w:val="0"/>
        <w:overflowPunct w:val="0"/>
        <w:spacing w:before="3"/>
        <w:ind w:left="0" w:firstLine="0"/>
      </w:pPr>
    </w:p>
    <w:p w14:paraId="371141ED" w14:textId="1904B940" w:rsidR="00F241D3" w:rsidRPr="00D012EF" w:rsidRDefault="001C6F29" w:rsidP="006268C8">
      <w:pPr>
        <w:pStyle w:val="Default"/>
        <w:spacing w:before="60" w:after="60"/>
        <w:rPr>
          <w:rFonts w:ascii="Verdana" w:hAnsi="Verdana"/>
          <w:color w:val="auto"/>
          <w:sz w:val="22"/>
          <w:szCs w:val="22"/>
        </w:rPr>
      </w:pPr>
      <w:r>
        <w:rPr>
          <w:rFonts w:ascii="Verdana" w:hAnsi="Verdana"/>
          <w:color w:val="auto"/>
          <w:sz w:val="22"/>
          <w:szCs w:val="22"/>
        </w:rPr>
        <w:t>PPC</w:t>
      </w:r>
      <w:r w:rsidR="00F241D3" w:rsidRPr="00D012EF">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012EF" w:rsidRDefault="00F241D3" w:rsidP="006268C8">
      <w:pPr>
        <w:pStyle w:val="BodyText"/>
        <w:kinsoku w:val="0"/>
        <w:overflowPunct w:val="0"/>
        <w:spacing w:before="6"/>
        <w:ind w:left="0" w:firstLine="0"/>
      </w:pPr>
    </w:p>
    <w:p w14:paraId="21B21F84" w14:textId="6AD2655E" w:rsidR="00F241D3" w:rsidRPr="00043839" w:rsidRDefault="00F241D3" w:rsidP="006268C8">
      <w:pPr>
        <w:pStyle w:val="Default"/>
        <w:spacing w:before="60" w:after="60"/>
        <w:rPr>
          <w:rFonts w:ascii="Verdana" w:hAnsi="Verdana"/>
          <w:color w:val="auto"/>
          <w:sz w:val="22"/>
          <w:szCs w:val="22"/>
        </w:rPr>
      </w:pPr>
      <w:r w:rsidRPr="00D012EF">
        <w:rPr>
          <w:rFonts w:ascii="Verdana" w:hAnsi="Verdana"/>
          <w:color w:val="auto"/>
          <w:sz w:val="22"/>
          <w:szCs w:val="22"/>
        </w:rPr>
        <w:t xml:space="preserve">Cancellation of the procurement process (at any time) under any circumstances will not render </w:t>
      </w:r>
      <w:r w:rsidR="001C6F29">
        <w:rPr>
          <w:rFonts w:ascii="Verdana" w:hAnsi="Verdana"/>
          <w:color w:val="auto"/>
          <w:sz w:val="22"/>
          <w:szCs w:val="22"/>
        </w:rPr>
        <w:t>PPC</w:t>
      </w:r>
      <w:r w:rsidRPr="00D012EF">
        <w:rPr>
          <w:rFonts w:ascii="Verdana" w:hAnsi="Verdana"/>
          <w:color w:val="auto"/>
          <w:sz w:val="22"/>
          <w:szCs w:val="22"/>
        </w:rPr>
        <w:t xml:space="preserve"> liable for a</w:t>
      </w:r>
      <w:r w:rsidRPr="00043839">
        <w:rPr>
          <w:rFonts w:ascii="Verdana" w:hAnsi="Verdana"/>
          <w:color w:val="auto"/>
          <w:sz w:val="22"/>
          <w:szCs w:val="22"/>
        </w:rPr>
        <w:t>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456F7369" w:rsidR="00F241D3"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5FAB5963" w14:textId="4B91076D" w:rsidR="00D012EF" w:rsidRDefault="00D012EF" w:rsidP="00D012EF"/>
    <w:p w14:paraId="15D6BFFC" w14:textId="66947A52" w:rsidR="00D012EF" w:rsidRPr="00D012EF" w:rsidRDefault="00D012EF" w:rsidP="00D012EF">
      <w:r>
        <w:rPr>
          <w:noProof/>
        </w:rPr>
        <w:drawing>
          <wp:inline distT="0" distB="0" distL="0" distR="0" wp14:anchorId="5C519669" wp14:editId="077675DE">
            <wp:extent cx="4071620" cy="2545080"/>
            <wp:effectExtent l="0" t="0" r="508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1620" cy="2545080"/>
                    </a:xfrm>
                    <a:prstGeom prst="rect">
                      <a:avLst/>
                    </a:prstGeom>
                    <a:noFill/>
                    <a:ln>
                      <a:noFill/>
                    </a:ln>
                  </pic:spPr>
                </pic:pic>
              </a:graphicData>
            </a:graphic>
          </wp:inline>
        </w:drawing>
      </w:r>
    </w:p>
    <w:p w14:paraId="64B37359" w14:textId="77777777" w:rsidR="00F241D3" w:rsidRPr="00421CBC" w:rsidRDefault="00F241D3" w:rsidP="006268C8">
      <w:pPr>
        <w:ind w:left="480"/>
        <w:rPr>
          <w:rFonts w:ascii="Verdana" w:hAnsi="Verdana"/>
          <w:color w:val="FF0000"/>
          <w:sz w:val="22"/>
          <w:szCs w:val="22"/>
        </w:rPr>
      </w:pPr>
    </w:p>
    <w:sectPr w:rsidR="00F241D3"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DCA0" w14:textId="77777777" w:rsidR="00CE1B60" w:rsidRDefault="00CE1B60">
      <w:r>
        <w:separator/>
      </w:r>
    </w:p>
  </w:endnote>
  <w:endnote w:type="continuationSeparator" w:id="0">
    <w:p w14:paraId="15420DD1" w14:textId="77777777" w:rsidR="00CE1B60" w:rsidRDefault="00CE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2F71" w14:textId="77777777" w:rsidR="00CE1B60" w:rsidRDefault="00CE1B60">
      <w:r>
        <w:separator/>
      </w:r>
    </w:p>
  </w:footnote>
  <w:footnote w:type="continuationSeparator" w:id="0">
    <w:p w14:paraId="018A94EE" w14:textId="77777777" w:rsidR="00CE1B60" w:rsidRDefault="00CE1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8502783">
              <wp:simplePos x="0" y="0"/>
              <wp:positionH relativeFrom="page">
                <wp:posOffset>0</wp:posOffset>
              </wp:positionH>
              <wp:positionV relativeFrom="page">
                <wp:posOffset>190500</wp:posOffset>
              </wp:positionV>
              <wp:extent cx="7564582" cy="261257"/>
              <wp:effectExtent l="0" t="0" r="0" b="5715"/>
              <wp:wrapNone/>
              <wp:docPr id="2" name="MSIPCMc651435d84568355c92120c3"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30505DC" w:rsidR="00E748A6" w:rsidRPr="00137C54" w:rsidRDefault="00137C54" w:rsidP="00137C54">
                          <w:pPr>
                            <w:jc w:val="right"/>
                            <w:rPr>
                              <w:rFonts w:ascii="Calibri" w:hAnsi="Calibri" w:cs="Calibri"/>
                              <w:color w:val="317100"/>
                              <w:sz w:val="20"/>
                            </w:rPr>
                          </w:pPr>
                          <w:r w:rsidRPr="00137C5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651435d84568355c92120c3"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30505DC" w:rsidR="00E748A6" w:rsidRPr="00137C54" w:rsidRDefault="00137C54" w:rsidP="00137C54">
                    <w:pPr>
                      <w:jc w:val="right"/>
                      <w:rPr>
                        <w:rFonts w:ascii="Calibri" w:hAnsi="Calibri" w:cs="Calibri"/>
                        <w:color w:val="317100"/>
                        <w:sz w:val="20"/>
                      </w:rPr>
                    </w:pPr>
                    <w:r w:rsidRPr="00137C5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C30DDB6">
              <wp:simplePos x="0" y="0"/>
              <wp:positionH relativeFrom="page">
                <wp:posOffset>0</wp:posOffset>
              </wp:positionH>
              <wp:positionV relativeFrom="page">
                <wp:posOffset>190500</wp:posOffset>
              </wp:positionV>
              <wp:extent cx="7564582" cy="261257"/>
              <wp:effectExtent l="0" t="0" r="0" b="5715"/>
              <wp:wrapNone/>
              <wp:docPr id="3" name="MSIPCM988f427c88765124354fcf1e"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47A416E9" w:rsidR="00E748A6" w:rsidRPr="00137C54" w:rsidRDefault="00137C54" w:rsidP="00137C54">
                          <w:pPr>
                            <w:jc w:val="right"/>
                            <w:rPr>
                              <w:rFonts w:ascii="Calibri" w:hAnsi="Calibri" w:cs="Calibri"/>
                              <w:color w:val="317100"/>
                              <w:sz w:val="20"/>
                            </w:rPr>
                          </w:pPr>
                          <w:r w:rsidRPr="00137C5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988f427c88765124354fcf1e"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47A416E9" w:rsidR="00E748A6" w:rsidRPr="00137C54" w:rsidRDefault="00137C54" w:rsidP="00137C54">
                    <w:pPr>
                      <w:jc w:val="right"/>
                      <w:rPr>
                        <w:rFonts w:ascii="Calibri" w:hAnsi="Calibri" w:cs="Calibri"/>
                        <w:color w:val="317100"/>
                        <w:sz w:val="20"/>
                      </w:rPr>
                    </w:pPr>
                    <w:r w:rsidRPr="00137C5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59BF4E76"/>
    <w:multiLevelType w:val="multilevel"/>
    <w:tmpl w:val="7B4A3112"/>
    <w:lvl w:ilvl="0">
      <w:start w:val="1"/>
      <w:numFmt w:val="decimal"/>
      <w:lvlText w:val="%1"/>
      <w:lvlJc w:val="left"/>
      <w:pPr>
        <w:ind w:left="720" w:hanging="720"/>
      </w:pPr>
      <w:rPr>
        <w:rFonts w:ascii="Open Sans" w:hAnsi="Open Sans" w:hint="default"/>
        <w:sz w:val="24"/>
      </w:rPr>
    </w:lvl>
    <w:lvl w:ilvl="1">
      <w:start w:val="1"/>
      <w:numFmt w:val="decimal"/>
      <w:lvlText w:val="%1.%2"/>
      <w:lvlJc w:val="left"/>
      <w:pPr>
        <w:ind w:left="720" w:hanging="720"/>
      </w:pPr>
      <w:rPr>
        <w:rFonts w:ascii="Open Sans" w:hAnsi="Open Sans" w:hint="default"/>
        <w:sz w:val="24"/>
      </w:rPr>
    </w:lvl>
    <w:lvl w:ilvl="2">
      <w:start w:val="1"/>
      <w:numFmt w:val="decimal"/>
      <w:lvlText w:val="%1.%2.%3"/>
      <w:lvlJc w:val="left"/>
      <w:pPr>
        <w:ind w:left="720" w:hanging="720"/>
      </w:pPr>
      <w:rPr>
        <w:rFonts w:ascii="Open Sans" w:hAnsi="Open Sans" w:hint="default"/>
        <w:sz w:val="24"/>
      </w:rPr>
    </w:lvl>
    <w:lvl w:ilvl="3">
      <w:start w:val="1"/>
      <w:numFmt w:val="decimal"/>
      <w:lvlText w:val="%1.%2.%3.%4"/>
      <w:lvlJc w:val="left"/>
      <w:pPr>
        <w:ind w:left="1080" w:hanging="1080"/>
      </w:pPr>
      <w:rPr>
        <w:rFonts w:ascii="Open Sans" w:hAnsi="Open Sans" w:hint="default"/>
        <w:sz w:val="24"/>
      </w:rPr>
    </w:lvl>
    <w:lvl w:ilvl="4">
      <w:start w:val="1"/>
      <w:numFmt w:val="decimal"/>
      <w:lvlText w:val="%1.%2.%3.%4.%5"/>
      <w:lvlJc w:val="left"/>
      <w:pPr>
        <w:ind w:left="1440" w:hanging="1440"/>
      </w:pPr>
      <w:rPr>
        <w:rFonts w:ascii="Open Sans" w:hAnsi="Open Sans" w:hint="default"/>
        <w:sz w:val="24"/>
      </w:rPr>
    </w:lvl>
    <w:lvl w:ilvl="5">
      <w:start w:val="1"/>
      <w:numFmt w:val="decimal"/>
      <w:lvlText w:val="%1.%2.%3.%4.%5.%6"/>
      <w:lvlJc w:val="left"/>
      <w:pPr>
        <w:ind w:left="1800" w:hanging="1800"/>
      </w:pPr>
      <w:rPr>
        <w:rFonts w:ascii="Open Sans" w:hAnsi="Open Sans" w:hint="default"/>
        <w:sz w:val="24"/>
      </w:rPr>
    </w:lvl>
    <w:lvl w:ilvl="6">
      <w:start w:val="1"/>
      <w:numFmt w:val="decimal"/>
      <w:lvlText w:val="%1.%2.%3.%4.%5.%6.%7"/>
      <w:lvlJc w:val="left"/>
      <w:pPr>
        <w:ind w:left="1800" w:hanging="1800"/>
      </w:pPr>
      <w:rPr>
        <w:rFonts w:ascii="Open Sans" w:hAnsi="Open Sans" w:hint="default"/>
        <w:sz w:val="24"/>
      </w:rPr>
    </w:lvl>
    <w:lvl w:ilvl="7">
      <w:start w:val="1"/>
      <w:numFmt w:val="decimal"/>
      <w:lvlText w:val="%1.%2.%3.%4.%5.%6.%7.%8"/>
      <w:lvlJc w:val="left"/>
      <w:pPr>
        <w:ind w:left="2160" w:hanging="2160"/>
      </w:pPr>
      <w:rPr>
        <w:rFonts w:ascii="Open Sans" w:hAnsi="Open Sans" w:hint="default"/>
        <w:sz w:val="24"/>
      </w:rPr>
    </w:lvl>
    <w:lvl w:ilvl="8">
      <w:start w:val="1"/>
      <w:numFmt w:val="decimal"/>
      <w:lvlText w:val="%1.%2.%3.%4.%5.%6.%7.%8.%9"/>
      <w:lvlJc w:val="left"/>
      <w:pPr>
        <w:ind w:left="2520" w:hanging="2520"/>
      </w:pPr>
      <w:rPr>
        <w:rFonts w:ascii="Open Sans" w:hAnsi="Open Sans" w:hint="default"/>
        <w:sz w:val="24"/>
      </w:rPr>
    </w:lvl>
  </w:abstractNum>
  <w:abstractNum w:abstractNumId="3" w15:restartNumberingAfterBreak="0">
    <w:nsid w:val="701F288C"/>
    <w:multiLevelType w:val="hybridMultilevel"/>
    <w:tmpl w:val="28F83F00"/>
    <w:lvl w:ilvl="0" w:tplc="83A0F3B6">
      <w:start w:val="1"/>
      <w:numFmt w:val="lowerLetter"/>
      <w:lvlText w:val="%1."/>
      <w:lvlJc w:val="left"/>
      <w:pPr>
        <w:ind w:left="1440" w:hanging="732"/>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204555452">
    <w:abstractNumId w:val="0"/>
  </w:num>
  <w:num w:numId="2" w16cid:durableId="946305247">
    <w:abstractNumId w:val="1"/>
  </w:num>
  <w:num w:numId="3" w16cid:durableId="1745254756">
    <w:abstractNumId w:val="2"/>
  </w:num>
  <w:num w:numId="4" w16cid:durableId="8055103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37C54"/>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C6F29"/>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020B"/>
    <w:rsid w:val="00291422"/>
    <w:rsid w:val="0029160B"/>
    <w:rsid w:val="002B0C66"/>
    <w:rsid w:val="002B0F2D"/>
    <w:rsid w:val="002B122F"/>
    <w:rsid w:val="002C26F7"/>
    <w:rsid w:val="002C31F8"/>
    <w:rsid w:val="002C6BD0"/>
    <w:rsid w:val="002C7133"/>
    <w:rsid w:val="002D4526"/>
    <w:rsid w:val="002D6446"/>
    <w:rsid w:val="002E0116"/>
    <w:rsid w:val="002E24C0"/>
    <w:rsid w:val="002E2791"/>
    <w:rsid w:val="002E6D6A"/>
    <w:rsid w:val="002F3B0F"/>
    <w:rsid w:val="002F60F5"/>
    <w:rsid w:val="00313767"/>
    <w:rsid w:val="0031501C"/>
    <w:rsid w:val="0031791A"/>
    <w:rsid w:val="00322D60"/>
    <w:rsid w:val="00323542"/>
    <w:rsid w:val="003301CA"/>
    <w:rsid w:val="003313CA"/>
    <w:rsid w:val="00331792"/>
    <w:rsid w:val="0033426E"/>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853"/>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1A9D"/>
    <w:rsid w:val="00534C07"/>
    <w:rsid w:val="00536BF5"/>
    <w:rsid w:val="005371B8"/>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6B51"/>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176EF"/>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43EE"/>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5D63"/>
    <w:rsid w:val="00743271"/>
    <w:rsid w:val="00743DA4"/>
    <w:rsid w:val="00743EC2"/>
    <w:rsid w:val="00746AD2"/>
    <w:rsid w:val="0075598D"/>
    <w:rsid w:val="007572E4"/>
    <w:rsid w:val="00760410"/>
    <w:rsid w:val="00760D82"/>
    <w:rsid w:val="0076168A"/>
    <w:rsid w:val="007658A3"/>
    <w:rsid w:val="00766204"/>
    <w:rsid w:val="00766801"/>
    <w:rsid w:val="00766A57"/>
    <w:rsid w:val="00773ACB"/>
    <w:rsid w:val="007767C0"/>
    <w:rsid w:val="007853FD"/>
    <w:rsid w:val="00785A4B"/>
    <w:rsid w:val="0078790B"/>
    <w:rsid w:val="007A2A6A"/>
    <w:rsid w:val="007A3D16"/>
    <w:rsid w:val="007A56B4"/>
    <w:rsid w:val="007B44AD"/>
    <w:rsid w:val="007B4BAB"/>
    <w:rsid w:val="007B7A75"/>
    <w:rsid w:val="007D5D25"/>
    <w:rsid w:val="007E5AB6"/>
    <w:rsid w:val="007F2CD3"/>
    <w:rsid w:val="007F3BC4"/>
    <w:rsid w:val="007F4672"/>
    <w:rsid w:val="0080188E"/>
    <w:rsid w:val="00801F87"/>
    <w:rsid w:val="008029AA"/>
    <w:rsid w:val="008048C0"/>
    <w:rsid w:val="008078F5"/>
    <w:rsid w:val="00814F56"/>
    <w:rsid w:val="00817701"/>
    <w:rsid w:val="008272E9"/>
    <w:rsid w:val="00830FA1"/>
    <w:rsid w:val="008313C2"/>
    <w:rsid w:val="008331AF"/>
    <w:rsid w:val="00837579"/>
    <w:rsid w:val="008501D2"/>
    <w:rsid w:val="00852919"/>
    <w:rsid w:val="0085707F"/>
    <w:rsid w:val="00857694"/>
    <w:rsid w:val="00867545"/>
    <w:rsid w:val="00867CC0"/>
    <w:rsid w:val="008705A1"/>
    <w:rsid w:val="00872705"/>
    <w:rsid w:val="00875D5C"/>
    <w:rsid w:val="00875D87"/>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94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86BD5"/>
    <w:rsid w:val="00A95003"/>
    <w:rsid w:val="00A9669B"/>
    <w:rsid w:val="00A96F67"/>
    <w:rsid w:val="00AB0B48"/>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2B4C"/>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A6E8B"/>
    <w:rsid w:val="00BB1F0A"/>
    <w:rsid w:val="00BB1F13"/>
    <w:rsid w:val="00BC0B63"/>
    <w:rsid w:val="00BC1E8F"/>
    <w:rsid w:val="00BC2AC2"/>
    <w:rsid w:val="00BC4212"/>
    <w:rsid w:val="00BC4A91"/>
    <w:rsid w:val="00BD4205"/>
    <w:rsid w:val="00BD4AF9"/>
    <w:rsid w:val="00BE3831"/>
    <w:rsid w:val="00BE4F15"/>
    <w:rsid w:val="00BF43D6"/>
    <w:rsid w:val="00C0326C"/>
    <w:rsid w:val="00C03382"/>
    <w:rsid w:val="00C066FF"/>
    <w:rsid w:val="00C13E14"/>
    <w:rsid w:val="00C14D33"/>
    <w:rsid w:val="00C152C6"/>
    <w:rsid w:val="00C154B9"/>
    <w:rsid w:val="00C15B5F"/>
    <w:rsid w:val="00C207DA"/>
    <w:rsid w:val="00C21622"/>
    <w:rsid w:val="00C25910"/>
    <w:rsid w:val="00C25F71"/>
    <w:rsid w:val="00C26AFC"/>
    <w:rsid w:val="00C277AE"/>
    <w:rsid w:val="00C30B0B"/>
    <w:rsid w:val="00C36B09"/>
    <w:rsid w:val="00C417D6"/>
    <w:rsid w:val="00C42274"/>
    <w:rsid w:val="00C45570"/>
    <w:rsid w:val="00C462E8"/>
    <w:rsid w:val="00C54F23"/>
    <w:rsid w:val="00C5786F"/>
    <w:rsid w:val="00C6103B"/>
    <w:rsid w:val="00C64390"/>
    <w:rsid w:val="00C64E58"/>
    <w:rsid w:val="00C74696"/>
    <w:rsid w:val="00C74832"/>
    <w:rsid w:val="00C85B3E"/>
    <w:rsid w:val="00C86104"/>
    <w:rsid w:val="00C861D1"/>
    <w:rsid w:val="00C87A34"/>
    <w:rsid w:val="00C9414E"/>
    <w:rsid w:val="00CA2C63"/>
    <w:rsid w:val="00CB06AD"/>
    <w:rsid w:val="00CB0724"/>
    <w:rsid w:val="00CB56A4"/>
    <w:rsid w:val="00CB5CE6"/>
    <w:rsid w:val="00CC0D05"/>
    <w:rsid w:val="00CC4189"/>
    <w:rsid w:val="00CC614C"/>
    <w:rsid w:val="00CC627B"/>
    <w:rsid w:val="00CD45D8"/>
    <w:rsid w:val="00CE1B60"/>
    <w:rsid w:val="00CF01F6"/>
    <w:rsid w:val="00CF0DA8"/>
    <w:rsid w:val="00CF4C27"/>
    <w:rsid w:val="00CF7180"/>
    <w:rsid w:val="00D012EF"/>
    <w:rsid w:val="00D01466"/>
    <w:rsid w:val="00D052AE"/>
    <w:rsid w:val="00D14557"/>
    <w:rsid w:val="00D1587D"/>
    <w:rsid w:val="00D22D2D"/>
    <w:rsid w:val="00D32946"/>
    <w:rsid w:val="00D3406C"/>
    <w:rsid w:val="00D42AEB"/>
    <w:rsid w:val="00D478B4"/>
    <w:rsid w:val="00D54855"/>
    <w:rsid w:val="00D574DF"/>
    <w:rsid w:val="00D6124E"/>
    <w:rsid w:val="00D62210"/>
    <w:rsid w:val="00D627EC"/>
    <w:rsid w:val="00D67611"/>
    <w:rsid w:val="00D70915"/>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682A"/>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C670B"/>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3D4853"/>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3D4853"/>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21193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nstewartppc@outloo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osgoodgrowth.com/wp-content/uploads/2023/06/UK-SPF-_-Branding-and-Publicity-V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michael webb</cp:lastModifiedBy>
  <cp:revision>19</cp:revision>
  <cp:lastPrinted>2018-03-09T12:39:00Z</cp:lastPrinted>
  <dcterms:created xsi:type="dcterms:W3CDTF">2023-09-21T12:52:00Z</dcterms:created>
  <dcterms:modified xsi:type="dcterms:W3CDTF">2023-09-21T13:19:00Z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2023-09-20T13:57:28Z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ae7669cd-0d3f-43a4-9150-63021ded3453</vt:lpwstr>
  </property>
  <property fmtid="{D5CDD505-2E9C-101B-9397-08002B2CF9AE}" pid="9" name="MSIP_Label_bee4c20f-5817-432f-84ac-80a373257ed1_ContentBits">
    <vt:lpwstr>1</vt:lpwstr>
  </property>
</Properties>
</file>