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A78B6" w14:textId="77777777" w:rsidR="00981584" w:rsidRDefault="00981584" w:rsidP="00981584">
      <w:pPr>
        <w:pStyle w:val="Title1"/>
      </w:pPr>
      <w:r>
        <w:t>NATIONAL INSTITUTE FOR HEALTH AND CARE EXCELLENCE</w:t>
      </w:r>
    </w:p>
    <w:p w14:paraId="3A6526C0" w14:textId="77777777" w:rsidR="0054284B" w:rsidRDefault="00981584" w:rsidP="00981584">
      <w:pPr>
        <w:pStyle w:val="Title2"/>
      </w:pPr>
      <w:r>
        <w:t xml:space="preserve">Invitation to tender for provision of services for </w:t>
      </w:r>
    </w:p>
    <w:p w14:paraId="4E759C62" w14:textId="76D0915A" w:rsidR="00981584" w:rsidRDefault="00981584" w:rsidP="00981584">
      <w:pPr>
        <w:pStyle w:val="Title2"/>
      </w:pPr>
      <w:r>
        <w:t xml:space="preserve">NICE Listens </w:t>
      </w:r>
    </w:p>
    <w:p w14:paraId="10FD3345" w14:textId="77777777" w:rsidR="00981584" w:rsidRDefault="00981584" w:rsidP="00981584">
      <w:pPr>
        <w:pStyle w:val="Title2"/>
      </w:pPr>
      <w:r>
        <w:t>Requirements Specification</w:t>
      </w:r>
    </w:p>
    <w:p w14:paraId="5CA4A579" w14:textId="7C638830" w:rsidR="00981584" w:rsidRDefault="00981584" w:rsidP="00981584">
      <w:pPr>
        <w:pStyle w:val="Numberedheading1"/>
      </w:pPr>
      <w:r w:rsidRPr="00981584">
        <w:t>Background</w:t>
      </w:r>
      <w:r>
        <w:t xml:space="preserve"> </w:t>
      </w:r>
    </w:p>
    <w:p w14:paraId="72E66C76" w14:textId="6081AB0E" w:rsidR="00454D14" w:rsidRDefault="00454D14" w:rsidP="002237B0">
      <w:pPr>
        <w:pStyle w:val="Numberedlevel2text"/>
        <w:rPr>
          <w:lang w:eastAsia="en-GB"/>
        </w:rPr>
      </w:pPr>
      <w:r>
        <w:t>The National Institute for Health and Care Excellence (NICE) is the independent organisation responsible for providing national guidance and advice on promoting high quality health, public health and social care.</w:t>
      </w:r>
      <w:r>
        <w:br/>
        <w:t>Our role is to improve outcomes for people using the NHS and other public health and social care services. We do this by:</w:t>
      </w:r>
    </w:p>
    <w:p w14:paraId="0CDBDC50" w14:textId="3EC564F2" w:rsidR="00454D14" w:rsidRDefault="00454D14" w:rsidP="002237B0">
      <w:pPr>
        <w:pStyle w:val="Bulletindent1last"/>
      </w:pPr>
      <w:r>
        <w:t>Producing evidence-based guidance and advice for health, public</w:t>
      </w:r>
      <w:r w:rsidR="004E6C6E">
        <w:t xml:space="preserve"> </w:t>
      </w:r>
      <w:proofErr w:type="gramStart"/>
      <w:r>
        <w:t>health</w:t>
      </w:r>
      <w:proofErr w:type="gramEnd"/>
      <w:r>
        <w:t xml:space="preserve"> and social care </w:t>
      </w:r>
      <w:r w:rsidR="003D425F">
        <w:t>practitioners.</w:t>
      </w:r>
    </w:p>
    <w:p w14:paraId="699F9CD6" w14:textId="65DC8340" w:rsidR="00454D14" w:rsidRDefault="00454D14" w:rsidP="002237B0">
      <w:pPr>
        <w:pStyle w:val="Bulletindent1last"/>
      </w:pPr>
      <w:r>
        <w:t xml:space="preserve">Developing quality standards and performance metrics for those providing and commissioning health, public </w:t>
      </w:r>
      <w:proofErr w:type="gramStart"/>
      <w:r>
        <w:t>health</w:t>
      </w:r>
      <w:proofErr w:type="gramEnd"/>
      <w:r>
        <w:t xml:space="preserve"> and social care services</w:t>
      </w:r>
      <w:r w:rsidR="003D425F">
        <w:t>.</w:t>
      </w:r>
    </w:p>
    <w:p w14:paraId="3B24DCCF" w14:textId="35BE688A" w:rsidR="00454D14" w:rsidRDefault="00454D14" w:rsidP="002237B0">
      <w:pPr>
        <w:pStyle w:val="Bulletindent1last"/>
      </w:pPr>
      <w:r>
        <w:t>Providing a range of information services for commissioners,</w:t>
      </w:r>
      <w:r w:rsidR="004E6C6E">
        <w:t xml:space="preserve"> </w:t>
      </w:r>
      <w:proofErr w:type="gramStart"/>
      <w:r>
        <w:t>practitioners</w:t>
      </w:r>
      <w:proofErr w:type="gramEnd"/>
      <w:r>
        <w:t xml:space="preserve"> and managers across the spectrum of health and social care.</w:t>
      </w:r>
    </w:p>
    <w:p w14:paraId="755D78ED" w14:textId="32EA7BC9" w:rsidR="00981584" w:rsidRDefault="00981584" w:rsidP="00981584">
      <w:pPr>
        <w:pStyle w:val="Numberedlevel2text"/>
      </w:pPr>
      <w:r>
        <w:t xml:space="preserve">NICE and its advisory bodies base their conclusions on the best available evidence but they also have to make judgements. These fall into two categories. Scientific value judgements are concerned with interpreting the significance and relevance of the totality of the available scientific, technical and clinical data.  Social value judgements take account of societal aspirations, preferences and ethical principles that ought to underpin the manner and extent of the care provided to NHS patients and users of social care services. </w:t>
      </w:r>
    </w:p>
    <w:p w14:paraId="1DF50141" w14:textId="331833BF" w:rsidR="00981584" w:rsidRDefault="00981584" w:rsidP="00981584">
      <w:pPr>
        <w:pStyle w:val="Numberedlevel2text"/>
      </w:pPr>
      <w:r>
        <w:lastRenderedPageBreak/>
        <w:t xml:space="preserve">The advisory groups who formulate the various forms of NICE guidance are well-qualified to make scientific judgements. </w:t>
      </w:r>
      <w:r w:rsidR="00207CFB">
        <w:rPr>
          <w:lang w:val="en-GB"/>
        </w:rPr>
        <w:t>H</w:t>
      </w:r>
      <w:proofErr w:type="spellStart"/>
      <w:r>
        <w:t>owever</w:t>
      </w:r>
      <w:proofErr w:type="spellEnd"/>
      <w:r>
        <w:t xml:space="preserve">, they have no </w:t>
      </w:r>
      <w:proofErr w:type="gramStart"/>
      <w:r>
        <w:t>particular legitimacy</w:t>
      </w:r>
      <w:proofErr w:type="gramEnd"/>
      <w:r>
        <w:t xml:space="preserve"> to impose their own social value judgements on the NHS or social care.  </w:t>
      </w:r>
    </w:p>
    <w:p w14:paraId="5B3DD67B" w14:textId="4285FE0E" w:rsidR="00981584" w:rsidRDefault="00981584" w:rsidP="00981584">
      <w:pPr>
        <w:pStyle w:val="Numberedlevel2text"/>
      </w:pPr>
      <w:r>
        <w:t xml:space="preserve">In the past the NICE Citizens Council provided a mechanism for in-depth, deliberative enquiry with a group of informed members of the public, to help inform the approach and judgements NICE takes.  Reports from the Citizens Council have been used to inform the NICE Principles and are reflected in our evaluation methods and decision frameworks. </w:t>
      </w:r>
    </w:p>
    <w:p w14:paraId="6E5A0B8A" w14:textId="7D0FC013" w:rsidR="00981584" w:rsidRDefault="00981584" w:rsidP="00981584">
      <w:pPr>
        <w:pStyle w:val="Numberedlevel2text"/>
      </w:pPr>
      <w:r>
        <w:t xml:space="preserve">NICE and the wider health and social care landscape are changing. In addition to the long-term impacts of COVID-19, transformative innovation is underway in healthcare services, technologies and regulatory science, and within NICE itself. These changes will throw up challenging moral, ethical and social value issues that NICE will need to address. </w:t>
      </w:r>
    </w:p>
    <w:p w14:paraId="0F79ABB1" w14:textId="2970267F" w:rsidR="00981584" w:rsidRPr="00981584" w:rsidRDefault="00981584" w:rsidP="00981584">
      <w:pPr>
        <w:pStyle w:val="Numberedlevel2text"/>
      </w:pPr>
      <w:r w:rsidRPr="00981584">
        <w:t xml:space="preserve">In light of these challenges, NICE is introducing a new process for deliberative public engagement: NICE Listens. Whilst performing a similar function to our previous Citizen Council, it will offer a more flexible format which can be tailored to different topics and timescales. It will complement our existing mechanisms for public engagement but be used to address particularly challenging topics. </w:t>
      </w:r>
    </w:p>
    <w:p w14:paraId="5875E9AC" w14:textId="46907637" w:rsidR="00981584" w:rsidRDefault="00981584" w:rsidP="00981584">
      <w:pPr>
        <w:pStyle w:val="Numberedlevel2text"/>
      </w:pPr>
      <w:r>
        <w:t xml:space="preserve">Each time a topic is identified by NICE as being suitable for NICE Listens a similar process will occur: </w:t>
      </w:r>
    </w:p>
    <w:p w14:paraId="3E9253B6" w14:textId="57BCA518" w:rsidR="00981584" w:rsidRDefault="00981584" w:rsidP="0066215B">
      <w:pPr>
        <w:pStyle w:val="Numberedlevel2text"/>
        <w:numPr>
          <w:ilvl w:val="2"/>
          <w:numId w:val="24"/>
        </w:numPr>
        <w:tabs>
          <w:tab w:val="clear" w:pos="1134"/>
          <w:tab w:val="num" w:pos="1701"/>
        </w:tabs>
        <w:ind w:left="1701" w:hanging="992"/>
      </w:pPr>
      <w:r>
        <w:t>A suitable independent external contractor will be selected (</w:t>
      </w:r>
      <w:r w:rsidR="00891E6A">
        <w:t>as per</w:t>
      </w:r>
      <w:r>
        <w:t xml:space="preserve"> NICE procurement processes) to support the recruitment for, set-up, facilitation and evaluation of a NICE Listens event. NICE staff will work with the successful contractor to design and develop the event. </w:t>
      </w:r>
    </w:p>
    <w:p w14:paraId="0EA239FF" w14:textId="054E6B62" w:rsidR="00981584" w:rsidRDefault="00981584" w:rsidP="0066215B">
      <w:pPr>
        <w:pStyle w:val="Numberedlevel2text"/>
        <w:numPr>
          <w:ilvl w:val="2"/>
          <w:numId w:val="24"/>
        </w:numPr>
        <w:tabs>
          <w:tab w:val="clear" w:pos="1134"/>
          <w:tab w:val="num" w:pos="1701"/>
        </w:tabs>
        <w:ind w:left="1701" w:hanging="992"/>
      </w:pPr>
      <w:r>
        <w:t xml:space="preserve">The contractor will recruit and support a representative sample of the public to attend </w:t>
      </w:r>
      <w:r w:rsidR="00CE6F44">
        <w:rPr>
          <w:lang w:val="en-GB"/>
        </w:rPr>
        <w:t>the</w:t>
      </w:r>
      <w:r>
        <w:t xml:space="preserve"> event.</w:t>
      </w:r>
      <w:r w:rsidR="003D425F">
        <w:rPr>
          <w:lang w:val="en-GB"/>
        </w:rPr>
        <w:t xml:space="preserve"> </w:t>
      </w:r>
      <w:r>
        <w:t xml:space="preserve">The size, format and duration of each event will vary depending on the topic. It is expected however, that participants will have the opportunity to hear, and cross-examine, </w:t>
      </w:r>
      <w:r>
        <w:lastRenderedPageBreak/>
        <w:t xml:space="preserve">expert speakers, review relevant case studies and vignettes, as well as engage in discussion and deliberation in both plenary and small group sessions to explore others' points of view, and consider trade-offs carefully. </w:t>
      </w:r>
      <w:r w:rsidR="003D425F">
        <w:rPr>
          <w:lang w:val="en-GB"/>
        </w:rPr>
        <w:t>The contractor will facilitate the event.</w:t>
      </w:r>
    </w:p>
    <w:p w14:paraId="0097AD0E" w14:textId="2A4FFCD9" w:rsidR="00981584" w:rsidRDefault="00981584" w:rsidP="0066215B">
      <w:pPr>
        <w:pStyle w:val="Numberedlevel2text"/>
        <w:numPr>
          <w:ilvl w:val="2"/>
          <w:numId w:val="24"/>
        </w:numPr>
        <w:tabs>
          <w:tab w:val="clear" w:pos="1134"/>
          <w:tab w:val="num" w:pos="1701"/>
        </w:tabs>
        <w:ind w:left="1701" w:hanging="992"/>
      </w:pPr>
      <w:r>
        <w:t>It is important to note that NICE does not expect the group to necessarily reach a consensus. Rather, it wishes to learn of the reasons behind the divergent conclusions that may be reached.</w:t>
      </w:r>
    </w:p>
    <w:p w14:paraId="55D69527" w14:textId="59A3E9B2" w:rsidR="00981584" w:rsidRDefault="00981584" w:rsidP="0066215B">
      <w:pPr>
        <w:pStyle w:val="Numberedlevel2text"/>
        <w:numPr>
          <w:ilvl w:val="2"/>
          <w:numId w:val="24"/>
        </w:numPr>
        <w:tabs>
          <w:tab w:val="clear" w:pos="1134"/>
          <w:tab w:val="num" w:pos="1701"/>
        </w:tabs>
        <w:ind w:left="1701" w:hanging="992"/>
      </w:pPr>
      <w:r>
        <w:t xml:space="preserve">To limit any possibility of NICE influencing the direction of the discussions or conclusions reached, NICE staff will not be involved in any facilitation of the event itself. </w:t>
      </w:r>
    </w:p>
    <w:p w14:paraId="2424D34F" w14:textId="0F585AE9" w:rsidR="00981584" w:rsidRPr="00981584" w:rsidRDefault="00981584" w:rsidP="0066215B">
      <w:pPr>
        <w:pStyle w:val="Numberedlevel2text"/>
        <w:numPr>
          <w:ilvl w:val="2"/>
          <w:numId w:val="24"/>
        </w:numPr>
        <w:tabs>
          <w:tab w:val="clear" w:pos="1134"/>
          <w:tab w:val="num" w:pos="1701"/>
        </w:tabs>
        <w:ind w:left="1701" w:hanging="992"/>
      </w:pPr>
      <w:r w:rsidRPr="00981584">
        <w:t xml:space="preserve">The successful contractor will feedback on the group’s conclusions via a written report. This will be presented to the Institute’s </w:t>
      </w:r>
      <w:r w:rsidR="003A647E">
        <w:rPr>
          <w:lang w:val="en-GB"/>
        </w:rPr>
        <w:t xml:space="preserve">Executive Team, </w:t>
      </w:r>
      <w:r w:rsidR="009C72EE">
        <w:rPr>
          <w:lang w:val="en-GB"/>
        </w:rPr>
        <w:t>B</w:t>
      </w:r>
      <w:proofErr w:type="spellStart"/>
      <w:r w:rsidRPr="00981584">
        <w:t>oard</w:t>
      </w:r>
      <w:proofErr w:type="spellEnd"/>
      <w:r w:rsidRPr="00981584">
        <w:t xml:space="preserve"> and published on the NICE website.  The findings will inform various aspects of NICE’s work.</w:t>
      </w:r>
    </w:p>
    <w:p w14:paraId="33CB5059" w14:textId="6FE0696E" w:rsidR="00981584" w:rsidRDefault="00981584" w:rsidP="00E63C4F">
      <w:pPr>
        <w:pStyle w:val="Numberedlevel2text"/>
      </w:pPr>
      <w:r>
        <w:t>It is envisaged that each NICE Listens topic will form a standalone event and that for each new topic a new recruitment process</w:t>
      </w:r>
      <w:r w:rsidR="003A66A7">
        <w:rPr>
          <w:lang w:val="en-GB"/>
        </w:rPr>
        <w:t xml:space="preserve"> for </w:t>
      </w:r>
      <w:r w:rsidR="00784752">
        <w:rPr>
          <w:lang w:val="en-GB"/>
        </w:rPr>
        <w:t xml:space="preserve">participants in </w:t>
      </w:r>
      <w:r w:rsidR="003A66A7">
        <w:rPr>
          <w:lang w:val="en-GB"/>
        </w:rPr>
        <w:t xml:space="preserve">NICE Listens </w:t>
      </w:r>
      <w:r>
        <w:t>will take place.</w:t>
      </w:r>
      <w:r w:rsidR="003A66A7">
        <w:rPr>
          <w:lang w:val="en-GB"/>
        </w:rPr>
        <w:t xml:space="preserve"> </w:t>
      </w:r>
    </w:p>
    <w:p w14:paraId="19D62739" w14:textId="244F848F" w:rsidR="00981584" w:rsidRDefault="00981584" w:rsidP="00E63C4F">
      <w:pPr>
        <w:pStyle w:val="Numberedheading1"/>
      </w:pPr>
      <w:r>
        <w:t>Selected Topic</w:t>
      </w:r>
    </w:p>
    <w:p w14:paraId="3C6F803D" w14:textId="6478CFB3" w:rsidR="001916BA" w:rsidRDefault="00981584" w:rsidP="005E006C">
      <w:pPr>
        <w:pStyle w:val="Numberedlevel2text"/>
      </w:pPr>
      <w:r>
        <w:t>Health inequalities</w:t>
      </w:r>
      <w:r w:rsidR="001F1DF3">
        <w:rPr>
          <w:lang w:val="en-GB"/>
        </w:rPr>
        <w:t>,</w:t>
      </w:r>
      <w:r>
        <w:t xml:space="preserve"> </w:t>
      </w:r>
      <w:r w:rsidR="00DE035F">
        <w:t>defined as avoidable and unfair difference</w:t>
      </w:r>
      <w:r w:rsidR="00DE035F">
        <w:rPr>
          <w:lang w:val="en-GB"/>
        </w:rPr>
        <w:t>s</w:t>
      </w:r>
      <w:r w:rsidR="00DE035F">
        <w:t xml:space="preserve"> in health status between groups of people</w:t>
      </w:r>
      <w:r w:rsidR="00CE6F44">
        <w:rPr>
          <w:lang w:val="en-GB"/>
        </w:rPr>
        <w:t>,</w:t>
      </w:r>
      <w:r w:rsidR="00DE035F">
        <w:t xml:space="preserve"> </w:t>
      </w:r>
      <w:r>
        <w:t xml:space="preserve">has been selected as the topic for the first NICE Listens event; this is for several reasons: </w:t>
      </w:r>
    </w:p>
    <w:p w14:paraId="427AA9B7" w14:textId="1542DE7F" w:rsidR="00DF7D63" w:rsidRPr="005E006C" w:rsidRDefault="00DF7D63" w:rsidP="00DF7D63">
      <w:pPr>
        <w:pStyle w:val="Numberedlevel2text"/>
        <w:numPr>
          <w:ilvl w:val="2"/>
          <w:numId w:val="24"/>
        </w:numPr>
        <w:tabs>
          <w:tab w:val="clear" w:pos="1134"/>
          <w:tab w:val="num" w:pos="1701"/>
        </w:tabs>
        <w:ind w:hanging="850"/>
      </w:pPr>
      <w:r>
        <w:rPr>
          <w:lang w:val="en-GB"/>
        </w:rPr>
        <w:t xml:space="preserve">The </w:t>
      </w:r>
      <w:r>
        <w:t xml:space="preserve">Health and Social Care act 2012 </w:t>
      </w:r>
      <w:r>
        <w:rPr>
          <w:lang w:val="en-GB"/>
        </w:rPr>
        <w:t xml:space="preserve">states that </w:t>
      </w:r>
      <w:r>
        <w:t>“policy makers and commissioners must ‘have regard to the need to reduce inequalities between the people of England with respect to the benefits that they can obtain from the health service”.</w:t>
      </w:r>
      <w:r>
        <w:rPr>
          <w:lang w:val="en-GB"/>
        </w:rPr>
        <w:t xml:space="preserve"> Despite this legislation, </w:t>
      </w:r>
      <w:r w:rsidR="00CE6F44">
        <w:t>health</w:t>
      </w:r>
      <w:r>
        <w:t xml:space="preserve"> inequalities have increas</w:t>
      </w:r>
      <w:r>
        <w:rPr>
          <w:lang w:val="en-GB"/>
        </w:rPr>
        <w:t>ed</w:t>
      </w:r>
      <w:r>
        <w:t xml:space="preserve"> over </w:t>
      </w:r>
      <w:r>
        <w:rPr>
          <w:lang w:val="en-GB"/>
        </w:rPr>
        <w:t>recent</w:t>
      </w:r>
      <w:r>
        <w:t xml:space="preserve"> years</w:t>
      </w:r>
      <w:r>
        <w:rPr>
          <w:lang w:val="en-GB"/>
        </w:rPr>
        <w:t>.</w:t>
      </w:r>
    </w:p>
    <w:p w14:paraId="79AC4AAE" w14:textId="40979F31" w:rsidR="001916BA" w:rsidRPr="005E006C" w:rsidRDefault="001F1DF3" w:rsidP="005E006C">
      <w:pPr>
        <w:pStyle w:val="Numberedlevel2text"/>
        <w:numPr>
          <w:ilvl w:val="2"/>
          <w:numId w:val="24"/>
        </w:numPr>
        <w:tabs>
          <w:tab w:val="clear" w:pos="1134"/>
          <w:tab w:val="num" w:pos="1701"/>
        </w:tabs>
        <w:ind w:hanging="850"/>
      </w:pPr>
      <w:r>
        <w:t xml:space="preserve">Reducing health inequalities is enshrined in </w:t>
      </w:r>
      <w:hyperlink r:id="rId8" w:history="1">
        <w:r w:rsidRPr="003D425F">
          <w:rPr>
            <w:rStyle w:val="Hyperlink"/>
          </w:rPr>
          <w:t>NICE’s principles</w:t>
        </w:r>
      </w:hyperlink>
      <w:r>
        <w:rPr>
          <w:lang w:val="en-GB"/>
        </w:rPr>
        <w:t xml:space="preserve"> and </w:t>
      </w:r>
      <w:r>
        <w:t xml:space="preserve">has been further expanded upon </w:t>
      </w:r>
      <w:r>
        <w:rPr>
          <w:lang w:val="en-GB"/>
        </w:rPr>
        <w:t xml:space="preserve">in </w:t>
      </w:r>
      <w:r>
        <w:t xml:space="preserve">the 2021 </w:t>
      </w:r>
      <w:hyperlink r:id="rId9" w:history="1">
        <w:r w:rsidRPr="00CE6F44">
          <w:rPr>
            <w:rStyle w:val="Hyperlink"/>
          </w:rPr>
          <w:t>NICE 5-year strategy</w:t>
        </w:r>
      </w:hyperlink>
      <w:r>
        <w:rPr>
          <w:lang w:val="en-GB"/>
        </w:rPr>
        <w:t>.</w:t>
      </w:r>
      <w:r w:rsidR="005E006C">
        <w:rPr>
          <w:lang w:val="en-GB"/>
        </w:rPr>
        <w:t xml:space="preserve"> However,</w:t>
      </w:r>
      <w:r w:rsidR="003D425F">
        <w:rPr>
          <w:lang w:val="en-GB"/>
        </w:rPr>
        <w:t xml:space="preserve"> </w:t>
      </w:r>
      <w:r w:rsidR="003D425F">
        <w:rPr>
          <w:lang w:val="en-GB"/>
        </w:rPr>
        <w:lastRenderedPageBreak/>
        <w:t>it</w:t>
      </w:r>
      <w:r w:rsidR="001916BA">
        <w:t xml:space="preserve"> has been 15 years since NICE </w:t>
      </w:r>
      <w:r w:rsidR="001916BA">
        <w:rPr>
          <w:lang w:val="en-GB"/>
        </w:rPr>
        <w:t xml:space="preserve">considered </w:t>
      </w:r>
      <w:r w:rsidR="001916BA">
        <w:t>health inequalities via the Citizen Council (</w:t>
      </w:r>
      <w:hyperlink r:id="rId10" w:history="1">
        <w:r w:rsidR="001916BA" w:rsidRPr="00CE6F44">
          <w:rPr>
            <w:rStyle w:val="Hyperlink"/>
          </w:rPr>
          <w:t>NICE Citizens Council report, 2006</w:t>
        </w:r>
      </w:hyperlink>
      <w:r w:rsidR="001916BA">
        <w:t xml:space="preserve">). </w:t>
      </w:r>
    </w:p>
    <w:p w14:paraId="3A933DA9" w14:textId="656403EF" w:rsidR="003A66A7" w:rsidRDefault="003A66A7" w:rsidP="00E63C4F">
      <w:pPr>
        <w:pStyle w:val="Numberedlevel2text"/>
        <w:numPr>
          <w:ilvl w:val="2"/>
          <w:numId w:val="24"/>
        </w:numPr>
        <w:tabs>
          <w:tab w:val="clear" w:pos="1134"/>
          <w:tab w:val="num" w:pos="1701"/>
        </w:tabs>
        <w:ind w:hanging="850"/>
      </w:pPr>
      <w:r>
        <w:rPr>
          <w:lang w:val="en-GB"/>
        </w:rPr>
        <w:t xml:space="preserve">In 2020 the UK government established the new </w:t>
      </w:r>
      <w:hyperlink r:id="rId11" w:history="1">
        <w:r w:rsidRPr="003A66A7">
          <w:rPr>
            <w:rStyle w:val="Hyperlink"/>
            <w:lang w:val="en-GB"/>
          </w:rPr>
          <w:t>Office for Health Promotion</w:t>
        </w:r>
      </w:hyperlink>
      <w:r>
        <w:rPr>
          <w:lang w:val="en-GB"/>
        </w:rPr>
        <w:t xml:space="preserve"> with the aim </w:t>
      </w:r>
      <w:r w:rsidRPr="003A66A7">
        <w:rPr>
          <w:lang w:val="en-GB"/>
        </w:rPr>
        <w:t>of improv</w:t>
      </w:r>
      <w:r>
        <w:rPr>
          <w:lang w:val="en-GB"/>
        </w:rPr>
        <w:t>ing</w:t>
      </w:r>
      <w:r w:rsidRPr="003A66A7">
        <w:rPr>
          <w:lang w:val="en-GB"/>
        </w:rPr>
        <w:t xml:space="preserve"> and </w:t>
      </w:r>
      <w:r>
        <w:rPr>
          <w:lang w:val="en-GB"/>
        </w:rPr>
        <w:t>‘</w:t>
      </w:r>
      <w:r w:rsidRPr="003A66A7">
        <w:rPr>
          <w:lang w:val="en-GB"/>
        </w:rPr>
        <w:t>level</w:t>
      </w:r>
      <w:r>
        <w:rPr>
          <w:lang w:val="en-GB"/>
        </w:rPr>
        <w:t>ling</w:t>
      </w:r>
      <w:r w:rsidRPr="003A66A7">
        <w:rPr>
          <w:lang w:val="en-GB"/>
        </w:rPr>
        <w:t xml:space="preserve"> up</w:t>
      </w:r>
      <w:r>
        <w:rPr>
          <w:lang w:val="en-GB"/>
        </w:rPr>
        <w:t>’</w:t>
      </w:r>
      <w:r w:rsidRPr="003A66A7">
        <w:rPr>
          <w:lang w:val="en-GB"/>
        </w:rPr>
        <w:t xml:space="preserve"> the health of the nation</w:t>
      </w:r>
      <w:r>
        <w:rPr>
          <w:lang w:val="en-GB"/>
        </w:rPr>
        <w:t>. This highlights the government’s desire to see an improvement in health for everybody</w:t>
      </w:r>
      <w:r w:rsidR="008F6FB4">
        <w:rPr>
          <w:lang w:val="en-GB"/>
        </w:rPr>
        <w:t xml:space="preserve">, though to achieve this there will be different requirements </w:t>
      </w:r>
      <w:r w:rsidR="00785A70">
        <w:rPr>
          <w:lang w:val="en-GB"/>
        </w:rPr>
        <w:t>and need for resource for different groups of people</w:t>
      </w:r>
      <w:r w:rsidR="008F6FB4">
        <w:rPr>
          <w:lang w:val="en-GB"/>
        </w:rPr>
        <w:t>.</w:t>
      </w:r>
    </w:p>
    <w:p w14:paraId="085840BF" w14:textId="005181B0" w:rsidR="00981584" w:rsidRDefault="00981584" w:rsidP="00E63C4F">
      <w:pPr>
        <w:pStyle w:val="Numberedlevel2text"/>
        <w:numPr>
          <w:ilvl w:val="2"/>
          <w:numId w:val="24"/>
        </w:numPr>
        <w:tabs>
          <w:tab w:val="clear" w:pos="1134"/>
          <w:tab w:val="num" w:pos="1701"/>
        </w:tabs>
        <w:ind w:hanging="850"/>
      </w:pPr>
      <w:r>
        <w:t xml:space="preserve">There </w:t>
      </w:r>
      <w:r w:rsidR="00784752">
        <w:rPr>
          <w:lang w:val="en-GB"/>
        </w:rPr>
        <w:t xml:space="preserve">can be </w:t>
      </w:r>
      <w:r>
        <w:t xml:space="preserve">a trade-off </w:t>
      </w:r>
      <w:r w:rsidR="00784752">
        <w:rPr>
          <w:lang w:val="en-GB"/>
        </w:rPr>
        <w:t xml:space="preserve">between </w:t>
      </w:r>
      <w:r>
        <w:t xml:space="preserve">maximising health gains for the </w:t>
      </w:r>
      <w:r w:rsidR="00784752">
        <w:rPr>
          <w:lang w:val="en-GB"/>
        </w:rPr>
        <w:t xml:space="preserve">whole </w:t>
      </w:r>
      <w:r>
        <w:t xml:space="preserve">population with equalising health gains across society and improving the health of the most disadvantaged. In addition, with limited resources there will be aspects of prioritisation, even within the health inequalities identified, both in terms of the of the groups affected, and the causes of the inequalities. </w:t>
      </w:r>
      <w:r w:rsidR="00DE035F">
        <w:rPr>
          <w:lang w:val="en-GB"/>
        </w:rPr>
        <w:t>These t</w:t>
      </w:r>
      <w:proofErr w:type="spellStart"/>
      <w:r>
        <w:t>rade</w:t>
      </w:r>
      <w:proofErr w:type="spellEnd"/>
      <w:r>
        <w:t xml:space="preserve">-off questions can be hard to understand, and </w:t>
      </w:r>
      <w:r w:rsidR="00DE035F">
        <w:rPr>
          <w:lang w:val="en-GB"/>
        </w:rPr>
        <w:t xml:space="preserve">research has shown that providing people with more </w:t>
      </w:r>
      <w:r>
        <w:t xml:space="preserve">background information and exposing </w:t>
      </w:r>
      <w:r w:rsidR="001916BA">
        <w:rPr>
          <w:lang w:val="en-GB"/>
        </w:rPr>
        <w:t xml:space="preserve">people </w:t>
      </w:r>
      <w:r>
        <w:t>to rival opinions</w:t>
      </w:r>
      <w:r w:rsidR="00DE035F">
        <w:rPr>
          <w:lang w:val="en-GB"/>
        </w:rPr>
        <w:t xml:space="preserve"> can change their response</w:t>
      </w:r>
      <w:r>
        <w:t>.</w:t>
      </w:r>
    </w:p>
    <w:p w14:paraId="12C1191C" w14:textId="62EFF68A" w:rsidR="00981584" w:rsidRDefault="00981584" w:rsidP="00E63C4F">
      <w:pPr>
        <w:pStyle w:val="Numberedlevel2text"/>
      </w:pPr>
      <w:r>
        <w:t>NICE wishes to use the NICE Listens process to address the following three questions related to health inequalities:</w:t>
      </w:r>
    </w:p>
    <w:p w14:paraId="14ED15A0" w14:textId="64BD3AB1" w:rsidR="00981584" w:rsidRPr="0066215B" w:rsidRDefault="00B87929" w:rsidP="0066215B">
      <w:pPr>
        <w:pStyle w:val="Numberedlevel2text"/>
        <w:numPr>
          <w:ilvl w:val="2"/>
          <w:numId w:val="24"/>
        </w:numPr>
        <w:tabs>
          <w:tab w:val="clear" w:pos="1134"/>
          <w:tab w:val="num" w:pos="1701"/>
        </w:tabs>
        <w:ind w:left="1701" w:hanging="708"/>
        <w:rPr>
          <w:b/>
          <w:bCs w:val="0"/>
        </w:rPr>
      </w:pPr>
      <w:r>
        <w:rPr>
          <w:b/>
          <w:bCs w:val="0"/>
          <w:lang w:val="en-GB"/>
        </w:rPr>
        <w:t>How</w:t>
      </w:r>
      <w:r w:rsidR="00981584" w:rsidRPr="0066215B">
        <w:rPr>
          <w:b/>
          <w:bCs w:val="0"/>
        </w:rPr>
        <w:t xml:space="preserve"> </w:t>
      </w:r>
      <w:r w:rsidR="00FC2CD5" w:rsidRPr="00FC2CD5">
        <w:rPr>
          <w:b/>
          <w:bCs w:val="0"/>
        </w:rPr>
        <w:t xml:space="preserve">would </w:t>
      </w:r>
      <w:r w:rsidR="002237B0" w:rsidRPr="00FC2CD5">
        <w:rPr>
          <w:b/>
          <w:bCs w:val="0"/>
        </w:rPr>
        <w:t xml:space="preserve">the public </w:t>
      </w:r>
      <w:r w:rsidR="00FC2CD5" w:rsidRPr="00FC2CD5">
        <w:rPr>
          <w:b/>
          <w:bCs w:val="0"/>
        </w:rPr>
        <w:t xml:space="preserve">like </w:t>
      </w:r>
      <w:r w:rsidR="00FC2CD5">
        <w:rPr>
          <w:b/>
          <w:bCs w:val="0"/>
          <w:lang w:val="en-GB"/>
        </w:rPr>
        <w:t>NICE</w:t>
      </w:r>
      <w:r w:rsidR="00FC2CD5" w:rsidRPr="00FC2CD5">
        <w:rPr>
          <w:b/>
          <w:bCs w:val="0"/>
        </w:rPr>
        <w:t xml:space="preserve"> to act</w:t>
      </w:r>
      <w:r w:rsidR="00FC2CD5">
        <w:rPr>
          <w:b/>
          <w:bCs w:val="0"/>
          <w:lang w:val="en-GB"/>
        </w:rPr>
        <w:t xml:space="preserve"> </w:t>
      </w:r>
      <w:proofErr w:type="gramStart"/>
      <w:r w:rsidR="00FC2CD5">
        <w:rPr>
          <w:b/>
          <w:bCs w:val="0"/>
          <w:lang w:val="en-GB"/>
        </w:rPr>
        <w:t>in regard to</w:t>
      </w:r>
      <w:proofErr w:type="gramEnd"/>
      <w:r w:rsidR="00981584" w:rsidRPr="0066215B">
        <w:rPr>
          <w:b/>
          <w:bCs w:val="0"/>
        </w:rPr>
        <w:t xml:space="preserve"> health inequalities?</w:t>
      </w:r>
    </w:p>
    <w:p w14:paraId="6663556B" w14:textId="5B57BBDF" w:rsidR="00981584" w:rsidRPr="0066215B" w:rsidRDefault="00981584" w:rsidP="0066215B">
      <w:pPr>
        <w:pStyle w:val="Numberedlevel2text"/>
        <w:numPr>
          <w:ilvl w:val="2"/>
          <w:numId w:val="24"/>
        </w:numPr>
        <w:tabs>
          <w:tab w:val="clear" w:pos="1134"/>
          <w:tab w:val="num" w:pos="1701"/>
        </w:tabs>
        <w:ind w:left="1701" w:hanging="708"/>
        <w:rPr>
          <w:b/>
          <w:bCs w:val="0"/>
        </w:rPr>
      </w:pPr>
      <w:r w:rsidRPr="0066215B">
        <w:rPr>
          <w:b/>
          <w:bCs w:val="0"/>
        </w:rPr>
        <w:t>What value do the public place on different types of health inequalities? Are some more important for NICE to consider than others?</w:t>
      </w:r>
    </w:p>
    <w:p w14:paraId="0BD0CFDA" w14:textId="4FCF2DC8" w:rsidR="00981584" w:rsidRPr="0066215B" w:rsidRDefault="00981584" w:rsidP="0066215B">
      <w:pPr>
        <w:pStyle w:val="Numberedlevel2text"/>
        <w:numPr>
          <w:ilvl w:val="2"/>
          <w:numId w:val="24"/>
        </w:numPr>
        <w:tabs>
          <w:tab w:val="clear" w:pos="1134"/>
          <w:tab w:val="num" w:pos="1701"/>
        </w:tabs>
        <w:ind w:left="1701" w:hanging="708"/>
        <w:rPr>
          <w:b/>
          <w:bCs w:val="0"/>
        </w:rPr>
      </w:pPr>
      <w:r w:rsidRPr="0066215B">
        <w:rPr>
          <w:b/>
          <w:bCs w:val="0"/>
        </w:rPr>
        <w:t>What other factors should inform committee deliberation when they are considering health inequalities?</w:t>
      </w:r>
    </w:p>
    <w:p w14:paraId="7F16C94C" w14:textId="02D94638" w:rsidR="008F6FB4" w:rsidRDefault="008F6FB4" w:rsidP="008F6FB4">
      <w:pPr>
        <w:pStyle w:val="Numberedlevel2text"/>
      </w:pPr>
      <w:r>
        <w:t xml:space="preserve">The wording and scope of the </w:t>
      </w:r>
      <w:r>
        <w:rPr>
          <w:lang w:val="en-GB"/>
        </w:rPr>
        <w:t xml:space="preserve">questions is open change and NICE expects to further define </w:t>
      </w:r>
      <w:r w:rsidR="00FC2CD5">
        <w:rPr>
          <w:lang w:val="en-GB"/>
        </w:rPr>
        <w:t xml:space="preserve">the questions </w:t>
      </w:r>
      <w:r>
        <w:rPr>
          <w:lang w:val="en-GB"/>
        </w:rPr>
        <w:t>with the successful contractor once they are appointed.</w:t>
      </w:r>
    </w:p>
    <w:p w14:paraId="64C299D6" w14:textId="3036DF02" w:rsidR="00981584" w:rsidRDefault="00981584" w:rsidP="00E63C4F">
      <w:pPr>
        <w:pStyle w:val="Numberedheading1"/>
      </w:pPr>
      <w:r>
        <w:lastRenderedPageBreak/>
        <w:t>Timelines</w:t>
      </w:r>
    </w:p>
    <w:p w14:paraId="18949710" w14:textId="700B0D2F" w:rsidR="00981584" w:rsidRDefault="00981584" w:rsidP="00E63C4F">
      <w:pPr>
        <w:pStyle w:val="Numberedlevel2text"/>
      </w:pPr>
      <w:r>
        <w:t xml:space="preserve">It is expected that the successful contractor will be commissioned by the </w:t>
      </w:r>
      <w:r w:rsidR="00E63C4F">
        <w:t xml:space="preserve">end of August 2021 </w:t>
      </w:r>
      <w:r>
        <w:t>(subject to no delays</w:t>
      </w:r>
      <w:r w:rsidR="00E63C4F">
        <w:t xml:space="preserve"> in the procurement process</w:t>
      </w:r>
      <w:r>
        <w:t>)</w:t>
      </w:r>
      <w:r w:rsidR="00E63C4F">
        <w:t>.</w:t>
      </w:r>
    </w:p>
    <w:p w14:paraId="1773FF01" w14:textId="7305C7B8" w:rsidR="00981584" w:rsidRDefault="00981584" w:rsidP="00E63C4F">
      <w:pPr>
        <w:pStyle w:val="Numberedlevel2text"/>
      </w:pPr>
      <w:r>
        <w:t>The NICE Listens Health Inequalities event shall be delivered in Autumn/Winter 2021 (likely early November 2021), with the report and results completed and available by the end of the year.</w:t>
      </w:r>
    </w:p>
    <w:p w14:paraId="580A9A0F" w14:textId="0BE6FA8A" w:rsidR="00981584" w:rsidRDefault="00981584" w:rsidP="00E63C4F">
      <w:pPr>
        <w:pStyle w:val="Numberedheading1"/>
      </w:pPr>
      <w:r>
        <w:t>Event Format</w:t>
      </w:r>
    </w:p>
    <w:p w14:paraId="29C52358" w14:textId="37263C14" w:rsidR="00981584" w:rsidRDefault="00981584" w:rsidP="00E63C4F">
      <w:pPr>
        <w:pStyle w:val="Numberedlevel2text"/>
      </w:pPr>
      <w:r>
        <w:t xml:space="preserve">While the planned timetable of relaxation of COVID-19 restrictions would allow such an event to take place indoors from Summer 2021, the guidance on social distancing is subject to review.  Therefore, we invite bidders to propose a suitable format,  which may be face-to-face, online or using a mixed methods approach, laying out how the approach will address and mitigate for potential COVID-19 restrictions including social distancing, if relevant. </w:t>
      </w:r>
    </w:p>
    <w:p w14:paraId="0AE99E0B" w14:textId="21F04551" w:rsidR="00981584" w:rsidRDefault="00981584" w:rsidP="00E63C4F">
      <w:pPr>
        <w:pStyle w:val="Numberedlevel2text"/>
      </w:pPr>
      <w:r>
        <w:t xml:space="preserve">We envisage that to cover all the topics required the event will need at least </w:t>
      </w:r>
      <w:r w:rsidR="003C5B3F">
        <w:rPr>
          <w:lang w:val="en-GB"/>
        </w:rPr>
        <w:t>two</w:t>
      </w:r>
      <w:r>
        <w:t xml:space="preserve"> day</w:t>
      </w:r>
      <w:r w:rsidR="003C5B3F">
        <w:rPr>
          <w:lang w:val="en-GB"/>
        </w:rPr>
        <w:t>s</w:t>
      </w:r>
      <w:r>
        <w:t xml:space="preserve"> (though this may be spread across several sessions). The number, length and timing (i.e. time between each session occurring) of sessions associated with this NICE Listens event must be clearly laid out in your tender. </w:t>
      </w:r>
    </w:p>
    <w:p w14:paraId="3F60D2E1" w14:textId="1165FC02" w:rsidR="00981584" w:rsidRDefault="00981584" w:rsidP="00E63C4F">
      <w:pPr>
        <w:pStyle w:val="Numberedlevel2text"/>
      </w:pPr>
      <w:r>
        <w:t xml:space="preserve">All methods should be justified and an explanation provided as to how the event will be made accessible and how engagement will be maintained across days (if applicable). </w:t>
      </w:r>
    </w:p>
    <w:p w14:paraId="0086D523" w14:textId="53C745C1" w:rsidR="00981584" w:rsidRDefault="00981584" w:rsidP="00E63C4F">
      <w:pPr>
        <w:pStyle w:val="Numberedheading1"/>
      </w:pPr>
      <w:r>
        <w:t>Duties of the contractor</w:t>
      </w:r>
    </w:p>
    <w:p w14:paraId="4FAB598F" w14:textId="77777777" w:rsidR="00981584" w:rsidRDefault="00981584" w:rsidP="00E63C4F">
      <w:pPr>
        <w:pStyle w:val="Numberedheading2"/>
      </w:pPr>
      <w:r>
        <w:tab/>
        <w:t>Recruiting a representative sample of the English population</w:t>
      </w:r>
    </w:p>
    <w:p w14:paraId="1620BA10" w14:textId="4BEECB82" w:rsidR="00E63C4F" w:rsidRDefault="00E63C4F" w:rsidP="00E63C4F">
      <w:pPr>
        <w:pStyle w:val="Numberedlevel2text"/>
      </w:pPr>
      <w:r>
        <w:rPr>
          <w:lang w:val="en-GB"/>
        </w:rPr>
        <w:t>The successful contractor sh</w:t>
      </w:r>
      <w:r w:rsidR="00A95604">
        <w:rPr>
          <w:lang w:val="en-GB"/>
        </w:rPr>
        <w:t>all</w:t>
      </w:r>
      <w:r>
        <w:rPr>
          <w:lang w:val="en-GB"/>
        </w:rPr>
        <w:t xml:space="preserve"> recruit a group of </w:t>
      </w:r>
      <w:r w:rsidR="00AF6D6A">
        <w:rPr>
          <w:lang w:val="en-GB"/>
        </w:rPr>
        <w:t xml:space="preserve">people to take part in the event. The group should be </w:t>
      </w:r>
      <w:r>
        <w:rPr>
          <w:lang w:val="en-GB"/>
        </w:rPr>
        <w:t xml:space="preserve">from the </w:t>
      </w:r>
      <w:proofErr w:type="gramStart"/>
      <w:r>
        <w:rPr>
          <w:lang w:val="en-GB"/>
        </w:rPr>
        <w:t>general public</w:t>
      </w:r>
      <w:proofErr w:type="gramEnd"/>
      <w:r w:rsidRPr="00E63C4F">
        <w:t xml:space="preserve"> </w:t>
      </w:r>
      <w:r w:rsidR="00AF6D6A">
        <w:rPr>
          <w:lang w:val="en-GB"/>
        </w:rPr>
        <w:t xml:space="preserve">and be </w:t>
      </w:r>
      <w:r w:rsidR="00A95604">
        <w:rPr>
          <w:lang w:val="en-GB"/>
        </w:rPr>
        <w:t xml:space="preserve">representative of the adult population of England </w:t>
      </w:r>
      <w:r w:rsidR="00A95604">
        <w:t>(those aged 18+)</w:t>
      </w:r>
      <w:r w:rsidR="00A95604">
        <w:rPr>
          <w:lang w:val="en-GB"/>
        </w:rPr>
        <w:t>.</w:t>
      </w:r>
      <w:r>
        <w:t xml:space="preserve"> </w:t>
      </w:r>
      <w:r w:rsidR="00A95604" w:rsidRPr="00A95604">
        <w:rPr>
          <w:lang w:val="en-GB"/>
        </w:rPr>
        <w:t>Please note th</w:t>
      </w:r>
      <w:r w:rsidR="001475C1">
        <w:rPr>
          <w:lang w:val="en-GB"/>
        </w:rPr>
        <w:t xml:space="preserve">at </w:t>
      </w:r>
      <w:r w:rsidR="00A95604" w:rsidRPr="00A95604">
        <w:rPr>
          <w:lang w:val="en-GB"/>
        </w:rPr>
        <w:t xml:space="preserve">Scotland, </w:t>
      </w:r>
      <w:proofErr w:type="gramStart"/>
      <w:r w:rsidR="00A95604" w:rsidRPr="00A95604">
        <w:rPr>
          <w:lang w:val="en-GB"/>
        </w:rPr>
        <w:t>Wales</w:t>
      </w:r>
      <w:proofErr w:type="gramEnd"/>
      <w:r w:rsidR="00A95604" w:rsidRPr="00A95604">
        <w:rPr>
          <w:lang w:val="en-GB"/>
        </w:rPr>
        <w:t xml:space="preserve"> and Northern Ireland are not part of the scope of this</w:t>
      </w:r>
      <w:r w:rsidR="00AF6D6A">
        <w:rPr>
          <w:lang w:val="en-GB"/>
        </w:rPr>
        <w:t xml:space="preserve"> </w:t>
      </w:r>
      <w:r w:rsidR="00AF6D6A">
        <w:rPr>
          <w:lang w:val="en-GB"/>
        </w:rPr>
        <w:lastRenderedPageBreak/>
        <w:t>topic</w:t>
      </w:r>
      <w:r w:rsidR="00A95604" w:rsidRPr="00A95604">
        <w:rPr>
          <w:lang w:val="en-GB"/>
        </w:rPr>
        <w:t>, though this may be subject to change for future NICE Listens projects</w:t>
      </w:r>
      <w:r w:rsidR="001475C1">
        <w:rPr>
          <w:lang w:val="en-GB"/>
        </w:rPr>
        <w:t>.</w:t>
      </w:r>
    </w:p>
    <w:p w14:paraId="2F1D7667" w14:textId="42D6AEC6" w:rsidR="00A95604" w:rsidRDefault="00981584" w:rsidP="00A95604">
      <w:pPr>
        <w:pStyle w:val="Numberedlevel2text"/>
      </w:pPr>
      <w:r>
        <w:t xml:space="preserve">Given the nature of the topic, it will be vital to have a sample that can cover the breadth of the issues regarding health inequalities and is representative of the groups and communities that are most affected by health inequalities. </w:t>
      </w:r>
      <w:r w:rsidR="00A95604">
        <w:rPr>
          <w:lang w:val="en-GB"/>
        </w:rPr>
        <w:t>A</w:t>
      </w:r>
      <w:proofErr w:type="spellStart"/>
      <w:r w:rsidR="00A95604">
        <w:t>ge</w:t>
      </w:r>
      <w:proofErr w:type="spellEnd"/>
      <w:r w:rsidR="00A95604">
        <w:t xml:space="preserve"> range, </w:t>
      </w:r>
      <w:r w:rsidR="00A95604">
        <w:rPr>
          <w:lang w:val="en-GB"/>
        </w:rPr>
        <w:t xml:space="preserve">sex and </w:t>
      </w:r>
      <w:r w:rsidR="00A95604">
        <w:t>gender, socio-economic status, disability status,</w:t>
      </w:r>
      <w:r w:rsidR="00A95604">
        <w:rPr>
          <w:lang w:val="en-GB"/>
        </w:rPr>
        <w:t xml:space="preserve"> sexual orientation, </w:t>
      </w:r>
      <w:r w:rsidR="00A95604">
        <w:t xml:space="preserve">geographical </w:t>
      </w:r>
      <w:proofErr w:type="gramStart"/>
      <w:r w:rsidR="00A95604">
        <w:t>location</w:t>
      </w:r>
      <w:proofErr w:type="gramEnd"/>
      <w:r w:rsidR="00A95604">
        <w:t xml:space="preserve"> and ethnicity </w:t>
      </w:r>
      <w:r w:rsidR="00A95604">
        <w:rPr>
          <w:lang w:val="en-GB"/>
        </w:rPr>
        <w:t xml:space="preserve">should all be </w:t>
      </w:r>
      <w:r w:rsidR="00B87929">
        <w:rPr>
          <w:lang w:val="en-GB"/>
        </w:rPr>
        <w:t>considered</w:t>
      </w:r>
      <w:r w:rsidR="001475C1">
        <w:rPr>
          <w:lang w:val="en-GB"/>
        </w:rPr>
        <w:t xml:space="preserve"> when recruiting</w:t>
      </w:r>
      <w:r w:rsidR="00A95604">
        <w:t>.</w:t>
      </w:r>
    </w:p>
    <w:p w14:paraId="061452EF" w14:textId="174BC85B" w:rsidR="00A95604" w:rsidRDefault="00A95604" w:rsidP="00A95604">
      <w:pPr>
        <w:pStyle w:val="Numberedlevel2text"/>
      </w:pPr>
      <w:r>
        <w:rPr>
          <w:lang w:val="en-GB"/>
        </w:rPr>
        <w:t xml:space="preserve">The relevant information to recruit a representative sample for the NICE Listens event </w:t>
      </w:r>
      <w:r w:rsidR="008F6FB4">
        <w:rPr>
          <w:lang w:val="en-GB"/>
        </w:rPr>
        <w:t>sha</w:t>
      </w:r>
      <w:r>
        <w:rPr>
          <w:lang w:val="en-GB"/>
        </w:rPr>
        <w:t>ll be collected, stored</w:t>
      </w:r>
      <w:r w:rsidR="001475C1">
        <w:rPr>
          <w:lang w:val="en-GB"/>
        </w:rPr>
        <w:t>,</w:t>
      </w:r>
      <w:r>
        <w:rPr>
          <w:lang w:val="en-GB"/>
        </w:rPr>
        <w:t xml:space="preserve"> and processed by the successful contractor and it will be their dut</w:t>
      </w:r>
      <w:r w:rsidR="001475C1">
        <w:rPr>
          <w:lang w:val="en-GB"/>
        </w:rPr>
        <w:t>y</w:t>
      </w:r>
      <w:r>
        <w:rPr>
          <w:lang w:val="en-GB"/>
        </w:rPr>
        <w:t xml:space="preserve"> to ensure this is done </w:t>
      </w:r>
      <w:r>
        <w:t>according to relevant data protection laws including the General Data Protection Regulation</w:t>
      </w:r>
      <w:r w:rsidR="005100BA">
        <w:rPr>
          <w:lang w:val="en-GB"/>
        </w:rPr>
        <w:t>s</w:t>
      </w:r>
      <w:r>
        <w:t>.</w:t>
      </w:r>
    </w:p>
    <w:p w14:paraId="7B97A57A" w14:textId="0C3F20E9" w:rsidR="00981584" w:rsidRDefault="00981584" w:rsidP="00A95604">
      <w:pPr>
        <w:pStyle w:val="Numberedlevel2text"/>
      </w:pPr>
      <w:r>
        <w:t>Best practice recruitment methods for high quality deliberative engagement sh</w:t>
      </w:r>
      <w:r w:rsidR="008F6FB4">
        <w:rPr>
          <w:lang w:val="en-GB"/>
        </w:rPr>
        <w:t>all</w:t>
      </w:r>
      <w:r>
        <w:t xml:space="preserve"> be employed to ensure that such a sample can be recruited.</w:t>
      </w:r>
    </w:p>
    <w:p w14:paraId="34F59115" w14:textId="539D82F6" w:rsidR="00981584" w:rsidRDefault="00E63C4F" w:rsidP="00E63C4F">
      <w:pPr>
        <w:pStyle w:val="Numberedlevel2text"/>
      </w:pPr>
      <w:proofErr w:type="spellStart"/>
      <w:r>
        <w:rPr>
          <w:lang w:val="en-GB"/>
        </w:rPr>
        <w:t>T</w:t>
      </w:r>
      <w:r w:rsidR="00981584">
        <w:t>he</w:t>
      </w:r>
      <w:proofErr w:type="spellEnd"/>
      <w:r w:rsidR="00981584">
        <w:t xml:space="preserve"> group size</w:t>
      </w:r>
      <w:r>
        <w:rPr>
          <w:lang w:val="en-GB"/>
        </w:rPr>
        <w:t xml:space="preserve"> </w:t>
      </w:r>
      <w:r w:rsidR="005100BA">
        <w:rPr>
          <w:lang w:val="en-GB"/>
        </w:rPr>
        <w:t xml:space="preserve">shall </w:t>
      </w:r>
      <w:r>
        <w:rPr>
          <w:lang w:val="en-GB"/>
        </w:rPr>
        <w:t>be tailored</w:t>
      </w:r>
      <w:r w:rsidR="00981584">
        <w:t xml:space="preserve"> to the </w:t>
      </w:r>
      <w:r w:rsidR="000C08C1">
        <w:rPr>
          <w:lang w:val="en-GB"/>
        </w:rPr>
        <w:t xml:space="preserve">needs of the </w:t>
      </w:r>
      <w:r w:rsidR="00981584">
        <w:t xml:space="preserve">topic. As a guide, this is likely to be a minimum group size of 24, in line with the smaller past Citizens Council meetings. </w:t>
      </w:r>
      <w:r>
        <w:rPr>
          <w:lang w:val="en-GB"/>
        </w:rPr>
        <w:t>U</w:t>
      </w:r>
      <w:r w:rsidR="00981584">
        <w:t>s</w:t>
      </w:r>
      <w:r>
        <w:rPr>
          <w:lang w:val="en-GB"/>
        </w:rPr>
        <w:t>e of</w:t>
      </w:r>
      <w:r w:rsidR="00981584">
        <w:t xml:space="preserve"> larger groups (a maximum of 45 people) for high-profile topics that may have a substantial impact on NICE</w:t>
      </w:r>
      <w:r>
        <w:rPr>
          <w:lang w:val="en-GB"/>
        </w:rPr>
        <w:t xml:space="preserve">, </w:t>
      </w:r>
      <w:r w:rsidR="00785A70">
        <w:rPr>
          <w:lang w:val="en-GB"/>
        </w:rPr>
        <w:t xml:space="preserve">may </w:t>
      </w:r>
      <w:r>
        <w:rPr>
          <w:lang w:val="en-GB"/>
        </w:rPr>
        <w:t>be considered</w:t>
      </w:r>
      <w:r w:rsidR="00981584">
        <w:t>.  Please state and justify the proposed group size you think is suitable in your bid.</w:t>
      </w:r>
    </w:p>
    <w:p w14:paraId="5D348554" w14:textId="7C073689" w:rsidR="00981584" w:rsidRDefault="00981584" w:rsidP="00A95604">
      <w:pPr>
        <w:pStyle w:val="Numberedlevel2text"/>
      </w:pPr>
      <w:r>
        <w:t>T</w:t>
      </w:r>
      <w:r w:rsidR="00A95604">
        <w:rPr>
          <w:lang w:val="en-GB"/>
        </w:rPr>
        <w:t>he successful contractor will</w:t>
      </w:r>
      <w:r>
        <w:t xml:space="preserve"> </w:t>
      </w:r>
      <w:r w:rsidR="00A95604">
        <w:rPr>
          <w:lang w:val="en-GB"/>
        </w:rPr>
        <w:t xml:space="preserve"> be responsible for </w:t>
      </w:r>
      <w:r>
        <w:t>support</w:t>
      </w:r>
      <w:r w:rsidR="00A95604">
        <w:rPr>
          <w:lang w:val="en-GB"/>
        </w:rPr>
        <w:t>ing</w:t>
      </w:r>
      <w:r>
        <w:t xml:space="preserve"> and answer</w:t>
      </w:r>
      <w:r w:rsidR="00A95604">
        <w:rPr>
          <w:lang w:val="en-GB"/>
        </w:rPr>
        <w:t>ing</w:t>
      </w:r>
      <w:r>
        <w:t xml:space="preserve"> any queries from those recruited</w:t>
      </w:r>
      <w:r w:rsidR="00A95604">
        <w:rPr>
          <w:lang w:val="en-GB"/>
        </w:rPr>
        <w:t>.</w:t>
      </w:r>
    </w:p>
    <w:p w14:paraId="6B1D5DF1" w14:textId="5A39CCEF" w:rsidR="00981584" w:rsidRDefault="00981584" w:rsidP="00A95604">
      <w:pPr>
        <w:pStyle w:val="Numberedheading2"/>
      </w:pPr>
      <w:r>
        <w:t>Before the event</w:t>
      </w:r>
    </w:p>
    <w:p w14:paraId="60A9D598" w14:textId="50B35FA8" w:rsidR="00981584" w:rsidRDefault="00981584" w:rsidP="007F5908">
      <w:pPr>
        <w:pStyle w:val="Numberedlevel2text"/>
      </w:pPr>
      <w:r>
        <w:t>Working closely with NICE staff, to actively participate in the process of designing the event including:</w:t>
      </w:r>
    </w:p>
    <w:p w14:paraId="6E74098C" w14:textId="61584228" w:rsidR="00981584" w:rsidRDefault="00981584" w:rsidP="0066215B">
      <w:pPr>
        <w:pStyle w:val="Numberedlevel2text"/>
        <w:numPr>
          <w:ilvl w:val="2"/>
          <w:numId w:val="24"/>
        </w:numPr>
        <w:tabs>
          <w:tab w:val="clear" w:pos="1134"/>
          <w:tab w:val="num" w:pos="1701"/>
        </w:tabs>
        <w:ind w:left="1701" w:hanging="850"/>
      </w:pPr>
      <w:r>
        <w:t>Attending preparatory meetings online or via the telephone with NICE staff</w:t>
      </w:r>
      <w:r w:rsidR="007E571D">
        <w:rPr>
          <w:lang w:val="en-GB"/>
        </w:rPr>
        <w:t>;</w:t>
      </w:r>
    </w:p>
    <w:p w14:paraId="749F3E30" w14:textId="047F1F15" w:rsidR="00981584" w:rsidRPr="00CE6F44" w:rsidRDefault="00981584" w:rsidP="0066215B">
      <w:pPr>
        <w:pStyle w:val="Numberedlevel2text"/>
        <w:numPr>
          <w:ilvl w:val="2"/>
          <w:numId w:val="24"/>
        </w:numPr>
        <w:tabs>
          <w:tab w:val="clear" w:pos="1134"/>
          <w:tab w:val="num" w:pos="1701"/>
        </w:tabs>
        <w:ind w:left="1701" w:hanging="850"/>
      </w:pPr>
      <w:r>
        <w:lastRenderedPageBreak/>
        <w:t>Gaining a detailed understanding of NICE’s topic and questions through discussion with experts within NICE</w:t>
      </w:r>
      <w:r w:rsidR="007E571D">
        <w:rPr>
          <w:lang w:val="en-GB"/>
        </w:rPr>
        <w:t>;</w:t>
      </w:r>
    </w:p>
    <w:p w14:paraId="1BD822B3" w14:textId="39D62E60" w:rsidR="000C66F6" w:rsidRDefault="000C66F6" w:rsidP="0066215B">
      <w:pPr>
        <w:pStyle w:val="Numberedlevel2text"/>
        <w:numPr>
          <w:ilvl w:val="2"/>
          <w:numId w:val="24"/>
        </w:numPr>
        <w:tabs>
          <w:tab w:val="clear" w:pos="1134"/>
          <w:tab w:val="num" w:pos="1701"/>
        </w:tabs>
        <w:ind w:left="1701" w:hanging="850"/>
      </w:pPr>
      <w:r>
        <w:rPr>
          <w:lang w:val="en-GB"/>
        </w:rPr>
        <w:t xml:space="preserve">Work with NICE to support the process of </w:t>
      </w:r>
      <w:r w:rsidR="00490625">
        <w:rPr>
          <w:lang w:val="en-GB"/>
        </w:rPr>
        <w:t xml:space="preserve">scoping and refining the questions to be discussed during NICE </w:t>
      </w:r>
      <w:proofErr w:type="gramStart"/>
      <w:r w:rsidR="00490625">
        <w:rPr>
          <w:lang w:val="en-GB"/>
        </w:rPr>
        <w:t>Listens</w:t>
      </w:r>
      <w:r w:rsidR="001475C1">
        <w:rPr>
          <w:lang w:val="en-GB"/>
        </w:rPr>
        <w:t>;</w:t>
      </w:r>
      <w:proofErr w:type="gramEnd"/>
      <w:r w:rsidR="00490625">
        <w:rPr>
          <w:lang w:val="en-GB"/>
        </w:rPr>
        <w:t xml:space="preserve"> </w:t>
      </w:r>
    </w:p>
    <w:p w14:paraId="1C219ADF" w14:textId="5151F70A" w:rsidR="00981584" w:rsidRDefault="00981584" w:rsidP="0066215B">
      <w:pPr>
        <w:pStyle w:val="Numberedlevel2text"/>
        <w:numPr>
          <w:ilvl w:val="2"/>
          <w:numId w:val="24"/>
        </w:numPr>
        <w:tabs>
          <w:tab w:val="clear" w:pos="1134"/>
          <w:tab w:val="num" w:pos="1701"/>
        </w:tabs>
        <w:ind w:left="1701" w:hanging="850"/>
      </w:pPr>
      <w:r>
        <w:t>Work with NICE to design a stimulating and discursive agenda and overall format for the NICE Listens event. The event sh</w:t>
      </w:r>
      <w:r w:rsidR="00785A70">
        <w:t xml:space="preserve">all </w:t>
      </w:r>
      <w:r>
        <w:t>be designed to ensure presentations and deliberative activities take place in a logical sequence</w:t>
      </w:r>
      <w:r w:rsidR="007F5908">
        <w:t>,</w:t>
      </w:r>
      <w:r w:rsidR="00785A70">
        <w:t xml:space="preserve"> </w:t>
      </w:r>
      <w:r>
        <w:t>and support the ultimate aim of producing a written report as the main output</w:t>
      </w:r>
      <w:r w:rsidR="007E571D">
        <w:rPr>
          <w:lang w:val="en-GB"/>
        </w:rPr>
        <w:t>;</w:t>
      </w:r>
    </w:p>
    <w:p w14:paraId="503F11FC" w14:textId="75CC3D46" w:rsidR="00981584" w:rsidRDefault="00785A70" w:rsidP="0066215B">
      <w:pPr>
        <w:pStyle w:val="Numberedlevel2text"/>
        <w:numPr>
          <w:ilvl w:val="2"/>
          <w:numId w:val="24"/>
        </w:numPr>
        <w:tabs>
          <w:tab w:val="clear" w:pos="1134"/>
          <w:tab w:val="num" w:pos="1701"/>
        </w:tabs>
        <w:ind w:left="1701" w:hanging="850"/>
      </w:pPr>
      <w:r>
        <w:t xml:space="preserve">Engage </w:t>
      </w:r>
      <w:r w:rsidR="00981584">
        <w:t xml:space="preserve">and brief up to 8 expert speakers (who are able to communicate the issues in a format understandable to a lay audience) to attend the meeting. NICE will provide advice on known potential speakers. </w:t>
      </w:r>
      <w:r>
        <w:t>Briefing documents are typically 1500 words in length</w:t>
      </w:r>
      <w:r w:rsidR="007E571D">
        <w:rPr>
          <w:lang w:val="en-GB"/>
        </w:rPr>
        <w:t>;</w:t>
      </w:r>
    </w:p>
    <w:p w14:paraId="1EA1DA7F" w14:textId="387DE827" w:rsidR="00981584" w:rsidRDefault="00981584" w:rsidP="0066215B">
      <w:pPr>
        <w:pStyle w:val="Numberedlevel2text"/>
        <w:numPr>
          <w:ilvl w:val="2"/>
          <w:numId w:val="24"/>
        </w:numPr>
        <w:tabs>
          <w:tab w:val="clear" w:pos="1134"/>
          <w:tab w:val="num" w:pos="1701"/>
        </w:tabs>
        <w:ind w:left="1701" w:hanging="850"/>
      </w:pPr>
      <w:r>
        <w:t>Produce suitable briefing documents for public members, ensuring all relevant materials required before the event, are sent in good time and in a format that is accessible to each individual e.g. printed</w:t>
      </w:r>
      <w:r w:rsidR="00785A70">
        <w:t>,</w:t>
      </w:r>
      <w:r>
        <w:t xml:space="preserve"> electronic</w:t>
      </w:r>
      <w:r w:rsidR="00785A70">
        <w:t>, audio, braille</w:t>
      </w:r>
      <w:r w:rsidR="007E571D">
        <w:rPr>
          <w:lang w:val="en-GB"/>
        </w:rPr>
        <w:t>;</w:t>
      </w:r>
    </w:p>
    <w:p w14:paraId="42480DD5" w14:textId="1B4AB439" w:rsidR="00981584" w:rsidRDefault="00981584" w:rsidP="0066215B">
      <w:pPr>
        <w:pStyle w:val="Numberedlevel2text"/>
        <w:numPr>
          <w:ilvl w:val="2"/>
          <w:numId w:val="24"/>
        </w:numPr>
        <w:tabs>
          <w:tab w:val="clear" w:pos="1134"/>
          <w:tab w:val="num" w:pos="1701"/>
        </w:tabs>
        <w:ind w:left="1701" w:hanging="850"/>
      </w:pPr>
      <w:r>
        <w:t>Review the presentation materials prepared by expert speakers to ensure they are understandable, engaging and appropriate to their original brief, that content is not duplicated between speakers and that the presentations complement</w:t>
      </w:r>
      <w:r w:rsidR="00870E08">
        <w:t xml:space="preserve"> and </w:t>
      </w:r>
      <w:r>
        <w:t>fit with one another</w:t>
      </w:r>
      <w:r w:rsidR="007E571D">
        <w:rPr>
          <w:lang w:val="en-GB"/>
        </w:rPr>
        <w:t>;</w:t>
      </w:r>
    </w:p>
    <w:p w14:paraId="61477A18" w14:textId="53078819" w:rsidR="00981584" w:rsidRDefault="00981584" w:rsidP="0066215B">
      <w:pPr>
        <w:pStyle w:val="Numberedlevel2text"/>
        <w:numPr>
          <w:ilvl w:val="2"/>
          <w:numId w:val="24"/>
        </w:numPr>
        <w:tabs>
          <w:tab w:val="clear" w:pos="1134"/>
          <w:tab w:val="num" w:pos="1701"/>
        </w:tabs>
        <w:ind w:left="1701" w:hanging="850"/>
      </w:pPr>
      <w:r>
        <w:t xml:space="preserve">Design </w:t>
      </w:r>
      <w:r w:rsidR="001475C1">
        <w:rPr>
          <w:lang w:val="en-GB"/>
        </w:rPr>
        <w:t xml:space="preserve">an </w:t>
      </w:r>
      <w:r>
        <w:t xml:space="preserve">appropriate evaluation </w:t>
      </w:r>
      <w:r w:rsidR="001475C1">
        <w:rPr>
          <w:lang w:val="en-GB"/>
        </w:rPr>
        <w:t xml:space="preserve">plan that will allow collection of both process and impact data, including tasks </w:t>
      </w:r>
      <w:r>
        <w:t>to be administered periodically during the meeting to track opinions, attitudes and beliefs</w:t>
      </w:r>
      <w:r w:rsidR="007E571D">
        <w:rPr>
          <w:lang w:val="en-GB"/>
        </w:rPr>
        <w:t>;</w:t>
      </w:r>
      <w:r>
        <w:t xml:space="preserve"> </w:t>
      </w:r>
    </w:p>
    <w:p w14:paraId="0E23E322" w14:textId="29E57BEC" w:rsidR="00981584" w:rsidRDefault="00981584" w:rsidP="0066215B">
      <w:pPr>
        <w:pStyle w:val="Numberedlevel2text"/>
        <w:numPr>
          <w:ilvl w:val="2"/>
          <w:numId w:val="24"/>
        </w:numPr>
        <w:tabs>
          <w:tab w:val="clear" w:pos="1134"/>
          <w:tab w:val="num" w:pos="1701"/>
        </w:tabs>
        <w:ind w:left="1701" w:hanging="850"/>
      </w:pPr>
      <w:r>
        <w:t xml:space="preserve">Design and prepare materials for all plenary and small group activities for the event, including case studies and vignettes, </w:t>
      </w:r>
      <w:r>
        <w:lastRenderedPageBreak/>
        <w:t>ensuring these promote inclusivity, and elicit deliberation and outputs that are relevant to the topic and question for the meeting</w:t>
      </w:r>
      <w:r w:rsidR="007E571D">
        <w:rPr>
          <w:lang w:val="en-GB"/>
        </w:rPr>
        <w:t>;</w:t>
      </w:r>
    </w:p>
    <w:p w14:paraId="09F1378C" w14:textId="55E29775" w:rsidR="00981584" w:rsidRDefault="00981584" w:rsidP="0066215B">
      <w:pPr>
        <w:pStyle w:val="Numberedlevel2text"/>
        <w:numPr>
          <w:ilvl w:val="2"/>
          <w:numId w:val="24"/>
        </w:numPr>
        <w:tabs>
          <w:tab w:val="clear" w:pos="1134"/>
          <w:tab w:val="num" w:pos="1701"/>
        </w:tabs>
        <w:ind w:left="1701" w:hanging="850"/>
      </w:pPr>
      <w:r>
        <w:t>Identifying, raising and helping to mitigate any potential problems or risks associated with the event in advance.</w:t>
      </w:r>
    </w:p>
    <w:p w14:paraId="05EC9D20" w14:textId="10388013" w:rsidR="00981584" w:rsidRPr="007F5908" w:rsidRDefault="00981584" w:rsidP="007F5908">
      <w:pPr>
        <w:pStyle w:val="Numberedlevel2text"/>
        <w:rPr>
          <w:b/>
          <w:bCs w:val="0"/>
        </w:rPr>
      </w:pPr>
      <w:r w:rsidRPr="007F5908">
        <w:rPr>
          <w:b/>
          <w:bCs w:val="0"/>
        </w:rPr>
        <w:t>If the event takes place virtually:</w:t>
      </w:r>
    </w:p>
    <w:p w14:paraId="61548EFE" w14:textId="51E8EDA4" w:rsidR="00981584" w:rsidRDefault="00981584" w:rsidP="0066215B">
      <w:pPr>
        <w:pStyle w:val="Numberedlevel2text"/>
        <w:numPr>
          <w:ilvl w:val="2"/>
          <w:numId w:val="24"/>
        </w:numPr>
        <w:tabs>
          <w:tab w:val="clear" w:pos="1134"/>
          <w:tab w:val="num" w:pos="1701"/>
        </w:tabs>
        <w:ind w:left="1701" w:hanging="850"/>
      </w:pPr>
      <w:r>
        <w:t xml:space="preserve">To determine the online platform that will be used and to ensure </w:t>
      </w:r>
      <w:r w:rsidR="00726841">
        <w:rPr>
          <w:lang w:val="en-GB"/>
        </w:rPr>
        <w:t xml:space="preserve">that event participants </w:t>
      </w:r>
      <w:r>
        <w:t xml:space="preserve">can access and use the platform prior to the event. </w:t>
      </w:r>
    </w:p>
    <w:p w14:paraId="03FE9339" w14:textId="4C40290A" w:rsidR="00981584" w:rsidRDefault="00981584" w:rsidP="0066215B">
      <w:pPr>
        <w:pStyle w:val="Numberedlevel2text"/>
        <w:numPr>
          <w:ilvl w:val="2"/>
          <w:numId w:val="24"/>
        </w:numPr>
        <w:tabs>
          <w:tab w:val="clear" w:pos="1134"/>
          <w:tab w:val="num" w:pos="1701"/>
        </w:tabs>
        <w:ind w:left="1701" w:hanging="850"/>
      </w:pPr>
      <w:r>
        <w:t xml:space="preserve">To understand </w:t>
      </w:r>
      <w:r w:rsidR="001475C1">
        <w:rPr>
          <w:lang w:val="en-GB"/>
        </w:rPr>
        <w:t xml:space="preserve">and support </w:t>
      </w:r>
      <w:r>
        <w:t xml:space="preserve">any specific accessibility requirements of all event participants in advance of the event. </w:t>
      </w:r>
    </w:p>
    <w:p w14:paraId="5862A93A" w14:textId="4F08EE58" w:rsidR="00981584" w:rsidRDefault="00981584" w:rsidP="0066215B">
      <w:pPr>
        <w:pStyle w:val="Numberedlevel2text"/>
        <w:numPr>
          <w:ilvl w:val="2"/>
          <w:numId w:val="24"/>
        </w:numPr>
        <w:tabs>
          <w:tab w:val="clear" w:pos="1134"/>
          <w:tab w:val="num" w:pos="1701"/>
        </w:tabs>
        <w:ind w:left="1701" w:hanging="850"/>
      </w:pPr>
      <w:r>
        <w:t>To support any special or access requirements, such as providing training and support to those with limited IT knowledge, troubleshooting and resolving any ongoing technological issues before the meeting or ensuring the platform has captioning functionality.</w:t>
      </w:r>
    </w:p>
    <w:p w14:paraId="5C0306C3" w14:textId="629616A4" w:rsidR="00981584" w:rsidRPr="007F5908" w:rsidRDefault="00981584" w:rsidP="007F5908">
      <w:pPr>
        <w:pStyle w:val="Numberedlevel2text"/>
        <w:rPr>
          <w:b/>
          <w:bCs w:val="0"/>
        </w:rPr>
      </w:pPr>
      <w:r w:rsidRPr="007F5908">
        <w:rPr>
          <w:b/>
          <w:bCs w:val="0"/>
        </w:rPr>
        <w:t>If the event takes place face to face:</w:t>
      </w:r>
    </w:p>
    <w:p w14:paraId="7B2747DE" w14:textId="10D64952" w:rsidR="00981584" w:rsidRDefault="00981584" w:rsidP="0066215B">
      <w:pPr>
        <w:pStyle w:val="Numberedlevel2text"/>
        <w:numPr>
          <w:ilvl w:val="2"/>
          <w:numId w:val="24"/>
        </w:numPr>
        <w:tabs>
          <w:tab w:val="clear" w:pos="1134"/>
          <w:tab w:val="num" w:pos="1701"/>
        </w:tabs>
        <w:ind w:left="1701" w:hanging="850"/>
      </w:pPr>
      <w:r>
        <w:t>To understand</w:t>
      </w:r>
      <w:r w:rsidR="001475C1">
        <w:rPr>
          <w:lang w:val="en-GB"/>
        </w:rPr>
        <w:t xml:space="preserve"> and support</w:t>
      </w:r>
      <w:r>
        <w:t xml:space="preserve"> any specific accessibility requirements of all event participants in advance of the event.</w:t>
      </w:r>
    </w:p>
    <w:p w14:paraId="2CFD1878" w14:textId="030F32DC" w:rsidR="00981584" w:rsidRDefault="00981584" w:rsidP="0066215B">
      <w:pPr>
        <w:pStyle w:val="Numberedlevel2text"/>
        <w:numPr>
          <w:ilvl w:val="2"/>
          <w:numId w:val="24"/>
        </w:numPr>
        <w:tabs>
          <w:tab w:val="clear" w:pos="1134"/>
          <w:tab w:val="num" w:pos="1701"/>
        </w:tabs>
        <w:ind w:left="1701" w:hanging="850"/>
      </w:pPr>
      <w:r>
        <w:t>To source and coordinate the booking and set-up of a suitable, accessible, COVID-19 safe venue in a location agreed with NICE</w:t>
      </w:r>
      <w:r w:rsidR="004367CA">
        <w:t>.</w:t>
      </w:r>
    </w:p>
    <w:p w14:paraId="04A08126" w14:textId="570E6F06" w:rsidR="00981584" w:rsidRDefault="00981584" w:rsidP="0066215B">
      <w:pPr>
        <w:pStyle w:val="Numberedlevel2text"/>
        <w:numPr>
          <w:ilvl w:val="2"/>
          <w:numId w:val="24"/>
        </w:numPr>
        <w:tabs>
          <w:tab w:val="clear" w:pos="1134"/>
          <w:tab w:val="num" w:pos="1701"/>
        </w:tabs>
        <w:ind w:left="1701" w:hanging="850"/>
      </w:pPr>
      <w:r>
        <w:t>To co-ordinate all accommodation and travel to and from the venue for all event participants, including expert witnesses as required before, during and after the event</w:t>
      </w:r>
      <w:r w:rsidR="004367CA">
        <w:t>.</w:t>
      </w:r>
    </w:p>
    <w:p w14:paraId="1C874235" w14:textId="79ACA1B9" w:rsidR="00981584" w:rsidRDefault="00981584" w:rsidP="0066215B">
      <w:pPr>
        <w:pStyle w:val="Numberedlevel2text"/>
        <w:numPr>
          <w:ilvl w:val="2"/>
          <w:numId w:val="24"/>
        </w:numPr>
        <w:tabs>
          <w:tab w:val="clear" w:pos="1134"/>
          <w:tab w:val="num" w:pos="1701"/>
        </w:tabs>
        <w:ind w:left="1701" w:hanging="850"/>
      </w:pPr>
      <w:r>
        <w:t>To co-ordinate daily refreshments for the event participants including management of dietary preferences and allergies. Please state in the bid which meals are being provided.</w:t>
      </w:r>
    </w:p>
    <w:p w14:paraId="0C03B5F6" w14:textId="6FF188F7" w:rsidR="00981584" w:rsidRDefault="00981584" w:rsidP="0066215B">
      <w:pPr>
        <w:pStyle w:val="Numberedlevel2text"/>
        <w:numPr>
          <w:ilvl w:val="2"/>
          <w:numId w:val="24"/>
        </w:numPr>
        <w:tabs>
          <w:tab w:val="clear" w:pos="1134"/>
          <w:tab w:val="num" w:pos="1701"/>
        </w:tabs>
        <w:ind w:left="1701" w:hanging="850"/>
      </w:pPr>
      <w:r>
        <w:lastRenderedPageBreak/>
        <w:t>Generally, to provide support to</w:t>
      </w:r>
      <w:r w:rsidR="00726841">
        <w:rPr>
          <w:lang w:val="en-GB"/>
        </w:rPr>
        <w:t xml:space="preserve"> event participants</w:t>
      </w:r>
      <w:r>
        <w:t>, letting NICE know immediately of any issues that might affect the success of the meeting.</w:t>
      </w:r>
    </w:p>
    <w:p w14:paraId="05685585" w14:textId="0CF9D239" w:rsidR="00981584" w:rsidRDefault="00981584" w:rsidP="007F5908">
      <w:pPr>
        <w:pStyle w:val="Numberedheading2"/>
      </w:pPr>
      <w:r>
        <w:t>During the events (this includes all sessions that make up the full event)</w:t>
      </w:r>
    </w:p>
    <w:p w14:paraId="0EA576CF" w14:textId="57FCEA19" w:rsidR="00981584" w:rsidRDefault="00981584" w:rsidP="0066215B">
      <w:pPr>
        <w:pStyle w:val="Numberedlevel2text"/>
        <w:tabs>
          <w:tab w:val="clear" w:pos="1134"/>
          <w:tab w:val="num" w:pos="1701"/>
        </w:tabs>
      </w:pPr>
      <w:r>
        <w:t>Chair and facilitate the event, particularly ensuring that:</w:t>
      </w:r>
    </w:p>
    <w:p w14:paraId="7CCB8C1B" w14:textId="33540E32" w:rsidR="00981584" w:rsidRDefault="00981584" w:rsidP="00DD2F1F">
      <w:pPr>
        <w:pStyle w:val="Numberedlevel2text"/>
        <w:numPr>
          <w:ilvl w:val="2"/>
          <w:numId w:val="24"/>
        </w:numPr>
        <w:tabs>
          <w:tab w:val="clear" w:pos="1134"/>
          <w:tab w:val="num" w:pos="1701"/>
        </w:tabs>
        <w:ind w:left="1701" w:hanging="850"/>
      </w:pPr>
      <w:r>
        <w:t xml:space="preserve">ground rules are set and adhered to regarding expected etiquette and behaviour of </w:t>
      </w:r>
      <w:r w:rsidR="00726841">
        <w:rPr>
          <w:lang w:val="en-GB"/>
        </w:rPr>
        <w:t xml:space="preserve">event participants </w:t>
      </w:r>
      <w:r>
        <w:t>and speakers</w:t>
      </w:r>
      <w:r w:rsidR="00444C1B">
        <w:rPr>
          <w:lang w:val="en-GB"/>
        </w:rPr>
        <w:t>;</w:t>
      </w:r>
    </w:p>
    <w:p w14:paraId="27CAEEC2" w14:textId="61DD81F8" w:rsidR="00981584" w:rsidRDefault="00981584" w:rsidP="00DD2F1F">
      <w:pPr>
        <w:pStyle w:val="Numberedlevel2text"/>
        <w:numPr>
          <w:ilvl w:val="2"/>
          <w:numId w:val="24"/>
        </w:numPr>
        <w:tabs>
          <w:tab w:val="clear" w:pos="1134"/>
          <w:tab w:val="num" w:pos="1701"/>
        </w:tabs>
        <w:ind w:left="1701" w:hanging="850"/>
      </w:pPr>
      <w:r>
        <w:t>the event runs to time</w:t>
      </w:r>
      <w:r w:rsidR="00444C1B">
        <w:rPr>
          <w:lang w:val="en-GB"/>
        </w:rPr>
        <w:t>;</w:t>
      </w:r>
    </w:p>
    <w:p w14:paraId="2F364133" w14:textId="09CFFE9C" w:rsidR="00981584" w:rsidRDefault="00981584" w:rsidP="00DD2F1F">
      <w:pPr>
        <w:pStyle w:val="Numberedlevel2text"/>
        <w:numPr>
          <w:ilvl w:val="2"/>
          <w:numId w:val="24"/>
        </w:numPr>
        <w:tabs>
          <w:tab w:val="clear" w:pos="1134"/>
          <w:tab w:val="num" w:pos="1701"/>
        </w:tabs>
        <w:ind w:left="1701" w:hanging="850"/>
      </w:pPr>
      <w:r>
        <w:t>all participants have an equal opportunity to contribute to the discussion</w:t>
      </w:r>
      <w:r w:rsidR="00444C1B">
        <w:rPr>
          <w:lang w:val="en-GB"/>
        </w:rPr>
        <w:t>;</w:t>
      </w:r>
    </w:p>
    <w:p w14:paraId="4F700842" w14:textId="5DAD518C" w:rsidR="00981584" w:rsidRDefault="00981584" w:rsidP="00DD2F1F">
      <w:pPr>
        <w:pStyle w:val="Numberedlevel2text"/>
        <w:numPr>
          <w:ilvl w:val="2"/>
          <w:numId w:val="24"/>
        </w:numPr>
        <w:tabs>
          <w:tab w:val="clear" w:pos="1134"/>
          <w:tab w:val="num" w:pos="1701"/>
        </w:tabs>
        <w:ind w:left="1701" w:hanging="850"/>
      </w:pPr>
      <w:r>
        <w:t>sufficient staff of appropriate levels of experience are provided to facilitate the plenary sessions and small group discussions</w:t>
      </w:r>
      <w:r w:rsidR="00444C1B">
        <w:rPr>
          <w:lang w:val="en-GB"/>
        </w:rPr>
        <w:t>;</w:t>
      </w:r>
      <w:r>
        <w:t xml:space="preserve"> </w:t>
      </w:r>
    </w:p>
    <w:p w14:paraId="17F9B7CD" w14:textId="5D1E484A" w:rsidR="00981584" w:rsidRDefault="00981584" w:rsidP="00444C1B">
      <w:pPr>
        <w:pStyle w:val="Numberedlevel2text"/>
        <w:numPr>
          <w:ilvl w:val="2"/>
          <w:numId w:val="24"/>
        </w:numPr>
        <w:tabs>
          <w:tab w:val="clear" w:pos="1134"/>
          <w:tab w:val="num" w:pos="1701"/>
        </w:tabs>
        <w:ind w:left="1701" w:hanging="850"/>
      </w:pPr>
      <w:r>
        <w:t>discussions and presentations remain focused on the meeting topic and meet the aims and objectives of the meeting</w:t>
      </w:r>
      <w:r w:rsidR="00444C1B">
        <w:rPr>
          <w:lang w:val="en-GB"/>
        </w:rPr>
        <w:t>;</w:t>
      </w:r>
      <w:r>
        <w:t xml:space="preserve">  </w:t>
      </w:r>
    </w:p>
    <w:p w14:paraId="620CF58F" w14:textId="7F4D3E05" w:rsidR="00981584" w:rsidRDefault="00981584" w:rsidP="00444C1B">
      <w:pPr>
        <w:pStyle w:val="Numberedlevel2text"/>
        <w:numPr>
          <w:ilvl w:val="2"/>
          <w:numId w:val="24"/>
        </w:numPr>
        <w:tabs>
          <w:tab w:val="clear" w:pos="1134"/>
          <w:tab w:val="num" w:pos="1701"/>
        </w:tabs>
        <w:ind w:left="1701" w:hanging="850"/>
      </w:pPr>
      <w:r>
        <w:t xml:space="preserve">the event is monitored and recorded sufficiently to ensure all </w:t>
      </w:r>
      <w:r w:rsidR="00560117">
        <w:rPr>
          <w:lang w:val="en-GB"/>
        </w:rPr>
        <w:t>discussions and findings</w:t>
      </w:r>
      <w:r>
        <w:t xml:space="preserve"> can be captured in the final written report</w:t>
      </w:r>
      <w:r w:rsidR="00DD2F1F">
        <w:rPr>
          <w:lang w:val="en-GB"/>
        </w:rPr>
        <w:t>, including monitoring</w:t>
      </w:r>
      <w:r w:rsidR="00DD2F1F" w:rsidRPr="00DD2F1F">
        <w:t xml:space="preserve"> </w:t>
      </w:r>
      <w:r w:rsidR="00DD2F1F">
        <w:t>how</w:t>
      </w:r>
      <w:r w:rsidR="00726841">
        <w:rPr>
          <w:lang w:val="en-GB"/>
        </w:rPr>
        <w:t xml:space="preserve"> event participants</w:t>
      </w:r>
      <w:r w:rsidR="00DD2F1F">
        <w:t>’ views change during the meeting using suitable means e.g. tracking questionnaires</w:t>
      </w:r>
      <w:r w:rsidR="00444C1B">
        <w:rPr>
          <w:lang w:val="en-GB"/>
        </w:rPr>
        <w:t>;</w:t>
      </w:r>
    </w:p>
    <w:p w14:paraId="263550BC" w14:textId="34D8AFCC" w:rsidR="00981584" w:rsidRDefault="00981584" w:rsidP="00444C1B">
      <w:pPr>
        <w:pStyle w:val="Numberedlevel2text"/>
        <w:numPr>
          <w:ilvl w:val="2"/>
          <w:numId w:val="24"/>
        </w:numPr>
        <w:tabs>
          <w:tab w:val="clear" w:pos="1134"/>
          <w:tab w:val="num" w:pos="1701"/>
        </w:tabs>
        <w:ind w:left="1701" w:hanging="850"/>
      </w:pPr>
      <w:r>
        <w:t>NICE staff are appropriately supported to observe the meeting</w:t>
      </w:r>
      <w:r w:rsidR="00444C1B">
        <w:rPr>
          <w:lang w:val="en-GB"/>
        </w:rPr>
        <w:t>;</w:t>
      </w:r>
    </w:p>
    <w:p w14:paraId="1645ADE3" w14:textId="07C9DE02" w:rsidR="00981584" w:rsidRDefault="00981584" w:rsidP="00444C1B">
      <w:pPr>
        <w:pStyle w:val="Numberedlevel2text"/>
        <w:numPr>
          <w:ilvl w:val="2"/>
          <w:numId w:val="24"/>
        </w:numPr>
        <w:tabs>
          <w:tab w:val="clear" w:pos="1134"/>
          <w:tab w:val="num" w:pos="1701"/>
        </w:tabs>
        <w:ind w:left="1701" w:hanging="850"/>
      </w:pPr>
      <w:r>
        <w:t xml:space="preserve">any difficulties experienced by </w:t>
      </w:r>
      <w:r w:rsidR="00726841">
        <w:rPr>
          <w:lang w:val="en-GB"/>
        </w:rPr>
        <w:t xml:space="preserve">event participants </w:t>
      </w:r>
      <w:r>
        <w:t>are dealt with as promptly and effectively as possible including those regarding accommodation, travel or refreshments (if face to face) or technological issues (if virtual).</w:t>
      </w:r>
    </w:p>
    <w:p w14:paraId="6EF72EB9" w14:textId="3045D3D9" w:rsidR="00981584" w:rsidRDefault="00981584" w:rsidP="00444C1B">
      <w:pPr>
        <w:pStyle w:val="Numberedlevel2text"/>
        <w:ind w:hanging="992"/>
      </w:pPr>
      <w:r>
        <w:t>Generally provide support to all attending, letting NICE know immediately of any issues that might affect the success of the meeting.</w:t>
      </w:r>
    </w:p>
    <w:p w14:paraId="1BC86419" w14:textId="77DCEE03" w:rsidR="00981584" w:rsidRDefault="00981584" w:rsidP="00444C1B">
      <w:pPr>
        <w:pStyle w:val="Numberedlevel2text"/>
        <w:ind w:hanging="992"/>
      </w:pPr>
      <w:r>
        <w:lastRenderedPageBreak/>
        <w:t>If there are multiple sessions involved in the event, to keep NICE informed of the event progress</w:t>
      </w:r>
      <w:r w:rsidR="00444C1B">
        <w:rPr>
          <w:lang w:val="en-GB"/>
        </w:rPr>
        <w:t>.</w:t>
      </w:r>
    </w:p>
    <w:p w14:paraId="71B4D458" w14:textId="2A272C95" w:rsidR="00981584" w:rsidRDefault="00981584" w:rsidP="004367CA">
      <w:pPr>
        <w:pStyle w:val="Numberedheading2"/>
      </w:pPr>
      <w:r>
        <w:t>After the meeting</w:t>
      </w:r>
    </w:p>
    <w:p w14:paraId="414315D3" w14:textId="71A3DF2D" w:rsidR="00981584" w:rsidRDefault="00981584" w:rsidP="004367CA">
      <w:pPr>
        <w:pStyle w:val="Numberedlevel2text"/>
      </w:pPr>
      <w:r>
        <w:t xml:space="preserve">To attend </w:t>
      </w:r>
      <w:r w:rsidR="004367CA">
        <w:t>a</w:t>
      </w:r>
      <w:r>
        <w:t xml:space="preserve"> de-brief meeting with NICE within a few days of the </w:t>
      </w:r>
      <w:r w:rsidR="00870E08">
        <w:rPr>
          <w:lang w:val="en-GB"/>
        </w:rPr>
        <w:t xml:space="preserve">end of </w:t>
      </w:r>
      <w:r>
        <w:t>event. This will be approximately 1-2 hours in duration and take place via video conference</w:t>
      </w:r>
      <w:r w:rsidR="00444C1B">
        <w:rPr>
          <w:lang w:val="en-GB"/>
        </w:rPr>
        <w:t>.</w:t>
      </w:r>
      <w:r>
        <w:t xml:space="preserve"> </w:t>
      </w:r>
    </w:p>
    <w:p w14:paraId="45A9222F" w14:textId="2A47379C" w:rsidR="00981584" w:rsidRDefault="00981584" w:rsidP="004367CA">
      <w:pPr>
        <w:pStyle w:val="Numberedlevel2text"/>
      </w:pPr>
      <w:r>
        <w:t>To provide payment to each NICE Listens member for their attendance at the event at the following rates:</w:t>
      </w:r>
    </w:p>
    <w:tbl>
      <w:tblPr>
        <w:tblStyle w:val="TableGrid"/>
        <w:tblW w:w="0" w:type="auto"/>
        <w:tblLook w:val="04A0" w:firstRow="1" w:lastRow="0" w:firstColumn="1" w:lastColumn="0" w:noHBand="0" w:noVBand="1"/>
      </w:tblPr>
      <w:tblGrid>
        <w:gridCol w:w="4508"/>
        <w:gridCol w:w="4509"/>
      </w:tblGrid>
      <w:tr w:rsidR="002B35BD" w14:paraId="3CC4EF5B" w14:textId="77777777" w:rsidTr="002B35BD">
        <w:tc>
          <w:tcPr>
            <w:tcW w:w="4508" w:type="dxa"/>
            <w:shd w:val="clear" w:color="auto" w:fill="BFBFBF" w:themeFill="background1" w:themeFillShade="BF"/>
          </w:tcPr>
          <w:p w14:paraId="30F37AE7" w14:textId="1AEA54D5" w:rsidR="002B35BD" w:rsidRDefault="002B35BD" w:rsidP="004367CA">
            <w:pPr>
              <w:pStyle w:val="Tableheading"/>
            </w:pPr>
            <w:r>
              <w:t>Time</w:t>
            </w:r>
          </w:p>
        </w:tc>
        <w:tc>
          <w:tcPr>
            <w:tcW w:w="4509" w:type="dxa"/>
            <w:shd w:val="clear" w:color="auto" w:fill="BFBFBF" w:themeFill="background1" w:themeFillShade="BF"/>
          </w:tcPr>
          <w:p w14:paraId="07BEC62A" w14:textId="0CE0D594" w:rsidR="002B35BD" w:rsidRDefault="002B35BD" w:rsidP="004367CA">
            <w:pPr>
              <w:pStyle w:val="Tableheading"/>
            </w:pPr>
            <w:r>
              <w:t>Rate</w:t>
            </w:r>
          </w:p>
        </w:tc>
      </w:tr>
      <w:tr w:rsidR="002B35BD" w14:paraId="415BB25E" w14:textId="77777777" w:rsidTr="002B35BD">
        <w:tc>
          <w:tcPr>
            <w:tcW w:w="4508" w:type="dxa"/>
          </w:tcPr>
          <w:p w14:paraId="6A1F5571" w14:textId="088D47AA" w:rsidR="002B35BD" w:rsidRPr="002B35BD" w:rsidRDefault="002B35BD" w:rsidP="004367CA">
            <w:pPr>
              <w:pStyle w:val="Tableheading"/>
              <w:rPr>
                <w:b w:val="0"/>
                <w:bCs/>
              </w:rPr>
            </w:pPr>
            <w:r w:rsidRPr="002B35BD">
              <w:rPr>
                <w:b w:val="0"/>
                <w:bCs/>
              </w:rPr>
              <w:t>Day (4 hours or longer)</w:t>
            </w:r>
          </w:p>
        </w:tc>
        <w:tc>
          <w:tcPr>
            <w:tcW w:w="4509" w:type="dxa"/>
          </w:tcPr>
          <w:p w14:paraId="4F1DB2A8" w14:textId="07BC0169" w:rsidR="002B35BD" w:rsidRPr="002B35BD" w:rsidRDefault="002B35BD" w:rsidP="004367CA">
            <w:pPr>
              <w:pStyle w:val="Tableheading"/>
              <w:rPr>
                <w:b w:val="0"/>
                <w:bCs/>
              </w:rPr>
            </w:pPr>
            <w:r w:rsidRPr="002B35BD">
              <w:rPr>
                <w:b w:val="0"/>
                <w:bCs/>
              </w:rPr>
              <w:t>£150</w:t>
            </w:r>
          </w:p>
        </w:tc>
      </w:tr>
      <w:tr w:rsidR="002B35BD" w14:paraId="3CE92C16" w14:textId="77777777" w:rsidTr="002B35BD">
        <w:tc>
          <w:tcPr>
            <w:tcW w:w="4508" w:type="dxa"/>
          </w:tcPr>
          <w:p w14:paraId="75D6AA18" w14:textId="38E93492" w:rsidR="002B35BD" w:rsidRPr="002B35BD" w:rsidRDefault="002B35BD" w:rsidP="004367CA">
            <w:pPr>
              <w:pStyle w:val="Tableheading"/>
              <w:rPr>
                <w:b w:val="0"/>
                <w:bCs/>
              </w:rPr>
            </w:pPr>
            <w:r w:rsidRPr="002B35BD">
              <w:rPr>
                <w:b w:val="0"/>
                <w:bCs/>
              </w:rPr>
              <w:t>Half day (less than 4 hours)</w:t>
            </w:r>
            <w:r w:rsidRPr="002B35BD">
              <w:rPr>
                <w:b w:val="0"/>
                <w:bCs/>
              </w:rPr>
              <w:tab/>
            </w:r>
          </w:p>
        </w:tc>
        <w:tc>
          <w:tcPr>
            <w:tcW w:w="4509" w:type="dxa"/>
          </w:tcPr>
          <w:p w14:paraId="474854C7" w14:textId="3C00E851" w:rsidR="002B35BD" w:rsidRPr="002B35BD" w:rsidRDefault="002B35BD" w:rsidP="004367CA">
            <w:pPr>
              <w:pStyle w:val="Tableheading"/>
              <w:rPr>
                <w:b w:val="0"/>
                <w:bCs/>
              </w:rPr>
            </w:pPr>
            <w:r w:rsidRPr="002B35BD">
              <w:rPr>
                <w:b w:val="0"/>
                <w:bCs/>
              </w:rPr>
              <w:t>£75</w:t>
            </w:r>
          </w:p>
        </w:tc>
      </w:tr>
      <w:tr w:rsidR="002B35BD" w14:paraId="4642D151" w14:textId="77777777" w:rsidTr="002B35BD">
        <w:tc>
          <w:tcPr>
            <w:tcW w:w="4508" w:type="dxa"/>
          </w:tcPr>
          <w:p w14:paraId="584D2101" w14:textId="0E0576B1" w:rsidR="002B35BD" w:rsidRPr="002B35BD" w:rsidRDefault="002B35BD" w:rsidP="004367CA">
            <w:pPr>
              <w:pStyle w:val="Tableheading"/>
              <w:rPr>
                <w:b w:val="0"/>
                <w:bCs/>
              </w:rPr>
            </w:pPr>
            <w:r w:rsidRPr="002B35BD">
              <w:rPr>
                <w:b w:val="0"/>
                <w:bCs/>
              </w:rPr>
              <w:t>Hourly</w:t>
            </w:r>
          </w:p>
        </w:tc>
        <w:tc>
          <w:tcPr>
            <w:tcW w:w="4509" w:type="dxa"/>
          </w:tcPr>
          <w:p w14:paraId="21F81B7A" w14:textId="22474064" w:rsidR="002B35BD" w:rsidRPr="002B35BD" w:rsidRDefault="002B35BD" w:rsidP="004367CA">
            <w:pPr>
              <w:pStyle w:val="Tableheading"/>
              <w:rPr>
                <w:b w:val="0"/>
                <w:bCs/>
              </w:rPr>
            </w:pPr>
            <w:r w:rsidRPr="002B35BD">
              <w:rPr>
                <w:b w:val="0"/>
                <w:bCs/>
              </w:rPr>
              <w:t>£25</w:t>
            </w:r>
          </w:p>
        </w:tc>
      </w:tr>
    </w:tbl>
    <w:p w14:paraId="7BFC2675" w14:textId="77777777" w:rsidR="002B35BD" w:rsidRDefault="002B35BD" w:rsidP="004367CA">
      <w:pPr>
        <w:pStyle w:val="Tableheading"/>
      </w:pPr>
    </w:p>
    <w:p w14:paraId="299B67CD" w14:textId="77777777" w:rsidR="00981584" w:rsidRDefault="00981584" w:rsidP="00981584">
      <w:pPr>
        <w:pStyle w:val="NICEnormal"/>
      </w:pPr>
    </w:p>
    <w:p w14:paraId="49E9F778" w14:textId="1E6B8405" w:rsidR="00981584" w:rsidRDefault="00981584" w:rsidP="004367CA">
      <w:pPr>
        <w:pStyle w:val="Numberedlevel2text"/>
      </w:pPr>
      <w:r>
        <w:t xml:space="preserve">These payments are aligned with the current NICE payment recommendations for lay members involved in our work. If you </w:t>
      </w:r>
      <w:r w:rsidR="004367CA">
        <w:rPr>
          <w:lang w:val="en-GB"/>
        </w:rPr>
        <w:t>plan to use different rates</w:t>
      </w:r>
      <w:r>
        <w:t>, please make this clear in your bid with clear justification.</w:t>
      </w:r>
    </w:p>
    <w:p w14:paraId="2FC781D3" w14:textId="49FAC1E1" w:rsidR="00981584" w:rsidRDefault="00981584" w:rsidP="004367CA">
      <w:pPr>
        <w:pStyle w:val="Numberedlevel2text"/>
      </w:pPr>
      <w:r>
        <w:t xml:space="preserve">To reimburse </w:t>
      </w:r>
      <w:r w:rsidR="00726841">
        <w:rPr>
          <w:lang w:val="en-GB"/>
        </w:rPr>
        <w:t xml:space="preserve">event participants </w:t>
      </w:r>
      <w:r>
        <w:t>for any expenses incurred within the terms of NICE’s reimbursement policy within one month of the meeting</w:t>
      </w:r>
      <w:r w:rsidR="00DD2F1F">
        <w:rPr>
          <w:lang w:val="en-GB"/>
        </w:rPr>
        <w:t>.</w:t>
      </w:r>
    </w:p>
    <w:p w14:paraId="13CC3D38" w14:textId="33ECA031" w:rsidR="00981584" w:rsidRDefault="00981584" w:rsidP="004367CA">
      <w:pPr>
        <w:pStyle w:val="Numberedlevel2text"/>
      </w:pPr>
      <w:r>
        <w:t>To provide a detailed evaluation of the event, including collection of feedback from the</w:t>
      </w:r>
      <w:r w:rsidR="00726841">
        <w:rPr>
          <w:lang w:val="en-GB"/>
        </w:rPr>
        <w:t xml:space="preserve"> event participants</w:t>
      </w:r>
      <w:r w:rsidR="00DD2F1F">
        <w:rPr>
          <w:lang w:val="en-GB"/>
        </w:rPr>
        <w:t>.</w:t>
      </w:r>
    </w:p>
    <w:p w14:paraId="1D553E59" w14:textId="2B07CF02" w:rsidR="00981584" w:rsidRDefault="00981584" w:rsidP="004367CA">
      <w:pPr>
        <w:pStyle w:val="Numberedlevel2text"/>
      </w:pPr>
      <w:r>
        <w:t>To lead on the evaluation and write up of findings from the event to deliver the NICE Listens report, including:</w:t>
      </w:r>
    </w:p>
    <w:p w14:paraId="6A45AE3A" w14:textId="36B5A561" w:rsidR="00981584" w:rsidRDefault="00981584" w:rsidP="00DD2F1F">
      <w:pPr>
        <w:pStyle w:val="Numberedlevel2text"/>
        <w:numPr>
          <w:ilvl w:val="2"/>
          <w:numId w:val="24"/>
        </w:numPr>
        <w:tabs>
          <w:tab w:val="clear" w:pos="1134"/>
          <w:tab w:val="num" w:pos="1701"/>
        </w:tabs>
        <w:ind w:left="1701" w:hanging="850"/>
      </w:pPr>
      <w:r>
        <w:t>Collecting and analysing the tracking findings and evaluation data</w:t>
      </w:r>
      <w:r w:rsidR="00444C1B">
        <w:rPr>
          <w:lang w:val="en-GB"/>
        </w:rPr>
        <w:t>;</w:t>
      </w:r>
    </w:p>
    <w:p w14:paraId="0E39D55E" w14:textId="17CA4E45" w:rsidR="00981584" w:rsidRDefault="00981584" w:rsidP="00DD2F1F">
      <w:pPr>
        <w:pStyle w:val="Numberedlevel2text"/>
        <w:numPr>
          <w:ilvl w:val="2"/>
          <w:numId w:val="24"/>
        </w:numPr>
        <w:tabs>
          <w:tab w:val="clear" w:pos="1134"/>
          <w:tab w:val="num" w:pos="1701"/>
        </w:tabs>
        <w:ind w:left="1701" w:hanging="850"/>
      </w:pPr>
      <w:r>
        <w:t xml:space="preserve">Consulting </w:t>
      </w:r>
      <w:r w:rsidR="00726841">
        <w:rPr>
          <w:lang w:val="en-GB"/>
        </w:rPr>
        <w:t xml:space="preserve">event participants </w:t>
      </w:r>
      <w:r>
        <w:t>on the draft report</w:t>
      </w:r>
      <w:r w:rsidR="00444C1B">
        <w:rPr>
          <w:lang w:val="en-GB"/>
        </w:rPr>
        <w:t>;</w:t>
      </w:r>
    </w:p>
    <w:p w14:paraId="5BBB3902" w14:textId="2C38F690" w:rsidR="00981584" w:rsidRDefault="00981584" w:rsidP="00DD2F1F">
      <w:pPr>
        <w:pStyle w:val="Numberedlevel2text"/>
        <w:numPr>
          <w:ilvl w:val="2"/>
          <w:numId w:val="24"/>
        </w:numPr>
        <w:tabs>
          <w:tab w:val="clear" w:pos="1134"/>
          <w:tab w:val="num" w:pos="1701"/>
        </w:tabs>
        <w:ind w:left="1701" w:hanging="850"/>
      </w:pPr>
      <w:r>
        <w:t>Sending two rounds of drafts for NICE feedback</w:t>
      </w:r>
      <w:r w:rsidR="00444C1B">
        <w:rPr>
          <w:lang w:val="en-GB"/>
        </w:rPr>
        <w:t>;</w:t>
      </w:r>
    </w:p>
    <w:p w14:paraId="3886F4F8" w14:textId="2057C928" w:rsidR="00981584" w:rsidRDefault="00981584" w:rsidP="00DD2F1F">
      <w:pPr>
        <w:pStyle w:val="Numberedlevel2text"/>
        <w:numPr>
          <w:ilvl w:val="2"/>
          <w:numId w:val="24"/>
        </w:numPr>
        <w:tabs>
          <w:tab w:val="clear" w:pos="1134"/>
          <w:tab w:val="num" w:pos="1701"/>
        </w:tabs>
        <w:ind w:left="1701" w:hanging="850"/>
      </w:pPr>
      <w:r>
        <w:t>Refining the report after feedback from NICE on the drafts</w:t>
      </w:r>
      <w:r w:rsidR="00444C1B">
        <w:rPr>
          <w:lang w:val="en-GB"/>
        </w:rPr>
        <w:t>;</w:t>
      </w:r>
    </w:p>
    <w:p w14:paraId="2C708F82" w14:textId="239B2841" w:rsidR="00981584" w:rsidRDefault="00981584" w:rsidP="00DD2F1F">
      <w:pPr>
        <w:pStyle w:val="Numberedlevel2text"/>
        <w:numPr>
          <w:ilvl w:val="2"/>
          <w:numId w:val="24"/>
        </w:numPr>
        <w:tabs>
          <w:tab w:val="clear" w:pos="1134"/>
          <w:tab w:val="num" w:pos="1701"/>
        </w:tabs>
        <w:ind w:left="1701" w:hanging="850"/>
      </w:pPr>
      <w:r>
        <w:lastRenderedPageBreak/>
        <w:t>Finalizing and producing the completed report</w:t>
      </w:r>
      <w:r w:rsidR="00444C1B">
        <w:rPr>
          <w:lang w:val="en-GB"/>
        </w:rPr>
        <w:t>.</w:t>
      </w:r>
    </w:p>
    <w:p w14:paraId="07D7FB27" w14:textId="126404C8" w:rsidR="004367CA" w:rsidRDefault="00981584" w:rsidP="00DD2F1F">
      <w:pPr>
        <w:pStyle w:val="Numberedlevel2text"/>
      </w:pPr>
      <w:r>
        <w:t>To send the final report to the NICE</w:t>
      </w:r>
      <w:r w:rsidR="004367CA">
        <w:t xml:space="preserve"> by the agreed date</w:t>
      </w:r>
      <w:r w:rsidR="00444C1B">
        <w:rPr>
          <w:lang w:val="en-GB"/>
        </w:rPr>
        <w:t>.</w:t>
      </w:r>
    </w:p>
    <w:p w14:paraId="753E37A7" w14:textId="47297812" w:rsidR="00981584" w:rsidRDefault="004367CA" w:rsidP="00DD2F1F">
      <w:pPr>
        <w:pStyle w:val="Numberedlevel2text"/>
      </w:pPr>
      <w:r>
        <w:t>T</w:t>
      </w:r>
      <w:r w:rsidR="00981584">
        <w:t>o</w:t>
      </w:r>
      <w:r>
        <w:t xml:space="preserve"> update</w:t>
      </w:r>
      <w:r w:rsidR="00981584">
        <w:t xml:space="preserve"> </w:t>
      </w:r>
      <w:r w:rsidR="000C66F6" w:rsidRPr="000C66F6">
        <w:t>event participants</w:t>
      </w:r>
      <w:r w:rsidR="000C66F6" w:rsidRPr="000C66F6" w:rsidDel="000C66F6">
        <w:t xml:space="preserve"> </w:t>
      </w:r>
      <w:r w:rsidR="00981584">
        <w:t>on</w:t>
      </w:r>
      <w:r>
        <w:t xml:space="preserve"> the progress of the report and send a copy to them once</w:t>
      </w:r>
      <w:r w:rsidR="00981584">
        <w:t xml:space="preserve"> sign-off and approval has been given.</w:t>
      </w:r>
    </w:p>
    <w:p w14:paraId="6EEA022B" w14:textId="51513888" w:rsidR="00981584" w:rsidRDefault="00981584" w:rsidP="00DD2F1F">
      <w:pPr>
        <w:pStyle w:val="Numberedlevel2text"/>
      </w:pPr>
      <w:r>
        <w:t xml:space="preserve">If required, to present </w:t>
      </w:r>
      <w:r w:rsidR="00490625">
        <w:rPr>
          <w:lang w:val="en-GB"/>
        </w:rPr>
        <w:t>the</w:t>
      </w:r>
      <w:r>
        <w:t xml:space="preserve"> report to the Board of NICE at a public Board meeting.</w:t>
      </w:r>
    </w:p>
    <w:p w14:paraId="2262193E" w14:textId="35B07569" w:rsidR="00981584" w:rsidRDefault="00981584" w:rsidP="004367CA">
      <w:pPr>
        <w:pStyle w:val="Numberedlevel2text"/>
      </w:pPr>
      <w:r>
        <w:t xml:space="preserve">To support NICE with any reasonable requests for information to produce additional outputs and/or communication materials. </w:t>
      </w:r>
    </w:p>
    <w:p w14:paraId="286F2F79" w14:textId="77777777" w:rsidR="00981584" w:rsidRDefault="00981584" w:rsidP="00981584">
      <w:pPr>
        <w:pStyle w:val="NICEnormal"/>
      </w:pPr>
    </w:p>
    <w:p w14:paraId="4C7D0787" w14:textId="4D951D21" w:rsidR="00981584" w:rsidRDefault="00981584" w:rsidP="004367CA">
      <w:pPr>
        <w:pStyle w:val="Numberedheading1"/>
      </w:pPr>
      <w:r>
        <w:t>Budget</w:t>
      </w:r>
    </w:p>
    <w:p w14:paraId="7396A653" w14:textId="07CB9C7D" w:rsidR="00981584" w:rsidRDefault="00981584" w:rsidP="004367CA">
      <w:pPr>
        <w:pStyle w:val="Numberedlevel2text"/>
      </w:pPr>
      <w:r>
        <w:t xml:space="preserve">The total </w:t>
      </w:r>
      <w:r w:rsidR="00A30313">
        <w:rPr>
          <w:lang w:val="en-GB"/>
        </w:rPr>
        <w:t xml:space="preserve">maximum </w:t>
      </w:r>
      <w:r>
        <w:t>budget</w:t>
      </w:r>
      <w:r w:rsidR="004367CA">
        <w:t xml:space="preserve"> for the health inequalities project</w:t>
      </w:r>
      <w:r>
        <w:t xml:space="preserve"> is £</w:t>
      </w:r>
      <w:r w:rsidR="007E571D">
        <w:rPr>
          <w:lang w:val="en-GB"/>
        </w:rPr>
        <w:t>50</w:t>
      </w:r>
      <w:r>
        <w:t>,000</w:t>
      </w:r>
      <w:r w:rsidR="004367CA">
        <w:t>.</w:t>
      </w:r>
    </w:p>
    <w:p w14:paraId="7577A7A6" w14:textId="5F046AAA" w:rsidR="00981584" w:rsidRDefault="00981584" w:rsidP="004367CA">
      <w:pPr>
        <w:pStyle w:val="Numberedlevel2text"/>
      </w:pPr>
      <w:r>
        <w:t xml:space="preserve">This is the full budget for the project and must cover </w:t>
      </w:r>
      <w:r w:rsidRPr="004367CA">
        <w:rPr>
          <w:b/>
          <w:bCs w:val="0"/>
          <w:u w:val="single"/>
        </w:rPr>
        <w:t>all</w:t>
      </w:r>
      <w:r>
        <w:t xml:space="preserve"> staff and project costs associated with designing, running and reporting back on the NICE Listens event. </w:t>
      </w:r>
    </w:p>
    <w:p w14:paraId="0A6781EB" w14:textId="24F2E8DD" w:rsidR="00981584" w:rsidRDefault="00981584" w:rsidP="004367CA">
      <w:pPr>
        <w:pStyle w:val="Numberedlevel2text"/>
      </w:pPr>
      <w:r>
        <w:t xml:space="preserve">The </w:t>
      </w:r>
      <w:r w:rsidR="00A30313">
        <w:rPr>
          <w:lang w:val="en-GB"/>
        </w:rPr>
        <w:t xml:space="preserve">maximum </w:t>
      </w:r>
      <w:r>
        <w:t>budget of £</w:t>
      </w:r>
      <w:r w:rsidR="007E571D">
        <w:rPr>
          <w:lang w:val="en-GB"/>
        </w:rPr>
        <w:t>50</w:t>
      </w:r>
      <w:r>
        <w:t>,000 is to run the NICE Listens events on health inequalities. It is likely that there will be similar future projects focusing on different topics. If you would be in a position to do further work please state this in your offer. Further work is not guaranteed and the initial contract will be for the health inequalities work only.</w:t>
      </w:r>
    </w:p>
    <w:p w14:paraId="3FEFDC87" w14:textId="0139E6C3" w:rsidR="00981584" w:rsidRDefault="00981584" w:rsidP="004367CA">
      <w:pPr>
        <w:pStyle w:val="Numberedheading1"/>
      </w:pPr>
      <w:r>
        <w:t>Format of offer</w:t>
      </w:r>
    </w:p>
    <w:p w14:paraId="6FEBFDCF" w14:textId="1C367B65" w:rsidR="00981584" w:rsidRDefault="00981584" w:rsidP="004367CA">
      <w:pPr>
        <w:pStyle w:val="Numberedlevel2text"/>
      </w:pPr>
      <w:r>
        <w:t>How your offer should be laid out</w:t>
      </w:r>
      <w:r w:rsidR="004367CA">
        <w:rPr>
          <w:lang w:val="en-GB"/>
        </w:rPr>
        <w:t>:</w:t>
      </w:r>
    </w:p>
    <w:p w14:paraId="4B74D513" w14:textId="6C58CC76" w:rsidR="00981584" w:rsidRDefault="00981584" w:rsidP="004367CA">
      <w:pPr>
        <w:pStyle w:val="Numberedlevel2text"/>
        <w:numPr>
          <w:ilvl w:val="2"/>
          <w:numId w:val="24"/>
        </w:numPr>
        <w:ind w:hanging="708"/>
      </w:pPr>
      <w:r>
        <w:t xml:space="preserve">Your offer should take into account the brief as detailed above.  It </w:t>
      </w:r>
      <w:r w:rsidR="007E571D">
        <w:rPr>
          <w:lang w:val="en-GB"/>
        </w:rPr>
        <w:t>must</w:t>
      </w:r>
      <w:r>
        <w:t xml:space="preserve"> answer the following </w:t>
      </w:r>
      <w:r w:rsidR="00A12141">
        <w:rPr>
          <w:lang w:val="en-GB"/>
        </w:rPr>
        <w:t xml:space="preserve">twelve </w:t>
      </w:r>
      <w:r>
        <w:t xml:space="preserve">sections in the order in which they stand below.  Section 1 of your offer </w:t>
      </w:r>
      <w:r w:rsidR="007E571D">
        <w:rPr>
          <w:lang w:val="en-GB"/>
        </w:rPr>
        <w:t>must a</w:t>
      </w:r>
      <w:proofErr w:type="spellStart"/>
      <w:r>
        <w:t>nswer</w:t>
      </w:r>
      <w:proofErr w:type="spellEnd"/>
      <w:r>
        <w:t xml:space="preserve"> section 1 below 1, section 2 should answer section 2, and so on.</w:t>
      </w:r>
      <w:r w:rsidR="003E3081">
        <w:rPr>
          <w:lang w:val="en-GB"/>
        </w:rPr>
        <w:t xml:space="preserve"> If you make any enquiries about this section of the tender specification, please refer to them as ‘Format of Offer Sections e.g. ‘I have a question about Format of Offer Section 7a’, to </w:t>
      </w:r>
      <w:r w:rsidR="003E3081">
        <w:rPr>
          <w:lang w:val="en-GB"/>
        </w:rPr>
        <w:lastRenderedPageBreak/>
        <w:t>differentiate it from the paragraph numbers used throughout this document.</w:t>
      </w:r>
    </w:p>
    <w:p w14:paraId="5C1F22E0" w14:textId="309B8489" w:rsidR="00981584" w:rsidRDefault="00981584" w:rsidP="004367CA">
      <w:pPr>
        <w:pStyle w:val="Numberedheading2"/>
      </w:pPr>
      <w:r>
        <w:t>Overview of Organisation</w:t>
      </w:r>
    </w:p>
    <w:p w14:paraId="3189D793" w14:textId="5268AEDA" w:rsidR="00981584" w:rsidRDefault="00981584" w:rsidP="00BA62E5">
      <w:pPr>
        <w:pStyle w:val="NICEnormal"/>
        <w:numPr>
          <w:ilvl w:val="0"/>
          <w:numId w:val="30"/>
        </w:numPr>
      </w:pPr>
      <w:r>
        <w:t>Provide some brief information about your organisation, for example information about ownership of the organisation and affiliations to other organisations, how long the organisation has been operational, and a summary of your core business activity.</w:t>
      </w:r>
    </w:p>
    <w:p w14:paraId="101FE0F9" w14:textId="77777777" w:rsidR="00981584" w:rsidRDefault="00981584" w:rsidP="004367CA">
      <w:pPr>
        <w:pStyle w:val="Numberedheading2"/>
      </w:pPr>
      <w:r>
        <w:t xml:space="preserve">Knowledge and understanding of key </w:t>
      </w:r>
      <w:proofErr w:type="gramStart"/>
      <w:r>
        <w:t>concepts</w:t>
      </w:r>
      <w:proofErr w:type="gramEnd"/>
    </w:p>
    <w:p w14:paraId="32065745" w14:textId="151B4A6C" w:rsidR="00981584" w:rsidRDefault="003D425F" w:rsidP="00BA62E5">
      <w:pPr>
        <w:pStyle w:val="NICEnormal"/>
        <w:numPr>
          <w:ilvl w:val="0"/>
          <w:numId w:val="30"/>
        </w:numPr>
      </w:pPr>
      <w:r>
        <w:t>O</w:t>
      </w:r>
      <w:r w:rsidR="00981584">
        <w:t>utline your understanding of what social value judgements are, how these can be used to inform decision making in NICE’s guidance development process and what challenges you think NICE faces in identifying social value judgements.</w:t>
      </w:r>
    </w:p>
    <w:p w14:paraId="384ECF5A" w14:textId="1D174921" w:rsidR="00981584" w:rsidRDefault="003D425F" w:rsidP="00BA62E5">
      <w:pPr>
        <w:pStyle w:val="NICEnormal"/>
        <w:numPr>
          <w:ilvl w:val="0"/>
          <w:numId w:val="30"/>
        </w:numPr>
      </w:pPr>
      <w:r>
        <w:t>O</w:t>
      </w:r>
      <w:r w:rsidR="00981584">
        <w:t>utline your understanding and knowledge of the identification and reduction of health inequalities, and the role of NICE in this.</w:t>
      </w:r>
    </w:p>
    <w:p w14:paraId="32FBF500" w14:textId="59383EC1" w:rsidR="00981584" w:rsidRDefault="00981584" w:rsidP="004367CA">
      <w:pPr>
        <w:pStyle w:val="Numberedheading2"/>
      </w:pPr>
      <w:r>
        <w:t xml:space="preserve">Experience, </w:t>
      </w:r>
      <w:proofErr w:type="gramStart"/>
      <w:r>
        <w:t>skills</w:t>
      </w:r>
      <w:proofErr w:type="gramEnd"/>
      <w:r>
        <w:t xml:space="preserve"> and expertise</w:t>
      </w:r>
    </w:p>
    <w:p w14:paraId="06F2E076" w14:textId="14D9D388" w:rsidR="00981584" w:rsidRDefault="00981584" w:rsidP="00BA62E5">
      <w:pPr>
        <w:pStyle w:val="NICEnormal"/>
        <w:numPr>
          <w:ilvl w:val="0"/>
          <w:numId w:val="30"/>
        </w:numPr>
      </w:pPr>
      <w:r>
        <w:t>Outline your previous experience conducting deliberative public engagement, or similar, highlighting any previous work in the areas of health, health inequalities, policy and/or engaging the public on controversial or sensitive topics.</w:t>
      </w:r>
    </w:p>
    <w:p w14:paraId="2E99D214" w14:textId="1C001460" w:rsidR="00981584" w:rsidRDefault="00981584" w:rsidP="00BA62E5">
      <w:pPr>
        <w:pStyle w:val="NICEnormal"/>
        <w:numPr>
          <w:ilvl w:val="0"/>
          <w:numId w:val="30"/>
        </w:numPr>
      </w:pPr>
      <w:r>
        <w:t>Outline your previous experience of using online platforms and tools to run deliberative public engagement activities or similar. Please provide information on which IT platforms were used, the size and scope of the events, how you facilitated discussions and interactivity, and how you managed any the risk of exclusion of participants</w:t>
      </w:r>
      <w:r w:rsidR="00EB6FE8">
        <w:t>,</w:t>
      </w:r>
      <w:r>
        <w:t xml:space="preserve"> </w:t>
      </w:r>
      <w:proofErr w:type="gramStart"/>
      <w:r>
        <w:t>e.g.</w:t>
      </w:r>
      <w:proofErr w:type="gramEnd"/>
      <w:r>
        <w:t xml:space="preserve"> </w:t>
      </w:r>
      <w:r w:rsidR="00EB6FE8">
        <w:t>managing</w:t>
      </w:r>
      <w:r>
        <w:t xml:space="preserve"> lack of IT knowledge.</w:t>
      </w:r>
    </w:p>
    <w:p w14:paraId="5E1D207B" w14:textId="74A66B36" w:rsidR="00981584" w:rsidRDefault="00981584" w:rsidP="00BA62E5">
      <w:pPr>
        <w:pStyle w:val="NICEnormal"/>
        <w:numPr>
          <w:ilvl w:val="0"/>
          <w:numId w:val="30"/>
        </w:numPr>
      </w:pPr>
      <w:r>
        <w:t>Provide two examples of previous work that demonstrate your experience and ability to deliver the requirements of this project to a high standard.  Audio-visual examples are welcome</w:t>
      </w:r>
      <w:r w:rsidR="00EB6FE8">
        <w:t>,</w:t>
      </w:r>
      <w:r>
        <w:t xml:space="preserve"> a hyperlink is acceptable.</w:t>
      </w:r>
    </w:p>
    <w:p w14:paraId="1E73F902" w14:textId="5C1A7DDC" w:rsidR="00981584" w:rsidRDefault="00981584" w:rsidP="00BA62E5">
      <w:pPr>
        <w:pStyle w:val="NICEnormal"/>
        <w:numPr>
          <w:ilvl w:val="0"/>
          <w:numId w:val="30"/>
        </w:numPr>
      </w:pPr>
      <w:r>
        <w:lastRenderedPageBreak/>
        <w:t>Provide the name and role / job titles of the individuals who will be involved in delivering this contract, setting out what areas of work each will be responsible for and their relevant skills and experience, in particular:</w:t>
      </w:r>
    </w:p>
    <w:p w14:paraId="622491E6" w14:textId="37CF5FC5" w:rsidR="00981584" w:rsidRDefault="00981584" w:rsidP="00DD2F1F">
      <w:pPr>
        <w:pStyle w:val="Bulletindent1"/>
      </w:pPr>
      <w:r>
        <w:t>for the individual with lead responsibility for the project: their skills and experience of project management and the design and delivery of public participation/deliberative public engagement activity</w:t>
      </w:r>
      <w:r w:rsidR="00A30313">
        <w:t>.</w:t>
      </w:r>
    </w:p>
    <w:p w14:paraId="2FFE0C08" w14:textId="10BA7402" w:rsidR="00981584" w:rsidRDefault="00981584" w:rsidP="00BA62E5">
      <w:pPr>
        <w:pStyle w:val="Bulletindent1"/>
      </w:pPr>
      <w:r>
        <w:t xml:space="preserve">for those who will prepare for the meeting:  their skills and experience of agenda planning; explaining complex or technical subject matter to lay audiences </w:t>
      </w:r>
      <w:r w:rsidR="00B1574C">
        <w:t xml:space="preserve">both </w:t>
      </w:r>
      <w:r>
        <w:t xml:space="preserve">verbally and in written form; designing and delivering innovative participatory exercises to prompt deliberation and elicit people’s beliefs, </w:t>
      </w:r>
      <w:proofErr w:type="gramStart"/>
      <w:r>
        <w:t>behaviours</w:t>
      </w:r>
      <w:proofErr w:type="gramEnd"/>
      <w:r>
        <w:t xml:space="preserve"> and motivations</w:t>
      </w:r>
      <w:r w:rsidR="00A30313">
        <w:t>.</w:t>
      </w:r>
    </w:p>
    <w:p w14:paraId="402062D4" w14:textId="31C87CB8" w:rsidR="00981584" w:rsidRDefault="00981584" w:rsidP="00BA62E5">
      <w:pPr>
        <w:pStyle w:val="Bulletindent1"/>
      </w:pPr>
      <w:r>
        <w:t>for those who will facilitate the meeting:  their skills and experience of chairing meetings; managing conflict to ensure fair and constructive discussion; and using qualitative research techniques</w:t>
      </w:r>
      <w:r w:rsidR="00B1574C">
        <w:t>,</w:t>
      </w:r>
      <w:r>
        <w:t xml:space="preserve"> </w:t>
      </w:r>
      <w:proofErr w:type="gramStart"/>
      <w:r>
        <w:t>e.g.</w:t>
      </w:r>
      <w:proofErr w:type="gramEnd"/>
      <w:r>
        <w:t xml:space="preserve"> focus groups, interviews, observation</w:t>
      </w:r>
      <w:r w:rsidR="00A30313">
        <w:t>.</w:t>
      </w:r>
    </w:p>
    <w:p w14:paraId="357C2347" w14:textId="17521D8F" w:rsidR="00981584" w:rsidRDefault="00981584" w:rsidP="00BA62E5">
      <w:pPr>
        <w:pStyle w:val="Bulletindent1"/>
      </w:pPr>
      <w:r>
        <w:t>for those who will write the report: their skills and experience of analysing predominantly qualitative findings into concise, readable formats; writing reports for previous deliberative public engagement events, or similar; and writing reports to inform policy</w:t>
      </w:r>
      <w:r w:rsidR="00A30313">
        <w:t>.</w:t>
      </w:r>
    </w:p>
    <w:p w14:paraId="76622079" w14:textId="1AD1D7AF" w:rsidR="00981584" w:rsidRDefault="00981584" w:rsidP="00BA62E5">
      <w:pPr>
        <w:pStyle w:val="Bulletindent1"/>
      </w:pPr>
      <w:r>
        <w:t>for all staff:  their skills and experience of meeting the requirements of the Equalities Act 2010 and ensuring that outputs</w:t>
      </w:r>
      <w:r w:rsidR="00B1574C">
        <w:t>,</w:t>
      </w:r>
      <w:r>
        <w:t xml:space="preserve"> </w:t>
      </w:r>
      <w:r w:rsidR="00B1574C">
        <w:t>including</w:t>
      </w:r>
      <w:r>
        <w:t xml:space="preserve"> written materials, presentation design and content, interactive / deliberative exercises are fully accessible for all protected characteristic groups</w:t>
      </w:r>
      <w:r w:rsidR="00A30313">
        <w:t>.</w:t>
      </w:r>
    </w:p>
    <w:p w14:paraId="2D84BF50" w14:textId="26296014" w:rsidR="00981584" w:rsidRDefault="00981584" w:rsidP="00DD2F1F">
      <w:pPr>
        <w:pStyle w:val="Bulletindent1"/>
      </w:pPr>
      <w:r>
        <w:t>Please also explain how you would source additional support (within the existing contract value) if it were required.</w:t>
      </w:r>
    </w:p>
    <w:p w14:paraId="58AC358E" w14:textId="77777777" w:rsidR="00981584" w:rsidRDefault="00981584" w:rsidP="004367CA">
      <w:pPr>
        <w:pStyle w:val="Numberedheading2"/>
      </w:pPr>
      <w:r>
        <w:t>Proposed methodology</w:t>
      </w:r>
    </w:p>
    <w:p w14:paraId="618F6C17" w14:textId="4544A14B" w:rsidR="00981584" w:rsidRDefault="00981584" w:rsidP="00BA62E5">
      <w:pPr>
        <w:pStyle w:val="NICEnormal"/>
        <w:numPr>
          <w:ilvl w:val="0"/>
          <w:numId w:val="30"/>
        </w:numPr>
      </w:pPr>
      <w:r>
        <w:t>Outline</w:t>
      </w:r>
      <w:r w:rsidR="00167FBC">
        <w:t xml:space="preserve"> and justify</w:t>
      </w:r>
      <w:r>
        <w:t xml:space="preserve"> your approach to delivering this project, in particular: </w:t>
      </w:r>
    </w:p>
    <w:p w14:paraId="56329096" w14:textId="250B534F" w:rsidR="00981584" w:rsidRDefault="00981584" w:rsidP="00DD2F1F">
      <w:pPr>
        <w:pStyle w:val="Bulletindent1"/>
        <w:numPr>
          <w:ilvl w:val="1"/>
          <w:numId w:val="30"/>
        </w:numPr>
      </w:pPr>
      <w:r>
        <w:t>your timeframe for conducting the work assuming a start date of 23rd August 2021, we suggest including this as a Gantt chart</w:t>
      </w:r>
      <w:r w:rsidR="00B1574C">
        <w:t xml:space="preserve"> or similar</w:t>
      </w:r>
      <w:r w:rsidR="00A30313">
        <w:t>.</w:t>
      </w:r>
    </w:p>
    <w:p w14:paraId="6CE1A959" w14:textId="777F5330" w:rsidR="00981584" w:rsidRDefault="00981584" w:rsidP="00DD2F1F">
      <w:pPr>
        <w:pStyle w:val="Bulletindent1"/>
        <w:numPr>
          <w:ilvl w:val="1"/>
          <w:numId w:val="30"/>
        </w:numPr>
      </w:pPr>
      <w:r>
        <w:t>your approach to recruitment of a representative sample, including proposed sample size</w:t>
      </w:r>
      <w:r w:rsidR="00A30313">
        <w:t>.</w:t>
      </w:r>
    </w:p>
    <w:p w14:paraId="282AB9E3" w14:textId="2FFDA8F7" w:rsidR="00981584" w:rsidRDefault="00981584" w:rsidP="00DD2F1F">
      <w:pPr>
        <w:pStyle w:val="Bulletindent1"/>
        <w:numPr>
          <w:ilvl w:val="1"/>
          <w:numId w:val="30"/>
        </w:numPr>
      </w:pPr>
      <w:r>
        <w:lastRenderedPageBreak/>
        <w:t>your proposed format for the meeting</w:t>
      </w:r>
      <w:r w:rsidR="00B1574C">
        <w:t>,</w:t>
      </w:r>
      <w:r>
        <w:t xml:space="preserve"> face-to-face, virtual</w:t>
      </w:r>
      <w:r w:rsidR="00B1574C">
        <w:t>,</w:t>
      </w:r>
      <w:r>
        <w:t xml:space="preserve"> </w:t>
      </w:r>
      <w:proofErr w:type="gramStart"/>
      <w:r>
        <w:t>mixed</w:t>
      </w:r>
      <w:proofErr w:type="gramEnd"/>
      <w:r w:rsidR="00B1574C">
        <w:t xml:space="preserve"> or other</w:t>
      </w:r>
      <w:r w:rsidR="00A30313">
        <w:t>.</w:t>
      </w:r>
    </w:p>
    <w:p w14:paraId="0A2A0B5D" w14:textId="2D504E72" w:rsidR="00981584" w:rsidRDefault="00981584" w:rsidP="00DD2F1F">
      <w:pPr>
        <w:pStyle w:val="Bulletindent1"/>
        <w:numPr>
          <w:ilvl w:val="1"/>
          <w:numId w:val="30"/>
        </w:numPr>
      </w:pPr>
      <w:r>
        <w:t>your approach to designing the agenda and identifying and selecting appropriate speakers</w:t>
      </w:r>
      <w:r w:rsidR="00A30313">
        <w:t>.</w:t>
      </w:r>
    </w:p>
    <w:p w14:paraId="0A02B6B8" w14:textId="7586C69F" w:rsidR="00981584" w:rsidRDefault="00981584" w:rsidP="00DD2F1F">
      <w:pPr>
        <w:pStyle w:val="Bulletindent1"/>
        <w:numPr>
          <w:ilvl w:val="1"/>
          <w:numId w:val="30"/>
        </w:numPr>
      </w:pPr>
      <w:r>
        <w:t xml:space="preserve">your approach to planning and preparing the interactive </w:t>
      </w:r>
      <w:r w:rsidR="00B1574C">
        <w:t>and</w:t>
      </w:r>
      <w:r>
        <w:t xml:space="preserve"> deliberative elements of the event</w:t>
      </w:r>
      <w:r w:rsidR="00A30313">
        <w:t>.</w:t>
      </w:r>
    </w:p>
    <w:p w14:paraId="252872B5" w14:textId="6B99E3E1" w:rsidR="00981584" w:rsidRDefault="00BA62E5" w:rsidP="00DD2F1F">
      <w:pPr>
        <w:pStyle w:val="Bulletindent1"/>
        <w:numPr>
          <w:ilvl w:val="1"/>
          <w:numId w:val="30"/>
        </w:numPr>
      </w:pPr>
      <w:r>
        <w:t>y</w:t>
      </w:r>
      <w:r w:rsidR="00981584">
        <w:t xml:space="preserve">our approach to facilitating and maintaining engagement including </w:t>
      </w:r>
      <w:r w:rsidR="00B1574C">
        <w:t>the number of</w:t>
      </w:r>
      <w:r w:rsidR="00981584">
        <w:t xml:space="preserve"> facilitators you will use</w:t>
      </w:r>
      <w:r w:rsidR="00A30313">
        <w:t>.</w:t>
      </w:r>
    </w:p>
    <w:p w14:paraId="20F91652" w14:textId="66441B88" w:rsidR="00167FBC" w:rsidRDefault="00981584" w:rsidP="00167FBC">
      <w:pPr>
        <w:pStyle w:val="Bulletindent1"/>
        <w:numPr>
          <w:ilvl w:val="1"/>
          <w:numId w:val="30"/>
        </w:numPr>
      </w:pPr>
      <w:r>
        <w:t>your approach for evaluating and reporting on the meeting</w:t>
      </w:r>
      <w:r w:rsidR="00BA62E5">
        <w:t>.</w:t>
      </w:r>
    </w:p>
    <w:p w14:paraId="7C994643" w14:textId="77777777" w:rsidR="00981584" w:rsidRDefault="00981584" w:rsidP="00BA62E5">
      <w:pPr>
        <w:pStyle w:val="Numberedheading2"/>
      </w:pPr>
      <w:r>
        <w:t>Quality assurance</w:t>
      </w:r>
    </w:p>
    <w:p w14:paraId="1F296823" w14:textId="0EE3FDBD" w:rsidR="00981584" w:rsidRDefault="00981584" w:rsidP="00DD2F1F">
      <w:pPr>
        <w:pStyle w:val="NICEnormal"/>
        <w:numPr>
          <w:ilvl w:val="0"/>
          <w:numId w:val="30"/>
        </w:numPr>
      </w:pPr>
      <w:r>
        <w:t>Detail your quality assurance processes that will ensure the delivery of the project in a timely manner. Please describe your internal monitoring, reporting and sign-off procedures for the work and the outputs.</w:t>
      </w:r>
    </w:p>
    <w:p w14:paraId="01952FD2" w14:textId="77777777" w:rsidR="00D61945" w:rsidRDefault="00981584" w:rsidP="00DD2F1F">
      <w:pPr>
        <w:pStyle w:val="NICEnormal"/>
        <w:numPr>
          <w:ilvl w:val="0"/>
          <w:numId w:val="30"/>
        </w:numPr>
      </w:pPr>
      <w:r>
        <w:t xml:space="preserve">Please identify the risks you consider to be associated with this project and explain how you would mitigate each risk. Please include here how you will adapt your proposed methodology if COVID-19 restrictions prevent meeting face-to-face. </w:t>
      </w:r>
    </w:p>
    <w:p w14:paraId="3FAAAC08" w14:textId="5CE92053" w:rsidR="00D61945" w:rsidRPr="00785A70" w:rsidRDefault="00D61945" w:rsidP="00A333E3">
      <w:pPr>
        <w:pStyle w:val="Numberedheading2"/>
      </w:pPr>
      <w:r w:rsidRPr="00785A70">
        <w:t xml:space="preserve">Policies, Certifications and Financial Statements </w:t>
      </w:r>
    </w:p>
    <w:p w14:paraId="1A80C53B" w14:textId="4D84D859" w:rsidR="00D61945" w:rsidRPr="00785A70" w:rsidRDefault="00D61945" w:rsidP="00A333E3">
      <w:pPr>
        <w:pStyle w:val="NICEnormal"/>
        <w:numPr>
          <w:ilvl w:val="0"/>
          <w:numId w:val="30"/>
        </w:numPr>
      </w:pPr>
      <w:r w:rsidRPr="00785A70">
        <w:t>As required by Public Sector regulations and in line with best practice, please provide one copy each of your organisation’s policies relating to the following:</w:t>
      </w:r>
    </w:p>
    <w:p w14:paraId="591B2307" w14:textId="77777777" w:rsidR="00D61945" w:rsidRPr="00785A70" w:rsidRDefault="00D61945" w:rsidP="00785A70">
      <w:pPr>
        <w:numPr>
          <w:ilvl w:val="1"/>
          <w:numId w:val="34"/>
        </w:numPr>
        <w:spacing w:line="360" w:lineRule="auto"/>
        <w:ind w:left="1996"/>
        <w:jc w:val="both"/>
        <w:rPr>
          <w:rFonts w:ascii="Arial" w:hAnsi="Arial" w:cs="Arial"/>
        </w:rPr>
      </w:pPr>
      <w:r w:rsidRPr="00785A70">
        <w:rPr>
          <w:rFonts w:ascii="Arial" w:hAnsi="Arial" w:cs="Arial"/>
        </w:rPr>
        <w:t>Health and Safety</w:t>
      </w:r>
    </w:p>
    <w:p w14:paraId="011B9F09" w14:textId="77777777" w:rsidR="00D61945" w:rsidRPr="00785A70" w:rsidRDefault="00D61945" w:rsidP="00785A70">
      <w:pPr>
        <w:numPr>
          <w:ilvl w:val="1"/>
          <w:numId w:val="34"/>
        </w:numPr>
        <w:spacing w:line="360" w:lineRule="auto"/>
        <w:ind w:left="1996"/>
        <w:jc w:val="both"/>
        <w:rPr>
          <w:rFonts w:ascii="Arial" w:hAnsi="Arial" w:cs="Arial"/>
        </w:rPr>
      </w:pPr>
      <w:r w:rsidRPr="00785A70">
        <w:rPr>
          <w:rFonts w:ascii="Arial" w:hAnsi="Arial" w:cs="Arial"/>
        </w:rPr>
        <w:t>Environmental</w:t>
      </w:r>
    </w:p>
    <w:p w14:paraId="1BB0C76E" w14:textId="04833849" w:rsidR="00D61945" w:rsidRPr="00785A70" w:rsidRDefault="00D61945" w:rsidP="00785A70">
      <w:pPr>
        <w:numPr>
          <w:ilvl w:val="1"/>
          <w:numId w:val="34"/>
        </w:numPr>
        <w:spacing w:line="360" w:lineRule="auto"/>
        <w:ind w:left="1996"/>
        <w:jc w:val="both"/>
        <w:rPr>
          <w:rFonts w:ascii="Arial" w:hAnsi="Arial" w:cs="Arial"/>
        </w:rPr>
      </w:pPr>
      <w:r w:rsidRPr="00785A70">
        <w:rPr>
          <w:rFonts w:ascii="Arial" w:hAnsi="Arial" w:cs="Arial"/>
        </w:rPr>
        <w:t xml:space="preserve">Equal Opportunities and Diversity in the </w:t>
      </w:r>
      <w:proofErr w:type="gramStart"/>
      <w:r w:rsidRPr="00785A70">
        <w:rPr>
          <w:rFonts w:ascii="Arial" w:hAnsi="Arial" w:cs="Arial"/>
        </w:rPr>
        <w:t>Work Place</w:t>
      </w:r>
      <w:proofErr w:type="gramEnd"/>
    </w:p>
    <w:p w14:paraId="67DF926A" w14:textId="77777777" w:rsidR="00D61945" w:rsidRPr="00785A70" w:rsidRDefault="00D61945" w:rsidP="00785A70">
      <w:pPr>
        <w:numPr>
          <w:ilvl w:val="1"/>
          <w:numId w:val="34"/>
        </w:numPr>
        <w:spacing w:line="360" w:lineRule="auto"/>
        <w:ind w:left="1996"/>
        <w:jc w:val="both"/>
        <w:rPr>
          <w:rFonts w:ascii="Arial" w:hAnsi="Arial" w:cs="Arial"/>
        </w:rPr>
      </w:pPr>
      <w:r w:rsidRPr="00785A70">
        <w:rPr>
          <w:rFonts w:ascii="Arial" w:hAnsi="Arial" w:cs="Arial"/>
        </w:rPr>
        <w:t>Modern Slavery Act Compliance</w:t>
      </w:r>
    </w:p>
    <w:p w14:paraId="0700CE7B" w14:textId="77777777" w:rsidR="00D61945" w:rsidRPr="004C231D" w:rsidRDefault="00D61945" w:rsidP="00785A70">
      <w:pPr>
        <w:spacing w:line="360" w:lineRule="auto"/>
        <w:ind w:left="720"/>
        <w:jc w:val="both"/>
        <w:rPr>
          <w:rFonts w:ascii="Arial" w:hAnsi="Arial" w:cs="Arial"/>
          <w:sz w:val="22"/>
          <w:szCs w:val="22"/>
        </w:rPr>
      </w:pPr>
    </w:p>
    <w:p w14:paraId="44FDF7EF" w14:textId="5DE110D6" w:rsidR="00D61945" w:rsidRPr="004C231D" w:rsidRDefault="00DD2F1F" w:rsidP="00DD2F1F">
      <w:pPr>
        <w:pStyle w:val="NICEnormalindented"/>
        <w:ind w:left="426"/>
        <w:rPr>
          <w:b/>
          <w:i/>
        </w:rPr>
      </w:pPr>
      <w:r>
        <w:t xml:space="preserve">We </w:t>
      </w:r>
      <w:r w:rsidR="00D61945" w:rsidRPr="004C231D">
        <w:t xml:space="preserve">recognise that some SMEs (small, medium enterprises) (less than 50 people for a small enterprise and less than 250 for a medium enterprise) may not have formal policies available but still operate their businesses in a manner that is conducive to the above. </w:t>
      </w:r>
      <w:r w:rsidR="00D61945">
        <w:t xml:space="preserve"> </w:t>
      </w:r>
      <w:r w:rsidR="00D61945" w:rsidRPr="004C231D">
        <w:t xml:space="preserve">If you are an SME and do not have formal policies in place, please submit with your response, a written statement on how your company operates </w:t>
      </w:r>
      <w:proofErr w:type="gramStart"/>
      <w:r w:rsidR="00D61945" w:rsidRPr="004C231D">
        <w:t>in light of</w:t>
      </w:r>
      <w:proofErr w:type="gramEnd"/>
      <w:r w:rsidR="00D61945" w:rsidRPr="004C231D">
        <w:t xml:space="preserve"> the above areas of legislation and best practice</w:t>
      </w:r>
      <w:r w:rsidR="00D61945" w:rsidRPr="004C231D">
        <w:rPr>
          <w:b/>
          <w:i/>
        </w:rPr>
        <w:t xml:space="preserve">.  </w:t>
      </w:r>
    </w:p>
    <w:p w14:paraId="5E1D6EF4" w14:textId="09C81073" w:rsidR="00D61945" w:rsidRDefault="00D61945" w:rsidP="00785A70">
      <w:pPr>
        <w:spacing w:line="360" w:lineRule="auto"/>
        <w:ind w:left="1287"/>
        <w:jc w:val="both"/>
        <w:rPr>
          <w:rFonts w:ascii="Arial" w:hAnsi="Arial" w:cs="Arial"/>
          <w:sz w:val="22"/>
          <w:szCs w:val="22"/>
        </w:rPr>
      </w:pPr>
    </w:p>
    <w:p w14:paraId="5B2BB9DB" w14:textId="3785FB99" w:rsidR="00A30313" w:rsidRDefault="00A30313" w:rsidP="00785A70">
      <w:pPr>
        <w:spacing w:line="360" w:lineRule="auto"/>
        <w:ind w:left="1287"/>
        <w:jc w:val="both"/>
        <w:rPr>
          <w:rFonts w:ascii="Arial" w:hAnsi="Arial" w:cs="Arial"/>
          <w:sz w:val="22"/>
          <w:szCs w:val="22"/>
        </w:rPr>
      </w:pPr>
    </w:p>
    <w:p w14:paraId="2A11EBC8" w14:textId="77777777" w:rsidR="00A30313" w:rsidRPr="004C231D" w:rsidRDefault="00A30313" w:rsidP="00785A70">
      <w:pPr>
        <w:spacing w:line="360" w:lineRule="auto"/>
        <w:ind w:left="1287"/>
        <w:jc w:val="both"/>
        <w:rPr>
          <w:rFonts w:ascii="Arial" w:hAnsi="Arial" w:cs="Arial"/>
          <w:sz w:val="22"/>
          <w:szCs w:val="22"/>
        </w:rPr>
      </w:pPr>
    </w:p>
    <w:p w14:paraId="04E92BCC" w14:textId="0F567BD9" w:rsidR="00D61945" w:rsidRPr="00B87929" w:rsidRDefault="00D61945" w:rsidP="00B87929">
      <w:pPr>
        <w:pStyle w:val="NICEnormalindented"/>
        <w:ind w:left="0"/>
      </w:pPr>
      <w:r w:rsidRPr="00785A70">
        <w:t>In addition</w:t>
      </w:r>
      <w:r w:rsidR="00785A70">
        <w:t>,</w:t>
      </w:r>
      <w:r w:rsidRPr="00785A70">
        <w:t xml:space="preserve"> please provide the following: </w:t>
      </w:r>
    </w:p>
    <w:p w14:paraId="0041E111" w14:textId="137D6EF4" w:rsidR="00D61945" w:rsidRPr="00785A70" w:rsidRDefault="00D61945" w:rsidP="00DD2F1F">
      <w:pPr>
        <w:pStyle w:val="Bulletindent1"/>
        <w:numPr>
          <w:ilvl w:val="1"/>
          <w:numId w:val="34"/>
        </w:numPr>
      </w:pPr>
      <w:r w:rsidRPr="00785A70">
        <w:t>The last three years of audited accounts for your organisation.  If your organisation is an SME and you do not have audited accounts, please provide 3 years of balance sheets.</w:t>
      </w:r>
    </w:p>
    <w:p w14:paraId="7A64063D" w14:textId="77777777" w:rsidR="00D61945" w:rsidRPr="00785A70" w:rsidRDefault="00D61945" w:rsidP="00785A70">
      <w:pPr>
        <w:pStyle w:val="Bulletindent1"/>
        <w:numPr>
          <w:ilvl w:val="0"/>
          <w:numId w:val="0"/>
        </w:numPr>
        <w:ind w:left="1418"/>
      </w:pPr>
    </w:p>
    <w:p w14:paraId="6A5053C9" w14:textId="75582729" w:rsidR="00D61945" w:rsidRPr="00785A70" w:rsidRDefault="00D61945" w:rsidP="00DD2F1F">
      <w:pPr>
        <w:pStyle w:val="Bulletindent1"/>
        <w:numPr>
          <w:ilvl w:val="1"/>
          <w:numId w:val="34"/>
        </w:numPr>
      </w:pPr>
      <w:r w:rsidRPr="00785A70">
        <w:t>A declaration (if applicable) of all current projects with clients or partners that your department/ group/organisation is currently working with which could be seen as being detrimental or ethically opposed to the health aims promoted by NICE.</w:t>
      </w:r>
    </w:p>
    <w:p w14:paraId="26AB3763" w14:textId="77777777" w:rsidR="00D61945" w:rsidRPr="00785A70" w:rsidRDefault="00D61945" w:rsidP="00785A70">
      <w:pPr>
        <w:pStyle w:val="Bulletindent1"/>
        <w:numPr>
          <w:ilvl w:val="0"/>
          <w:numId w:val="0"/>
        </w:numPr>
        <w:rPr>
          <w:bCs/>
        </w:rPr>
      </w:pPr>
    </w:p>
    <w:p w14:paraId="1178A3FD" w14:textId="28433858" w:rsidR="00D61945" w:rsidRPr="00785A70" w:rsidRDefault="00D61945" w:rsidP="00DD2F1F">
      <w:pPr>
        <w:pStyle w:val="Bulletindent1"/>
        <w:numPr>
          <w:ilvl w:val="1"/>
          <w:numId w:val="34"/>
        </w:numPr>
      </w:pPr>
      <w:r w:rsidRPr="00DD2F1F">
        <w:rPr>
          <w:bCs/>
        </w:rPr>
        <w:t xml:space="preserve">If your organisation (whole organisation including parent, </w:t>
      </w:r>
      <w:proofErr w:type="gramStart"/>
      <w:r w:rsidRPr="00DD2F1F">
        <w:rPr>
          <w:bCs/>
        </w:rPr>
        <w:t>group</w:t>
      </w:r>
      <w:proofErr w:type="gramEnd"/>
      <w:r w:rsidRPr="00DD2F1F">
        <w:rPr>
          <w:bCs/>
        </w:rPr>
        <w:t xml:space="preserve"> or subsidiary) has a turnover of £36 million pounds or greater then </w:t>
      </w:r>
      <w:r w:rsidRPr="00DD2F1F">
        <w:rPr>
          <w:bCs/>
          <w:color w:val="44546A"/>
        </w:rPr>
        <w:t>p</w:t>
      </w:r>
      <w:r w:rsidRPr="00DD2F1F">
        <w:rPr>
          <w:bCs/>
        </w:rPr>
        <w:t xml:space="preserve">lease provide a Modern Slavery Act Transparency Statement: this should set out the steps you have taken to ensure there is no modern slavery in your own organisation/business and that of your supply chain.  If your organisation has taken no steps to ensure there is no modern slavery in your own organisation, then your statement should say so.  [Please note: a parent org/ group statement is </w:t>
      </w:r>
      <w:proofErr w:type="gramStart"/>
      <w:r w:rsidRPr="00DD2F1F">
        <w:rPr>
          <w:bCs/>
        </w:rPr>
        <w:t>acceptable,</w:t>
      </w:r>
      <w:proofErr w:type="gramEnd"/>
      <w:r w:rsidRPr="00DD2F1F">
        <w:rPr>
          <w:bCs/>
        </w:rPr>
        <w:t xml:space="preserve"> this is compliance with the Modern Slavery Act 2015.]</w:t>
      </w:r>
    </w:p>
    <w:p w14:paraId="5C37DE46" w14:textId="77777777" w:rsidR="00D61945" w:rsidRPr="004C231D" w:rsidRDefault="00D61945" w:rsidP="00D61945">
      <w:pPr>
        <w:spacing w:line="360" w:lineRule="auto"/>
        <w:contextualSpacing/>
        <w:jc w:val="both"/>
        <w:rPr>
          <w:rFonts w:ascii="Arial" w:hAnsi="Arial" w:cs="Arial"/>
          <w:sz w:val="22"/>
          <w:szCs w:val="22"/>
        </w:rPr>
      </w:pPr>
    </w:p>
    <w:p w14:paraId="66571A90" w14:textId="3B045BF4" w:rsidR="00D61945" w:rsidRPr="00394CE2" w:rsidRDefault="00394CE2" w:rsidP="00DD2F1F">
      <w:pPr>
        <w:pStyle w:val="Numberedheading2"/>
        <w:ind w:left="414" w:firstLine="153"/>
        <w:rPr>
          <w:b w:val="0"/>
          <w:bCs w:val="0"/>
          <w:sz w:val="24"/>
          <w:szCs w:val="24"/>
        </w:rPr>
      </w:pPr>
      <w:r w:rsidRPr="00394CE2">
        <w:rPr>
          <w:b w:val="0"/>
          <w:bCs w:val="0"/>
          <w:sz w:val="24"/>
          <w:szCs w:val="24"/>
        </w:rPr>
        <w:t xml:space="preserve">11.1 </w:t>
      </w:r>
      <w:r w:rsidR="00D61945" w:rsidRPr="00394CE2">
        <w:rPr>
          <w:b w:val="0"/>
          <w:bCs w:val="0"/>
          <w:sz w:val="24"/>
          <w:szCs w:val="24"/>
        </w:rPr>
        <w:t>References</w:t>
      </w:r>
    </w:p>
    <w:p w14:paraId="36A2FF2C" w14:textId="77777777" w:rsidR="00D61945" w:rsidRPr="004C231D" w:rsidRDefault="00D61945" w:rsidP="00DD2F1F">
      <w:pPr>
        <w:pStyle w:val="Numberedheading2"/>
        <w:spacing w:before="0" w:after="0"/>
        <w:ind w:firstLine="153"/>
        <w:rPr>
          <w:b w:val="0"/>
          <w:i/>
          <w:sz w:val="22"/>
          <w:szCs w:val="22"/>
        </w:rPr>
      </w:pPr>
    </w:p>
    <w:p w14:paraId="4D8FEA7E" w14:textId="6EF13B60" w:rsidR="006D65DC" w:rsidRDefault="00D61945" w:rsidP="00DD2F1F">
      <w:pPr>
        <w:pStyle w:val="NICEnormalindented"/>
      </w:pPr>
      <w:r w:rsidRPr="00394CE2">
        <w:t xml:space="preserve">Supply the names and contact details of two recent clients who would be willing to provide a confidential reference in support of the proposal, where either the same or very similar work to that being requested here, has been undertaken within the last 3 years. </w:t>
      </w:r>
    </w:p>
    <w:p w14:paraId="73F7675E" w14:textId="723CF0F8" w:rsidR="00981584" w:rsidRDefault="00981584" w:rsidP="004367CA">
      <w:pPr>
        <w:pStyle w:val="Numberedheading2"/>
      </w:pPr>
      <w:r>
        <w:lastRenderedPageBreak/>
        <w:t>Costs</w:t>
      </w:r>
    </w:p>
    <w:p w14:paraId="02475C13" w14:textId="57304A51" w:rsidR="00981584" w:rsidRPr="00BA62E5" w:rsidRDefault="00981584" w:rsidP="00DD2F1F">
      <w:pPr>
        <w:pStyle w:val="NICEnormal"/>
        <w:numPr>
          <w:ilvl w:val="0"/>
          <w:numId w:val="30"/>
        </w:numPr>
      </w:pPr>
      <w:r w:rsidRPr="00BA62E5">
        <w:t>Please provide details of</w:t>
      </w:r>
      <w:r w:rsidR="00394CE2" w:rsidRPr="00394CE2">
        <w:t xml:space="preserve"> </w:t>
      </w:r>
      <w:r w:rsidR="00394CE2">
        <w:t>your budget breakdown</w:t>
      </w:r>
      <w:r w:rsidR="00DD2F1F">
        <w:t xml:space="preserve"> using the </w:t>
      </w:r>
      <w:r w:rsidR="007D2A5F">
        <w:t>format given</w:t>
      </w:r>
      <w:r w:rsidR="00DD2F1F">
        <w:t xml:space="preserve"> below</w:t>
      </w:r>
      <w:r w:rsidR="00394CE2">
        <w:t>, including:</w:t>
      </w:r>
    </w:p>
    <w:p w14:paraId="06A3E799" w14:textId="6C620732" w:rsidR="00981584" w:rsidRDefault="00981584" w:rsidP="00DD2F1F">
      <w:pPr>
        <w:pStyle w:val="Bulletindent1"/>
        <w:numPr>
          <w:ilvl w:val="1"/>
          <w:numId w:val="30"/>
        </w:numPr>
      </w:pPr>
      <w:r>
        <w:t>The role / job titles of the individuals you will supply</w:t>
      </w:r>
      <w:r w:rsidR="00A30313">
        <w:t>.</w:t>
      </w:r>
    </w:p>
    <w:p w14:paraId="58F88FE1" w14:textId="4A8179DB" w:rsidR="00981584" w:rsidRDefault="00981584" w:rsidP="00DD2F1F">
      <w:pPr>
        <w:pStyle w:val="Bulletindent1"/>
        <w:numPr>
          <w:ilvl w:val="1"/>
          <w:numId w:val="30"/>
        </w:numPr>
      </w:pPr>
      <w:r>
        <w:t xml:space="preserve">How many person-days you expect to use per project for </w:t>
      </w:r>
      <w:proofErr w:type="gramStart"/>
      <w:r>
        <w:t>each individual</w:t>
      </w:r>
      <w:proofErr w:type="gramEnd"/>
      <w:r w:rsidR="00FD21A4">
        <w:t>?</w:t>
      </w:r>
    </w:p>
    <w:p w14:paraId="52B49D85" w14:textId="0CF216A5" w:rsidR="00981584" w:rsidRDefault="00981584" w:rsidP="00DD2F1F">
      <w:pPr>
        <w:pStyle w:val="Bulletindent1"/>
        <w:numPr>
          <w:ilvl w:val="1"/>
          <w:numId w:val="30"/>
        </w:numPr>
      </w:pPr>
      <w:r>
        <w:t xml:space="preserve">Day rates for </w:t>
      </w:r>
      <w:proofErr w:type="gramStart"/>
      <w:r>
        <w:t>each individual</w:t>
      </w:r>
      <w:proofErr w:type="gramEnd"/>
      <w:r w:rsidR="00A30313">
        <w:t>.</w:t>
      </w:r>
    </w:p>
    <w:p w14:paraId="760BCC5B" w14:textId="3C646C80" w:rsidR="00981584" w:rsidRDefault="00DD2F1F" w:rsidP="00DD2F1F">
      <w:pPr>
        <w:pStyle w:val="Bulletindent1"/>
        <w:numPr>
          <w:ilvl w:val="1"/>
          <w:numId w:val="30"/>
        </w:numPr>
      </w:pPr>
      <w:r>
        <w:rPr>
          <w:rStyle w:val="Bulletindent1Char"/>
        </w:rPr>
        <w:t>N</w:t>
      </w:r>
      <w:r w:rsidR="00981584" w:rsidRPr="00BA62E5">
        <w:rPr>
          <w:rStyle w:val="Bulletindent1Char"/>
        </w:rPr>
        <w:t>on staff costs, to include, but not limited to:</w:t>
      </w:r>
      <w:r w:rsidR="00981584">
        <w:t xml:space="preserve"> </w:t>
      </w:r>
    </w:p>
    <w:p w14:paraId="3DABC57B" w14:textId="02DA2907" w:rsidR="00981584" w:rsidRDefault="00981584" w:rsidP="00BA62E5">
      <w:pPr>
        <w:pStyle w:val="Bulletindent2"/>
      </w:pPr>
      <w:r>
        <w:t>venue and refreshment costs (if relevant</w:t>
      </w:r>
      <w:proofErr w:type="gramStart"/>
      <w:r>
        <w:t>)</w:t>
      </w:r>
      <w:r w:rsidR="00A333E3">
        <w:t>;</w:t>
      </w:r>
      <w:proofErr w:type="gramEnd"/>
    </w:p>
    <w:p w14:paraId="01C3D46E" w14:textId="1E4FD92E" w:rsidR="00981584" w:rsidRDefault="00981584" w:rsidP="00BA62E5">
      <w:pPr>
        <w:pStyle w:val="Bulletindent2"/>
      </w:pPr>
      <w:r>
        <w:t>incentives for</w:t>
      </w:r>
      <w:r w:rsidR="002443AA">
        <w:t xml:space="preserve"> participants</w:t>
      </w:r>
      <w:r>
        <w:t xml:space="preserve">’ time as per rates stated in paragraph </w:t>
      </w:r>
      <w:r w:rsidR="004367CA">
        <w:t>5.1</w:t>
      </w:r>
      <w:r w:rsidR="00A333E3">
        <w:t>4</w:t>
      </w:r>
      <w:r w:rsidR="004367CA">
        <w:t xml:space="preserve"> of this specification. </w:t>
      </w:r>
      <w:r>
        <w:t xml:space="preserve">Please justify any change to these </w:t>
      </w:r>
      <w:proofErr w:type="gramStart"/>
      <w:r>
        <w:t>rates</w:t>
      </w:r>
      <w:r w:rsidR="00A333E3">
        <w:t>;</w:t>
      </w:r>
      <w:proofErr w:type="gramEnd"/>
    </w:p>
    <w:p w14:paraId="50B94425" w14:textId="784B81B7" w:rsidR="00981584" w:rsidRDefault="00981584" w:rsidP="00BA62E5">
      <w:pPr>
        <w:pStyle w:val="Bulletindent2"/>
      </w:pPr>
      <w:r>
        <w:t xml:space="preserve">all reasonable expenses incurred by </w:t>
      </w:r>
      <w:r w:rsidR="002443AA">
        <w:t xml:space="preserve">participants </w:t>
      </w:r>
      <w:r>
        <w:t xml:space="preserve">including travel, accommodation and </w:t>
      </w:r>
      <w:proofErr w:type="gramStart"/>
      <w:r>
        <w:t>refreshments</w:t>
      </w:r>
      <w:r w:rsidR="00A333E3">
        <w:t>;</w:t>
      </w:r>
      <w:proofErr w:type="gramEnd"/>
    </w:p>
    <w:p w14:paraId="6E782485" w14:textId="69EC5A1C" w:rsidR="00981584" w:rsidRDefault="00981584" w:rsidP="00BA62E5">
      <w:pPr>
        <w:pStyle w:val="Bulletindent2"/>
      </w:pPr>
      <w:r>
        <w:t xml:space="preserve">all reasonable expenses incurred by speakers including travel, </w:t>
      </w:r>
      <w:proofErr w:type="gramStart"/>
      <w:r>
        <w:t>accommodation</w:t>
      </w:r>
      <w:proofErr w:type="gramEnd"/>
      <w:r>
        <w:t xml:space="preserve"> and refreshments. Please </w:t>
      </w:r>
      <w:proofErr w:type="gramStart"/>
      <w:r>
        <w:t>note:</w:t>
      </w:r>
      <w:proofErr w:type="gramEnd"/>
      <w:r>
        <w:t xml:space="preserve"> we do not expect the speakers to be paid a fee for attending</w:t>
      </w:r>
      <w:r w:rsidR="00A333E3">
        <w:t>;</w:t>
      </w:r>
    </w:p>
    <w:p w14:paraId="121DF46F" w14:textId="1C8058C4" w:rsidR="00981584" w:rsidRDefault="00981584" w:rsidP="00BA62E5">
      <w:pPr>
        <w:pStyle w:val="Bulletindent2"/>
      </w:pPr>
      <w:r>
        <w:t xml:space="preserve">costs for appropriate accessibility services </w:t>
      </w:r>
      <w:proofErr w:type="gramStart"/>
      <w:r>
        <w:t>e.g.</w:t>
      </w:r>
      <w:proofErr w:type="gramEnd"/>
      <w:r>
        <w:t xml:space="preserve"> sign language interpreters</w:t>
      </w:r>
      <w:r w:rsidR="00A333E3">
        <w:t>;</w:t>
      </w:r>
    </w:p>
    <w:p w14:paraId="66D70D9A" w14:textId="3E5B6D97" w:rsidR="00167FBC" w:rsidRDefault="00981584" w:rsidP="00BA62E5">
      <w:pPr>
        <w:pStyle w:val="Bulletindent2"/>
      </w:pPr>
      <w:r>
        <w:t xml:space="preserve">all administrative costs associated with the project </w:t>
      </w:r>
      <w:proofErr w:type="gramStart"/>
      <w:r>
        <w:t>e.g.</w:t>
      </w:r>
      <w:proofErr w:type="gramEnd"/>
      <w:r>
        <w:t xml:space="preserve"> postage, telephone calls, data packages</w:t>
      </w:r>
      <w:r w:rsidR="00A30313">
        <w:t>;</w:t>
      </w:r>
    </w:p>
    <w:p w14:paraId="22371261" w14:textId="75E11186" w:rsidR="00981584" w:rsidRDefault="00167FBC" w:rsidP="00BA62E5">
      <w:pPr>
        <w:pStyle w:val="Bulletindent2"/>
      </w:pPr>
      <w:r>
        <w:t>all equipment costs</w:t>
      </w:r>
      <w:r w:rsidR="00A333E3">
        <w:t>.</w:t>
      </w:r>
    </w:p>
    <w:p w14:paraId="1B528B71" w14:textId="77777777" w:rsidR="00BA62E5" w:rsidRDefault="00BA62E5" w:rsidP="00BA62E5">
      <w:pPr>
        <w:pStyle w:val="Bulletindent2"/>
        <w:numPr>
          <w:ilvl w:val="0"/>
          <w:numId w:val="0"/>
        </w:numPr>
        <w:ind w:left="1702"/>
      </w:pPr>
    </w:p>
    <w:p w14:paraId="35C8D4BA" w14:textId="77777777" w:rsidR="00981584" w:rsidRDefault="00981584" w:rsidP="00BA62E5">
      <w:pPr>
        <w:pStyle w:val="NICEnormal"/>
      </w:pPr>
      <w:r>
        <w:t xml:space="preserve">Please state any assumptions used when providing these costs.  </w:t>
      </w:r>
    </w:p>
    <w:p w14:paraId="7495B3F7" w14:textId="66317166" w:rsidR="00981584" w:rsidRDefault="00981584" w:rsidP="00BA62E5">
      <w:pPr>
        <w:pStyle w:val="NICEnormal"/>
      </w:pPr>
      <w:r>
        <w:t>Costs are to be provided in the following format:</w:t>
      </w:r>
    </w:p>
    <w:p w14:paraId="11D84F5E" w14:textId="13D25D84" w:rsidR="007D2A5F" w:rsidRDefault="007D2A5F" w:rsidP="00BA62E5">
      <w:pPr>
        <w:pStyle w:val="NICEnormal"/>
      </w:pPr>
      <w:r>
        <w:t>Staff costs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1276"/>
        <w:gridCol w:w="1417"/>
        <w:gridCol w:w="1468"/>
      </w:tblGrid>
      <w:tr w:rsidR="004367CA" w:rsidRPr="007D28FC" w14:paraId="61606A12" w14:textId="77777777" w:rsidTr="003A647E">
        <w:tc>
          <w:tcPr>
            <w:tcW w:w="4253" w:type="dxa"/>
          </w:tcPr>
          <w:p w14:paraId="277D36B9" w14:textId="77777777" w:rsidR="004367CA" w:rsidRPr="004367CA" w:rsidRDefault="004367CA" w:rsidP="004367CA">
            <w:pPr>
              <w:pStyle w:val="Tableheading"/>
            </w:pPr>
            <w:r w:rsidRPr="004367CA">
              <w:t>Role / job title</w:t>
            </w:r>
          </w:p>
        </w:tc>
        <w:tc>
          <w:tcPr>
            <w:tcW w:w="1276" w:type="dxa"/>
          </w:tcPr>
          <w:p w14:paraId="09A929DB" w14:textId="77777777" w:rsidR="004367CA" w:rsidRPr="004367CA" w:rsidRDefault="004367CA" w:rsidP="004367CA">
            <w:pPr>
              <w:pStyle w:val="Tableheading"/>
            </w:pPr>
            <w:r w:rsidRPr="004367CA">
              <w:t>No. days per project</w:t>
            </w:r>
          </w:p>
        </w:tc>
        <w:tc>
          <w:tcPr>
            <w:tcW w:w="1417" w:type="dxa"/>
          </w:tcPr>
          <w:p w14:paraId="39B77772" w14:textId="77777777" w:rsidR="004367CA" w:rsidRPr="004367CA" w:rsidRDefault="004367CA" w:rsidP="004367CA">
            <w:pPr>
              <w:pStyle w:val="Tableheading"/>
            </w:pPr>
            <w:r w:rsidRPr="004367CA">
              <w:t>Day rate</w:t>
            </w:r>
          </w:p>
        </w:tc>
        <w:tc>
          <w:tcPr>
            <w:tcW w:w="1468" w:type="dxa"/>
          </w:tcPr>
          <w:p w14:paraId="4E6E35CB" w14:textId="77777777" w:rsidR="004367CA" w:rsidRPr="004367CA" w:rsidRDefault="004367CA" w:rsidP="004367CA">
            <w:pPr>
              <w:pStyle w:val="Tableheading"/>
            </w:pPr>
            <w:r w:rsidRPr="004367CA">
              <w:t xml:space="preserve">Total per project ex VAT </w:t>
            </w:r>
          </w:p>
          <w:p w14:paraId="75127D5E" w14:textId="77777777" w:rsidR="004367CA" w:rsidRPr="007D28FC" w:rsidRDefault="004367CA" w:rsidP="004367CA">
            <w:pPr>
              <w:pStyle w:val="Tableheading"/>
              <w:rPr>
                <w:rFonts w:cs="Arial"/>
                <w:bCs/>
                <w:color w:val="000000"/>
              </w:rPr>
            </w:pPr>
            <w:r w:rsidRPr="004367CA">
              <w:t>£000</w:t>
            </w:r>
          </w:p>
        </w:tc>
      </w:tr>
      <w:tr w:rsidR="004367CA" w:rsidRPr="007D28FC" w14:paraId="7F957122" w14:textId="77777777" w:rsidTr="003A647E">
        <w:tc>
          <w:tcPr>
            <w:tcW w:w="4253" w:type="dxa"/>
          </w:tcPr>
          <w:p w14:paraId="4AD2162C" w14:textId="77777777" w:rsidR="004367CA" w:rsidRPr="007D28FC" w:rsidRDefault="004367CA" w:rsidP="003A647E">
            <w:pPr>
              <w:rPr>
                <w:rFonts w:ascii="Arial" w:hAnsi="Arial" w:cs="Arial"/>
                <w:bCs/>
                <w:color w:val="000000"/>
              </w:rPr>
            </w:pPr>
          </w:p>
        </w:tc>
        <w:tc>
          <w:tcPr>
            <w:tcW w:w="1276" w:type="dxa"/>
          </w:tcPr>
          <w:p w14:paraId="78A96375" w14:textId="77777777" w:rsidR="004367CA" w:rsidRPr="007D28FC" w:rsidRDefault="004367CA" w:rsidP="003A647E">
            <w:pPr>
              <w:rPr>
                <w:rFonts w:ascii="Arial" w:hAnsi="Arial" w:cs="Arial"/>
                <w:bCs/>
                <w:color w:val="000000"/>
              </w:rPr>
            </w:pPr>
          </w:p>
        </w:tc>
        <w:tc>
          <w:tcPr>
            <w:tcW w:w="1417" w:type="dxa"/>
          </w:tcPr>
          <w:p w14:paraId="155978AA" w14:textId="77777777" w:rsidR="004367CA" w:rsidRPr="007D28FC" w:rsidRDefault="004367CA" w:rsidP="003A647E">
            <w:pPr>
              <w:rPr>
                <w:rFonts w:ascii="Arial" w:hAnsi="Arial" w:cs="Arial"/>
                <w:bCs/>
                <w:color w:val="000000"/>
              </w:rPr>
            </w:pPr>
          </w:p>
        </w:tc>
        <w:tc>
          <w:tcPr>
            <w:tcW w:w="1468" w:type="dxa"/>
          </w:tcPr>
          <w:p w14:paraId="2476E0A9" w14:textId="77777777" w:rsidR="004367CA" w:rsidRPr="007D28FC" w:rsidRDefault="004367CA" w:rsidP="003A647E">
            <w:pPr>
              <w:rPr>
                <w:rFonts w:ascii="Arial" w:hAnsi="Arial" w:cs="Arial"/>
                <w:bCs/>
                <w:color w:val="000000"/>
              </w:rPr>
            </w:pPr>
          </w:p>
        </w:tc>
      </w:tr>
      <w:tr w:rsidR="004367CA" w:rsidRPr="007D28FC" w14:paraId="6BD4576D" w14:textId="77777777" w:rsidTr="003A647E">
        <w:tc>
          <w:tcPr>
            <w:tcW w:w="4253" w:type="dxa"/>
          </w:tcPr>
          <w:p w14:paraId="4D473E34" w14:textId="77777777" w:rsidR="004367CA" w:rsidRPr="007D28FC" w:rsidRDefault="004367CA" w:rsidP="003A647E">
            <w:pPr>
              <w:rPr>
                <w:rFonts w:ascii="Arial" w:hAnsi="Arial" w:cs="Arial"/>
                <w:b/>
                <w:bCs/>
                <w:color w:val="000000"/>
              </w:rPr>
            </w:pPr>
          </w:p>
        </w:tc>
        <w:tc>
          <w:tcPr>
            <w:tcW w:w="1276" w:type="dxa"/>
          </w:tcPr>
          <w:p w14:paraId="412A2A0E" w14:textId="77777777" w:rsidR="004367CA" w:rsidRPr="007D28FC" w:rsidRDefault="004367CA" w:rsidP="003A647E">
            <w:pPr>
              <w:rPr>
                <w:rFonts w:ascii="Arial" w:hAnsi="Arial" w:cs="Arial"/>
                <w:bCs/>
                <w:color w:val="000000"/>
              </w:rPr>
            </w:pPr>
          </w:p>
        </w:tc>
        <w:tc>
          <w:tcPr>
            <w:tcW w:w="1417" w:type="dxa"/>
          </w:tcPr>
          <w:p w14:paraId="099C3AC6" w14:textId="77777777" w:rsidR="004367CA" w:rsidRPr="007D28FC" w:rsidRDefault="004367CA" w:rsidP="003A647E">
            <w:pPr>
              <w:rPr>
                <w:rFonts w:ascii="Arial" w:hAnsi="Arial" w:cs="Arial"/>
                <w:bCs/>
                <w:color w:val="000000"/>
              </w:rPr>
            </w:pPr>
          </w:p>
        </w:tc>
        <w:tc>
          <w:tcPr>
            <w:tcW w:w="1468" w:type="dxa"/>
          </w:tcPr>
          <w:p w14:paraId="49876FAF" w14:textId="77777777" w:rsidR="004367CA" w:rsidRPr="007D28FC" w:rsidRDefault="004367CA" w:rsidP="003A647E">
            <w:pPr>
              <w:rPr>
                <w:rFonts w:ascii="Arial" w:hAnsi="Arial" w:cs="Arial"/>
                <w:bCs/>
                <w:color w:val="000000"/>
              </w:rPr>
            </w:pPr>
          </w:p>
        </w:tc>
      </w:tr>
      <w:tr w:rsidR="004367CA" w:rsidRPr="007D28FC" w14:paraId="28F4F842" w14:textId="77777777" w:rsidTr="003A647E">
        <w:tc>
          <w:tcPr>
            <w:tcW w:w="4253" w:type="dxa"/>
          </w:tcPr>
          <w:p w14:paraId="4C2ADC0B" w14:textId="77777777" w:rsidR="004367CA" w:rsidRPr="007D28FC" w:rsidRDefault="004367CA" w:rsidP="003A647E">
            <w:pPr>
              <w:rPr>
                <w:rFonts w:ascii="Arial" w:hAnsi="Arial" w:cs="Arial"/>
                <w:b/>
                <w:bCs/>
                <w:color w:val="000000"/>
              </w:rPr>
            </w:pPr>
          </w:p>
        </w:tc>
        <w:tc>
          <w:tcPr>
            <w:tcW w:w="1276" w:type="dxa"/>
          </w:tcPr>
          <w:p w14:paraId="23487E1F" w14:textId="77777777" w:rsidR="004367CA" w:rsidRPr="007D28FC" w:rsidRDefault="004367CA" w:rsidP="003A647E">
            <w:pPr>
              <w:rPr>
                <w:rFonts w:ascii="Arial" w:hAnsi="Arial" w:cs="Arial"/>
                <w:bCs/>
                <w:color w:val="000000"/>
              </w:rPr>
            </w:pPr>
          </w:p>
        </w:tc>
        <w:tc>
          <w:tcPr>
            <w:tcW w:w="1417" w:type="dxa"/>
          </w:tcPr>
          <w:p w14:paraId="2F1B22DC" w14:textId="77777777" w:rsidR="004367CA" w:rsidRPr="007D28FC" w:rsidRDefault="004367CA" w:rsidP="003A647E">
            <w:pPr>
              <w:rPr>
                <w:rFonts w:ascii="Arial" w:hAnsi="Arial" w:cs="Arial"/>
                <w:bCs/>
                <w:color w:val="000000"/>
              </w:rPr>
            </w:pPr>
          </w:p>
        </w:tc>
        <w:tc>
          <w:tcPr>
            <w:tcW w:w="1468" w:type="dxa"/>
          </w:tcPr>
          <w:p w14:paraId="3F152338" w14:textId="77777777" w:rsidR="004367CA" w:rsidRPr="007D28FC" w:rsidRDefault="004367CA" w:rsidP="003A647E">
            <w:pPr>
              <w:rPr>
                <w:rFonts w:ascii="Arial" w:hAnsi="Arial" w:cs="Arial"/>
                <w:bCs/>
                <w:color w:val="000000"/>
              </w:rPr>
            </w:pPr>
          </w:p>
        </w:tc>
      </w:tr>
      <w:tr w:rsidR="004367CA" w:rsidRPr="007D28FC" w14:paraId="59842CAE" w14:textId="77777777" w:rsidTr="003A647E">
        <w:tc>
          <w:tcPr>
            <w:tcW w:w="4253" w:type="dxa"/>
          </w:tcPr>
          <w:p w14:paraId="58E4B871" w14:textId="77777777" w:rsidR="004367CA" w:rsidRPr="007D28FC" w:rsidRDefault="004367CA" w:rsidP="004367CA">
            <w:pPr>
              <w:pStyle w:val="Tabletext"/>
              <w:rPr>
                <w:b/>
              </w:rPr>
            </w:pPr>
            <w:r w:rsidRPr="007D28FC">
              <w:lastRenderedPageBreak/>
              <w:t>(add extra lines if necessary)</w:t>
            </w:r>
          </w:p>
        </w:tc>
        <w:tc>
          <w:tcPr>
            <w:tcW w:w="1276" w:type="dxa"/>
          </w:tcPr>
          <w:p w14:paraId="5984B74B" w14:textId="77777777" w:rsidR="004367CA" w:rsidRPr="007D28FC" w:rsidRDefault="004367CA" w:rsidP="003A647E">
            <w:pPr>
              <w:rPr>
                <w:rFonts w:ascii="Arial" w:hAnsi="Arial" w:cs="Arial"/>
                <w:bCs/>
                <w:color w:val="000000"/>
              </w:rPr>
            </w:pPr>
          </w:p>
        </w:tc>
        <w:tc>
          <w:tcPr>
            <w:tcW w:w="1417" w:type="dxa"/>
          </w:tcPr>
          <w:p w14:paraId="537895D5" w14:textId="77777777" w:rsidR="004367CA" w:rsidRPr="007D28FC" w:rsidRDefault="004367CA" w:rsidP="003A647E">
            <w:pPr>
              <w:rPr>
                <w:rFonts w:ascii="Arial" w:hAnsi="Arial" w:cs="Arial"/>
                <w:bCs/>
                <w:color w:val="000000"/>
              </w:rPr>
            </w:pPr>
          </w:p>
        </w:tc>
        <w:tc>
          <w:tcPr>
            <w:tcW w:w="1468" w:type="dxa"/>
          </w:tcPr>
          <w:p w14:paraId="5418E132" w14:textId="77777777" w:rsidR="004367CA" w:rsidRPr="007D28FC" w:rsidRDefault="004367CA" w:rsidP="003A647E">
            <w:pPr>
              <w:rPr>
                <w:rFonts w:ascii="Arial" w:hAnsi="Arial" w:cs="Arial"/>
                <w:bCs/>
                <w:color w:val="000000"/>
              </w:rPr>
            </w:pPr>
          </w:p>
        </w:tc>
      </w:tr>
      <w:tr w:rsidR="004367CA" w:rsidRPr="007D28FC" w14:paraId="21F8B95E" w14:textId="77777777" w:rsidTr="003A647E">
        <w:tc>
          <w:tcPr>
            <w:tcW w:w="4253" w:type="dxa"/>
          </w:tcPr>
          <w:p w14:paraId="3EB2F02B" w14:textId="77777777" w:rsidR="004367CA" w:rsidRPr="007D28FC" w:rsidRDefault="004367CA" w:rsidP="003A647E">
            <w:pPr>
              <w:rPr>
                <w:rFonts w:ascii="Arial" w:hAnsi="Arial" w:cs="Arial"/>
                <w:bCs/>
                <w:color w:val="000000"/>
              </w:rPr>
            </w:pPr>
          </w:p>
        </w:tc>
        <w:tc>
          <w:tcPr>
            <w:tcW w:w="1276" w:type="dxa"/>
          </w:tcPr>
          <w:p w14:paraId="71B47D1B" w14:textId="77777777" w:rsidR="004367CA" w:rsidRPr="007D28FC" w:rsidRDefault="004367CA" w:rsidP="003A647E">
            <w:pPr>
              <w:rPr>
                <w:rFonts w:ascii="Arial" w:hAnsi="Arial" w:cs="Arial"/>
                <w:bCs/>
                <w:color w:val="000000"/>
              </w:rPr>
            </w:pPr>
          </w:p>
        </w:tc>
        <w:tc>
          <w:tcPr>
            <w:tcW w:w="1417" w:type="dxa"/>
          </w:tcPr>
          <w:p w14:paraId="34306CB2" w14:textId="77777777" w:rsidR="004367CA" w:rsidRPr="007D28FC" w:rsidRDefault="004367CA" w:rsidP="003A647E">
            <w:pPr>
              <w:rPr>
                <w:rFonts w:ascii="Arial" w:hAnsi="Arial" w:cs="Arial"/>
                <w:bCs/>
                <w:color w:val="000000"/>
              </w:rPr>
            </w:pPr>
          </w:p>
        </w:tc>
        <w:tc>
          <w:tcPr>
            <w:tcW w:w="1468" w:type="dxa"/>
          </w:tcPr>
          <w:p w14:paraId="40C6B41E" w14:textId="77777777" w:rsidR="004367CA" w:rsidRPr="007D28FC" w:rsidRDefault="004367CA" w:rsidP="003A647E">
            <w:pPr>
              <w:rPr>
                <w:rFonts w:ascii="Arial" w:hAnsi="Arial" w:cs="Arial"/>
                <w:bCs/>
                <w:color w:val="000000"/>
              </w:rPr>
            </w:pPr>
          </w:p>
        </w:tc>
      </w:tr>
      <w:tr w:rsidR="007D2A5F" w:rsidRPr="007D28FC" w14:paraId="7F727FD2" w14:textId="77777777" w:rsidTr="007D2A5F">
        <w:tc>
          <w:tcPr>
            <w:tcW w:w="6946" w:type="dxa"/>
            <w:gridSpan w:val="3"/>
            <w:shd w:val="clear" w:color="auto" w:fill="D9D9D9" w:themeFill="background1" w:themeFillShade="D9"/>
          </w:tcPr>
          <w:p w14:paraId="2178E10C" w14:textId="5C67B383" w:rsidR="007D2A5F" w:rsidRPr="004367CA" w:rsidRDefault="007D2A5F" w:rsidP="004367CA">
            <w:pPr>
              <w:pStyle w:val="Tableheading"/>
            </w:pPr>
            <w:r>
              <w:t xml:space="preserve">Total staff costs </w:t>
            </w:r>
          </w:p>
        </w:tc>
        <w:tc>
          <w:tcPr>
            <w:tcW w:w="1468" w:type="dxa"/>
            <w:shd w:val="clear" w:color="auto" w:fill="D9D9D9" w:themeFill="background1" w:themeFillShade="D9"/>
          </w:tcPr>
          <w:p w14:paraId="355E5869" w14:textId="77777777" w:rsidR="007D2A5F" w:rsidRPr="007D28FC" w:rsidRDefault="007D2A5F" w:rsidP="003A647E">
            <w:pPr>
              <w:rPr>
                <w:rFonts w:ascii="Arial" w:hAnsi="Arial" w:cs="Arial"/>
                <w:bCs/>
                <w:color w:val="000000"/>
              </w:rPr>
            </w:pPr>
          </w:p>
        </w:tc>
      </w:tr>
    </w:tbl>
    <w:p w14:paraId="3FF6687D" w14:textId="77777777" w:rsidR="007D2A5F" w:rsidRDefault="007D2A5F" w:rsidP="007D2A5F">
      <w:pPr>
        <w:pStyle w:val="Bulletindent2"/>
        <w:numPr>
          <w:ilvl w:val="0"/>
          <w:numId w:val="0"/>
        </w:numPr>
      </w:pPr>
    </w:p>
    <w:p w14:paraId="44885732" w14:textId="77777777" w:rsidR="00167FBC" w:rsidRDefault="00167FBC" w:rsidP="007D2A5F">
      <w:pPr>
        <w:pStyle w:val="Bulletindent2"/>
        <w:numPr>
          <w:ilvl w:val="0"/>
          <w:numId w:val="0"/>
        </w:numPr>
      </w:pPr>
    </w:p>
    <w:p w14:paraId="45F79D61" w14:textId="77777777" w:rsidR="00167FBC" w:rsidRDefault="00167FBC" w:rsidP="007D2A5F">
      <w:pPr>
        <w:pStyle w:val="Bulletindent2"/>
        <w:numPr>
          <w:ilvl w:val="0"/>
          <w:numId w:val="0"/>
        </w:numPr>
      </w:pPr>
    </w:p>
    <w:p w14:paraId="2CA58C31" w14:textId="415A72EC" w:rsidR="00981584" w:rsidRDefault="007D2A5F" w:rsidP="007D2A5F">
      <w:pPr>
        <w:pStyle w:val="Bulletindent2"/>
        <w:numPr>
          <w:ilvl w:val="0"/>
          <w:numId w:val="0"/>
        </w:numPr>
      </w:pPr>
      <w:r>
        <w:t>N</w:t>
      </w:r>
      <w:r w:rsidR="00D61945">
        <w:t>on-staff costs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2580"/>
        <w:gridCol w:w="1732"/>
      </w:tblGrid>
      <w:tr w:rsidR="00B87929" w:rsidRPr="007D28FC" w14:paraId="4FD08D02" w14:textId="77777777" w:rsidTr="00B87929">
        <w:tc>
          <w:tcPr>
            <w:tcW w:w="4253" w:type="dxa"/>
          </w:tcPr>
          <w:p w14:paraId="0D566B43" w14:textId="5DAF5AA7" w:rsidR="00B87929" w:rsidRPr="004367CA" w:rsidRDefault="00B87929" w:rsidP="003A647E">
            <w:pPr>
              <w:pStyle w:val="Tableheading"/>
            </w:pPr>
            <w:r>
              <w:t>Item</w:t>
            </w:r>
          </w:p>
        </w:tc>
        <w:tc>
          <w:tcPr>
            <w:tcW w:w="2580" w:type="dxa"/>
          </w:tcPr>
          <w:p w14:paraId="475D98EB" w14:textId="78A63B30" w:rsidR="00B87929" w:rsidRPr="004367CA" w:rsidRDefault="00B87929" w:rsidP="003A647E">
            <w:pPr>
              <w:pStyle w:val="Tableheading"/>
            </w:pPr>
            <w:r>
              <w:t>Description</w:t>
            </w:r>
          </w:p>
        </w:tc>
        <w:tc>
          <w:tcPr>
            <w:tcW w:w="1732" w:type="dxa"/>
          </w:tcPr>
          <w:p w14:paraId="29BC77A9" w14:textId="401A1088" w:rsidR="00B87929" w:rsidRPr="004367CA" w:rsidRDefault="00B87929" w:rsidP="003A647E">
            <w:pPr>
              <w:pStyle w:val="Tableheading"/>
            </w:pPr>
            <w:r w:rsidRPr="004367CA">
              <w:t>Tota</w:t>
            </w:r>
            <w:r>
              <w:t>l</w:t>
            </w:r>
            <w:r w:rsidRPr="004367CA">
              <w:t xml:space="preserve"> ex VAT </w:t>
            </w:r>
          </w:p>
          <w:p w14:paraId="3E474937" w14:textId="77777777" w:rsidR="00B87929" w:rsidRPr="007D28FC" w:rsidRDefault="00B87929" w:rsidP="003A647E">
            <w:pPr>
              <w:pStyle w:val="Tableheading"/>
              <w:rPr>
                <w:rFonts w:cs="Arial"/>
                <w:bCs/>
                <w:color w:val="000000"/>
              </w:rPr>
            </w:pPr>
            <w:r w:rsidRPr="004367CA">
              <w:t>£000</w:t>
            </w:r>
          </w:p>
        </w:tc>
      </w:tr>
      <w:tr w:rsidR="00B87929" w:rsidRPr="007D28FC" w14:paraId="2D2F6DF8" w14:textId="77777777" w:rsidTr="00B87929">
        <w:tc>
          <w:tcPr>
            <w:tcW w:w="4253" w:type="dxa"/>
          </w:tcPr>
          <w:p w14:paraId="3D7378CC" w14:textId="70225A47" w:rsidR="00B87929" w:rsidRPr="00B87929" w:rsidRDefault="00B87929" w:rsidP="00B87929">
            <w:pPr>
              <w:pStyle w:val="Tabletext"/>
              <w:rPr>
                <w:i/>
                <w:iCs/>
              </w:rPr>
            </w:pPr>
            <w:r>
              <w:rPr>
                <w:i/>
                <w:iCs/>
              </w:rPr>
              <w:t>Example:</w:t>
            </w:r>
            <w:r w:rsidRPr="00B87929">
              <w:rPr>
                <w:i/>
                <w:iCs/>
              </w:rPr>
              <w:t xml:space="preserve"> Incentives for </w:t>
            </w:r>
            <w:r w:rsidR="00157636">
              <w:rPr>
                <w:i/>
                <w:iCs/>
              </w:rPr>
              <w:t>event participants</w:t>
            </w:r>
          </w:p>
        </w:tc>
        <w:tc>
          <w:tcPr>
            <w:tcW w:w="2580" w:type="dxa"/>
          </w:tcPr>
          <w:p w14:paraId="11EE006E" w14:textId="1AE48099" w:rsidR="00B87929" w:rsidRPr="00B87929" w:rsidRDefault="00B87929" w:rsidP="00B87929">
            <w:pPr>
              <w:pStyle w:val="Tabletext"/>
              <w:rPr>
                <w:i/>
                <w:iCs/>
              </w:rPr>
            </w:pPr>
            <w:r w:rsidRPr="00B87929">
              <w:rPr>
                <w:i/>
                <w:iCs/>
              </w:rPr>
              <w:t>Incentives at £150 per day for 2 days for 30 people</w:t>
            </w:r>
          </w:p>
        </w:tc>
        <w:tc>
          <w:tcPr>
            <w:tcW w:w="1732" w:type="dxa"/>
          </w:tcPr>
          <w:p w14:paraId="14FF9CCF" w14:textId="7B53E035" w:rsidR="00B87929" w:rsidRPr="00B87929" w:rsidRDefault="00B87929" w:rsidP="003A647E">
            <w:pPr>
              <w:pStyle w:val="Tableheading"/>
              <w:rPr>
                <w:i/>
                <w:iCs/>
              </w:rPr>
            </w:pPr>
            <w:r>
              <w:rPr>
                <w:i/>
                <w:iCs/>
              </w:rPr>
              <w:t>£9000</w:t>
            </w:r>
          </w:p>
        </w:tc>
      </w:tr>
      <w:tr w:rsidR="00B87929" w:rsidRPr="007D28FC" w14:paraId="12E2D191" w14:textId="77777777" w:rsidTr="00B87929">
        <w:tc>
          <w:tcPr>
            <w:tcW w:w="4253" w:type="dxa"/>
          </w:tcPr>
          <w:p w14:paraId="6C499DA3" w14:textId="57D6F74B" w:rsidR="00B87929" w:rsidRDefault="00B87929" w:rsidP="00B87929">
            <w:pPr>
              <w:pStyle w:val="Tabletext"/>
            </w:pPr>
          </w:p>
        </w:tc>
        <w:tc>
          <w:tcPr>
            <w:tcW w:w="2580" w:type="dxa"/>
          </w:tcPr>
          <w:p w14:paraId="5F31603D" w14:textId="77777777" w:rsidR="00B87929" w:rsidRDefault="00B87929" w:rsidP="00B87929">
            <w:pPr>
              <w:pStyle w:val="Tabletext"/>
            </w:pPr>
          </w:p>
        </w:tc>
        <w:tc>
          <w:tcPr>
            <w:tcW w:w="1732" w:type="dxa"/>
          </w:tcPr>
          <w:p w14:paraId="0784F620" w14:textId="77777777" w:rsidR="00B87929" w:rsidRPr="004367CA" w:rsidRDefault="00B87929" w:rsidP="003A647E">
            <w:pPr>
              <w:pStyle w:val="Tableheading"/>
            </w:pPr>
          </w:p>
        </w:tc>
      </w:tr>
      <w:tr w:rsidR="00B87929" w:rsidRPr="007D28FC" w14:paraId="2590B93C" w14:textId="77777777" w:rsidTr="00B87929">
        <w:tc>
          <w:tcPr>
            <w:tcW w:w="4253" w:type="dxa"/>
          </w:tcPr>
          <w:p w14:paraId="47E97E7C" w14:textId="02C5AE50" w:rsidR="00B87929" w:rsidRPr="00B87929" w:rsidRDefault="00A333E3" w:rsidP="00B87929">
            <w:pPr>
              <w:pStyle w:val="Tabletext"/>
            </w:pPr>
            <w:r w:rsidRPr="007D28FC">
              <w:t>(add extra lines if necessary)</w:t>
            </w:r>
          </w:p>
        </w:tc>
        <w:tc>
          <w:tcPr>
            <w:tcW w:w="2580" w:type="dxa"/>
          </w:tcPr>
          <w:p w14:paraId="63A627FF" w14:textId="77777777" w:rsidR="00B87929" w:rsidRDefault="00B87929" w:rsidP="00B87929">
            <w:pPr>
              <w:pStyle w:val="Tabletext"/>
            </w:pPr>
          </w:p>
        </w:tc>
        <w:tc>
          <w:tcPr>
            <w:tcW w:w="1732" w:type="dxa"/>
          </w:tcPr>
          <w:p w14:paraId="156D84EA" w14:textId="77777777" w:rsidR="00B87929" w:rsidRPr="004367CA" w:rsidRDefault="00B87929" w:rsidP="003A647E">
            <w:pPr>
              <w:pStyle w:val="Tableheading"/>
            </w:pPr>
          </w:p>
        </w:tc>
      </w:tr>
      <w:tr w:rsidR="00B87929" w:rsidRPr="007D28FC" w14:paraId="20186CDE" w14:textId="77777777" w:rsidTr="00B87929">
        <w:tc>
          <w:tcPr>
            <w:tcW w:w="4253" w:type="dxa"/>
          </w:tcPr>
          <w:p w14:paraId="3C1EFD6D" w14:textId="77777777" w:rsidR="00B87929" w:rsidRDefault="00B87929" w:rsidP="00B87929">
            <w:pPr>
              <w:pStyle w:val="Tabletext"/>
            </w:pPr>
          </w:p>
        </w:tc>
        <w:tc>
          <w:tcPr>
            <w:tcW w:w="2580" w:type="dxa"/>
          </w:tcPr>
          <w:p w14:paraId="0BED1525" w14:textId="77777777" w:rsidR="00B87929" w:rsidRDefault="00B87929" w:rsidP="00B87929">
            <w:pPr>
              <w:pStyle w:val="Tabletext"/>
            </w:pPr>
          </w:p>
        </w:tc>
        <w:tc>
          <w:tcPr>
            <w:tcW w:w="1732" w:type="dxa"/>
          </w:tcPr>
          <w:p w14:paraId="357D39A0" w14:textId="77777777" w:rsidR="00B87929" w:rsidRPr="004367CA" w:rsidRDefault="00B87929" w:rsidP="003A647E">
            <w:pPr>
              <w:pStyle w:val="Tableheading"/>
            </w:pPr>
          </w:p>
        </w:tc>
      </w:tr>
      <w:tr w:rsidR="007D2A5F" w:rsidRPr="007D28FC" w14:paraId="47A48C9E" w14:textId="77777777" w:rsidTr="00A45F00">
        <w:tc>
          <w:tcPr>
            <w:tcW w:w="6833" w:type="dxa"/>
            <w:gridSpan w:val="2"/>
            <w:shd w:val="clear" w:color="auto" w:fill="D9D9D9" w:themeFill="background1" w:themeFillShade="D9"/>
          </w:tcPr>
          <w:p w14:paraId="1842740D" w14:textId="4DE68958" w:rsidR="007D2A5F" w:rsidRPr="004367CA" w:rsidRDefault="007D2A5F" w:rsidP="003A647E">
            <w:pPr>
              <w:pStyle w:val="Tableheading"/>
            </w:pPr>
            <w:r w:rsidRPr="004367CA">
              <w:t>Total</w:t>
            </w:r>
            <w:r w:rsidR="00B87929">
              <w:t xml:space="preserve"> Non-staff costs</w:t>
            </w:r>
            <w:r w:rsidRPr="004367CA">
              <w:t xml:space="preserve"> ex VAT</w:t>
            </w:r>
          </w:p>
        </w:tc>
        <w:tc>
          <w:tcPr>
            <w:tcW w:w="1732" w:type="dxa"/>
            <w:shd w:val="clear" w:color="auto" w:fill="D9D9D9" w:themeFill="background1" w:themeFillShade="D9"/>
          </w:tcPr>
          <w:p w14:paraId="486AE373" w14:textId="77777777" w:rsidR="007D2A5F" w:rsidRPr="007D28FC" w:rsidRDefault="007D2A5F" w:rsidP="003A647E">
            <w:pPr>
              <w:rPr>
                <w:rFonts w:ascii="Arial" w:hAnsi="Arial" w:cs="Arial"/>
                <w:bCs/>
                <w:color w:val="000000"/>
              </w:rPr>
            </w:pPr>
          </w:p>
        </w:tc>
      </w:tr>
      <w:tr w:rsidR="00B87929" w:rsidRPr="007D28FC" w14:paraId="14DDFDC3" w14:textId="77777777" w:rsidTr="00A45F00">
        <w:tc>
          <w:tcPr>
            <w:tcW w:w="6833" w:type="dxa"/>
            <w:gridSpan w:val="2"/>
            <w:shd w:val="clear" w:color="auto" w:fill="D9D9D9" w:themeFill="background1" w:themeFillShade="D9"/>
          </w:tcPr>
          <w:p w14:paraId="3A3B7404" w14:textId="5DF5E3A1" w:rsidR="00B87929" w:rsidRPr="004367CA" w:rsidRDefault="00B87929" w:rsidP="003A647E">
            <w:pPr>
              <w:pStyle w:val="Tableheading"/>
            </w:pPr>
            <w:r>
              <w:t>Total Staff costs</w:t>
            </w:r>
          </w:p>
        </w:tc>
        <w:tc>
          <w:tcPr>
            <w:tcW w:w="1732" w:type="dxa"/>
            <w:shd w:val="clear" w:color="auto" w:fill="D9D9D9" w:themeFill="background1" w:themeFillShade="D9"/>
          </w:tcPr>
          <w:p w14:paraId="15DE8697" w14:textId="77777777" w:rsidR="00B87929" w:rsidRPr="007D28FC" w:rsidRDefault="00B87929" w:rsidP="003A647E">
            <w:pPr>
              <w:rPr>
                <w:rFonts w:ascii="Arial" w:hAnsi="Arial" w:cs="Arial"/>
                <w:bCs/>
                <w:color w:val="000000"/>
              </w:rPr>
            </w:pPr>
          </w:p>
        </w:tc>
      </w:tr>
      <w:tr w:rsidR="00B87929" w:rsidRPr="007D28FC" w14:paraId="6E76F5EC" w14:textId="77777777" w:rsidTr="00A45F00">
        <w:tc>
          <w:tcPr>
            <w:tcW w:w="6833" w:type="dxa"/>
            <w:gridSpan w:val="2"/>
            <w:shd w:val="clear" w:color="auto" w:fill="808080" w:themeFill="background1" w:themeFillShade="80"/>
          </w:tcPr>
          <w:p w14:paraId="7B0BEB3B" w14:textId="141D4914" w:rsidR="00B87929" w:rsidRDefault="00B87929" w:rsidP="003A647E">
            <w:pPr>
              <w:pStyle w:val="Tableheading"/>
            </w:pPr>
            <w:r>
              <w:t xml:space="preserve">Total </w:t>
            </w:r>
            <w:r w:rsidR="00A45F00">
              <w:t>Project costs</w:t>
            </w:r>
          </w:p>
        </w:tc>
        <w:tc>
          <w:tcPr>
            <w:tcW w:w="1732" w:type="dxa"/>
            <w:shd w:val="clear" w:color="auto" w:fill="808080" w:themeFill="background1" w:themeFillShade="80"/>
          </w:tcPr>
          <w:p w14:paraId="134C3AC3" w14:textId="77777777" w:rsidR="00B87929" w:rsidRPr="007D28FC" w:rsidRDefault="00B87929" w:rsidP="003A647E">
            <w:pPr>
              <w:rPr>
                <w:rFonts w:ascii="Arial" w:hAnsi="Arial" w:cs="Arial"/>
                <w:bCs/>
                <w:color w:val="000000"/>
              </w:rPr>
            </w:pPr>
          </w:p>
        </w:tc>
      </w:tr>
    </w:tbl>
    <w:p w14:paraId="275F10EA" w14:textId="0518AF63" w:rsidR="007D2A5F" w:rsidRDefault="007D2A5F" w:rsidP="007D2A5F">
      <w:pPr>
        <w:pStyle w:val="Bulletindent2"/>
        <w:numPr>
          <w:ilvl w:val="0"/>
          <w:numId w:val="0"/>
        </w:numPr>
        <w:ind w:left="1418"/>
      </w:pPr>
    </w:p>
    <w:p w14:paraId="75E17AD0" w14:textId="77777777" w:rsidR="007D2A5F" w:rsidRDefault="007D2A5F" w:rsidP="00B774CB">
      <w:pPr>
        <w:pStyle w:val="Bulletindent2"/>
        <w:numPr>
          <w:ilvl w:val="0"/>
          <w:numId w:val="0"/>
        </w:numPr>
      </w:pPr>
    </w:p>
    <w:p w14:paraId="65FFEC5F" w14:textId="77777777" w:rsidR="00981584" w:rsidRPr="00BA62E5" w:rsidRDefault="00981584" w:rsidP="00BA62E5">
      <w:pPr>
        <w:pStyle w:val="NICEnormal"/>
      </w:pPr>
      <w:r w:rsidRPr="00BA62E5">
        <w:t>All offers are to be quoted in GBP, be inclusive of all travel time, travel costs and other expenses, and be exclusive of value added tax.  Failure to provide costs as above may result in your whole tender being rejected.</w:t>
      </w:r>
    </w:p>
    <w:p w14:paraId="261BD7AC" w14:textId="77777777" w:rsidR="00981584" w:rsidRDefault="00981584" w:rsidP="00981584">
      <w:pPr>
        <w:pStyle w:val="NICEnormal"/>
      </w:pPr>
    </w:p>
    <w:p w14:paraId="152DAF30" w14:textId="2BCA05D5" w:rsidR="00981584" w:rsidRDefault="00981584" w:rsidP="00BA62E5">
      <w:pPr>
        <w:pStyle w:val="Numberedheading1"/>
      </w:pPr>
      <w:r>
        <w:t>Tender instructions</w:t>
      </w:r>
    </w:p>
    <w:p w14:paraId="6D45707D" w14:textId="221FB078" w:rsidR="00A75EE7" w:rsidRDefault="00981584" w:rsidP="00A75EE7">
      <w:pPr>
        <w:pStyle w:val="Numberedlevel2text"/>
      </w:pPr>
      <w:r>
        <w:t>All offers must be written in English.</w:t>
      </w:r>
    </w:p>
    <w:p w14:paraId="2D88FB60" w14:textId="089F95E0" w:rsidR="00981584" w:rsidRDefault="00981584" w:rsidP="00BA62E5">
      <w:pPr>
        <w:pStyle w:val="Numberedlevel2text"/>
      </w:pPr>
      <w:r>
        <w:t>All offers must be submitted in accordance with the documentation provided in the covering email. This must not be amended in any way.</w:t>
      </w:r>
    </w:p>
    <w:p w14:paraId="06F139D2" w14:textId="2C6B838B" w:rsidR="00A75EE7" w:rsidRDefault="00A75EE7" w:rsidP="00BA62E5">
      <w:pPr>
        <w:pStyle w:val="Numberedlevel2text"/>
      </w:pPr>
      <w:r>
        <w:rPr>
          <w:lang w:val="en-GB"/>
        </w:rPr>
        <w:t xml:space="preserve">All </w:t>
      </w:r>
      <w:r w:rsidR="00810E74">
        <w:rPr>
          <w:lang w:val="en-GB"/>
        </w:rPr>
        <w:t>Expression of Interest</w:t>
      </w:r>
      <w:r w:rsidR="00F21925">
        <w:rPr>
          <w:lang w:val="en-GB"/>
        </w:rPr>
        <w:t>s</w:t>
      </w:r>
      <w:r w:rsidR="00810E74">
        <w:rPr>
          <w:lang w:val="en-GB"/>
        </w:rPr>
        <w:t xml:space="preserve"> (EOI</w:t>
      </w:r>
      <w:r w:rsidR="00F21925">
        <w:rPr>
          <w:lang w:val="en-GB"/>
        </w:rPr>
        <w:t>s</w:t>
      </w:r>
      <w:r w:rsidR="00810E74">
        <w:rPr>
          <w:lang w:val="en-GB"/>
        </w:rPr>
        <w:t>)</w:t>
      </w:r>
      <w:r>
        <w:rPr>
          <w:lang w:val="en-GB"/>
        </w:rPr>
        <w:t xml:space="preserve"> must be submitted</w:t>
      </w:r>
      <w:r w:rsidR="00810E74">
        <w:rPr>
          <w:lang w:val="en-GB"/>
        </w:rPr>
        <w:t xml:space="preserve"> </w:t>
      </w:r>
      <w:r w:rsidR="00810E74">
        <w:t>electronically by email</w:t>
      </w:r>
      <w:r w:rsidR="00F21925">
        <w:t xml:space="preserve"> to </w:t>
      </w:r>
      <w:hyperlink r:id="rId12" w:history="1">
        <w:r w:rsidR="003F7346" w:rsidRPr="00914DFD">
          <w:rPr>
            <w:rStyle w:val="Hyperlink"/>
          </w:rPr>
          <w:t>gillian.watson@nice.org.uk</w:t>
        </w:r>
      </w:hyperlink>
      <w:r w:rsidR="003F7346">
        <w:rPr>
          <w:lang w:val="en-GB"/>
        </w:rPr>
        <w:t xml:space="preserve"> </w:t>
      </w:r>
      <w:r>
        <w:rPr>
          <w:lang w:val="en-GB"/>
        </w:rPr>
        <w:t>by</w:t>
      </w:r>
      <w:r w:rsidR="00810E74">
        <w:rPr>
          <w:lang w:val="en-GB"/>
        </w:rPr>
        <w:t xml:space="preserve"> </w:t>
      </w:r>
      <w:r w:rsidR="0066215B">
        <w:rPr>
          <w:lang w:val="en-GB"/>
        </w:rPr>
        <w:t>5pm</w:t>
      </w:r>
      <w:r w:rsidR="00810E74">
        <w:rPr>
          <w:lang w:val="en-GB"/>
        </w:rPr>
        <w:t xml:space="preserve"> on</w:t>
      </w:r>
      <w:r>
        <w:rPr>
          <w:lang w:val="en-GB"/>
        </w:rPr>
        <w:t xml:space="preserve"> </w:t>
      </w:r>
      <w:r w:rsidR="0066215B">
        <w:rPr>
          <w:lang w:val="en-GB"/>
        </w:rPr>
        <w:t>16</w:t>
      </w:r>
      <w:r w:rsidR="00810E74">
        <w:rPr>
          <w:lang w:val="en-GB"/>
        </w:rPr>
        <w:t xml:space="preserve"> June 2021.</w:t>
      </w:r>
    </w:p>
    <w:p w14:paraId="7B2058AE" w14:textId="3D79E0B6" w:rsidR="00981584" w:rsidRDefault="00981584" w:rsidP="00BA62E5">
      <w:pPr>
        <w:pStyle w:val="Numberedlevel2text"/>
      </w:pPr>
      <w:r>
        <w:t xml:space="preserve">All offers must be submitted electronically by email to: </w:t>
      </w:r>
      <w:hyperlink r:id="rId13" w:history="1">
        <w:r w:rsidR="003F7346" w:rsidRPr="00914DFD">
          <w:rPr>
            <w:rStyle w:val="Hyperlink"/>
            <w:lang w:val="en-GB"/>
          </w:rPr>
          <w:t>c</w:t>
        </w:r>
        <w:r w:rsidR="003F7346" w:rsidRPr="00914DFD">
          <w:rPr>
            <w:rStyle w:val="Hyperlink"/>
          </w:rPr>
          <w:t>ontract.bids@nice.org.uk</w:t>
        </w:r>
      </w:hyperlink>
      <w:r w:rsidR="003F7346">
        <w:rPr>
          <w:lang w:val="en-GB"/>
        </w:rPr>
        <w:t xml:space="preserve"> </w:t>
      </w:r>
      <w:r>
        <w:t>with the title NI</w:t>
      </w:r>
      <w:r w:rsidR="00BA62E5">
        <w:t>C</w:t>
      </w:r>
      <w:r>
        <w:t>E Listens by</w:t>
      </w:r>
      <w:r w:rsidR="006C44DB">
        <w:rPr>
          <w:lang w:val="en-GB"/>
        </w:rPr>
        <w:t xml:space="preserve"> </w:t>
      </w:r>
      <w:r w:rsidR="00C110DB">
        <w:rPr>
          <w:lang w:val="en-GB"/>
        </w:rPr>
        <w:t xml:space="preserve">12 noon </w:t>
      </w:r>
      <w:r w:rsidR="006C44DB">
        <w:rPr>
          <w:lang w:val="en-GB"/>
        </w:rPr>
        <w:t xml:space="preserve">on </w:t>
      </w:r>
      <w:r>
        <w:t xml:space="preserve"> </w:t>
      </w:r>
      <w:r w:rsidR="006C44DB">
        <w:rPr>
          <w:lang w:val="en-GB"/>
        </w:rPr>
        <w:t>6 July 2021.</w:t>
      </w:r>
    </w:p>
    <w:p w14:paraId="22F6FE01" w14:textId="4A3F246C" w:rsidR="00981584" w:rsidRDefault="00981584" w:rsidP="00BA62E5">
      <w:pPr>
        <w:pStyle w:val="Numberedlevel2text"/>
      </w:pPr>
      <w:r>
        <w:lastRenderedPageBreak/>
        <w:t xml:space="preserve">The Form of Offer must be submitted </w:t>
      </w:r>
      <w:r w:rsidR="00C110DB">
        <w:rPr>
          <w:lang w:val="en-GB"/>
        </w:rPr>
        <w:t>together with the tender submission</w:t>
      </w:r>
      <w:r w:rsidR="00F21925">
        <w:rPr>
          <w:lang w:val="en-GB"/>
        </w:rPr>
        <w:t>.</w:t>
      </w:r>
    </w:p>
    <w:p w14:paraId="0D76FEF3" w14:textId="77777777" w:rsidR="006C44DB" w:rsidRDefault="00981584" w:rsidP="00891E6A">
      <w:pPr>
        <w:pStyle w:val="Numberedlevel2text"/>
      </w:pPr>
      <w:r>
        <w:t>Failure to comply with these instructions may result in your offer being rejected.</w:t>
      </w:r>
      <w:r w:rsidR="006C44DB" w:rsidRPr="006C44DB">
        <w:t xml:space="preserve"> </w:t>
      </w:r>
    </w:p>
    <w:p w14:paraId="7CB502FE" w14:textId="0369D0AC" w:rsidR="006C44DB" w:rsidRDefault="006C44DB" w:rsidP="006C44DB">
      <w:pPr>
        <w:pStyle w:val="Numberedheading1"/>
      </w:pPr>
      <w:r>
        <w:t>Timescales for this Tender</w:t>
      </w:r>
    </w:p>
    <w:p w14:paraId="4740C588" w14:textId="77C8A88B" w:rsidR="006C44DB" w:rsidRDefault="006C44DB" w:rsidP="006C44DB">
      <w:pPr>
        <w:pStyle w:val="Numberedlevel2text"/>
      </w:pPr>
      <w:r>
        <w:t>Before the offers are submitted, those wishing to tender</w:t>
      </w:r>
      <w:r w:rsidR="00810E74">
        <w:rPr>
          <w:lang w:val="en-GB"/>
        </w:rPr>
        <w:t xml:space="preserve"> </w:t>
      </w:r>
      <w:r w:rsidR="00F21925">
        <w:rPr>
          <w:lang w:val="en-GB"/>
        </w:rPr>
        <w:t>must</w:t>
      </w:r>
      <w:r w:rsidR="00810E74">
        <w:rPr>
          <w:lang w:val="en-GB"/>
        </w:rPr>
        <w:t xml:space="preserve"> submit a</w:t>
      </w:r>
      <w:r w:rsidR="00F21925">
        <w:rPr>
          <w:lang w:val="en-GB"/>
        </w:rPr>
        <w:t>n</w:t>
      </w:r>
      <w:r w:rsidR="00810E74">
        <w:rPr>
          <w:lang w:val="en-GB"/>
        </w:rPr>
        <w:t xml:space="preserve"> EOI stating their wish to submit a full offer. Those wishing to tender</w:t>
      </w:r>
      <w:r>
        <w:t xml:space="preserve"> may</w:t>
      </w:r>
      <w:r w:rsidR="0072627E">
        <w:rPr>
          <w:lang w:val="en-GB"/>
        </w:rPr>
        <w:t xml:space="preserve"> also</w:t>
      </w:r>
      <w:r>
        <w:t xml:space="preserve"> have specific questions and queries regarding the process, the </w:t>
      </w:r>
      <w:proofErr w:type="gramStart"/>
      <w:r>
        <w:t>policy</w:t>
      </w:r>
      <w:proofErr w:type="gramEnd"/>
      <w:r>
        <w:t xml:space="preserve"> or the arrangements with NICE.  Under our procurement arrangements NICE has to ensure that all applicants receive equal treatment and we will share all information requests and responses with all applicants.  Consequently all</w:t>
      </w:r>
      <w:r w:rsidR="00810E74">
        <w:rPr>
          <w:lang w:val="en-GB"/>
        </w:rPr>
        <w:t xml:space="preserve"> EOIs,</w:t>
      </w:r>
      <w:r>
        <w:t xml:space="preserve"> questions and queries regarding this invitation to offer must be submitted by email to gillian.watson@nice.org.uk</w:t>
      </w:r>
      <w:r w:rsidR="00F21925">
        <w:rPr>
          <w:lang w:val="en-GB"/>
        </w:rPr>
        <w:t>,</w:t>
      </w:r>
      <w:r>
        <w:t xml:space="preserve"> no later than 5pm on </w:t>
      </w:r>
      <w:r w:rsidR="0066215B">
        <w:rPr>
          <w:lang w:val="en-GB"/>
        </w:rPr>
        <w:t>16</w:t>
      </w:r>
      <w:r>
        <w:t xml:space="preserve"> June 2021. </w:t>
      </w:r>
    </w:p>
    <w:p w14:paraId="1AE6C49B" w14:textId="4A78A3FA" w:rsidR="006C44DB" w:rsidRDefault="006C44DB" w:rsidP="006C44DB">
      <w:pPr>
        <w:pStyle w:val="Numberedlevel2text"/>
      </w:pPr>
      <w:r>
        <w:t xml:space="preserve">The questions and answers will then be collated and distributed by email to all the potential tenderers by 5pm on </w:t>
      </w:r>
      <w:r w:rsidR="007D2A5F">
        <w:rPr>
          <w:lang w:val="en-GB"/>
        </w:rPr>
        <w:t>21</w:t>
      </w:r>
      <w:r>
        <w:t xml:space="preserve"> June 2021 Please note that that there will be no telephone or informal or other kind of discussion between potential tenderers and officers or directors of NICE after this initial document is dispatched.</w:t>
      </w:r>
    </w:p>
    <w:p w14:paraId="22112BC0" w14:textId="72388F98" w:rsidR="006C44DB" w:rsidRDefault="006C44DB" w:rsidP="006C44DB">
      <w:pPr>
        <w:pStyle w:val="Numberedlevel2text"/>
      </w:pPr>
      <w:r>
        <w:t>The closing date for the submission of tenders is 12 noon on 6 July 2021.</w:t>
      </w:r>
    </w:p>
    <w:p w14:paraId="07C83C7F" w14:textId="75C5AFBB" w:rsidR="006C44DB" w:rsidRDefault="006C44DB" w:rsidP="006C44DB">
      <w:pPr>
        <w:pStyle w:val="Numberedlevel2text"/>
      </w:pPr>
      <w:r>
        <w:t xml:space="preserve">If appropriate, shortlisted bidders will be informed by 20 July 2021 and invited to an interview on 2 August 2021. </w:t>
      </w:r>
      <w:r w:rsidR="0066215B">
        <w:rPr>
          <w:lang w:val="en-GB"/>
        </w:rPr>
        <w:t>Those not shortlisted will not be contacted at this stage.</w:t>
      </w:r>
    </w:p>
    <w:p w14:paraId="27C57C26" w14:textId="685C6A7F" w:rsidR="006C44DB" w:rsidRDefault="006C44DB" w:rsidP="006C44DB">
      <w:pPr>
        <w:pStyle w:val="Numberedlevel2text"/>
      </w:pPr>
      <w:r>
        <w:t xml:space="preserve">All bidders will be informed of the award decision by 5pm on 4 August 2021 </w:t>
      </w:r>
    </w:p>
    <w:p w14:paraId="5E38977E" w14:textId="3C6E8AA4" w:rsidR="006C44DB" w:rsidRDefault="006C44DB" w:rsidP="006C44DB">
      <w:pPr>
        <w:pStyle w:val="Numberedlevel2text"/>
      </w:pPr>
      <w:r>
        <w:t>The contractor should be prepared to start work by 23 August 2021.</w:t>
      </w:r>
    </w:p>
    <w:p w14:paraId="10DF2F1A" w14:textId="737E5B05" w:rsidR="00394CE2" w:rsidRDefault="006C44DB" w:rsidP="00394CE2">
      <w:pPr>
        <w:pStyle w:val="Numberedlevel2text"/>
      </w:pPr>
      <w:r>
        <w:t>All dates in this tender are subject to change.</w:t>
      </w:r>
    </w:p>
    <w:p w14:paraId="5176C5E0" w14:textId="67F6E59D" w:rsidR="00394CE2" w:rsidRPr="0072627E" w:rsidRDefault="00394CE2" w:rsidP="00394CE2">
      <w:pPr>
        <w:pStyle w:val="Numberedlevel2text"/>
      </w:pPr>
      <w:r>
        <w:rPr>
          <w:lang w:val="en-GB"/>
        </w:rPr>
        <w:t>The key dates are summarised in the table below:</w:t>
      </w:r>
    </w:p>
    <w:p w14:paraId="05D3A177" w14:textId="77777777" w:rsidR="0072627E" w:rsidRDefault="0072627E" w:rsidP="0072627E">
      <w:pPr>
        <w:pStyle w:val="Numberedlevel2text"/>
        <w:numPr>
          <w:ilvl w:val="0"/>
          <w:numId w:val="0"/>
        </w:numPr>
        <w:ind w:left="1134"/>
      </w:pPr>
    </w:p>
    <w:tbl>
      <w:tblPr>
        <w:tblStyle w:val="TableGrid"/>
        <w:tblW w:w="0" w:type="auto"/>
        <w:tblInd w:w="-5" w:type="dxa"/>
        <w:tblLook w:val="04A0" w:firstRow="1" w:lastRow="0" w:firstColumn="1" w:lastColumn="0" w:noHBand="0" w:noVBand="1"/>
      </w:tblPr>
      <w:tblGrid>
        <w:gridCol w:w="4111"/>
        <w:gridCol w:w="4911"/>
      </w:tblGrid>
      <w:tr w:rsidR="00394CE2" w14:paraId="0D974B2F" w14:textId="77777777" w:rsidTr="006D65DC">
        <w:tc>
          <w:tcPr>
            <w:tcW w:w="4111" w:type="dxa"/>
            <w:shd w:val="clear" w:color="auto" w:fill="BFBFBF" w:themeFill="background1" w:themeFillShade="BF"/>
          </w:tcPr>
          <w:p w14:paraId="7A04609E" w14:textId="5D1FD582" w:rsidR="00394CE2" w:rsidRPr="00394CE2" w:rsidRDefault="00394CE2" w:rsidP="00394CE2">
            <w:pPr>
              <w:pStyle w:val="Tableheading"/>
            </w:pPr>
            <w:r>
              <w:t>Action</w:t>
            </w:r>
          </w:p>
        </w:tc>
        <w:tc>
          <w:tcPr>
            <w:tcW w:w="4911" w:type="dxa"/>
            <w:shd w:val="clear" w:color="auto" w:fill="BFBFBF" w:themeFill="background1" w:themeFillShade="BF"/>
          </w:tcPr>
          <w:p w14:paraId="14FB73D4" w14:textId="0D656CD7" w:rsidR="00394CE2" w:rsidRPr="00394CE2" w:rsidRDefault="00394CE2" w:rsidP="00394CE2">
            <w:pPr>
              <w:pStyle w:val="Tableheading"/>
            </w:pPr>
            <w:r>
              <w:t>Date</w:t>
            </w:r>
          </w:p>
        </w:tc>
      </w:tr>
      <w:tr w:rsidR="00394CE2" w14:paraId="0316C8B3" w14:textId="77777777" w:rsidTr="006D65DC">
        <w:tc>
          <w:tcPr>
            <w:tcW w:w="4111" w:type="dxa"/>
          </w:tcPr>
          <w:p w14:paraId="002C0246" w14:textId="2E41CF59" w:rsidR="00394CE2" w:rsidRPr="006D65DC" w:rsidRDefault="006D65DC" w:rsidP="00394CE2">
            <w:pPr>
              <w:pStyle w:val="Numberedlevel2text"/>
              <w:numPr>
                <w:ilvl w:val="0"/>
                <w:numId w:val="0"/>
              </w:numPr>
              <w:rPr>
                <w:lang w:val="en-GB"/>
              </w:rPr>
            </w:pPr>
            <w:r>
              <w:rPr>
                <w:lang w:val="en-GB"/>
              </w:rPr>
              <w:t>Deadline</w:t>
            </w:r>
            <w:r w:rsidR="00810E74">
              <w:rPr>
                <w:lang w:val="en-GB"/>
              </w:rPr>
              <w:t xml:space="preserve"> all EOIs and</w:t>
            </w:r>
            <w:r>
              <w:rPr>
                <w:lang w:val="en-GB"/>
              </w:rPr>
              <w:t xml:space="preserve"> for questions and queries</w:t>
            </w:r>
            <w:r w:rsidR="00810E74">
              <w:rPr>
                <w:lang w:val="en-GB"/>
              </w:rPr>
              <w:t>.</w:t>
            </w:r>
          </w:p>
        </w:tc>
        <w:tc>
          <w:tcPr>
            <w:tcW w:w="4911" w:type="dxa"/>
          </w:tcPr>
          <w:p w14:paraId="335FF3C0" w14:textId="45BE2992" w:rsidR="00394CE2" w:rsidRPr="006D65DC" w:rsidRDefault="00810E74" w:rsidP="00394CE2">
            <w:pPr>
              <w:pStyle w:val="Numberedlevel2text"/>
              <w:numPr>
                <w:ilvl w:val="0"/>
                <w:numId w:val="0"/>
              </w:numPr>
              <w:rPr>
                <w:lang w:val="en-GB"/>
              </w:rPr>
            </w:pPr>
            <w:r>
              <w:rPr>
                <w:lang w:val="en-GB"/>
              </w:rPr>
              <w:t>16</w:t>
            </w:r>
            <w:r w:rsidR="006D65DC">
              <w:rPr>
                <w:lang w:val="en-GB"/>
              </w:rPr>
              <w:t xml:space="preserve"> June 2021</w:t>
            </w:r>
            <w:r w:rsidR="0066215B">
              <w:rPr>
                <w:lang w:val="en-GB"/>
              </w:rPr>
              <w:t>, 5PM</w:t>
            </w:r>
          </w:p>
        </w:tc>
      </w:tr>
      <w:tr w:rsidR="00394CE2" w14:paraId="7D1935A7" w14:textId="77777777" w:rsidTr="006D65DC">
        <w:tc>
          <w:tcPr>
            <w:tcW w:w="4111" w:type="dxa"/>
          </w:tcPr>
          <w:p w14:paraId="1C1E2284" w14:textId="101F91C6" w:rsidR="00394CE2" w:rsidRPr="006D65DC" w:rsidRDefault="006D65DC" w:rsidP="00394CE2">
            <w:pPr>
              <w:pStyle w:val="Numberedlevel2text"/>
              <w:numPr>
                <w:ilvl w:val="0"/>
                <w:numId w:val="0"/>
              </w:numPr>
              <w:rPr>
                <w:lang w:val="en-GB"/>
              </w:rPr>
            </w:pPr>
            <w:r>
              <w:rPr>
                <w:lang w:val="en-GB"/>
              </w:rPr>
              <w:t>Answers to questions sent to all bidders</w:t>
            </w:r>
          </w:p>
        </w:tc>
        <w:tc>
          <w:tcPr>
            <w:tcW w:w="4911" w:type="dxa"/>
          </w:tcPr>
          <w:p w14:paraId="4B1EF13B" w14:textId="15DC2DB4" w:rsidR="00394CE2" w:rsidRPr="006D65DC" w:rsidRDefault="0066215B" w:rsidP="00394CE2">
            <w:pPr>
              <w:pStyle w:val="Numberedlevel2text"/>
              <w:numPr>
                <w:ilvl w:val="0"/>
                <w:numId w:val="0"/>
              </w:numPr>
              <w:rPr>
                <w:lang w:val="en-GB"/>
              </w:rPr>
            </w:pPr>
            <w:r>
              <w:rPr>
                <w:lang w:val="en-GB"/>
              </w:rPr>
              <w:t>21</w:t>
            </w:r>
            <w:r w:rsidR="006D65DC">
              <w:rPr>
                <w:lang w:val="en-GB"/>
              </w:rPr>
              <w:t xml:space="preserve"> June 2021</w:t>
            </w:r>
          </w:p>
        </w:tc>
      </w:tr>
      <w:tr w:rsidR="00394CE2" w14:paraId="20BEFB86" w14:textId="77777777" w:rsidTr="006D65DC">
        <w:tc>
          <w:tcPr>
            <w:tcW w:w="4111" w:type="dxa"/>
          </w:tcPr>
          <w:p w14:paraId="4B2C43F9" w14:textId="0A38C3A1" w:rsidR="00394CE2" w:rsidRPr="0066215B" w:rsidRDefault="0066215B" w:rsidP="00394CE2">
            <w:pPr>
              <w:pStyle w:val="Numberedlevel2text"/>
              <w:numPr>
                <w:ilvl w:val="0"/>
                <w:numId w:val="0"/>
              </w:numPr>
              <w:rPr>
                <w:lang w:val="en-GB"/>
              </w:rPr>
            </w:pPr>
            <w:r>
              <w:rPr>
                <w:lang w:val="en-GB"/>
              </w:rPr>
              <w:t>Tender</w:t>
            </w:r>
            <w:r>
              <w:t xml:space="preserve"> submission </w:t>
            </w:r>
            <w:r>
              <w:rPr>
                <w:lang w:val="en-GB"/>
              </w:rPr>
              <w:t>deadline</w:t>
            </w:r>
          </w:p>
        </w:tc>
        <w:tc>
          <w:tcPr>
            <w:tcW w:w="4911" w:type="dxa"/>
          </w:tcPr>
          <w:p w14:paraId="7C388E7B" w14:textId="7D77E0ED" w:rsidR="00394CE2" w:rsidRPr="0066215B" w:rsidRDefault="0066215B" w:rsidP="00394CE2">
            <w:pPr>
              <w:pStyle w:val="Numberedlevel2text"/>
              <w:numPr>
                <w:ilvl w:val="0"/>
                <w:numId w:val="0"/>
              </w:numPr>
              <w:rPr>
                <w:lang w:val="en-GB"/>
              </w:rPr>
            </w:pPr>
            <w:r>
              <w:rPr>
                <w:lang w:val="en-GB"/>
              </w:rPr>
              <w:t>6 July 2021, 12 Noon</w:t>
            </w:r>
          </w:p>
        </w:tc>
      </w:tr>
      <w:tr w:rsidR="00394CE2" w14:paraId="211C5679" w14:textId="77777777" w:rsidTr="006D65DC">
        <w:tc>
          <w:tcPr>
            <w:tcW w:w="4111" w:type="dxa"/>
          </w:tcPr>
          <w:p w14:paraId="59C3FA73" w14:textId="75090306" w:rsidR="00394CE2" w:rsidRPr="0066215B" w:rsidRDefault="0066215B" w:rsidP="00394CE2">
            <w:pPr>
              <w:pStyle w:val="Numberedlevel2text"/>
              <w:numPr>
                <w:ilvl w:val="0"/>
                <w:numId w:val="0"/>
              </w:numPr>
              <w:rPr>
                <w:lang w:val="en-GB"/>
              </w:rPr>
            </w:pPr>
            <w:r>
              <w:rPr>
                <w:lang w:val="en-GB"/>
              </w:rPr>
              <w:t>Shortlisted bidders informed</w:t>
            </w:r>
          </w:p>
        </w:tc>
        <w:tc>
          <w:tcPr>
            <w:tcW w:w="4911" w:type="dxa"/>
          </w:tcPr>
          <w:p w14:paraId="4E6C0583" w14:textId="223A83B1" w:rsidR="00394CE2" w:rsidRPr="0066215B" w:rsidRDefault="0066215B" w:rsidP="00394CE2">
            <w:pPr>
              <w:pStyle w:val="Numberedlevel2text"/>
              <w:numPr>
                <w:ilvl w:val="0"/>
                <w:numId w:val="0"/>
              </w:numPr>
              <w:rPr>
                <w:lang w:val="en-GB"/>
              </w:rPr>
            </w:pPr>
            <w:r>
              <w:rPr>
                <w:lang w:val="en-GB"/>
              </w:rPr>
              <w:t>20 July 2021</w:t>
            </w:r>
          </w:p>
        </w:tc>
      </w:tr>
      <w:tr w:rsidR="00394CE2" w14:paraId="780CA4EB" w14:textId="77777777" w:rsidTr="006D65DC">
        <w:tc>
          <w:tcPr>
            <w:tcW w:w="4111" w:type="dxa"/>
          </w:tcPr>
          <w:p w14:paraId="572E184D" w14:textId="6BDBDE55" w:rsidR="00394CE2" w:rsidRPr="0066215B" w:rsidRDefault="0066215B" w:rsidP="00394CE2">
            <w:pPr>
              <w:pStyle w:val="Numberedlevel2text"/>
              <w:numPr>
                <w:ilvl w:val="0"/>
                <w:numId w:val="0"/>
              </w:numPr>
              <w:rPr>
                <w:lang w:val="en-GB"/>
              </w:rPr>
            </w:pPr>
            <w:r>
              <w:rPr>
                <w:lang w:val="en-GB"/>
              </w:rPr>
              <w:t>Interviews of shortlisted bidders</w:t>
            </w:r>
          </w:p>
        </w:tc>
        <w:tc>
          <w:tcPr>
            <w:tcW w:w="4911" w:type="dxa"/>
          </w:tcPr>
          <w:p w14:paraId="1E673298" w14:textId="5C7E0094" w:rsidR="00394CE2" w:rsidRPr="0066215B" w:rsidRDefault="0066215B" w:rsidP="00394CE2">
            <w:pPr>
              <w:pStyle w:val="Numberedlevel2text"/>
              <w:numPr>
                <w:ilvl w:val="0"/>
                <w:numId w:val="0"/>
              </w:numPr>
              <w:rPr>
                <w:lang w:val="en-GB"/>
              </w:rPr>
            </w:pPr>
            <w:r>
              <w:rPr>
                <w:lang w:val="en-GB"/>
              </w:rPr>
              <w:t>2 August 2021</w:t>
            </w:r>
          </w:p>
        </w:tc>
      </w:tr>
      <w:tr w:rsidR="0066215B" w14:paraId="7DFCB5DA" w14:textId="77777777" w:rsidTr="006D65DC">
        <w:tc>
          <w:tcPr>
            <w:tcW w:w="4111" w:type="dxa"/>
          </w:tcPr>
          <w:p w14:paraId="413285F2" w14:textId="642CB36D" w:rsidR="0066215B" w:rsidRDefault="0066215B" w:rsidP="00394CE2">
            <w:pPr>
              <w:pStyle w:val="Numberedlevel2text"/>
              <w:numPr>
                <w:ilvl w:val="0"/>
                <w:numId w:val="0"/>
              </w:numPr>
              <w:rPr>
                <w:lang w:val="en-GB"/>
              </w:rPr>
            </w:pPr>
            <w:r>
              <w:rPr>
                <w:lang w:val="en-GB"/>
              </w:rPr>
              <w:t xml:space="preserve">All bidders informed of </w:t>
            </w:r>
            <w:r w:rsidR="004E6C6E">
              <w:rPr>
                <w:lang w:val="en-GB"/>
              </w:rPr>
              <w:t>tender outcome</w:t>
            </w:r>
          </w:p>
        </w:tc>
        <w:tc>
          <w:tcPr>
            <w:tcW w:w="4911" w:type="dxa"/>
          </w:tcPr>
          <w:p w14:paraId="4A496D8E" w14:textId="0225C15E" w:rsidR="0066215B" w:rsidRDefault="0066215B" w:rsidP="00394CE2">
            <w:pPr>
              <w:pStyle w:val="Numberedlevel2text"/>
              <w:numPr>
                <w:ilvl w:val="0"/>
                <w:numId w:val="0"/>
              </w:numPr>
              <w:rPr>
                <w:lang w:val="en-GB"/>
              </w:rPr>
            </w:pPr>
            <w:r>
              <w:rPr>
                <w:lang w:val="en-GB"/>
              </w:rPr>
              <w:t>4 August 2021, 5PM</w:t>
            </w:r>
          </w:p>
        </w:tc>
      </w:tr>
      <w:tr w:rsidR="004E6C6E" w14:paraId="7E8062DC" w14:textId="77777777" w:rsidTr="006D65DC">
        <w:tc>
          <w:tcPr>
            <w:tcW w:w="4111" w:type="dxa"/>
          </w:tcPr>
          <w:p w14:paraId="7BDAB16A" w14:textId="2D0CCF5D" w:rsidR="004E6C6E" w:rsidRDefault="004E6C6E" w:rsidP="00394CE2">
            <w:pPr>
              <w:pStyle w:val="Numberedlevel2text"/>
              <w:numPr>
                <w:ilvl w:val="0"/>
                <w:numId w:val="0"/>
              </w:numPr>
              <w:rPr>
                <w:lang w:val="en-GB"/>
              </w:rPr>
            </w:pPr>
            <w:r>
              <w:rPr>
                <w:lang w:val="en-GB"/>
              </w:rPr>
              <w:t xml:space="preserve">Alcatel </w:t>
            </w:r>
            <w:proofErr w:type="gramStart"/>
            <w:r>
              <w:rPr>
                <w:lang w:val="en-GB"/>
              </w:rPr>
              <w:t>10 day</w:t>
            </w:r>
            <w:proofErr w:type="gramEnd"/>
            <w:r>
              <w:rPr>
                <w:lang w:val="en-GB"/>
              </w:rPr>
              <w:t xml:space="preserve"> standstill period</w:t>
            </w:r>
          </w:p>
        </w:tc>
        <w:tc>
          <w:tcPr>
            <w:tcW w:w="4911" w:type="dxa"/>
          </w:tcPr>
          <w:p w14:paraId="0FD521DA" w14:textId="6C3B7756" w:rsidR="004E6C6E" w:rsidRDefault="004E6C6E" w:rsidP="00394CE2">
            <w:pPr>
              <w:pStyle w:val="Numberedlevel2text"/>
              <w:numPr>
                <w:ilvl w:val="0"/>
                <w:numId w:val="0"/>
              </w:numPr>
              <w:rPr>
                <w:lang w:val="en-GB"/>
              </w:rPr>
            </w:pPr>
            <w:r>
              <w:rPr>
                <w:lang w:val="en-GB"/>
              </w:rPr>
              <w:t>5-15 August 2021</w:t>
            </w:r>
          </w:p>
        </w:tc>
      </w:tr>
      <w:tr w:rsidR="004E6C6E" w14:paraId="0D50EBE5" w14:textId="77777777" w:rsidTr="006D65DC">
        <w:tc>
          <w:tcPr>
            <w:tcW w:w="4111" w:type="dxa"/>
          </w:tcPr>
          <w:p w14:paraId="48489FBC" w14:textId="4DB74266" w:rsidR="004E6C6E" w:rsidRDefault="004E6C6E" w:rsidP="00394CE2">
            <w:pPr>
              <w:pStyle w:val="Numberedlevel2text"/>
              <w:numPr>
                <w:ilvl w:val="0"/>
                <w:numId w:val="0"/>
              </w:numPr>
              <w:rPr>
                <w:lang w:val="en-GB"/>
              </w:rPr>
            </w:pPr>
            <w:r>
              <w:rPr>
                <w:lang w:val="en-GB"/>
              </w:rPr>
              <w:t>Issue tender award letter to successful bidder and letters to unsuccessful bidders</w:t>
            </w:r>
          </w:p>
        </w:tc>
        <w:tc>
          <w:tcPr>
            <w:tcW w:w="4911" w:type="dxa"/>
          </w:tcPr>
          <w:p w14:paraId="2524BC1A" w14:textId="6BB4AB26" w:rsidR="004E6C6E" w:rsidRDefault="004E6C6E" w:rsidP="00394CE2">
            <w:pPr>
              <w:pStyle w:val="Numberedlevel2text"/>
              <w:numPr>
                <w:ilvl w:val="0"/>
                <w:numId w:val="0"/>
              </w:numPr>
              <w:rPr>
                <w:lang w:val="en-GB"/>
              </w:rPr>
            </w:pPr>
            <w:r>
              <w:rPr>
                <w:lang w:val="en-GB"/>
              </w:rPr>
              <w:t>16 August 2021</w:t>
            </w:r>
          </w:p>
        </w:tc>
      </w:tr>
      <w:tr w:rsidR="0066215B" w14:paraId="5B350295" w14:textId="77777777" w:rsidTr="006D65DC">
        <w:tc>
          <w:tcPr>
            <w:tcW w:w="4111" w:type="dxa"/>
          </w:tcPr>
          <w:p w14:paraId="145F458F" w14:textId="5237B622" w:rsidR="0066215B" w:rsidRDefault="0066215B" w:rsidP="00394CE2">
            <w:pPr>
              <w:pStyle w:val="Numberedlevel2text"/>
              <w:numPr>
                <w:ilvl w:val="0"/>
                <w:numId w:val="0"/>
              </w:numPr>
              <w:rPr>
                <w:lang w:val="en-GB"/>
              </w:rPr>
            </w:pPr>
            <w:r>
              <w:rPr>
                <w:lang w:val="en-GB"/>
              </w:rPr>
              <w:t>St</w:t>
            </w:r>
            <w:r w:rsidR="00A45F00">
              <w:rPr>
                <w:lang w:val="en-GB"/>
              </w:rPr>
              <w:t>art</w:t>
            </w:r>
            <w:r>
              <w:rPr>
                <w:lang w:val="en-GB"/>
              </w:rPr>
              <w:t xml:space="preserve"> date of contract</w:t>
            </w:r>
          </w:p>
        </w:tc>
        <w:tc>
          <w:tcPr>
            <w:tcW w:w="4911" w:type="dxa"/>
          </w:tcPr>
          <w:p w14:paraId="25FC4D7A" w14:textId="16E208B9" w:rsidR="0066215B" w:rsidRDefault="0066215B" w:rsidP="00394CE2">
            <w:pPr>
              <w:pStyle w:val="Numberedlevel2text"/>
              <w:numPr>
                <w:ilvl w:val="0"/>
                <w:numId w:val="0"/>
              </w:numPr>
              <w:rPr>
                <w:lang w:val="en-GB"/>
              </w:rPr>
            </w:pPr>
            <w:r>
              <w:rPr>
                <w:lang w:val="en-GB"/>
              </w:rPr>
              <w:t>23 August 2021</w:t>
            </w:r>
          </w:p>
        </w:tc>
      </w:tr>
    </w:tbl>
    <w:p w14:paraId="591B7F0B" w14:textId="77777777" w:rsidR="00D33406" w:rsidRDefault="00D33406" w:rsidP="0066215B">
      <w:pPr>
        <w:pStyle w:val="Numberedlevel2text"/>
        <w:numPr>
          <w:ilvl w:val="0"/>
          <w:numId w:val="0"/>
        </w:numPr>
      </w:pPr>
    </w:p>
    <w:p w14:paraId="3504CC79" w14:textId="1507CEE1" w:rsidR="00981584" w:rsidRDefault="00981584" w:rsidP="00981584">
      <w:pPr>
        <w:pStyle w:val="Numberedheading1"/>
      </w:pPr>
      <w:r>
        <w:t>Selection criteria and scoring</w:t>
      </w:r>
    </w:p>
    <w:p w14:paraId="14250A76" w14:textId="67985871" w:rsidR="00981584" w:rsidRDefault="00981584" w:rsidP="006C44DB">
      <w:pPr>
        <w:pStyle w:val="Numberedlevel2text"/>
      </w:pPr>
      <w:r>
        <w:t>The following criteria will be used to assess the tenders received: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5"/>
        <w:gridCol w:w="1376"/>
      </w:tblGrid>
      <w:tr w:rsidR="006C44DB" w14:paraId="7322B740" w14:textId="77777777" w:rsidTr="003A647E">
        <w:trPr>
          <w:trHeight w:val="570"/>
        </w:trPr>
        <w:tc>
          <w:tcPr>
            <w:tcW w:w="7145" w:type="dxa"/>
            <w:tcBorders>
              <w:top w:val="single" w:sz="4" w:space="0" w:color="auto"/>
              <w:left w:val="single" w:sz="4" w:space="0" w:color="auto"/>
              <w:bottom w:val="single" w:sz="4" w:space="0" w:color="auto"/>
              <w:right w:val="single" w:sz="4" w:space="0" w:color="auto"/>
            </w:tcBorders>
            <w:shd w:val="clear" w:color="auto" w:fill="D9D9D9"/>
            <w:hideMark/>
          </w:tcPr>
          <w:p w14:paraId="43DCEAFB" w14:textId="77777777" w:rsidR="006C44DB" w:rsidRDefault="006C44DB" w:rsidP="003A647E">
            <w:pPr>
              <w:pStyle w:val="NICEnormal"/>
              <w:rPr>
                <w:b/>
              </w:rPr>
            </w:pPr>
            <w:r>
              <w:rPr>
                <w:b/>
              </w:rPr>
              <w:t>Selection criterion</w:t>
            </w:r>
          </w:p>
        </w:tc>
        <w:tc>
          <w:tcPr>
            <w:tcW w:w="1376" w:type="dxa"/>
            <w:tcBorders>
              <w:top w:val="single" w:sz="4" w:space="0" w:color="auto"/>
              <w:left w:val="single" w:sz="4" w:space="0" w:color="auto"/>
              <w:bottom w:val="single" w:sz="4" w:space="0" w:color="auto"/>
              <w:right w:val="single" w:sz="4" w:space="0" w:color="auto"/>
            </w:tcBorders>
            <w:shd w:val="clear" w:color="auto" w:fill="D9D9D9"/>
            <w:hideMark/>
          </w:tcPr>
          <w:p w14:paraId="0D2F858A" w14:textId="77777777" w:rsidR="006C44DB" w:rsidRDefault="006C44DB" w:rsidP="003A647E">
            <w:pPr>
              <w:pStyle w:val="NICEnormal"/>
              <w:rPr>
                <w:b/>
              </w:rPr>
            </w:pPr>
            <w:r>
              <w:rPr>
                <w:b/>
              </w:rPr>
              <w:t>Weighting</w:t>
            </w:r>
          </w:p>
        </w:tc>
      </w:tr>
      <w:tr w:rsidR="006C44DB" w14:paraId="04740539" w14:textId="77777777" w:rsidTr="003A647E">
        <w:trPr>
          <w:trHeight w:val="570"/>
        </w:trPr>
        <w:tc>
          <w:tcPr>
            <w:tcW w:w="7145" w:type="dxa"/>
            <w:tcBorders>
              <w:top w:val="single" w:sz="4" w:space="0" w:color="auto"/>
              <w:left w:val="single" w:sz="4" w:space="0" w:color="auto"/>
              <w:bottom w:val="single" w:sz="4" w:space="0" w:color="auto"/>
              <w:right w:val="single" w:sz="4" w:space="0" w:color="auto"/>
            </w:tcBorders>
            <w:hideMark/>
          </w:tcPr>
          <w:p w14:paraId="15DD1454" w14:textId="77777777" w:rsidR="006C44DB" w:rsidRDefault="006C44DB" w:rsidP="003A647E">
            <w:pPr>
              <w:pStyle w:val="Paragraphnonumbers"/>
            </w:pPr>
            <w:r>
              <w:rPr>
                <w:rFonts w:cs="Arial"/>
              </w:rPr>
              <w:t xml:space="preserve">Organisational stability – to include policies as listed in </w:t>
            </w:r>
            <w:proofErr w:type="gramStart"/>
            <w:r>
              <w:rPr>
                <w:rFonts w:cs="Arial"/>
              </w:rPr>
              <w:t>6.3 and 3 years</w:t>
            </w:r>
            <w:proofErr w:type="gramEnd"/>
            <w:r>
              <w:rPr>
                <w:rFonts w:cs="Arial"/>
              </w:rPr>
              <w:t xml:space="preserve"> accounts</w:t>
            </w:r>
          </w:p>
        </w:tc>
        <w:tc>
          <w:tcPr>
            <w:tcW w:w="1376" w:type="dxa"/>
            <w:tcBorders>
              <w:top w:val="single" w:sz="4" w:space="0" w:color="auto"/>
              <w:left w:val="single" w:sz="4" w:space="0" w:color="auto"/>
              <w:bottom w:val="single" w:sz="4" w:space="0" w:color="auto"/>
              <w:right w:val="single" w:sz="4" w:space="0" w:color="auto"/>
            </w:tcBorders>
            <w:hideMark/>
          </w:tcPr>
          <w:p w14:paraId="5D619A94" w14:textId="77777777" w:rsidR="006C44DB" w:rsidRDefault="006C44DB" w:rsidP="003A647E">
            <w:pPr>
              <w:pStyle w:val="Paragraphnonumbers"/>
            </w:pPr>
            <w:r>
              <w:rPr>
                <w:rFonts w:cs="Arial"/>
              </w:rPr>
              <w:t>Pass/fail</w:t>
            </w:r>
          </w:p>
        </w:tc>
      </w:tr>
      <w:tr w:rsidR="006C44DB" w14:paraId="0567C30F" w14:textId="77777777" w:rsidTr="003A647E">
        <w:trPr>
          <w:trHeight w:val="570"/>
        </w:trPr>
        <w:tc>
          <w:tcPr>
            <w:tcW w:w="7145" w:type="dxa"/>
            <w:tcBorders>
              <w:top w:val="single" w:sz="4" w:space="0" w:color="auto"/>
              <w:left w:val="single" w:sz="4" w:space="0" w:color="auto"/>
              <w:bottom w:val="single" w:sz="4" w:space="0" w:color="auto"/>
              <w:right w:val="single" w:sz="4" w:space="0" w:color="auto"/>
            </w:tcBorders>
            <w:hideMark/>
          </w:tcPr>
          <w:p w14:paraId="71F90CEF" w14:textId="77777777" w:rsidR="006C44DB" w:rsidRDefault="006C44DB" w:rsidP="003A647E">
            <w:pPr>
              <w:pStyle w:val="Paragraphnonumbers"/>
            </w:pPr>
            <w:r>
              <w:t>References</w:t>
            </w:r>
          </w:p>
        </w:tc>
        <w:tc>
          <w:tcPr>
            <w:tcW w:w="1376" w:type="dxa"/>
            <w:tcBorders>
              <w:top w:val="single" w:sz="4" w:space="0" w:color="auto"/>
              <w:left w:val="single" w:sz="4" w:space="0" w:color="auto"/>
              <w:bottom w:val="single" w:sz="4" w:space="0" w:color="auto"/>
              <w:right w:val="single" w:sz="4" w:space="0" w:color="auto"/>
            </w:tcBorders>
            <w:hideMark/>
          </w:tcPr>
          <w:p w14:paraId="7A72139F" w14:textId="77777777" w:rsidR="006C44DB" w:rsidRDefault="006C44DB" w:rsidP="003A647E">
            <w:pPr>
              <w:pStyle w:val="Paragraphnonumbers"/>
            </w:pPr>
            <w:r>
              <w:rPr>
                <w:rFonts w:cs="Arial"/>
              </w:rPr>
              <w:t>Pass/fail</w:t>
            </w:r>
          </w:p>
        </w:tc>
      </w:tr>
      <w:tr w:rsidR="006C44DB" w14:paraId="7B521A5C" w14:textId="77777777" w:rsidTr="003A647E">
        <w:trPr>
          <w:trHeight w:val="570"/>
        </w:trPr>
        <w:tc>
          <w:tcPr>
            <w:tcW w:w="7145" w:type="dxa"/>
            <w:tcBorders>
              <w:top w:val="single" w:sz="4" w:space="0" w:color="auto"/>
              <w:left w:val="single" w:sz="4" w:space="0" w:color="auto"/>
              <w:bottom w:val="single" w:sz="4" w:space="0" w:color="auto"/>
              <w:right w:val="single" w:sz="4" w:space="0" w:color="auto"/>
            </w:tcBorders>
          </w:tcPr>
          <w:p w14:paraId="78B2D982" w14:textId="77777777" w:rsidR="006C44DB" w:rsidRDefault="006C44DB" w:rsidP="003A647E">
            <w:pPr>
              <w:pStyle w:val="Paragraphnonumbers"/>
            </w:pPr>
            <w:r>
              <w:t>Knowledge and understanding of key concepts</w:t>
            </w:r>
          </w:p>
        </w:tc>
        <w:tc>
          <w:tcPr>
            <w:tcW w:w="1376" w:type="dxa"/>
            <w:tcBorders>
              <w:top w:val="single" w:sz="4" w:space="0" w:color="auto"/>
              <w:left w:val="single" w:sz="4" w:space="0" w:color="auto"/>
              <w:bottom w:val="single" w:sz="4" w:space="0" w:color="auto"/>
              <w:right w:val="single" w:sz="4" w:space="0" w:color="auto"/>
            </w:tcBorders>
          </w:tcPr>
          <w:p w14:paraId="004F3FE0" w14:textId="096D437F" w:rsidR="006C44DB" w:rsidRDefault="003A647E" w:rsidP="003A647E">
            <w:pPr>
              <w:pStyle w:val="Paragraphnonumbers"/>
            </w:pPr>
            <w:r>
              <w:t>7.5</w:t>
            </w:r>
            <w:r w:rsidR="006C44DB">
              <w:t>%</w:t>
            </w:r>
          </w:p>
        </w:tc>
      </w:tr>
      <w:tr w:rsidR="006C44DB" w14:paraId="2F17D588" w14:textId="77777777" w:rsidTr="003A647E">
        <w:trPr>
          <w:trHeight w:val="570"/>
        </w:trPr>
        <w:tc>
          <w:tcPr>
            <w:tcW w:w="7145" w:type="dxa"/>
            <w:tcBorders>
              <w:top w:val="single" w:sz="4" w:space="0" w:color="auto"/>
              <w:left w:val="single" w:sz="4" w:space="0" w:color="auto"/>
              <w:bottom w:val="single" w:sz="4" w:space="0" w:color="auto"/>
              <w:right w:val="single" w:sz="4" w:space="0" w:color="auto"/>
            </w:tcBorders>
            <w:hideMark/>
          </w:tcPr>
          <w:p w14:paraId="17CA3F26" w14:textId="77777777" w:rsidR="006C44DB" w:rsidRDefault="006C44DB" w:rsidP="003A647E">
            <w:pPr>
              <w:pStyle w:val="Paragraphnonumbers"/>
            </w:pPr>
            <w:r>
              <w:lastRenderedPageBreak/>
              <w:t xml:space="preserve">Experience, </w:t>
            </w:r>
            <w:proofErr w:type="gramStart"/>
            <w:r>
              <w:t>skills</w:t>
            </w:r>
            <w:proofErr w:type="gramEnd"/>
            <w:r>
              <w:t xml:space="preserve"> and expertise</w:t>
            </w:r>
          </w:p>
        </w:tc>
        <w:tc>
          <w:tcPr>
            <w:tcW w:w="1376" w:type="dxa"/>
            <w:tcBorders>
              <w:top w:val="single" w:sz="4" w:space="0" w:color="auto"/>
              <w:left w:val="single" w:sz="4" w:space="0" w:color="auto"/>
              <w:bottom w:val="single" w:sz="4" w:space="0" w:color="auto"/>
              <w:right w:val="single" w:sz="4" w:space="0" w:color="auto"/>
            </w:tcBorders>
            <w:hideMark/>
          </w:tcPr>
          <w:p w14:paraId="44E5631B" w14:textId="79890583" w:rsidR="006C44DB" w:rsidRDefault="006D65DC" w:rsidP="003A647E">
            <w:pPr>
              <w:pStyle w:val="Paragraphnonumbers"/>
            </w:pPr>
            <w:r>
              <w:t>2</w:t>
            </w:r>
            <w:r w:rsidR="003A647E">
              <w:t>2.5</w:t>
            </w:r>
            <w:r w:rsidR="006C44DB">
              <w:t>%</w:t>
            </w:r>
          </w:p>
        </w:tc>
      </w:tr>
      <w:tr w:rsidR="006C44DB" w14:paraId="51867794" w14:textId="77777777" w:rsidTr="003A647E">
        <w:trPr>
          <w:trHeight w:val="285"/>
        </w:trPr>
        <w:tc>
          <w:tcPr>
            <w:tcW w:w="7145" w:type="dxa"/>
            <w:tcBorders>
              <w:top w:val="single" w:sz="4" w:space="0" w:color="auto"/>
              <w:left w:val="single" w:sz="4" w:space="0" w:color="auto"/>
              <w:bottom w:val="single" w:sz="4" w:space="0" w:color="auto"/>
              <w:right w:val="single" w:sz="4" w:space="0" w:color="auto"/>
            </w:tcBorders>
            <w:hideMark/>
          </w:tcPr>
          <w:p w14:paraId="40678A43" w14:textId="77777777" w:rsidR="006C44DB" w:rsidRDefault="006C44DB" w:rsidP="003A647E">
            <w:pPr>
              <w:pStyle w:val="Paragraphnonumbers"/>
            </w:pPr>
            <w:r>
              <w:t xml:space="preserve">Proposed methodology </w:t>
            </w:r>
          </w:p>
        </w:tc>
        <w:tc>
          <w:tcPr>
            <w:tcW w:w="1376" w:type="dxa"/>
            <w:tcBorders>
              <w:top w:val="single" w:sz="4" w:space="0" w:color="auto"/>
              <w:left w:val="single" w:sz="4" w:space="0" w:color="auto"/>
              <w:bottom w:val="single" w:sz="4" w:space="0" w:color="auto"/>
              <w:right w:val="single" w:sz="4" w:space="0" w:color="auto"/>
            </w:tcBorders>
            <w:hideMark/>
          </w:tcPr>
          <w:p w14:paraId="5F300D98" w14:textId="57DAD520" w:rsidR="006C44DB" w:rsidRDefault="006D65DC" w:rsidP="003A647E">
            <w:pPr>
              <w:pStyle w:val="Paragraphnonumbers"/>
            </w:pPr>
            <w:r>
              <w:t>15</w:t>
            </w:r>
            <w:r w:rsidR="006C44DB">
              <w:t>%</w:t>
            </w:r>
          </w:p>
        </w:tc>
      </w:tr>
      <w:tr w:rsidR="006C44DB" w14:paraId="65F925C8" w14:textId="77777777" w:rsidTr="003A647E">
        <w:trPr>
          <w:trHeight w:val="570"/>
        </w:trPr>
        <w:tc>
          <w:tcPr>
            <w:tcW w:w="7145" w:type="dxa"/>
            <w:tcBorders>
              <w:top w:val="single" w:sz="4" w:space="0" w:color="auto"/>
              <w:left w:val="single" w:sz="4" w:space="0" w:color="auto"/>
              <w:bottom w:val="single" w:sz="4" w:space="0" w:color="auto"/>
              <w:right w:val="single" w:sz="4" w:space="0" w:color="auto"/>
            </w:tcBorders>
            <w:hideMark/>
          </w:tcPr>
          <w:p w14:paraId="2EA6502B" w14:textId="77777777" w:rsidR="006C44DB" w:rsidRDefault="006C44DB" w:rsidP="003A647E">
            <w:pPr>
              <w:pStyle w:val="Paragraphnonumbers"/>
            </w:pPr>
            <w:r>
              <w:t>Quality assurance</w:t>
            </w:r>
          </w:p>
        </w:tc>
        <w:tc>
          <w:tcPr>
            <w:tcW w:w="1376" w:type="dxa"/>
            <w:tcBorders>
              <w:top w:val="single" w:sz="4" w:space="0" w:color="auto"/>
              <w:left w:val="single" w:sz="4" w:space="0" w:color="auto"/>
              <w:bottom w:val="single" w:sz="4" w:space="0" w:color="auto"/>
              <w:right w:val="single" w:sz="4" w:space="0" w:color="auto"/>
            </w:tcBorders>
            <w:hideMark/>
          </w:tcPr>
          <w:p w14:paraId="3D5E4E93" w14:textId="3B1B2115" w:rsidR="006C44DB" w:rsidRDefault="003A647E" w:rsidP="003A647E">
            <w:pPr>
              <w:pStyle w:val="Paragraphnonumbers"/>
            </w:pPr>
            <w:r>
              <w:t>5</w:t>
            </w:r>
            <w:r w:rsidR="006C44DB">
              <w:t>%</w:t>
            </w:r>
          </w:p>
        </w:tc>
      </w:tr>
      <w:tr w:rsidR="006C44DB" w14:paraId="76D8C090" w14:textId="77777777" w:rsidTr="003A647E">
        <w:trPr>
          <w:trHeight w:val="285"/>
        </w:trPr>
        <w:tc>
          <w:tcPr>
            <w:tcW w:w="7145" w:type="dxa"/>
            <w:tcBorders>
              <w:top w:val="single" w:sz="4" w:space="0" w:color="auto"/>
              <w:left w:val="single" w:sz="4" w:space="0" w:color="auto"/>
              <w:bottom w:val="single" w:sz="4" w:space="0" w:color="auto"/>
              <w:right w:val="single" w:sz="4" w:space="0" w:color="auto"/>
            </w:tcBorders>
            <w:hideMark/>
          </w:tcPr>
          <w:p w14:paraId="222B5555" w14:textId="77777777" w:rsidR="006C44DB" w:rsidRDefault="006C44DB" w:rsidP="003A647E">
            <w:pPr>
              <w:pStyle w:val="Paragraphnonumbers"/>
            </w:pPr>
            <w:r>
              <w:t>Cost and value for money</w:t>
            </w:r>
          </w:p>
        </w:tc>
        <w:tc>
          <w:tcPr>
            <w:tcW w:w="1376" w:type="dxa"/>
            <w:tcBorders>
              <w:top w:val="single" w:sz="4" w:space="0" w:color="auto"/>
              <w:left w:val="single" w:sz="4" w:space="0" w:color="auto"/>
              <w:bottom w:val="single" w:sz="4" w:space="0" w:color="auto"/>
              <w:right w:val="single" w:sz="4" w:space="0" w:color="auto"/>
            </w:tcBorders>
            <w:hideMark/>
          </w:tcPr>
          <w:p w14:paraId="73755207" w14:textId="556D0E51" w:rsidR="006C44DB" w:rsidRDefault="009C6E7D" w:rsidP="003A647E">
            <w:pPr>
              <w:pStyle w:val="Paragraphnonumbers"/>
            </w:pPr>
            <w:r>
              <w:t>50</w:t>
            </w:r>
            <w:r w:rsidR="006C44DB">
              <w:t>%</w:t>
            </w:r>
          </w:p>
        </w:tc>
      </w:tr>
    </w:tbl>
    <w:p w14:paraId="53EC7B56" w14:textId="77777777" w:rsidR="00981584" w:rsidRDefault="00981584" w:rsidP="006C44DB">
      <w:pPr>
        <w:pStyle w:val="Numberedheading2"/>
      </w:pPr>
      <w:r>
        <w:t xml:space="preserve">Scoring </w:t>
      </w:r>
    </w:p>
    <w:p w14:paraId="32448329" w14:textId="452EBD32" w:rsidR="00981584" w:rsidRDefault="00981584" w:rsidP="006C44DB">
      <w:pPr>
        <w:pStyle w:val="Numberedlevel2text"/>
      </w:pPr>
      <w:r>
        <w:t xml:space="preserve">In light of the government’s drive for transparency, NICE is providing the formula that will be used for the cost evaluation aspect and the scoring guide. </w:t>
      </w:r>
    </w:p>
    <w:p w14:paraId="09688B79" w14:textId="2D1D0952" w:rsidR="00981584" w:rsidRDefault="00981584" w:rsidP="006C44DB">
      <w:pPr>
        <w:pStyle w:val="Numberedlevel2text"/>
      </w:pPr>
      <w:r>
        <w:t>The cost will be evaluated using the following formula:</w:t>
      </w:r>
    </w:p>
    <w:p w14:paraId="0ABB50B1" w14:textId="012F196D" w:rsidR="00981584" w:rsidRDefault="00981584" w:rsidP="006C44DB">
      <w:pPr>
        <w:pStyle w:val="Numberedlevel2text"/>
        <w:numPr>
          <w:ilvl w:val="0"/>
          <w:numId w:val="0"/>
        </w:numPr>
        <w:ind w:left="1134"/>
      </w:pPr>
      <w:r>
        <w:t xml:space="preserve">Lowest bidder’s price / bidder’s price x </w:t>
      </w:r>
      <w:r w:rsidR="009C6E7D">
        <w:rPr>
          <w:lang w:val="en-GB"/>
        </w:rPr>
        <w:t>5</w:t>
      </w:r>
      <w:r>
        <w:t xml:space="preserve">0% (the weighting). </w:t>
      </w:r>
    </w:p>
    <w:p w14:paraId="30501C7F" w14:textId="6ACC5386" w:rsidR="00981584" w:rsidRDefault="00981584" w:rsidP="006C44DB">
      <w:pPr>
        <w:pStyle w:val="Numberedlevel2text"/>
      </w:pPr>
      <w:r>
        <w:t>Each evaluator will independently evaluate each tender submitted and use the following guide to score each criterion.  The scores of all the evaluators for each criterion are averaged, then the criterion weighting above is applied to give an adjusted score.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3"/>
        <w:gridCol w:w="5644"/>
      </w:tblGrid>
      <w:tr w:rsidR="006C44DB" w:rsidRPr="000A31D0" w14:paraId="229E3FF7" w14:textId="77777777" w:rsidTr="003A647E">
        <w:trPr>
          <w:jc w:val="center"/>
        </w:trPr>
        <w:tc>
          <w:tcPr>
            <w:tcW w:w="843" w:type="dxa"/>
          </w:tcPr>
          <w:p w14:paraId="77A8B29B" w14:textId="77777777" w:rsidR="006C44DB" w:rsidRPr="000A31D0" w:rsidRDefault="006C44DB" w:rsidP="003A647E">
            <w:pPr>
              <w:spacing w:after="120"/>
              <w:rPr>
                <w:rFonts w:ascii="Arial" w:eastAsia="Calibri" w:hAnsi="Arial" w:cs="Arial"/>
                <w:color w:val="000000"/>
                <w:lang w:eastAsia="en-GB"/>
              </w:rPr>
            </w:pPr>
            <w:r w:rsidRPr="000A31D0">
              <w:rPr>
                <w:rFonts w:ascii="Arial" w:hAnsi="Arial" w:cs="Arial"/>
                <w:color w:val="000000"/>
                <w:lang w:eastAsia="en-GB"/>
              </w:rPr>
              <w:t>Scor</w:t>
            </w:r>
            <w:r>
              <w:rPr>
                <w:rFonts w:ascii="Arial" w:hAnsi="Arial" w:cs="Arial"/>
                <w:color w:val="000000"/>
                <w:lang w:eastAsia="en-GB"/>
              </w:rPr>
              <w:t>e</w:t>
            </w:r>
          </w:p>
        </w:tc>
        <w:tc>
          <w:tcPr>
            <w:tcW w:w="5644" w:type="dxa"/>
          </w:tcPr>
          <w:p w14:paraId="1DD8D634" w14:textId="77777777" w:rsidR="006C44DB" w:rsidRPr="000A31D0" w:rsidRDefault="006C44DB" w:rsidP="003A647E">
            <w:pPr>
              <w:spacing w:after="120"/>
              <w:rPr>
                <w:rFonts w:ascii="Arial" w:eastAsia="Calibri" w:hAnsi="Arial" w:cs="Arial"/>
                <w:color w:val="000000"/>
                <w:lang w:eastAsia="en-GB"/>
              </w:rPr>
            </w:pPr>
          </w:p>
        </w:tc>
      </w:tr>
      <w:tr w:rsidR="006C44DB" w:rsidRPr="000A31D0" w14:paraId="6A36E32B" w14:textId="77777777" w:rsidTr="003A647E">
        <w:trPr>
          <w:jc w:val="center"/>
        </w:trPr>
        <w:tc>
          <w:tcPr>
            <w:tcW w:w="843" w:type="dxa"/>
          </w:tcPr>
          <w:p w14:paraId="2C08AD9D" w14:textId="77777777" w:rsidR="006C44DB" w:rsidRPr="000A31D0" w:rsidRDefault="006C44DB" w:rsidP="003A647E">
            <w:pPr>
              <w:spacing w:after="120"/>
              <w:jc w:val="right"/>
              <w:rPr>
                <w:rFonts w:ascii="Arial" w:hAnsi="Arial" w:cs="Arial"/>
                <w:color w:val="000000"/>
                <w:lang w:eastAsia="en-GB"/>
              </w:rPr>
            </w:pPr>
            <w:r w:rsidRPr="000A31D0">
              <w:rPr>
                <w:rFonts w:ascii="Arial" w:hAnsi="Arial" w:cs="Arial"/>
                <w:color w:val="000000"/>
                <w:lang w:eastAsia="en-GB"/>
              </w:rPr>
              <w:t>-5</w:t>
            </w:r>
          </w:p>
        </w:tc>
        <w:tc>
          <w:tcPr>
            <w:tcW w:w="5644" w:type="dxa"/>
          </w:tcPr>
          <w:p w14:paraId="63F9336E" w14:textId="77777777" w:rsidR="006C44DB" w:rsidRPr="000A31D0" w:rsidRDefault="006C44DB" w:rsidP="003A647E">
            <w:pPr>
              <w:spacing w:after="120"/>
              <w:rPr>
                <w:rFonts w:ascii="Arial" w:eastAsia="Calibri" w:hAnsi="Arial" w:cs="Arial"/>
                <w:color w:val="000000"/>
                <w:lang w:eastAsia="en-GB"/>
              </w:rPr>
            </w:pPr>
            <w:r w:rsidRPr="000A31D0">
              <w:rPr>
                <w:rFonts w:ascii="Arial" w:eastAsia="Calibri" w:hAnsi="Arial" w:cs="Arial"/>
                <w:color w:val="000000"/>
                <w:lang w:eastAsia="en-GB"/>
              </w:rPr>
              <w:t>The point is omitted</w:t>
            </w:r>
          </w:p>
        </w:tc>
      </w:tr>
      <w:tr w:rsidR="006C44DB" w:rsidRPr="000A31D0" w14:paraId="770D54D6" w14:textId="77777777" w:rsidTr="003A647E">
        <w:trPr>
          <w:jc w:val="center"/>
        </w:trPr>
        <w:tc>
          <w:tcPr>
            <w:tcW w:w="843" w:type="dxa"/>
          </w:tcPr>
          <w:p w14:paraId="56B5CB27" w14:textId="77777777" w:rsidR="006C44DB" w:rsidRPr="000A31D0" w:rsidRDefault="006C44DB" w:rsidP="003A647E">
            <w:pPr>
              <w:spacing w:after="120"/>
              <w:jc w:val="right"/>
              <w:rPr>
                <w:rFonts w:ascii="Arial" w:hAnsi="Arial" w:cs="Arial"/>
                <w:color w:val="000000"/>
                <w:lang w:eastAsia="en-GB"/>
              </w:rPr>
            </w:pPr>
            <w:r w:rsidRPr="000A31D0">
              <w:rPr>
                <w:rFonts w:ascii="Arial" w:hAnsi="Arial" w:cs="Arial"/>
                <w:color w:val="000000"/>
                <w:lang w:eastAsia="en-GB"/>
              </w:rPr>
              <w:t>0</w:t>
            </w:r>
          </w:p>
        </w:tc>
        <w:tc>
          <w:tcPr>
            <w:tcW w:w="5644" w:type="dxa"/>
          </w:tcPr>
          <w:p w14:paraId="173F6B8A" w14:textId="77777777" w:rsidR="006C44DB" w:rsidRPr="000A31D0" w:rsidRDefault="006C44DB" w:rsidP="003A647E">
            <w:pPr>
              <w:spacing w:after="120"/>
              <w:rPr>
                <w:rFonts w:ascii="Arial" w:eastAsia="Calibri" w:hAnsi="Arial" w:cs="Arial"/>
                <w:color w:val="000000"/>
                <w:lang w:eastAsia="en-GB"/>
              </w:rPr>
            </w:pPr>
            <w:r w:rsidRPr="000A31D0">
              <w:rPr>
                <w:rFonts w:ascii="Arial" w:eastAsia="Calibri" w:hAnsi="Arial" w:cs="Arial"/>
                <w:color w:val="000000"/>
                <w:lang w:eastAsia="en-GB"/>
              </w:rPr>
              <w:t>The point is not explained/ repeat of specification</w:t>
            </w:r>
          </w:p>
        </w:tc>
      </w:tr>
      <w:tr w:rsidR="006C44DB" w:rsidRPr="000A31D0" w14:paraId="0EF9F566" w14:textId="77777777" w:rsidTr="003A647E">
        <w:trPr>
          <w:jc w:val="center"/>
        </w:trPr>
        <w:tc>
          <w:tcPr>
            <w:tcW w:w="843" w:type="dxa"/>
          </w:tcPr>
          <w:p w14:paraId="557C8F6D" w14:textId="77777777" w:rsidR="006C44DB" w:rsidRPr="000A31D0" w:rsidRDefault="006C44DB" w:rsidP="003A647E">
            <w:pPr>
              <w:spacing w:after="120"/>
              <w:jc w:val="right"/>
              <w:rPr>
                <w:rFonts w:ascii="Arial" w:hAnsi="Arial" w:cs="Arial"/>
                <w:color w:val="000000"/>
                <w:lang w:eastAsia="en-GB"/>
              </w:rPr>
            </w:pPr>
            <w:r w:rsidRPr="000A31D0">
              <w:rPr>
                <w:rFonts w:ascii="Arial" w:hAnsi="Arial" w:cs="Arial"/>
                <w:color w:val="000000"/>
                <w:lang w:eastAsia="en-GB"/>
              </w:rPr>
              <w:t>1</w:t>
            </w:r>
          </w:p>
        </w:tc>
        <w:tc>
          <w:tcPr>
            <w:tcW w:w="5644" w:type="dxa"/>
          </w:tcPr>
          <w:p w14:paraId="269721D7" w14:textId="77777777" w:rsidR="006C44DB" w:rsidRPr="000A31D0" w:rsidRDefault="006C44DB" w:rsidP="003A647E">
            <w:pPr>
              <w:spacing w:after="120"/>
              <w:rPr>
                <w:rFonts w:ascii="Arial" w:eastAsia="Calibri" w:hAnsi="Arial" w:cs="Arial"/>
                <w:color w:val="000000"/>
                <w:lang w:eastAsia="en-GB"/>
              </w:rPr>
            </w:pPr>
            <w:r w:rsidRPr="000A31D0">
              <w:rPr>
                <w:rFonts w:ascii="Arial" w:eastAsia="Calibri" w:hAnsi="Arial" w:cs="Arial"/>
                <w:color w:val="000000"/>
                <w:lang w:eastAsia="en-GB"/>
              </w:rPr>
              <w:t>The point is not acceptable</w:t>
            </w:r>
          </w:p>
        </w:tc>
      </w:tr>
      <w:tr w:rsidR="006C44DB" w:rsidRPr="000A31D0" w14:paraId="418BC12F" w14:textId="77777777" w:rsidTr="003A647E">
        <w:trPr>
          <w:jc w:val="center"/>
        </w:trPr>
        <w:tc>
          <w:tcPr>
            <w:tcW w:w="843" w:type="dxa"/>
          </w:tcPr>
          <w:p w14:paraId="2647F7B0" w14:textId="77777777" w:rsidR="006C44DB" w:rsidRPr="000A31D0" w:rsidRDefault="006C44DB" w:rsidP="003A647E">
            <w:pPr>
              <w:spacing w:after="120"/>
              <w:jc w:val="right"/>
              <w:rPr>
                <w:rFonts w:ascii="Arial" w:hAnsi="Arial" w:cs="Arial"/>
                <w:color w:val="000000"/>
                <w:lang w:eastAsia="en-GB"/>
              </w:rPr>
            </w:pPr>
            <w:r w:rsidRPr="000A31D0">
              <w:rPr>
                <w:rFonts w:ascii="Arial" w:hAnsi="Arial" w:cs="Arial"/>
                <w:color w:val="000000"/>
                <w:lang w:eastAsia="en-GB"/>
              </w:rPr>
              <w:t>2</w:t>
            </w:r>
          </w:p>
        </w:tc>
        <w:tc>
          <w:tcPr>
            <w:tcW w:w="5644" w:type="dxa"/>
          </w:tcPr>
          <w:p w14:paraId="31F5E62B" w14:textId="77777777" w:rsidR="006C44DB" w:rsidRPr="000A31D0" w:rsidRDefault="006C44DB" w:rsidP="003A647E">
            <w:pPr>
              <w:spacing w:after="120"/>
              <w:rPr>
                <w:rFonts w:ascii="Arial" w:eastAsia="Calibri" w:hAnsi="Arial" w:cs="Arial"/>
                <w:color w:val="000000"/>
                <w:lang w:eastAsia="en-GB"/>
              </w:rPr>
            </w:pPr>
            <w:r w:rsidRPr="000A31D0">
              <w:rPr>
                <w:rFonts w:ascii="Arial" w:eastAsia="Calibri" w:hAnsi="Arial" w:cs="Arial"/>
                <w:color w:val="000000"/>
                <w:lang w:eastAsia="en-GB"/>
              </w:rPr>
              <w:t>The point is possibly acceptable</w:t>
            </w:r>
          </w:p>
        </w:tc>
      </w:tr>
      <w:tr w:rsidR="006C44DB" w:rsidRPr="000A31D0" w14:paraId="77792935" w14:textId="77777777" w:rsidTr="003A647E">
        <w:trPr>
          <w:jc w:val="center"/>
        </w:trPr>
        <w:tc>
          <w:tcPr>
            <w:tcW w:w="843" w:type="dxa"/>
          </w:tcPr>
          <w:p w14:paraId="297EFF71" w14:textId="77777777" w:rsidR="006C44DB" w:rsidRPr="000A31D0" w:rsidRDefault="006C44DB" w:rsidP="003A647E">
            <w:pPr>
              <w:spacing w:after="120"/>
              <w:jc w:val="right"/>
              <w:rPr>
                <w:rFonts w:ascii="Arial" w:hAnsi="Arial" w:cs="Arial"/>
                <w:color w:val="000000"/>
                <w:lang w:eastAsia="en-GB"/>
              </w:rPr>
            </w:pPr>
            <w:r w:rsidRPr="000A31D0">
              <w:rPr>
                <w:rFonts w:ascii="Arial" w:hAnsi="Arial" w:cs="Arial"/>
                <w:color w:val="000000"/>
                <w:lang w:eastAsia="en-GB"/>
              </w:rPr>
              <w:t>3</w:t>
            </w:r>
          </w:p>
        </w:tc>
        <w:tc>
          <w:tcPr>
            <w:tcW w:w="5644" w:type="dxa"/>
          </w:tcPr>
          <w:p w14:paraId="081A63F3" w14:textId="77777777" w:rsidR="006C44DB" w:rsidRPr="000A31D0" w:rsidRDefault="006C44DB" w:rsidP="003A647E">
            <w:pPr>
              <w:spacing w:after="120"/>
              <w:rPr>
                <w:rFonts w:ascii="Arial" w:eastAsia="Calibri" w:hAnsi="Arial" w:cs="Arial"/>
                <w:color w:val="000000"/>
                <w:lang w:eastAsia="en-GB"/>
              </w:rPr>
            </w:pPr>
            <w:r w:rsidRPr="000A31D0">
              <w:rPr>
                <w:rFonts w:ascii="Arial" w:eastAsia="Calibri" w:hAnsi="Arial" w:cs="Arial"/>
                <w:color w:val="000000"/>
                <w:lang w:eastAsia="en-GB"/>
              </w:rPr>
              <w:t>The point is acceptable</w:t>
            </w:r>
          </w:p>
        </w:tc>
      </w:tr>
      <w:tr w:rsidR="006C44DB" w:rsidRPr="000A31D0" w14:paraId="6F38D2AB" w14:textId="77777777" w:rsidTr="003A647E">
        <w:trPr>
          <w:jc w:val="center"/>
        </w:trPr>
        <w:tc>
          <w:tcPr>
            <w:tcW w:w="843" w:type="dxa"/>
          </w:tcPr>
          <w:p w14:paraId="7E2EBE7A" w14:textId="77777777" w:rsidR="006C44DB" w:rsidRPr="000A31D0" w:rsidRDefault="006C44DB" w:rsidP="003A647E">
            <w:pPr>
              <w:spacing w:after="120"/>
              <w:jc w:val="right"/>
              <w:rPr>
                <w:rFonts w:ascii="Arial" w:hAnsi="Arial" w:cs="Arial"/>
                <w:color w:val="000000"/>
                <w:lang w:eastAsia="en-GB"/>
              </w:rPr>
            </w:pPr>
            <w:r w:rsidRPr="000A31D0">
              <w:rPr>
                <w:rFonts w:ascii="Arial" w:hAnsi="Arial" w:cs="Arial"/>
                <w:color w:val="000000"/>
                <w:lang w:eastAsia="en-GB"/>
              </w:rPr>
              <w:t>4</w:t>
            </w:r>
          </w:p>
        </w:tc>
        <w:tc>
          <w:tcPr>
            <w:tcW w:w="5644" w:type="dxa"/>
          </w:tcPr>
          <w:p w14:paraId="624E41A2" w14:textId="77777777" w:rsidR="006C44DB" w:rsidRPr="000A31D0" w:rsidRDefault="006C44DB" w:rsidP="003A647E">
            <w:pPr>
              <w:spacing w:after="120"/>
              <w:rPr>
                <w:rFonts w:ascii="Arial" w:eastAsia="Calibri" w:hAnsi="Arial" w:cs="Arial"/>
                <w:color w:val="000000"/>
                <w:lang w:eastAsia="en-GB"/>
              </w:rPr>
            </w:pPr>
            <w:r w:rsidRPr="000A31D0">
              <w:rPr>
                <w:rFonts w:ascii="Arial" w:eastAsia="Calibri" w:hAnsi="Arial" w:cs="Arial"/>
                <w:color w:val="000000"/>
                <w:lang w:eastAsia="en-GB"/>
              </w:rPr>
              <w:t>The point is well made and acceptable</w:t>
            </w:r>
          </w:p>
        </w:tc>
      </w:tr>
      <w:tr w:rsidR="006C44DB" w:rsidRPr="000A31D0" w14:paraId="16DBB0A7" w14:textId="77777777" w:rsidTr="003A647E">
        <w:trPr>
          <w:jc w:val="center"/>
        </w:trPr>
        <w:tc>
          <w:tcPr>
            <w:tcW w:w="843" w:type="dxa"/>
          </w:tcPr>
          <w:p w14:paraId="71F6DCC2" w14:textId="77777777" w:rsidR="006C44DB" w:rsidRPr="000A31D0" w:rsidRDefault="006C44DB" w:rsidP="003A647E">
            <w:pPr>
              <w:spacing w:after="120"/>
              <w:jc w:val="right"/>
              <w:rPr>
                <w:rFonts w:ascii="Arial" w:hAnsi="Arial" w:cs="Arial"/>
                <w:color w:val="000000"/>
                <w:lang w:eastAsia="en-GB"/>
              </w:rPr>
            </w:pPr>
            <w:r w:rsidRPr="000A31D0">
              <w:rPr>
                <w:rFonts w:ascii="Arial" w:hAnsi="Arial" w:cs="Arial"/>
                <w:color w:val="000000"/>
                <w:lang w:eastAsia="en-GB"/>
              </w:rPr>
              <w:t>5</w:t>
            </w:r>
          </w:p>
        </w:tc>
        <w:tc>
          <w:tcPr>
            <w:tcW w:w="5644" w:type="dxa"/>
          </w:tcPr>
          <w:p w14:paraId="267FFB62" w14:textId="77777777" w:rsidR="006C44DB" w:rsidRPr="000A31D0" w:rsidRDefault="006C44DB" w:rsidP="003A647E">
            <w:pPr>
              <w:spacing w:after="120"/>
              <w:rPr>
                <w:rFonts w:ascii="Arial" w:eastAsia="Calibri" w:hAnsi="Arial" w:cs="Arial"/>
                <w:color w:val="000000"/>
                <w:lang w:eastAsia="en-GB"/>
              </w:rPr>
            </w:pPr>
            <w:r w:rsidRPr="000A31D0">
              <w:rPr>
                <w:rFonts w:ascii="Arial" w:eastAsia="Calibri" w:hAnsi="Arial" w:cs="Arial"/>
                <w:color w:val="000000"/>
                <w:lang w:eastAsia="en-GB"/>
              </w:rPr>
              <w:t>The point exceeds expectations/excellent</w:t>
            </w:r>
          </w:p>
        </w:tc>
      </w:tr>
    </w:tbl>
    <w:p w14:paraId="0A72F289" w14:textId="77777777" w:rsidR="00981584" w:rsidRDefault="00981584" w:rsidP="00981584">
      <w:pPr>
        <w:pStyle w:val="NICEnormal"/>
      </w:pPr>
    </w:p>
    <w:p w14:paraId="4CEE00E1" w14:textId="20AC6A70" w:rsidR="00981584" w:rsidRDefault="00981584" w:rsidP="006C44DB">
      <w:pPr>
        <w:pStyle w:val="Numberedheading1"/>
      </w:pPr>
      <w:r>
        <w:t>Additional information</w:t>
      </w:r>
    </w:p>
    <w:p w14:paraId="61A4A129" w14:textId="77777777" w:rsidR="00981584" w:rsidRDefault="00981584" w:rsidP="00A35D74">
      <w:pPr>
        <w:pStyle w:val="Numberedheading2"/>
      </w:pPr>
      <w:r>
        <w:t>Declaration of interests</w:t>
      </w:r>
    </w:p>
    <w:p w14:paraId="03C7918B" w14:textId="6EF71CC4" w:rsidR="00981584" w:rsidRDefault="00981584" w:rsidP="00A35D74">
      <w:pPr>
        <w:pStyle w:val="Numberedlevel2text"/>
      </w:pPr>
      <w:r>
        <w:t xml:space="preserve">NICE has a wide range of stakeholders with an interest and involvement in its work. It is important for potential bidders to indicate, as part of their </w:t>
      </w:r>
      <w:r>
        <w:lastRenderedPageBreak/>
        <w:t>response, if and where they anticipate areas of conflict with their existing work base, and how they would handle issues of conflict of interest and confidentiality should they arise.</w:t>
      </w:r>
    </w:p>
    <w:p w14:paraId="260E383E" w14:textId="054A5E44" w:rsidR="007D2A5F" w:rsidRPr="007D2A5F" w:rsidRDefault="00981584" w:rsidP="007D2A5F">
      <w:pPr>
        <w:pStyle w:val="Numberedlevel2text"/>
      </w:pPr>
      <w:r>
        <w:t>NICE’s code of practice on declaring and dealing with conflicts of interest must be adhered to by the contractor</w:t>
      </w:r>
    </w:p>
    <w:p w14:paraId="0630D2B8" w14:textId="77777777" w:rsidR="00A35D74" w:rsidRDefault="00A35D74" w:rsidP="00A35D74">
      <w:pPr>
        <w:pStyle w:val="Numberedheading2"/>
      </w:pPr>
      <w:r>
        <w:t>Payment</w:t>
      </w:r>
    </w:p>
    <w:p w14:paraId="1A10847C" w14:textId="73D64270" w:rsidR="00A35D74" w:rsidRDefault="00A35D74" w:rsidP="00A35D74">
      <w:pPr>
        <w:pStyle w:val="Numberedlevel2text"/>
      </w:pPr>
      <w:r>
        <w:t>Contractors will be expected to invoice quarterly in arrears.</w:t>
      </w:r>
    </w:p>
    <w:p w14:paraId="06B73FE6" w14:textId="77777777" w:rsidR="00A35D74" w:rsidRDefault="00A35D74" w:rsidP="00A35D74">
      <w:pPr>
        <w:pStyle w:val="Numberedheading2"/>
      </w:pPr>
      <w:r>
        <w:t>Non-compliance</w:t>
      </w:r>
    </w:p>
    <w:p w14:paraId="3F1B0C88" w14:textId="7DBFB58D" w:rsidR="00A35D74" w:rsidRDefault="00A35D74" w:rsidP="007D2A5F">
      <w:pPr>
        <w:pStyle w:val="Numberedlevel2text"/>
      </w:pPr>
      <w:r>
        <w:t>NICE expressly reserves the right to reject any proposal that:</w:t>
      </w:r>
    </w:p>
    <w:p w14:paraId="0BBC9D2B" w14:textId="7722200F" w:rsidR="00A35D74" w:rsidRDefault="00A35D74" w:rsidP="007D2A5F">
      <w:pPr>
        <w:pStyle w:val="Numberedlevel2text"/>
      </w:pPr>
      <w:r>
        <w:t>Does not follow the instruction to tender guidance</w:t>
      </w:r>
      <w:r w:rsidR="00876516">
        <w:rPr>
          <w:lang w:val="en-GB"/>
        </w:rPr>
        <w:t>.</w:t>
      </w:r>
    </w:p>
    <w:p w14:paraId="5DE63357" w14:textId="290FF03B" w:rsidR="00A35D74" w:rsidRDefault="00A35D74" w:rsidP="007D2A5F">
      <w:pPr>
        <w:pStyle w:val="Numberedlevel2text"/>
      </w:pPr>
      <w:r>
        <w:t>Is incomplete, has not provided answers to the questions or has not provided a reasonable explanation as to why any answer to any question has been omitted</w:t>
      </w:r>
      <w:r w:rsidR="00876516">
        <w:rPr>
          <w:lang w:val="en-GB"/>
        </w:rPr>
        <w:t>.</w:t>
      </w:r>
    </w:p>
    <w:p w14:paraId="634C7DB3" w14:textId="0FFAF183" w:rsidR="00A35D74" w:rsidRDefault="00A35D74" w:rsidP="007D2A5F">
      <w:pPr>
        <w:pStyle w:val="Numberedlevel2text"/>
      </w:pPr>
      <w:r>
        <w:t>Has not responded to any mandatory elements (i.e. the tender is non-compliant)</w:t>
      </w:r>
      <w:r w:rsidR="00876516">
        <w:rPr>
          <w:lang w:val="en-GB"/>
        </w:rPr>
        <w:t>.</w:t>
      </w:r>
    </w:p>
    <w:p w14:paraId="087F27DA" w14:textId="5F722ECF" w:rsidR="00A35D74" w:rsidRDefault="00A35D74" w:rsidP="007D2A5F">
      <w:pPr>
        <w:pStyle w:val="Numberedlevel2text"/>
      </w:pPr>
      <w:r>
        <w:t>Has not provided the requested documents.</w:t>
      </w:r>
    </w:p>
    <w:p w14:paraId="11289849" w14:textId="77777777" w:rsidR="00A35D74" w:rsidRDefault="00A35D74" w:rsidP="00A35D74">
      <w:pPr>
        <w:pStyle w:val="Numberedheading2"/>
      </w:pPr>
      <w:r>
        <w:t>Miscellaneous</w:t>
      </w:r>
    </w:p>
    <w:p w14:paraId="5D66E3F0" w14:textId="3A7AA440" w:rsidR="00A35D74" w:rsidRDefault="00A35D74" w:rsidP="00A35D74">
      <w:pPr>
        <w:pStyle w:val="Numberedlevel2text"/>
      </w:pPr>
      <w:r>
        <w:t xml:space="preserve">NICE does not bind itself to accept the lowest or any offer and reserves the right to accept an offer either in whole or in part, each item being for this purpose treated as offered separately </w:t>
      </w:r>
    </w:p>
    <w:p w14:paraId="4F434999" w14:textId="1667EB88" w:rsidR="00A35D74" w:rsidRDefault="00A35D74" w:rsidP="00A35D74">
      <w:pPr>
        <w:pStyle w:val="Numberedlevel2text"/>
      </w:pPr>
      <w:r>
        <w:t>NICE reserves the right to amend the specification at any time prior to the stated deadline.</w:t>
      </w:r>
    </w:p>
    <w:p w14:paraId="602C30D6" w14:textId="2BC38DF5" w:rsidR="006E7647" w:rsidRPr="000F48EC" w:rsidRDefault="00A35D74" w:rsidP="00A35D74">
      <w:pPr>
        <w:pStyle w:val="Numberedlevel2text"/>
      </w:pPr>
      <w:r>
        <w:t>All tender documents will remain the property of NICE and will not be altered or amended in any way.</w:t>
      </w:r>
      <w:r w:rsidR="00981584">
        <w:tab/>
      </w:r>
    </w:p>
    <w:sectPr w:rsidR="006E7647" w:rsidRPr="000F48EC" w:rsidSect="00C76DDA">
      <w:headerReference w:type="default" r:id="rId14"/>
      <w:footerReference w:type="default" r:id="rId15"/>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592C2" w14:textId="77777777" w:rsidR="004B74C3" w:rsidRDefault="004B74C3">
      <w:r>
        <w:separator/>
      </w:r>
    </w:p>
  </w:endnote>
  <w:endnote w:type="continuationSeparator" w:id="0">
    <w:p w14:paraId="7849CD76" w14:textId="77777777" w:rsidR="004B74C3" w:rsidRDefault="004B7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FF1AC" w14:textId="56603A08" w:rsidR="00832381" w:rsidRPr="007A7EC8" w:rsidRDefault="00832381" w:rsidP="007A7EC8">
    <w:pPr>
      <w:pStyle w:val="NICEnormalsinglespacing"/>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95E2C" w14:textId="77777777" w:rsidR="004B74C3" w:rsidRDefault="004B74C3">
      <w:r>
        <w:separator/>
      </w:r>
    </w:p>
  </w:footnote>
  <w:footnote w:type="continuationSeparator" w:id="0">
    <w:p w14:paraId="0319EF06" w14:textId="77777777" w:rsidR="004B74C3" w:rsidRDefault="004B74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A7E2F" w14:textId="750861CF" w:rsidR="00832381" w:rsidRPr="004E6427" w:rsidRDefault="00832381" w:rsidP="004E6427">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35F6"/>
    <w:multiLevelType w:val="hybridMultilevel"/>
    <w:tmpl w:val="B6DCA3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D0FAC"/>
    <w:multiLevelType w:val="multilevel"/>
    <w:tmpl w:val="A3A46CDC"/>
    <w:lvl w:ilvl="0">
      <w:start w:val="1"/>
      <w:numFmt w:val="lowerLetter"/>
      <w:pStyle w:val="Bulletindent1"/>
      <w:lvlText w:val="%1."/>
      <w:lvlJc w:val="left"/>
      <w:pPr>
        <w:tabs>
          <w:tab w:val="num" w:pos="1418"/>
        </w:tabs>
        <w:ind w:left="1418" w:hanging="284"/>
      </w:pPr>
      <w:rPr>
        <w:rFonts w:ascii="Arial" w:eastAsia="Times New Roman" w:hAnsi="Arial" w:cs="Times New Roman"/>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98A1537"/>
    <w:multiLevelType w:val="hybridMultilevel"/>
    <w:tmpl w:val="1FB612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5080B7A"/>
    <w:multiLevelType w:val="hybridMultilevel"/>
    <w:tmpl w:val="D152C27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392234"/>
    <w:multiLevelType w:val="hybridMultilevel"/>
    <w:tmpl w:val="B148C20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CC3584"/>
    <w:multiLevelType w:val="multilevel"/>
    <w:tmpl w:val="88CC656E"/>
    <w:lvl w:ilvl="0">
      <w:start w:val="1"/>
      <w:numFmt w:val="decimal"/>
      <w:pStyle w:val="Numberedheading1"/>
      <w:lvlText w:val="%1"/>
      <w:lvlJc w:val="left"/>
      <w:pPr>
        <w:tabs>
          <w:tab w:val="num" w:pos="1134"/>
        </w:tabs>
        <w:ind w:left="1134" w:hanging="1134"/>
      </w:pPr>
      <w:rPr>
        <w:rFonts w:hint="default"/>
      </w:rPr>
    </w:lvl>
    <w:lvl w:ilvl="1">
      <w:start w:val="1"/>
      <w:numFmt w:val="decimal"/>
      <w:pStyle w:val="Numberedlevel2text"/>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0" w15:restartNumberingAfterBreak="0">
    <w:nsid w:val="2C9057BE"/>
    <w:multiLevelType w:val="hybridMultilevel"/>
    <w:tmpl w:val="D00ACD5C"/>
    <w:lvl w:ilvl="0" w:tplc="20582D18">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2D727BE"/>
    <w:multiLevelType w:val="hybridMultilevel"/>
    <w:tmpl w:val="D152C27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526E2E"/>
    <w:multiLevelType w:val="hybridMultilevel"/>
    <w:tmpl w:val="5EB82B2A"/>
    <w:lvl w:ilvl="0" w:tplc="C824C56C">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41B7135"/>
    <w:multiLevelType w:val="multilevel"/>
    <w:tmpl w:val="65E8D622"/>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4" w15:restartNumberingAfterBreak="0">
    <w:nsid w:val="44CF740E"/>
    <w:multiLevelType w:val="hybridMultilevel"/>
    <w:tmpl w:val="F8F461FC"/>
    <w:lvl w:ilvl="0" w:tplc="13002C7C">
      <w:start w:val="5"/>
      <w:numFmt w:val="lowerLetter"/>
      <w:lvlText w:val="%1)"/>
      <w:lvlJc w:val="left"/>
      <w:pPr>
        <w:ind w:left="1080" w:hanging="360"/>
      </w:pPr>
      <w:rPr>
        <w:rFonts w:hint="default"/>
      </w:rPr>
    </w:lvl>
    <w:lvl w:ilvl="1" w:tplc="1ACA0066">
      <w:start w:val="1"/>
      <w:numFmt w:val="lowerLetter"/>
      <w:lvlText w:val="%2."/>
      <w:lvlJc w:val="left"/>
      <w:pPr>
        <w:ind w:left="1800" w:hanging="360"/>
      </w:pPr>
    </w:lvl>
    <w:lvl w:ilvl="2" w:tplc="96AA89DC" w:tentative="1">
      <w:start w:val="1"/>
      <w:numFmt w:val="lowerRoman"/>
      <w:lvlText w:val="%3."/>
      <w:lvlJc w:val="right"/>
      <w:pPr>
        <w:ind w:left="2520" w:hanging="180"/>
      </w:pPr>
    </w:lvl>
    <w:lvl w:ilvl="3" w:tplc="5E4CE114" w:tentative="1">
      <w:start w:val="1"/>
      <w:numFmt w:val="decimal"/>
      <w:lvlText w:val="%4."/>
      <w:lvlJc w:val="left"/>
      <w:pPr>
        <w:ind w:left="3240" w:hanging="360"/>
      </w:pPr>
    </w:lvl>
    <w:lvl w:ilvl="4" w:tplc="5996441A" w:tentative="1">
      <w:start w:val="1"/>
      <w:numFmt w:val="lowerLetter"/>
      <w:lvlText w:val="%5."/>
      <w:lvlJc w:val="left"/>
      <w:pPr>
        <w:ind w:left="3960" w:hanging="360"/>
      </w:pPr>
    </w:lvl>
    <w:lvl w:ilvl="5" w:tplc="2E060F94" w:tentative="1">
      <w:start w:val="1"/>
      <w:numFmt w:val="lowerRoman"/>
      <w:lvlText w:val="%6."/>
      <w:lvlJc w:val="right"/>
      <w:pPr>
        <w:ind w:left="4680" w:hanging="180"/>
      </w:pPr>
    </w:lvl>
    <w:lvl w:ilvl="6" w:tplc="F55C74F2" w:tentative="1">
      <w:start w:val="1"/>
      <w:numFmt w:val="decimal"/>
      <w:lvlText w:val="%7."/>
      <w:lvlJc w:val="left"/>
      <w:pPr>
        <w:ind w:left="5400" w:hanging="360"/>
      </w:pPr>
    </w:lvl>
    <w:lvl w:ilvl="7" w:tplc="DC16B5CA" w:tentative="1">
      <w:start w:val="1"/>
      <w:numFmt w:val="lowerLetter"/>
      <w:lvlText w:val="%8."/>
      <w:lvlJc w:val="left"/>
      <w:pPr>
        <w:ind w:left="6120" w:hanging="360"/>
      </w:pPr>
    </w:lvl>
    <w:lvl w:ilvl="8" w:tplc="86AE4C7E" w:tentative="1">
      <w:start w:val="1"/>
      <w:numFmt w:val="lowerRoman"/>
      <w:lvlText w:val="%9."/>
      <w:lvlJc w:val="right"/>
      <w:pPr>
        <w:ind w:left="6840" w:hanging="180"/>
      </w:pPr>
    </w:lvl>
  </w:abstractNum>
  <w:abstractNum w:abstractNumId="15" w15:restartNumberingAfterBreak="0">
    <w:nsid w:val="46957B07"/>
    <w:multiLevelType w:val="hybridMultilevel"/>
    <w:tmpl w:val="9D5C5248"/>
    <w:lvl w:ilvl="0" w:tplc="B5586BBE">
      <w:start w:val="1"/>
      <w:numFmt w:val="bullet"/>
      <w:lvlText w:val=""/>
      <w:lvlJc w:val="left"/>
      <w:pPr>
        <w:ind w:left="1287" w:hanging="360"/>
      </w:pPr>
      <w:rPr>
        <w:rFonts w:ascii="Symbol" w:hAnsi="Symbol" w:hint="default"/>
      </w:rPr>
    </w:lvl>
    <w:lvl w:ilvl="1" w:tplc="08090019" w:tentative="1">
      <w:start w:val="1"/>
      <w:numFmt w:val="bullet"/>
      <w:lvlText w:val="o"/>
      <w:lvlJc w:val="left"/>
      <w:pPr>
        <w:ind w:left="2007" w:hanging="360"/>
      </w:pPr>
      <w:rPr>
        <w:rFonts w:ascii="Courier New" w:hAnsi="Courier New" w:cs="Courier New" w:hint="default"/>
      </w:rPr>
    </w:lvl>
    <w:lvl w:ilvl="2" w:tplc="0809001B" w:tentative="1">
      <w:start w:val="1"/>
      <w:numFmt w:val="bullet"/>
      <w:lvlText w:val=""/>
      <w:lvlJc w:val="left"/>
      <w:pPr>
        <w:ind w:left="2727" w:hanging="360"/>
      </w:pPr>
      <w:rPr>
        <w:rFonts w:ascii="Wingdings" w:hAnsi="Wingdings" w:hint="default"/>
      </w:rPr>
    </w:lvl>
    <w:lvl w:ilvl="3" w:tplc="0809000F" w:tentative="1">
      <w:start w:val="1"/>
      <w:numFmt w:val="bullet"/>
      <w:lvlText w:val=""/>
      <w:lvlJc w:val="left"/>
      <w:pPr>
        <w:ind w:left="3447" w:hanging="360"/>
      </w:pPr>
      <w:rPr>
        <w:rFonts w:ascii="Symbol" w:hAnsi="Symbol" w:hint="default"/>
      </w:rPr>
    </w:lvl>
    <w:lvl w:ilvl="4" w:tplc="08090019" w:tentative="1">
      <w:start w:val="1"/>
      <w:numFmt w:val="bullet"/>
      <w:lvlText w:val="o"/>
      <w:lvlJc w:val="left"/>
      <w:pPr>
        <w:ind w:left="4167" w:hanging="360"/>
      </w:pPr>
      <w:rPr>
        <w:rFonts w:ascii="Courier New" w:hAnsi="Courier New" w:cs="Courier New" w:hint="default"/>
      </w:rPr>
    </w:lvl>
    <w:lvl w:ilvl="5" w:tplc="0809001B" w:tentative="1">
      <w:start w:val="1"/>
      <w:numFmt w:val="bullet"/>
      <w:lvlText w:val=""/>
      <w:lvlJc w:val="left"/>
      <w:pPr>
        <w:ind w:left="4887" w:hanging="360"/>
      </w:pPr>
      <w:rPr>
        <w:rFonts w:ascii="Wingdings" w:hAnsi="Wingdings" w:hint="default"/>
      </w:rPr>
    </w:lvl>
    <w:lvl w:ilvl="6" w:tplc="0809000F" w:tentative="1">
      <w:start w:val="1"/>
      <w:numFmt w:val="bullet"/>
      <w:lvlText w:val=""/>
      <w:lvlJc w:val="left"/>
      <w:pPr>
        <w:ind w:left="5607" w:hanging="360"/>
      </w:pPr>
      <w:rPr>
        <w:rFonts w:ascii="Symbol" w:hAnsi="Symbol" w:hint="default"/>
      </w:rPr>
    </w:lvl>
    <w:lvl w:ilvl="7" w:tplc="08090019" w:tentative="1">
      <w:start w:val="1"/>
      <w:numFmt w:val="bullet"/>
      <w:lvlText w:val="o"/>
      <w:lvlJc w:val="left"/>
      <w:pPr>
        <w:ind w:left="6327" w:hanging="360"/>
      </w:pPr>
      <w:rPr>
        <w:rFonts w:ascii="Courier New" w:hAnsi="Courier New" w:cs="Courier New" w:hint="default"/>
      </w:rPr>
    </w:lvl>
    <w:lvl w:ilvl="8" w:tplc="0809001B" w:tentative="1">
      <w:start w:val="1"/>
      <w:numFmt w:val="bullet"/>
      <w:lvlText w:val=""/>
      <w:lvlJc w:val="left"/>
      <w:pPr>
        <w:ind w:left="7047" w:hanging="360"/>
      </w:pPr>
      <w:rPr>
        <w:rFonts w:ascii="Wingdings" w:hAnsi="Wingdings" w:hint="default"/>
      </w:rPr>
    </w:lvl>
  </w:abstractNum>
  <w:abstractNum w:abstractNumId="16"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7"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51836E9"/>
    <w:multiLevelType w:val="multilevel"/>
    <w:tmpl w:val="81701BD6"/>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0"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256054"/>
    <w:multiLevelType w:val="hybridMultilevel"/>
    <w:tmpl w:val="9F6C68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23B32CD"/>
    <w:multiLevelType w:val="hybridMultilevel"/>
    <w:tmpl w:val="7234AEE2"/>
    <w:lvl w:ilvl="0" w:tplc="E4644D28">
      <w:start w:val="8"/>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3" w15:restartNumberingAfterBreak="0">
    <w:nsid w:val="654428DF"/>
    <w:multiLevelType w:val="multilevel"/>
    <w:tmpl w:val="16564DB0"/>
    <w:lvl w:ilvl="0">
      <w:start w:val="10"/>
      <w:numFmt w:val="decimal"/>
      <w:lvlText w:val="%1"/>
      <w:lvlJc w:val="left"/>
      <w:pPr>
        <w:ind w:left="861" w:hanging="360"/>
      </w:pPr>
      <w:rPr>
        <w:rFonts w:hint="default"/>
      </w:rPr>
    </w:lvl>
    <w:lvl w:ilvl="1">
      <w:start w:val="1"/>
      <w:numFmt w:val="decimal"/>
      <w:isLgl/>
      <w:lvlText w:val="%1.%2"/>
      <w:lvlJc w:val="left"/>
      <w:pPr>
        <w:ind w:left="1130" w:hanging="420"/>
      </w:pPr>
      <w:rPr>
        <w:rFonts w:hint="default"/>
      </w:rPr>
    </w:lvl>
    <w:lvl w:ilvl="2">
      <w:start w:val="1"/>
      <w:numFmt w:val="decimal"/>
      <w:isLgl/>
      <w:lvlText w:val="%1.%2.%3"/>
      <w:lvlJc w:val="left"/>
      <w:pPr>
        <w:ind w:left="1941" w:hanging="720"/>
      </w:pPr>
      <w:rPr>
        <w:rFonts w:hint="default"/>
      </w:rPr>
    </w:lvl>
    <w:lvl w:ilvl="3">
      <w:start w:val="1"/>
      <w:numFmt w:val="decimal"/>
      <w:isLgl/>
      <w:lvlText w:val="%1.%2.%3.%4"/>
      <w:lvlJc w:val="left"/>
      <w:pPr>
        <w:ind w:left="2301" w:hanging="720"/>
      </w:pPr>
      <w:rPr>
        <w:rFonts w:hint="default"/>
      </w:rPr>
    </w:lvl>
    <w:lvl w:ilvl="4">
      <w:start w:val="1"/>
      <w:numFmt w:val="decimal"/>
      <w:isLgl/>
      <w:lvlText w:val="%1.%2.%3.%4.%5"/>
      <w:lvlJc w:val="left"/>
      <w:pPr>
        <w:ind w:left="3021" w:hanging="1080"/>
      </w:pPr>
      <w:rPr>
        <w:rFonts w:hint="default"/>
      </w:rPr>
    </w:lvl>
    <w:lvl w:ilvl="5">
      <w:start w:val="1"/>
      <w:numFmt w:val="decimal"/>
      <w:isLgl/>
      <w:lvlText w:val="%1.%2.%3.%4.%5.%6"/>
      <w:lvlJc w:val="left"/>
      <w:pPr>
        <w:ind w:left="3381" w:hanging="1080"/>
      </w:pPr>
      <w:rPr>
        <w:rFonts w:hint="default"/>
      </w:rPr>
    </w:lvl>
    <w:lvl w:ilvl="6">
      <w:start w:val="1"/>
      <w:numFmt w:val="decimal"/>
      <w:isLgl/>
      <w:lvlText w:val="%1.%2.%3.%4.%5.%6.%7"/>
      <w:lvlJc w:val="left"/>
      <w:pPr>
        <w:ind w:left="4101" w:hanging="1440"/>
      </w:pPr>
      <w:rPr>
        <w:rFonts w:hint="default"/>
      </w:rPr>
    </w:lvl>
    <w:lvl w:ilvl="7">
      <w:start w:val="1"/>
      <w:numFmt w:val="decimal"/>
      <w:isLgl/>
      <w:lvlText w:val="%1.%2.%3.%4.%5.%6.%7.%8"/>
      <w:lvlJc w:val="left"/>
      <w:pPr>
        <w:ind w:left="4461" w:hanging="1440"/>
      </w:pPr>
      <w:rPr>
        <w:rFonts w:hint="default"/>
      </w:rPr>
    </w:lvl>
    <w:lvl w:ilvl="8">
      <w:start w:val="1"/>
      <w:numFmt w:val="decimal"/>
      <w:isLgl/>
      <w:lvlText w:val="%1.%2.%3.%4.%5.%6.%7.%8.%9"/>
      <w:lvlJc w:val="left"/>
      <w:pPr>
        <w:ind w:left="5181" w:hanging="1800"/>
      </w:pPr>
      <w:rPr>
        <w:rFonts w:hint="default"/>
      </w:rPr>
    </w:lvl>
  </w:abstractNum>
  <w:abstractNum w:abstractNumId="24"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5"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6" w15:restartNumberingAfterBreak="0">
    <w:nsid w:val="696F2189"/>
    <w:multiLevelType w:val="hybridMultilevel"/>
    <w:tmpl w:val="24F8CBCE"/>
    <w:lvl w:ilvl="0" w:tplc="35960CCE">
      <w:start w:val="1"/>
      <w:numFmt w:val="bullet"/>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E865B8"/>
    <w:multiLevelType w:val="hybridMultilevel"/>
    <w:tmpl w:val="0B72998A"/>
    <w:lvl w:ilvl="0" w:tplc="C178CED2">
      <w:start w:val="1"/>
      <w:numFmt w:val="bullet"/>
      <w:lvlText w:val="•"/>
      <w:lvlJc w:val="left"/>
      <w:pPr>
        <w:tabs>
          <w:tab w:val="num" w:pos="720"/>
        </w:tabs>
        <w:ind w:left="720" w:hanging="360"/>
      </w:pPr>
      <w:rPr>
        <w:rFonts w:ascii="Arial" w:hAnsi="Arial" w:hint="default"/>
      </w:rPr>
    </w:lvl>
    <w:lvl w:ilvl="1" w:tplc="F1ECA34C" w:tentative="1">
      <w:start w:val="1"/>
      <w:numFmt w:val="bullet"/>
      <w:lvlText w:val="•"/>
      <w:lvlJc w:val="left"/>
      <w:pPr>
        <w:tabs>
          <w:tab w:val="num" w:pos="1440"/>
        </w:tabs>
        <w:ind w:left="1440" w:hanging="360"/>
      </w:pPr>
      <w:rPr>
        <w:rFonts w:ascii="Arial" w:hAnsi="Arial" w:hint="default"/>
      </w:rPr>
    </w:lvl>
    <w:lvl w:ilvl="2" w:tplc="2E969EA8" w:tentative="1">
      <w:start w:val="1"/>
      <w:numFmt w:val="bullet"/>
      <w:lvlText w:val="•"/>
      <w:lvlJc w:val="left"/>
      <w:pPr>
        <w:tabs>
          <w:tab w:val="num" w:pos="2160"/>
        </w:tabs>
        <w:ind w:left="2160" w:hanging="360"/>
      </w:pPr>
      <w:rPr>
        <w:rFonts w:ascii="Arial" w:hAnsi="Arial" w:hint="default"/>
      </w:rPr>
    </w:lvl>
    <w:lvl w:ilvl="3" w:tplc="2C3EB760" w:tentative="1">
      <w:start w:val="1"/>
      <w:numFmt w:val="bullet"/>
      <w:lvlText w:val="•"/>
      <w:lvlJc w:val="left"/>
      <w:pPr>
        <w:tabs>
          <w:tab w:val="num" w:pos="2880"/>
        </w:tabs>
        <w:ind w:left="2880" w:hanging="360"/>
      </w:pPr>
      <w:rPr>
        <w:rFonts w:ascii="Arial" w:hAnsi="Arial" w:hint="default"/>
      </w:rPr>
    </w:lvl>
    <w:lvl w:ilvl="4" w:tplc="8C007610" w:tentative="1">
      <w:start w:val="1"/>
      <w:numFmt w:val="bullet"/>
      <w:lvlText w:val="•"/>
      <w:lvlJc w:val="left"/>
      <w:pPr>
        <w:tabs>
          <w:tab w:val="num" w:pos="3600"/>
        </w:tabs>
        <w:ind w:left="3600" w:hanging="360"/>
      </w:pPr>
      <w:rPr>
        <w:rFonts w:ascii="Arial" w:hAnsi="Arial" w:hint="default"/>
      </w:rPr>
    </w:lvl>
    <w:lvl w:ilvl="5" w:tplc="BECE93FE" w:tentative="1">
      <w:start w:val="1"/>
      <w:numFmt w:val="bullet"/>
      <w:lvlText w:val="•"/>
      <w:lvlJc w:val="left"/>
      <w:pPr>
        <w:tabs>
          <w:tab w:val="num" w:pos="4320"/>
        </w:tabs>
        <w:ind w:left="4320" w:hanging="360"/>
      </w:pPr>
      <w:rPr>
        <w:rFonts w:ascii="Arial" w:hAnsi="Arial" w:hint="default"/>
      </w:rPr>
    </w:lvl>
    <w:lvl w:ilvl="6" w:tplc="EBBC242C" w:tentative="1">
      <w:start w:val="1"/>
      <w:numFmt w:val="bullet"/>
      <w:lvlText w:val="•"/>
      <w:lvlJc w:val="left"/>
      <w:pPr>
        <w:tabs>
          <w:tab w:val="num" w:pos="5040"/>
        </w:tabs>
        <w:ind w:left="5040" w:hanging="360"/>
      </w:pPr>
      <w:rPr>
        <w:rFonts w:ascii="Arial" w:hAnsi="Arial" w:hint="default"/>
      </w:rPr>
    </w:lvl>
    <w:lvl w:ilvl="7" w:tplc="2E84C804" w:tentative="1">
      <w:start w:val="1"/>
      <w:numFmt w:val="bullet"/>
      <w:lvlText w:val="•"/>
      <w:lvlJc w:val="left"/>
      <w:pPr>
        <w:tabs>
          <w:tab w:val="num" w:pos="5760"/>
        </w:tabs>
        <w:ind w:left="5760" w:hanging="360"/>
      </w:pPr>
      <w:rPr>
        <w:rFonts w:ascii="Arial" w:hAnsi="Arial" w:hint="default"/>
      </w:rPr>
    </w:lvl>
    <w:lvl w:ilvl="8" w:tplc="FDECE05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E2B33D5"/>
    <w:multiLevelType w:val="multilevel"/>
    <w:tmpl w:val="5DFCF880"/>
    <w:lvl w:ilvl="0">
      <w:start w:val="1"/>
      <w:numFmt w:val="decimal"/>
      <w:lvlText w:val="%1"/>
      <w:lvlJc w:val="left"/>
      <w:pPr>
        <w:ind w:left="360" w:hanging="360"/>
      </w:pPr>
      <w:rPr>
        <w:rFonts w:eastAsia="Calibri" w:cs="Arial"/>
      </w:rPr>
    </w:lvl>
    <w:lvl w:ilvl="1">
      <w:start w:val="2"/>
      <w:numFmt w:val="decimal"/>
      <w:lvlText w:val="%1.%2"/>
      <w:lvlJc w:val="left"/>
      <w:pPr>
        <w:ind w:left="360" w:hanging="360"/>
      </w:pPr>
      <w:rPr>
        <w:rFonts w:eastAsia="Calibri" w:cs="Arial"/>
      </w:rPr>
    </w:lvl>
    <w:lvl w:ilvl="2">
      <w:start w:val="1"/>
      <w:numFmt w:val="decimal"/>
      <w:lvlText w:val="%1.%2.%3"/>
      <w:lvlJc w:val="left"/>
      <w:pPr>
        <w:ind w:left="720" w:hanging="720"/>
      </w:pPr>
      <w:rPr>
        <w:rFonts w:eastAsia="Calibri" w:cs="Arial"/>
      </w:rPr>
    </w:lvl>
    <w:lvl w:ilvl="3">
      <w:start w:val="1"/>
      <w:numFmt w:val="decimal"/>
      <w:lvlText w:val="%1.%2.%3.%4"/>
      <w:lvlJc w:val="left"/>
      <w:pPr>
        <w:ind w:left="1080" w:hanging="1080"/>
      </w:pPr>
      <w:rPr>
        <w:rFonts w:eastAsia="Calibri" w:cs="Arial"/>
      </w:rPr>
    </w:lvl>
    <w:lvl w:ilvl="4">
      <w:start w:val="1"/>
      <w:numFmt w:val="decimal"/>
      <w:lvlText w:val="%1.%2.%3.%4.%5"/>
      <w:lvlJc w:val="left"/>
      <w:pPr>
        <w:ind w:left="1080" w:hanging="1080"/>
      </w:pPr>
      <w:rPr>
        <w:rFonts w:eastAsia="Calibri" w:cs="Arial"/>
      </w:rPr>
    </w:lvl>
    <w:lvl w:ilvl="5">
      <w:start w:val="1"/>
      <w:numFmt w:val="decimal"/>
      <w:lvlText w:val="%1.%2.%3.%4.%5.%6"/>
      <w:lvlJc w:val="left"/>
      <w:pPr>
        <w:ind w:left="1440" w:hanging="1440"/>
      </w:pPr>
      <w:rPr>
        <w:rFonts w:eastAsia="Calibri" w:cs="Arial"/>
      </w:rPr>
    </w:lvl>
    <w:lvl w:ilvl="6">
      <w:start w:val="1"/>
      <w:numFmt w:val="decimal"/>
      <w:lvlText w:val="%1.%2.%3.%4.%5.%6.%7"/>
      <w:lvlJc w:val="left"/>
      <w:pPr>
        <w:ind w:left="1440" w:hanging="1440"/>
      </w:pPr>
      <w:rPr>
        <w:rFonts w:eastAsia="Calibri" w:cs="Arial"/>
      </w:rPr>
    </w:lvl>
    <w:lvl w:ilvl="7">
      <w:start w:val="1"/>
      <w:numFmt w:val="decimal"/>
      <w:lvlText w:val="%1.%2.%3.%4.%5.%6.%7.%8"/>
      <w:lvlJc w:val="left"/>
      <w:pPr>
        <w:ind w:left="1800" w:hanging="1800"/>
      </w:pPr>
      <w:rPr>
        <w:rFonts w:eastAsia="Calibri" w:cs="Arial"/>
      </w:rPr>
    </w:lvl>
    <w:lvl w:ilvl="8">
      <w:start w:val="1"/>
      <w:numFmt w:val="decimal"/>
      <w:lvlText w:val="%1.%2.%3.%4.%5.%6.%7.%8.%9"/>
      <w:lvlJc w:val="left"/>
      <w:pPr>
        <w:ind w:left="1800" w:hanging="1800"/>
      </w:pPr>
      <w:rPr>
        <w:rFonts w:eastAsia="Calibri" w:cs="Arial"/>
      </w:rPr>
    </w:lvl>
  </w:abstractNum>
  <w:abstractNum w:abstractNumId="29" w15:restartNumberingAfterBreak="0">
    <w:nsid w:val="6E810809"/>
    <w:multiLevelType w:val="hybridMultilevel"/>
    <w:tmpl w:val="DCDECEA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7E6669F0"/>
    <w:multiLevelType w:val="multilevel"/>
    <w:tmpl w:val="C700E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9"/>
  </w:num>
  <w:num w:numId="2">
    <w:abstractNumId w:val="3"/>
  </w:num>
  <w:num w:numId="3">
    <w:abstractNumId w:val="25"/>
  </w:num>
  <w:num w:numId="4">
    <w:abstractNumId w:val="13"/>
  </w:num>
  <w:num w:numId="5">
    <w:abstractNumId w:val="16"/>
  </w:num>
  <w:num w:numId="6">
    <w:abstractNumId w:val="1"/>
  </w:num>
  <w:num w:numId="7">
    <w:abstractNumId w:val="4"/>
  </w:num>
  <w:num w:numId="8">
    <w:abstractNumId w:val="7"/>
  </w:num>
  <w:num w:numId="9">
    <w:abstractNumId w:val="8"/>
  </w:num>
  <w:num w:numId="10">
    <w:abstractNumId w:val="9"/>
  </w:num>
  <w:num w:numId="11">
    <w:abstractNumId w:val="12"/>
  </w:num>
  <w:num w:numId="12">
    <w:abstractNumId w:val="10"/>
  </w:num>
  <w:num w:numId="13">
    <w:abstractNumId w:val="6"/>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7"/>
  </w:num>
  <w:num w:numId="18">
    <w:abstractNumId w:val="2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9"/>
  </w:num>
  <w:num w:numId="21">
    <w:abstractNumId w:val="9"/>
  </w:num>
  <w:num w:numId="22">
    <w:abstractNumId w:val="20"/>
  </w:num>
  <w:num w:numId="23">
    <w:abstractNumId w:val="24"/>
  </w:num>
  <w:num w:numId="24">
    <w:abstractNumId w:val="9"/>
  </w:num>
  <w:num w:numId="25">
    <w:abstractNumId w:val="20"/>
  </w:num>
  <w:num w:numId="26">
    <w:abstractNumId w:val="17"/>
  </w:num>
  <w:num w:numId="27">
    <w:abstractNumId w:val="26"/>
  </w:num>
  <w:num w:numId="28">
    <w:abstractNumId w:val="26"/>
    <w:lvlOverride w:ilvl="0">
      <w:startOverride w:val="1"/>
    </w:lvlOverride>
  </w:num>
  <w:num w:numId="29">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2"/>
  </w:num>
  <w:num w:numId="32">
    <w:abstractNumId w:val="21"/>
  </w:num>
  <w:num w:numId="33">
    <w:abstractNumId w:val="0"/>
  </w:num>
  <w:num w:numId="34">
    <w:abstractNumId w:val="14"/>
  </w:num>
  <w:num w:numId="35">
    <w:abstractNumId w:val="15"/>
  </w:num>
  <w:num w:numId="36">
    <w:abstractNumId w:val="23"/>
  </w:num>
  <w:num w:numId="37">
    <w:abstractNumId w:val="11"/>
  </w:num>
  <w:num w:numId="38">
    <w:abstractNumId w:val="29"/>
  </w:num>
  <w:num w:numId="39">
    <w:abstractNumId w:val="1"/>
    <w:lvlOverride w:ilvl="0">
      <w:lvl w:ilvl="0">
        <w:start w:val="1"/>
        <w:numFmt w:val="lowerLetter"/>
        <w:pStyle w:val="Bulletindent1"/>
        <w:lvlText w:val="%1"/>
        <w:lvlJc w:val="left"/>
        <w:pPr>
          <w:tabs>
            <w:tab w:val="num" w:pos="1136"/>
          </w:tabs>
          <w:ind w:left="1136" w:hanging="284"/>
        </w:pPr>
        <w:rPr>
          <w:rFonts w:hint="default"/>
        </w:rPr>
      </w:lvl>
    </w:lvlOverride>
    <w:lvlOverride w:ilvl="1">
      <w:lvl w:ilvl="1">
        <w:start w:val="1"/>
        <w:numFmt w:val="bullet"/>
        <w:lvlText w:val=""/>
        <w:lvlJc w:val="left"/>
        <w:pPr>
          <w:tabs>
            <w:tab w:val="num" w:pos="1701"/>
          </w:tabs>
          <w:ind w:left="1701" w:hanging="283"/>
        </w:pPr>
        <w:rPr>
          <w:rFonts w:ascii="Symbol" w:hAnsi="Symbol" w:hint="default"/>
        </w:rPr>
      </w:lvl>
    </w:lvlOverride>
    <w:lvlOverride w:ilvl="2">
      <w:lvl w:ilvl="2">
        <w:start w:val="1"/>
        <w:numFmt w:val="bullet"/>
        <w:lvlText w:val=""/>
        <w:lvlJc w:val="left"/>
        <w:pPr>
          <w:tabs>
            <w:tab w:val="num" w:pos="1985"/>
          </w:tabs>
          <w:ind w:left="1985" w:hanging="284"/>
        </w:pPr>
        <w:rPr>
          <w:rFonts w:ascii="Symbol" w:hAnsi="Symbol" w:hint="default"/>
          <w:color w:val="auto"/>
        </w:rPr>
      </w:lvl>
    </w:lvlOverride>
    <w:lvlOverride w:ilvl="3">
      <w:lvl w:ilvl="3">
        <w:start w:val="1"/>
        <w:numFmt w:val="decimal"/>
        <w:lvlText w:val="%1.%2.%3.%4"/>
        <w:lvlJc w:val="left"/>
        <w:pPr>
          <w:tabs>
            <w:tab w:val="num" w:pos="1968"/>
          </w:tabs>
          <w:ind w:left="1968" w:hanging="964"/>
        </w:pPr>
        <w:rPr>
          <w:rFonts w:hint="default"/>
        </w:rPr>
      </w:lvl>
    </w:lvlOverride>
    <w:lvlOverride w:ilvl="4">
      <w:lvl w:ilvl="4">
        <w:start w:val="1"/>
        <w:numFmt w:val="decimal"/>
        <w:lvlText w:val="%1.%2.%3.%4.%5."/>
        <w:lvlJc w:val="left"/>
        <w:pPr>
          <w:tabs>
            <w:tab w:val="num" w:pos="5324"/>
          </w:tabs>
          <w:ind w:left="3236" w:hanging="792"/>
        </w:pPr>
        <w:rPr>
          <w:rFonts w:hint="default"/>
        </w:rPr>
      </w:lvl>
    </w:lvlOverride>
    <w:lvlOverride w:ilvl="5">
      <w:lvl w:ilvl="5">
        <w:start w:val="1"/>
        <w:numFmt w:val="decimal"/>
        <w:lvlText w:val="%1.%2.%3.%4.%5.%6."/>
        <w:lvlJc w:val="left"/>
        <w:pPr>
          <w:tabs>
            <w:tab w:val="num" w:pos="6404"/>
          </w:tabs>
          <w:ind w:left="3740" w:hanging="936"/>
        </w:pPr>
        <w:rPr>
          <w:rFonts w:hint="default"/>
        </w:rPr>
      </w:lvl>
    </w:lvlOverride>
    <w:lvlOverride w:ilvl="6">
      <w:lvl w:ilvl="6">
        <w:start w:val="1"/>
        <w:numFmt w:val="decimal"/>
        <w:lvlText w:val="%1.%2.%3.%4.%5.%6.%7."/>
        <w:lvlJc w:val="left"/>
        <w:pPr>
          <w:tabs>
            <w:tab w:val="num" w:pos="7484"/>
          </w:tabs>
          <w:ind w:left="4244" w:hanging="1080"/>
        </w:pPr>
        <w:rPr>
          <w:rFonts w:hint="default"/>
        </w:rPr>
      </w:lvl>
    </w:lvlOverride>
    <w:lvlOverride w:ilvl="7">
      <w:lvl w:ilvl="7">
        <w:start w:val="1"/>
        <w:numFmt w:val="decimal"/>
        <w:lvlText w:val="%1.%2.%3.%4.%5.%6.%7.%8."/>
        <w:lvlJc w:val="left"/>
        <w:pPr>
          <w:tabs>
            <w:tab w:val="num" w:pos="8204"/>
          </w:tabs>
          <w:ind w:left="4748" w:hanging="1224"/>
        </w:pPr>
        <w:rPr>
          <w:rFonts w:hint="default"/>
        </w:rPr>
      </w:lvl>
    </w:lvlOverride>
    <w:lvlOverride w:ilvl="8">
      <w:lvl w:ilvl="8">
        <w:start w:val="1"/>
        <w:numFmt w:val="decimal"/>
        <w:lvlText w:val="%1.%2.%3.%4.%5.%6.%7.%8.%9."/>
        <w:lvlJc w:val="left"/>
        <w:pPr>
          <w:tabs>
            <w:tab w:val="num" w:pos="9284"/>
          </w:tabs>
          <w:ind w:left="5324" w:hanging="1440"/>
        </w:pPr>
        <w:rPr>
          <w:rFonts w:hint="default"/>
        </w:rPr>
      </w:lvl>
    </w:lvlOverride>
  </w:num>
  <w:num w:numId="40">
    <w:abstractNumId w:val="19"/>
  </w:num>
  <w:num w:numId="41">
    <w:abstractNumId w:val="22"/>
  </w:num>
  <w:num w:numId="42">
    <w:abstractNumId w:val="3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4C3"/>
    <w:rsid w:val="00000441"/>
    <w:rsid w:val="00000D96"/>
    <w:rsid w:val="00006590"/>
    <w:rsid w:val="000069A4"/>
    <w:rsid w:val="000069F9"/>
    <w:rsid w:val="0000727D"/>
    <w:rsid w:val="000119FB"/>
    <w:rsid w:val="00014990"/>
    <w:rsid w:val="00016A22"/>
    <w:rsid w:val="00016E5E"/>
    <w:rsid w:val="00017610"/>
    <w:rsid w:val="000205C6"/>
    <w:rsid w:val="00021FB0"/>
    <w:rsid w:val="000221AA"/>
    <w:rsid w:val="0002331F"/>
    <w:rsid w:val="00023F26"/>
    <w:rsid w:val="000249F8"/>
    <w:rsid w:val="00026E82"/>
    <w:rsid w:val="00030676"/>
    <w:rsid w:val="00030714"/>
    <w:rsid w:val="0003322C"/>
    <w:rsid w:val="00034110"/>
    <w:rsid w:val="00035AC1"/>
    <w:rsid w:val="000368FC"/>
    <w:rsid w:val="000376EE"/>
    <w:rsid w:val="000421F8"/>
    <w:rsid w:val="00043262"/>
    <w:rsid w:val="00045528"/>
    <w:rsid w:val="00052063"/>
    <w:rsid w:val="00055DDF"/>
    <w:rsid w:val="00057724"/>
    <w:rsid w:val="00061C83"/>
    <w:rsid w:val="0006624B"/>
    <w:rsid w:val="0007068B"/>
    <w:rsid w:val="000711F1"/>
    <w:rsid w:val="00073DA8"/>
    <w:rsid w:val="000755E6"/>
    <w:rsid w:val="000764D3"/>
    <w:rsid w:val="00080061"/>
    <w:rsid w:val="00080A47"/>
    <w:rsid w:val="00082F77"/>
    <w:rsid w:val="00085C5A"/>
    <w:rsid w:val="000862FC"/>
    <w:rsid w:val="00087323"/>
    <w:rsid w:val="000879ED"/>
    <w:rsid w:val="00090108"/>
    <w:rsid w:val="00093649"/>
    <w:rsid w:val="00096246"/>
    <w:rsid w:val="000A0A6E"/>
    <w:rsid w:val="000A4016"/>
    <w:rsid w:val="000A6C40"/>
    <w:rsid w:val="000B1027"/>
    <w:rsid w:val="000B70D6"/>
    <w:rsid w:val="000B7F7A"/>
    <w:rsid w:val="000C04A1"/>
    <w:rsid w:val="000C08C1"/>
    <w:rsid w:val="000C194F"/>
    <w:rsid w:val="000C2222"/>
    <w:rsid w:val="000C66F6"/>
    <w:rsid w:val="000D09ED"/>
    <w:rsid w:val="000D0A87"/>
    <w:rsid w:val="000D0FB1"/>
    <w:rsid w:val="000D11B8"/>
    <w:rsid w:val="000D145B"/>
    <w:rsid w:val="000D6016"/>
    <w:rsid w:val="000D7185"/>
    <w:rsid w:val="000E1CED"/>
    <w:rsid w:val="000E24BD"/>
    <w:rsid w:val="000E29D1"/>
    <w:rsid w:val="000E6F19"/>
    <w:rsid w:val="000F1B3B"/>
    <w:rsid w:val="000F1E3F"/>
    <w:rsid w:val="000F3DBC"/>
    <w:rsid w:val="000F48EC"/>
    <w:rsid w:val="000F5D8D"/>
    <w:rsid w:val="001017A9"/>
    <w:rsid w:val="00101F34"/>
    <w:rsid w:val="001030E1"/>
    <w:rsid w:val="001033D5"/>
    <w:rsid w:val="001039F7"/>
    <w:rsid w:val="00105409"/>
    <w:rsid w:val="00107DBD"/>
    <w:rsid w:val="00113666"/>
    <w:rsid w:val="001169FE"/>
    <w:rsid w:val="00116D19"/>
    <w:rsid w:val="00117513"/>
    <w:rsid w:val="001209CD"/>
    <w:rsid w:val="00121E78"/>
    <w:rsid w:val="001230AC"/>
    <w:rsid w:val="00123F4B"/>
    <w:rsid w:val="00124604"/>
    <w:rsid w:val="001265C0"/>
    <w:rsid w:val="001337B7"/>
    <w:rsid w:val="00133921"/>
    <w:rsid w:val="001344B3"/>
    <w:rsid w:val="0013747E"/>
    <w:rsid w:val="00140C93"/>
    <w:rsid w:val="00143536"/>
    <w:rsid w:val="00145B2F"/>
    <w:rsid w:val="001464B2"/>
    <w:rsid w:val="001475C1"/>
    <w:rsid w:val="00150440"/>
    <w:rsid w:val="00151D8E"/>
    <w:rsid w:val="001552D3"/>
    <w:rsid w:val="001570BC"/>
    <w:rsid w:val="00157636"/>
    <w:rsid w:val="001579BF"/>
    <w:rsid w:val="00161AA0"/>
    <w:rsid w:val="001662BC"/>
    <w:rsid w:val="00167FBC"/>
    <w:rsid w:val="0017072D"/>
    <w:rsid w:val="00170B60"/>
    <w:rsid w:val="00171A2B"/>
    <w:rsid w:val="00176FB2"/>
    <w:rsid w:val="001823EB"/>
    <w:rsid w:val="00184A64"/>
    <w:rsid w:val="0018716E"/>
    <w:rsid w:val="001873CB"/>
    <w:rsid w:val="001916BA"/>
    <w:rsid w:val="00191B56"/>
    <w:rsid w:val="00193945"/>
    <w:rsid w:val="001956FC"/>
    <w:rsid w:val="00196FE1"/>
    <w:rsid w:val="0019718A"/>
    <w:rsid w:val="001A1AE2"/>
    <w:rsid w:val="001A5561"/>
    <w:rsid w:val="001B2DD8"/>
    <w:rsid w:val="001B7E00"/>
    <w:rsid w:val="001C0EF4"/>
    <w:rsid w:val="001C59E4"/>
    <w:rsid w:val="001D011E"/>
    <w:rsid w:val="001D1D43"/>
    <w:rsid w:val="001E27E5"/>
    <w:rsid w:val="001E2CAF"/>
    <w:rsid w:val="001E3B0C"/>
    <w:rsid w:val="001E4D37"/>
    <w:rsid w:val="001F1400"/>
    <w:rsid w:val="001F1DF3"/>
    <w:rsid w:val="001F2AA8"/>
    <w:rsid w:val="001F6078"/>
    <w:rsid w:val="001F7251"/>
    <w:rsid w:val="00204B18"/>
    <w:rsid w:val="00204F82"/>
    <w:rsid w:val="00207CFB"/>
    <w:rsid w:val="0021081C"/>
    <w:rsid w:val="002119CD"/>
    <w:rsid w:val="002159C9"/>
    <w:rsid w:val="00217FB0"/>
    <w:rsid w:val="002218BC"/>
    <w:rsid w:val="00222BEA"/>
    <w:rsid w:val="002237B0"/>
    <w:rsid w:val="00225439"/>
    <w:rsid w:val="00225F9B"/>
    <w:rsid w:val="00232061"/>
    <w:rsid w:val="00235945"/>
    <w:rsid w:val="00235CAB"/>
    <w:rsid w:val="00240870"/>
    <w:rsid w:val="002443AA"/>
    <w:rsid w:val="00253EB9"/>
    <w:rsid w:val="002555BE"/>
    <w:rsid w:val="00255679"/>
    <w:rsid w:val="00257B1C"/>
    <w:rsid w:val="002614EA"/>
    <w:rsid w:val="00264CE8"/>
    <w:rsid w:val="00265B0E"/>
    <w:rsid w:val="00282C30"/>
    <w:rsid w:val="00282D7E"/>
    <w:rsid w:val="00284B13"/>
    <w:rsid w:val="00290445"/>
    <w:rsid w:val="00292044"/>
    <w:rsid w:val="00293811"/>
    <w:rsid w:val="002A151A"/>
    <w:rsid w:val="002A2687"/>
    <w:rsid w:val="002A5C23"/>
    <w:rsid w:val="002A686F"/>
    <w:rsid w:val="002B3340"/>
    <w:rsid w:val="002B35BD"/>
    <w:rsid w:val="002B5772"/>
    <w:rsid w:val="002B6D1D"/>
    <w:rsid w:val="002C0551"/>
    <w:rsid w:val="002C257D"/>
    <w:rsid w:val="002C2774"/>
    <w:rsid w:val="002C381D"/>
    <w:rsid w:val="002D79A7"/>
    <w:rsid w:val="002E3F68"/>
    <w:rsid w:val="002E5C16"/>
    <w:rsid w:val="002E73E7"/>
    <w:rsid w:val="002F0AA7"/>
    <w:rsid w:val="002F1B28"/>
    <w:rsid w:val="002F2583"/>
    <w:rsid w:val="002F279A"/>
    <w:rsid w:val="002F2C1A"/>
    <w:rsid w:val="002F4F5B"/>
    <w:rsid w:val="002F68FE"/>
    <w:rsid w:val="00300DF8"/>
    <w:rsid w:val="00303156"/>
    <w:rsid w:val="003107AB"/>
    <w:rsid w:val="0031127A"/>
    <w:rsid w:val="00311A01"/>
    <w:rsid w:val="003154E8"/>
    <w:rsid w:val="00315C29"/>
    <w:rsid w:val="0031664C"/>
    <w:rsid w:val="00324997"/>
    <w:rsid w:val="003256B1"/>
    <w:rsid w:val="00331545"/>
    <w:rsid w:val="003330E6"/>
    <w:rsid w:val="0033333E"/>
    <w:rsid w:val="003368C0"/>
    <w:rsid w:val="00336F50"/>
    <w:rsid w:val="00343439"/>
    <w:rsid w:val="00343B53"/>
    <w:rsid w:val="003459E9"/>
    <w:rsid w:val="00346BA7"/>
    <w:rsid w:val="00354915"/>
    <w:rsid w:val="00354C93"/>
    <w:rsid w:val="00364E30"/>
    <w:rsid w:val="00372031"/>
    <w:rsid w:val="003738C2"/>
    <w:rsid w:val="00383594"/>
    <w:rsid w:val="003847B9"/>
    <w:rsid w:val="00385E85"/>
    <w:rsid w:val="0039118D"/>
    <w:rsid w:val="00391AC8"/>
    <w:rsid w:val="00392FB4"/>
    <w:rsid w:val="00394CE2"/>
    <w:rsid w:val="00394DFF"/>
    <w:rsid w:val="00395C05"/>
    <w:rsid w:val="003A0250"/>
    <w:rsid w:val="003A04CD"/>
    <w:rsid w:val="003A11AB"/>
    <w:rsid w:val="003A1F14"/>
    <w:rsid w:val="003A3974"/>
    <w:rsid w:val="003A5838"/>
    <w:rsid w:val="003A647E"/>
    <w:rsid w:val="003A66A7"/>
    <w:rsid w:val="003B0BC2"/>
    <w:rsid w:val="003B37BB"/>
    <w:rsid w:val="003C36AC"/>
    <w:rsid w:val="003C5B3F"/>
    <w:rsid w:val="003C7EF9"/>
    <w:rsid w:val="003D425F"/>
    <w:rsid w:val="003D68D5"/>
    <w:rsid w:val="003D7050"/>
    <w:rsid w:val="003E14CF"/>
    <w:rsid w:val="003E3081"/>
    <w:rsid w:val="003E684C"/>
    <w:rsid w:val="003F168A"/>
    <w:rsid w:val="003F7346"/>
    <w:rsid w:val="00407D59"/>
    <w:rsid w:val="00407E1E"/>
    <w:rsid w:val="0041525E"/>
    <w:rsid w:val="00415939"/>
    <w:rsid w:val="00420742"/>
    <w:rsid w:val="00421005"/>
    <w:rsid w:val="00431372"/>
    <w:rsid w:val="00433564"/>
    <w:rsid w:val="004367CA"/>
    <w:rsid w:val="00437732"/>
    <w:rsid w:val="00437CA3"/>
    <w:rsid w:val="0044027B"/>
    <w:rsid w:val="004408F8"/>
    <w:rsid w:val="00444C1B"/>
    <w:rsid w:val="0044648F"/>
    <w:rsid w:val="00446DA2"/>
    <w:rsid w:val="00454D14"/>
    <w:rsid w:val="00457843"/>
    <w:rsid w:val="00460458"/>
    <w:rsid w:val="00462002"/>
    <w:rsid w:val="0046212F"/>
    <w:rsid w:val="00462733"/>
    <w:rsid w:val="00463227"/>
    <w:rsid w:val="00463973"/>
    <w:rsid w:val="00466674"/>
    <w:rsid w:val="00471113"/>
    <w:rsid w:val="00471200"/>
    <w:rsid w:val="00472FF8"/>
    <w:rsid w:val="00474E46"/>
    <w:rsid w:val="00475F03"/>
    <w:rsid w:val="004804B3"/>
    <w:rsid w:val="00481E06"/>
    <w:rsid w:val="004820E9"/>
    <w:rsid w:val="00483119"/>
    <w:rsid w:val="0048361F"/>
    <w:rsid w:val="004845D0"/>
    <w:rsid w:val="004852FF"/>
    <w:rsid w:val="00490625"/>
    <w:rsid w:val="004921C3"/>
    <w:rsid w:val="0049290A"/>
    <w:rsid w:val="00492FDA"/>
    <w:rsid w:val="00494E73"/>
    <w:rsid w:val="004A2830"/>
    <w:rsid w:val="004B063F"/>
    <w:rsid w:val="004B514C"/>
    <w:rsid w:val="004B74C3"/>
    <w:rsid w:val="004B7D57"/>
    <w:rsid w:val="004C00D8"/>
    <w:rsid w:val="004C3DAD"/>
    <w:rsid w:val="004C5923"/>
    <w:rsid w:val="004C6116"/>
    <w:rsid w:val="004C7C61"/>
    <w:rsid w:val="004D0DFD"/>
    <w:rsid w:val="004D1FBE"/>
    <w:rsid w:val="004D45BE"/>
    <w:rsid w:val="004D4A86"/>
    <w:rsid w:val="004D7664"/>
    <w:rsid w:val="004E074F"/>
    <w:rsid w:val="004E6427"/>
    <w:rsid w:val="004E6C6E"/>
    <w:rsid w:val="004E7625"/>
    <w:rsid w:val="004E7E43"/>
    <w:rsid w:val="004F1956"/>
    <w:rsid w:val="004F5FC6"/>
    <w:rsid w:val="004F69FA"/>
    <w:rsid w:val="005037B2"/>
    <w:rsid w:val="0050455E"/>
    <w:rsid w:val="005047AD"/>
    <w:rsid w:val="0050683B"/>
    <w:rsid w:val="005100BA"/>
    <w:rsid w:val="00510B1D"/>
    <w:rsid w:val="0051107D"/>
    <w:rsid w:val="00511167"/>
    <w:rsid w:val="00521A52"/>
    <w:rsid w:val="00526C07"/>
    <w:rsid w:val="005273A6"/>
    <w:rsid w:val="00527533"/>
    <w:rsid w:val="00527E88"/>
    <w:rsid w:val="0053387C"/>
    <w:rsid w:val="00534F74"/>
    <w:rsid w:val="00536789"/>
    <w:rsid w:val="00536D2F"/>
    <w:rsid w:val="00540052"/>
    <w:rsid w:val="0054146B"/>
    <w:rsid w:val="00541812"/>
    <w:rsid w:val="0054284B"/>
    <w:rsid w:val="00543DB4"/>
    <w:rsid w:val="00543E08"/>
    <w:rsid w:val="005449AD"/>
    <w:rsid w:val="005505ED"/>
    <w:rsid w:val="00560117"/>
    <w:rsid w:val="00564B04"/>
    <w:rsid w:val="00570524"/>
    <w:rsid w:val="00573059"/>
    <w:rsid w:val="0057621E"/>
    <w:rsid w:val="00577B05"/>
    <w:rsid w:val="00580D6F"/>
    <w:rsid w:val="005812C6"/>
    <w:rsid w:val="0058382A"/>
    <w:rsid w:val="005948FA"/>
    <w:rsid w:val="005959BE"/>
    <w:rsid w:val="00596210"/>
    <w:rsid w:val="00596286"/>
    <w:rsid w:val="00596999"/>
    <w:rsid w:val="005A0F31"/>
    <w:rsid w:val="005A28A1"/>
    <w:rsid w:val="005A46D0"/>
    <w:rsid w:val="005A4EDF"/>
    <w:rsid w:val="005A6FB5"/>
    <w:rsid w:val="005B25E4"/>
    <w:rsid w:val="005B30C8"/>
    <w:rsid w:val="005B7778"/>
    <w:rsid w:val="005C051F"/>
    <w:rsid w:val="005C6E7B"/>
    <w:rsid w:val="005C762E"/>
    <w:rsid w:val="005D098C"/>
    <w:rsid w:val="005D311B"/>
    <w:rsid w:val="005D3FD9"/>
    <w:rsid w:val="005E006C"/>
    <w:rsid w:val="005E2139"/>
    <w:rsid w:val="005E46BB"/>
    <w:rsid w:val="005E7605"/>
    <w:rsid w:val="005F31F9"/>
    <w:rsid w:val="006001CC"/>
    <w:rsid w:val="00602B4D"/>
    <w:rsid w:val="00603C94"/>
    <w:rsid w:val="006048E0"/>
    <w:rsid w:val="00604FAD"/>
    <w:rsid w:val="0060662A"/>
    <w:rsid w:val="0060741A"/>
    <w:rsid w:val="00612789"/>
    <w:rsid w:val="00613D24"/>
    <w:rsid w:val="00614BDA"/>
    <w:rsid w:val="00621AFB"/>
    <w:rsid w:val="0062589A"/>
    <w:rsid w:val="006307C7"/>
    <w:rsid w:val="00632B82"/>
    <w:rsid w:val="006331B4"/>
    <w:rsid w:val="006343F3"/>
    <w:rsid w:val="00640CF2"/>
    <w:rsid w:val="006417D6"/>
    <w:rsid w:val="00642906"/>
    <w:rsid w:val="00643582"/>
    <w:rsid w:val="00643B75"/>
    <w:rsid w:val="006457EF"/>
    <w:rsid w:val="006469AD"/>
    <w:rsid w:val="00650F96"/>
    <w:rsid w:val="006512B7"/>
    <w:rsid w:val="00651C22"/>
    <w:rsid w:val="00655679"/>
    <w:rsid w:val="00655B4D"/>
    <w:rsid w:val="00655ED5"/>
    <w:rsid w:val="0066215B"/>
    <w:rsid w:val="00665734"/>
    <w:rsid w:val="00671977"/>
    <w:rsid w:val="00671D80"/>
    <w:rsid w:val="00672EFB"/>
    <w:rsid w:val="006739CF"/>
    <w:rsid w:val="0067752C"/>
    <w:rsid w:val="006776A2"/>
    <w:rsid w:val="006801A6"/>
    <w:rsid w:val="0068124B"/>
    <w:rsid w:val="00681610"/>
    <w:rsid w:val="00684AD6"/>
    <w:rsid w:val="00685A16"/>
    <w:rsid w:val="00685D36"/>
    <w:rsid w:val="00687304"/>
    <w:rsid w:val="00692C71"/>
    <w:rsid w:val="006931A0"/>
    <w:rsid w:val="006935BC"/>
    <w:rsid w:val="00696E55"/>
    <w:rsid w:val="006A0B0E"/>
    <w:rsid w:val="006A3A9C"/>
    <w:rsid w:val="006A3CC5"/>
    <w:rsid w:val="006A721F"/>
    <w:rsid w:val="006A7CCF"/>
    <w:rsid w:val="006B0581"/>
    <w:rsid w:val="006B0F36"/>
    <w:rsid w:val="006B30FD"/>
    <w:rsid w:val="006B4254"/>
    <w:rsid w:val="006B5CB4"/>
    <w:rsid w:val="006B6DCF"/>
    <w:rsid w:val="006B791B"/>
    <w:rsid w:val="006C3656"/>
    <w:rsid w:val="006C44DB"/>
    <w:rsid w:val="006C4793"/>
    <w:rsid w:val="006D0EDD"/>
    <w:rsid w:val="006D36FB"/>
    <w:rsid w:val="006D42ED"/>
    <w:rsid w:val="006D4D1A"/>
    <w:rsid w:val="006D5982"/>
    <w:rsid w:val="006D65DC"/>
    <w:rsid w:val="006D73F1"/>
    <w:rsid w:val="006E2A29"/>
    <w:rsid w:val="006E3514"/>
    <w:rsid w:val="006E7421"/>
    <w:rsid w:val="006E7647"/>
    <w:rsid w:val="006F162C"/>
    <w:rsid w:val="006F1DA8"/>
    <w:rsid w:val="006F22E9"/>
    <w:rsid w:val="006F4CFA"/>
    <w:rsid w:val="006F5310"/>
    <w:rsid w:val="006F696E"/>
    <w:rsid w:val="006F6B91"/>
    <w:rsid w:val="007040CB"/>
    <w:rsid w:val="0070523B"/>
    <w:rsid w:val="00707D16"/>
    <w:rsid w:val="00715E8A"/>
    <w:rsid w:val="00717226"/>
    <w:rsid w:val="00720FDD"/>
    <w:rsid w:val="007213F6"/>
    <w:rsid w:val="00721A2A"/>
    <w:rsid w:val="00722883"/>
    <w:rsid w:val="00723AF0"/>
    <w:rsid w:val="0072627E"/>
    <w:rsid w:val="00726841"/>
    <w:rsid w:val="00727911"/>
    <w:rsid w:val="0073007E"/>
    <w:rsid w:val="007311E2"/>
    <w:rsid w:val="00732519"/>
    <w:rsid w:val="0073365B"/>
    <w:rsid w:val="00734F5A"/>
    <w:rsid w:val="0073579D"/>
    <w:rsid w:val="00736D97"/>
    <w:rsid w:val="00737CEF"/>
    <w:rsid w:val="00737DDA"/>
    <w:rsid w:val="00746B57"/>
    <w:rsid w:val="00747D90"/>
    <w:rsid w:val="007501B9"/>
    <w:rsid w:val="00751CB9"/>
    <w:rsid w:val="0075624F"/>
    <w:rsid w:val="00756580"/>
    <w:rsid w:val="00756D96"/>
    <w:rsid w:val="007620C2"/>
    <w:rsid w:val="00763641"/>
    <w:rsid w:val="007668BA"/>
    <w:rsid w:val="00766EA2"/>
    <w:rsid w:val="00770596"/>
    <w:rsid w:val="0077277D"/>
    <w:rsid w:val="007747D4"/>
    <w:rsid w:val="00774963"/>
    <w:rsid w:val="00781B7F"/>
    <w:rsid w:val="00782DCB"/>
    <w:rsid w:val="00784156"/>
    <w:rsid w:val="00784752"/>
    <w:rsid w:val="00785A70"/>
    <w:rsid w:val="00787F02"/>
    <w:rsid w:val="00791280"/>
    <w:rsid w:val="007933B3"/>
    <w:rsid w:val="00794D72"/>
    <w:rsid w:val="007A048E"/>
    <w:rsid w:val="007A19AF"/>
    <w:rsid w:val="007A1E9D"/>
    <w:rsid w:val="007A2801"/>
    <w:rsid w:val="007A4EEE"/>
    <w:rsid w:val="007A6DAA"/>
    <w:rsid w:val="007A7EC8"/>
    <w:rsid w:val="007B032C"/>
    <w:rsid w:val="007B1AF8"/>
    <w:rsid w:val="007B2A16"/>
    <w:rsid w:val="007B4B3F"/>
    <w:rsid w:val="007B787D"/>
    <w:rsid w:val="007B7B7B"/>
    <w:rsid w:val="007C3165"/>
    <w:rsid w:val="007C58D6"/>
    <w:rsid w:val="007C732D"/>
    <w:rsid w:val="007D1008"/>
    <w:rsid w:val="007D2A5F"/>
    <w:rsid w:val="007D33AD"/>
    <w:rsid w:val="007D5B27"/>
    <w:rsid w:val="007D5C80"/>
    <w:rsid w:val="007D62AE"/>
    <w:rsid w:val="007E013D"/>
    <w:rsid w:val="007E2754"/>
    <w:rsid w:val="007E571D"/>
    <w:rsid w:val="007E5818"/>
    <w:rsid w:val="007E61A7"/>
    <w:rsid w:val="007E65D7"/>
    <w:rsid w:val="007E67FC"/>
    <w:rsid w:val="007F227E"/>
    <w:rsid w:val="007F464A"/>
    <w:rsid w:val="007F5908"/>
    <w:rsid w:val="007F6249"/>
    <w:rsid w:val="0080089C"/>
    <w:rsid w:val="00803318"/>
    <w:rsid w:val="00803456"/>
    <w:rsid w:val="0080390A"/>
    <w:rsid w:val="00810E74"/>
    <w:rsid w:val="00811BBD"/>
    <w:rsid w:val="00812976"/>
    <w:rsid w:val="00814DEF"/>
    <w:rsid w:val="0082239E"/>
    <w:rsid w:val="00825A87"/>
    <w:rsid w:val="00831B9B"/>
    <w:rsid w:val="00832381"/>
    <w:rsid w:val="00835008"/>
    <w:rsid w:val="00842A7E"/>
    <w:rsid w:val="00844D3D"/>
    <w:rsid w:val="0084532E"/>
    <w:rsid w:val="00845810"/>
    <w:rsid w:val="00845F3C"/>
    <w:rsid w:val="00846159"/>
    <w:rsid w:val="008505C3"/>
    <w:rsid w:val="00851677"/>
    <w:rsid w:val="008522C6"/>
    <w:rsid w:val="00852E40"/>
    <w:rsid w:val="00857A90"/>
    <w:rsid w:val="00857CDD"/>
    <w:rsid w:val="00860EA8"/>
    <w:rsid w:val="0086472B"/>
    <w:rsid w:val="00865B83"/>
    <w:rsid w:val="00866494"/>
    <w:rsid w:val="00866CC6"/>
    <w:rsid w:val="00870E08"/>
    <w:rsid w:val="0087368E"/>
    <w:rsid w:val="00876516"/>
    <w:rsid w:val="008802D9"/>
    <w:rsid w:val="00880B98"/>
    <w:rsid w:val="00881F26"/>
    <w:rsid w:val="008838A1"/>
    <w:rsid w:val="0088685E"/>
    <w:rsid w:val="0088689E"/>
    <w:rsid w:val="00891794"/>
    <w:rsid w:val="00891929"/>
    <w:rsid w:val="00891E6A"/>
    <w:rsid w:val="00893176"/>
    <w:rsid w:val="00895446"/>
    <w:rsid w:val="008A05E4"/>
    <w:rsid w:val="008A2098"/>
    <w:rsid w:val="008A32D1"/>
    <w:rsid w:val="008A7B50"/>
    <w:rsid w:val="008B03D8"/>
    <w:rsid w:val="008B4290"/>
    <w:rsid w:val="008B61CD"/>
    <w:rsid w:val="008C4A61"/>
    <w:rsid w:val="008C4CB3"/>
    <w:rsid w:val="008C4F0F"/>
    <w:rsid w:val="008C6CFD"/>
    <w:rsid w:val="008C7D07"/>
    <w:rsid w:val="008C7F38"/>
    <w:rsid w:val="008D13A4"/>
    <w:rsid w:val="008D3B9E"/>
    <w:rsid w:val="008D55C9"/>
    <w:rsid w:val="008E5493"/>
    <w:rsid w:val="008E7460"/>
    <w:rsid w:val="008E7585"/>
    <w:rsid w:val="008F2E5C"/>
    <w:rsid w:val="008F646F"/>
    <w:rsid w:val="008F6FB4"/>
    <w:rsid w:val="00906982"/>
    <w:rsid w:val="009076D0"/>
    <w:rsid w:val="00914F38"/>
    <w:rsid w:val="0091776B"/>
    <w:rsid w:val="00920396"/>
    <w:rsid w:val="0092657D"/>
    <w:rsid w:val="00931A1F"/>
    <w:rsid w:val="00931E1D"/>
    <w:rsid w:val="00932B67"/>
    <w:rsid w:val="00935018"/>
    <w:rsid w:val="0093671F"/>
    <w:rsid w:val="00937D0C"/>
    <w:rsid w:val="00937F0D"/>
    <w:rsid w:val="00941D1F"/>
    <w:rsid w:val="00942CEF"/>
    <w:rsid w:val="0094366C"/>
    <w:rsid w:val="0094666B"/>
    <w:rsid w:val="009479C0"/>
    <w:rsid w:val="00950914"/>
    <w:rsid w:val="00950C51"/>
    <w:rsid w:val="00951973"/>
    <w:rsid w:val="0095252E"/>
    <w:rsid w:val="00952591"/>
    <w:rsid w:val="00952C90"/>
    <w:rsid w:val="00953ADF"/>
    <w:rsid w:val="00953B55"/>
    <w:rsid w:val="0095579B"/>
    <w:rsid w:val="00957E73"/>
    <w:rsid w:val="0096135C"/>
    <w:rsid w:val="009746D7"/>
    <w:rsid w:val="009808B4"/>
    <w:rsid w:val="00981584"/>
    <w:rsid w:val="00983391"/>
    <w:rsid w:val="00983CF8"/>
    <w:rsid w:val="00984821"/>
    <w:rsid w:val="009961A7"/>
    <w:rsid w:val="0099716A"/>
    <w:rsid w:val="009A0593"/>
    <w:rsid w:val="009A2797"/>
    <w:rsid w:val="009A2C14"/>
    <w:rsid w:val="009A3D97"/>
    <w:rsid w:val="009A3ED6"/>
    <w:rsid w:val="009A56B3"/>
    <w:rsid w:val="009A598B"/>
    <w:rsid w:val="009A698B"/>
    <w:rsid w:val="009B2D86"/>
    <w:rsid w:val="009B3F94"/>
    <w:rsid w:val="009B5E70"/>
    <w:rsid w:val="009B621A"/>
    <w:rsid w:val="009B672F"/>
    <w:rsid w:val="009B6EAB"/>
    <w:rsid w:val="009B718D"/>
    <w:rsid w:val="009B7CCE"/>
    <w:rsid w:val="009C0BCC"/>
    <w:rsid w:val="009C3FA3"/>
    <w:rsid w:val="009C45D9"/>
    <w:rsid w:val="009C6530"/>
    <w:rsid w:val="009C6E7D"/>
    <w:rsid w:val="009C6F32"/>
    <w:rsid w:val="009C72EE"/>
    <w:rsid w:val="009D2707"/>
    <w:rsid w:val="009D2BEF"/>
    <w:rsid w:val="009D358E"/>
    <w:rsid w:val="009D7187"/>
    <w:rsid w:val="009D783B"/>
    <w:rsid w:val="009E01DD"/>
    <w:rsid w:val="009E547A"/>
    <w:rsid w:val="009F30C8"/>
    <w:rsid w:val="009F4054"/>
    <w:rsid w:val="009F4E51"/>
    <w:rsid w:val="009F58D8"/>
    <w:rsid w:val="00A02F7D"/>
    <w:rsid w:val="00A03791"/>
    <w:rsid w:val="00A06657"/>
    <w:rsid w:val="00A07FAB"/>
    <w:rsid w:val="00A12141"/>
    <w:rsid w:val="00A12DA0"/>
    <w:rsid w:val="00A16DFA"/>
    <w:rsid w:val="00A17C0A"/>
    <w:rsid w:val="00A22FA7"/>
    <w:rsid w:val="00A238D0"/>
    <w:rsid w:val="00A30313"/>
    <w:rsid w:val="00A333E3"/>
    <w:rsid w:val="00A33919"/>
    <w:rsid w:val="00A346B2"/>
    <w:rsid w:val="00A35D74"/>
    <w:rsid w:val="00A3601F"/>
    <w:rsid w:val="00A36968"/>
    <w:rsid w:val="00A36EC5"/>
    <w:rsid w:val="00A41149"/>
    <w:rsid w:val="00A44745"/>
    <w:rsid w:val="00A44F15"/>
    <w:rsid w:val="00A45F00"/>
    <w:rsid w:val="00A47B7B"/>
    <w:rsid w:val="00A50621"/>
    <w:rsid w:val="00A54175"/>
    <w:rsid w:val="00A562AD"/>
    <w:rsid w:val="00A56809"/>
    <w:rsid w:val="00A60D9A"/>
    <w:rsid w:val="00A63A07"/>
    <w:rsid w:val="00A654A2"/>
    <w:rsid w:val="00A67183"/>
    <w:rsid w:val="00A70079"/>
    <w:rsid w:val="00A75EE7"/>
    <w:rsid w:val="00A76391"/>
    <w:rsid w:val="00A76452"/>
    <w:rsid w:val="00A83F5F"/>
    <w:rsid w:val="00A84DF8"/>
    <w:rsid w:val="00A86245"/>
    <w:rsid w:val="00A86D3D"/>
    <w:rsid w:val="00A9013E"/>
    <w:rsid w:val="00A915F3"/>
    <w:rsid w:val="00A94B17"/>
    <w:rsid w:val="00A94F1F"/>
    <w:rsid w:val="00A95347"/>
    <w:rsid w:val="00A95604"/>
    <w:rsid w:val="00AA349C"/>
    <w:rsid w:val="00AA471D"/>
    <w:rsid w:val="00AA4B1C"/>
    <w:rsid w:val="00AA6188"/>
    <w:rsid w:val="00AA7E33"/>
    <w:rsid w:val="00AB265E"/>
    <w:rsid w:val="00AB2948"/>
    <w:rsid w:val="00AB39FA"/>
    <w:rsid w:val="00AB3B30"/>
    <w:rsid w:val="00AB426C"/>
    <w:rsid w:val="00AB451C"/>
    <w:rsid w:val="00AB59F2"/>
    <w:rsid w:val="00AC3E62"/>
    <w:rsid w:val="00AC5620"/>
    <w:rsid w:val="00AC5AF9"/>
    <w:rsid w:val="00AC6192"/>
    <w:rsid w:val="00AC6405"/>
    <w:rsid w:val="00AD2F03"/>
    <w:rsid w:val="00AD57FE"/>
    <w:rsid w:val="00AD6933"/>
    <w:rsid w:val="00AD6B7B"/>
    <w:rsid w:val="00AD7CAB"/>
    <w:rsid w:val="00AE04A6"/>
    <w:rsid w:val="00AE0D6A"/>
    <w:rsid w:val="00AE10BE"/>
    <w:rsid w:val="00AE16C9"/>
    <w:rsid w:val="00AE3EF5"/>
    <w:rsid w:val="00AE423A"/>
    <w:rsid w:val="00AE471D"/>
    <w:rsid w:val="00AE4F2A"/>
    <w:rsid w:val="00AE5F33"/>
    <w:rsid w:val="00AF0AD5"/>
    <w:rsid w:val="00AF15E6"/>
    <w:rsid w:val="00AF51E7"/>
    <w:rsid w:val="00AF6744"/>
    <w:rsid w:val="00AF6D6A"/>
    <w:rsid w:val="00B05620"/>
    <w:rsid w:val="00B12E05"/>
    <w:rsid w:val="00B12EBE"/>
    <w:rsid w:val="00B1574C"/>
    <w:rsid w:val="00B16431"/>
    <w:rsid w:val="00B166A4"/>
    <w:rsid w:val="00B219B7"/>
    <w:rsid w:val="00B23AB0"/>
    <w:rsid w:val="00B25038"/>
    <w:rsid w:val="00B27FF1"/>
    <w:rsid w:val="00B3159A"/>
    <w:rsid w:val="00B33465"/>
    <w:rsid w:val="00B35C09"/>
    <w:rsid w:val="00B379C5"/>
    <w:rsid w:val="00B4183F"/>
    <w:rsid w:val="00B42198"/>
    <w:rsid w:val="00B46AD2"/>
    <w:rsid w:val="00B614D0"/>
    <w:rsid w:val="00B64BBE"/>
    <w:rsid w:val="00B65D17"/>
    <w:rsid w:val="00B67DE1"/>
    <w:rsid w:val="00B706D4"/>
    <w:rsid w:val="00B70CC6"/>
    <w:rsid w:val="00B7169D"/>
    <w:rsid w:val="00B73894"/>
    <w:rsid w:val="00B774CB"/>
    <w:rsid w:val="00B776B5"/>
    <w:rsid w:val="00B8193F"/>
    <w:rsid w:val="00B82A82"/>
    <w:rsid w:val="00B8464A"/>
    <w:rsid w:val="00B8473D"/>
    <w:rsid w:val="00B87929"/>
    <w:rsid w:val="00B90410"/>
    <w:rsid w:val="00B90E10"/>
    <w:rsid w:val="00B964CA"/>
    <w:rsid w:val="00B969D7"/>
    <w:rsid w:val="00BA31C4"/>
    <w:rsid w:val="00BA4655"/>
    <w:rsid w:val="00BA62E5"/>
    <w:rsid w:val="00BA78B6"/>
    <w:rsid w:val="00BA7935"/>
    <w:rsid w:val="00BB047B"/>
    <w:rsid w:val="00BB4818"/>
    <w:rsid w:val="00BB4AF3"/>
    <w:rsid w:val="00BB6398"/>
    <w:rsid w:val="00BC1011"/>
    <w:rsid w:val="00BC25EF"/>
    <w:rsid w:val="00BC2DAF"/>
    <w:rsid w:val="00BC4FD3"/>
    <w:rsid w:val="00BC6827"/>
    <w:rsid w:val="00BC6C7A"/>
    <w:rsid w:val="00BC7D9E"/>
    <w:rsid w:val="00BD0372"/>
    <w:rsid w:val="00BD44F5"/>
    <w:rsid w:val="00BE4340"/>
    <w:rsid w:val="00BE5C41"/>
    <w:rsid w:val="00BF0646"/>
    <w:rsid w:val="00BF1C32"/>
    <w:rsid w:val="00BF2BA5"/>
    <w:rsid w:val="00BF76A6"/>
    <w:rsid w:val="00C0068D"/>
    <w:rsid w:val="00C01F23"/>
    <w:rsid w:val="00C044BE"/>
    <w:rsid w:val="00C04BAB"/>
    <w:rsid w:val="00C0607B"/>
    <w:rsid w:val="00C06836"/>
    <w:rsid w:val="00C06DEF"/>
    <w:rsid w:val="00C075A2"/>
    <w:rsid w:val="00C107CB"/>
    <w:rsid w:val="00C110DB"/>
    <w:rsid w:val="00C118C4"/>
    <w:rsid w:val="00C11F58"/>
    <w:rsid w:val="00C120D7"/>
    <w:rsid w:val="00C132D1"/>
    <w:rsid w:val="00C139CA"/>
    <w:rsid w:val="00C13A7D"/>
    <w:rsid w:val="00C241A8"/>
    <w:rsid w:val="00C24ABA"/>
    <w:rsid w:val="00C2641C"/>
    <w:rsid w:val="00C264CB"/>
    <w:rsid w:val="00C31253"/>
    <w:rsid w:val="00C35129"/>
    <w:rsid w:val="00C41197"/>
    <w:rsid w:val="00C419DB"/>
    <w:rsid w:val="00C461AE"/>
    <w:rsid w:val="00C476F1"/>
    <w:rsid w:val="00C51429"/>
    <w:rsid w:val="00C51E8F"/>
    <w:rsid w:val="00C52CE9"/>
    <w:rsid w:val="00C52FC0"/>
    <w:rsid w:val="00C53F9E"/>
    <w:rsid w:val="00C55873"/>
    <w:rsid w:val="00C559E9"/>
    <w:rsid w:val="00C608C1"/>
    <w:rsid w:val="00C61360"/>
    <w:rsid w:val="00C618EF"/>
    <w:rsid w:val="00C63D4E"/>
    <w:rsid w:val="00C63EA9"/>
    <w:rsid w:val="00C665A0"/>
    <w:rsid w:val="00C67725"/>
    <w:rsid w:val="00C700F3"/>
    <w:rsid w:val="00C7092F"/>
    <w:rsid w:val="00C7539F"/>
    <w:rsid w:val="00C76DDA"/>
    <w:rsid w:val="00C807B3"/>
    <w:rsid w:val="00C825C9"/>
    <w:rsid w:val="00C86548"/>
    <w:rsid w:val="00C86CC3"/>
    <w:rsid w:val="00C86E37"/>
    <w:rsid w:val="00C901B1"/>
    <w:rsid w:val="00C90EBC"/>
    <w:rsid w:val="00C91B69"/>
    <w:rsid w:val="00CA3856"/>
    <w:rsid w:val="00CA5A3F"/>
    <w:rsid w:val="00CA67E0"/>
    <w:rsid w:val="00CB0122"/>
    <w:rsid w:val="00CB0269"/>
    <w:rsid w:val="00CB0833"/>
    <w:rsid w:val="00CB18F5"/>
    <w:rsid w:val="00CC008E"/>
    <w:rsid w:val="00CC02ED"/>
    <w:rsid w:val="00CC63EB"/>
    <w:rsid w:val="00CD022A"/>
    <w:rsid w:val="00CD03BE"/>
    <w:rsid w:val="00CD0707"/>
    <w:rsid w:val="00CD1A25"/>
    <w:rsid w:val="00CD2E16"/>
    <w:rsid w:val="00CD65E7"/>
    <w:rsid w:val="00CD7BFC"/>
    <w:rsid w:val="00CE2B95"/>
    <w:rsid w:val="00CE2F1A"/>
    <w:rsid w:val="00CE5364"/>
    <w:rsid w:val="00CE6F44"/>
    <w:rsid w:val="00CF1A11"/>
    <w:rsid w:val="00CF30FC"/>
    <w:rsid w:val="00CF4286"/>
    <w:rsid w:val="00CF5CB2"/>
    <w:rsid w:val="00D019BA"/>
    <w:rsid w:val="00D01B9F"/>
    <w:rsid w:val="00D03B38"/>
    <w:rsid w:val="00D03F87"/>
    <w:rsid w:val="00D0486C"/>
    <w:rsid w:val="00D04CD4"/>
    <w:rsid w:val="00D07174"/>
    <w:rsid w:val="00D07DB1"/>
    <w:rsid w:val="00D12095"/>
    <w:rsid w:val="00D13AA4"/>
    <w:rsid w:val="00D17381"/>
    <w:rsid w:val="00D21AEC"/>
    <w:rsid w:val="00D22D06"/>
    <w:rsid w:val="00D24772"/>
    <w:rsid w:val="00D26E91"/>
    <w:rsid w:val="00D272A6"/>
    <w:rsid w:val="00D33406"/>
    <w:rsid w:val="00D3441D"/>
    <w:rsid w:val="00D355C4"/>
    <w:rsid w:val="00D3612A"/>
    <w:rsid w:val="00D37703"/>
    <w:rsid w:val="00D37DBF"/>
    <w:rsid w:val="00D37F25"/>
    <w:rsid w:val="00D42F4F"/>
    <w:rsid w:val="00D44141"/>
    <w:rsid w:val="00D56A53"/>
    <w:rsid w:val="00D61945"/>
    <w:rsid w:val="00D6324F"/>
    <w:rsid w:val="00D63458"/>
    <w:rsid w:val="00D66D37"/>
    <w:rsid w:val="00D750CC"/>
    <w:rsid w:val="00D758DC"/>
    <w:rsid w:val="00D84369"/>
    <w:rsid w:val="00D84C8F"/>
    <w:rsid w:val="00D873AD"/>
    <w:rsid w:val="00D90BEE"/>
    <w:rsid w:val="00D91AAC"/>
    <w:rsid w:val="00D91C06"/>
    <w:rsid w:val="00D91C9F"/>
    <w:rsid w:val="00D93FD1"/>
    <w:rsid w:val="00DA08F5"/>
    <w:rsid w:val="00DA2ADC"/>
    <w:rsid w:val="00DB01E2"/>
    <w:rsid w:val="00DB0764"/>
    <w:rsid w:val="00DB3506"/>
    <w:rsid w:val="00DB7A9A"/>
    <w:rsid w:val="00DC3177"/>
    <w:rsid w:val="00DC3276"/>
    <w:rsid w:val="00DD08F8"/>
    <w:rsid w:val="00DD13AB"/>
    <w:rsid w:val="00DD2841"/>
    <w:rsid w:val="00DD2F1F"/>
    <w:rsid w:val="00DD323F"/>
    <w:rsid w:val="00DD37D8"/>
    <w:rsid w:val="00DD4EB5"/>
    <w:rsid w:val="00DD5902"/>
    <w:rsid w:val="00DE01A4"/>
    <w:rsid w:val="00DE035F"/>
    <w:rsid w:val="00DE3E40"/>
    <w:rsid w:val="00DE4597"/>
    <w:rsid w:val="00DE643F"/>
    <w:rsid w:val="00DF6840"/>
    <w:rsid w:val="00DF7D63"/>
    <w:rsid w:val="00E010AB"/>
    <w:rsid w:val="00E015AD"/>
    <w:rsid w:val="00E0233F"/>
    <w:rsid w:val="00E02678"/>
    <w:rsid w:val="00E050EC"/>
    <w:rsid w:val="00E06262"/>
    <w:rsid w:val="00E0748A"/>
    <w:rsid w:val="00E128A9"/>
    <w:rsid w:val="00E143DA"/>
    <w:rsid w:val="00E14BA3"/>
    <w:rsid w:val="00E14F9C"/>
    <w:rsid w:val="00E15864"/>
    <w:rsid w:val="00E16744"/>
    <w:rsid w:val="00E23081"/>
    <w:rsid w:val="00E24CDE"/>
    <w:rsid w:val="00E25953"/>
    <w:rsid w:val="00E27F5A"/>
    <w:rsid w:val="00E32BEA"/>
    <w:rsid w:val="00E32F5B"/>
    <w:rsid w:val="00E3799F"/>
    <w:rsid w:val="00E37DA2"/>
    <w:rsid w:val="00E4121B"/>
    <w:rsid w:val="00E42FA4"/>
    <w:rsid w:val="00E43ACF"/>
    <w:rsid w:val="00E43B5E"/>
    <w:rsid w:val="00E449C2"/>
    <w:rsid w:val="00E45864"/>
    <w:rsid w:val="00E4622C"/>
    <w:rsid w:val="00E47F40"/>
    <w:rsid w:val="00E51FFB"/>
    <w:rsid w:val="00E52DD3"/>
    <w:rsid w:val="00E5471E"/>
    <w:rsid w:val="00E558A4"/>
    <w:rsid w:val="00E576D9"/>
    <w:rsid w:val="00E6106E"/>
    <w:rsid w:val="00E63C4F"/>
    <w:rsid w:val="00E65C76"/>
    <w:rsid w:val="00E65EA1"/>
    <w:rsid w:val="00E6605D"/>
    <w:rsid w:val="00E6611F"/>
    <w:rsid w:val="00E9168B"/>
    <w:rsid w:val="00E91A28"/>
    <w:rsid w:val="00E923A0"/>
    <w:rsid w:val="00E9265B"/>
    <w:rsid w:val="00E95253"/>
    <w:rsid w:val="00E95569"/>
    <w:rsid w:val="00E96A5A"/>
    <w:rsid w:val="00E96DCF"/>
    <w:rsid w:val="00E978F3"/>
    <w:rsid w:val="00E97F8B"/>
    <w:rsid w:val="00EA1CB1"/>
    <w:rsid w:val="00EA6125"/>
    <w:rsid w:val="00EB6FE8"/>
    <w:rsid w:val="00EC0435"/>
    <w:rsid w:val="00EC7180"/>
    <w:rsid w:val="00ED10C4"/>
    <w:rsid w:val="00ED209D"/>
    <w:rsid w:val="00ED418D"/>
    <w:rsid w:val="00ED46C4"/>
    <w:rsid w:val="00ED5F88"/>
    <w:rsid w:val="00ED664B"/>
    <w:rsid w:val="00ED7359"/>
    <w:rsid w:val="00ED7C2E"/>
    <w:rsid w:val="00EE5111"/>
    <w:rsid w:val="00EE5D21"/>
    <w:rsid w:val="00EF157F"/>
    <w:rsid w:val="00EF2730"/>
    <w:rsid w:val="00EF28D7"/>
    <w:rsid w:val="00EF5550"/>
    <w:rsid w:val="00F01D63"/>
    <w:rsid w:val="00F03786"/>
    <w:rsid w:val="00F03AB8"/>
    <w:rsid w:val="00F05D09"/>
    <w:rsid w:val="00F05E37"/>
    <w:rsid w:val="00F07897"/>
    <w:rsid w:val="00F07EF7"/>
    <w:rsid w:val="00F112AC"/>
    <w:rsid w:val="00F130AD"/>
    <w:rsid w:val="00F14FEA"/>
    <w:rsid w:val="00F2002D"/>
    <w:rsid w:val="00F21925"/>
    <w:rsid w:val="00F22093"/>
    <w:rsid w:val="00F227E8"/>
    <w:rsid w:val="00F24647"/>
    <w:rsid w:val="00F26374"/>
    <w:rsid w:val="00F26A9F"/>
    <w:rsid w:val="00F30DE4"/>
    <w:rsid w:val="00F31CE2"/>
    <w:rsid w:val="00F331B5"/>
    <w:rsid w:val="00F34AF9"/>
    <w:rsid w:val="00F40F78"/>
    <w:rsid w:val="00F41E62"/>
    <w:rsid w:val="00F45725"/>
    <w:rsid w:val="00F47B58"/>
    <w:rsid w:val="00F47BED"/>
    <w:rsid w:val="00F53521"/>
    <w:rsid w:val="00F53991"/>
    <w:rsid w:val="00F61722"/>
    <w:rsid w:val="00F617C6"/>
    <w:rsid w:val="00F6208E"/>
    <w:rsid w:val="00F66A33"/>
    <w:rsid w:val="00F66F7C"/>
    <w:rsid w:val="00F67569"/>
    <w:rsid w:val="00F70BA5"/>
    <w:rsid w:val="00F71818"/>
    <w:rsid w:val="00F73842"/>
    <w:rsid w:val="00F73B39"/>
    <w:rsid w:val="00F74981"/>
    <w:rsid w:val="00F75C04"/>
    <w:rsid w:val="00F81F50"/>
    <w:rsid w:val="00F90692"/>
    <w:rsid w:val="00F94B29"/>
    <w:rsid w:val="00F95772"/>
    <w:rsid w:val="00FA0846"/>
    <w:rsid w:val="00FA27ED"/>
    <w:rsid w:val="00FB2CA2"/>
    <w:rsid w:val="00FB4289"/>
    <w:rsid w:val="00FB5140"/>
    <w:rsid w:val="00FC0149"/>
    <w:rsid w:val="00FC1824"/>
    <w:rsid w:val="00FC2985"/>
    <w:rsid w:val="00FC2CD5"/>
    <w:rsid w:val="00FC7254"/>
    <w:rsid w:val="00FD008B"/>
    <w:rsid w:val="00FD0E0E"/>
    <w:rsid w:val="00FD103A"/>
    <w:rsid w:val="00FD12A2"/>
    <w:rsid w:val="00FD21A4"/>
    <w:rsid w:val="00FD424D"/>
    <w:rsid w:val="00FD51F4"/>
    <w:rsid w:val="00FD5803"/>
    <w:rsid w:val="00FE0380"/>
    <w:rsid w:val="00FE2CE3"/>
    <w:rsid w:val="00FE2CF0"/>
    <w:rsid w:val="00FE3E47"/>
    <w:rsid w:val="00FE7F11"/>
    <w:rsid w:val="00FF20D4"/>
    <w:rsid w:val="00FF2AF6"/>
    <w:rsid w:val="00FF3F44"/>
    <w:rsid w:val="00FF49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9636329"/>
  <w15:docId w15:val="{E38CB354-E43D-4632-8D6B-ECC6BDBDA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2A5F"/>
    <w:rPr>
      <w:sz w:val="24"/>
      <w:szCs w:val="24"/>
      <w:lang w:eastAsia="en-US"/>
    </w:rPr>
  </w:style>
  <w:style w:type="paragraph" w:styleId="Heading1">
    <w:name w:val="heading 1"/>
    <w:basedOn w:val="Normal"/>
    <w:next w:val="NICEnormal"/>
    <w:link w:val="Heading1Char"/>
    <w:qFormat/>
    <w:rsid w:val="00F81F50"/>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F81F50"/>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qFormat/>
    <w:rsid w:val="00756580"/>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rsid w:val="00FA0846"/>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857CDD"/>
    <w:pPr>
      <w:spacing w:after="240" w:line="360" w:lineRule="auto"/>
    </w:pPr>
    <w:rPr>
      <w:rFonts w:ascii="Arial" w:hAnsi="Arial"/>
      <w:sz w:val="24"/>
      <w:szCs w:val="24"/>
      <w:lang w:eastAsia="en-US"/>
    </w:rPr>
  </w:style>
  <w:style w:type="character" w:customStyle="1" w:styleId="NICEnormalChar">
    <w:name w:val="NICE normal Char"/>
    <w:link w:val="NICEnormal"/>
    <w:rsid w:val="00857CDD"/>
    <w:rPr>
      <w:rFonts w:ascii="Arial" w:hAnsi="Arial"/>
      <w:sz w:val="24"/>
      <w:szCs w:val="24"/>
      <w:lang w:val="en-GB" w:eastAsia="en-US" w:bidi="ar-SA"/>
    </w:rPr>
  </w:style>
  <w:style w:type="character" w:customStyle="1" w:styleId="Heading1Char">
    <w:name w:val="Heading 1 Char"/>
    <w:link w:val="Heading1"/>
    <w:rsid w:val="00F81F50"/>
    <w:rPr>
      <w:rFonts w:ascii="Arial" w:hAnsi="Arial" w:cs="Arial"/>
      <w:b/>
      <w:bCs/>
      <w:kern w:val="32"/>
      <w:sz w:val="32"/>
      <w:szCs w:val="32"/>
      <w:lang w:eastAsia="en-US"/>
    </w:rPr>
  </w:style>
  <w:style w:type="character" w:customStyle="1" w:styleId="Heading2Char">
    <w:name w:val="Heading 2 Char"/>
    <w:link w:val="Heading2"/>
    <w:rsid w:val="00F81F50"/>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customStyle="1" w:styleId="Title2">
    <w:name w:val="Title 2"/>
    <w:basedOn w:val="Normal"/>
    <w:rsid w:val="00133921"/>
    <w:pPr>
      <w:keepNext/>
      <w:spacing w:before="240" w:after="240"/>
      <w:jc w:val="center"/>
      <w:outlineLvl w:val="0"/>
    </w:pPr>
    <w:rPr>
      <w:rFonts w:ascii="Arial" w:hAnsi="Arial" w:cs="Arial"/>
      <w:b/>
      <w:bCs/>
      <w:kern w:val="28"/>
      <w:sz w:val="32"/>
      <w:szCs w:val="32"/>
    </w:rPr>
  </w:style>
  <w:style w:type="paragraph" w:customStyle="1" w:styleId="Numberedheading1">
    <w:name w:val="Numbered heading 1"/>
    <w:basedOn w:val="Heading1"/>
    <w:next w:val="NICEnormal"/>
    <w:link w:val="Numberedheading1CharChar"/>
    <w:rsid w:val="00F81F50"/>
    <w:pPr>
      <w:numPr>
        <w:numId w:val="24"/>
      </w:numPr>
    </w:pPr>
    <w:rPr>
      <w:szCs w:val="24"/>
    </w:rPr>
  </w:style>
  <w:style w:type="character" w:customStyle="1" w:styleId="Numberedheading1CharChar">
    <w:name w:val="Numbered heading 1 Char Char"/>
    <w:link w:val="Numberedheading1"/>
    <w:rsid w:val="00F81F50"/>
    <w:rPr>
      <w:rFonts w:ascii="Arial" w:hAnsi="Arial" w:cs="Arial"/>
      <w:b/>
      <w:bCs/>
      <w:kern w:val="32"/>
      <w:sz w:val="32"/>
      <w:szCs w:val="24"/>
      <w:lang w:eastAsia="en-US"/>
    </w:rPr>
  </w:style>
  <w:style w:type="paragraph" w:customStyle="1" w:styleId="Bulletindent2">
    <w:name w:val="Bullet indent 2"/>
    <w:basedOn w:val="NICEnormal"/>
    <w:rsid w:val="00D3612A"/>
    <w:pPr>
      <w:numPr>
        <w:ilvl w:val="1"/>
        <w:numId w:val="4"/>
      </w:numPr>
      <w:spacing w:after="0"/>
      <w:ind w:left="1702" w:hanging="284"/>
    </w:pPr>
  </w:style>
  <w:style w:type="paragraph" w:customStyle="1" w:styleId="Bulletleft1">
    <w:name w:val="Bullet left 1"/>
    <w:basedOn w:val="NICEnormal"/>
    <w:qFormat/>
    <w:rsid w:val="00D37F25"/>
    <w:pPr>
      <w:numPr>
        <w:numId w:val="7"/>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link w:val="Bulletindent1Char"/>
    <w:rsid w:val="00D3612A"/>
    <w:pPr>
      <w:numPr>
        <w:numId w:val="6"/>
      </w:numPr>
      <w:spacing w:after="0"/>
    </w:pPr>
  </w:style>
  <w:style w:type="character" w:customStyle="1" w:styleId="Bulletindent1Char">
    <w:name w:val="Bullet indent 1 Char"/>
    <w:link w:val="Bulletindent1"/>
    <w:rsid w:val="000069F9"/>
    <w:rPr>
      <w:rFonts w:ascii="Arial" w:hAnsi="Arial"/>
      <w:sz w:val="24"/>
      <w:szCs w:val="24"/>
      <w:lang w:eastAsia="en-US"/>
    </w:rPr>
  </w:style>
  <w:style w:type="paragraph" w:customStyle="1" w:styleId="Bulletindent3">
    <w:name w:val="Bullet indent 3"/>
    <w:basedOn w:val="NICEnormal"/>
    <w:rsid w:val="00D3612A"/>
    <w:pPr>
      <w:numPr>
        <w:ilvl w:val="2"/>
        <w:numId w:val="5"/>
      </w:numPr>
      <w:spacing w:after="0"/>
    </w:pPr>
  </w:style>
  <w:style w:type="paragraph" w:customStyle="1" w:styleId="Numberedlevel2text">
    <w:name w:val="Numbered level 2 text"/>
    <w:basedOn w:val="Normal"/>
    <w:link w:val="Numberedlevel2textChar"/>
    <w:qFormat/>
    <w:rsid w:val="00DD323F"/>
    <w:pPr>
      <w:numPr>
        <w:ilvl w:val="1"/>
        <w:numId w:val="24"/>
      </w:numPr>
      <w:spacing w:after="240" w:line="360" w:lineRule="auto"/>
    </w:pPr>
    <w:rPr>
      <w:rFonts w:ascii="Arial" w:hAnsi="Arial"/>
      <w:bCs/>
      <w:iCs/>
      <w:szCs w:val="28"/>
      <w:lang w:val="x-none"/>
    </w:rPr>
  </w:style>
  <w:style w:type="character" w:customStyle="1" w:styleId="Numberedlevel2textChar">
    <w:name w:val="Numbered level 2 text Char"/>
    <w:link w:val="Numberedlevel2text"/>
    <w:rsid w:val="00DD323F"/>
    <w:rPr>
      <w:rFonts w:ascii="Arial" w:hAnsi="Arial"/>
      <w:bCs/>
      <w:iCs/>
      <w:sz w:val="24"/>
      <w:szCs w:val="28"/>
      <w:lang w:val="x-none" w:eastAsia="en-US"/>
    </w:rPr>
  </w:style>
  <w:style w:type="paragraph" w:customStyle="1" w:styleId="Bulletleft1last">
    <w:name w:val="Bullet left 1 last"/>
    <w:basedOn w:val="NICEnormal"/>
    <w:link w:val="Bulletleft1lastChar"/>
    <w:rsid w:val="00953ADF"/>
    <w:pPr>
      <w:numPr>
        <w:numId w:val="8"/>
      </w:numPr>
    </w:pPr>
    <w:rPr>
      <w:rFonts w:cs="Arial"/>
    </w:rPr>
  </w:style>
  <w:style w:type="character" w:customStyle="1" w:styleId="Bulletleft1lastChar">
    <w:name w:val="Bullet left 1 last Char"/>
    <w:link w:val="Bulletleft1last"/>
    <w:rsid w:val="00A17C0A"/>
    <w:rPr>
      <w:rFonts w:ascii="Arial" w:hAnsi="Arial" w:cs="Arial"/>
      <w:sz w:val="24"/>
      <w:szCs w:val="24"/>
      <w:lang w:eastAsia="en-US"/>
    </w:rPr>
  </w:style>
  <w:style w:type="paragraph" w:styleId="Header">
    <w:name w:val="header"/>
    <w:basedOn w:val="NICEnormalsinglespacing"/>
    <w:rsid w:val="0053387C"/>
    <w:pPr>
      <w:tabs>
        <w:tab w:val="center" w:pos="4153"/>
        <w:tab w:val="right" w:pos="8306"/>
      </w:tabs>
    </w:pPr>
  </w:style>
  <w:style w:type="paragraph" w:styleId="Footer">
    <w:name w:val="footer"/>
    <w:basedOn w:val="NICEnormalsinglespacing"/>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953ADF"/>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rsid w:val="00F81F50"/>
    <w:pPr>
      <w:keepNext/>
      <w:spacing w:after="60"/>
    </w:pPr>
    <w:rPr>
      <w:sz w:val="22"/>
    </w:rPr>
  </w:style>
  <w:style w:type="paragraph" w:styleId="BalloonText">
    <w:name w:val="Balloon Text"/>
    <w:basedOn w:val="Normal"/>
    <w:semiHidden/>
    <w:rsid w:val="00F130AD"/>
    <w:rPr>
      <w:rFonts w:ascii="Tahoma" w:hAnsi="Tahoma" w:cs="Tahoma"/>
      <w:sz w:val="16"/>
      <w:szCs w:val="16"/>
    </w:rPr>
  </w:style>
  <w:style w:type="character" w:styleId="CommentReference">
    <w:name w:val="annotation reference"/>
    <w:rsid w:val="00F130AD"/>
    <w:rPr>
      <w:sz w:val="16"/>
      <w:szCs w:val="16"/>
    </w:rPr>
  </w:style>
  <w:style w:type="paragraph" w:styleId="CommentText">
    <w:name w:val="annotation text"/>
    <w:basedOn w:val="Normal"/>
    <w:link w:val="CommentTextChar"/>
    <w:rsid w:val="00F130AD"/>
    <w:rPr>
      <w:sz w:val="20"/>
      <w:szCs w:val="20"/>
      <w:lang w:val="x-none"/>
    </w:rPr>
  </w:style>
  <w:style w:type="character" w:customStyle="1" w:styleId="CommentTextChar">
    <w:name w:val="Comment Text Char"/>
    <w:link w:val="CommentText"/>
    <w:rsid w:val="000711F1"/>
    <w:rPr>
      <w:lang w:eastAsia="en-US"/>
    </w:rPr>
  </w:style>
  <w:style w:type="paragraph" w:styleId="CommentSubject">
    <w:name w:val="annotation subject"/>
    <w:basedOn w:val="CommentText"/>
    <w:next w:val="CommentText"/>
    <w:semiHidden/>
    <w:rsid w:val="00F130AD"/>
    <w:rPr>
      <w:b/>
      <w:bCs/>
    </w:rPr>
  </w:style>
  <w:style w:type="character" w:styleId="Hyperlink">
    <w:name w:val="Hyperlink"/>
    <w:rsid w:val="00952C90"/>
    <w:rPr>
      <w:color w:val="0000FF"/>
      <w:u w:val="single"/>
    </w:rPr>
  </w:style>
  <w:style w:type="paragraph" w:customStyle="1" w:styleId="Title1">
    <w:name w:val="Title 1"/>
    <w:basedOn w:val="Normal"/>
    <w:qFormat/>
    <w:rsid w:val="00133921"/>
    <w:pPr>
      <w:keepNext/>
      <w:spacing w:before="240" w:after="240"/>
      <w:jc w:val="center"/>
      <w:outlineLvl w:val="0"/>
    </w:pPr>
    <w:rPr>
      <w:rFonts w:ascii="Arial" w:hAnsi="Arial" w:cs="Arial"/>
      <w:b/>
      <w:bCs/>
      <w:kern w:val="28"/>
      <w:sz w:val="40"/>
      <w:szCs w:val="32"/>
    </w:rPr>
  </w:style>
  <w:style w:type="paragraph" w:customStyle="1" w:styleId="Guidanceissuedate">
    <w:name w:val="Guidance issue date"/>
    <w:basedOn w:val="NICEnormal"/>
    <w:qFormat/>
    <w:rsid w:val="00034110"/>
    <w:rPr>
      <w:lang w:val="en-US"/>
    </w:rPr>
  </w:style>
  <w:style w:type="paragraph" w:customStyle="1" w:styleId="Documentissuedate">
    <w:name w:val="Document issue date"/>
    <w:basedOn w:val="NICEnormal"/>
    <w:qFormat/>
    <w:rsid w:val="00034110"/>
    <w:rPr>
      <w:lang w:val="en-US"/>
    </w:rPr>
  </w:style>
  <w:style w:type="table" w:styleId="TableGrid">
    <w:name w:val="Table Grid"/>
    <w:basedOn w:val="TableNormal"/>
    <w:rsid w:val="00C76D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9A3D97"/>
    <w:rPr>
      <w:color w:val="800080"/>
      <w:u w:val="single"/>
    </w:rPr>
  </w:style>
  <w:style w:type="paragraph" w:styleId="FootnoteText">
    <w:name w:val="footnote text"/>
    <w:basedOn w:val="Normal"/>
    <w:link w:val="FootnoteTextChar"/>
    <w:rsid w:val="00ED46C4"/>
    <w:rPr>
      <w:sz w:val="20"/>
      <w:szCs w:val="20"/>
    </w:rPr>
  </w:style>
  <w:style w:type="character" w:customStyle="1" w:styleId="FootnoteTextChar">
    <w:name w:val="Footnote Text Char"/>
    <w:link w:val="FootnoteText"/>
    <w:rsid w:val="00ED46C4"/>
    <w:rPr>
      <w:lang w:eastAsia="en-US"/>
    </w:rPr>
  </w:style>
  <w:style w:type="character" w:styleId="FootnoteReference">
    <w:name w:val="footnote reference"/>
    <w:rsid w:val="00ED46C4"/>
    <w:rPr>
      <w:vertAlign w:val="superscript"/>
    </w:rPr>
  </w:style>
  <w:style w:type="paragraph" w:styleId="Revision">
    <w:name w:val="Revision"/>
    <w:hidden/>
    <w:uiPriority w:val="99"/>
    <w:semiHidden/>
    <w:rsid w:val="002119CD"/>
    <w:rPr>
      <w:sz w:val="24"/>
      <w:szCs w:val="24"/>
      <w:lang w:eastAsia="en-US"/>
    </w:rPr>
  </w:style>
  <w:style w:type="character" w:customStyle="1" w:styleId="Heading3Char">
    <w:name w:val="Heading 3 Char"/>
    <w:basedOn w:val="DefaultParagraphFont"/>
    <w:link w:val="Heading3"/>
    <w:rsid w:val="007B032C"/>
    <w:rPr>
      <w:rFonts w:ascii="Arial" w:hAnsi="Arial" w:cs="Arial"/>
      <w:b/>
      <w:bCs/>
      <w:sz w:val="26"/>
      <w:szCs w:val="26"/>
      <w:lang w:eastAsia="en-US"/>
    </w:rPr>
  </w:style>
  <w:style w:type="character" w:styleId="PlaceholderText">
    <w:name w:val="Placeholder Text"/>
    <w:basedOn w:val="DefaultParagraphFont"/>
    <w:uiPriority w:val="99"/>
    <w:semiHidden/>
    <w:rsid w:val="009D783B"/>
    <w:rPr>
      <w:color w:val="808080"/>
    </w:rPr>
  </w:style>
  <w:style w:type="paragraph" w:styleId="ListParagraph">
    <w:name w:val="List Paragraph"/>
    <w:basedOn w:val="Normal"/>
    <w:uiPriority w:val="34"/>
    <w:qFormat/>
    <w:rsid w:val="00665734"/>
    <w:pPr>
      <w:ind w:left="720"/>
      <w:contextualSpacing/>
    </w:pPr>
    <w:rPr>
      <w:lang w:eastAsia="en-GB"/>
    </w:rPr>
  </w:style>
  <w:style w:type="character" w:styleId="UnresolvedMention">
    <w:name w:val="Unresolved Mention"/>
    <w:basedOn w:val="DefaultParagraphFont"/>
    <w:uiPriority w:val="99"/>
    <w:semiHidden/>
    <w:unhideWhenUsed/>
    <w:rsid w:val="00D019BA"/>
    <w:rPr>
      <w:color w:val="605E5C"/>
      <w:shd w:val="clear" w:color="auto" w:fill="E1DFDD"/>
    </w:rPr>
  </w:style>
  <w:style w:type="paragraph" w:styleId="Caption">
    <w:name w:val="caption"/>
    <w:basedOn w:val="NICEnormal"/>
    <w:next w:val="NICEnormal"/>
    <w:unhideWhenUsed/>
    <w:qFormat/>
    <w:rsid w:val="00F81F50"/>
    <w:pPr>
      <w:keepNext/>
      <w:spacing w:after="200"/>
    </w:pPr>
    <w:rPr>
      <w:b/>
      <w:bCs/>
      <w:iCs/>
      <w:szCs w:val="18"/>
    </w:rPr>
  </w:style>
  <w:style w:type="paragraph" w:customStyle="1" w:styleId="Numberedheading2">
    <w:name w:val="Numbered heading 2"/>
    <w:basedOn w:val="Heading2"/>
    <w:next w:val="NICEnormal"/>
    <w:link w:val="Numberedheading2Char"/>
    <w:rsid w:val="00F81F50"/>
  </w:style>
  <w:style w:type="character" w:customStyle="1" w:styleId="Numberedheading2Char">
    <w:name w:val="Numbered heading 2 Char"/>
    <w:basedOn w:val="Heading2Char"/>
    <w:link w:val="Numberedheading2"/>
    <w:rsid w:val="00F81F50"/>
    <w:rPr>
      <w:rFonts w:ascii="Arial" w:hAnsi="Arial" w:cs="Arial"/>
      <w:b/>
      <w:bCs/>
      <w:sz w:val="28"/>
      <w:szCs w:val="28"/>
      <w:lang w:eastAsia="en-US"/>
    </w:rPr>
  </w:style>
  <w:style w:type="table" w:customStyle="1" w:styleId="PanelDefault">
    <w:name w:val="Panel (Default)"/>
    <w:basedOn w:val="TableNormal"/>
    <w:uiPriority w:val="99"/>
    <w:rsid w:val="00A36EC5"/>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A36EC5"/>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table" w:customStyle="1" w:styleId="PanelPrimary">
    <w:name w:val="Panel (Primary)"/>
    <w:basedOn w:val="TableNormal"/>
    <w:uiPriority w:val="99"/>
    <w:rsid w:val="00756580"/>
    <w:pPr>
      <w:spacing w:after="240"/>
    </w:pPr>
    <w:tblPr>
      <w:tblBorders>
        <w:top w:val="single" w:sz="24" w:space="0" w:color="A2BDC1"/>
        <w:left w:val="single" w:sz="24" w:space="0" w:color="A2BDC1"/>
        <w:bottom w:val="single" w:sz="24" w:space="0" w:color="A2BDC1"/>
        <w:right w:val="single" w:sz="24" w:space="0" w:color="A2BDC1"/>
      </w:tblBorders>
    </w:tblPr>
  </w:style>
  <w:style w:type="paragraph" w:customStyle="1" w:styleId="Panelbullet1">
    <w:name w:val="Panel bullet 1"/>
    <w:basedOn w:val="ListParagraph"/>
    <w:qFormat/>
    <w:rsid w:val="00A36EC5"/>
    <w:pPr>
      <w:numPr>
        <w:numId w:val="25"/>
      </w:numPr>
      <w:tabs>
        <w:tab w:val="num" w:pos="360"/>
        <w:tab w:val="num" w:pos="1134"/>
      </w:tabs>
    </w:pPr>
    <w:rPr>
      <w:rFonts w:ascii="Arial" w:hAnsi="Arial"/>
      <w:lang w:eastAsia="en-US"/>
    </w:rPr>
  </w:style>
  <w:style w:type="paragraph" w:customStyle="1" w:styleId="Panelhyperlink">
    <w:name w:val="Panel hyperlink"/>
    <w:basedOn w:val="NICEnormal"/>
    <w:next w:val="NICEnormal"/>
    <w:qFormat/>
    <w:rsid w:val="00A36EC5"/>
    <w:rPr>
      <w:color w:val="FFFFFF" w:themeColor="background1"/>
      <w:u w:val="single"/>
    </w:rPr>
  </w:style>
  <w:style w:type="paragraph" w:styleId="Quote">
    <w:name w:val="Quote"/>
    <w:basedOn w:val="NICEnormal"/>
    <w:next w:val="NICEnormal"/>
    <w:link w:val="QuoteChar"/>
    <w:uiPriority w:val="29"/>
    <w:qFormat/>
    <w:rsid w:val="00F81F50"/>
    <w:pPr>
      <w:spacing w:before="200" w:after="160"/>
      <w:ind w:left="864" w:right="864"/>
      <w:jc w:val="center"/>
    </w:pPr>
    <w:rPr>
      <w:iCs/>
    </w:rPr>
  </w:style>
  <w:style w:type="character" w:customStyle="1" w:styleId="QuoteChar">
    <w:name w:val="Quote Char"/>
    <w:basedOn w:val="DefaultParagraphFont"/>
    <w:link w:val="Quote"/>
    <w:uiPriority w:val="29"/>
    <w:rsid w:val="00F81F50"/>
    <w:rPr>
      <w:rFonts w:ascii="Arial" w:hAnsi="Arial"/>
      <w:iCs/>
      <w:sz w:val="24"/>
      <w:szCs w:val="24"/>
      <w:lang w:eastAsia="en-US"/>
    </w:rPr>
  </w:style>
  <w:style w:type="paragraph" w:customStyle="1" w:styleId="Tableheading">
    <w:name w:val="Table heading"/>
    <w:basedOn w:val="Tabletext"/>
    <w:qFormat/>
    <w:rsid w:val="00F81F50"/>
    <w:rPr>
      <w:b/>
    </w:rPr>
  </w:style>
  <w:style w:type="paragraph" w:customStyle="1" w:styleId="Tablebullet">
    <w:name w:val="Table bullet"/>
    <w:basedOn w:val="Tabletext"/>
    <w:qFormat/>
    <w:rsid w:val="00F81F50"/>
    <w:pPr>
      <w:numPr>
        <w:numId w:val="23"/>
      </w:numPr>
    </w:pPr>
  </w:style>
  <w:style w:type="paragraph" w:customStyle="1" w:styleId="Section412paragraphs">
    <w:name w:val="Section 4.1.2 paragraphs"/>
    <w:basedOn w:val="NICEnormal"/>
    <w:rsid w:val="00FB5140"/>
    <w:pPr>
      <w:numPr>
        <w:numId w:val="26"/>
      </w:numPr>
    </w:pPr>
  </w:style>
  <w:style w:type="paragraph" w:customStyle="1" w:styleId="Bullets">
    <w:name w:val="Bullets"/>
    <w:basedOn w:val="Normal"/>
    <w:uiPriority w:val="5"/>
    <w:qFormat/>
    <w:rsid w:val="004B063F"/>
    <w:pPr>
      <w:spacing w:after="120" w:line="276" w:lineRule="auto"/>
      <w:ind w:left="1134" w:hanging="454"/>
    </w:pPr>
    <w:rPr>
      <w:rFonts w:ascii="Arial" w:hAnsi="Arial"/>
      <w:lang w:eastAsia="en-GB"/>
    </w:rPr>
  </w:style>
  <w:style w:type="paragraph" w:customStyle="1" w:styleId="Paragraphnonumbers">
    <w:name w:val="Paragraph no numbers"/>
    <w:basedOn w:val="Normal"/>
    <w:uiPriority w:val="99"/>
    <w:qFormat/>
    <w:rsid w:val="004B063F"/>
    <w:pPr>
      <w:spacing w:after="240" w:line="276" w:lineRule="auto"/>
    </w:pPr>
    <w:rPr>
      <w:rFonts w:ascii="Arial" w:hAnsi="Arial"/>
      <w:lang w:eastAsia="en-GB"/>
    </w:rPr>
  </w:style>
  <w:style w:type="character" w:customStyle="1" w:styleId="NICEnormalChar1">
    <w:name w:val="NICE normal Char1"/>
    <w:rsid w:val="00D61945"/>
    <w:rPr>
      <w:rFonts w:ascii="Arial" w:hAnsi="Arial"/>
      <w:sz w:val="24"/>
      <w:szCs w:val="24"/>
      <w:lang w:val="en-US" w:eastAsia="en-US"/>
    </w:rPr>
  </w:style>
  <w:style w:type="paragraph" w:customStyle="1" w:styleId="Numberedheading3">
    <w:name w:val="Numbered heading 3"/>
    <w:basedOn w:val="Heading3"/>
    <w:next w:val="NICEnormal"/>
    <w:rsid w:val="00D61945"/>
    <w:pPr>
      <w:tabs>
        <w:tab w:val="num" w:pos="1417"/>
      </w:tabs>
      <w:ind w:left="1417" w:hanging="1134"/>
    </w:pPr>
    <w:rPr>
      <w:szCs w:val="24"/>
      <w:lang w:eastAsia="en-GB"/>
    </w:rPr>
  </w:style>
  <w:style w:type="paragraph" w:customStyle="1" w:styleId="Numberedlevel4text">
    <w:name w:val="Numbered level 4 text"/>
    <w:basedOn w:val="NICEnormal"/>
    <w:next w:val="NICEnormal"/>
    <w:rsid w:val="00D61945"/>
    <w:pPr>
      <w:tabs>
        <w:tab w:val="num" w:pos="1134"/>
      </w:tabs>
      <w:ind w:left="1134" w:hanging="1134"/>
    </w:pPr>
    <w:rPr>
      <w:lang w:val="en-US"/>
    </w:rPr>
  </w:style>
  <w:style w:type="paragraph" w:styleId="BodyText">
    <w:name w:val="Body Text"/>
    <w:basedOn w:val="Normal"/>
    <w:link w:val="BodyTextChar"/>
    <w:unhideWhenUsed/>
    <w:rsid w:val="00D61945"/>
    <w:pPr>
      <w:spacing w:after="120"/>
    </w:pPr>
    <w:rPr>
      <w:lang w:eastAsia="en-GB"/>
    </w:rPr>
  </w:style>
  <w:style w:type="character" w:customStyle="1" w:styleId="BodyTextChar">
    <w:name w:val="Body Text Char"/>
    <w:basedOn w:val="DefaultParagraphFont"/>
    <w:link w:val="BodyText"/>
    <w:rsid w:val="00D61945"/>
    <w:rPr>
      <w:sz w:val="24"/>
      <w:szCs w:val="24"/>
    </w:rPr>
  </w:style>
  <w:style w:type="character" w:customStyle="1" w:styleId="cf01">
    <w:name w:val="cf01"/>
    <w:basedOn w:val="DefaultParagraphFont"/>
    <w:rsid w:val="00B87929"/>
    <w:rPr>
      <w:rFonts w:ascii="Segoe UI" w:hAnsi="Segoe UI" w:cs="Segoe UI" w:hint="default"/>
      <w:sz w:val="18"/>
      <w:szCs w:val="18"/>
    </w:rPr>
  </w:style>
  <w:style w:type="paragraph" w:styleId="NormalWeb">
    <w:name w:val="Normal (Web)"/>
    <w:basedOn w:val="Normal"/>
    <w:uiPriority w:val="99"/>
    <w:unhideWhenUsed/>
    <w:rsid w:val="00454D14"/>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2495">
      <w:bodyDiv w:val="1"/>
      <w:marLeft w:val="0"/>
      <w:marRight w:val="0"/>
      <w:marTop w:val="0"/>
      <w:marBottom w:val="0"/>
      <w:divBdr>
        <w:top w:val="none" w:sz="0" w:space="0" w:color="auto"/>
        <w:left w:val="none" w:sz="0" w:space="0" w:color="auto"/>
        <w:bottom w:val="none" w:sz="0" w:space="0" w:color="auto"/>
        <w:right w:val="none" w:sz="0" w:space="0" w:color="auto"/>
      </w:divBdr>
    </w:div>
    <w:div w:id="172837783">
      <w:bodyDiv w:val="1"/>
      <w:marLeft w:val="0"/>
      <w:marRight w:val="0"/>
      <w:marTop w:val="0"/>
      <w:marBottom w:val="0"/>
      <w:divBdr>
        <w:top w:val="none" w:sz="0" w:space="0" w:color="auto"/>
        <w:left w:val="none" w:sz="0" w:space="0" w:color="auto"/>
        <w:bottom w:val="none" w:sz="0" w:space="0" w:color="auto"/>
        <w:right w:val="none" w:sz="0" w:space="0" w:color="auto"/>
      </w:divBdr>
    </w:div>
    <w:div w:id="278879942">
      <w:bodyDiv w:val="1"/>
      <w:marLeft w:val="0"/>
      <w:marRight w:val="0"/>
      <w:marTop w:val="0"/>
      <w:marBottom w:val="0"/>
      <w:divBdr>
        <w:top w:val="none" w:sz="0" w:space="0" w:color="auto"/>
        <w:left w:val="none" w:sz="0" w:space="0" w:color="auto"/>
        <w:bottom w:val="none" w:sz="0" w:space="0" w:color="auto"/>
        <w:right w:val="none" w:sz="0" w:space="0" w:color="auto"/>
      </w:divBdr>
    </w:div>
    <w:div w:id="300384186">
      <w:bodyDiv w:val="1"/>
      <w:marLeft w:val="0"/>
      <w:marRight w:val="0"/>
      <w:marTop w:val="0"/>
      <w:marBottom w:val="0"/>
      <w:divBdr>
        <w:top w:val="none" w:sz="0" w:space="0" w:color="auto"/>
        <w:left w:val="none" w:sz="0" w:space="0" w:color="auto"/>
        <w:bottom w:val="none" w:sz="0" w:space="0" w:color="auto"/>
        <w:right w:val="none" w:sz="0" w:space="0" w:color="auto"/>
      </w:divBdr>
    </w:div>
    <w:div w:id="417409433">
      <w:bodyDiv w:val="1"/>
      <w:marLeft w:val="0"/>
      <w:marRight w:val="0"/>
      <w:marTop w:val="0"/>
      <w:marBottom w:val="0"/>
      <w:divBdr>
        <w:top w:val="none" w:sz="0" w:space="0" w:color="auto"/>
        <w:left w:val="none" w:sz="0" w:space="0" w:color="auto"/>
        <w:bottom w:val="none" w:sz="0" w:space="0" w:color="auto"/>
        <w:right w:val="none" w:sz="0" w:space="0" w:color="auto"/>
      </w:divBdr>
    </w:div>
    <w:div w:id="596138938">
      <w:bodyDiv w:val="1"/>
      <w:marLeft w:val="0"/>
      <w:marRight w:val="0"/>
      <w:marTop w:val="0"/>
      <w:marBottom w:val="0"/>
      <w:divBdr>
        <w:top w:val="none" w:sz="0" w:space="0" w:color="auto"/>
        <w:left w:val="none" w:sz="0" w:space="0" w:color="auto"/>
        <w:bottom w:val="none" w:sz="0" w:space="0" w:color="auto"/>
        <w:right w:val="none" w:sz="0" w:space="0" w:color="auto"/>
      </w:divBdr>
      <w:divsChild>
        <w:div w:id="1380282083">
          <w:marLeft w:val="360"/>
          <w:marRight w:val="0"/>
          <w:marTop w:val="200"/>
          <w:marBottom w:val="0"/>
          <w:divBdr>
            <w:top w:val="none" w:sz="0" w:space="0" w:color="auto"/>
            <w:left w:val="none" w:sz="0" w:space="0" w:color="auto"/>
            <w:bottom w:val="none" w:sz="0" w:space="0" w:color="auto"/>
            <w:right w:val="none" w:sz="0" w:space="0" w:color="auto"/>
          </w:divBdr>
        </w:div>
        <w:div w:id="1712416032">
          <w:marLeft w:val="360"/>
          <w:marRight w:val="0"/>
          <w:marTop w:val="200"/>
          <w:marBottom w:val="0"/>
          <w:divBdr>
            <w:top w:val="none" w:sz="0" w:space="0" w:color="auto"/>
            <w:left w:val="none" w:sz="0" w:space="0" w:color="auto"/>
            <w:bottom w:val="none" w:sz="0" w:space="0" w:color="auto"/>
            <w:right w:val="none" w:sz="0" w:space="0" w:color="auto"/>
          </w:divBdr>
        </w:div>
      </w:divsChild>
    </w:div>
    <w:div w:id="658538275">
      <w:bodyDiv w:val="1"/>
      <w:marLeft w:val="0"/>
      <w:marRight w:val="0"/>
      <w:marTop w:val="0"/>
      <w:marBottom w:val="0"/>
      <w:divBdr>
        <w:top w:val="none" w:sz="0" w:space="0" w:color="auto"/>
        <w:left w:val="none" w:sz="0" w:space="0" w:color="auto"/>
        <w:bottom w:val="none" w:sz="0" w:space="0" w:color="auto"/>
        <w:right w:val="none" w:sz="0" w:space="0" w:color="auto"/>
      </w:divBdr>
    </w:div>
    <w:div w:id="1008094992">
      <w:bodyDiv w:val="1"/>
      <w:marLeft w:val="0"/>
      <w:marRight w:val="0"/>
      <w:marTop w:val="0"/>
      <w:marBottom w:val="0"/>
      <w:divBdr>
        <w:top w:val="none" w:sz="0" w:space="0" w:color="auto"/>
        <w:left w:val="none" w:sz="0" w:space="0" w:color="auto"/>
        <w:bottom w:val="none" w:sz="0" w:space="0" w:color="auto"/>
        <w:right w:val="none" w:sz="0" w:space="0" w:color="auto"/>
      </w:divBdr>
    </w:div>
    <w:div w:id="1239250364">
      <w:bodyDiv w:val="1"/>
      <w:marLeft w:val="0"/>
      <w:marRight w:val="0"/>
      <w:marTop w:val="0"/>
      <w:marBottom w:val="0"/>
      <w:divBdr>
        <w:top w:val="none" w:sz="0" w:space="0" w:color="auto"/>
        <w:left w:val="none" w:sz="0" w:space="0" w:color="auto"/>
        <w:bottom w:val="none" w:sz="0" w:space="0" w:color="auto"/>
        <w:right w:val="none" w:sz="0" w:space="0" w:color="auto"/>
      </w:divBdr>
    </w:div>
    <w:div w:id="1252660525">
      <w:bodyDiv w:val="1"/>
      <w:marLeft w:val="0"/>
      <w:marRight w:val="0"/>
      <w:marTop w:val="0"/>
      <w:marBottom w:val="0"/>
      <w:divBdr>
        <w:top w:val="none" w:sz="0" w:space="0" w:color="auto"/>
        <w:left w:val="none" w:sz="0" w:space="0" w:color="auto"/>
        <w:bottom w:val="none" w:sz="0" w:space="0" w:color="auto"/>
        <w:right w:val="none" w:sz="0" w:space="0" w:color="auto"/>
      </w:divBdr>
    </w:div>
    <w:div w:id="1708679918">
      <w:bodyDiv w:val="1"/>
      <w:marLeft w:val="0"/>
      <w:marRight w:val="0"/>
      <w:marTop w:val="0"/>
      <w:marBottom w:val="0"/>
      <w:divBdr>
        <w:top w:val="none" w:sz="0" w:space="0" w:color="auto"/>
        <w:left w:val="none" w:sz="0" w:space="0" w:color="auto"/>
        <w:bottom w:val="none" w:sz="0" w:space="0" w:color="auto"/>
        <w:right w:val="none" w:sz="0" w:space="0" w:color="auto"/>
      </w:divBdr>
    </w:div>
    <w:div w:id="1724013220">
      <w:bodyDiv w:val="1"/>
      <w:marLeft w:val="0"/>
      <w:marRight w:val="0"/>
      <w:marTop w:val="0"/>
      <w:marBottom w:val="0"/>
      <w:divBdr>
        <w:top w:val="none" w:sz="0" w:space="0" w:color="auto"/>
        <w:left w:val="none" w:sz="0" w:space="0" w:color="auto"/>
        <w:bottom w:val="none" w:sz="0" w:space="0" w:color="auto"/>
        <w:right w:val="none" w:sz="0" w:space="0" w:color="auto"/>
      </w:divBdr>
      <w:divsChild>
        <w:div w:id="1034963982">
          <w:marLeft w:val="1080"/>
          <w:marRight w:val="0"/>
          <w:marTop w:val="100"/>
          <w:marBottom w:val="0"/>
          <w:divBdr>
            <w:top w:val="none" w:sz="0" w:space="0" w:color="auto"/>
            <w:left w:val="none" w:sz="0" w:space="0" w:color="auto"/>
            <w:bottom w:val="none" w:sz="0" w:space="0" w:color="auto"/>
            <w:right w:val="none" w:sz="0" w:space="0" w:color="auto"/>
          </w:divBdr>
        </w:div>
        <w:div w:id="1162618352">
          <w:marLeft w:val="1080"/>
          <w:marRight w:val="0"/>
          <w:marTop w:val="100"/>
          <w:marBottom w:val="0"/>
          <w:divBdr>
            <w:top w:val="none" w:sz="0" w:space="0" w:color="auto"/>
            <w:left w:val="none" w:sz="0" w:space="0" w:color="auto"/>
            <w:bottom w:val="none" w:sz="0" w:space="0" w:color="auto"/>
            <w:right w:val="none" w:sz="0" w:space="0" w:color="auto"/>
          </w:divBdr>
        </w:div>
        <w:div w:id="1882353174">
          <w:marLeft w:val="1080"/>
          <w:marRight w:val="0"/>
          <w:marTop w:val="100"/>
          <w:marBottom w:val="0"/>
          <w:divBdr>
            <w:top w:val="none" w:sz="0" w:space="0" w:color="auto"/>
            <w:left w:val="none" w:sz="0" w:space="0" w:color="auto"/>
            <w:bottom w:val="none" w:sz="0" w:space="0" w:color="auto"/>
            <w:right w:val="none" w:sz="0" w:space="0" w:color="auto"/>
          </w:divBdr>
        </w:div>
      </w:divsChild>
    </w:div>
    <w:div w:id="1841265903">
      <w:bodyDiv w:val="1"/>
      <w:marLeft w:val="0"/>
      <w:marRight w:val="0"/>
      <w:marTop w:val="0"/>
      <w:marBottom w:val="0"/>
      <w:divBdr>
        <w:top w:val="none" w:sz="0" w:space="0" w:color="auto"/>
        <w:left w:val="none" w:sz="0" w:space="0" w:color="auto"/>
        <w:bottom w:val="none" w:sz="0" w:space="0" w:color="auto"/>
        <w:right w:val="none" w:sz="0" w:space="0" w:color="auto"/>
      </w:divBdr>
    </w:div>
    <w:div w:id="20132217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about/who-we-are/our-principles" TargetMode="External"/><Relationship Id="rId13" Type="http://schemas.openxmlformats.org/officeDocument/2006/relationships/hyperlink" Target="mailto:contract.bids@nice.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illian.watson@nice.org.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news/new-office-for-health-promotion-to-drive-improvement-of-nations-health"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ncbi.nlm.nih.gov/books/NBK401723/pdf/Bookshelf_NBK401723.pdf" TargetMode="External"/><Relationship Id="rId4" Type="http://schemas.openxmlformats.org/officeDocument/2006/relationships/settings" Target="settings.xml"/><Relationship Id="rId9" Type="http://schemas.openxmlformats.org/officeDocument/2006/relationships/hyperlink" Target="https://www.nice.org.uk/about/who-we-are/corporate-publications/the-nice-strategy-2021-to-2026"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Cresswell\AppData\Local\Microsoft\Windows\INetCache\Content.Outlook\MN1WMQ8L\STA%20old%20and%20new%20process%20ACD%20and%20F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9D2F8-A069-466A-962F-190B243BC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 old and new process ACD and FAD template</Template>
  <TotalTime>4</TotalTime>
  <Pages>21</Pages>
  <Words>4684</Words>
  <Characters>26705</Characters>
  <Application>Microsoft Office Word</Application>
  <DocSecurity>4</DocSecurity>
  <Lines>222</Lines>
  <Paragraphs>62</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31327</CharactersWithSpaces>
  <SharedDoc>false</SharedDoc>
  <HLinks>
    <vt:vector size="90" baseType="variant">
      <vt:variant>
        <vt:i4>3211303</vt:i4>
      </vt:variant>
      <vt:variant>
        <vt:i4>312</vt:i4>
      </vt:variant>
      <vt:variant>
        <vt:i4>0</vt:i4>
      </vt:variant>
      <vt:variant>
        <vt:i4>5</vt:i4>
      </vt:variant>
      <vt:variant>
        <vt:lpwstr>https://www.nice.org.uk/get-involved/meetings-in-public/technology-appraisal-committee</vt:lpwstr>
      </vt:variant>
      <vt:variant>
        <vt:lpwstr/>
      </vt:variant>
      <vt:variant>
        <vt:i4>3211303</vt:i4>
      </vt:variant>
      <vt:variant>
        <vt:i4>309</vt:i4>
      </vt:variant>
      <vt:variant>
        <vt:i4>0</vt:i4>
      </vt:variant>
      <vt:variant>
        <vt:i4>5</vt:i4>
      </vt:variant>
      <vt:variant>
        <vt:lpwstr>https://www.nice.org.uk/get-involved/meetings-in-public/technology-appraisal-committee</vt:lpwstr>
      </vt:variant>
      <vt:variant>
        <vt:lpwstr/>
      </vt:variant>
      <vt:variant>
        <vt:i4>2687086</vt:i4>
      </vt:variant>
      <vt:variant>
        <vt:i4>306</vt:i4>
      </vt:variant>
      <vt:variant>
        <vt:i4>0</vt:i4>
      </vt:variant>
      <vt:variant>
        <vt:i4>5</vt:i4>
      </vt:variant>
      <vt:variant>
        <vt:lpwstr>https://www.nice.org.uk/Get-Involved/Meetings-in-public/Technology-appraisal-Committee/Committee-X-Members</vt:lpwstr>
      </vt:variant>
      <vt:variant>
        <vt:lpwstr/>
      </vt:variant>
      <vt:variant>
        <vt:i4>8192049</vt:i4>
      </vt:variant>
      <vt:variant>
        <vt:i4>297</vt:i4>
      </vt:variant>
      <vt:variant>
        <vt:i4>0</vt:i4>
      </vt:variant>
      <vt:variant>
        <vt:i4>5</vt:i4>
      </vt:variant>
      <vt:variant>
        <vt:lpwstr>https://www.nice.org.uk/about/what-we-do/our-programmes/nice-guidance/nice-technology-appraisal-guidance/cancer-drugs-fund</vt:lpwstr>
      </vt:variant>
      <vt:variant>
        <vt:lpwstr/>
      </vt:variant>
      <vt:variant>
        <vt:i4>2818165</vt:i4>
      </vt:variant>
      <vt:variant>
        <vt:i4>273</vt:i4>
      </vt:variant>
      <vt:variant>
        <vt:i4>0</vt:i4>
      </vt:variant>
      <vt:variant>
        <vt:i4>5</vt:i4>
      </vt:variant>
      <vt:variant>
        <vt:lpwstr>https://www.england.nhs.uk/cancer/cdf/</vt:lpwstr>
      </vt:variant>
      <vt:variant>
        <vt:lpwstr/>
      </vt:variant>
      <vt:variant>
        <vt:i4>4522076</vt:i4>
      </vt:variant>
      <vt:variant>
        <vt:i4>252</vt:i4>
      </vt:variant>
      <vt:variant>
        <vt:i4>0</vt:i4>
      </vt:variant>
      <vt:variant>
        <vt:i4>5</vt:i4>
      </vt:variant>
      <vt:variant>
        <vt:lpwstr>http://www.legislation.gov.uk/uksi/2013/259/contents/made</vt:lpwstr>
      </vt:variant>
      <vt:variant>
        <vt:lpwstr/>
      </vt:variant>
      <vt:variant>
        <vt:i4>852042</vt:i4>
      </vt:variant>
      <vt:variant>
        <vt:i4>249</vt:i4>
      </vt:variant>
      <vt:variant>
        <vt:i4>0</vt:i4>
      </vt:variant>
      <vt:variant>
        <vt:i4>5</vt:i4>
      </vt:variant>
      <vt:variant>
        <vt:lpwstr>https://www.gov.uk/government/publications/early-access-to-medicines-scheme-eams-how-the-scheme-works</vt:lpwstr>
      </vt:variant>
      <vt:variant>
        <vt:lpwstr/>
      </vt:variant>
      <vt:variant>
        <vt:i4>1572937</vt:i4>
      </vt:variant>
      <vt:variant>
        <vt:i4>243</vt:i4>
      </vt:variant>
      <vt:variant>
        <vt:i4>0</vt:i4>
      </vt:variant>
      <vt:variant>
        <vt:i4>5</vt:i4>
      </vt:variant>
      <vt:variant>
        <vt:lpwstr>https://www.nice.org.uk/about/what-we-do/our-programmes/nice-guidance/nice-technology-appraisal-guidance/process</vt:lpwstr>
      </vt:variant>
      <vt:variant>
        <vt:lpwstr/>
      </vt:variant>
      <vt:variant>
        <vt:i4>4522076</vt:i4>
      </vt:variant>
      <vt:variant>
        <vt:i4>237</vt:i4>
      </vt:variant>
      <vt:variant>
        <vt:i4>0</vt:i4>
      </vt:variant>
      <vt:variant>
        <vt:i4>5</vt:i4>
      </vt:variant>
      <vt:variant>
        <vt:lpwstr>http://www.legislation.gov.uk/uksi/2013/259/contents/made</vt:lpwstr>
      </vt:variant>
      <vt:variant>
        <vt:lpwstr/>
      </vt:variant>
      <vt:variant>
        <vt:i4>7274531</vt:i4>
      </vt:variant>
      <vt:variant>
        <vt:i4>201</vt:i4>
      </vt:variant>
      <vt:variant>
        <vt:i4>0</vt:i4>
      </vt:variant>
      <vt:variant>
        <vt:i4>5</vt:i4>
      </vt:variant>
      <vt:variant>
        <vt:lpwstr>\\nice.nhs.uk\Data\CHTE\Appraisals\STAR project\WS 3 - Managing uncertainty &amp; risk\3.b Managed access models\3.b.i Quantifying uncertainty\Draft approach\Guidance to committee\CDF guidance to ctee v0.9.pptx</vt:lpwstr>
      </vt:variant>
      <vt:variant>
        <vt:lpwstr/>
      </vt:variant>
      <vt:variant>
        <vt:i4>8192049</vt:i4>
      </vt:variant>
      <vt:variant>
        <vt:i4>198</vt:i4>
      </vt:variant>
      <vt:variant>
        <vt:i4>0</vt:i4>
      </vt:variant>
      <vt:variant>
        <vt:i4>5</vt:i4>
      </vt:variant>
      <vt:variant>
        <vt:lpwstr>https://www.nice.org.uk/about/what-we-do/our-programmes/nice-guidance/nice-technology-appraisal-guidance/cancer-drugs-fund</vt:lpwstr>
      </vt:variant>
      <vt:variant>
        <vt:lpwstr/>
      </vt:variant>
      <vt:variant>
        <vt:i4>5373979</vt:i4>
      </vt:variant>
      <vt:variant>
        <vt:i4>183</vt:i4>
      </vt:variant>
      <vt:variant>
        <vt:i4>0</vt:i4>
      </vt:variant>
      <vt:variant>
        <vt:i4>5</vt:i4>
      </vt:variant>
      <vt:variant>
        <vt:lpwstr>https://www.nice.org.uk/process/pmg9/chapter/the-appraisal-of-the-evidence-and-structured-decision-making</vt:lpwstr>
      </vt:variant>
      <vt:variant>
        <vt:lpwstr/>
      </vt:variant>
      <vt:variant>
        <vt:i4>5701707</vt:i4>
      </vt:variant>
      <vt:variant>
        <vt:i4>87</vt:i4>
      </vt:variant>
      <vt:variant>
        <vt:i4>0</vt:i4>
      </vt:variant>
      <vt:variant>
        <vt:i4>5</vt:i4>
      </vt:variant>
      <vt:variant>
        <vt:lpwstr>http://www.nice.org.uk/Guidance/GID-xxxxxx/Documents</vt:lpwstr>
      </vt:variant>
      <vt:variant>
        <vt:lpwstr/>
      </vt:variant>
      <vt:variant>
        <vt:i4>2162708</vt:i4>
      </vt:variant>
      <vt:variant>
        <vt:i4>30</vt:i4>
      </vt:variant>
      <vt:variant>
        <vt:i4>0</vt:i4>
      </vt:variant>
      <vt:variant>
        <vt:i4>5</vt:i4>
      </vt:variant>
      <vt:variant>
        <vt:lpwstr>\\nice.nhs.uk\Data\Global\NICE\NICE Templates\Tech App</vt:lpwstr>
      </vt:variant>
      <vt:variant>
        <vt:lpwstr/>
      </vt:variant>
      <vt:variant>
        <vt:i4>1245255</vt:i4>
      </vt:variant>
      <vt:variant>
        <vt:i4>6</vt:i4>
      </vt:variant>
      <vt:variant>
        <vt:i4>0</vt:i4>
      </vt:variant>
      <vt:variant>
        <vt:i4>5</vt:i4>
      </vt:variant>
      <vt:variant>
        <vt:lpwstr>https://www.nice.org.uk/terms-and-conditions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Sarah Bromley</dc:creator>
  <cp:keywords/>
  <dc:description/>
  <cp:lastModifiedBy>Gillian Watson</cp:lastModifiedBy>
  <cp:revision>2</cp:revision>
  <cp:lastPrinted>2012-11-14T14:34:00Z</cp:lastPrinted>
  <dcterms:created xsi:type="dcterms:W3CDTF">2021-05-25T14:09:00Z</dcterms:created>
  <dcterms:modified xsi:type="dcterms:W3CDTF">2021-05-25T14:09:00Z</dcterms:modified>
</cp:coreProperties>
</file>