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1D" w:rsidRDefault="00D5111D" w:rsidP="00D5111D">
      <w:pPr>
        <w:pStyle w:val="Heading1"/>
        <w:numPr>
          <w:ilvl w:val="0"/>
          <w:numId w:val="0"/>
        </w:numPr>
        <w:spacing w:before="0" w:after="0"/>
      </w:pPr>
      <w:bookmarkStart w:id="0" w:name="_Toc451437129"/>
      <w:r>
        <w:t>Schedule 1 - Service Specification for Independent Mobility Assessments (Blue Badge)</w:t>
      </w:r>
      <w:bookmarkEnd w:id="0"/>
    </w:p>
    <w:p w:rsidR="00D5111D" w:rsidRPr="00D5111D" w:rsidRDefault="00D5111D" w:rsidP="00D5111D"/>
    <w:p w:rsidR="00D5111D" w:rsidRDefault="00D5111D" w:rsidP="004A0FCF">
      <w:pPr>
        <w:pStyle w:val="02S1CCContentsSubhead"/>
      </w:pPr>
    </w:p>
    <w:p w:rsidR="005D12E2" w:rsidRPr="00DB67FF" w:rsidRDefault="005D12E2" w:rsidP="004A0FCF">
      <w:pPr>
        <w:pStyle w:val="02S1CCContentsSubhead"/>
      </w:pPr>
      <w:r>
        <w:t>Contents</w:t>
      </w:r>
    </w:p>
    <w:p w:rsidR="005D12E2" w:rsidRDefault="00FD4874" w:rsidP="00FD4874">
      <w:pPr>
        <w:tabs>
          <w:tab w:val="left" w:pos="3629"/>
        </w:tabs>
        <w:rPr>
          <w:i/>
        </w:rPr>
      </w:pPr>
      <w:bookmarkStart w:id="1" w:name="_Toc70571699"/>
      <w:r>
        <w:rPr>
          <w:i/>
        </w:rPr>
        <w:tab/>
      </w:r>
    </w:p>
    <w:bookmarkStart w:id="2" w:name="_Toc70571705"/>
    <w:bookmarkStart w:id="3" w:name="_Toc99515005"/>
    <w:bookmarkEnd w:id="1"/>
    <w:p w:rsidR="00C045F1" w:rsidRDefault="005D12E2">
      <w:pPr>
        <w:pStyle w:val="TOC1"/>
        <w:tabs>
          <w:tab w:val="right" w:leader="dot" w:pos="9016"/>
        </w:tabs>
        <w:rPr>
          <w:rFonts w:asciiTheme="minorHAnsi" w:eastAsiaTheme="minorEastAsia" w:hAnsiTheme="minorHAnsi" w:cstheme="minorBidi"/>
          <w:b w:val="0"/>
          <w:bCs w:val="0"/>
          <w:caps w:val="0"/>
          <w:noProof/>
          <w:sz w:val="22"/>
          <w:szCs w:val="22"/>
          <w:lang w:eastAsia="en-GB"/>
        </w:rPr>
      </w:pPr>
      <w:r w:rsidRPr="00D803FF">
        <w:rPr>
          <w:rFonts w:ascii="Arial" w:hAnsi="Arial"/>
          <w:b w:val="0"/>
        </w:rPr>
        <w:fldChar w:fldCharType="begin"/>
      </w:r>
      <w:r w:rsidRPr="00D803FF">
        <w:rPr>
          <w:rFonts w:ascii="Arial" w:hAnsi="Arial"/>
          <w:b w:val="0"/>
        </w:rPr>
        <w:instrText xml:space="preserve"> TOC \o "2-3" \f \t "Heading 1,1" </w:instrText>
      </w:r>
      <w:r w:rsidRPr="00D803FF">
        <w:rPr>
          <w:rFonts w:ascii="Arial" w:hAnsi="Arial"/>
          <w:b w:val="0"/>
        </w:rPr>
        <w:fldChar w:fldCharType="separate"/>
      </w:r>
      <w:r w:rsidR="00C045F1">
        <w:rPr>
          <w:noProof/>
        </w:rPr>
        <w:t>Schedule 1 - Service Specification for Independent Mobility Assessments (Blue Badge)</w:t>
      </w:r>
      <w:r w:rsidR="00C045F1">
        <w:rPr>
          <w:noProof/>
        </w:rPr>
        <w:tab/>
      </w:r>
      <w:r w:rsidR="00C045F1">
        <w:rPr>
          <w:noProof/>
        </w:rPr>
        <w:fldChar w:fldCharType="begin"/>
      </w:r>
      <w:r w:rsidR="00C045F1">
        <w:rPr>
          <w:noProof/>
        </w:rPr>
        <w:instrText xml:space="preserve"> PAGEREF _Toc451437129 \h </w:instrText>
      </w:r>
      <w:r w:rsidR="00C045F1">
        <w:rPr>
          <w:noProof/>
        </w:rPr>
      </w:r>
      <w:r w:rsidR="00C045F1">
        <w:rPr>
          <w:noProof/>
        </w:rPr>
        <w:fldChar w:fldCharType="separate"/>
      </w:r>
      <w:r w:rsidR="00C50388">
        <w:rPr>
          <w:noProof/>
        </w:rPr>
        <w:t>1</w:t>
      </w:r>
      <w:r w:rsidR="00C045F1">
        <w:rPr>
          <w:noProof/>
        </w:rPr>
        <w:fldChar w:fldCharType="end"/>
      </w:r>
    </w:p>
    <w:p w:rsidR="00C045F1" w:rsidRDefault="00C045F1">
      <w:pPr>
        <w:pStyle w:val="TOC1"/>
        <w:tabs>
          <w:tab w:val="right" w:leader="dot" w:pos="9016"/>
        </w:tabs>
        <w:rPr>
          <w:rFonts w:asciiTheme="minorHAnsi" w:eastAsiaTheme="minorEastAsia" w:hAnsiTheme="minorHAnsi" w:cstheme="minorBidi"/>
          <w:b w:val="0"/>
          <w:bCs w:val="0"/>
          <w:caps w:val="0"/>
          <w:noProof/>
          <w:sz w:val="22"/>
          <w:szCs w:val="22"/>
          <w:lang w:eastAsia="en-GB"/>
        </w:rPr>
      </w:pPr>
      <w:r>
        <w:rPr>
          <w:noProof/>
        </w:rPr>
        <w:t>Definitions and</w:t>
      </w:r>
      <w:bookmarkStart w:id="4" w:name="_GoBack"/>
      <w:bookmarkEnd w:id="4"/>
      <w:r>
        <w:rPr>
          <w:noProof/>
        </w:rPr>
        <w:t xml:space="preserve"> Interpretation</w:t>
      </w:r>
      <w:r>
        <w:rPr>
          <w:noProof/>
        </w:rPr>
        <w:tab/>
      </w:r>
      <w:r>
        <w:rPr>
          <w:noProof/>
        </w:rPr>
        <w:fldChar w:fldCharType="begin"/>
      </w:r>
      <w:r>
        <w:rPr>
          <w:noProof/>
        </w:rPr>
        <w:instrText xml:space="preserve"> PAGEREF _Toc451437130 \h </w:instrText>
      </w:r>
      <w:r>
        <w:rPr>
          <w:noProof/>
        </w:rPr>
      </w:r>
      <w:r>
        <w:rPr>
          <w:noProof/>
        </w:rPr>
        <w:fldChar w:fldCharType="separate"/>
      </w:r>
      <w:r w:rsidR="00C50388">
        <w:rPr>
          <w:noProof/>
        </w:rPr>
        <w:t>2</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1.</w:t>
      </w:r>
      <w:r>
        <w:rPr>
          <w:rFonts w:asciiTheme="minorHAnsi" w:eastAsiaTheme="minorEastAsia" w:hAnsiTheme="minorHAnsi" w:cstheme="minorBidi"/>
          <w:b w:val="0"/>
          <w:bCs w:val="0"/>
          <w:caps w:val="0"/>
          <w:noProof/>
          <w:sz w:val="22"/>
          <w:szCs w:val="22"/>
          <w:lang w:eastAsia="en-GB"/>
        </w:rPr>
        <w:tab/>
      </w:r>
      <w:r>
        <w:rPr>
          <w:noProof/>
        </w:rPr>
        <w:t>Introduction and Overview</w:t>
      </w:r>
      <w:r>
        <w:rPr>
          <w:noProof/>
        </w:rPr>
        <w:tab/>
      </w:r>
      <w:r>
        <w:rPr>
          <w:noProof/>
        </w:rPr>
        <w:fldChar w:fldCharType="begin"/>
      </w:r>
      <w:r>
        <w:rPr>
          <w:noProof/>
        </w:rPr>
        <w:instrText xml:space="preserve"> PAGEREF _Toc451437131 \h </w:instrText>
      </w:r>
      <w:r>
        <w:rPr>
          <w:noProof/>
        </w:rPr>
      </w:r>
      <w:r>
        <w:rPr>
          <w:noProof/>
        </w:rPr>
        <w:fldChar w:fldCharType="separate"/>
      </w:r>
      <w:r w:rsidR="00C50388">
        <w:rPr>
          <w:noProof/>
        </w:rPr>
        <w:t>3</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1.1</w:t>
      </w:r>
      <w:r>
        <w:rPr>
          <w:rFonts w:asciiTheme="minorHAnsi" w:eastAsiaTheme="minorEastAsia" w:hAnsiTheme="minorHAnsi" w:cstheme="minorBidi"/>
          <w:noProof/>
          <w:sz w:val="22"/>
          <w:szCs w:val="22"/>
          <w:lang w:eastAsia="en-GB"/>
        </w:rPr>
        <w:tab/>
      </w:r>
      <w:r>
        <w:rPr>
          <w:noProof/>
        </w:rPr>
        <w:t>Introduction and Overview</w:t>
      </w:r>
      <w:r>
        <w:rPr>
          <w:noProof/>
        </w:rPr>
        <w:tab/>
      </w:r>
      <w:r>
        <w:rPr>
          <w:noProof/>
        </w:rPr>
        <w:fldChar w:fldCharType="begin"/>
      </w:r>
      <w:r>
        <w:rPr>
          <w:noProof/>
        </w:rPr>
        <w:instrText xml:space="preserve"> PAGEREF _Toc451437132 \h </w:instrText>
      </w:r>
      <w:r>
        <w:rPr>
          <w:noProof/>
        </w:rPr>
      </w:r>
      <w:r>
        <w:rPr>
          <w:noProof/>
        </w:rPr>
        <w:fldChar w:fldCharType="separate"/>
      </w:r>
      <w:r w:rsidR="00C50388">
        <w:rPr>
          <w:noProof/>
        </w:rPr>
        <w:t>3</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2.</w:t>
      </w:r>
      <w:r>
        <w:rPr>
          <w:rFonts w:asciiTheme="minorHAnsi" w:eastAsiaTheme="minorEastAsia" w:hAnsiTheme="minorHAnsi" w:cstheme="minorBidi"/>
          <w:b w:val="0"/>
          <w:bCs w:val="0"/>
          <w:caps w:val="0"/>
          <w:noProof/>
          <w:sz w:val="22"/>
          <w:szCs w:val="22"/>
          <w:lang w:eastAsia="en-GB"/>
        </w:rPr>
        <w:tab/>
      </w:r>
      <w:r>
        <w:rPr>
          <w:noProof/>
        </w:rPr>
        <w:t>Scope</w:t>
      </w:r>
      <w:r>
        <w:rPr>
          <w:noProof/>
        </w:rPr>
        <w:tab/>
      </w:r>
      <w:r>
        <w:rPr>
          <w:noProof/>
        </w:rPr>
        <w:fldChar w:fldCharType="begin"/>
      </w:r>
      <w:r>
        <w:rPr>
          <w:noProof/>
        </w:rPr>
        <w:instrText xml:space="preserve"> PAGEREF _Toc451437133 \h </w:instrText>
      </w:r>
      <w:r>
        <w:rPr>
          <w:noProof/>
        </w:rPr>
      </w:r>
      <w:r>
        <w:rPr>
          <w:noProof/>
        </w:rPr>
        <w:fldChar w:fldCharType="separate"/>
      </w:r>
      <w:r w:rsidR="00C50388">
        <w:rPr>
          <w:noProof/>
        </w:rPr>
        <w:t>3</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2.1</w:t>
      </w:r>
      <w:r>
        <w:rPr>
          <w:rFonts w:asciiTheme="minorHAnsi" w:eastAsiaTheme="minorEastAsia" w:hAnsiTheme="minorHAnsi" w:cstheme="minorBidi"/>
          <w:noProof/>
          <w:sz w:val="22"/>
          <w:szCs w:val="22"/>
          <w:lang w:eastAsia="en-GB"/>
        </w:rPr>
        <w:tab/>
      </w:r>
      <w:r>
        <w:rPr>
          <w:noProof/>
        </w:rPr>
        <w:t>Scope</w:t>
      </w:r>
      <w:r>
        <w:rPr>
          <w:noProof/>
        </w:rPr>
        <w:tab/>
      </w:r>
      <w:r>
        <w:rPr>
          <w:noProof/>
        </w:rPr>
        <w:fldChar w:fldCharType="begin"/>
      </w:r>
      <w:r>
        <w:rPr>
          <w:noProof/>
        </w:rPr>
        <w:instrText xml:space="preserve"> PAGEREF _Toc451437134 \h </w:instrText>
      </w:r>
      <w:r>
        <w:rPr>
          <w:noProof/>
        </w:rPr>
      </w:r>
      <w:r>
        <w:rPr>
          <w:noProof/>
        </w:rPr>
        <w:fldChar w:fldCharType="separate"/>
      </w:r>
      <w:r w:rsidR="00C50388">
        <w:rPr>
          <w:noProof/>
        </w:rPr>
        <w:t>3</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3.</w:t>
      </w:r>
      <w:r>
        <w:rPr>
          <w:rFonts w:asciiTheme="minorHAnsi" w:eastAsiaTheme="minorEastAsia" w:hAnsiTheme="minorHAnsi" w:cstheme="minorBidi"/>
          <w:b w:val="0"/>
          <w:bCs w:val="0"/>
          <w:caps w:val="0"/>
          <w:noProof/>
          <w:sz w:val="22"/>
          <w:szCs w:val="22"/>
          <w:lang w:eastAsia="en-GB"/>
        </w:rPr>
        <w:tab/>
      </w:r>
      <w:r>
        <w:rPr>
          <w:noProof/>
        </w:rPr>
        <w:t>Quality Requirements</w:t>
      </w:r>
      <w:r>
        <w:rPr>
          <w:noProof/>
        </w:rPr>
        <w:tab/>
      </w:r>
      <w:r>
        <w:rPr>
          <w:noProof/>
        </w:rPr>
        <w:fldChar w:fldCharType="begin"/>
      </w:r>
      <w:r>
        <w:rPr>
          <w:noProof/>
        </w:rPr>
        <w:instrText xml:space="preserve"> PAGEREF _Toc451437135 \h </w:instrText>
      </w:r>
      <w:r>
        <w:rPr>
          <w:noProof/>
        </w:rPr>
      </w:r>
      <w:r>
        <w:rPr>
          <w:noProof/>
        </w:rPr>
        <w:fldChar w:fldCharType="separate"/>
      </w:r>
      <w:r w:rsidR="00C50388">
        <w:rPr>
          <w:noProof/>
        </w:rPr>
        <w:t>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3.1</w:t>
      </w:r>
      <w:r>
        <w:rPr>
          <w:rFonts w:asciiTheme="minorHAnsi" w:eastAsiaTheme="minorEastAsia" w:hAnsiTheme="minorHAnsi" w:cstheme="minorBidi"/>
          <w:noProof/>
          <w:sz w:val="22"/>
          <w:szCs w:val="22"/>
          <w:lang w:eastAsia="en-GB"/>
        </w:rPr>
        <w:tab/>
      </w:r>
      <w:r>
        <w:rPr>
          <w:noProof/>
        </w:rPr>
        <w:t>Quality</w:t>
      </w:r>
      <w:r>
        <w:rPr>
          <w:noProof/>
        </w:rPr>
        <w:tab/>
      </w:r>
      <w:r>
        <w:rPr>
          <w:noProof/>
        </w:rPr>
        <w:fldChar w:fldCharType="begin"/>
      </w:r>
      <w:r>
        <w:rPr>
          <w:noProof/>
        </w:rPr>
        <w:instrText xml:space="preserve"> PAGEREF _Toc451437136 \h </w:instrText>
      </w:r>
      <w:r>
        <w:rPr>
          <w:noProof/>
        </w:rPr>
      </w:r>
      <w:r>
        <w:rPr>
          <w:noProof/>
        </w:rPr>
        <w:fldChar w:fldCharType="separate"/>
      </w:r>
      <w:r w:rsidR="00C50388">
        <w:rPr>
          <w:noProof/>
        </w:rPr>
        <w:t>4</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4.</w:t>
      </w:r>
      <w:r>
        <w:rPr>
          <w:rFonts w:asciiTheme="minorHAnsi" w:eastAsiaTheme="minorEastAsia" w:hAnsiTheme="minorHAnsi" w:cstheme="minorBidi"/>
          <w:b w:val="0"/>
          <w:bCs w:val="0"/>
          <w:caps w:val="0"/>
          <w:noProof/>
          <w:sz w:val="22"/>
          <w:szCs w:val="22"/>
          <w:lang w:eastAsia="en-GB"/>
        </w:rPr>
        <w:tab/>
      </w:r>
      <w:r>
        <w:rPr>
          <w:noProof/>
        </w:rPr>
        <w:t>Service Conditions</w:t>
      </w:r>
      <w:r>
        <w:rPr>
          <w:noProof/>
        </w:rPr>
        <w:tab/>
      </w:r>
      <w:r>
        <w:rPr>
          <w:noProof/>
        </w:rPr>
        <w:fldChar w:fldCharType="begin"/>
      </w:r>
      <w:r>
        <w:rPr>
          <w:noProof/>
        </w:rPr>
        <w:instrText xml:space="preserve"> PAGEREF _Toc451437137 \h </w:instrText>
      </w:r>
      <w:r>
        <w:rPr>
          <w:noProof/>
        </w:rPr>
      </w:r>
      <w:r>
        <w:rPr>
          <w:noProof/>
        </w:rPr>
        <w:fldChar w:fldCharType="separate"/>
      </w:r>
      <w:r w:rsidR="00C50388">
        <w:rPr>
          <w:noProof/>
        </w:rPr>
        <w:t>5</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4.1</w:t>
      </w:r>
      <w:r>
        <w:rPr>
          <w:rFonts w:asciiTheme="minorHAnsi" w:eastAsiaTheme="minorEastAsia" w:hAnsiTheme="minorHAnsi" w:cstheme="minorBidi"/>
          <w:noProof/>
          <w:sz w:val="22"/>
          <w:szCs w:val="22"/>
          <w:lang w:eastAsia="en-GB"/>
        </w:rPr>
        <w:tab/>
      </w:r>
      <w:r>
        <w:rPr>
          <w:noProof/>
        </w:rPr>
        <w:t>Geographical Factors</w:t>
      </w:r>
      <w:r>
        <w:rPr>
          <w:noProof/>
        </w:rPr>
        <w:tab/>
      </w:r>
      <w:r>
        <w:rPr>
          <w:noProof/>
        </w:rPr>
        <w:fldChar w:fldCharType="begin"/>
      </w:r>
      <w:r>
        <w:rPr>
          <w:noProof/>
        </w:rPr>
        <w:instrText xml:space="preserve"> PAGEREF _Toc451437138 \h </w:instrText>
      </w:r>
      <w:r>
        <w:rPr>
          <w:noProof/>
        </w:rPr>
      </w:r>
      <w:r>
        <w:rPr>
          <w:noProof/>
        </w:rPr>
        <w:fldChar w:fldCharType="separate"/>
      </w:r>
      <w:r w:rsidR="00C50388">
        <w:rPr>
          <w:noProof/>
        </w:rPr>
        <w:t>5</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5.</w:t>
      </w:r>
      <w:r>
        <w:rPr>
          <w:rFonts w:asciiTheme="minorHAnsi" w:eastAsiaTheme="minorEastAsia" w:hAnsiTheme="minorHAnsi" w:cstheme="minorBidi"/>
          <w:b w:val="0"/>
          <w:bCs w:val="0"/>
          <w:caps w:val="0"/>
          <w:noProof/>
          <w:sz w:val="22"/>
          <w:szCs w:val="22"/>
          <w:lang w:eastAsia="en-GB"/>
        </w:rPr>
        <w:tab/>
      </w:r>
      <w:r>
        <w:rPr>
          <w:noProof/>
        </w:rPr>
        <w:t>Statement of Requirements</w:t>
      </w:r>
      <w:r>
        <w:rPr>
          <w:noProof/>
        </w:rPr>
        <w:tab/>
      </w:r>
      <w:r>
        <w:rPr>
          <w:noProof/>
        </w:rPr>
        <w:fldChar w:fldCharType="begin"/>
      </w:r>
      <w:r>
        <w:rPr>
          <w:noProof/>
        </w:rPr>
        <w:instrText xml:space="preserve"> PAGEREF _Toc451437139 \h </w:instrText>
      </w:r>
      <w:r>
        <w:rPr>
          <w:noProof/>
        </w:rPr>
      </w:r>
      <w:r>
        <w:rPr>
          <w:noProof/>
        </w:rPr>
        <w:fldChar w:fldCharType="separate"/>
      </w:r>
      <w:r w:rsidR="00C50388">
        <w:rPr>
          <w:noProof/>
        </w:rPr>
        <w:t>6</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5.1</w:t>
      </w:r>
      <w:r>
        <w:rPr>
          <w:rFonts w:asciiTheme="minorHAnsi" w:eastAsiaTheme="minorEastAsia" w:hAnsiTheme="minorHAnsi" w:cstheme="minorBidi"/>
          <w:noProof/>
          <w:sz w:val="22"/>
          <w:szCs w:val="22"/>
          <w:lang w:eastAsia="en-GB"/>
        </w:rPr>
        <w:tab/>
      </w:r>
      <w:r>
        <w:rPr>
          <w:noProof/>
        </w:rPr>
        <w:t>SoR</w:t>
      </w:r>
      <w:r>
        <w:rPr>
          <w:noProof/>
        </w:rPr>
        <w:tab/>
      </w:r>
      <w:r>
        <w:rPr>
          <w:noProof/>
        </w:rPr>
        <w:fldChar w:fldCharType="begin"/>
      </w:r>
      <w:r>
        <w:rPr>
          <w:noProof/>
        </w:rPr>
        <w:instrText xml:space="preserve"> PAGEREF _Toc451437140 \h </w:instrText>
      </w:r>
      <w:r>
        <w:rPr>
          <w:noProof/>
        </w:rPr>
      </w:r>
      <w:r>
        <w:rPr>
          <w:noProof/>
        </w:rPr>
        <w:fldChar w:fldCharType="separate"/>
      </w:r>
      <w:r w:rsidR="00C50388">
        <w:rPr>
          <w:noProof/>
        </w:rPr>
        <w:t>6</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6.</w:t>
      </w:r>
      <w:r>
        <w:rPr>
          <w:rFonts w:asciiTheme="minorHAnsi" w:eastAsiaTheme="minorEastAsia" w:hAnsiTheme="minorHAnsi" w:cstheme="minorBidi"/>
          <w:b w:val="0"/>
          <w:bCs w:val="0"/>
          <w:caps w:val="0"/>
          <w:noProof/>
          <w:sz w:val="22"/>
          <w:szCs w:val="22"/>
          <w:lang w:eastAsia="en-GB"/>
        </w:rPr>
        <w:tab/>
      </w:r>
      <w:r>
        <w:rPr>
          <w:noProof/>
        </w:rPr>
        <w:t>Implementation Timetable</w:t>
      </w:r>
      <w:r>
        <w:rPr>
          <w:noProof/>
        </w:rPr>
        <w:tab/>
      </w:r>
      <w:r>
        <w:rPr>
          <w:noProof/>
        </w:rPr>
        <w:fldChar w:fldCharType="begin"/>
      </w:r>
      <w:r>
        <w:rPr>
          <w:noProof/>
        </w:rPr>
        <w:instrText xml:space="preserve"> PAGEREF _Toc451437141 \h </w:instrText>
      </w:r>
      <w:r>
        <w:rPr>
          <w:noProof/>
        </w:rPr>
      </w:r>
      <w:r>
        <w:rPr>
          <w:noProof/>
        </w:rPr>
        <w:fldChar w:fldCharType="separate"/>
      </w:r>
      <w:r w:rsidR="00C50388">
        <w:rPr>
          <w:noProof/>
        </w:rPr>
        <w:t>10</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6.1</w:t>
      </w:r>
      <w:r>
        <w:rPr>
          <w:rFonts w:asciiTheme="minorHAnsi" w:eastAsiaTheme="minorEastAsia" w:hAnsiTheme="minorHAnsi" w:cstheme="minorBidi"/>
          <w:noProof/>
          <w:sz w:val="22"/>
          <w:szCs w:val="22"/>
          <w:lang w:eastAsia="en-GB"/>
        </w:rPr>
        <w:tab/>
      </w:r>
      <w:r>
        <w:rPr>
          <w:noProof/>
        </w:rPr>
        <w:t>Implementation Timetable</w:t>
      </w:r>
      <w:r>
        <w:rPr>
          <w:noProof/>
        </w:rPr>
        <w:tab/>
      </w:r>
      <w:r>
        <w:rPr>
          <w:noProof/>
        </w:rPr>
        <w:fldChar w:fldCharType="begin"/>
      </w:r>
      <w:r>
        <w:rPr>
          <w:noProof/>
        </w:rPr>
        <w:instrText xml:space="preserve"> PAGEREF _Toc451437142 \h </w:instrText>
      </w:r>
      <w:r>
        <w:rPr>
          <w:noProof/>
        </w:rPr>
      </w:r>
      <w:r>
        <w:rPr>
          <w:noProof/>
        </w:rPr>
        <w:fldChar w:fldCharType="separate"/>
      </w:r>
      <w:r w:rsidR="00C50388">
        <w:rPr>
          <w:noProof/>
        </w:rPr>
        <w:t>10</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7.</w:t>
      </w:r>
      <w:r>
        <w:rPr>
          <w:rFonts w:asciiTheme="minorHAnsi" w:eastAsiaTheme="minorEastAsia" w:hAnsiTheme="minorHAnsi" w:cstheme="minorBidi"/>
          <w:b w:val="0"/>
          <w:bCs w:val="0"/>
          <w:caps w:val="0"/>
          <w:noProof/>
          <w:sz w:val="22"/>
          <w:szCs w:val="22"/>
          <w:lang w:eastAsia="en-GB"/>
        </w:rPr>
        <w:tab/>
      </w:r>
      <w:r>
        <w:rPr>
          <w:noProof/>
        </w:rPr>
        <w:t>Security</w:t>
      </w:r>
      <w:r>
        <w:rPr>
          <w:noProof/>
        </w:rPr>
        <w:tab/>
      </w:r>
      <w:r>
        <w:rPr>
          <w:noProof/>
        </w:rPr>
        <w:fldChar w:fldCharType="begin"/>
      </w:r>
      <w:r>
        <w:rPr>
          <w:noProof/>
        </w:rPr>
        <w:instrText xml:space="preserve"> PAGEREF _Toc451437143 \h </w:instrText>
      </w:r>
      <w:r>
        <w:rPr>
          <w:noProof/>
        </w:rPr>
      </w:r>
      <w:r>
        <w:rPr>
          <w:noProof/>
        </w:rPr>
        <w:fldChar w:fldCharType="separate"/>
      </w:r>
      <w:r w:rsidR="00C50388">
        <w:rPr>
          <w:noProof/>
        </w:rPr>
        <w:t>10</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7.1</w:t>
      </w:r>
      <w:r>
        <w:rPr>
          <w:rFonts w:asciiTheme="minorHAnsi" w:eastAsiaTheme="minorEastAsia" w:hAnsiTheme="minorHAnsi" w:cstheme="minorBidi"/>
          <w:noProof/>
          <w:sz w:val="22"/>
          <w:szCs w:val="22"/>
          <w:lang w:eastAsia="en-GB"/>
        </w:rPr>
        <w:tab/>
      </w:r>
      <w:r>
        <w:rPr>
          <w:noProof/>
        </w:rPr>
        <w:t>Data Transfer</w:t>
      </w:r>
      <w:r>
        <w:rPr>
          <w:noProof/>
        </w:rPr>
        <w:tab/>
      </w:r>
      <w:r>
        <w:rPr>
          <w:noProof/>
        </w:rPr>
        <w:fldChar w:fldCharType="begin"/>
      </w:r>
      <w:r>
        <w:rPr>
          <w:noProof/>
        </w:rPr>
        <w:instrText xml:space="preserve"> PAGEREF _Toc451437144 \h </w:instrText>
      </w:r>
      <w:r>
        <w:rPr>
          <w:noProof/>
        </w:rPr>
      </w:r>
      <w:r>
        <w:rPr>
          <w:noProof/>
        </w:rPr>
        <w:fldChar w:fldCharType="separate"/>
      </w:r>
      <w:r w:rsidR="00C50388">
        <w:rPr>
          <w:noProof/>
        </w:rPr>
        <w:t>10</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8.</w:t>
      </w:r>
      <w:r>
        <w:rPr>
          <w:rFonts w:asciiTheme="minorHAnsi" w:eastAsiaTheme="minorEastAsia" w:hAnsiTheme="minorHAnsi" w:cstheme="minorBidi"/>
          <w:b w:val="0"/>
          <w:bCs w:val="0"/>
          <w:caps w:val="0"/>
          <w:noProof/>
          <w:sz w:val="22"/>
          <w:szCs w:val="22"/>
          <w:lang w:eastAsia="en-GB"/>
        </w:rPr>
        <w:tab/>
      </w:r>
      <w:r>
        <w:rPr>
          <w:noProof/>
        </w:rPr>
        <w:t>Safeguarding</w:t>
      </w:r>
      <w:r>
        <w:rPr>
          <w:noProof/>
        </w:rPr>
        <w:tab/>
      </w:r>
      <w:r>
        <w:rPr>
          <w:noProof/>
        </w:rPr>
        <w:fldChar w:fldCharType="begin"/>
      </w:r>
      <w:r>
        <w:rPr>
          <w:noProof/>
        </w:rPr>
        <w:instrText xml:space="preserve"> PAGEREF _Toc451437145 \h </w:instrText>
      </w:r>
      <w:r>
        <w:rPr>
          <w:noProof/>
        </w:rPr>
      </w:r>
      <w:r>
        <w:rPr>
          <w:noProof/>
        </w:rPr>
        <w:fldChar w:fldCharType="separate"/>
      </w:r>
      <w:r w:rsidR="00C50388">
        <w:rPr>
          <w:noProof/>
        </w:rPr>
        <w:t>11</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8.1</w:t>
      </w:r>
      <w:r>
        <w:rPr>
          <w:rFonts w:asciiTheme="minorHAnsi" w:eastAsiaTheme="minorEastAsia" w:hAnsiTheme="minorHAnsi" w:cstheme="minorBidi"/>
          <w:noProof/>
          <w:sz w:val="22"/>
          <w:szCs w:val="22"/>
          <w:lang w:eastAsia="en-GB"/>
        </w:rPr>
        <w:tab/>
      </w:r>
      <w:r>
        <w:rPr>
          <w:noProof/>
        </w:rPr>
        <w:t>Safeguarding Arrangements</w:t>
      </w:r>
      <w:r>
        <w:rPr>
          <w:noProof/>
        </w:rPr>
        <w:tab/>
      </w:r>
      <w:r>
        <w:rPr>
          <w:noProof/>
        </w:rPr>
        <w:fldChar w:fldCharType="begin"/>
      </w:r>
      <w:r>
        <w:rPr>
          <w:noProof/>
        </w:rPr>
        <w:instrText xml:space="preserve"> PAGEREF _Toc451437146 \h </w:instrText>
      </w:r>
      <w:r>
        <w:rPr>
          <w:noProof/>
        </w:rPr>
      </w:r>
      <w:r>
        <w:rPr>
          <w:noProof/>
        </w:rPr>
        <w:fldChar w:fldCharType="separate"/>
      </w:r>
      <w:r w:rsidR="00C50388">
        <w:rPr>
          <w:noProof/>
        </w:rPr>
        <w:t>11</w:t>
      </w:r>
      <w:r>
        <w:rPr>
          <w:noProof/>
        </w:rPr>
        <w:fldChar w:fldCharType="end"/>
      </w:r>
    </w:p>
    <w:p w:rsidR="00C045F1" w:rsidRDefault="00C045F1">
      <w:pPr>
        <w:pStyle w:val="TOC1"/>
        <w:tabs>
          <w:tab w:val="left" w:pos="567"/>
          <w:tab w:val="right" w:leader="dot" w:pos="9016"/>
        </w:tabs>
        <w:rPr>
          <w:rFonts w:asciiTheme="minorHAnsi" w:eastAsiaTheme="minorEastAsia" w:hAnsiTheme="minorHAnsi" w:cstheme="minorBidi"/>
          <w:b w:val="0"/>
          <w:bCs w:val="0"/>
          <w:caps w:val="0"/>
          <w:noProof/>
          <w:sz w:val="22"/>
          <w:szCs w:val="22"/>
          <w:lang w:eastAsia="en-GB"/>
        </w:rPr>
      </w:pPr>
      <w:r>
        <w:rPr>
          <w:noProof/>
        </w:rPr>
        <w:t>9.</w:t>
      </w:r>
      <w:r>
        <w:rPr>
          <w:rFonts w:asciiTheme="minorHAnsi" w:eastAsiaTheme="minorEastAsia" w:hAnsiTheme="minorHAnsi" w:cstheme="minorBidi"/>
          <w:b w:val="0"/>
          <w:bCs w:val="0"/>
          <w:caps w:val="0"/>
          <w:noProof/>
          <w:sz w:val="22"/>
          <w:szCs w:val="22"/>
          <w:lang w:eastAsia="en-GB"/>
        </w:rPr>
        <w:tab/>
      </w:r>
      <w:r>
        <w:rPr>
          <w:noProof/>
        </w:rPr>
        <w:t>Contract Monitoring</w:t>
      </w:r>
      <w:r>
        <w:rPr>
          <w:noProof/>
        </w:rPr>
        <w:tab/>
      </w:r>
      <w:r>
        <w:rPr>
          <w:noProof/>
        </w:rPr>
        <w:fldChar w:fldCharType="begin"/>
      </w:r>
      <w:r>
        <w:rPr>
          <w:noProof/>
        </w:rPr>
        <w:instrText xml:space="preserve"> PAGEREF _Toc451437147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9.1</w:t>
      </w:r>
      <w:r>
        <w:rPr>
          <w:rFonts w:asciiTheme="minorHAnsi" w:eastAsiaTheme="minorEastAsia" w:hAnsiTheme="minorHAnsi" w:cstheme="minorBidi"/>
          <w:noProof/>
          <w:sz w:val="22"/>
          <w:szCs w:val="22"/>
          <w:lang w:eastAsia="en-GB"/>
        </w:rPr>
        <w:tab/>
      </w:r>
      <w:r>
        <w:rPr>
          <w:noProof/>
        </w:rPr>
        <w:t>Monitoring</w:t>
      </w:r>
      <w:r>
        <w:rPr>
          <w:noProof/>
        </w:rPr>
        <w:tab/>
      </w:r>
      <w:r>
        <w:rPr>
          <w:noProof/>
        </w:rPr>
        <w:fldChar w:fldCharType="begin"/>
      </w:r>
      <w:r>
        <w:rPr>
          <w:noProof/>
        </w:rPr>
        <w:instrText xml:space="preserve"> PAGEREF _Toc451437148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9.2</w:t>
      </w:r>
      <w:r>
        <w:rPr>
          <w:rFonts w:asciiTheme="minorHAnsi" w:eastAsiaTheme="minorEastAsia" w:hAnsiTheme="minorHAnsi" w:cstheme="minorBidi"/>
          <w:noProof/>
          <w:sz w:val="22"/>
          <w:szCs w:val="22"/>
          <w:lang w:eastAsia="en-GB"/>
        </w:rPr>
        <w:tab/>
      </w:r>
      <w:r>
        <w:rPr>
          <w:noProof/>
        </w:rPr>
        <w:t>Contract Compliance</w:t>
      </w:r>
      <w:r>
        <w:rPr>
          <w:noProof/>
        </w:rPr>
        <w:tab/>
      </w:r>
      <w:r>
        <w:rPr>
          <w:noProof/>
        </w:rPr>
        <w:fldChar w:fldCharType="begin"/>
      </w:r>
      <w:r>
        <w:rPr>
          <w:noProof/>
        </w:rPr>
        <w:instrText xml:space="preserve"> PAGEREF _Toc451437149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9.3</w:t>
      </w:r>
      <w:r>
        <w:rPr>
          <w:rFonts w:asciiTheme="minorHAnsi" w:eastAsiaTheme="minorEastAsia" w:hAnsiTheme="minorHAnsi" w:cstheme="minorBidi"/>
          <w:noProof/>
          <w:sz w:val="22"/>
          <w:szCs w:val="22"/>
          <w:lang w:eastAsia="en-GB"/>
        </w:rPr>
        <w:tab/>
      </w:r>
      <w:r>
        <w:rPr>
          <w:noProof/>
        </w:rPr>
        <w:t>Safeguarding</w:t>
      </w:r>
      <w:r>
        <w:rPr>
          <w:noProof/>
        </w:rPr>
        <w:tab/>
      </w:r>
      <w:r>
        <w:rPr>
          <w:noProof/>
        </w:rPr>
        <w:fldChar w:fldCharType="begin"/>
      </w:r>
      <w:r>
        <w:rPr>
          <w:noProof/>
        </w:rPr>
        <w:instrText xml:space="preserve"> PAGEREF _Toc451437150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9.4</w:t>
      </w:r>
      <w:r>
        <w:rPr>
          <w:rFonts w:asciiTheme="minorHAnsi" w:eastAsiaTheme="minorEastAsia" w:hAnsiTheme="minorHAnsi" w:cstheme="minorBidi"/>
          <w:noProof/>
          <w:sz w:val="22"/>
          <w:szCs w:val="22"/>
          <w:lang w:eastAsia="en-GB"/>
        </w:rPr>
        <w:tab/>
      </w:r>
      <w:r>
        <w:rPr>
          <w:noProof/>
        </w:rPr>
        <w:t>Quality Audit</w:t>
      </w:r>
      <w:r>
        <w:rPr>
          <w:noProof/>
        </w:rPr>
        <w:tab/>
      </w:r>
      <w:r>
        <w:rPr>
          <w:noProof/>
        </w:rPr>
        <w:fldChar w:fldCharType="begin"/>
      </w:r>
      <w:r>
        <w:rPr>
          <w:noProof/>
        </w:rPr>
        <w:instrText xml:space="preserve"> PAGEREF _Toc451437151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9.5</w:t>
      </w:r>
      <w:r>
        <w:rPr>
          <w:rFonts w:asciiTheme="minorHAnsi" w:eastAsiaTheme="minorEastAsia" w:hAnsiTheme="minorHAnsi" w:cstheme="minorBidi"/>
          <w:noProof/>
          <w:sz w:val="22"/>
          <w:szCs w:val="22"/>
          <w:lang w:eastAsia="en-GB"/>
        </w:rPr>
        <w:tab/>
      </w:r>
      <w:r>
        <w:rPr>
          <w:noProof/>
        </w:rPr>
        <w:t>Performance</w:t>
      </w:r>
      <w:r>
        <w:rPr>
          <w:noProof/>
        </w:rPr>
        <w:tab/>
      </w:r>
      <w:r>
        <w:rPr>
          <w:noProof/>
        </w:rPr>
        <w:fldChar w:fldCharType="begin"/>
      </w:r>
      <w:r>
        <w:rPr>
          <w:noProof/>
        </w:rPr>
        <w:instrText xml:space="preserve"> PAGEREF _Toc451437152 \h </w:instrText>
      </w:r>
      <w:r>
        <w:rPr>
          <w:noProof/>
        </w:rPr>
      </w:r>
      <w:r>
        <w:rPr>
          <w:noProof/>
        </w:rPr>
        <w:fldChar w:fldCharType="separate"/>
      </w:r>
      <w:r w:rsidR="00C50388">
        <w:rPr>
          <w:noProof/>
        </w:rPr>
        <w:t>14</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9.6</w:t>
      </w:r>
      <w:r>
        <w:rPr>
          <w:rFonts w:asciiTheme="minorHAnsi" w:eastAsiaTheme="minorEastAsia" w:hAnsiTheme="minorHAnsi" w:cstheme="minorBidi"/>
          <w:noProof/>
          <w:sz w:val="22"/>
          <w:szCs w:val="22"/>
          <w:lang w:eastAsia="en-GB"/>
        </w:rPr>
        <w:tab/>
      </w:r>
      <w:r>
        <w:rPr>
          <w:noProof/>
        </w:rPr>
        <w:t>Key Performance Indicators</w:t>
      </w:r>
      <w:r>
        <w:rPr>
          <w:noProof/>
        </w:rPr>
        <w:tab/>
      </w:r>
      <w:r>
        <w:rPr>
          <w:noProof/>
        </w:rPr>
        <w:fldChar w:fldCharType="begin"/>
      </w:r>
      <w:r>
        <w:rPr>
          <w:noProof/>
        </w:rPr>
        <w:instrText xml:space="preserve"> PAGEREF _Toc451437153 \h </w:instrText>
      </w:r>
      <w:r>
        <w:rPr>
          <w:noProof/>
        </w:rPr>
      </w:r>
      <w:r>
        <w:rPr>
          <w:noProof/>
        </w:rPr>
        <w:fldChar w:fldCharType="separate"/>
      </w:r>
      <w:r w:rsidR="00C50388">
        <w:rPr>
          <w:noProof/>
        </w:rPr>
        <w:t>15</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9.7</w:t>
      </w:r>
      <w:r>
        <w:rPr>
          <w:rFonts w:asciiTheme="minorHAnsi" w:eastAsiaTheme="minorEastAsia" w:hAnsiTheme="minorHAnsi" w:cstheme="minorBidi"/>
          <w:noProof/>
          <w:sz w:val="22"/>
          <w:szCs w:val="22"/>
          <w:lang w:eastAsia="en-GB"/>
        </w:rPr>
        <w:tab/>
      </w:r>
      <w:r>
        <w:rPr>
          <w:noProof/>
        </w:rPr>
        <w:t>Performance Outcomes</w:t>
      </w:r>
      <w:r>
        <w:rPr>
          <w:noProof/>
        </w:rPr>
        <w:tab/>
      </w:r>
      <w:r>
        <w:rPr>
          <w:noProof/>
        </w:rPr>
        <w:fldChar w:fldCharType="begin"/>
      </w:r>
      <w:r>
        <w:rPr>
          <w:noProof/>
        </w:rPr>
        <w:instrText xml:space="preserve"> PAGEREF _Toc451437154 \h </w:instrText>
      </w:r>
      <w:r>
        <w:rPr>
          <w:noProof/>
        </w:rPr>
      </w:r>
      <w:r>
        <w:rPr>
          <w:noProof/>
        </w:rPr>
        <w:fldChar w:fldCharType="separate"/>
      </w:r>
      <w:r w:rsidR="00C50388">
        <w:rPr>
          <w:noProof/>
        </w:rPr>
        <w:t>18</w:t>
      </w:r>
      <w:r>
        <w:rPr>
          <w:noProof/>
        </w:rPr>
        <w:fldChar w:fldCharType="end"/>
      </w:r>
    </w:p>
    <w:p w:rsidR="00C045F1" w:rsidRDefault="00C045F1">
      <w:pPr>
        <w:pStyle w:val="TOC2"/>
        <w:tabs>
          <w:tab w:val="left" w:pos="1320"/>
          <w:tab w:val="right" w:leader="dot" w:pos="9016"/>
        </w:tabs>
        <w:rPr>
          <w:rFonts w:asciiTheme="minorHAnsi" w:eastAsiaTheme="minorEastAsia" w:hAnsiTheme="minorHAnsi" w:cstheme="minorBidi"/>
          <w:noProof/>
          <w:sz w:val="22"/>
          <w:szCs w:val="22"/>
          <w:lang w:eastAsia="en-GB"/>
        </w:rPr>
      </w:pPr>
      <w:r w:rsidRPr="00001F77">
        <w:rPr>
          <w:noProof/>
        </w:rPr>
        <w:t>9.8</w:t>
      </w:r>
      <w:r>
        <w:rPr>
          <w:rFonts w:asciiTheme="minorHAnsi" w:eastAsiaTheme="minorEastAsia" w:hAnsiTheme="minorHAnsi" w:cstheme="minorBidi"/>
          <w:noProof/>
          <w:sz w:val="22"/>
          <w:szCs w:val="22"/>
          <w:lang w:eastAsia="en-GB"/>
        </w:rPr>
        <w:tab/>
      </w:r>
      <w:r>
        <w:rPr>
          <w:noProof/>
        </w:rPr>
        <w:t>Service Review</w:t>
      </w:r>
      <w:r>
        <w:rPr>
          <w:noProof/>
        </w:rPr>
        <w:tab/>
      </w:r>
      <w:r>
        <w:rPr>
          <w:noProof/>
        </w:rPr>
        <w:fldChar w:fldCharType="begin"/>
      </w:r>
      <w:r>
        <w:rPr>
          <w:noProof/>
        </w:rPr>
        <w:instrText xml:space="preserve"> PAGEREF _Toc451437155 \h </w:instrText>
      </w:r>
      <w:r>
        <w:rPr>
          <w:noProof/>
        </w:rPr>
      </w:r>
      <w:r>
        <w:rPr>
          <w:noProof/>
        </w:rPr>
        <w:fldChar w:fldCharType="separate"/>
      </w:r>
      <w:r w:rsidR="00C50388">
        <w:rPr>
          <w:noProof/>
        </w:rPr>
        <w:t>18</w:t>
      </w:r>
      <w:r>
        <w:rPr>
          <w:noProof/>
        </w:rPr>
        <w:fldChar w:fldCharType="end"/>
      </w:r>
    </w:p>
    <w:p w:rsidR="005D12E2" w:rsidRPr="00D803FF" w:rsidRDefault="005D12E2" w:rsidP="005D12E2">
      <w:r w:rsidRPr="00D803FF">
        <w:rPr>
          <w:rFonts w:ascii="Arial" w:hAnsi="Arial" w:cs="Arial"/>
          <w:sz w:val="24"/>
          <w:szCs w:val="24"/>
        </w:rPr>
        <w:fldChar w:fldCharType="end"/>
      </w:r>
    </w:p>
    <w:p w:rsidR="005D12E2" w:rsidRDefault="005D12E2" w:rsidP="005D12E2">
      <w:r w:rsidRPr="00D803FF">
        <w:br w:type="page"/>
      </w:r>
      <w:bookmarkStart w:id="5" w:name="_Toc211740592"/>
      <w:bookmarkEnd w:id="2"/>
      <w:bookmarkEnd w:id="3"/>
    </w:p>
    <w:p w:rsidR="00240562" w:rsidRPr="007733DB" w:rsidRDefault="00240562" w:rsidP="00240562">
      <w:pPr>
        <w:pStyle w:val="Heading1"/>
        <w:numPr>
          <w:ilvl w:val="0"/>
          <w:numId w:val="0"/>
        </w:numPr>
        <w:ind w:left="142"/>
      </w:pPr>
      <w:bookmarkStart w:id="6" w:name="_Toc451437130"/>
      <w:r>
        <w:lastRenderedPageBreak/>
        <w:t>Definitions and Interpretation</w:t>
      </w:r>
      <w:bookmarkEnd w:id="6"/>
    </w:p>
    <w:p w:rsidR="00971D80" w:rsidRDefault="00971D80" w:rsidP="00240562">
      <w:pPr>
        <w:autoSpaceDE w:val="0"/>
        <w:autoSpaceDN w:val="0"/>
        <w:adjustRightInd w:val="0"/>
        <w:spacing w:before="0" w:after="0"/>
        <w:rPr>
          <w:rFonts w:cs="Helvetica"/>
          <w:color w:val="76923C" w:themeColor="accent3" w:themeShade="BF"/>
          <w:sz w:val="22"/>
          <w:szCs w:val="22"/>
        </w:rPr>
      </w:pPr>
    </w:p>
    <w:p w:rsidR="00240562" w:rsidRPr="00B14D0B" w:rsidRDefault="00240562" w:rsidP="00240562">
      <w:pPr>
        <w:autoSpaceDE w:val="0"/>
        <w:autoSpaceDN w:val="0"/>
        <w:adjustRightInd w:val="0"/>
        <w:spacing w:before="0" w:after="0"/>
        <w:rPr>
          <w:rFonts w:cs="Helvetica"/>
          <w:sz w:val="22"/>
          <w:szCs w:val="22"/>
        </w:rPr>
      </w:pPr>
      <w:r w:rsidRPr="00B14D0B">
        <w:rPr>
          <w:rFonts w:cs="Helvetica"/>
          <w:sz w:val="22"/>
          <w:szCs w:val="22"/>
        </w:rPr>
        <w:t>In this Specification the following expressions shall have the following</w:t>
      </w:r>
    </w:p>
    <w:p w:rsidR="00240562" w:rsidRPr="00B14D0B" w:rsidRDefault="00240562" w:rsidP="00240562">
      <w:pPr>
        <w:autoSpaceDE w:val="0"/>
        <w:autoSpaceDN w:val="0"/>
        <w:adjustRightInd w:val="0"/>
        <w:spacing w:after="0"/>
        <w:rPr>
          <w:rFonts w:cs="Helvetica"/>
          <w:sz w:val="22"/>
          <w:szCs w:val="22"/>
        </w:rPr>
      </w:pPr>
      <w:proofErr w:type="gramStart"/>
      <w:r w:rsidRPr="00B14D0B">
        <w:rPr>
          <w:rFonts w:cs="Helvetica"/>
          <w:sz w:val="22"/>
          <w:szCs w:val="22"/>
        </w:rPr>
        <w:t>meanings</w:t>
      </w:r>
      <w:proofErr w:type="gramEnd"/>
      <w:r w:rsidRPr="00B14D0B">
        <w:rPr>
          <w:rFonts w:cs="Helvetica"/>
          <w:sz w:val="22"/>
          <w:szCs w:val="22"/>
        </w:rPr>
        <w:t>:</w:t>
      </w:r>
    </w:p>
    <w:p w:rsidR="00971D80" w:rsidRPr="00F5393F" w:rsidRDefault="00971D80" w:rsidP="00971D80">
      <w:pPr>
        <w:jc w:val="both"/>
        <w:rPr>
          <w:color w:val="0000FF"/>
          <w:sz w:val="22"/>
          <w:szCs w:val="22"/>
        </w:rPr>
      </w:pPr>
    </w:p>
    <w:p w:rsidR="00971D80" w:rsidRPr="00D660FB" w:rsidRDefault="00971D80" w:rsidP="00971D80">
      <w:pPr>
        <w:rPr>
          <w:rFonts w:cs="Arial"/>
          <w:b/>
          <w:bCs/>
          <w:i/>
          <w:iCs/>
          <w:sz w:val="22"/>
          <w:szCs w:val="22"/>
        </w:rPr>
      </w:pPr>
      <w:r w:rsidRPr="00D660FB">
        <w:rPr>
          <w:rFonts w:cs="Arial"/>
          <w:b/>
          <w:bCs/>
          <w:i/>
          <w:iCs/>
          <w:sz w:val="22"/>
          <w:szCs w:val="22"/>
        </w:rPr>
        <w:t>“</w:t>
      </w:r>
      <w:r w:rsidRPr="00D660FB">
        <w:rPr>
          <w:rFonts w:cs="Arial"/>
          <w:b/>
          <w:bCs/>
          <w:iCs/>
          <w:sz w:val="22"/>
          <w:szCs w:val="22"/>
        </w:rPr>
        <w:t>Contract</w:t>
      </w:r>
      <w:r w:rsidRPr="00D660FB">
        <w:rPr>
          <w:rFonts w:cs="Arial"/>
          <w:b/>
          <w:bCs/>
          <w:i/>
          <w:iCs/>
          <w:sz w:val="22"/>
          <w:szCs w:val="22"/>
        </w:rPr>
        <w:t>”</w:t>
      </w:r>
    </w:p>
    <w:p w:rsidR="00971D80" w:rsidRDefault="00971D80" w:rsidP="00971D80">
      <w:pPr>
        <w:ind w:left="2160" w:hanging="1440"/>
        <w:rPr>
          <w:rFonts w:cs="Arial"/>
          <w:b/>
          <w:bCs/>
          <w:sz w:val="22"/>
          <w:szCs w:val="22"/>
        </w:rPr>
      </w:pPr>
      <w:proofErr w:type="gramStart"/>
      <w:r>
        <w:rPr>
          <w:rFonts w:cs="Arial"/>
          <w:sz w:val="22"/>
          <w:szCs w:val="22"/>
        </w:rPr>
        <w:t>means</w:t>
      </w:r>
      <w:proofErr w:type="gramEnd"/>
      <w:r>
        <w:rPr>
          <w:rFonts w:cs="Arial"/>
          <w:sz w:val="22"/>
          <w:szCs w:val="22"/>
        </w:rPr>
        <w:t xml:space="preserve">: </w:t>
      </w:r>
      <w:r>
        <w:rPr>
          <w:rFonts w:cs="Arial"/>
          <w:sz w:val="22"/>
          <w:szCs w:val="22"/>
        </w:rPr>
        <w:tab/>
        <w:t xml:space="preserve">the Contract for the provision of the Services, which will be awarded to a successful </w:t>
      </w:r>
      <w:r w:rsidR="00D827F3">
        <w:rPr>
          <w:rFonts w:cs="Arial"/>
          <w:sz w:val="22"/>
          <w:szCs w:val="22"/>
        </w:rPr>
        <w:t>Supplier</w:t>
      </w:r>
      <w:r>
        <w:rPr>
          <w:rFonts w:cs="Arial"/>
          <w:sz w:val="22"/>
          <w:szCs w:val="22"/>
        </w:rPr>
        <w:t>;</w:t>
      </w:r>
      <w:r>
        <w:rPr>
          <w:rFonts w:cs="Arial"/>
          <w:b/>
          <w:bCs/>
          <w:sz w:val="22"/>
          <w:szCs w:val="22"/>
        </w:rPr>
        <w:t xml:space="preserve"> </w:t>
      </w:r>
    </w:p>
    <w:p w:rsidR="00971D80" w:rsidRDefault="00971D80" w:rsidP="00971D80">
      <w:pPr>
        <w:ind w:left="2160" w:hanging="1440"/>
        <w:jc w:val="both"/>
        <w:rPr>
          <w:rFonts w:cs="Arial"/>
          <w:b/>
          <w:bCs/>
          <w:sz w:val="22"/>
          <w:szCs w:val="22"/>
        </w:rPr>
      </w:pPr>
    </w:p>
    <w:p w:rsidR="00971D80" w:rsidRDefault="00971D80" w:rsidP="00971D80">
      <w:pPr>
        <w:jc w:val="both"/>
        <w:rPr>
          <w:rFonts w:cs="Arial"/>
          <w:b/>
          <w:bCs/>
          <w:sz w:val="22"/>
          <w:szCs w:val="22"/>
        </w:rPr>
      </w:pPr>
      <w:r>
        <w:rPr>
          <w:rFonts w:cs="Arial"/>
          <w:b/>
          <w:bCs/>
          <w:sz w:val="22"/>
          <w:szCs w:val="22"/>
        </w:rPr>
        <w:t>“Council”</w:t>
      </w:r>
    </w:p>
    <w:p w:rsidR="00971D80" w:rsidRDefault="00971D80" w:rsidP="00971D80">
      <w:pPr>
        <w:ind w:left="2160" w:hanging="2160"/>
        <w:jc w:val="both"/>
        <w:rPr>
          <w:rFonts w:cs="Arial"/>
          <w:color w:val="000000"/>
          <w:sz w:val="22"/>
          <w:szCs w:val="22"/>
        </w:rPr>
      </w:pPr>
      <w:r>
        <w:rPr>
          <w:rFonts w:cs="Arial"/>
          <w:sz w:val="22"/>
          <w:szCs w:val="22"/>
        </w:rPr>
        <w:t xml:space="preserve">         </w:t>
      </w:r>
      <w:proofErr w:type="gramStart"/>
      <w:r>
        <w:rPr>
          <w:rFonts w:cs="Arial"/>
          <w:color w:val="000000"/>
          <w:sz w:val="22"/>
          <w:szCs w:val="22"/>
        </w:rPr>
        <w:t>means</w:t>
      </w:r>
      <w:proofErr w:type="gramEnd"/>
      <w:r>
        <w:rPr>
          <w:rFonts w:cs="Arial"/>
          <w:color w:val="000000"/>
          <w:sz w:val="22"/>
          <w:szCs w:val="22"/>
        </w:rPr>
        <w:t xml:space="preserve">: </w:t>
      </w:r>
      <w:r>
        <w:rPr>
          <w:rFonts w:cs="Arial"/>
          <w:color w:val="000000"/>
          <w:sz w:val="22"/>
          <w:szCs w:val="22"/>
        </w:rPr>
        <w:tab/>
        <w:t xml:space="preserve">Cornwall Council, County Hall, </w:t>
      </w:r>
      <w:proofErr w:type="spellStart"/>
      <w:r>
        <w:rPr>
          <w:rFonts w:cs="Arial"/>
          <w:color w:val="000000"/>
          <w:sz w:val="22"/>
          <w:szCs w:val="22"/>
        </w:rPr>
        <w:t>Treyew</w:t>
      </w:r>
      <w:proofErr w:type="spellEnd"/>
      <w:r>
        <w:rPr>
          <w:rFonts w:cs="Arial"/>
          <w:color w:val="000000"/>
          <w:sz w:val="22"/>
          <w:szCs w:val="22"/>
        </w:rPr>
        <w:t xml:space="preserve"> Road, Truro, Cornwall TR1 3AY;</w:t>
      </w:r>
    </w:p>
    <w:p w:rsidR="00971D80" w:rsidRPr="00E54EB9" w:rsidRDefault="00971D80" w:rsidP="00971D80">
      <w:pPr>
        <w:rPr>
          <w:rFonts w:cs="Arial"/>
          <w:b/>
          <w:bCs/>
          <w:iCs/>
          <w:sz w:val="22"/>
          <w:szCs w:val="22"/>
        </w:rPr>
      </w:pPr>
      <w:r>
        <w:rPr>
          <w:rFonts w:cs="Arial"/>
          <w:bCs/>
          <w:iCs/>
          <w:sz w:val="22"/>
          <w:szCs w:val="22"/>
        </w:rPr>
        <w:t xml:space="preserve"> </w:t>
      </w:r>
      <w:r w:rsidRPr="00E54EB9">
        <w:rPr>
          <w:rFonts w:cs="Arial"/>
          <w:b/>
          <w:bCs/>
          <w:iCs/>
          <w:sz w:val="22"/>
          <w:szCs w:val="22"/>
        </w:rPr>
        <w:t>“Services”</w:t>
      </w:r>
    </w:p>
    <w:p w:rsidR="00971D80" w:rsidRPr="0095462E" w:rsidRDefault="00971D80" w:rsidP="00971D80">
      <w:pPr>
        <w:ind w:left="2160" w:hanging="1440"/>
        <w:rPr>
          <w:rFonts w:cs="Arial"/>
          <w:color w:val="0000FF"/>
          <w:sz w:val="22"/>
          <w:szCs w:val="22"/>
        </w:rPr>
      </w:pPr>
      <w:proofErr w:type="gramStart"/>
      <w:r>
        <w:rPr>
          <w:rFonts w:cs="Arial"/>
          <w:color w:val="000000"/>
          <w:sz w:val="22"/>
          <w:szCs w:val="22"/>
        </w:rPr>
        <w:t>means</w:t>
      </w:r>
      <w:proofErr w:type="gramEnd"/>
      <w:r>
        <w:rPr>
          <w:rFonts w:cs="Arial"/>
          <w:color w:val="000000"/>
          <w:sz w:val="22"/>
          <w:szCs w:val="22"/>
        </w:rPr>
        <w:t>:</w:t>
      </w:r>
      <w:r>
        <w:rPr>
          <w:rFonts w:cs="Arial"/>
          <w:b/>
          <w:bCs/>
          <w:color w:val="000000"/>
          <w:sz w:val="22"/>
          <w:szCs w:val="22"/>
        </w:rPr>
        <w:t xml:space="preserve"> </w:t>
      </w:r>
      <w:r>
        <w:rPr>
          <w:rFonts w:cs="Arial"/>
          <w:b/>
          <w:bCs/>
          <w:color w:val="000000"/>
          <w:sz w:val="22"/>
          <w:szCs w:val="22"/>
        </w:rPr>
        <w:tab/>
      </w:r>
      <w:r w:rsidRPr="0095462E">
        <w:rPr>
          <w:rFonts w:cs="Arial"/>
          <w:color w:val="000000"/>
          <w:sz w:val="22"/>
          <w:szCs w:val="22"/>
        </w:rPr>
        <w:t xml:space="preserve">the provision of </w:t>
      </w:r>
      <w:r w:rsidR="0095462E" w:rsidRPr="0095462E">
        <w:rPr>
          <w:rFonts w:cs="Arial"/>
          <w:color w:val="000000"/>
          <w:sz w:val="22"/>
          <w:szCs w:val="22"/>
        </w:rPr>
        <w:t>Independent Mobility Assessments (Blue Badge)</w:t>
      </w:r>
      <w:r w:rsidR="0095462E">
        <w:rPr>
          <w:rFonts w:cs="Arial"/>
          <w:color w:val="000000"/>
          <w:sz w:val="22"/>
          <w:szCs w:val="22"/>
        </w:rPr>
        <w:t xml:space="preserve"> for The Blue Badge Scheme</w:t>
      </w:r>
      <w:r w:rsidRPr="0095462E">
        <w:rPr>
          <w:rFonts w:cs="Arial"/>
          <w:color w:val="000000"/>
          <w:sz w:val="22"/>
          <w:szCs w:val="22"/>
        </w:rPr>
        <w:t xml:space="preserve"> as described in this Specification.</w:t>
      </w:r>
    </w:p>
    <w:p w:rsidR="00971D80" w:rsidRPr="0095462E" w:rsidRDefault="00971D80" w:rsidP="00971D80">
      <w:pPr>
        <w:autoSpaceDE w:val="0"/>
        <w:autoSpaceDN w:val="0"/>
        <w:adjustRightInd w:val="0"/>
        <w:jc w:val="both"/>
        <w:rPr>
          <w:rFonts w:cs="Arial"/>
          <w:color w:val="0000FF"/>
          <w:sz w:val="22"/>
          <w:szCs w:val="22"/>
        </w:rPr>
      </w:pPr>
    </w:p>
    <w:p w:rsidR="00971D80" w:rsidRDefault="00971D80" w:rsidP="00971D80">
      <w:pPr>
        <w:jc w:val="both"/>
        <w:rPr>
          <w:rFonts w:cs="Arial"/>
          <w:b/>
          <w:bCs/>
          <w:sz w:val="22"/>
          <w:szCs w:val="22"/>
        </w:rPr>
      </w:pPr>
      <w:r>
        <w:rPr>
          <w:rFonts w:cs="Arial"/>
          <w:b/>
          <w:bCs/>
          <w:sz w:val="22"/>
          <w:szCs w:val="22"/>
        </w:rPr>
        <w:t>“</w:t>
      </w:r>
      <w:r w:rsidR="00D827F3">
        <w:rPr>
          <w:rFonts w:cs="Arial"/>
          <w:b/>
          <w:bCs/>
          <w:sz w:val="22"/>
          <w:szCs w:val="22"/>
        </w:rPr>
        <w:t>Supplier</w:t>
      </w:r>
      <w:r>
        <w:rPr>
          <w:rFonts w:cs="Arial"/>
          <w:b/>
          <w:bCs/>
          <w:sz w:val="22"/>
          <w:szCs w:val="22"/>
        </w:rPr>
        <w:t>/Provider”</w:t>
      </w:r>
    </w:p>
    <w:p w:rsidR="00971D80" w:rsidRDefault="00971D80" w:rsidP="00971D80">
      <w:pPr>
        <w:ind w:left="2160" w:hanging="1440"/>
        <w:jc w:val="both"/>
        <w:rPr>
          <w:rFonts w:cs="Arial"/>
          <w:sz w:val="22"/>
          <w:szCs w:val="22"/>
        </w:rPr>
      </w:pPr>
      <w:proofErr w:type="gramStart"/>
      <w:r>
        <w:rPr>
          <w:rFonts w:cs="Arial"/>
          <w:color w:val="000000"/>
          <w:sz w:val="22"/>
          <w:szCs w:val="22"/>
        </w:rPr>
        <w:t>means</w:t>
      </w:r>
      <w:proofErr w:type="gramEnd"/>
      <w:r>
        <w:rPr>
          <w:rFonts w:cs="Arial"/>
          <w:color w:val="000000"/>
          <w:sz w:val="22"/>
          <w:szCs w:val="22"/>
        </w:rPr>
        <w:t>:</w:t>
      </w:r>
      <w:r>
        <w:rPr>
          <w:rFonts w:cs="Arial"/>
          <w:color w:val="000000"/>
          <w:sz w:val="22"/>
          <w:szCs w:val="22"/>
        </w:rPr>
        <w:tab/>
        <w:t xml:space="preserve">any person or persons, firm or firms or company or companies applying to tender for the Services, Supplies or Works, or, where there is more than one organisation applying, the lead </w:t>
      </w:r>
      <w:r>
        <w:rPr>
          <w:rFonts w:cs="Arial"/>
          <w:sz w:val="22"/>
          <w:szCs w:val="22"/>
        </w:rPr>
        <w:t>organisation;</w:t>
      </w:r>
    </w:p>
    <w:p w:rsidR="00971D80" w:rsidRDefault="00971D80" w:rsidP="00971D80">
      <w:pPr>
        <w:jc w:val="both"/>
        <w:rPr>
          <w:rFonts w:cs="Arial"/>
          <w:color w:val="000000"/>
          <w:sz w:val="22"/>
          <w:szCs w:val="22"/>
        </w:rPr>
      </w:pPr>
    </w:p>
    <w:p w:rsidR="00971D80" w:rsidRDefault="00971D80" w:rsidP="00971D80">
      <w:pPr>
        <w:jc w:val="both"/>
        <w:rPr>
          <w:rFonts w:cs="Arial"/>
          <w:b/>
          <w:bCs/>
          <w:sz w:val="22"/>
          <w:szCs w:val="22"/>
        </w:rPr>
      </w:pPr>
      <w:r>
        <w:rPr>
          <w:rFonts w:cs="Arial"/>
          <w:b/>
          <w:bCs/>
          <w:sz w:val="22"/>
          <w:szCs w:val="22"/>
        </w:rPr>
        <w:t>“The Council’s Contract Manager”</w:t>
      </w:r>
    </w:p>
    <w:p w:rsidR="00971D80" w:rsidRDefault="00971D80" w:rsidP="00BC49B8">
      <w:pPr>
        <w:pStyle w:val="Header"/>
        <w:ind w:left="2160" w:hanging="2160"/>
        <w:rPr>
          <w:b/>
          <w:bCs/>
          <w:sz w:val="22"/>
          <w:szCs w:val="22"/>
        </w:rPr>
      </w:pPr>
      <w:r>
        <w:rPr>
          <w:sz w:val="22"/>
          <w:szCs w:val="22"/>
        </w:rPr>
        <w:t xml:space="preserve">         </w:t>
      </w:r>
      <w:proofErr w:type="gramStart"/>
      <w:r>
        <w:rPr>
          <w:sz w:val="22"/>
          <w:szCs w:val="22"/>
        </w:rPr>
        <w:t>means</w:t>
      </w:r>
      <w:proofErr w:type="gramEnd"/>
      <w:r>
        <w:rPr>
          <w:sz w:val="22"/>
          <w:szCs w:val="22"/>
        </w:rPr>
        <w:t xml:space="preserve">:    </w:t>
      </w:r>
      <w:r>
        <w:rPr>
          <w:sz w:val="22"/>
          <w:szCs w:val="22"/>
        </w:rPr>
        <w:tab/>
        <w:t>the representative of Cornwall Council responsible for arranging   and leading Contract Review Meetings</w:t>
      </w:r>
    </w:p>
    <w:p w:rsidR="00971D80" w:rsidRDefault="00971D80" w:rsidP="00971D80">
      <w:pPr>
        <w:pStyle w:val="Header"/>
        <w:jc w:val="both"/>
        <w:rPr>
          <w:rFonts w:cs="Arial"/>
          <w:sz w:val="22"/>
          <w:szCs w:val="22"/>
        </w:rPr>
      </w:pPr>
    </w:p>
    <w:p w:rsidR="00971D80" w:rsidRDefault="00971D80" w:rsidP="00971D80">
      <w:pPr>
        <w:jc w:val="both"/>
        <w:rPr>
          <w:rFonts w:cs="Arial"/>
          <w:b/>
          <w:bCs/>
          <w:sz w:val="22"/>
          <w:szCs w:val="22"/>
          <w:lang w:val="fr-FR"/>
        </w:rPr>
      </w:pPr>
      <w:r>
        <w:rPr>
          <w:rFonts w:cs="Arial"/>
          <w:b/>
          <w:bCs/>
          <w:sz w:val="22"/>
          <w:szCs w:val="22"/>
          <w:lang w:val="fr-FR"/>
        </w:rPr>
        <w:t xml:space="preserve">“The </w:t>
      </w:r>
      <w:proofErr w:type="spellStart"/>
      <w:r w:rsidR="00D827F3">
        <w:rPr>
          <w:rFonts w:cs="Arial"/>
          <w:b/>
          <w:bCs/>
          <w:sz w:val="22"/>
          <w:szCs w:val="22"/>
          <w:lang w:val="fr-FR"/>
        </w:rPr>
        <w:t>Supplier</w:t>
      </w:r>
      <w:r>
        <w:rPr>
          <w:rFonts w:cs="Arial"/>
          <w:b/>
          <w:bCs/>
          <w:sz w:val="22"/>
          <w:szCs w:val="22"/>
          <w:lang w:val="fr-FR"/>
        </w:rPr>
        <w:t>’s</w:t>
      </w:r>
      <w:proofErr w:type="spellEnd"/>
      <w:r>
        <w:rPr>
          <w:rFonts w:cs="Arial"/>
          <w:b/>
          <w:bCs/>
          <w:sz w:val="22"/>
          <w:szCs w:val="22"/>
          <w:lang w:val="fr-FR"/>
        </w:rPr>
        <w:t xml:space="preserve"> </w:t>
      </w:r>
      <w:proofErr w:type="spellStart"/>
      <w:r>
        <w:rPr>
          <w:rFonts w:cs="Arial"/>
          <w:b/>
          <w:bCs/>
          <w:sz w:val="22"/>
          <w:szCs w:val="22"/>
          <w:lang w:val="fr-FR"/>
        </w:rPr>
        <w:t>Contract</w:t>
      </w:r>
      <w:proofErr w:type="spellEnd"/>
      <w:r>
        <w:rPr>
          <w:rFonts w:cs="Arial"/>
          <w:b/>
          <w:bCs/>
          <w:sz w:val="22"/>
          <w:szCs w:val="22"/>
          <w:lang w:val="fr-FR"/>
        </w:rPr>
        <w:t xml:space="preserve"> Manager” </w:t>
      </w:r>
    </w:p>
    <w:p w:rsidR="00AA206B" w:rsidRDefault="00971D80" w:rsidP="009C3275">
      <w:pPr>
        <w:tabs>
          <w:tab w:val="left" w:pos="2160"/>
          <w:tab w:val="left" w:pos="4150"/>
        </w:tabs>
        <w:ind w:left="2160" w:hanging="1440"/>
        <w:jc w:val="both"/>
        <w:rPr>
          <w:rFonts w:cs="Arial"/>
          <w:sz w:val="22"/>
          <w:szCs w:val="22"/>
          <w:lang w:val="fr-FR"/>
        </w:rPr>
      </w:pPr>
      <w:proofErr w:type="spellStart"/>
      <w:proofErr w:type="gramStart"/>
      <w:r>
        <w:rPr>
          <w:rFonts w:cs="Arial"/>
          <w:sz w:val="22"/>
          <w:szCs w:val="22"/>
          <w:lang w:val="fr-FR"/>
        </w:rPr>
        <w:t>means</w:t>
      </w:r>
      <w:proofErr w:type="spellEnd"/>
      <w:proofErr w:type="gramEnd"/>
      <w:r>
        <w:rPr>
          <w:rFonts w:cs="Arial"/>
          <w:sz w:val="22"/>
          <w:szCs w:val="22"/>
          <w:lang w:val="fr-FR"/>
        </w:rPr>
        <w:t>:</w:t>
      </w:r>
      <w:r>
        <w:rPr>
          <w:rFonts w:cs="Arial"/>
          <w:sz w:val="22"/>
          <w:szCs w:val="22"/>
          <w:lang w:val="fr-FR"/>
        </w:rPr>
        <w:tab/>
      </w:r>
      <w:r>
        <w:rPr>
          <w:sz w:val="22"/>
          <w:szCs w:val="22"/>
        </w:rPr>
        <w:t>the representative of the Provider/</w:t>
      </w:r>
      <w:r w:rsidR="00D827F3">
        <w:rPr>
          <w:sz w:val="22"/>
          <w:szCs w:val="22"/>
        </w:rPr>
        <w:t>Supplier</w:t>
      </w:r>
      <w:r>
        <w:rPr>
          <w:sz w:val="22"/>
          <w:szCs w:val="22"/>
        </w:rPr>
        <w:t xml:space="preserve"> responsible for   attending Contract Review Meetings and </w:t>
      </w:r>
      <w:proofErr w:type="spellStart"/>
      <w:r>
        <w:rPr>
          <w:sz w:val="22"/>
          <w:szCs w:val="22"/>
        </w:rPr>
        <w:t>actioning</w:t>
      </w:r>
      <w:proofErr w:type="spellEnd"/>
      <w:r>
        <w:rPr>
          <w:sz w:val="22"/>
          <w:szCs w:val="22"/>
        </w:rPr>
        <w:t xml:space="preserve"> any changes</w:t>
      </w:r>
    </w:p>
    <w:p w:rsidR="00971D80" w:rsidRPr="003A28FA" w:rsidRDefault="00971D80" w:rsidP="00971D80">
      <w:pPr>
        <w:pStyle w:val="Bullets"/>
        <w:numPr>
          <w:ilvl w:val="0"/>
          <w:numId w:val="0"/>
        </w:numPr>
        <w:spacing w:after="0" w:line="240" w:lineRule="auto"/>
        <w:jc w:val="both"/>
        <w:rPr>
          <w:rFonts w:ascii="Verdana" w:hAnsi="Verdana"/>
          <w:sz w:val="22"/>
          <w:szCs w:val="22"/>
        </w:rPr>
      </w:pPr>
      <w:r>
        <w:rPr>
          <w:rFonts w:ascii="Verdana" w:hAnsi="Verdana"/>
          <w:i/>
          <w:sz w:val="22"/>
          <w:szCs w:val="22"/>
        </w:rPr>
        <w:tab/>
      </w:r>
    </w:p>
    <w:p w:rsidR="00971D80" w:rsidRDefault="00971D80" w:rsidP="00971D80">
      <w:pPr>
        <w:jc w:val="both"/>
        <w:rPr>
          <w:rFonts w:cs="Arial"/>
          <w:b/>
          <w:bCs/>
          <w:sz w:val="22"/>
          <w:szCs w:val="22"/>
        </w:rPr>
      </w:pPr>
      <w:r>
        <w:rPr>
          <w:rFonts w:cs="Arial"/>
          <w:b/>
          <w:bCs/>
          <w:sz w:val="22"/>
          <w:szCs w:val="22"/>
        </w:rPr>
        <w:t>“Service User”</w:t>
      </w:r>
    </w:p>
    <w:p w:rsidR="00971D80" w:rsidRDefault="00971D80" w:rsidP="00971D80">
      <w:pPr>
        <w:pStyle w:val="Header"/>
        <w:tabs>
          <w:tab w:val="center" w:pos="2160"/>
        </w:tabs>
        <w:ind w:left="2160" w:hanging="2160"/>
        <w:jc w:val="both"/>
        <w:rPr>
          <w:rFonts w:cs="Arial"/>
          <w:sz w:val="22"/>
          <w:szCs w:val="22"/>
        </w:rPr>
      </w:pPr>
      <w:r>
        <w:rPr>
          <w:rFonts w:cs="Arial"/>
          <w:sz w:val="22"/>
          <w:szCs w:val="22"/>
        </w:rPr>
        <w:t xml:space="preserve">         </w:t>
      </w:r>
      <w:proofErr w:type="gramStart"/>
      <w:r>
        <w:rPr>
          <w:rFonts w:cs="Arial"/>
          <w:sz w:val="22"/>
          <w:szCs w:val="22"/>
        </w:rPr>
        <w:t>means</w:t>
      </w:r>
      <w:proofErr w:type="gramEnd"/>
      <w:r>
        <w:rPr>
          <w:rFonts w:cs="Arial"/>
          <w:sz w:val="22"/>
          <w:szCs w:val="22"/>
        </w:rPr>
        <w:t xml:space="preserve">: </w:t>
      </w:r>
      <w:r w:rsidRPr="00E82256">
        <w:rPr>
          <w:rFonts w:cs="Arial"/>
          <w:sz w:val="22"/>
          <w:szCs w:val="22"/>
        </w:rPr>
        <w:tab/>
      </w:r>
      <w:r w:rsidRPr="00E82256">
        <w:rPr>
          <w:rFonts w:cs="Arial"/>
          <w:sz w:val="22"/>
          <w:szCs w:val="22"/>
        </w:rPr>
        <w:tab/>
      </w:r>
      <w:r>
        <w:rPr>
          <w:rFonts w:cs="Arial"/>
          <w:color w:val="000000"/>
          <w:sz w:val="22"/>
          <w:szCs w:val="22"/>
        </w:rPr>
        <w:t>an individual who accesses services provided by the Council</w:t>
      </w:r>
      <w:r>
        <w:rPr>
          <w:rFonts w:cs="Arial"/>
          <w:sz w:val="22"/>
          <w:szCs w:val="22"/>
        </w:rPr>
        <w:t xml:space="preserve">       </w:t>
      </w:r>
    </w:p>
    <w:p w:rsidR="00971D80" w:rsidRDefault="00971D80" w:rsidP="00240562">
      <w:pPr>
        <w:autoSpaceDE w:val="0"/>
        <w:autoSpaceDN w:val="0"/>
        <w:adjustRightInd w:val="0"/>
        <w:spacing w:after="0"/>
        <w:rPr>
          <w:rFonts w:cs="Helvetica"/>
          <w:color w:val="76923C" w:themeColor="accent3" w:themeShade="BF"/>
          <w:sz w:val="22"/>
          <w:szCs w:val="22"/>
        </w:rPr>
      </w:pPr>
    </w:p>
    <w:p w:rsidR="00AA206B" w:rsidRDefault="00AA206B" w:rsidP="00AA206B">
      <w:pPr>
        <w:jc w:val="both"/>
        <w:rPr>
          <w:rFonts w:cs="Arial"/>
          <w:b/>
          <w:bCs/>
          <w:sz w:val="22"/>
          <w:szCs w:val="22"/>
        </w:rPr>
      </w:pPr>
      <w:r>
        <w:rPr>
          <w:rFonts w:cs="Arial"/>
          <w:b/>
          <w:bCs/>
          <w:sz w:val="22"/>
          <w:szCs w:val="22"/>
        </w:rPr>
        <w:t>“DfT”</w:t>
      </w:r>
    </w:p>
    <w:p w:rsidR="00AA206B" w:rsidRDefault="00AA206B" w:rsidP="00AA206B">
      <w:pPr>
        <w:jc w:val="both"/>
        <w:rPr>
          <w:rFonts w:cs="Arial"/>
          <w:color w:val="000000"/>
          <w:sz w:val="22"/>
          <w:szCs w:val="22"/>
        </w:rPr>
      </w:pPr>
      <w:r>
        <w:rPr>
          <w:rFonts w:cs="Arial"/>
          <w:sz w:val="22"/>
          <w:szCs w:val="22"/>
        </w:rPr>
        <w:t xml:space="preserve">         </w:t>
      </w:r>
      <w:proofErr w:type="gramStart"/>
      <w:r>
        <w:rPr>
          <w:rFonts w:cs="Arial"/>
          <w:sz w:val="22"/>
          <w:szCs w:val="22"/>
        </w:rPr>
        <w:t>means</w:t>
      </w:r>
      <w:proofErr w:type="gramEnd"/>
      <w:r>
        <w:rPr>
          <w:rFonts w:cs="Arial"/>
          <w:sz w:val="22"/>
          <w:szCs w:val="22"/>
        </w:rPr>
        <w:t xml:space="preserve">: </w:t>
      </w:r>
      <w:r>
        <w:rPr>
          <w:rFonts w:cs="Arial"/>
          <w:sz w:val="22"/>
          <w:szCs w:val="22"/>
        </w:rPr>
        <w:tab/>
      </w:r>
      <w:r>
        <w:rPr>
          <w:rFonts w:cs="Arial"/>
          <w:color w:val="000000"/>
          <w:sz w:val="22"/>
          <w:szCs w:val="22"/>
        </w:rPr>
        <w:t>Department for Transport</w:t>
      </w:r>
    </w:p>
    <w:p w:rsidR="00AA206B" w:rsidRDefault="00AA206B" w:rsidP="00AA206B">
      <w:pPr>
        <w:jc w:val="both"/>
        <w:rPr>
          <w:rFonts w:cs="Arial"/>
          <w:color w:val="000000"/>
          <w:sz w:val="22"/>
          <w:szCs w:val="22"/>
        </w:rPr>
      </w:pPr>
    </w:p>
    <w:p w:rsidR="00AA206B" w:rsidRDefault="00AA206B" w:rsidP="00AA206B">
      <w:pPr>
        <w:jc w:val="both"/>
        <w:rPr>
          <w:rFonts w:cs="Arial"/>
          <w:color w:val="000000"/>
          <w:sz w:val="22"/>
          <w:szCs w:val="22"/>
        </w:rPr>
      </w:pPr>
    </w:p>
    <w:p w:rsidR="00AA206B" w:rsidRDefault="00AA206B" w:rsidP="00AA206B">
      <w:pPr>
        <w:jc w:val="both"/>
        <w:rPr>
          <w:rFonts w:cs="Arial"/>
          <w:b/>
          <w:bCs/>
          <w:sz w:val="22"/>
          <w:szCs w:val="22"/>
        </w:rPr>
      </w:pPr>
      <w:r>
        <w:rPr>
          <w:rFonts w:cs="Arial"/>
          <w:b/>
          <w:bCs/>
          <w:sz w:val="22"/>
          <w:szCs w:val="22"/>
        </w:rPr>
        <w:t>“Medically qualified”</w:t>
      </w:r>
    </w:p>
    <w:p w:rsidR="00240562" w:rsidRPr="009C3275" w:rsidRDefault="00AA206B" w:rsidP="009C3275">
      <w:pPr>
        <w:ind w:left="2160" w:hanging="1470"/>
        <w:jc w:val="both"/>
        <w:rPr>
          <w:rFonts w:cs="Arial"/>
          <w:color w:val="000000"/>
          <w:sz w:val="22"/>
          <w:szCs w:val="22"/>
        </w:rPr>
      </w:pPr>
      <w:proofErr w:type="gramStart"/>
      <w:r>
        <w:rPr>
          <w:rFonts w:cs="Arial"/>
          <w:sz w:val="22"/>
          <w:szCs w:val="22"/>
        </w:rPr>
        <w:t>means</w:t>
      </w:r>
      <w:proofErr w:type="gramEnd"/>
      <w:r>
        <w:rPr>
          <w:rFonts w:cs="Arial"/>
          <w:sz w:val="22"/>
          <w:szCs w:val="22"/>
        </w:rPr>
        <w:t xml:space="preserve">: </w:t>
      </w:r>
      <w:r>
        <w:rPr>
          <w:rFonts w:cs="Arial"/>
          <w:sz w:val="22"/>
          <w:szCs w:val="22"/>
        </w:rPr>
        <w:tab/>
      </w:r>
      <w:r w:rsidR="00141810">
        <w:rPr>
          <w:rFonts w:cs="Arial"/>
          <w:color w:val="000000"/>
          <w:sz w:val="22"/>
          <w:szCs w:val="22"/>
        </w:rPr>
        <w:t xml:space="preserve">is recognised by the issuing authority as holding a professional qualification, the obtaining of which involved them being trained in the assessment of a person’s ability to walk.  </w:t>
      </w:r>
    </w:p>
    <w:tbl>
      <w:tblPr>
        <w:tblW w:w="9889" w:type="dxa"/>
        <w:tblLook w:val="01E0" w:firstRow="1" w:lastRow="1" w:firstColumn="1" w:lastColumn="1" w:noHBand="0" w:noVBand="0"/>
      </w:tblPr>
      <w:tblGrid>
        <w:gridCol w:w="9889"/>
      </w:tblGrid>
      <w:tr w:rsidR="005D12E2" w:rsidRPr="00CF4B4B" w:rsidTr="00596792">
        <w:tc>
          <w:tcPr>
            <w:tcW w:w="9889" w:type="dxa"/>
            <w:shd w:val="clear" w:color="auto" w:fill="auto"/>
          </w:tcPr>
          <w:p w:rsidR="005D12E2" w:rsidRPr="007733DB" w:rsidRDefault="00692DB8" w:rsidP="00596792">
            <w:pPr>
              <w:pStyle w:val="Heading1"/>
            </w:pPr>
            <w:bookmarkStart w:id="7" w:name="_Toc451437131"/>
            <w:r>
              <w:lastRenderedPageBreak/>
              <w:t>Introduction and Overview</w:t>
            </w:r>
            <w:bookmarkEnd w:id="7"/>
          </w:p>
        </w:tc>
      </w:tr>
      <w:bookmarkEnd w:id="5"/>
    </w:tbl>
    <w:p w:rsidR="00CB2010" w:rsidRDefault="00CB2010" w:rsidP="005D12E2">
      <w:pPr>
        <w:rPr>
          <w: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D12E2"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5D12E2" w:rsidRPr="008B5218" w:rsidRDefault="00CB2010" w:rsidP="004D5F56">
            <w:pPr>
              <w:pStyle w:val="Heading2"/>
            </w:pPr>
            <w:bookmarkStart w:id="8" w:name="_Toc451437132"/>
            <w:bookmarkStart w:id="9" w:name="_Toc211740606"/>
            <w:r>
              <w:t>Introduction and Overview</w:t>
            </w:r>
            <w:bookmarkEnd w:id="8"/>
            <w:r>
              <w:t xml:space="preserve"> </w:t>
            </w:r>
          </w:p>
        </w:tc>
      </w:tr>
      <w:tr w:rsidR="005D12E2"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692DB8" w:rsidRDefault="00692DB8" w:rsidP="00CB2010">
            <w:pPr>
              <w:pStyle w:val="NoSpacing"/>
              <w:jc w:val="both"/>
              <w:rPr>
                <w:rFonts w:ascii="Verdana" w:hAnsi="Verdana"/>
              </w:rPr>
            </w:pPr>
            <w:r>
              <w:rPr>
                <w:rFonts w:ascii="Verdana" w:hAnsi="Verdana"/>
              </w:rPr>
              <w:t>The Blue Badge (Disabled Persons’ Parking) scheme was introduced in 1971 under Section 21 of the Chronically S</w:t>
            </w:r>
            <w:r w:rsidR="002537E9">
              <w:rPr>
                <w:rFonts w:ascii="Verdana" w:hAnsi="Verdana"/>
              </w:rPr>
              <w:t>ick and Disabled Persons</w:t>
            </w:r>
            <w:r>
              <w:rPr>
                <w:rFonts w:ascii="Verdana" w:hAnsi="Verdana"/>
              </w:rPr>
              <w:t xml:space="preserve"> Act 1970.</w:t>
            </w:r>
          </w:p>
          <w:p w:rsidR="00692DB8" w:rsidRDefault="00692DB8" w:rsidP="00CB2010">
            <w:pPr>
              <w:pStyle w:val="NoSpacing"/>
              <w:jc w:val="both"/>
              <w:rPr>
                <w:rFonts w:ascii="Verdana" w:hAnsi="Verdana"/>
              </w:rPr>
            </w:pPr>
          </w:p>
          <w:p w:rsidR="00692DB8" w:rsidRDefault="00692DB8" w:rsidP="00CB2010">
            <w:pPr>
              <w:pStyle w:val="NoSpacing"/>
              <w:jc w:val="both"/>
              <w:rPr>
                <w:rFonts w:ascii="Verdana" w:hAnsi="Verdana"/>
              </w:rPr>
            </w:pPr>
            <w:r>
              <w:rPr>
                <w:rFonts w:ascii="Verdana" w:hAnsi="Verdana"/>
              </w:rPr>
              <w:t xml:space="preserve">The aim of the scheme is to help disabled people with severe mobility problems to access goods and services, by allowing them to park close to their destination. The scheme is open to eligible disabled people irrespective of whether they are travelling as a driver or as a passenger.  </w:t>
            </w:r>
          </w:p>
          <w:p w:rsidR="00692DB8" w:rsidRDefault="00692DB8" w:rsidP="00CB2010">
            <w:pPr>
              <w:pStyle w:val="NoSpacing"/>
              <w:jc w:val="both"/>
              <w:rPr>
                <w:rFonts w:ascii="Verdana" w:hAnsi="Verdana"/>
              </w:rPr>
            </w:pPr>
          </w:p>
          <w:p w:rsidR="00692DB8" w:rsidRDefault="00692DB8" w:rsidP="00CB2010">
            <w:pPr>
              <w:pStyle w:val="NoSpacing"/>
              <w:jc w:val="both"/>
              <w:rPr>
                <w:rFonts w:ascii="Verdana" w:hAnsi="Verdana"/>
              </w:rPr>
            </w:pPr>
            <w:r>
              <w:rPr>
                <w:rFonts w:ascii="Verdana" w:hAnsi="Verdana"/>
              </w:rPr>
              <w:t>The scheme provides a national range of on-street parking conc</w:t>
            </w:r>
            <w:r w:rsidR="00EF3974">
              <w:rPr>
                <w:rFonts w:ascii="Verdana" w:hAnsi="Verdana"/>
              </w:rPr>
              <w:t xml:space="preserve">essions to Blue Badge holders. </w:t>
            </w:r>
            <w:r>
              <w:rPr>
                <w:rFonts w:ascii="Verdana" w:hAnsi="Verdana"/>
              </w:rPr>
              <w:t>It allows them to park without charge or time limit in otherwise restricted on-street parking environments, and allows them to park on yellow lines for up to three hours.</w:t>
            </w:r>
          </w:p>
          <w:p w:rsidR="00692DB8" w:rsidRDefault="00692DB8" w:rsidP="00CB2010">
            <w:pPr>
              <w:pStyle w:val="NoSpacing"/>
              <w:jc w:val="both"/>
              <w:rPr>
                <w:rFonts w:ascii="Verdana" w:hAnsi="Verdana"/>
              </w:rPr>
            </w:pPr>
          </w:p>
          <w:p w:rsidR="00692DB8" w:rsidRDefault="00692DB8" w:rsidP="00CB2010">
            <w:pPr>
              <w:pStyle w:val="NoSpacing"/>
              <w:jc w:val="both"/>
              <w:rPr>
                <w:rFonts w:ascii="Verdana" w:hAnsi="Verdana"/>
              </w:rPr>
            </w:pPr>
            <w:r>
              <w:rPr>
                <w:rFonts w:ascii="Verdana" w:hAnsi="Verdana"/>
              </w:rPr>
              <w:t xml:space="preserve">The </w:t>
            </w:r>
            <w:r w:rsidR="00EF3974">
              <w:rPr>
                <w:rFonts w:ascii="Verdana" w:hAnsi="Verdana"/>
              </w:rPr>
              <w:t>Department for Transport (</w:t>
            </w:r>
            <w:r>
              <w:rPr>
                <w:rFonts w:ascii="Verdana" w:hAnsi="Verdana"/>
              </w:rPr>
              <w:t>DfT</w:t>
            </w:r>
            <w:r w:rsidR="00EF3974">
              <w:rPr>
                <w:rFonts w:ascii="Verdana" w:hAnsi="Verdana"/>
              </w:rPr>
              <w:t>)</w:t>
            </w:r>
            <w:r w:rsidR="00161E8D">
              <w:rPr>
                <w:rFonts w:ascii="Verdana" w:hAnsi="Verdana"/>
              </w:rPr>
              <w:t xml:space="preserve"> is responsible for</w:t>
            </w:r>
            <w:r>
              <w:rPr>
                <w:rFonts w:ascii="Verdana" w:hAnsi="Verdana"/>
              </w:rPr>
              <w:t xml:space="preserve"> legislation that sets o</w:t>
            </w:r>
            <w:r w:rsidR="00EF3974">
              <w:rPr>
                <w:rFonts w:ascii="Verdana" w:hAnsi="Verdana"/>
              </w:rPr>
              <w:t>ut the framework for the scheme.</w:t>
            </w:r>
            <w:r>
              <w:rPr>
                <w:rFonts w:ascii="Verdana" w:hAnsi="Verdana"/>
              </w:rPr>
              <w:t xml:space="preserve"> </w:t>
            </w:r>
            <w:r w:rsidR="00EF3974">
              <w:rPr>
                <w:rFonts w:ascii="Verdana" w:hAnsi="Verdana"/>
              </w:rPr>
              <w:t>T</w:t>
            </w:r>
            <w:r>
              <w:rPr>
                <w:rFonts w:ascii="Verdana" w:hAnsi="Verdana"/>
              </w:rPr>
              <w:t xml:space="preserve">hey also provide non-statutory guidance to local authorities on the administration of the scheme.  Cornwall Council is responsible for the day to day administration and enforcement of the scheme.  </w:t>
            </w:r>
          </w:p>
          <w:p w:rsidR="00692DB8" w:rsidRDefault="00692DB8" w:rsidP="00CB2010">
            <w:pPr>
              <w:pStyle w:val="NoSpacing"/>
              <w:jc w:val="both"/>
              <w:rPr>
                <w:rFonts w:ascii="Verdana" w:hAnsi="Verdana"/>
              </w:rPr>
            </w:pPr>
          </w:p>
          <w:p w:rsidR="00692DB8" w:rsidRDefault="00692DB8" w:rsidP="00CB2010">
            <w:pPr>
              <w:pStyle w:val="NoSpacing"/>
              <w:jc w:val="both"/>
              <w:rPr>
                <w:rFonts w:ascii="Verdana" w:hAnsi="Verdana"/>
              </w:rPr>
            </w:pPr>
            <w:r>
              <w:rPr>
                <w:rFonts w:ascii="Verdana" w:hAnsi="Verdana"/>
              </w:rPr>
              <w:t xml:space="preserve">An individual’s eligibility for a Blue Badge is considered in terms of being ‘eligible without further assessment’ or ‘eligible subject to further assessment’. </w:t>
            </w:r>
          </w:p>
          <w:p w:rsidR="00692DB8" w:rsidRDefault="00692DB8" w:rsidP="00CB2010">
            <w:pPr>
              <w:pStyle w:val="NoSpacing"/>
              <w:jc w:val="both"/>
              <w:rPr>
                <w:rFonts w:ascii="Verdana" w:hAnsi="Verdana"/>
              </w:rPr>
            </w:pPr>
          </w:p>
          <w:p w:rsidR="00692DB8" w:rsidRDefault="00692DB8" w:rsidP="00CB2010">
            <w:pPr>
              <w:pStyle w:val="NoSpacing"/>
              <w:jc w:val="both"/>
              <w:rPr>
                <w:rFonts w:ascii="Verdana" w:hAnsi="Verdana"/>
              </w:rPr>
            </w:pPr>
            <w:r>
              <w:rPr>
                <w:rFonts w:ascii="Verdana" w:hAnsi="Verdana"/>
              </w:rPr>
              <w:t xml:space="preserve">Applicants ‘eligible subject to further assessment’ may be issued with a </w:t>
            </w:r>
            <w:r w:rsidR="008E5BDA">
              <w:rPr>
                <w:rFonts w:ascii="Verdana" w:hAnsi="Verdana"/>
              </w:rPr>
              <w:t xml:space="preserve">Blue Badge </w:t>
            </w:r>
            <w:r>
              <w:rPr>
                <w:rFonts w:ascii="Verdana" w:hAnsi="Verdana"/>
              </w:rPr>
              <w:t>if they are more than two years old and fall within the one or more of the following descriptions:</w:t>
            </w:r>
          </w:p>
          <w:p w:rsidR="00CB2010" w:rsidRDefault="00CB2010" w:rsidP="00CB2010">
            <w:pPr>
              <w:pStyle w:val="NoSpacing"/>
              <w:jc w:val="both"/>
              <w:rPr>
                <w:rFonts w:ascii="Verdana" w:hAnsi="Verdana"/>
              </w:rPr>
            </w:pPr>
          </w:p>
          <w:p w:rsidR="00692DB8" w:rsidRDefault="00692DB8" w:rsidP="00CB2010">
            <w:pPr>
              <w:pStyle w:val="NoSpacing"/>
              <w:numPr>
                <w:ilvl w:val="0"/>
                <w:numId w:val="16"/>
              </w:numPr>
              <w:jc w:val="both"/>
              <w:rPr>
                <w:rFonts w:ascii="Verdana" w:hAnsi="Verdana"/>
              </w:rPr>
            </w:pPr>
            <w:r>
              <w:rPr>
                <w:rFonts w:ascii="Verdana" w:hAnsi="Verdana"/>
              </w:rPr>
              <w:t>Drives a vehicle regularly, has a severe disability in both arms and is unable to operate, or has considerable difficulty in operating, all or some types of parking meter; or</w:t>
            </w:r>
          </w:p>
          <w:p w:rsidR="00692DB8" w:rsidRDefault="00692DB8" w:rsidP="00CB2010">
            <w:pPr>
              <w:pStyle w:val="NoSpacing"/>
              <w:numPr>
                <w:ilvl w:val="0"/>
                <w:numId w:val="16"/>
              </w:numPr>
              <w:jc w:val="both"/>
              <w:rPr>
                <w:rFonts w:ascii="Verdana" w:hAnsi="Verdana"/>
              </w:rPr>
            </w:pPr>
            <w:r>
              <w:rPr>
                <w:rFonts w:ascii="Verdana" w:hAnsi="Verdana"/>
              </w:rPr>
              <w:t>Has a permanent and substantial disability that causes inability to walk or very considerable difficulty in walking.</w:t>
            </w:r>
          </w:p>
          <w:p w:rsidR="00692DB8" w:rsidRDefault="00692DB8" w:rsidP="00CB2010">
            <w:pPr>
              <w:pStyle w:val="NoSpacing"/>
              <w:jc w:val="both"/>
              <w:rPr>
                <w:rFonts w:ascii="Verdana" w:hAnsi="Verdana"/>
              </w:rPr>
            </w:pPr>
          </w:p>
          <w:p w:rsidR="00FD4874" w:rsidRPr="00EF3974" w:rsidRDefault="00692DB8" w:rsidP="00772B02">
            <w:pPr>
              <w:pStyle w:val="NoSpacing"/>
              <w:jc w:val="both"/>
              <w:rPr>
                <w:rFonts w:ascii="Verdana" w:hAnsi="Verdana"/>
              </w:rPr>
            </w:pPr>
            <w:r>
              <w:rPr>
                <w:rFonts w:ascii="Verdana" w:hAnsi="Verdana"/>
              </w:rPr>
              <w:t>In cases where there is a permanent or substantial disability</w:t>
            </w:r>
            <w:r w:rsidR="00EF3974">
              <w:rPr>
                <w:rFonts w:ascii="Verdana" w:hAnsi="Verdana"/>
              </w:rPr>
              <w:t>,</w:t>
            </w:r>
            <w:r>
              <w:rPr>
                <w:rFonts w:ascii="Verdana" w:hAnsi="Verdana"/>
              </w:rPr>
              <w:t xml:space="preserve"> the local authority is required</w:t>
            </w:r>
            <w:r w:rsidR="00CD7BAE">
              <w:rPr>
                <w:rFonts w:ascii="Verdana" w:hAnsi="Verdana"/>
              </w:rPr>
              <w:t xml:space="preserve"> to confirm eligibility via an Independent Mobility A</w:t>
            </w:r>
            <w:r>
              <w:rPr>
                <w:rFonts w:ascii="Verdana" w:hAnsi="Verdana"/>
              </w:rPr>
              <w:t xml:space="preserve">ssessment unless it is self-evident from information </w:t>
            </w:r>
            <w:r w:rsidR="00EF3974">
              <w:rPr>
                <w:rFonts w:ascii="Verdana" w:hAnsi="Verdana"/>
              </w:rPr>
              <w:t xml:space="preserve">already held </w:t>
            </w:r>
            <w:r>
              <w:rPr>
                <w:rFonts w:ascii="Verdana" w:hAnsi="Verdana"/>
              </w:rPr>
              <w:t>that the applicant</w:t>
            </w:r>
            <w:r w:rsidR="00CD7BAE">
              <w:rPr>
                <w:rFonts w:ascii="Verdana" w:hAnsi="Verdana"/>
              </w:rPr>
              <w:t xml:space="preserve"> meets the eligibility criteria</w:t>
            </w:r>
            <w:r>
              <w:rPr>
                <w:rFonts w:ascii="Verdana" w:hAnsi="Verdana"/>
              </w:rPr>
              <w:t xml:space="preserve"> for a </w:t>
            </w:r>
            <w:r w:rsidR="008E5BDA">
              <w:rPr>
                <w:rFonts w:ascii="Verdana" w:hAnsi="Verdana"/>
              </w:rPr>
              <w:t>Blue Badge</w:t>
            </w:r>
            <w:r>
              <w:rPr>
                <w:rFonts w:ascii="Verdana" w:hAnsi="Verdana"/>
              </w:rPr>
              <w:t>.</w:t>
            </w:r>
          </w:p>
        </w:tc>
      </w:tr>
    </w:tbl>
    <w:p w:rsidR="00CB2010" w:rsidRDefault="00CB2010" w:rsidP="005D12E2"/>
    <w:p w:rsidR="00EF3974" w:rsidRPr="007733DB" w:rsidRDefault="003A3947" w:rsidP="00EF3974">
      <w:pPr>
        <w:pStyle w:val="Heading1"/>
      </w:pPr>
      <w:bookmarkStart w:id="10" w:name="_Toc451437133"/>
      <w:r>
        <w:t>Scope</w:t>
      </w:r>
      <w:bookmarkEnd w:id="10"/>
    </w:p>
    <w:p w:rsidR="00CB2010" w:rsidRDefault="00CB2010"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A3947"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3A3947" w:rsidRPr="008B5218" w:rsidRDefault="003A3947" w:rsidP="004D5F56">
            <w:pPr>
              <w:pStyle w:val="Heading2"/>
            </w:pPr>
            <w:bookmarkStart w:id="11" w:name="_Toc451437134"/>
            <w:r>
              <w:t>Scope</w:t>
            </w:r>
            <w:bookmarkEnd w:id="11"/>
            <w:r>
              <w:t xml:space="preserve"> </w:t>
            </w:r>
          </w:p>
        </w:tc>
      </w:tr>
      <w:tr w:rsidR="003A3947"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7D04FC" w:rsidRDefault="007D04FC" w:rsidP="00596792">
            <w:pPr>
              <w:autoSpaceDE w:val="0"/>
              <w:autoSpaceDN w:val="0"/>
              <w:adjustRightInd w:val="0"/>
              <w:spacing w:after="0"/>
              <w:jc w:val="both"/>
              <w:rPr>
                <w:rFonts w:cs="Helvetica"/>
              </w:rPr>
            </w:pPr>
          </w:p>
          <w:p w:rsidR="00FD4874" w:rsidRDefault="007D04FC" w:rsidP="007D04FC">
            <w:pPr>
              <w:pStyle w:val="NoSpacing"/>
              <w:rPr>
                <w:rFonts w:ascii="Verdana" w:hAnsi="Verdana"/>
              </w:rPr>
            </w:pPr>
            <w:r>
              <w:rPr>
                <w:rFonts w:ascii="Verdana" w:hAnsi="Verdana"/>
              </w:rPr>
              <w:t>Cornwall Council is responsible for the administration and enforcement of the Blue Badge scheme within its local authority area.</w:t>
            </w:r>
            <w:r w:rsidR="00141810">
              <w:rPr>
                <w:rFonts w:ascii="Verdana" w:hAnsi="Verdana"/>
              </w:rPr>
              <w:t xml:space="preserve">  A </w:t>
            </w:r>
            <w:r w:rsidR="00D276DA">
              <w:rPr>
                <w:rFonts w:ascii="Verdana" w:hAnsi="Verdana"/>
              </w:rPr>
              <w:t>thorough</w:t>
            </w:r>
            <w:r w:rsidR="00141810">
              <w:rPr>
                <w:rFonts w:ascii="Verdana" w:hAnsi="Verdana"/>
              </w:rPr>
              <w:t xml:space="preserve"> desktop assessment process </w:t>
            </w:r>
          </w:p>
          <w:p w:rsidR="00FD4874" w:rsidRDefault="00FD4874" w:rsidP="007D04FC">
            <w:pPr>
              <w:pStyle w:val="NoSpacing"/>
              <w:rPr>
                <w:rFonts w:ascii="Verdana" w:hAnsi="Verdana"/>
              </w:rPr>
            </w:pPr>
          </w:p>
          <w:p w:rsidR="00E27E0E" w:rsidRDefault="00141810" w:rsidP="007D04FC">
            <w:pPr>
              <w:pStyle w:val="NoSpacing"/>
              <w:rPr>
                <w:rFonts w:ascii="Verdana" w:hAnsi="Verdana"/>
              </w:rPr>
            </w:pPr>
            <w:proofErr w:type="gramStart"/>
            <w:r>
              <w:rPr>
                <w:rFonts w:ascii="Verdana" w:hAnsi="Verdana"/>
              </w:rPr>
              <w:t>is</w:t>
            </w:r>
            <w:proofErr w:type="gramEnd"/>
            <w:r>
              <w:rPr>
                <w:rFonts w:ascii="Verdana" w:hAnsi="Verdana"/>
              </w:rPr>
              <w:t xml:space="preserve"> in place with applications </w:t>
            </w:r>
            <w:r w:rsidR="00D276DA">
              <w:rPr>
                <w:rFonts w:ascii="Verdana" w:hAnsi="Verdana"/>
              </w:rPr>
              <w:t xml:space="preserve">subject to further assessment </w:t>
            </w:r>
            <w:r>
              <w:rPr>
                <w:rFonts w:ascii="Verdana" w:hAnsi="Verdana"/>
              </w:rPr>
              <w:t xml:space="preserve">being considered by trained </w:t>
            </w:r>
            <w:r>
              <w:rPr>
                <w:rFonts w:ascii="Verdana" w:hAnsi="Verdana"/>
              </w:rPr>
              <w:lastRenderedPageBreak/>
              <w:t xml:space="preserve">staff.  </w:t>
            </w:r>
            <w:r w:rsidR="007D04FC">
              <w:rPr>
                <w:rFonts w:ascii="Verdana" w:hAnsi="Verdana"/>
              </w:rPr>
              <w:t xml:space="preserve">  </w:t>
            </w:r>
          </w:p>
          <w:p w:rsidR="00D276DA" w:rsidRDefault="00D276DA" w:rsidP="007D04FC">
            <w:pPr>
              <w:pStyle w:val="NoSpacing"/>
              <w:rPr>
                <w:rFonts w:ascii="Verdana" w:hAnsi="Verdana"/>
              </w:rPr>
            </w:pPr>
          </w:p>
          <w:p w:rsidR="00E27E0E" w:rsidRDefault="007D04FC" w:rsidP="007D04FC">
            <w:pPr>
              <w:pStyle w:val="NoSpacing"/>
              <w:rPr>
                <w:rFonts w:ascii="Verdana" w:hAnsi="Verdana"/>
              </w:rPr>
            </w:pPr>
            <w:r>
              <w:rPr>
                <w:rFonts w:ascii="Verdana" w:hAnsi="Verdana"/>
              </w:rPr>
              <w:t xml:space="preserve">The total number of new and renewal </w:t>
            </w:r>
            <w:r w:rsidR="008E5BDA">
              <w:rPr>
                <w:rFonts w:ascii="Verdana" w:hAnsi="Verdana"/>
              </w:rPr>
              <w:t xml:space="preserve">Blue Badges </w:t>
            </w:r>
            <w:r w:rsidR="00F76F98">
              <w:rPr>
                <w:rFonts w:ascii="Verdana" w:hAnsi="Verdana"/>
              </w:rPr>
              <w:t>issued in the last 4</w:t>
            </w:r>
            <w:r>
              <w:rPr>
                <w:rFonts w:ascii="Verdana" w:hAnsi="Verdana"/>
              </w:rPr>
              <w:t xml:space="preserve"> years are:</w:t>
            </w:r>
          </w:p>
          <w:p w:rsidR="00A00150" w:rsidRDefault="00A00150" w:rsidP="007D04FC">
            <w:pPr>
              <w:pStyle w:val="NoSpacing"/>
              <w:rPr>
                <w:rFonts w:ascii="Verdana" w:hAnsi="Verdana"/>
              </w:rPr>
            </w:pPr>
          </w:p>
          <w:tbl>
            <w:tblPr>
              <w:tblStyle w:val="TableGrid"/>
              <w:tblW w:w="0" w:type="auto"/>
              <w:tblLayout w:type="fixed"/>
              <w:tblLook w:val="04A0" w:firstRow="1" w:lastRow="0" w:firstColumn="1" w:lastColumn="0" w:noHBand="0" w:noVBand="1"/>
            </w:tblPr>
            <w:tblGrid>
              <w:gridCol w:w="4621"/>
              <w:gridCol w:w="4621"/>
            </w:tblGrid>
            <w:tr w:rsidR="007D04FC" w:rsidTr="0048607E">
              <w:trPr>
                <w:trHeight w:val="565"/>
              </w:trPr>
              <w:tc>
                <w:tcPr>
                  <w:tcW w:w="4621" w:type="dxa"/>
                  <w:shd w:val="clear" w:color="auto" w:fill="C2D69B" w:themeFill="accent3" w:themeFillTint="99"/>
                  <w:vAlign w:val="center"/>
                </w:tcPr>
                <w:p w:rsidR="007D04FC" w:rsidRDefault="007D04FC" w:rsidP="0048607E">
                  <w:pPr>
                    <w:pStyle w:val="NoSpacing"/>
                    <w:jc w:val="center"/>
                    <w:rPr>
                      <w:rFonts w:ascii="Verdana" w:hAnsi="Verdana"/>
                      <w:b/>
                    </w:rPr>
                  </w:pPr>
                </w:p>
              </w:tc>
              <w:tc>
                <w:tcPr>
                  <w:tcW w:w="4621" w:type="dxa"/>
                  <w:shd w:val="clear" w:color="auto" w:fill="C2D69B" w:themeFill="accent3" w:themeFillTint="99"/>
                  <w:vAlign w:val="center"/>
                </w:tcPr>
                <w:p w:rsidR="007D04FC" w:rsidRPr="0048607E" w:rsidRDefault="007D04FC" w:rsidP="0048607E">
                  <w:pPr>
                    <w:pStyle w:val="NoSpacing"/>
                    <w:jc w:val="center"/>
                    <w:rPr>
                      <w:rFonts w:ascii="Verdana" w:hAnsi="Verdana"/>
                    </w:rPr>
                  </w:pPr>
                  <w:r w:rsidRPr="0048607E">
                    <w:rPr>
                      <w:rFonts w:ascii="Verdana" w:hAnsi="Verdana"/>
                    </w:rPr>
                    <w:t>Total badges issued</w:t>
                  </w:r>
                </w:p>
              </w:tc>
            </w:tr>
            <w:tr w:rsidR="007D04FC" w:rsidTr="0048607E">
              <w:tc>
                <w:tcPr>
                  <w:tcW w:w="4621" w:type="dxa"/>
                  <w:vAlign w:val="center"/>
                </w:tcPr>
                <w:p w:rsidR="007D04FC" w:rsidRPr="004B7904" w:rsidRDefault="00E27E0E" w:rsidP="0048607E">
                  <w:pPr>
                    <w:pStyle w:val="NoSpacing"/>
                    <w:jc w:val="center"/>
                    <w:rPr>
                      <w:rFonts w:ascii="Verdana" w:hAnsi="Verdana"/>
                    </w:rPr>
                  </w:pPr>
                  <w:r>
                    <w:rPr>
                      <w:rFonts w:ascii="Verdana" w:hAnsi="Verdana"/>
                    </w:rPr>
                    <w:t>0</w:t>
                  </w:r>
                  <w:r w:rsidR="007D04FC">
                    <w:rPr>
                      <w:rFonts w:ascii="Verdana" w:hAnsi="Verdana"/>
                    </w:rPr>
                    <w:t>1.</w:t>
                  </w:r>
                  <w:r>
                    <w:rPr>
                      <w:rFonts w:ascii="Verdana" w:hAnsi="Verdana"/>
                    </w:rPr>
                    <w:t>0</w:t>
                  </w:r>
                  <w:r w:rsidR="007D04FC">
                    <w:rPr>
                      <w:rFonts w:ascii="Verdana" w:hAnsi="Verdana"/>
                    </w:rPr>
                    <w:t>4.2012 – 31.</w:t>
                  </w:r>
                  <w:r>
                    <w:rPr>
                      <w:rFonts w:ascii="Verdana" w:hAnsi="Verdana"/>
                    </w:rPr>
                    <w:t>0</w:t>
                  </w:r>
                  <w:r w:rsidR="007D04FC">
                    <w:rPr>
                      <w:rFonts w:ascii="Verdana" w:hAnsi="Verdana"/>
                    </w:rPr>
                    <w:t>3.2013</w:t>
                  </w:r>
                </w:p>
              </w:tc>
              <w:tc>
                <w:tcPr>
                  <w:tcW w:w="4621" w:type="dxa"/>
                  <w:vAlign w:val="center"/>
                </w:tcPr>
                <w:p w:rsidR="007D04FC" w:rsidRPr="004B7904" w:rsidRDefault="007D04FC" w:rsidP="0048607E">
                  <w:pPr>
                    <w:pStyle w:val="NoSpacing"/>
                    <w:jc w:val="center"/>
                    <w:rPr>
                      <w:rFonts w:ascii="Verdana" w:hAnsi="Verdana"/>
                    </w:rPr>
                  </w:pPr>
                  <w:r>
                    <w:rPr>
                      <w:rFonts w:ascii="Verdana" w:hAnsi="Verdana"/>
                    </w:rPr>
                    <w:t>11,295</w:t>
                  </w:r>
                </w:p>
              </w:tc>
            </w:tr>
            <w:tr w:rsidR="007D04FC" w:rsidTr="0048607E">
              <w:tc>
                <w:tcPr>
                  <w:tcW w:w="4621" w:type="dxa"/>
                  <w:vAlign w:val="center"/>
                </w:tcPr>
                <w:p w:rsidR="007D04FC" w:rsidRPr="004B7904" w:rsidRDefault="00E27E0E" w:rsidP="0048607E">
                  <w:pPr>
                    <w:pStyle w:val="NoSpacing"/>
                    <w:jc w:val="center"/>
                    <w:rPr>
                      <w:rFonts w:ascii="Verdana" w:hAnsi="Verdana"/>
                    </w:rPr>
                  </w:pPr>
                  <w:r>
                    <w:rPr>
                      <w:rFonts w:ascii="Verdana" w:hAnsi="Verdana"/>
                    </w:rPr>
                    <w:t>0</w:t>
                  </w:r>
                  <w:r w:rsidR="007D04FC">
                    <w:rPr>
                      <w:rFonts w:ascii="Verdana" w:hAnsi="Verdana"/>
                    </w:rPr>
                    <w:t>1.</w:t>
                  </w:r>
                  <w:r>
                    <w:rPr>
                      <w:rFonts w:ascii="Verdana" w:hAnsi="Verdana"/>
                    </w:rPr>
                    <w:t>0</w:t>
                  </w:r>
                  <w:r w:rsidR="007D04FC">
                    <w:rPr>
                      <w:rFonts w:ascii="Verdana" w:hAnsi="Verdana"/>
                    </w:rPr>
                    <w:t>4.2013 – 31.</w:t>
                  </w:r>
                  <w:r>
                    <w:rPr>
                      <w:rFonts w:ascii="Verdana" w:hAnsi="Verdana"/>
                    </w:rPr>
                    <w:t>0</w:t>
                  </w:r>
                  <w:r w:rsidR="007D04FC">
                    <w:rPr>
                      <w:rFonts w:ascii="Verdana" w:hAnsi="Verdana"/>
                    </w:rPr>
                    <w:t>3.2014</w:t>
                  </w:r>
                </w:p>
              </w:tc>
              <w:tc>
                <w:tcPr>
                  <w:tcW w:w="4621" w:type="dxa"/>
                  <w:vAlign w:val="center"/>
                </w:tcPr>
                <w:p w:rsidR="007D04FC" w:rsidRPr="004B7904" w:rsidRDefault="007D04FC" w:rsidP="0048607E">
                  <w:pPr>
                    <w:pStyle w:val="NoSpacing"/>
                    <w:jc w:val="center"/>
                    <w:rPr>
                      <w:rFonts w:ascii="Verdana" w:hAnsi="Verdana"/>
                    </w:rPr>
                  </w:pPr>
                  <w:r>
                    <w:rPr>
                      <w:rFonts w:ascii="Verdana" w:hAnsi="Verdana"/>
                    </w:rPr>
                    <w:t>10,994</w:t>
                  </w:r>
                </w:p>
              </w:tc>
            </w:tr>
            <w:tr w:rsidR="007D04FC" w:rsidTr="0048607E">
              <w:tc>
                <w:tcPr>
                  <w:tcW w:w="4621" w:type="dxa"/>
                  <w:vAlign w:val="center"/>
                </w:tcPr>
                <w:p w:rsidR="007D04FC" w:rsidRPr="004B7904" w:rsidRDefault="00E27E0E" w:rsidP="0048607E">
                  <w:pPr>
                    <w:pStyle w:val="NoSpacing"/>
                    <w:jc w:val="center"/>
                    <w:rPr>
                      <w:rFonts w:ascii="Verdana" w:hAnsi="Verdana"/>
                    </w:rPr>
                  </w:pPr>
                  <w:r>
                    <w:rPr>
                      <w:rFonts w:ascii="Verdana" w:hAnsi="Verdana"/>
                    </w:rPr>
                    <w:t>0</w:t>
                  </w:r>
                  <w:r w:rsidR="007D04FC">
                    <w:rPr>
                      <w:rFonts w:ascii="Verdana" w:hAnsi="Verdana"/>
                    </w:rPr>
                    <w:t>1.</w:t>
                  </w:r>
                  <w:r>
                    <w:rPr>
                      <w:rFonts w:ascii="Verdana" w:hAnsi="Verdana"/>
                    </w:rPr>
                    <w:t>0</w:t>
                  </w:r>
                  <w:r w:rsidR="007D04FC">
                    <w:rPr>
                      <w:rFonts w:ascii="Verdana" w:hAnsi="Verdana"/>
                    </w:rPr>
                    <w:t>4.2014 – 31.</w:t>
                  </w:r>
                  <w:r>
                    <w:rPr>
                      <w:rFonts w:ascii="Verdana" w:hAnsi="Verdana"/>
                    </w:rPr>
                    <w:t>0</w:t>
                  </w:r>
                  <w:r w:rsidR="007D04FC">
                    <w:rPr>
                      <w:rFonts w:ascii="Verdana" w:hAnsi="Verdana"/>
                    </w:rPr>
                    <w:t>3.2015</w:t>
                  </w:r>
                </w:p>
              </w:tc>
              <w:tc>
                <w:tcPr>
                  <w:tcW w:w="4621" w:type="dxa"/>
                  <w:vAlign w:val="center"/>
                </w:tcPr>
                <w:p w:rsidR="007D04FC" w:rsidRPr="004B7904" w:rsidRDefault="007D04FC" w:rsidP="0048607E">
                  <w:pPr>
                    <w:pStyle w:val="NoSpacing"/>
                    <w:jc w:val="center"/>
                    <w:rPr>
                      <w:rFonts w:ascii="Verdana" w:hAnsi="Verdana"/>
                    </w:rPr>
                  </w:pPr>
                  <w:r>
                    <w:rPr>
                      <w:rFonts w:ascii="Verdana" w:hAnsi="Verdana"/>
                    </w:rPr>
                    <w:t>11,852</w:t>
                  </w:r>
                </w:p>
              </w:tc>
            </w:tr>
            <w:tr w:rsidR="002A6D56" w:rsidTr="0048607E">
              <w:tc>
                <w:tcPr>
                  <w:tcW w:w="4621" w:type="dxa"/>
                  <w:vAlign w:val="center"/>
                </w:tcPr>
                <w:p w:rsidR="002A6D56" w:rsidRDefault="00F76F98" w:rsidP="0048607E">
                  <w:pPr>
                    <w:pStyle w:val="NoSpacing"/>
                    <w:jc w:val="center"/>
                    <w:rPr>
                      <w:rFonts w:ascii="Verdana" w:hAnsi="Verdana"/>
                    </w:rPr>
                  </w:pPr>
                  <w:r>
                    <w:rPr>
                      <w:rFonts w:ascii="Verdana" w:hAnsi="Verdana"/>
                    </w:rPr>
                    <w:t>01.04.2015 – 31.03.2016</w:t>
                  </w:r>
                </w:p>
              </w:tc>
              <w:tc>
                <w:tcPr>
                  <w:tcW w:w="4621" w:type="dxa"/>
                  <w:vAlign w:val="center"/>
                </w:tcPr>
                <w:p w:rsidR="002A6D56" w:rsidRDefault="002A6D56" w:rsidP="0048607E">
                  <w:pPr>
                    <w:pStyle w:val="NoSpacing"/>
                    <w:jc w:val="center"/>
                    <w:rPr>
                      <w:rFonts w:ascii="Verdana" w:hAnsi="Verdana"/>
                    </w:rPr>
                  </w:pPr>
                  <w:r>
                    <w:rPr>
                      <w:rFonts w:ascii="Verdana" w:hAnsi="Verdana"/>
                    </w:rPr>
                    <w:t>10,521</w:t>
                  </w:r>
                </w:p>
              </w:tc>
            </w:tr>
          </w:tbl>
          <w:p w:rsidR="00A00150" w:rsidRDefault="00A00150" w:rsidP="007D04FC">
            <w:pPr>
              <w:pStyle w:val="NoSpacing"/>
              <w:rPr>
                <w:rFonts w:ascii="Verdana" w:hAnsi="Verdana"/>
              </w:rPr>
            </w:pPr>
          </w:p>
          <w:p w:rsidR="007D04FC" w:rsidRDefault="007D04FC" w:rsidP="007D04FC">
            <w:pPr>
              <w:pStyle w:val="NoSpacing"/>
              <w:rPr>
                <w:rFonts w:ascii="Verdana" w:hAnsi="Verdana"/>
              </w:rPr>
            </w:pPr>
            <w:r>
              <w:rPr>
                <w:rFonts w:ascii="Verdana" w:hAnsi="Verdana"/>
              </w:rPr>
              <w:t xml:space="preserve">These breakdown between </w:t>
            </w:r>
            <w:r w:rsidR="00D276DA">
              <w:rPr>
                <w:rFonts w:ascii="Verdana" w:hAnsi="Verdana"/>
              </w:rPr>
              <w:t xml:space="preserve">applications </w:t>
            </w:r>
            <w:r>
              <w:rPr>
                <w:rFonts w:ascii="Verdana" w:hAnsi="Verdana"/>
              </w:rPr>
              <w:t xml:space="preserve">‘eligible without further assessment’ and </w:t>
            </w:r>
            <w:r w:rsidR="00D276DA">
              <w:rPr>
                <w:rFonts w:ascii="Verdana" w:hAnsi="Verdana"/>
              </w:rPr>
              <w:t xml:space="preserve">applications </w:t>
            </w:r>
            <w:r>
              <w:rPr>
                <w:rFonts w:ascii="Verdana" w:hAnsi="Verdana"/>
              </w:rPr>
              <w:t>‘eligible subject to further assessment’ as follows:</w:t>
            </w:r>
          </w:p>
          <w:p w:rsidR="00A00150" w:rsidRDefault="00A00150" w:rsidP="007D04FC">
            <w:pPr>
              <w:pStyle w:val="NoSpacing"/>
              <w:rPr>
                <w:rFonts w:ascii="Verdana" w:hAnsi="Verdana"/>
              </w:rPr>
            </w:pPr>
          </w:p>
          <w:tbl>
            <w:tblPr>
              <w:tblStyle w:val="TableGrid"/>
              <w:tblW w:w="0" w:type="auto"/>
              <w:tblLayout w:type="fixed"/>
              <w:tblLook w:val="04A0" w:firstRow="1" w:lastRow="0" w:firstColumn="1" w:lastColumn="0" w:noHBand="0" w:noVBand="1"/>
            </w:tblPr>
            <w:tblGrid>
              <w:gridCol w:w="3080"/>
              <w:gridCol w:w="3081"/>
              <w:gridCol w:w="3081"/>
            </w:tblGrid>
            <w:tr w:rsidR="007D04FC" w:rsidTr="0048607E">
              <w:tc>
                <w:tcPr>
                  <w:tcW w:w="3080" w:type="dxa"/>
                  <w:shd w:val="clear" w:color="auto" w:fill="C2D69B" w:themeFill="accent3" w:themeFillTint="99"/>
                  <w:vAlign w:val="center"/>
                </w:tcPr>
                <w:p w:rsidR="007D04FC" w:rsidRDefault="007D04FC" w:rsidP="0048607E">
                  <w:pPr>
                    <w:pStyle w:val="NoSpacing"/>
                    <w:jc w:val="center"/>
                    <w:rPr>
                      <w:rFonts w:ascii="Verdana" w:hAnsi="Verdana"/>
                    </w:rPr>
                  </w:pPr>
                </w:p>
              </w:tc>
              <w:tc>
                <w:tcPr>
                  <w:tcW w:w="3081" w:type="dxa"/>
                  <w:shd w:val="clear" w:color="auto" w:fill="C2D69B" w:themeFill="accent3" w:themeFillTint="99"/>
                  <w:vAlign w:val="center"/>
                </w:tcPr>
                <w:p w:rsidR="007D04FC" w:rsidRDefault="007D04FC" w:rsidP="0048607E">
                  <w:pPr>
                    <w:pStyle w:val="NoSpacing"/>
                    <w:jc w:val="center"/>
                    <w:rPr>
                      <w:rFonts w:ascii="Verdana" w:hAnsi="Verdana"/>
                    </w:rPr>
                  </w:pPr>
                  <w:r>
                    <w:rPr>
                      <w:rFonts w:ascii="Verdana" w:hAnsi="Verdana"/>
                    </w:rPr>
                    <w:t>Eligible without further assessment</w:t>
                  </w:r>
                </w:p>
              </w:tc>
              <w:tc>
                <w:tcPr>
                  <w:tcW w:w="3081" w:type="dxa"/>
                  <w:shd w:val="clear" w:color="auto" w:fill="C2D69B" w:themeFill="accent3" w:themeFillTint="99"/>
                  <w:vAlign w:val="center"/>
                </w:tcPr>
                <w:p w:rsidR="007D04FC" w:rsidRDefault="007D04FC" w:rsidP="0048607E">
                  <w:pPr>
                    <w:pStyle w:val="NoSpacing"/>
                    <w:jc w:val="center"/>
                    <w:rPr>
                      <w:rFonts w:ascii="Verdana" w:hAnsi="Verdana"/>
                    </w:rPr>
                  </w:pPr>
                  <w:r>
                    <w:rPr>
                      <w:rFonts w:ascii="Verdana" w:hAnsi="Verdana"/>
                    </w:rPr>
                    <w:t>Eligible subject to further assessment</w:t>
                  </w:r>
                </w:p>
              </w:tc>
            </w:tr>
            <w:tr w:rsidR="007D04FC" w:rsidTr="0048607E">
              <w:tc>
                <w:tcPr>
                  <w:tcW w:w="3080" w:type="dxa"/>
                  <w:vAlign w:val="center"/>
                </w:tcPr>
                <w:p w:rsidR="007D04FC" w:rsidRPr="004B7904" w:rsidRDefault="007D04FC" w:rsidP="0048607E">
                  <w:pPr>
                    <w:pStyle w:val="NoSpacing"/>
                    <w:jc w:val="center"/>
                    <w:rPr>
                      <w:rFonts w:ascii="Verdana" w:hAnsi="Verdana"/>
                    </w:rPr>
                  </w:pPr>
                  <w:r>
                    <w:rPr>
                      <w:rFonts w:ascii="Verdana" w:hAnsi="Verdana"/>
                    </w:rPr>
                    <w:t>1.4.2012 – 31.3.2013</w:t>
                  </w:r>
                </w:p>
              </w:tc>
              <w:tc>
                <w:tcPr>
                  <w:tcW w:w="3081" w:type="dxa"/>
                  <w:vAlign w:val="center"/>
                </w:tcPr>
                <w:p w:rsidR="007D04FC" w:rsidRDefault="007D04FC" w:rsidP="0048607E">
                  <w:pPr>
                    <w:pStyle w:val="NoSpacing"/>
                    <w:jc w:val="center"/>
                    <w:rPr>
                      <w:rFonts w:ascii="Verdana" w:hAnsi="Verdana"/>
                    </w:rPr>
                  </w:pPr>
                  <w:r>
                    <w:rPr>
                      <w:rFonts w:ascii="Verdana" w:hAnsi="Verdana"/>
                    </w:rPr>
                    <w:t>4546</w:t>
                  </w:r>
                </w:p>
              </w:tc>
              <w:tc>
                <w:tcPr>
                  <w:tcW w:w="3081" w:type="dxa"/>
                  <w:vAlign w:val="center"/>
                </w:tcPr>
                <w:p w:rsidR="007D04FC" w:rsidRDefault="007D04FC" w:rsidP="0048607E">
                  <w:pPr>
                    <w:pStyle w:val="NoSpacing"/>
                    <w:jc w:val="center"/>
                    <w:rPr>
                      <w:rFonts w:ascii="Verdana" w:hAnsi="Verdana"/>
                    </w:rPr>
                  </w:pPr>
                  <w:r>
                    <w:rPr>
                      <w:rFonts w:ascii="Verdana" w:hAnsi="Verdana"/>
                    </w:rPr>
                    <w:t>6749</w:t>
                  </w:r>
                </w:p>
              </w:tc>
            </w:tr>
            <w:tr w:rsidR="007D04FC" w:rsidTr="0048607E">
              <w:tc>
                <w:tcPr>
                  <w:tcW w:w="3080" w:type="dxa"/>
                  <w:vAlign w:val="center"/>
                </w:tcPr>
                <w:p w:rsidR="007D04FC" w:rsidRPr="004B7904" w:rsidRDefault="007D04FC" w:rsidP="0048607E">
                  <w:pPr>
                    <w:pStyle w:val="NoSpacing"/>
                    <w:jc w:val="center"/>
                    <w:rPr>
                      <w:rFonts w:ascii="Verdana" w:hAnsi="Verdana"/>
                    </w:rPr>
                  </w:pPr>
                  <w:r>
                    <w:rPr>
                      <w:rFonts w:ascii="Verdana" w:hAnsi="Verdana"/>
                    </w:rPr>
                    <w:t>1.4.2013 – 31.3.2014</w:t>
                  </w:r>
                </w:p>
              </w:tc>
              <w:tc>
                <w:tcPr>
                  <w:tcW w:w="3081" w:type="dxa"/>
                  <w:vAlign w:val="center"/>
                </w:tcPr>
                <w:p w:rsidR="007D04FC" w:rsidRDefault="007D04FC" w:rsidP="0048607E">
                  <w:pPr>
                    <w:pStyle w:val="NoSpacing"/>
                    <w:jc w:val="center"/>
                    <w:rPr>
                      <w:rFonts w:ascii="Verdana" w:hAnsi="Verdana"/>
                    </w:rPr>
                  </w:pPr>
                  <w:r>
                    <w:rPr>
                      <w:rFonts w:ascii="Verdana" w:hAnsi="Verdana"/>
                    </w:rPr>
                    <w:t>4497</w:t>
                  </w:r>
                </w:p>
              </w:tc>
              <w:tc>
                <w:tcPr>
                  <w:tcW w:w="3081" w:type="dxa"/>
                  <w:vAlign w:val="center"/>
                </w:tcPr>
                <w:p w:rsidR="007D04FC" w:rsidRDefault="007D04FC" w:rsidP="0048607E">
                  <w:pPr>
                    <w:pStyle w:val="NoSpacing"/>
                    <w:jc w:val="center"/>
                    <w:rPr>
                      <w:rFonts w:ascii="Verdana" w:hAnsi="Verdana"/>
                    </w:rPr>
                  </w:pPr>
                  <w:r>
                    <w:rPr>
                      <w:rFonts w:ascii="Verdana" w:hAnsi="Verdana"/>
                    </w:rPr>
                    <w:t>6497</w:t>
                  </w:r>
                </w:p>
              </w:tc>
            </w:tr>
            <w:tr w:rsidR="007D04FC" w:rsidTr="0048607E">
              <w:tc>
                <w:tcPr>
                  <w:tcW w:w="3080" w:type="dxa"/>
                  <w:vAlign w:val="center"/>
                </w:tcPr>
                <w:p w:rsidR="007D04FC" w:rsidRPr="004B7904" w:rsidRDefault="007D04FC" w:rsidP="0048607E">
                  <w:pPr>
                    <w:pStyle w:val="NoSpacing"/>
                    <w:jc w:val="center"/>
                    <w:rPr>
                      <w:rFonts w:ascii="Verdana" w:hAnsi="Verdana"/>
                    </w:rPr>
                  </w:pPr>
                  <w:r>
                    <w:rPr>
                      <w:rFonts w:ascii="Verdana" w:hAnsi="Verdana"/>
                    </w:rPr>
                    <w:t>1.4.2014 – 31.3.2015</w:t>
                  </w:r>
                </w:p>
              </w:tc>
              <w:tc>
                <w:tcPr>
                  <w:tcW w:w="3081" w:type="dxa"/>
                  <w:vAlign w:val="center"/>
                </w:tcPr>
                <w:p w:rsidR="007D04FC" w:rsidRDefault="007D04FC" w:rsidP="0048607E">
                  <w:pPr>
                    <w:pStyle w:val="NoSpacing"/>
                    <w:jc w:val="center"/>
                    <w:rPr>
                      <w:rFonts w:ascii="Verdana" w:hAnsi="Verdana"/>
                    </w:rPr>
                  </w:pPr>
                  <w:r>
                    <w:rPr>
                      <w:rFonts w:ascii="Verdana" w:hAnsi="Verdana"/>
                    </w:rPr>
                    <w:t>4630</w:t>
                  </w:r>
                </w:p>
              </w:tc>
              <w:tc>
                <w:tcPr>
                  <w:tcW w:w="3081" w:type="dxa"/>
                  <w:vAlign w:val="center"/>
                </w:tcPr>
                <w:p w:rsidR="007D04FC" w:rsidRDefault="007D04FC" w:rsidP="0048607E">
                  <w:pPr>
                    <w:pStyle w:val="NoSpacing"/>
                    <w:jc w:val="center"/>
                    <w:rPr>
                      <w:rFonts w:ascii="Verdana" w:hAnsi="Verdana"/>
                    </w:rPr>
                  </w:pPr>
                  <w:r>
                    <w:rPr>
                      <w:rFonts w:ascii="Verdana" w:hAnsi="Verdana"/>
                    </w:rPr>
                    <w:t>7222</w:t>
                  </w:r>
                </w:p>
              </w:tc>
            </w:tr>
            <w:tr w:rsidR="002A6D56" w:rsidTr="0048607E">
              <w:tc>
                <w:tcPr>
                  <w:tcW w:w="3080" w:type="dxa"/>
                  <w:vAlign w:val="center"/>
                </w:tcPr>
                <w:p w:rsidR="002A6D56" w:rsidRDefault="00F76F98" w:rsidP="0048607E">
                  <w:pPr>
                    <w:pStyle w:val="NoSpacing"/>
                    <w:jc w:val="center"/>
                    <w:rPr>
                      <w:rFonts w:ascii="Verdana" w:hAnsi="Verdana"/>
                    </w:rPr>
                  </w:pPr>
                  <w:r>
                    <w:rPr>
                      <w:rFonts w:ascii="Verdana" w:hAnsi="Verdana"/>
                    </w:rPr>
                    <w:t>1.4.2015 – 31.3.2016</w:t>
                  </w:r>
                </w:p>
              </w:tc>
              <w:tc>
                <w:tcPr>
                  <w:tcW w:w="3081" w:type="dxa"/>
                  <w:vAlign w:val="center"/>
                </w:tcPr>
                <w:p w:rsidR="002A6D56" w:rsidRDefault="002A6D56" w:rsidP="0048607E">
                  <w:pPr>
                    <w:pStyle w:val="NoSpacing"/>
                    <w:jc w:val="center"/>
                    <w:rPr>
                      <w:rFonts w:ascii="Verdana" w:hAnsi="Verdana"/>
                    </w:rPr>
                  </w:pPr>
                  <w:r>
                    <w:rPr>
                      <w:rFonts w:ascii="Verdana" w:hAnsi="Verdana"/>
                    </w:rPr>
                    <w:t>4519</w:t>
                  </w:r>
                </w:p>
              </w:tc>
              <w:tc>
                <w:tcPr>
                  <w:tcW w:w="3081" w:type="dxa"/>
                  <w:vAlign w:val="center"/>
                </w:tcPr>
                <w:p w:rsidR="002A6D56" w:rsidRDefault="002A6D56" w:rsidP="0048607E">
                  <w:pPr>
                    <w:pStyle w:val="NoSpacing"/>
                    <w:jc w:val="center"/>
                    <w:rPr>
                      <w:rFonts w:ascii="Verdana" w:hAnsi="Verdana"/>
                    </w:rPr>
                  </w:pPr>
                  <w:r>
                    <w:rPr>
                      <w:rFonts w:ascii="Verdana" w:hAnsi="Verdana"/>
                    </w:rPr>
                    <w:t>6002</w:t>
                  </w:r>
                </w:p>
              </w:tc>
            </w:tr>
          </w:tbl>
          <w:p w:rsidR="000A431D" w:rsidRDefault="000A431D" w:rsidP="007D04FC">
            <w:pPr>
              <w:pStyle w:val="NoSpacing"/>
              <w:rPr>
                <w:rFonts w:ascii="Verdana" w:hAnsi="Verdana"/>
              </w:rPr>
            </w:pPr>
          </w:p>
          <w:p w:rsidR="00A00150" w:rsidRDefault="007D04FC" w:rsidP="007D04FC">
            <w:pPr>
              <w:pStyle w:val="NoSpacing"/>
              <w:rPr>
                <w:rFonts w:ascii="Verdana" w:hAnsi="Verdana"/>
              </w:rPr>
            </w:pPr>
            <w:r>
              <w:rPr>
                <w:rFonts w:ascii="Verdana" w:hAnsi="Verdana"/>
              </w:rPr>
              <w:t xml:space="preserve">The </w:t>
            </w:r>
            <w:r w:rsidR="00D827F3">
              <w:rPr>
                <w:rFonts w:ascii="Verdana" w:hAnsi="Verdana"/>
              </w:rPr>
              <w:t>Supplier</w:t>
            </w:r>
            <w:r>
              <w:rPr>
                <w:rFonts w:ascii="Verdana" w:hAnsi="Verdana"/>
              </w:rPr>
              <w:t xml:space="preserve"> will provide independent mobility assessments for applications where the local authority is unable to confirm eligibility following information provided by the applicant.  </w:t>
            </w:r>
            <w:r w:rsidR="00141810">
              <w:rPr>
                <w:rFonts w:ascii="Verdana" w:hAnsi="Verdana"/>
              </w:rPr>
              <w:t>Cornwall Council estimates</w:t>
            </w:r>
            <w:r w:rsidR="00CB42FE">
              <w:rPr>
                <w:rFonts w:ascii="Verdana" w:hAnsi="Verdana"/>
              </w:rPr>
              <w:t xml:space="preserve"> on current volumes </w:t>
            </w:r>
            <w:r w:rsidR="00141810">
              <w:rPr>
                <w:rFonts w:ascii="Verdana" w:hAnsi="Verdana"/>
              </w:rPr>
              <w:t xml:space="preserve">that </w:t>
            </w:r>
            <w:r w:rsidR="00CB42FE">
              <w:rPr>
                <w:rFonts w:ascii="Verdana" w:hAnsi="Verdana"/>
              </w:rPr>
              <w:t xml:space="preserve">10 </w:t>
            </w:r>
            <w:r w:rsidR="00D276DA">
              <w:rPr>
                <w:rFonts w:ascii="Verdana" w:hAnsi="Verdana"/>
              </w:rPr>
              <w:t xml:space="preserve">to </w:t>
            </w:r>
            <w:r w:rsidR="00141810">
              <w:rPr>
                <w:rFonts w:ascii="Verdana" w:hAnsi="Verdana"/>
              </w:rPr>
              <w:t>20 applications per week will require a</w:t>
            </w:r>
            <w:r w:rsidR="008E5BDA">
              <w:rPr>
                <w:rFonts w:ascii="Verdana" w:hAnsi="Verdana"/>
              </w:rPr>
              <w:t xml:space="preserve">n independent </w:t>
            </w:r>
            <w:r w:rsidR="00141810">
              <w:rPr>
                <w:rFonts w:ascii="Verdana" w:hAnsi="Verdana"/>
              </w:rPr>
              <w:t>mobility assessment</w:t>
            </w:r>
            <w:r w:rsidR="00D276DA">
              <w:rPr>
                <w:rFonts w:ascii="Verdana" w:hAnsi="Verdana"/>
              </w:rPr>
              <w:t xml:space="preserve"> although numbers may fluctuate </w:t>
            </w:r>
            <w:r w:rsidR="00CB42FE">
              <w:rPr>
                <w:rFonts w:ascii="Verdana" w:hAnsi="Verdana"/>
              </w:rPr>
              <w:t>further</w:t>
            </w:r>
            <w:r w:rsidR="00D276DA">
              <w:rPr>
                <w:rFonts w:ascii="Verdana" w:hAnsi="Verdana"/>
              </w:rPr>
              <w:t xml:space="preserve"> week to week.</w:t>
            </w:r>
            <w:r w:rsidR="009E7A25">
              <w:rPr>
                <w:rFonts w:ascii="Verdana" w:hAnsi="Verdana"/>
              </w:rPr>
              <w:t xml:space="preserve"> </w:t>
            </w:r>
            <w:r w:rsidR="00F31187">
              <w:rPr>
                <w:rFonts w:ascii="Verdana" w:hAnsi="Verdana"/>
              </w:rPr>
              <w:t xml:space="preserve"> The </w:t>
            </w:r>
            <w:r w:rsidR="00D827F3">
              <w:rPr>
                <w:rFonts w:ascii="Verdana" w:hAnsi="Verdana"/>
              </w:rPr>
              <w:t>Supplier</w:t>
            </w:r>
            <w:r w:rsidR="00F31187">
              <w:rPr>
                <w:rFonts w:ascii="Verdana" w:hAnsi="Verdana"/>
              </w:rPr>
              <w:t xml:space="preserve"> will need to demonstrate </w:t>
            </w:r>
            <w:r w:rsidR="009E7A25">
              <w:rPr>
                <w:rFonts w:ascii="Verdana" w:hAnsi="Verdana"/>
              </w:rPr>
              <w:t>flexibility in their capacity to deal with changing volumes of referrals</w:t>
            </w:r>
            <w:r w:rsidR="00141810">
              <w:rPr>
                <w:rFonts w:ascii="Verdana" w:hAnsi="Verdana"/>
              </w:rPr>
              <w:t xml:space="preserve">.  </w:t>
            </w:r>
          </w:p>
          <w:p w:rsidR="009E7A25" w:rsidRDefault="009E7A25" w:rsidP="007D04FC">
            <w:pPr>
              <w:pStyle w:val="NoSpacing"/>
              <w:rPr>
                <w:rFonts w:ascii="Verdana" w:hAnsi="Verdana"/>
              </w:rPr>
            </w:pPr>
          </w:p>
          <w:p w:rsidR="007D04FC" w:rsidRDefault="007D04FC" w:rsidP="007D04FC">
            <w:pPr>
              <w:pStyle w:val="NoSpacing"/>
              <w:rPr>
                <w:rFonts w:ascii="Verdana" w:hAnsi="Verdana"/>
              </w:rPr>
            </w:pPr>
            <w:r>
              <w:rPr>
                <w:rFonts w:ascii="Verdana" w:hAnsi="Verdana"/>
              </w:rPr>
              <w:t>Cornwall Council will expect these assessments to be undertaken</w:t>
            </w:r>
            <w:r w:rsidR="00C96EFF">
              <w:rPr>
                <w:rFonts w:ascii="Verdana" w:hAnsi="Verdana"/>
              </w:rPr>
              <w:t xml:space="preserve"> face to face</w:t>
            </w:r>
            <w:r>
              <w:rPr>
                <w:rFonts w:ascii="Verdana" w:hAnsi="Verdana"/>
              </w:rPr>
              <w:t xml:space="preserve"> by a person who:</w:t>
            </w:r>
          </w:p>
          <w:p w:rsidR="00A00150" w:rsidRDefault="00A00150" w:rsidP="007D04FC">
            <w:pPr>
              <w:pStyle w:val="NoSpacing"/>
              <w:rPr>
                <w:rFonts w:ascii="Verdana" w:hAnsi="Verdana"/>
              </w:rPr>
            </w:pPr>
          </w:p>
          <w:p w:rsidR="007D04FC" w:rsidRDefault="007D04FC" w:rsidP="007D04FC">
            <w:pPr>
              <w:pStyle w:val="NoSpacing"/>
              <w:numPr>
                <w:ilvl w:val="0"/>
                <w:numId w:val="17"/>
              </w:numPr>
              <w:rPr>
                <w:rFonts w:ascii="Verdana" w:hAnsi="Verdana"/>
              </w:rPr>
            </w:pPr>
            <w:r>
              <w:rPr>
                <w:rFonts w:ascii="Verdana" w:hAnsi="Verdana"/>
              </w:rPr>
              <w:t>Is recognised as holding a professional qualification, the obtaining of which involved them in being trained and having the necessary expertise to assess a person’s ability to walk.</w:t>
            </w:r>
          </w:p>
          <w:p w:rsidR="007D04FC" w:rsidRDefault="007D04FC" w:rsidP="007D04FC">
            <w:pPr>
              <w:pStyle w:val="NoSpacing"/>
              <w:numPr>
                <w:ilvl w:val="0"/>
                <w:numId w:val="17"/>
              </w:numPr>
              <w:rPr>
                <w:rFonts w:ascii="Verdana" w:hAnsi="Verdana"/>
              </w:rPr>
            </w:pPr>
            <w:r>
              <w:rPr>
                <w:rFonts w:ascii="Verdana" w:hAnsi="Verdana"/>
              </w:rPr>
              <w:t>Has never been employed or engaged as a provider of medical services to the applicant</w:t>
            </w:r>
            <w:r w:rsidR="00F830CB">
              <w:rPr>
                <w:rFonts w:ascii="Verdana" w:hAnsi="Verdana"/>
              </w:rPr>
              <w:t>.</w:t>
            </w:r>
          </w:p>
          <w:p w:rsidR="003A3947" w:rsidRDefault="007D04FC" w:rsidP="00596792">
            <w:pPr>
              <w:pStyle w:val="NoSpacing"/>
              <w:numPr>
                <w:ilvl w:val="0"/>
                <w:numId w:val="17"/>
              </w:numPr>
              <w:rPr>
                <w:rFonts w:ascii="Verdana" w:hAnsi="Verdana"/>
              </w:rPr>
            </w:pPr>
            <w:r>
              <w:rPr>
                <w:rFonts w:ascii="Verdana" w:hAnsi="Verdana"/>
              </w:rPr>
              <w:t>Does not have a personal or contractual relationship with the applicant</w:t>
            </w:r>
            <w:r w:rsidR="00F830CB">
              <w:rPr>
                <w:rFonts w:ascii="Verdana" w:hAnsi="Verdana"/>
              </w:rPr>
              <w:t>.</w:t>
            </w:r>
          </w:p>
          <w:p w:rsidR="000A431D" w:rsidRDefault="000A431D" w:rsidP="000A431D">
            <w:pPr>
              <w:pStyle w:val="NoSpacing"/>
              <w:ind w:left="720"/>
              <w:rPr>
                <w:rFonts w:ascii="Verdana" w:hAnsi="Verdana"/>
              </w:rPr>
            </w:pPr>
          </w:p>
          <w:p w:rsidR="000121A3" w:rsidRPr="0048607E" w:rsidRDefault="00F31187" w:rsidP="009E7A25">
            <w:pPr>
              <w:pStyle w:val="NoSpacing"/>
              <w:rPr>
                <w:rFonts w:ascii="Verdana" w:hAnsi="Verdana"/>
              </w:rPr>
            </w:pPr>
            <w:r>
              <w:rPr>
                <w:rFonts w:ascii="Verdana" w:hAnsi="Verdana"/>
              </w:rPr>
              <w:t>The length of contract is for 36</w:t>
            </w:r>
            <w:r w:rsidR="009E7A25">
              <w:rPr>
                <w:rFonts w:ascii="Verdana" w:hAnsi="Verdana"/>
              </w:rPr>
              <w:t xml:space="preserve"> months with </w:t>
            </w:r>
            <w:r w:rsidR="009F643D">
              <w:rPr>
                <w:rFonts w:ascii="Verdana" w:hAnsi="Verdana"/>
              </w:rPr>
              <w:t xml:space="preserve">no option to extend. </w:t>
            </w:r>
          </w:p>
        </w:tc>
      </w:tr>
    </w:tbl>
    <w:p w:rsidR="00FF1525" w:rsidRDefault="00FF1525" w:rsidP="005D12E2"/>
    <w:p w:rsidR="00EF3974" w:rsidRPr="007733DB" w:rsidRDefault="00541ED1" w:rsidP="00EF3974">
      <w:pPr>
        <w:pStyle w:val="Heading1"/>
      </w:pPr>
      <w:bookmarkStart w:id="12" w:name="_Toc451437135"/>
      <w:r>
        <w:t>Quality Requirements</w:t>
      </w:r>
      <w:bookmarkEnd w:id="12"/>
      <w:r w:rsidR="004D5F56">
        <w:t xml:space="preserve"> </w:t>
      </w:r>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41ED1"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541ED1" w:rsidRPr="008B5218" w:rsidRDefault="009F643D" w:rsidP="00596792">
            <w:pPr>
              <w:pStyle w:val="Heading2"/>
            </w:pPr>
            <w:bookmarkStart w:id="13" w:name="_Toc451437136"/>
            <w:r>
              <w:t>Quality</w:t>
            </w:r>
            <w:bookmarkEnd w:id="13"/>
          </w:p>
        </w:tc>
      </w:tr>
      <w:tr w:rsidR="00541ED1"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FD4874" w:rsidRDefault="00FD4874" w:rsidP="009E7A25">
            <w:pPr>
              <w:autoSpaceDE w:val="0"/>
              <w:autoSpaceDN w:val="0"/>
              <w:adjustRightInd w:val="0"/>
              <w:spacing w:after="0"/>
              <w:rPr>
                <w:rFonts w:cs="Helvetica"/>
                <w:sz w:val="22"/>
                <w:szCs w:val="22"/>
              </w:rPr>
            </w:pPr>
          </w:p>
          <w:p w:rsidR="009E7A25" w:rsidRPr="00ED7B5A" w:rsidRDefault="009E7A25" w:rsidP="009E7A25">
            <w:pPr>
              <w:autoSpaceDE w:val="0"/>
              <w:autoSpaceDN w:val="0"/>
              <w:adjustRightInd w:val="0"/>
              <w:spacing w:after="0"/>
              <w:rPr>
                <w:rFonts w:cs="Helvetica"/>
                <w:sz w:val="22"/>
                <w:szCs w:val="22"/>
              </w:rPr>
            </w:pPr>
            <w:r w:rsidRPr="00ED7B5A">
              <w:rPr>
                <w:rFonts w:cs="Helvetica"/>
                <w:sz w:val="22"/>
                <w:szCs w:val="22"/>
              </w:rPr>
              <w:t xml:space="preserve">All </w:t>
            </w:r>
            <w:r w:rsidR="008E5BDA">
              <w:rPr>
                <w:rFonts w:cs="Helvetica"/>
                <w:sz w:val="22"/>
                <w:szCs w:val="22"/>
              </w:rPr>
              <w:t>independent mobility assessments</w:t>
            </w:r>
            <w:r w:rsidR="008E5BDA" w:rsidRPr="00ED7B5A">
              <w:rPr>
                <w:rFonts w:cs="Helvetica"/>
                <w:sz w:val="22"/>
                <w:szCs w:val="22"/>
              </w:rPr>
              <w:t xml:space="preserve"> </w:t>
            </w:r>
            <w:r w:rsidRPr="00ED7B5A">
              <w:rPr>
                <w:rFonts w:cs="Helvetica"/>
                <w:sz w:val="22"/>
                <w:szCs w:val="22"/>
              </w:rPr>
              <w:t>undertaken on b</w:t>
            </w:r>
            <w:r w:rsidR="00F31187">
              <w:rPr>
                <w:rFonts w:cs="Helvetica"/>
                <w:sz w:val="22"/>
                <w:szCs w:val="22"/>
              </w:rPr>
              <w:t>ehalf of Cornwall Council shall</w:t>
            </w:r>
            <w:r w:rsidRPr="00ED7B5A">
              <w:rPr>
                <w:rFonts w:cs="Helvetica"/>
                <w:sz w:val="22"/>
                <w:szCs w:val="22"/>
              </w:rPr>
              <w:t xml:space="preserve"> be in line with the guidance outlined in the DfT non statutory Blue Badge scheme guidance.  </w:t>
            </w:r>
          </w:p>
          <w:p w:rsidR="009E7A25" w:rsidRPr="00ED7B5A" w:rsidRDefault="009E7A25" w:rsidP="009E7A25">
            <w:pPr>
              <w:autoSpaceDE w:val="0"/>
              <w:autoSpaceDN w:val="0"/>
              <w:adjustRightInd w:val="0"/>
              <w:spacing w:after="0"/>
              <w:rPr>
                <w:rFonts w:cs="Helvetica"/>
                <w:sz w:val="22"/>
                <w:szCs w:val="22"/>
              </w:rPr>
            </w:pPr>
          </w:p>
          <w:p w:rsidR="006D3EE6" w:rsidRPr="00E4517D" w:rsidRDefault="009E7A25" w:rsidP="006D3EE6">
            <w:pPr>
              <w:autoSpaceDE w:val="0"/>
              <w:autoSpaceDN w:val="0"/>
              <w:adjustRightInd w:val="0"/>
              <w:spacing w:after="0"/>
              <w:rPr>
                <w:rFonts w:cs="Helvetica"/>
                <w:b/>
                <w:color w:val="FF0000"/>
                <w:sz w:val="22"/>
                <w:szCs w:val="22"/>
              </w:rPr>
            </w:pPr>
            <w:r w:rsidRPr="00ED7B5A">
              <w:rPr>
                <w:rFonts w:cs="Helvetica"/>
                <w:sz w:val="22"/>
                <w:szCs w:val="22"/>
              </w:rPr>
              <w:lastRenderedPageBreak/>
              <w:t xml:space="preserve">The Council expects that a number of </w:t>
            </w:r>
            <w:r w:rsidR="008E5BDA">
              <w:rPr>
                <w:rFonts w:cs="Helvetica"/>
                <w:sz w:val="22"/>
                <w:szCs w:val="22"/>
              </w:rPr>
              <w:t xml:space="preserve">independent mobility </w:t>
            </w:r>
            <w:r w:rsidRPr="00ED7B5A">
              <w:rPr>
                <w:rFonts w:cs="Helvetica"/>
                <w:sz w:val="22"/>
                <w:szCs w:val="22"/>
              </w:rPr>
              <w:t>assessments would include supervised observations by another</w:t>
            </w:r>
            <w:r w:rsidR="00161E8D">
              <w:rPr>
                <w:rFonts w:cs="Helvetica"/>
                <w:sz w:val="22"/>
                <w:szCs w:val="22"/>
              </w:rPr>
              <w:t xml:space="preserve"> medically qualified individual;</w:t>
            </w:r>
            <w:r w:rsidR="008E5BDA">
              <w:rPr>
                <w:rFonts w:cs="Helvetica"/>
                <w:sz w:val="22"/>
                <w:szCs w:val="22"/>
              </w:rPr>
              <w:t xml:space="preserve"> this is to ensure that quality standards agreed as part of the contract are being met.  </w:t>
            </w:r>
            <w:r w:rsidR="008E5BDA" w:rsidRPr="00772B02">
              <w:rPr>
                <w:rFonts w:cs="Helvetica"/>
                <w:sz w:val="22"/>
                <w:szCs w:val="22"/>
              </w:rPr>
              <w:t>T</w:t>
            </w:r>
            <w:r w:rsidR="00161E8D" w:rsidRPr="00772B02">
              <w:rPr>
                <w:rFonts w:cs="Helvetica"/>
                <w:sz w:val="22"/>
                <w:szCs w:val="22"/>
              </w:rPr>
              <w:t xml:space="preserve">he </w:t>
            </w:r>
            <w:r w:rsidR="00172279">
              <w:rPr>
                <w:rFonts w:cs="Helvetica"/>
                <w:sz w:val="22"/>
                <w:szCs w:val="22"/>
              </w:rPr>
              <w:t>s</w:t>
            </w:r>
            <w:r w:rsidR="00D827F3">
              <w:rPr>
                <w:rFonts w:cs="Helvetica"/>
                <w:sz w:val="22"/>
                <w:szCs w:val="22"/>
              </w:rPr>
              <w:t>upplier</w:t>
            </w:r>
            <w:r w:rsidR="00161E8D" w:rsidRPr="00772B02">
              <w:rPr>
                <w:rFonts w:cs="Helvetica"/>
                <w:sz w:val="22"/>
                <w:szCs w:val="22"/>
              </w:rPr>
              <w:t xml:space="preserve"> must</w:t>
            </w:r>
            <w:r w:rsidRPr="00772B02">
              <w:rPr>
                <w:rFonts w:cs="Helvetica"/>
                <w:sz w:val="22"/>
                <w:szCs w:val="22"/>
              </w:rPr>
              <w:t xml:space="preserve"> ev</w:t>
            </w:r>
            <w:r w:rsidR="00161E8D" w:rsidRPr="00772B02">
              <w:rPr>
                <w:rFonts w:cs="Helvetica"/>
                <w:sz w:val="22"/>
                <w:szCs w:val="22"/>
              </w:rPr>
              <w:t>idence that they can ensure</w:t>
            </w:r>
            <w:r w:rsidRPr="00772B02">
              <w:rPr>
                <w:rFonts w:cs="Helvetica"/>
                <w:sz w:val="22"/>
                <w:szCs w:val="22"/>
              </w:rPr>
              <w:t xml:space="preserve"> at least</w:t>
            </w:r>
            <w:r w:rsidR="006D3EE6" w:rsidRPr="00772B02">
              <w:rPr>
                <w:rFonts w:cs="Helvetica"/>
                <w:sz w:val="22"/>
                <w:szCs w:val="22"/>
              </w:rPr>
              <w:t xml:space="preserve"> 5% of </w:t>
            </w:r>
            <w:r w:rsidR="008E5BDA" w:rsidRPr="00772B02">
              <w:rPr>
                <w:rFonts w:cs="Helvetica"/>
                <w:sz w:val="22"/>
                <w:szCs w:val="22"/>
              </w:rPr>
              <w:t xml:space="preserve">independent mobility </w:t>
            </w:r>
            <w:r w:rsidR="006D3EE6" w:rsidRPr="00772B02">
              <w:rPr>
                <w:rFonts w:cs="Helvetica"/>
                <w:sz w:val="22"/>
                <w:szCs w:val="22"/>
              </w:rPr>
              <w:t xml:space="preserve">assessments </w:t>
            </w:r>
            <w:r w:rsidR="008E5BDA" w:rsidRPr="00772B02">
              <w:rPr>
                <w:rFonts w:cs="Helvetica"/>
                <w:sz w:val="22"/>
                <w:szCs w:val="22"/>
              </w:rPr>
              <w:t xml:space="preserve">will </w:t>
            </w:r>
            <w:r w:rsidR="006D3EE6" w:rsidRPr="00772B02">
              <w:rPr>
                <w:rFonts w:cs="Helvetica"/>
                <w:sz w:val="22"/>
                <w:szCs w:val="22"/>
              </w:rPr>
              <w:t>include supervised observations.</w:t>
            </w:r>
            <w:r w:rsidR="006D3EE6" w:rsidRPr="00E4517D">
              <w:rPr>
                <w:rFonts w:cs="Helvetica"/>
                <w:b/>
                <w:color w:val="FF0000"/>
                <w:sz w:val="22"/>
                <w:szCs w:val="22"/>
              </w:rPr>
              <w:t xml:space="preserve">  </w:t>
            </w:r>
          </w:p>
          <w:p w:rsidR="006D3EE6" w:rsidRPr="00ED7B5A" w:rsidRDefault="006D3EE6" w:rsidP="006D3EE6">
            <w:pPr>
              <w:autoSpaceDE w:val="0"/>
              <w:autoSpaceDN w:val="0"/>
              <w:adjustRightInd w:val="0"/>
              <w:spacing w:after="0"/>
              <w:rPr>
                <w:rFonts w:cs="Helvetica"/>
                <w:sz w:val="22"/>
                <w:szCs w:val="22"/>
              </w:rPr>
            </w:pPr>
          </w:p>
          <w:p w:rsidR="006D3EE6" w:rsidRPr="00ED7B5A" w:rsidRDefault="00C96EFF" w:rsidP="006D3EE6">
            <w:pPr>
              <w:autoSpaceDE w:val="0"/>
              <w:autoSpaceDN w:val="0"/>
              <w:adjustRightInd w:val="0"/>
              <w:spacing w:after="0"/>
              <w:rPr>
                <w:rFonts w:cs="Helvetica"/>
                <w:sz w:val="22"/>
                <w:szCs w:val="22"/>
              </w:rPr>
            </w:pPr>
            <w:r w:rsidRPr="00ED7B5A">
              <w:rPr>
                <w:rFonts w:cs="Helvetica"/>
                <w:sz w:val="22"/>
                <w:szCs w:val="22"/>
              </w:rPr>
              <w:t xml:space="preserve">In </w:t>
            </w:r>
            <w:r w:rsidR="003D5372" w:rsidRPr="00ED7B5A">
              <w:rPr>
                <w:rFonts w:cs="Helvetica"/>
                <w:sz w:val="22"/>
                <w:szCs w:val="22"/>
              </w:rPr>
              <w:t>50</w:t>
            </w:r>
            <w:r w:rsidRPr="00ED7B5A">
              <w:rPr>
                <w:rFonts w:cs="Helvetica"/>
                <w:sz w:val="22"/>
                <w:szCs w:val="22"/>
              </w:rPr>
              <w:t>% of cases</w:t>
            </w:r>
            <w:r w:rsidR="00161E8D">
              <w:rPr>
                <w:rFonts w:cs="Helvetica"/>
                <w:sz w:val="22"/>
                <w:szCs w:val="22"/>
              </w:rPr>
              <w:t>,</w:t>
            </w:r>
            <w:r w:rsidRPr="00ED7B5A">
              <w:rPr>
                <w:rFonts w:cs="Helvetica"/>
                <w:sz w:val="22"/>
                <w:szCs w:val="22"/>
              </w:rPr>
              <w:t xml:space="preserve"> the written </w:t>
            </w:r>
            <w:r w:rsidR="008E5BDA">
              <w:rPr>
                <w:rFonts w:cs="Helvetica"/>
                <w:sz w:val="22"/>
                <w:szCs w:val="22"/>
              </w:rPr>
              <w:t>independent mobility assessment</w:t>
            </w:r>
            <w:r w:rsidR="008E5BDA" w:rsidRPr="00ED7B5A">
              <w:rPr>
                <w:rFonts w:cs="Helvetica"/>
                <w:sz w:val="22"/>
                <w:szCs w:val="22"/>
              </w:rPr>
              <w:t xml:space="preserve"> </w:t>
            </w:r>
            <w:r w:rsidRPr="00ED7B5A">
              <w:rPr>
                <w:rFonts w:cs="Helvetica"/>
                <w:sz w:val="22"/>
                <w:szCs w:val="22"/>
              </w:rPr>
              <w:t xml:space="preserve">report </w:t>
            </w:r>
            <w:r w:rsidR="006D3EE6" w:rsidRPr="00ED7B5A">
              <w:rPr>
                <w:rFonts w:cs="Helvetica"/>
                <w:sz w:val="22"/>
                <w:szCs w:val="22"/>
              </w:rPr>
              <w:t>will</w:t>
            </w:r>
            <w:r w:rsidRPr="00ED7B5A">
              <w:rPr>
                <w:rFonts w:cs="Helvetica"/>
                <w:sz w:val="22"/>
                <w:szCs w:val="22"/>
              </w:rPr>
              <w:t xml:space="preserve"> be quality checked by the </w:t>
            </w:r>
            <w:r w:rsidR="00D827F3">
              <w:rPr>
                <w:rFonts w:cs="Helvetica"/>
                <w:sz w:val="22"/>
                <w:szCs w:val="22"/>
              </w:rPr>
              <w:t>Supplier</w:t>
            </w:r>
            <w:r w:rsidRPr="00ED7B5A">
              <w:rPr>
                <w:rFonts w:cs="Helvetica"/>
                <w:sz w:val="22"/>
                <w:szCs w:val="22"/>
              </w:rPr>
              <w:t xml:space="preserve"> before being returned to the </w:t>
            </w:r>
            <w:r w:rsidR="003D5372" w:rsidRPr="00ED7B5A">
              <w:rPr>
                <w:rFonts w:cs="Helvetica"/>
                <w:sz w:val="22"/>
                <w:szCs w:val="22"/>
              </w:rPr>
              <w:t>Council.  The</w:t>
            </w:r>
            <w:r w:rsidR="003D5372" w:rsidRPr="00161E8D">
              <w:rPr>
                <w:rFonts w:cs="Helvetica"/>
                <w:sz w:val="22"/>
                <w:szCs w:val="22"/>
              </w:rPr>
              <w:t xml:space="preserve"> QA </w:t>
            </w:r>
            <w:r w:rsidR="003D5372" w:rsidRPr="00ED7B5A">
              <w:rPr>
                <w:rFonts w:cs="Helvetica"/>
                <w:sz w:val="22"/>
                <w:szCs w:val="22"/>
              </w:rPr>
              <w:t xml:space="preserve">checks undertaken by the </w:t>
            </w:r>
            <w:r w:rsidR="00D827F3">
              <w:rPr>
                <w:rFonts w:cs="Helvetica"/>
                <w:sz w:val="22"/>
                <w:szCs w:val="22"/>
              </w:rPr>
              <w:t>Supplier</w:t>
            </w:r>
            <w:r w:rsidR="00E4517D">
              <w:rPr>
                <w:rFonts w:cs="Helvetica"/>
                <w:sz w:val="22"/>
                <w:szCs w:val="22"/>
              </w:rPr>
              <w:t xml:space="preserve"> should ensure that all </w:t>
            </w:r>
            <w:r w:rsidR="003D5372" w:rsidRPr="00ED7B5A">
              <w:rPr>
                <w:rFonts w:cs="Helvetica"/>
                <w:sz w:val="22"/>
                <w:szCs w:val="22"/>
              </w:rPr>
              <w:t xml:space="preserve">core principles outlined in Section 5 of this document have been adequately assessed.  </w:t>
            </w:r>
          </w:p>
          <w:p w:rsidR="006D3EE6" w:rsidRPr="00772B02" w:rsidRDefault="001A36FE" w:rsidP="006D3EE6">
            <w:pPr>
              <w:autoSpaceDE w:val="0"/>
              <w:autoSpaceDN w:val="0"/>
              <w:adjustRightInd w:val="0"/>
              <w:spacing w:after="0"/>
              <w:rPr>
                <w:rFonts w:cs="Helvetica"/>
                <w:sz w:val="22"/>
                <w:szCs w:val="22"/>
              </w:rPr>
            </w:pPr>
            <w:r w:rsidRPr="00772B02">
              <w:rPr>
                <w:rFonts w:cs="Helvetica"/>
                <w:sz w:val="22"/>
                <w:szCs w:val="22"/>
              </w:rPr>
              <w:t>R</w:t>
            </w:r>
            <w:r w:rsidR="006D3EE6" w:rsidRPr="00772B02">
              <w:rPr>
                <w:rFonts w:cs="Helvetica"/>
                <w:sz w:val="22"/>
                <w:szCs w:val="22"/>
              </w:rPr>
              <w:t xml:space="preserve">eports </w:t>
            </w:r>
            <w:r w:rsidRPr="00772B02">
              <w:rPr>
                <w:rFonts w:cs="Helvetica"/>
                <w:sz w:val="22"/>
                <w:szCs w:val="22"/>
              </w:rPr>
              <w:t xml:space="preserve">should </w:t>
            </w:r>
            <w:r w:rsidR="006D3EE6" w:rsidRPr="00772B02">
              <w:rPr>
                <w:rFonts w:cs="Helvetica"/>
                <w:sz w:val="22"/>
                <w:szCs w:val="22"/>
              </w:rPr>
              <w:t xml:space="preserve">be annotated as </w:t>
            </w:r>
            <w:r w:rsidR="005D4582" w:rsidRPr="00772B02">
              <w:rPr>
                <w:rFonts w:cs="Helvetica"/>
                <w:sz w:val="22"/>
                <w:szCs w:val="22"/>
              </w:rPr>
              <w:t xml:space="preserve">quality </w:t>
            </w:r>
            <w:r w:rsidR="006D3EE6" w:rsidRPr="00772B02">
              <w:rPr>
                <w:rFonts w:cs="Helvetica"/>
                <w:sz w:val="22"/>
                <w:szCs w:val="22"/>
              </w:rPr>
              <w:t>checked before return to the Council.</w:t>
            </w:r>
            <w:r w:rsidRPr="00772B02">
              <w:rPr>
                <w:rFonts w:cs="Helvetica"/>
                <w:sz w:val="22"/>
                <w:szCs w:val="22"/>
              </w:rPr>
              <w:t xml:space="preserve">  The </w:t>
            </w:r>
            <w:r w:rsidR="00D827F3">
              <w:rPr>
                <w:rFonts w:cs="Helvetica"/>
                <w:sz w:val="22"/>
                <w:szCs w:val="22"/>
              </w:rPr>
              <w:t>Supplier</w:t>
            </w:r>
            <w:r w:rsidRPr="00772B02">
              <w:rPr>
                <w:rFonts w:cs="Helvetica"/>
                <w:sz w:val="22"/>
                <w:szCs w:val="22"/>
              </w:rPr>
              <w:t xml:space="preserve"> </w:t>
            </w:r>
            <w:r w:rsidR="00E4517D" w:rsidRPr="00772B02">
              <w:rPr>
                <w:rFonts w:cs="Helvetica"/>
                <w:sz w:val="22"/>
                <w:szCs w:val="22"/>
              </w:rPr>
              <w:t xml:space="preserve">must evidence that they </w:t>
            </w:r>
            <w:r w:rsidRPr="00772B02">
              <w:rPr>
                <w:rFonts w:cs="Helvetica"/>
                <w:sz w:val="22"/>
                <w:szCs w:val="22"/>
              </w:rPr>
              <w:t>quality check at least 50% of the written reports being returned to the council.</w:t>
            </w:r>
          </w:p>
          <w:p w:rsidR="006D3EE6" w:rsidRPr="00ED7B5A" w:rsidRDefault="006D3EE6" w:rsidP="006D3EE6">
            <w:pPr>
              <w:autoSpaceDE w:val="0"/>
              <w:autoSpaceDN w:val="0"/>
              <w:adjustRightInd w:val="0"/>
              <w:spacing w:after="0"/>
              <w:rPr>
                <w:rFonts w:cs="Helvetica"/>
                <w:sz w:val="22"/>
                <w:szCs w:val="22"/>
              </w:rPr>
            </w:pPr>
          </w:p>
          <w:p w:rsidR="005A40E8" w:rsidRDefault="003D5372" w:rsidP="006D3EE6">
            <w:pPr>
              <w:autoSpaceDE w:val="0"/>
              <w:autoSpaceDN w:val="0"/>
              <w:adjustRightInd w:val="0"/>
              <w:spacing w:after="0"/>
              <w:rPr>
                <w:rFonts w:cs="Helvetica"/>
                <w:b/>
                <w:color w:val="76923C" w:themeColor="accent3" w:themeShade="BF"/>
              </w:rPr>
            </w:pPr>
            <w:r w:rsidRPr="00ED7B5A">
              <w:rPr>
                <w:rFonts w:cs="Helvetica"/>
                <w:sz w:val="22"/>
                <w:szCs w:val="22"/>
              </w:rPr>
              <w:t xml:space="preserve">A monthly report showing the number of </w:t>
            </w:r>
            <w:r w:rsidR="001A36FE">
              <w:rPr>
                <w:rFonts w:cs="Helvetica"/>
                <w:sz w:val="22"/>
                <w:szCs w:val="22"/>
              </w:rPr>
              <w:t xml:space="preserve">QA </w:t>
            </w:r>
            <w:r w:rsidRPr="00ED7B5A">
              <w:rPr>
                <w:rFonts w:cs="Helvetica"/>
                <w:sz w:val="22"/>
                <w:szCs w:val="22"/>
              </w:rPr>
              <w:t xml:space="preserve">checks undertaken </w:t>
            </w:r>
            <w:r w:rsidR="006D3EE6" w:rsidRPr="00ED7B5A">
              <w:rPr>
                <w:rFonts w:cs="Helvetica"/>
                <w:sz w:val="22"/>
                <w:szCs w:val="22"/>
              </w:rPr>
              <w:t>will</w:t>
            </w:r>
            <w:r w:rsidRPr="00ED7B5A">
              <w:rPr>
                <w:rFonts w:cs="Helvetica"/>
                <w:sz w:val="22"/>
                <w:szCs w:val="22"/>
              </w:rPr>
              <w:t xml:space="preserve"> be provided to the Council</w:t>
            </w:r>
            <w:r w:rsidR="005D4582">
              <w:rPr>
                <w:rFonts w:cs="Helvetica"/>
                <w:sz w:val="22"/>
                <w:szCs w:val="22"/>
              </w:rPr>
              <w:t xml:space="preserve"> and will include the names and addresses of the assessments which have been quality checked</w:t>
            </w:r>
            <w:r w:rsidR="001A36FE">
              <w:rPr>
                <w:rFonts w:cs="Helvetica"/>
                <w:sz w:val="22"/>
                <w:szCs w:val="22"/>
              </w:rPr>
              <w:t>, this will include both supervised assessments and checks completed on the written reports</w:t>
            </w:r>
            <w:r w:rsidR="00E4517D">
              <w:rPr>
                <w:rFonts w:cs="Helvetica"/>
                <w:sz w:val="22"/>
                <w:szCs w:val="22"/>
              </w:rPr>
              <w:t xml:space="preserve">. The </w:t>
            </w:r>
            <w:r w:rsidR="00D827F3">
              <w:rPr>
                <w:rFonts w:cs="Helvetica"/>
                <w:sz w:val="22"/>
                <w:szCs w:val="22"/>
              </w:rPr>
              <w:t>Supplier</w:t>
            </w:r>
            <w:r w:rsidR="00E4517D">
              <w:rPr>
                <w:rFonts w:cs="Helvetica"/>
                <w:sz w:val="22"/>
                <w:szCs w:val="22"/>
              </w:rPr>
              <w:t xml:space="preserve"> will also supply the names and addresses of individuals which did not show up for their booked appointment. </w:t>
            </w:r>
          </w:p>
          <w:p w:rsidR="00ED7B5A" w:rsidRDefault="00ED7B5A" w:rsidP="006D3EE6">
            <w:pPr>
              <w:autoSpaceDE w:val="0"/>
              <w:autoSpaceDN w:val="0"/>
              <w:adjustRightInd w:val="0"/>
              <w:spacing w:after="0"/>
              <w:rPr>
                <w:rFonts w:cs="Helvetica"/>
                <w:b/>
                <w:color w:val="76923C" w:themeColor="accent3" w:themeShade="BF"/>
              </w:rPr>
            </w:pPr>
          </w:p>
          <w:p w:rsidR="00ED7B5A" w:rsidRDefault="00ED7B5A" w:rsidP="001A36FE">
            <w:pPr>
              <w:autoSpaceDE w:val="0"/>
              <w:autoSpaceDN w:val="0"/>
              <w:adjustRightInd w:val="0"/>
              <w:spacing w:after="0"/>
              <w:rPr>
                <w:rFonts w:cs="Helvetica"/>
                <w:sz w:val="22"/>
                <w:szCs w:val="22"/>
              </w:rPr>
            </w:pPr>
            <w:r w:rsidRPr="00ED7B5A">
              <w:rPr>
                <w:rFonts w:cs="Helvetica"/>
                <w:sz w:val="22"/>
                <w:szCs w:val="22"/>
              </w:rPr>
              <w:t xml:space="preserve">The </w:t>
            </w:r>
            <w:r w:rsidR="00D827F3">
              <w:rPr>
                <w:rFonts w:cs="Helvetica"/>
                <w:sz w:val="22"/>
                <w:szCs w:val="22"/>
              </w:rPr>
              <w:t>Supplier</w:t>
            </w:r>
            <w:r w:rsidRPr="00ED7B5A">
              <w:rPr>
                <w:rFonts w:cs="Helvetica"/>
                <w:sz w:val="22"/>
                <w:szCs w:val="22"/>
              </w:rPr>
              <w:t xml:space="preserve"> will undertake their own risk assessments on venues to be used for </w:t>
            </w:r>
            <w:r w:rsidR="001A36FE">
              <w:rPr>
                <w:rFonts w:cs="Helvetica"/>
                <w:sz w:val="22"/>
                <w:szCs w:val="22"/>
              </w:rPr>
              <w:t>independent mobility assessments</w:t>
            </w:r>
            <w:r w:rsidR="001A36FE" w:rsidRPr="00ED7B5A">
              <w:rPr>
                <w:rFonts w:cs="Helvetica"/>
                <w:sz w:val="22"/>
                <w:szCs w:val="22"/>
              </w:rPr>
              <w:t xml:space="preserve"> </w:t>
            </w:r>
            <w:r w:rsidRPr="00ED7B5A">
              <w:rPr>
                <w:rFonts w:cs="Helvetica"/>
                <w:sz w:val="22"/>
                <w:szCs w:val="22"/>
              </w:rPr>
              <w:t xml:space="preserve">and will provide a copy </w:t>
            </w:r>
            <w:r w:rsidR="001A36FE">
              <w:rPr>
                <w:rFonts w:cs="Helvetica"/>
                <w:sz w:val="22"/>
                <w:szCs w:val="22"/>
              </w:rPr>
              <w:t xml:space="preserve">of </w:t>
            </w:r>
            <w:r w:rsidRPr="00ED7B5A">
              <w:rPr>
                <w:rFonts w:cs="Helvetica"/>
                <w:sz w:val="22"/>
                <w:szCs w:val="22"/>
              </w:rPr>
              <w:t>such assessments to the Council before commencement of services.  New venues selected during the life of</w:t>
            </w:r>
            <w:r w:rsidR="00E4517D">
              <w:rPr>
                <w:rFonts w:cs="Helvetica"/>
                <w:sz w:val="22"/>
                <w:szCs w:val="22"/>
              </w:rPr>
              <w:t xml:space="preserve"> the contract must follow the same process aforementioned.  Risk assessments will</w:t>
            </w:r>
            <w:r w:rsidRPr="00ED7B5A">
              <w:rPr>
                <w:rFonts w:cs="Helvetica"/>
                <w:sz w:val="22"/>
                <w:szCs w:val="22"/>
              </w:rPr>
              <w:t xml:space="preserve"> be reviewed annually</w:t>
            </w:r>
            <w:r w:rsidR="00016A60">
              <w:rPr>
                <w:rFonts w:cs="Helvetica"/>
                <w:sz w:val="22"/>
                <w:szCs w:val="22"/>
              </w:rPr>
              <w:t xml:space="preserve"> following the date of initial assessment and earlier if changes happen at individual venues.  E</w:t>
            </w:r>
            <w:r w:rsidRPr="00ED7B5A">
              <w:rPr>
                <w:rFonts w:cs="Helvetica"/>
                <w:sz w:val="22"/>
                <w:szCs w:val="22"/>
              </w:rPr>
              <w:t xml:space="preserve">vidence of such review </w:t>
            </w:r>
            <w:r w:rsidR="00016A60">
              <w:rPr>
                <w:rFonts w:cs="Helvetica"/>
                <w:sz w:val="22"/>
                <w:szCs w:val="22"/>
              </w:rPr>
              <w:t xml:space="preserve">will be </w:t>
            </w:r>
            <w:r w:rsidRPr="00ED7B5A">
              <w:rPr>
                <w:rFonts w:cs="Helvetica"/>
                <w:sz w:val="22"/>
                <w:szCs w:val="22"/>
              </w:rPr>
              <w:t>made available to the Council on request.</w:t>
            </w:r>
          </w:p>
          <w:p w:rsidR="00E3071D" w:rsidRDefault="00E3071D" w:rsidP="001A36FE">
            <w:pPr>
              <w:autoSpaceDE w:val="0"/>
              <w:autoSpaceDN w:val="0"/>
              <w:adjustRightInd w:val="0"/>
              <w:spacing w:after="0"/>
              <w:rPr>
                <w:rFonts w:cs="Helvetica"/>
                <w:sz w:val="22"/>
                <w:szCs w:val="22"/>
              </w:rPr>
            </w:pPr>
          </w:p>
          <w:p w:rsidR="00E3071D" w:rsidRDefault="00E3071D" w:rsidP="001A36FE">
            <w:pPr>
              <w:autoSpaceDE w:val="0"/>
              <w:autoSpaceDN w:val="0"/>
              <w:adjustRightInd w:val="0"/>
              <w:spacing w:after="0"/>
              <w:rPr>
                <w:rFonts w:cs="Helvetica"/>
                <w:sz w:val="22"/>
                <w:szCs w:val="22"/>
              </w:rPr>
            </w:pPr>
            <w:r>
              <w:rPr>
                <w:rFonts w:cs="Helvetica"/>
                <w:sz w:val="22"/>
                <w:szCs w:val="22"/>
              </w:rPr>
              <w:t>At the outset of services</w:t>
            </w:r>
            <w:r w:rsidR="000619BB">
              <w:rPr>
                <w:rFonts w:cs="Helvetica"/>
                <w:sz w:val="22"/>
                <w:szCs w:val="22"/>
              </w:rPr>
              <w:t>,</w:t>
            </w:r>
            <w:r>
              <w:rPr>
                <w:rFonts w:cs="Helvetica"/>
                <w:sz w:val="22"/>
                <w:szCs w:val="22"/>
              </w:rPr>
              <w:t xml:space="preserve"> the </w:t>
            </w:r>
            <w:r w:rsidR="00D827F3">
              <w:rPr>
                <w:rFonts w:cs="Helvetica"/>
                <w:sz w:val="22"/>
                <w:szCs w:val="22"/>
              </w:rPr>
              <w:t>supplier</w:t>
            </w:r>
            <w:r>
              <w:rPr>
                <w:rFonts w:cs="Helvetica"/>
                <w:sz w:val="22"/>
                <w:szCs w:val="22"/>
              </w:rPr>
              <w:t xml:space="preserve"> will provide a copy of </w:t>
            </w:r>
            <w:r w:rsidR="000619BB">
              <w:rPr>
                <w:rFonts w:cs="Helvetica"/>
                <w:sz w:val="22"/>
                <w:szCs w:val="22"/>
              </w:rPr>
              <w:t xml:space="preserve">their </w:t>
            </w:r>
            <w:r>
              <w:rPr>
                <w:rFonts w:cs="Helvetica"/>
                <w:sz w:val="22"/>
                <w:szCs w:val="22"/>
              </w:rPr>
              <w:t xml:space="preserve">policies relating to handling </w:t>
            </w:r>
            <w:r w:rsidRPr="00E3071D">
              <w:rPr>
                <w:rFonts w:cs="Helvetica"/>
                <w:sz w:val="22"/>
                <w:szCs w:val="22"/>
              </w:rPr>
              <w:t>violence &amp; aggression</w:t>
            </w:r>
            <w:r>
              <w:rPr>
                <w:rFonts w:cs="Helvetica"/>
                <w:sz w:val="22"/>
                <w:szCs w:val="22"/>
              </w:rPr>
              <w:t xml:space="preserve">, lone </w:t>
            </w:r>
            <w:r w:rsidRPr="00E3071D">
              <w:rPr>
                <w:rFonts w:cs="Helvetica"/>
                <w:sz w:val="22"/>
                <w:szCs w:val="22"/>
              </w:rPr>
              <w:t xml:space="preserve">working </w:t>
            </w:r>
            <w:r>
              <w:rPr>
                <w:rFonts w:cs="Helvetica"/>
                <w:sz w:val="22"/>
                <w:szCs w:val="22"/>
              </w:rPr>
              <w:t xml:space="preserve">and ongoing personal safety training for staff employed on the provision of services.   </w:t>
            </w:r>
          </w:p>
          <w:p w:rsidR="000121A3" w:rsidRPr="00ED7B5A" w:rsidRDefault="000121A3" w:rsidP="001A36FE">
            <w:pPr>
              <w:autoSpaceDE w:val="0"/>
              <w:autoSpaceDN w:val="0"/>
              <w:adjustRightInd w:val="0"/>
              <w:spacing w:after="0"/>
              <w:rPr>
                <w:rFonts w:cs="Helvetica"/>
                <w:color w:val="76923C" w:themeColor="accent3" w:themeShade="BF"/>
                <w:sz w:val="22"/>
                <w:szCs w:val="22"/>
              </w:rPr>
            </w:pPr>
          </w:p>
        </w:tc>
      </w:tr>
    </w:tbl>
    <w:p w:rsidR="00692DB8" w:rsidRDefault="00692DB8" w:rsidP="005D12E2"/>
    <w:p w:rsidR="00EF3974" w:rsidRPr="007733DB" w:rsidRDefault="00541ED1" w:rsidP="00EF3974">
      <w:pPr>
        <w:pStyle w:val="Heading1"/>
      </w:pPr>
      <w:bookmarkStart w:id="14" w:name="_Toc451437137"/>
      <w:r>
        <w:t>Service Conditions</w:t>
      </w:r>
      <w:bookmarkEnd w:id="14"/>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41ED1"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541ED1" w:rsidRPr="008B5218" w:rsidRDefault="005A40E8" w:rsidP="00596792">
            <w:pPr>
              <w:pStyle w:val="Heading2"/>
            </w:pPr>
            <w:bookmarkStart w:id="15" w:name="_Toc451437138"/>
            <w:r>
              <w:t>Geographical</w:t>
            </w:r>
            <w:r w:rsidR="00541ED1">
              <w:t xml:space="preserve"> Factors</w:t>
            </w:r>
            <w:bookmarkEnd w:id="15"/>
            <w:r w:rsidR="00541ED1">
              <w:t xml:space="preserve"> </w:t>
            </w:r>
          </w:p>
        </w:tc>
      </w:tr>
      <w:tr w:rsidR="00541ED1"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5A40E8" w:rsidRDefault="00541ED1" w:rsidP="001A36FE">
            <w:pPr>
              <w:pStyle w:val="NoSpacing"/>
              <w:rPr>
                <w:rFonts w:ascii="Verdana" w:hAnsi="Verdana"/>
              </w:rPr>
            </w:pPr>
            <w:r>
              <w:rPr>
                <w:rFonts w:ascii="Verdana" w:hAnsi="Verdana"/>
              </w:rPr>
              <w:t xml:space="preserve">Cornwall covers approximately 1,400 square miles. As part of a previous independent review </w:t>
            </w:r>
            <w:r w:rsidR="00C96EFF">
              <w:rPr>
                <w:rFonts w:ascii="Verdana" w:hAnsi="Verdana"/>
              </w:rPr>
              <w:t xml:space="preserve">undertaken by the DfT </w:t>
            </w:r>
            <w:r>
              <w:rPr>
                <w:rFonts w:ascii="Verdana" w:hAnsi="Verdana"/>
              </w:rPr>
              <w:t xml:space="preserve">it was established that holders </w:t>
            </w:r>
            <w:r w:rsidR="00ED7B5A">
              <w:rPr>
                <w:rFonts w:ascii="Verdana" w:hAnsi="Verdana"/>
              </w:rPr>
              <w:t xml:space="preserve">in rural areas </w:t>
            </w:r>
            <w:r>
              <w:rPr>
                <w:rFonts w:ascii="Verdana" w:hAnsi="Verdana"/>
              </w:rPr>
              <w:t>were generally prepared to travel up to 20 minutes in order to be assessed for a Blue Badge</w:t>
            </w:r>
            <w:r w:rsidR="00C96EFF">
              <w:rPr>
                <w:rFonts w:ascii="Verdana" w:hAnsi="Verdana"/>
              </w:rPr>
              <w:t xml:space="preserve">.  Cornwall Council will expect the </w:t>
            </w:r>
            <w:r w:rsidR="00D827F3">
              <w:rPr>
                <w:rFonts w:ascii="Verdana" w:hAnsi="Verdana"/>
              </w:rPr>
              <w:t>Supplier</w:t>
            </w:r>
            <w:r w:rsidR="00C96EFF">
              <w:rPr>
                <w:rFonts w:ascii="Verdana" w:hAnsi="Verdana"/>
              </w:rPr>
              <w:t xml:space="preserve"> to </w:t>
            </w:r>
            <w:r w:rsidR="00715B79">
              <w:rPr>
                <w:rFonts w:ascii="Verdana" w:hAnsi="Verdana"/>
              </w:rPr>
              <w:t>provide assessments at</w:t>
            </w:r>
            <w:r w:rsidR="00C96EFF">
              <w:rPr>
                <w:rFonts w:ascii="Verdana" w:hAnsi="Verdana"/>
              </w:rPr>
              <w:t xml:space="preserve"> a range of suitable venues </w:t>
            </w:r>
            <w:r w:rsidR="00715B79">
              <w:rPr>
                <w:rFonts w:ascii="Verdana" w:hAnsi="Verdana"/>
              </w:rPr>
              <w:t>to</w:t>
            </w:r>
            <w:r w:rsidR="00C96EFF">
              <w:rPr>
                <w:rFonts w:ascii="Verdana" w:hAnsi="Verdana"/>
              </w:rPr>
              <w:t xml:space="preserve"> ensure applicants are not </w:t>
            </w:r>
            <w:r w:rsidR="00715B79">
              <w:rPr>
                <w:rFonts w:ascii="Verdana" w:hAnsi="Verdana"/>
              </w:rPr>
              <w:t xml:space="preserve">generally </w:t>
            </w:r>
            <w:r w:rsidR="00C96EFF">
              <w:rPr>
                <w:rFonts w:ascii="Verdana" w:hAnsi="Verdana"/>
              </w:rPr>
              <w:t xml:space="preserve">expected to travel </w:t>
            </w:r>
            <w:r w:rsidR="004E0785">
              <w:rPr>
                <w:rFonts w:ascii="Verdana" w:hAnsi="Verdana"/>
              </w:rPr>
              <w:t xml:space="preserve">substantially more than 20 minutes.  </w:t>
            </w:r>
            <w:r>
              <w:rPr>
                <w:rFonts w:ascii="Verdana" w:hAnsi="Verdana"/>
              </w:rPr>
              <w:t xml:space="preserve"> </w:t>
            </w:r>
          </w:p>
          <w:p w:rsidR="000121A3" w:rsidRPr="00EF3974" w:rsidRDefault="000121A3" w:rsidP="001A36FE">
            <w:pPr>
              <w:pStyle w:val="NoSpacing"/>
              <w:rPr>
                <w:rFonts w:ascii="Verdana" w:hAnsi="Verdana"/>
              </w:rPr>
            </w:pPr>
          </w:p>
        </w:tc>
      </w:tr>
    </w:tbl>
    <w:p w:rsidR="00541ED1" w:rsidRDefault="00541ED1" w:rsidP="005D12E2"/>
    <w:p w:rsidR="00FD4874" w:rsidRDefault="00FD4874" w:rsidP="005D12E2"/>
    <w:p w:rsidR="00FD4874" w:rsidRDefault="00FD4874" w:rsidP="005D12E2"/>
    <w:p w:rsidR="00EF3974" w:rsidRPr="007733DB" w:rsidRDefault="00702EE5" w:rsidP="00EF3974">
      <w:pPr>
        <w:pStyle w:val="Heading1"/>
      </w:pPr>
      <w:bookmarkStart w:id="16" w:name="_Toc451437139"/>
      <w:r>
        <w:lastRenderedPageBreak/>
        <w:t>Statement of Requirements</w:t>
      </w:r>
      <w:bookmarkEnd w:id="16"/>
      <w:r>
        <w:t xml:space="preserve"> </w:t>
      </w:r>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702EE5"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702EE5" w:rsidRPr="008B5218" w:rsidRDefault="009F643D" w:rsidP="00596792">
            <w:pPr>
              <w:pStyle w:val="Heading2"/>
            </w:pPr>
            <w:bookmarkStart w:id="17" w:name="_Toc451437140"/>
            <w:proofErr w:type="spellStart"/>
            <w:r>
              <w:t>SoR</w:t>
            </w:r>
            <w:bookmarkEnd w:id="17"/>
            <w:proofErr w:type="spellEnd"/>
          </w:p>
        </w:tc>
      </w:tr>
      <w:tr w:rsidR="00702EE5"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C023C2" w:rsidRPr="00A00150" w:rsidRDefault="00CC6680" w:rsidP="00A00150">
            <w:pPr>
              <w:pStyle w:val="NoSpacing"/>
              <w:rPr>
                <w:rFonts w:ascii="Verdana" w:hAnsi="Verdana"/>
                <w:color w:val="FF0000"/>
              </w:rPr>
            </w:pPr>
            <w:r>
              <w:rPr>
                <w:rFonts w:ascii="Verdana" w:hAnsi="Verdana"/>
              </w:rPr>
              <w:t>Th</w:t>
            </w:r>
            <w:r w:rsidR="00C023C2">
              <w:rPr>
                <w:rFonts w:ascii="Verdana" w:hAnsi="Verdana"/>
              </w:rPr>
              <w:t xml:space="preserve">e </w:t>
            </w:r>
            <w:r w:rsidR="00D827F3">
              <w:rPr>
                <w:rFonts w:ascii="Verdana" w:hAnsi="Verdana"/>
              </w:rPr>
              <w:t>Supplier</w:t>
            </w:r>
            <w:r w:rsidR="00C023C2">
              <w:rPr>
                <w:rFonts w:ascii="Verdana" w:hAnsi="Verdana"/>
              </w:rPr>
              <w:t xml:space="preserve"> will</w:t>
            </w:r>
            <w:r w:rsidR="00C023C2" w:rsidRPr="00C023C2">
              <w:rPr>
                <w:rFonts w:ascii="Verdana" w:hAnsi="Verdana"/>
              </w:rPr>
              <w:t>:</w:t>
            </w:r>
          </w:p>
          <w:p w:rsidR="00C023C2" w:rsidRPr="00A02D3D" w:rsidRDefault="00C023C2" w:rsidP="00442A7D">
            <w:pPr>
              <w:pStyle w:val="NoSpacing"/>
              <w:rPr>
                <w:rFonts w:ascii="Verdana" w:hAnsi="Verdana"/>
                <w:color w:val="FF0000"/>
              </w:rPr>
            </w:pPr>
          </w:p>
          <w:p w:rsidR="00442A7D" w:rsidRDefault="00C023C2" w:rsidP="00442A7D">
            <w:pPr>
              <w:pStyle w:val="NoSpacing"/>
              <w:rPr>
                <w:rFonts w:ascii="Verdana" w:hAnsi="Verdana"/>
              </w:rPr>
            </w:pPr>
            <w:r>
              <w:rPr>
                <w:rFonts w:ascii="Verdana" w:hAnsi="Verdana"/>
              </w:rPr>
              <w:t>undertake</w:t>
            </w:r>
            <w:r w:rsidR="00442A7D">
              <w:rPr>
                <w:rFonts w:ascii="Verdana" w:hAnsi="Verdana"/>
              </w:rPr>
              <w:t xml:space="preserve"> </w:t>
            </w:r>
            <w:r w:rsidR="004E0785">
              <w:rPr>
                <w:rFonts w:ascii="Verdana" w:hAnsi="Verdana"/>
              </w:rPr>
              <w:t xml:space="preserve">face to face </w:t>
            </w:r>
            <w:r w:rsidR="00442A7D">
              <w:rPr>
                <w:rFonts w:ascii="Verdana" w:hAnsi="Verdana"/>
              </w:rPr>
              <w:t>independent mobility assessment</w:t>
            </w:r>
            <w:r>
              <w:rPr>
                <w:rFonts w:ascii="Verdana" w:hAnsi="Verdana"/>
              </w:rPr>
              <w:t>s</w:t>
            </w:r>
            <w:r w:rsidR="00442A7D">
              <w:rPr>
                <w:rFonts w:ascii="Verdana" w:hAnsi="Verdana"/>
              </w:rPr>
              <w:t xml:space="preserve"> in accordance with the guidelines provided by the DfT in The Blue Badge Scheme Loc</w:t>
            </w:r>
            <w:r>
              <w:rPr>
                <w:rFonts w:ascii="Verdana" w:hAnsi="Verdana"/>
              </w:rPr>
              <w:t>al Authority Guidance (England);</w:t>
            </w:r>
          </w:p>
          <w:p w:rsidR="00442A7D" w:rsidRDefault="00442A7D" w:rsidP="00442A7D">
            <w:pPr>
              <w:pStyle w:val="NoSpacing"/>
              <w:rPr>
                <w:rFonts w:ascii="Verdana" w:hAnsi="Verdana"/>
              </w:rPr>
            </w:pPr>
          </w:p>
          <w:p w:rsidR="00442A7D" w:rsidRDefault="004E0785" w:rsidP="00442A7D">
            <w:pPr>
              <w:pStyle w:val="NoSpacing"/>
              <w:rPr>
                <w:rFonts w:ascii="Verdana" w:hAnsi="Verdana"/>
              </w:rPr>
            </w:pPr>
            <w:r>
              <w:rPr>
                <w:rFonts w:ascii="Verdana" w:hAnsi="Verdana"/>
              </w:rPr>
              <w:t>M</w:t>
            </w:r>
            <w:r w:rsidR="00442A7D">
              <w:rPr>
                <w:rFonts w:ascii="Verdana" w:hAnsi="Verdana"/>
              </w:rPr>
              <w:t xml:space="preserve">ake initial contact by telephone with the applicant within </w:t>
            </w:r>
            <w:r>
              <w:rPr>
                <w:rFonts w:ascii="Verdana" w:hAnsi="Verdana"/>
              </w:rPr>
              <w:t xml:space="preserve">2 working days </w:t>
            </w:r>
            <w:r w:rsidR="00442A7D">
              <w:rPr>
                <w:rFonts w:ascii="Verdana" w:hAnsi="Verdana"/>
              </w:rPr>
              <w:t>of the referral being made by the local authority to arrange an appointment.  Whe</w:t>
            </w:r>
            <w:r w:rsidR="00C023C2">
              <w:rPr>
                <w:rFonts w:ascii="Verdana" w:hAnsi="Verdana"/>
              </w:rPr>
              <w:t xml:space="preserve">re telephone contact cannot be </w:t>
            </w:r>
            <w:r w:rsidR="00442A7D">
              <w:rPr>
                <w:rFonts w:ascii="Verdana" w:hAnsi="Verdana"/>
              </w:rPr>
              <w:t>made</w:t>
            </w:r>
            <w:r w:rsidR="00C023C2">
              <w:rPr>
                <w:rFonts w:ascii="Verdana" w:hAnsi="Verdana"/>
              </w:rPr>
              <w:t>,</w:t>
            </w:r>
            <w:r w:rsidR="00442A7D">
              <w:rPr>
                <w:rFonts w:ascii="Verdana" w:hAnsi="Verdana"/>
              </w:rPr>
              <w:t xml:space="preserve"> an appointment time and date will be offered i</w:t>
            </w:r>
            <w:r w:rsidR="00C023C2">
              <w:rPr>
                <w:rFonts w:ascii="Verdana" w:hAnsi="Verdana"/>
              </w:rPr>
              <w:t>n writing within 5 working days;</w:t>
            </w:r>
          </w:p>
          <w:p w:rsidR="00442A7D" w:rsidRDefault="00442A7D" w:rsidP="00442A7D">
            <w:pPr>
              <w:pStyle w:val="NoSpacing"/>
              <w:rPr>
                <w:rFonts w:ascii="Verdana" w:hAnsi="Verdana"/>
              </w:rPr>
            </w:pPr>
          </w:p>
          <w:p w:rsidR="003E4119" w:rsidRPr="00772B02" w:rsidRDefault="003E4119" w:rsidP="00442A7D">
            <w:pPr>
              <w:pStyle w:val="NoSpacing"/>
              <w:rPr>
                <w:rFonts w:ascii="Verdana" w:hAnsi="Verdana"/>
              </w:rPr>
            </w:pPr>
            <w:r w:rsidRPr="00772B02">
              <w:rPr>
                <w:rFonts w:ascii="Verdana" w:hAnsi="Verdana"/>
              </w:rPr>
              <w:t>A schedule of appointments arranged will be returned</w:t>
            </w:r>
            <w:r w:rsidR="00172279">
              <w:rPr>
                <w:rFonts w:ascii="Verdana" w:hAnsi="Verdana"/>
              </w:rPr>
              <w:t xml:space="preserve"> electronically</w:t>
            </w:r>
            <w:r w:rsidRPr="00772B02">
              <w:rPr>
                <w:rFonts w:ascii="Verdana" w:hAnsi="Verdana"/>
              </w:rPr>
              <w:t xml:space="preserve"> to the Council on a daily basis. </w:t>
            </w:r>
          </w:p>
          <w:p w:rsidR="003E4119" w:rsidRDefault="003E4119" w:rsidP="00442A7D">
            <w:pPr>
              <w:pStyle w:val="NoSpacing"/>
              <w:rPr>
                <w:rFonts w:ascii="Verdana" w:hAnsi="Verdana"/>
              </w:rPr>
            </w:pPr>
            <w:r>
              <w:rPr>
                <w:rFonts w:ascii="Verdana" w:hAnsi="Verdana"/>
              </w:rPr>
              <w:t xml:space="preserve"> </w:t>
            </w:r>
          </w:p>
          <w:p w:rsidR="00442A7D" w:rsidRDefault="003E4119" w:rsidP="00205BCF">
            <w:pPr>
              <w:pStyle w:val="NoSpacing"/>
              <w:rPr>
                <w:rFonts w:ascii="Verdana" w:hAnsi="Verdana"/>
              </w:rPr>
            </w:pPr>
            <w:r>
              <w:rPr>
                <w:rFonts w:ascii="Verdana" w:hAnsi="Verdana"/>
              </w:rPr>
              <w:t>O</w:t>
            </w:r>
            <w:r w:rsidR="00C023C2">
              <w:rPr>
                <w:rFonts w:ascii="Verdana" w:hAnsi="Verdana"/>
              </w:rPr>
              <w:t xml:space="preserve">ffer </w:t>
            </w:r>
            <w:r w:rsidR="00442A7D">
              <w:rPr>
                <w:rFonts w:ascii="Verdana" w:hAnsi="Verdana"/>
              </w:rPr>
              <w:t>an appointment</w:t>
            </w:r>
            <w:r w:rsidR="001A36FE">
              <w:rPr>
                <w:rFonts w:ascii="Verdana" w:hAnsi="Verdana"/>
              </w:rPr>
              <w:t xml:space="preserve"> date</w:t>
            </w:r>
            <w:r w:rsidR="00C023C2">
              <w:rPr>
                <w:rFonts w:ascii="Verdana" w:hAnsi="Verdana"/>
              </w:rPr>
              <w:t xml:space="preserve"> to the Blue Badge applicant</w:t>
            </w:r>
            <w:r w:rsidR="001A36FE">
              <w:rPr>
                <w:rFonts w:ascii="Verdana" w:hAnsi="Verdana"/>
              </w:rPr>
              <w:t xml:space="preserve"> which is no more than </w:t>
            </w:r>
            <w:r w:rsidR="004E0785">
              <w:rPr>
                <w:rFonts w:ascii="Verdana" w:hAnsi="Verdana"/>
              </w:rPr>
              <w:t>20</w:t>
            </w:r>
            <w:r w:rsidR="00442A7D">
              <w:rPr>
                <w:rFonts w:ascii="Verdana" w:hAnsi="Verdana"/>
              </w:rPr>
              <w:t xml:space="preserve"> calendar days </w:t>
            </w:r>
            <w:r w:rsidR="001A36FE">
              <w:rPr>
                <w:rFonts w:ascii="Verdana" w:hAnsi="Verdana"/>
              </w:rPr>
              <w:t>from</w:t>
            </w:r>
            <w:r w:rsidR="00E4517D">
              <w:rPr>
                <w:rFonts w:ascii="Verdana" w:hAnsi="Verdana"/>
              </w:rPr>
              <w:t xml:space="preserve"> the date the Council referred </w:t>
            </w:r>
            <w:r w:rsidR="00442A7D">
              <w:rPr>
                <w:rFonts w:ascii="Verdana" w:hAnsi="Verdana"/>
              </w:rPr>
              <w:t>the applicant</w:t>
            </w:r>
            <w:r w:rsidR="00E4517D">
              <w:rPr>
                <w:rFonts w:ascii="Verdana" w:hAnsi="Verdana"/>
              </w:rPr>
              <w:t xml:space="preserve"> to the </w:t>
            </w:r>
            <w:r w:rsidR="00D827F3">
              <w:rPr>
                <w:rFonts w:ascii="Verdana" w:hAnsi="Verdana"/>
              </w:rPr>
              <w:t>Supplier</w:t>
            </w:r>
            <w:r w:rsidR="00442A7D">
              <w:rPr>
                <w:rFonts w:ascii="Verdana" w:hAnsi="Verdana"/>
              </w:rPr>
              <w:t xml:space="preserve"> for an </w:t>
            </w:r>
            <w:r w:rsidR="00E4517D">
              <w:rPr>
                <w:rFonts w:ascii="Verdana" w:hAnsi="Verdana"/>
              </w:rPr>
              <w:t xml:space="preserve">Independent Mobility </w:t>
            </w:r>
            <w:r w:rsidR="00E4517D" w:rsidRPr="00772B02">
              <w:rPr>
                <w:rFonts w:ascii="Verdana" w:hAnsi="Verdana"/>
              </w:rPr>
              <w:t>A</w:t>
            </w:r>
            <w:r w:rsidR="00C023C2" w:rsidRPr="00772B02">
              <w:rPr>
                <w:rFonts w:ascii="Verdana" w:hAnsi="Verdana"/>
              </w:rPr>
              <w:t>ssessment</w:t>
            </w:r>
            <w:r w:rsidR="00205BCF" w:rsidRPr="00772B02">
              <w:rPr>
                <w:rFonts w:ascii="Verdana" w:hAnsi="Verdana"/>
              </w:rPr>
              <w:t>. This shall</w:t>
            </w:r>
            <w:r w:rsidR="004E0785" w:rsidRPr="00772B02">
              <w:rPr>
                <w:rFonts w:ascii="Verdana" w:hAnsi="Verdana"/>
              </w:rPr>
              <w:t xml:space="preserve"> be offered between the hours of </w:t>
            </w:r>
            <w:r w:rsidR="00E4517D" w:rsidRPr="00772B02">
              <w:rPr>
                <w:rFonts w:ascii="Verdana" w:hAnsi="Verdana"/>
              </w:rPr>
              <w:t>0</w:t>
            </w:r>
            <w:r w:rsidR="004E0785" w:rsidRPr="00772B02">
              <w:rPr>
                <w:rFonts w:ascii="Verdana" w:hAnsi="Verdana"/>
              </w:rPr>
              <w:t>9</w:t>
            </w:r>
            <w:r w:rsidR="00E4517D" w:rsidRPr="00772B02">
              <w:rPr>
                <w:rFonts w:ascii="Verdana" w:hAnsi="Verdana"/>
              </w:rPr>
              <w:t>:00 and 17:00</w:t>
            </w:r>
            <w:r w:rsidR="004E0785" w:rsidRPr="00772B02">
              <w:rPr>
                <w:rFonts w:ascii="Verdana" w:hAnsi="Verdana"/>
              </w:rPr>
              <w:t xml:space="preserve"> Monday to Friday</w:t>
            </w:r>
            <w:r w:rsidR="00E4517D" w:rsidRPr="00772B02">
              <w:rPr>
                <w:rFonts w:ascii="Verdana" w:hAnsi="Verdana"/>
              </w:rPr>
              <w:t>, 52 weeks of the year</w:t>
            </w:r>
            <w:r w:rsidR="004E0785" w:rsidRPr="00772B02">
              <w:rPr>
                <w:rFonts w:ascii="Verdana" w:hAnsi="Verdana"/>
              </w:rPr>
              <w:t xml:space="preserve">.  </w:t>
            </w:r>
            <w:r w:rsidR="00D827F3">
              <w:rPr>
                <w:rFonts w:ascii="Verdana" w:hAnsi="Verdana"/>
              </w:rPr>
              <w:t>Supplier</w:t>
            </w:r>
            <w:r w:rsidR="00D005C5">
              <w:rPr>
                <w:rFonts w:ascii="Verdana" w:hAnsi="Verdana"/>
              </w:rPr>
              <w:t>s may wish to demonstrate how they can offer further flexibility with evening and / or weekend appointments.</w:t>
            </w:r>
            <w:r w:rsidR="004E0785">
              <w:rPr>
                <w:rFonts w:ascii="Verdana" w:hAnsi="Verdana"/>
              </w:rPr>
              <w:t xml:space="preserve">  </w:t>
            </w:r>
          </w:p>
          <w:p w:rsidR="00442A7D" w:rsidRDefault="00442A7D" w:rsidP="00442A7D">
            <w:pPr>
              <w:pStyle w:val="NoSpacing"/>
              <w:rPr>
                <w:rFonts w:ascii="Verdana" w:hAnsi="Verdana"/>
              </w:rPr>
            </w:pPr>
          </w:p>
          <w:p w:rsidR="00442A7D" w:rsidRDefault="00442A7D" w:rsidP="00442A7D">
            <w:pPr>
              <w:pStyle w:val="NoSpacing"/>
              <w:rPr>
                <w:rFonts w:ascii="Verdana" w:hAnsi="Verdana"/>
              </w:rPr>
            </w:pPr>
            <w:r>
              <w:rPr>
                <w:rFonts w:ascii="Verdana" w:hAnsi="Verdana"/>
              </w:rPr>
              <w:t xml:space="preserve">The </w:t>
            </w:r>
            <w:r w:rsidR="00D827F3">
              <w:rPr>
                <w:rFonts w:ascii="Verdana" w:hAnsi="Verdana"/>
              </w:rPr>
              <w:t>Supplier</w:t>
            </w:r>
            <w:r>
              <w:rPr>
                <w:rFonts w:ascii="Verdana" w:hAnsi="Verdana"/>
              </w:rPr>
              <w:t xml:space="preserve"> will undertake all contact with the applicant upon receipt of the referral to schedule an appointment and reschedule if the </w:t>
            </w:r>
            <w:r w:rsidR="001A36FE">
              <w:rPr>
                <w:rFonts w:ascii="Verdana" w:hAnsi="Verdana"/>
              </w:rPr>
              <w:t xml:space="preserve">venue, </w:t>
            </w:r>
            <w:r w:rsidR="00E4517D">
              <w:rPr>
                <w:rFonts w:ascii="Verdana" w:hAnsi="Verdana"/>
              </w:rPr>
              <w:t>date and/</w:t>
            </w:r>
            <w:r>
              <w:rPr>
                <w:rFonts w:ascii="Verdana" w:hAnsi="Verdana"/>
              </w:rPr>
              <w:t xml:space="preserve">or time offered is not convenient. </w:t>
            </w:r>
            <w:r w:rsidR="003E4119">
              <w:rPr>
                <w:rFonts w:ascii="Verdana" w:hAnsi="Verdana"/>
              </w:rPr>
              <w:t xml:space="preserve"> </w:t>
            </w:r>
            <w:r w:rsidR="003E4119" w:rsidRPr="00772B02">
              <w:rPr>
                <w:rFonts w:ascii="Verdana" w:hAnsi="Verdana"/>
              </w:rPr>
              <w:t xml:space="preserve">Where appointments are re-scheduled a notification will be sent to the Council </w:t>
            </w:r>
            <w:r w:rsidR="00172279">
              <w:rPr>
                <w:rFonts w:ascii="Verdana" w:hAnsi="Verdana"/>
              </w:rPr>
              <w:t xml:space="preserve">electronically </w:t>
            </w:r>
            <w:r w:rsidR="003E4119" w:rsidRPr="00772B02">
              <w:rPr>
                <w:rFonts w:ascii="Verdana" w:hAnsi="Verdana"/>
              </w:rPr>
              <w:t>within 1 working day.</w:t>
            </w:r>
          </w:p>
          <w:p w:rsidR="004E0785" w:rsidRDefault="004E0785" w:rsidP="00442A7D">
            <w:pPr>
              <w:pStyle w:val="NoSpacing"/>
              <w:rPr>
                <w:rFonts w:ascii="Verdana" w:hAnsi="Verdana"/>
              </w:rPr>
            </w:pPr>
          </w:p>
          <w:p w:rsidR="003E4119" w:rsidRDefault="00E4517D" w:rsidP="00442A7D">
            <w:pPr>
              <w:pStyle w:val="NoSpacing"/>
              <w:rPr>
                <w:rFonts w:ascii="Verdana" w:hAnsi="Verdana"/>
              </w:rPr>
            </w:pPr>
            <w:r>
              <w:rPr>
                <w:rFonts w:ascii="Verdana" w:hAnsi="Verdana"/>
              </w:rPr>
              <w:t xml:space="preserve">If the </w:t>
            </w:r>
            <w:r w:rsidR="00D827F3">
              <w:rPr>
                <w:rFonts w:ascii="Verdana" w:hAnsi="Verdana"/>
              </w:rPr>
              <w:t>Supplier</w:t>
            </w:r>
            <w:r w:rsidR="003E4119" w:rsidRPr="003E4119">
              <w:rPr>
                <w:rFonts w:ascii="Verdana" w:hAnsi="Verdana"/>
              </w:rPr>
              <w:t xml:space="preserve"> has </w:t>
            </w:r>
            <w:r w:rsidR="003E4119">
              <w:rPr>
                <w:rFonts w:ascii="Verdana" w:hAnsi="Verdana"/>
              </w:rPr>
              <w:t>to cancel a mobility cli</w:t>
            </w:r>
            <w:r>
              <w:rPr>
                <w:rFonts w:ascii="Verdana" w:hAnsi="Verdana"/>
              </w:rPr>
              <w:t xml:space="preserve">nic at short notice, e.g. </w:t>
            </w:r>
            <w:r w:rsidR="003E4119">
              <w:rPr>
                <w:rFonts w:ascii="Verdana" w:hAnsi="Verdana"/>
              </w:rPr>
              <w:t>due to the assessor being sick or a venue becoming unavailable</w:t>
            </w:r>
            <w:r>
              <w:rPr>
                <w:rFonts w:ascii="Verdana" w:hAnsi="Verdana"/>
              </w:rPr>
              <w:t xml:space="preserve"> with little or no notice, the </w:t>
            </w:r>
            <w:r w:rsidR="00D827F3">
              <w:rPr>
                <w:rFonts w:ascii="Verdana" w:hAnsi="Verdana"/>
              </w:rPr>
              <w:t>Supplier</w:t>
            </w:r>
            <w:r w:rsidR="003E4119">
              <w:rPr>
                <w:rFonts w:ascii="Verdana" w:hAnsi="Verdana"/>
              </w:rPr>
              <w:t xml:space="preserve"> will be responsible for contacting a</w:t>
            </w:r>
            <w:r w:rsidR="003E4119" w:rsidRPr="003E4119">
              <w:rPr>
                <w:rFonts w:ascii="Verdana" w:hAnsi="Verdana"/>
              </w:rPr>
              <w:t xml:space="preserve">pplicants to advise the clinic has been cancelled and offering an alternative date and time.  </w:t>
            </w:r>
            <w:r w:rsidR="003E4119">
              <w:rPr>
                <w:rFonts w:ascii="Verdana" w:hAnsi="Verdana"/>
              </w:rPr>
              <w:t>Where an appointment has been ca</w:t>
            </w:r>
            <w:r>
              <w:rPr>
                <w:rFonts w:ascii="Verdana" w:hAnsi="Verdana"/>
              </w:rPr>
              <w:t xml:space="preserve">ncelled at short notice by the </w:t>
            </w:r>
            <w:r w:rsidR="00D827F3">
              <w:rPr>
                <w:rFonts w:ascii="Verdana" w:hAnsi="Verdana"/>
              </w:rPr>
              <w:t>Supplier</w:t>
            </w:r>
            <w:r w:rsidR="003E4119">
              <w:rPr>
                <w:rFonts w:ascii="Verdana" w:hAnsi="Verdana"/>
              </w:rPr>
              <w:t xml:space="preserve">, an alternative date will be offered that is no longer than 10 calendar days ahead.  </w:t>
            </w:r>
          </w:p>
          <w:p w:rsidR="003E4119" w:rsidRDefault="003E4119" w:rsidP="00442A7D">
            <w:pPr>
              <w:pStyle w:val="NoSpacing"/>
              <w:rPr>
                <w:rFonts w:ascii="Verdana" w:hAnsi="Verdana"/>
              </w:rPr>
            </w:pPr>
            <w:r w:rsidRPr="003E4119">
              <w:rPr>
                <w:rFonts w:ascii="Verdana" w:hAnsi="Verdana"/>
              </w:rPr>
              <w:t xml:space="preserve">  </w:t>
            </w:r>
          </w:p>
          <w:p w:rsidR="00F06564" w:rsidRDefault="00F06564" w:rsidP="00442A7D">
            <w:pPr>
              <w:pStyle w:val="NoSpacing"/>
              <w:rPr>
                <w:rFonts w:ascii="Verdana" w:hAnsi="Verdana"/>
              </w:rPr>
            </w:pPr>
            <w:r>
              <w:rPr>
                <w:rFonts w:ascii="Verdana" w:hAnsi="Verdana"/>
              </w:rPr>
              <w:t xml:space="preserve">The </w:t>
            </w:r>
            <w:r w:rsidR="00D827F3">
              <w:rPr>
                <w:rFonts w:ascii="Verdana" w:hAnsi="Verdana"/>
              </w:rPr>
              <w:t>Supplier</w:t>
            </w:r>
            <w:r>
              <w:rPr>
                <w:rFonts w:ascii="Verdana" w:hAnsi="Verdana"/>
              </w:rPr>
              <w:t xml:space="preserve"> will provide a local r</w:t>
            </w:r>
            <w:r w:rsidR="00D005C5">
              <w:rPr>
                <w:rFonts w:ascii="Verdana" w:hAnsi="Verdana"/>
              </w:rPr>
              <w:t>ate phone number for applicants</w:t>
            </w:r>
            <w:r>
              <w:rPr>
                <w:rFonts w:ascii="Verdana" w:hAnsi="Verdana"/>
              </w:rPr>
              <w:t xml:space="preserve"> to </w:t>
            </w:r>
            <w:r w:rsidR="00D005C5">
              <w:rPr>
                <w:rFonts w:ascii="Verdana" w:hAnsi="Verdana"/>
              </w:rPr>
              <w:t xml:space="preserve">telephone </w:t>
            </w:r>
            <w:r>
              <w:rPr>
                <w:rFonts w:ascii="Verdana" w:hAnsi="Verdana"/>
              </w:rPr>
              <w:t xml:space="preserve">when confirming, cancelling or re-arranging appointments.  </w:t>
            </w:r>
          </w:p>
          <w:p w:rsidR="00F06564" w:rsidRDefault="00F06564" w:rsidP="00442A7D">
            <w:pPr>
              <w:pStyle w:val="NoSpacing"/>
              <w:rPr>
                <w:rFonts w:ascii="Verdana" w:hAnsi="Verdana"/>
              </w:rPr>
            </w:pPr>
          </w:p>
          <w:p w:rsidR="001714CB" w:rsidRDefault="004E0785" w:rsidP="00442A7D">
            <w:pPr>
              <w:pStyle w:val="NoSpacing"/>
              <w:rPr>
                <w:rFonts w:ascii="Verdana" w:hAnsi="Verdana"/>
              </w:rPr>
            </w:pPr>
            <w:r>
              <w:rPr>
                <w:rFonts w:ascii="Verdana" w:hAnsi="Verdana"/>
              </w:rPr>
              <w:t xml:space="preserve">The </w:t>
            </w:r>
            <w:r w:rsidR="00D827F3">
              <w:rPr>
                <w:rFonts w:ascii="Verdana" w:hAnsi="Verdana"/>
              </w:rPr>
              <w:t>Supplier</w:t>
            </w:r>
            <w:r>
              <w:rPr>
                <w:rFonts w:ascii="Verdana" w:hAnsi="Verdana"/>
              </w:rPr>
              <w:t xml:space="preserve"> will not charge the Council for appointments that are cancelled more than 3 working days in advance.  Where an appointment is cancelled within 3 working days the </w:t>
            </w:r>
            <w:r w:rsidR="00D827F3">
              <w:rPr>
                <w:rFonts w:ascii="Verdana" w:hAnsi="Verdana"/>
              </w:rPr>
              <w:t>Supplier</w:t>
            </w:r>
            <w:r>
              <w:rPr>
                <w:rFonts w:ascii="Verdana" w:hAnsi="Verdana"/>
              </w:rPr>
              <w:t xml:space="preserve"> should aim to offer the appointment to an alternative applicant who has been offered a later appointment date before charging for a missed appointment. </w:t>
            </w:r>
          </w:p>
          <w:p w:rsidR="001714CB" w:rsidRDefault="001714CB" w:rsidP="00442A7D">
            <w:pPr>
              <w:pStyle w:val="NoSpacing"/>
              <w:rPr>
                <w:rFonts w:ascii="Verdana" w:hAnsi="Verdana"/>
              </w:rPr>
            </w:pPr>
          </w:p>
          <w:p w:rsidR="004E0785" w:rsidRDefault="001714CB" w:rsidP="00442A7D">
            <w:pPr>
              <w:pStyle w:val="NoSpacing"/>
              <w:rPr>
                <w:rFonts w:ascii="Verdana" w:hAnsi="Verdana"/>
              </w:rPr>
            </w:pPr>
            <w:r>
              <w:rPr>
                <w:rFonts w:ascii="Verdana" w:hAnsi="Verdana"/>
              </w:rPr>
              <w:t xml:space="preserve">Where an applicant fails to attend the appointment, telephone contact should be attempted by the </w:t>
            </w:r>
            <w:r w:rsidR="00D827F3">
              <w:rPr>
                <w:rFonts w:ascii="Verdana" w:hAnsi="Verdana"/>
              </w:rPr>
              <w:t>Supplier</w:t>
            </w:r>
            <w:r>
              <w:rPr>
                <w:rFonts w:ascii="Verdana" w:hAnsi="Verdana"/>
              </w:rPr>
              <w:t xml:space="preserve"> to establish why the applicant was unable to attend and to offer one further appointment if still required.</w:t>
            </w:r>
            <w:r w:rsidR="00D005C5">
              <w:rPr>
                <w:rFonts w:ascii="Verdana" w:hAnsi="Verdana"/>
              </w:rPr>
              <w:t xml:space="preserve">  If after 2 failed appointments the applicant wishes to continue with an </w:t>
            </w:r>
            <w:r w:rsidR="001A36FE">
              <w:rPr>
                <w:rFonts w:ascii="Verdana" w:hAnsi="Verdana"/>
              </w:rPr>
              <w:t>independent mobility assessment</w:t>
            </w:r>
            <w:r w:rsidR="00D005C5">
              <w:rPr>
                <w:rFonts w:ascii="Verdana" w:hAnsi="Verdana"/>
              </w:rPr>
              <w:t>, the Council will request payment of an up</w:t>
            </w:r>
            <w:r w:rsidR="00096C3D">
              <w:rPr>
                <w:rFonts w:ascii="Verdana" w:hAnsi="Verdana"/>
              </w:rPr>
              <w:t xml:space="preserve">front fee before expecting the </w:t>
            </w:r>
            <w:r w:rsidR="00D827F3">
              <w:rPr>
                <w:rFonts w:ascii="Verdana" w:hAnsi="Verdana"/>
              </w:rPr>
              <w:t>Supplier</w:t>
            </w:r>
            <w:r w:rsidR="00D005C5">
              <w:rPr>
                <w:rFonts w:ascii="Verdana" w:hAnsi="Verdana"/>
              </w:rPr>
              <w:t xml:space="preserve"> to book a further appointment.</w:t>
            </w:r>
            <w:r>
              <w:rPr>
                <w:rFonts w:ascii="Verdana" w:hAnsi="Verdana"/>
              </w:rPr>
              <w:t xml:space="preserve"> </w:t>
            </w:r>
            <w:r w:rsidR="004E0785">
              <w:rPr>
                <w:rFonts w:ascii="Verdana" w:hAnsi="Verdana"/>
              </w:rPr>
              <w:t xml:space="preserve"> </w:t>
            </w:r>
          </w:p>
          <w:p w:rsidR="00442A7D" w:rsidRDefault="00442A7D" w:rsidP="00442A7D">
            <w:pPr>
              <w:pStyle w:val="NoSpacing"/>
              <w:rPr>
                <w:rFonts w:ascii="Verdana" w:hAnsi="Verdana"/>
              </w:rPr>
            </w:pPr>
          </w:p>
          <w:p w:rsidR="003E4119" w:rsidRPr="00D827F3" w:rsidRDefault="003E4119" w:rsidP="00442A7D">
            <w:pPr>
              <w:pStyle w:val="NoSpacing"/>
              <w:rPr>
                <w:rFonts w:ascii="Verdana" w:hAnsi="Verdana"/>
              </w:rPr>
            </w:pPr>
            <w:r w:rsidRPr="00D827F3">
              <w:rPr>
                <w:rFonts w:ascii="Verdana" w:hAnsi="Verdana"/>
              </w:rPr>
              <w:t>Regular communic</w:t>
            </w:r>
            <w:r w:rsidR="00096C3D" w:rsidRPr="00D827F3">
              <w:rPr>
                <w:rFonts w:ascii="Verdana" w:hAnsi="Verdana"/>
              </w:rPr>
              <w:t xml:space="preserve">ation between the </w:t>
            </w:r>
            <w:r w:rsidR="00D827F3">
              <w:rPr>
                <w:rFonts w:ascii="Verdana" w:hAnsi="Verdana"/>
              </w:rPr>
              <w:t>Supplier</w:t>
            </w:r>
            <w:r w:rsidR="00096C3D" w:rsidRPr="00D827F3">
              <w:rPr>
                <w:rFonts w:ascii="Verdana" w:hAnsi="Verdana"/>
              </w:rPr>
              <w:t xml:space="preserve"> and the Council is</w:t>
            </w:r>
            <w:r w:rsidRPr="00D827F3">
              <w:rPr>
                <w:rFonts w:ascii="Verdana" w:hAnsi="Verdana"/>
              </w:rPr>
              <w:t xml:space="preserve"> essential to maintain high levels of custom</w:t>
            </w:r>
            <w:r w:rsidR="00096C3D" w:rsidRPr="00D827F3">
              <w:rPr>
                <w:rFonts w:ascii="Verdana" w:hAnsi="Verdana"/>
              </w:rPr>
              <w:t xml:space="preserve">er service.  The </w:t>
            </w:r>
            <w:r w:rsidR="00D827F3">
              <w:rPr>
                <w:rFonts w:ascii="Verdana" w:hAnsi="Verdana"/>
              </w:rPr>
              <w:t>Supplier</w:t>
            </w:r>
            <w:r w:rsidR="00096C3D" w:rsidRPr="00D827F3">
              <w:rPr>
                <w:rFonts w:ascii="Verdana" w:hAnsi="Verdana"/>
              </w:rPr>
              <w:t xml:space="preserve"> shall</w:t>
            </w:r>
            <w:r w:rsidRPr="00D827F3">
              <w:rPr>
                <w:rFonts w:ascii="Verdana" w:hAnsi="Verdana"/>
              </w:rPr>
              <w:t xml:space="preserve"> demonstrate how they can work with the Council to maintain a smooth flow of information </w:t>
            </w:r>
            <w:r w:rsidR="00D41D8D" w:rsidRPr="00D827F3">
              <w:rPr>
                <w:rFonts w:ascii="Verdana" w:hAnsi="Verdana"/>
              </w:rPr>
              <w:t xml:space="preserve">regarding individual Blue Badge applicants and to ensure resolution of day to day operating issues.  </w:t>
            </w:r>
          </w:p>
          <w:p w:rsidR="00D41D8D" w:rsidRDefault="00D41D8D" w:rsidP="00442A7D">
            <w:pPr>
              <w:pStyle w:val="NoSpacing"/>
              <w:rPr>
                <w:rFonts w:ascii="Verdana" w:hAnsi="Verdana"/>
              </w:rPr>
            </w:pPr>
          </w:p>
          <w:p w:rsidR="00442A7D" w:rsidRDefault="00096C3D" w:rsidP="00442A7D">
            <w:pPr>
              <w:pStyle w:val="NoSpacing"/>
              <w:rPr>
                <w:rFonts w:ascii="Verdana" w:hAnsi="Verdana"/>
              </w:rPr>
            </w:pPr>
            <w:r>
              <w:rPr>
                <w:rFonts w:ascii="Verdana" w:hAnsi="Verdana"/>
              </w:rPr>
              <w:t xml:space="preserve">The </w:t>
            </w:r>
            <w:r w:rsidR="00D827F3">
              <w:rPr>
                <w:rFonts w:ascii="Verdana" w:hAnsi="Verdana"/>
              </w:rPr>
              <w:t>Supplier</w:t>
            </w:r>
            <w:r w:rsidR="00442A7D">
              <w:rPr>
                <w:rFonts w:ascii="Verdana" w:hAnsi="Verdana"/>
              </w:rPr>
              <w:t xml:space="preserve"> will assess the applicant at a venue not </w:t>
            </w:r>
            <w:r w:rsidR="004E0785">
              <w:rPr>
                <w:rFonts w:ascii="Verdana" w:hAnsi="Verdana"/>
              </w:rPr>
              <w:t xml:space="preserve">substantially </w:t>
            </w:r>
            <w:r w:rsidR="00442A7D">
              <w:rPr>
                <w:rFonts w:ascii="Verdana" w:hAnsi="Verdana"/>
              </w:rPr>
              <w:t xml:space="preserve">more than </w:t>
            </w:r>
            <w:r w:rsidR="004E0785">
              <w:rPr>
                <w:rFonts w:ascii="Verdana" w:hAnsi="Verdana"/>
              </w:rPr>
              <w:t xml:space="preserve">20 </w:t>
            </w:r>
            <w:r w:rsidR="00442A7D">
              <w:rPr>
                <w:rFonts w:ascii="Verdana" w:hAnsi="Verdana"/>
              </w:rPr>
              <w:t>minutes travelling time from the applicant’s home.</w:t>
            </w:r>
          </w:p>
          <w:p w:rsidR="00D827F3" w:rsidRDefault="00D827F3" w:rsidP="00442A7D">
            <w:pPr>
              <w:pStyle w:val="NoSpacing"/>
              <w:rPr>
                <w:rFonts w:ascii="Verdana" w:hAnsi="Verdana"/>
              </w:rPr>
            </w:pPr>
          </w:p>
          <w:p w:rsidR="00F06564" w:rsidRDefault="004E0785" w:rsidP="00442A7D">
            <w:pPr>
              <w:pStyle w:val="NoSpacing"/>
              <w:rPr>
                <w:rFonts w:ascii="Verdana" w:hAnsi="Verdana"/>
              </w:rPr>
            </w:pPr>
            <w:r>
              <w:rPr>
                <w:rFonts w:ascii="Verdana" w:hAnsi="Verdana"/>
              </w:rPr>
              <w:t>If the time required to travel is likely to exceed 30 minutes</w:t>
            </w:r>
            <w:r w:rsidR="00096C3D">
              <w:rPr>
                <w:rFonts w:ascii="Verdana" w:hAnsi="Verdana"/>
              </w:rPr>
              <w:t xml:space="preserve">, the </w:t>
            </w:r>
            <w:r w:rsidR="00D827F3">
              <w:rPr>
                <w:rFonts w:ascii="Verdana" w:hAnsi="Verdana"/>
              </w:rPr>
              <w:t>Supplier</w:t>
            </w:r>
            <w:r>
              <w:rPr>
                <w:rFonts w:ascii="Verdana" w:hAnsi="Verdana"/>
              </w:rPr>
              <w:t xml:space="preserve"> will undertake an assessment at the applicant’s home address</w:t>
            </w:r>
            <w:r w:rsidR="002060E7">
              <w:rPr>
                <w:rFonts w:ascii="Verdana" w:hAnsi="Verdana"/>
              </w:rPr>
              <w:t xml:space="preserve"> at no additional cost.  </w:t>
            </w:r>
          </w:p>
          <w:p w:rsidR="00096C3D" w:rsidRDefault="00F06564" w:rsidP="00442A7D">
            <w:pPr>
              <w:pStyle w:val="NoSpacing"/>
              <w:rPr>
                <w:rFonts w:ascii="Verdana" w:hAnsi="Verdana"/>
              </w:rPr>
            </w:pPr>
            <w:r>
              <w:rPr>
                <w:rFonts w:ascii="Verdana" w:hAnsi="Verdana"/>
              </w:rPr>
              <w:t xml:space="preserve">The </w:t>
            </w:r>
            <w:r w:rsidR="00D827F3">
              <w:rPr>
                <w:rFonts w:ascii="Verdana" w:hAnsi="Verdana"/>
              </w:rPr>
              <w:t>Supplier</w:t>
            </w:r>
            <w:r>
              <w:rPr>
                <w:rFonts w:ascii="Verdana" w:hAnsi="Verdana"/>
              </w:rPr>
              <w:t xml:space="preserve"> will </w:t>
            </w:r>
            <w:r w:rsidR="009F1105">
              <w:rPr>
                <w:rFonts w:ascii="Verdana" w:hAnsi="Verdana"/>
              </w:rPr>
              <w:t xml:space="preserve">be responsible for booking a range of </w:t>
            </w:r>
            <w:r w:rsidR="00D41D8D">
              <w:rPr>
                <w:rFonts w:ascii="Verdana" w:hAnsi="Verdana"/>
              </w:rPr>
              <w:t xml:space="preserve">suitable </w:t>
            </w:r>
            <w:r w:rsidR="009F1105">
              <w:rPr>
                <w:rFonts w:ascii="Verdana" w:hAnsi="Verdana"/>
              </w:rPr>
              <w:t xml:space="preserve">venues across the county.  </w:t>
            </w:r>
            <w:r w:rsidR="00D41D8D">
              <w:rPr>
                <w:rFonts w:ascii="Verdana" w:hAnsi="Verdana"/>
              </w:rPr>
              <w:t>T</w:t>
            </w:r>
            <w:r w:rsidR="009F1105">
              <w:rPr>
                <w:rFonts w:ascii="Verdana" w:hAnsi="Verdana"/>
              </w:rPr>
              <w:t xml:space="preserve">his could include venues such as community hospitals, </w:t>
            </w:r>
            <w:r w:rsidR="00D005C5">
              <w:rPr>
                <w:rFonts w:ascii="Verdana" w:hAnsi="Verdana"/>
              </w:rPr>
              <w:t>medical centres</w:t>
            </w:r>
            <w:r w:rsidR="009F1105">
              <w:rPr>
                <w:rFonts w:ascii="Verdana" w:hAnsi="Verdana"/>
              </w:rPr>
              <w:t xml:space="preserve">, community </w:t>
            </w:r>
            <w:r w:rsidR="00D005C5">
              <w:rPr>
                <w:rFonts w:ascii="Verdana" w:hAnsi="Verdana"/>
              </w:rPr>
              <w:t xml:space="preserve">centres </w:t>
            </w:r>
            <w:r w:rsidR="009F1105">
              <w:rPr>
                <w:rFonts w:ascii="Verdana" w:hAnsi="Verdana"/>
              </w:rPr>
              <w:t xml:space="preserve">etc.  </w:t>
            </w:r>
            <w:r w:rsidR="00D41D8D">
              <w:rPr>
                <w:rFonts w:ascii="Verdana" w:hAnsi="Verdana"/>
              </w:rPr>
              <w:t xml:space="preserve">The Council will work with the </w:t>
            </w:r>
            <w:r w:rsidR="00D827F3">
              <w:rPr>
                <w:rFonts w:ascii="Verdana" w:hAnsi="Verdana"/>
              </w:rPr>
              <w:t>Supplier</w:t>
            </w:r>
            <w:r w:rsidR="00D41D8D">
              <w:rPr>
                <w:rFonts w:ascii="Verdana" w:hAnsi="Verdana"/>
              </w:rPr>
              <w:t xml:space="preserve"> to assess whether Council operated venues such as One Stop Shops or libraries could provide suitable venues.  Selected venues should enable where necessary, a range of functional movement tests to be undertaken so that </w:t>
            </w:r>
            <w:r w:rsidR="00096C3D">
              <w:rPr>
                <w:rFonts w:ascii="Verdana" w:hAnsi="Verdana"/>
              </w:rPr>
              <w:t>t</w:t>
            </w:r>
            <w:r w:rsidR="00D41D8D">
              <w:rPr>
                <w:rFonts w:ascii="Verdana" w:hAnsi="Verdana"/>
              </w:rPr>
              <w:t>he assessor can cross-check the applicant’s walking ability with the range of movement they exhibit.</w:t>
            </w:r>
            <w:r w:rsidR="00F60FF7">
              <w:rPr>
                <w:rFonts w:ascii="Verdana" w:hAnsi="Verdana"/>
              </w:rPr>
              <w:t xml:space="preserve">  Using a combination of appointments at central venues and home visits, the </w:t>
            </w:r>
            <w:r w:rsidR="00D827F3">
              <w:rPr>
                <w:rFonts w:ascii="Verdana" w:hAnsi="Verdana"/>
              </w:rPr>
              <w:t>supplier</w:t>
            </w:r>
            <w:r w:rsidR="00F60FF7">
              <w:rPr>
                <w:rFonts w:ascii="Verdana" w:hAnsi="Verdana"/>
              </w:rPr>
              <w:t xml:space="preserve"> should ensure that the number of assessments </w:t>
            </w:r>
            <w:r w:rsidR="00016A60">
              <w:rPr>
                <w:rFonts w:ascii="Verdana" w:hAnsi="Verdana"/>
              </w:rPr>
              <w:t>being</w:t>
            </w:r>
            <w:r w:rsidR="00F60FF7">
              <w:rPr>
                <w:rFonts w:ascii="Verdana" w:hAnsi="Verdana"/>
              </w:rPr>
              <w:t xml:space="preserve"> completed in 1 day </w:t>
            </w:r>
            <w:r w:rsidR="00016A60">
              <w:rPr>
                <w:rFonts w:ascii="Verdana" w:hAnsi="Verdana"/>
              </w:rPr>
              <w:t>is</w:t>
            </w:r>
            <w:r w:rsidR="00F60FF7">
              <w:rPr>
                <w:rFonts w:ascii="Verdana" w:hAnsi="Verdana"/>
              </w:rPr>
              <w:t xml:space="preserve"> maximised. </w:t>
            </w:r>
          </w:p>
          <w:p w:rsidR="00C023C2" w:rsidRDefault="00D41D8D" w:rsidP="00442A7D">
            <w:pPr>
              <w:pStyle w:val="NoSpacing"/>
              <w:rPr>
                <w:rFonts w:ascii="Verdana" w:hAnsi="Verdana"/>
                <w:color w:val="FF0000"/>
              </w:rPr>
            </w:pPr>
            <w:r>
              <w:rPr>
                <w:rFonts w:ascii="Verdana" w:hAnsi="Verdana"/>
              </w:rPr>
              <w:t xml:space="preserve">  </w:t>
            </w:r>
          </w:p>
          <w:p w:rsidR="00A00150" w:rsidRPr="00A00150" w:rsidRDefault="00146D14" w:rsidP="00722057">
            <w:pPr>
              <w:pStyle w:val="NoSpacing"/>
              <w:rPr>
                <w:rFonts w:ascii="Verdana" w:hAnsi="Verdana"/>
              </w:rPr>
            </w:pPr>
            <w:r>
              <w:rPr>
                <w:rFonts w:ascii="Verdana" w:hAnsi="Verdana"/>
              </w:rPr>
              <w:t xml:space="preserve">The </w:t>
            </w:r>
            <w:r w:rsidR="00096C3D">
              <w:rPr>
                <w:rFonts w:ascii="Verdana" w:hAnsi="Verdana"/>
              </w:rPr>
              <w:t>Independent M</w:t>
            </w:r>
            <w:r w:rsidR="00231E98">
              <w:rPr>
                <w:rFonts w:ascii="Verdana" w:hAnsi="Verdana"/>
              </w:rPr>
              <w:t xml:space="preserve">obility </w:t>
            </w:r>
            <w:r w:rsidR="00096C3D">
              <w:rPr>
                <w:rFonts w:ascii="Verdana" w:hAnsi="Verdana"/>
              </w:rPr>
              <w:t>A</w:t>
            </w:r>
            <w:r>
              <w:rPr>
                <w:rFonts w:ascii="Verdana" w:hAnsi="Verdana"/>
              </w:rPr>
              <w:t xml:space="preserve">ssessment will be undertaken by a </w:t>
            </w:r>
            <w:r w:rsidR="00096C3D">
              <w:rPr>
                <w:rFonts w:ascii="Verdana" w:hAnsi="Verdana"/>
              </w:rPr>
              <w:t>p</w:t>
            </w:r>
            <w:r w:rsidR="00722057">
              <w:rPr>
                <w:rFonts w:ascii="Verdana" w:hAnsi="Verdana"/>
              </w:rPr>
              <w:t xml:space="preserve">erson who is recognised as holding a professional qualification, the obtaining of which involved them in being trained and having the necessary expertise to assess a person’s ability to walk.  The DfT guidance suggests that these assessments would normally be undertaken by a </w:t>
            </w:r>
            <w:r w:rsidR="00096C3D">
              <w:rPr>
                <w:rFonts w:ascii="Verdana" w:hAnsi="Verdana"/>
              </w:rPr>
              <w:t>fully qualified physiotherapist or occupational t</w:t>
            </w:r>
            <w:r>
              <w:rPr>
                <w:rFonts w:ascii="Verdana" w:hAnsi="Verdana"/>
              </w:rPr>
              <w:t xml:space="preserve">herapist </w:t>
            </w:r>
            <w:r w:rsidR="002060E7">
              <w:rPr>
                <w:rFonts w:ascii="Verdana" w:hAnsi="Verdana"/>
              </w:rPr>
              <w:t xml:space="preserve">registered with the Health Professions Council </w:t>
            </w:r>
            <w:r w:rsidR="00231E98">
              <w:rPr>
                <w:rFonts w:ascii="Verdana" w:hAnsi="Verdana"/>
              </w:rPr>
              <w:t xml:space="preserve">and </w:t>
            </w:r>
            <w:r>
              <w:rPr>
                <w:rFonts w:ascii="Verdana" w:hAnsi="Verdana"/>
              </w:rPr>
              <w:t>who has an understanding of the Blue Badge eligibility criteria.</w:t>
            </w:r>
            <w:r w:rsidR="00722057">
              <w:rPr>
                <w:rFonts w:ascii="Verdana" w:hAnsi="Verdana"/>
              </w:rPr>
              <w:t xml:space="preserve">  </w:t>
            </w:r>
            <w:r w:rsidR="003A57B8" w:rsidRPr="00D827F3">
              <w:rPr>
                <w:rFonts w:ascii="Verdana" w:hAnsi="Verdana"/>
              </w:rPr>
              <w:t xml:space="preserve">If the </w:t>
            </w:r>
            <w:r w:rsidR="00D827F3">
              <w:rPr>
                <w:rFonts w:ascii="Verdana" w:hAnsi="Verdana"/>
              </w:rPr>
              <w:t>supplier</w:t>
            </w:r>
            <w:r w:rsidR="003A57B8" w:rsidRPr="00D827F3">
              <w:rPr>
                <w:rFonts w:ascii="Verdana" w:hAnsi="Verdana"/>
              </w:rPr>
              <w:t xml:space="preserve"> intends to use medically qualified staff other than physiotherapists or occupational therapists they should outline what professional qualifications their staff will hold. </w:t>
            </w:r>
            <w:r w:rsidR="00231E98" w:rsidRPr="00D827F3">
              <w:rPr>
                <w:rFonts w:ascii="Verdana" w:hAnsi="Verdana"/>
              </w:rPr>
              <w:t xml:space="preserve">  </w:t>
            </w:r>
            <w:r w:rsidR="00231E98">
              <w:rPr>
                <w:rFonts w:ascii="Verdana" w:hAnsi="Verdana"/>
              </w:rPr>
              <w:t xml:space="preserve">The </w:t>
            </w:r>
            <w:r w:rsidR="00D827F3">
              <w:rPr>
                <w:rFonts w:ascii="Verdana" w:hAnsi="Verdana"/>
              </w:rPr>
              <w:t>supplier</w:t>
            </w:r>
            <w:r w:rsidR="00231E98">
              <w:rPr>
                <w:rFonts w:ascii="Verdana" w:hAnsi="Verdana"/>
              </w:rPr>
              <w:t xml:space="preserve"> will be fully responsible for ensuring that staff used to conduct the assessments are suitably qualified and will be able to provide evidence of qualification on request by the Council.  The </w:t>
            </w:r>
            <w:r w:rsidR="00D827F3">
              <w:rPr>
                <w:rFonts w:ascii="Verdana" w:hAnsi="Verdana"/>
              </w:rPr>
              <w:t>supplier</w:t>
            </w:r>
            <w:r w:rsidR="00231E98">
              <w:rPr>
                <w:rFonts w:ascii="Verdana" w:hAnsi="Verdana"/>
              </w:rPr>
              <w:t xml:space="preserve"> will be fully responsible for ensuring that all staff engaged in the provision of these services are suitably training and that training required during the life of the contract is delivered at the </w:t>
            </w:r>
            <w:r w:rsidR="00D827F3">
              <w:rPr>
                <w:rFonts w:ascii="Verdana" w:hAnsi="Verdana"/>
              </w:rPr>
              <w:t>supplier</w:t>
            </w:r>
            <w:r w:rsidR="00231E98">
              <w:rPr>
                <w:rFonts w:ascii="Verdana" w:hAnsi="Verdana"/>
              </w:rPr>
              <w:t xml:space="preserve">s own cost.  </w:t>
            </w:r>
          </w:p>
          <w:p w:rsidR="00442A7D" w:rsidRDefault="00442A7D" w:rsidP="00442A7D">
            <w:pPr>
              <w:pStyle w:val="NoSpacing"/>
              <w:rPr>
                <w:rFonts w:ascii="Verdana" w:hAnsi="Verdana"/>
              </w:rPr>
            </w:pPr>
          </w:p>
          <w:p w:rsidR="00231E98" w:rsidRDefault="00231E98" w:rsidP="00442A7D">
            <w:pPr>
              <w:pStyle w:val="NoSpacing"/>
              <w:rPr>
                <w:rFonts w:ascii="Verdana" w:hAnsi="Verdana"/>
              </w:rPr>
            </w:pPr>
            <w:r>
              <w:rPr>
                <w:rFonts w:ascii="Verdana" w:hAnsi="Verdana"/>
              </w:rPr>
              <w:t xml:space="preserve">In the event that a Blue Badge application is declined by the Council on the basis of recommendations made by the </w:t>
            </w:r>
            <w:r w:rsidR="00D827F3">
              <w:rPr>
                <w:rFonts w:ascii="Verdana" w:hAnsi="Verdana"/>
              </w:rPr>
              <w:t>supplier</w:t>
            </w:r>
            <w:r>
              <w:rPr>
                <w:rFonts w:ascii="Verdana" w:hAnsi="Verdana"/>
              </w:rPr>
              <w:t xml:space="preserve">, the </w:t>
            </w:r>
            <w:r w:rsidR="00D827F3">
              <w:rPr>
                <w:rFonts w:ascii="Verdana" w:hAnsi="Verdana"/>
              </w:rPr>
              <w:t>supplier</w:t>
            </w:r>
            <w:r>
              <w:rPr>
                <w:rFonts w:ascii="Verdana" w:hAnsi="Verdana"/>
              </w:rPr>
              <w:t xml:space="preserve"> will provide a review process whereby another medically qualified person will </w:t>
            </w:r>
            <w:r w:rsidR="003A57B8">
              <w:rPr>
                <w:rFonts w:ascii="Verdana" w:hAnsi="Verdana"/>
              </w:rPr>
              <w:t xml:space="preserve">work with officers of Cornwall Council to </w:t>
            </w:r>
            <w:r>
              <w:rPr>
                <w:rFonts w:ascii="Verdana" w:hAnsi="Verdana"/>
              </w:rPr>
              <w:t>reconsider all of the facts</w:t>
            </w:r>
            <w:r w:rsidR="00096C3D">
              <w:rPr>
                <w:rFonts w:ascii="Verdana" w:hAnsi="Verdana"/>
              </w:rPr>
              <w:t xml:space="preserve"> contained within the original Independent Mobility A</w:t>
            </w:r>
            <w:r>
              <w:rPr>
                <w:rFonts w:ascii="Verdana" w:hAnsi="Verdana"/>
              </w:rPr>
              <w:t xml:space="preserve">ssessment and will notify the Council of its reconsideration accordingly.  </w:t>
            </w:r>
          </w:p>
          <w:p w:rsidR="00442A7D" w:rsidRDefault="00442A7D" w:rsidP="00442A7D">
            <w:pPr>
              <w:pStyle w:val="NoSpacing"/>
              <w:rPr>
                <w:rFonts w:ascii="Verdana" w:hAnsi="Verdana"/>
              </w:rPr>
            </w:pPr>
            <w:r>
              <w:rPr>
                <w:rFonts w:ascii="Verdana" w:hAnsi="Verdana"/>
              </w:rPr>
              <w:t>The assessment will encompass all of the following core principles:</w:t>
            </w:r>
          </w:p>
          <w:p w:rsidR="00442A7D" w:rsidRDefault="00442A7D" w:rsidP="00442A7D">
            <w:pPr>
              <w:spacing w:after="0"/>
              <w:rPr>
                <w:rFonts w:cs="Helvetica"/>
                <w:b/>
                <w:color w:val="76923C" w:themeColor="accent3" w:themeShade="BF"/>
              </w:rPr>
            </w:pPr>
          </w:p>
          <w:tbl>
            <w:tblPr>
              <w:tblW w:w="87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47"/>
              <w:gridCol w:w="7187"/>
            </w:tblGrid>
            <w:tr w:rsidR="00442A7D" w:rsidRPr="00D44758" w:rsidTr="00442A7D">
              <w:tc>
                <w:tcPr>
                  <w:tcW w:w="1547" w:type="dxa"/>
                  <w:shd w:val="clear" w:color="auto" w:fill="19612C"/>
                </w:tcPr>
                <w:p w:rsidR="00442A7D" w:rsidRPr="00085E03" w:rsidRDefault="00442A7D" w:rsidP="00442A7D">
                  <w:pPr>
                    <w:pStyle w:val="TableHeader"/>
                    <w:tabs>
                      <w:tab w:val="clear" w:pos="1080"/>
                      <w:tab w:val="left" w:pos="1019"/>
                    </w:tabs>
                  </w:pPr>
                  <w:r w:rsidRPr="00085E03">
                    <w:rPr>
                      <w:rStyle w:val="Bold"/>
                    </w:rPr>
                    <w:t>Topic</w:t>
                  </w:r>
                  <w:r>
                    <w:rPr>
                      <w:rStyle w:val="Bold"/>
                    </w:rPr>
                    <w:tab/>
                  </w:r>
                </w:p>
              </w:tc>
              <w:tc>
                <w:tcPr>
                  <w:tcW w:w="7187" w:type="dxa"/>
                  <w:shd w:val="clear" w:color="auto" w:fill="19612C"/>
                </w:tcPr>
                <w:p w:rsidR="00442A7D" w:rsidRPr="00085E03" w:rsidRDefault="00442A7D" w:rsidP="00596792">
                  <w:pPr>
                    <w:pStyle w:val="TableHeader"/>
                    <w:rPr>
                      <w:rStyle w:val="Bold"/>
                      <w:b/>
                    </w:rPr>
                  </w:pPr>
                  <w:r w:rsidRPr="00085E03">
                    <w:rPr>
                      <w:rStyle w:val="Bold"/>
                    </w:rPr>
                    <w:t>Core assessment principles</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Design of mobility assessment approach</w:t>
                  </w:r>
                </w:p>
              </w:tc>
              <w:tc>
                <w:tcPr>
                  <w:tcW w:w="7187" w:type="dxa"/>
                </w:tcPr>
                <w:p w:rsidR="00442A7D" w:rsidRPr="00D44758" w:rsidRDefault="00442A7D" w:rsidP="00596792">
                  <w:pPr>
                    <w:pStyle w:val="TableText"/>
                  </w:pPr>
                  <w:r w:rsidRPr="00D44758">
                    <w:t>The mobility assessment procedure is designed and delivered by fully qualified healthcare professionals, such as physiotherapists and occupational therapists, with an understanding of the Blue Badge eligibility criteria.</w:t>
                  </w:r>
                </w:p>
                <w:p w:rsidR="00442A7D" w:rsidRPr="00D44758" w:rsidRDefault="00442A7D" w:rsidP="00596792">
                  <w:pPr>
                    <w:pStyle w:val="TableText"/>
                  </w:pPr>
                  <w:r w:rsidRPr="00D44758">
                    <w:t>Assessments begin with the assessor checking the applicant’s photo</w:t>
                  </w:r>
                  <w:r>
                    <w:t>graph</w:t>
                  </w:r>
                  <w:r w:rsidRPr="00D44758">
                    <w:t xml:space="preserve"> ID, or comparing their appearance against photo</w:t>
                  </w:r>
                  <w:r>
                    <w:t>graph</w:t>
                  </w:r>
                  <w:r w:rsidRPr="00D44758">
                    <w:t>s submitted with their application form, to ensure the person presenting for the assessment is the applicant in question.</w:t>
                  </w:r>
                </w:p>
                <w:p w:rsidR="00442A7D" w:rsidRPr="00D44758" w:rsidRDefault="00442A7D" w:rsidP="00596792">
                  <w:pPr>
                    <w:pStyle w:val="TableText"/>
                  </w:pPr>
                  <w:r w:rsidRPr="00D44758">
                    <w:t xml:space="preserve">At the end of the assessment the applicant is given the opportunity to provide any </w:t>
                  </w:r>
                  <w:r w:rsidRPr="00D44758">
                    <w:lastRenderedPageBreak/>
                    <w:t>additional information or evidence that they believe will support their application.</w:t>
                  </w:r>
                </w:p>
              </w:tc>
            </w:tr>
            <w:tr w:rsidR="00442A7D" w:rsidRPr="00D44758" w:rsidTr="00596792">
              <w:trPr>
                <w:trHeight w:val="418"/>
              </w:trPr>
              <w:tc>
                <w:tcPr>
                  <w:tcW w:w="1547" w:type="dxa"/>
                </w:tcPr>
                <w:p w:rsidR="00442A7D" w:rsidRPr="00085E03" w:rsidRDefault="00442A7D" w:rsidP="00596792">
                  <w:pPr>
                    <w:pStyle w:val="TableText"/>
                    <w:rPr>
                      <w:rStyle w:val="Bold"/>
                    </w:rPr>
                  </w:pPr>
                  <w:r w:rsidRPr="00085E03">
                    <w:rPr>
                      <w:rStyle w:val="Bold"/>
                    </w:rPr>
                    <w:lastRenderedPageBreak/>
                    <w:t>Applicant's manner of walking</w:t>
                  </w:r>
                </w:p>
              </w:tc>
              <w:tc>
                <w:tcPr>
                  <w:tcW w:w="7187" w:type="dxa"/>
                </w:tcPr>
                <w:p w:rsidR="00442A7D" w:rsidRPr="00D44758" w:rsidRDefault="00442A7D" w:rsidP="00596792">
                  <w:pPr>
                    <w:pStyle w:val="TableText"/>
                  </w:pPr>
                  <w:r w:rsidRPr="00D44758">
                    <w:t>The assessor observes the applicant's manner of walking and notes the degree of effect on their ability to walk.  The impact of the applicant's speed, posture, rhythm/coordination, balance and stride on their walking ability can be recorded.</w:t>
                  </w:r>
                </w:p>
                <w:p w:rsidR="00442A7D" w:rsidRPr="00D44758" w:rsidRDefault="00442A7D" w:rsidP="00596792">
                  <w:pPr>
                    <w:pStyle w:val="TableText"/>
                  </w:pPr>
                  <w:r w:rsidRPr="00D44758">
                    <w:t>If required, the applicant undergoes a range of functional movement test</w:t>
                  </w:r>
                  <w:r>
                    <w:t>s</w:t>
                  </w:r>
                  <w:r w:rsidRPr="00D44758">
                    <w:t xml:space="preserve"> as part of the assessment so the assessor can cross-check the applicant's walking ability with the range of movement they exhibit.</w:t>
                  </w:r>
                </w:p>
                <w:p w:rsidR="00442A7D" w:rsidRPr="00D44758" w:rsidRDefault="00442A7D" w:rsidP="00596792">
                  <w:pPr>
                    <w:pStyle w:val="TableText"/>
                  </w:pPr>
                  <w:r w:rsidRPr="00D44758">
                    <w:t>The applicant describes journeys they normally undertake with details of where they travel from and to in the local area (including any walking), why they have applied for a Blue Badge and the impact it will have on their mobility.</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Underlying medical conditions and impact on walking</w:t>
                  </w:r>
                </w:p>
              </w:tc>
              <w:tc>
                <w:tcPr>
                  <w:tcW w:w="7187" w:type="dxa"/>
                </w:tcPr>
                <w:p w:rsidR="00442A7D" w:rsidRPr="00D44758" w:rsidRDefault="00442A7D" w:rsidP="00596792">
                  <w:pPr>
                    <w:pStyle w:val="TableText"/>
                  </w:pPr>
                  <w:r w:rsidRPr="00D44758">
                    <w:t xml:space="preserve">Any medical conditions or disabilities which impact upon the applicant’s ability to walk without severe discomfort are discussed.  </w:t>
                  </w:r>
                </w:p>
                <w:p w:rsidR="00442A7D" w:rsidRPr="00D44758" w:rsidRDefault="00442A7D" w:rsidP="00596792">
                  <w:pPr>
                    <w:pStyle w:val="TableText"/>
                  </w:pPr>
                  <w:r w:rsidRPr="00D44758">
                    <w:t>This enables the assessor to cross-check the information provided by the applicant in their Blue Badge application and also acts as a form of identity check, since it would be reasonable to expect an applicant (or their advocate/personal assistant) to recall details of medical professionals that have been treating their condition/disability, the frequency with which the applicant visits these healthcare professionals and when they last had an appointment and medication they have been prescribed which is relevant to their walking impairment.</w:t>
                  </w:r>
                </w:p>
                <w:p w:rsidR="00442A7D" w:rsidRPr="00D44758" w:rsidRDefault="00442A7D" w:rsidP="00596792">
                  <w:pPr>
                    <w:pStyle w:val="TableText"/>
                  </w:pPr>
                  <w:r w:rsidRPr="00D44758">
                    <w:t>The assessor and applicant discuss the applicant's walking ability in order to gain an understanding of the nature of their walking impairment and determine whether it arises from a permanent and substantial disability.</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Excessive pain</w:t>
                  </w:r>
                </w:p>
              </w:tc>
              <w:tc>
                <w:tcPr>
                  <w:tcW w:w="7187" w:type="dxa"/>
                </w:tcPr>
                <w:p w:rsidR="00442A7D" w:rsidRPr="00D44758" w:rsidRDefault="00442A7D" w:rsidP="00596792">
                  <w:pPr>
                    <w:pStyle w:val="TableText"/>
                  </w:pPr>
                  <w:r w:rsidRPr="00D44758">
                    <w:t xml:space="preserve">Pain is subjective and some people have higher pain thresholds than others.  An applicant’s perception of pain can </w:t>
                  </w:r>
                  <w:r>
                    <w:t xml:space="preserve">often </w:t>
                  </w:r>
                  <w:r w:rsidRPr="00D44758">
                    <w:t>be measured using a Visual Analogue Scale:</w:t>
                  </w:r>
                </w:p>
                <w:p w:rsidR="00442A7D" w:rsidRPr="00D44758" w:rsidRDefault="00442A7D" w:rsidP="00596792">
                  <w:pPr>
                    <w:pStyle w:val="TableText"/>
                  </w:pPr>
                  <w:r>
                    <w:rPr>
                      <w:noProof/>
                      <w:lang w:eastAsia="en-GB"/>
                    </w:rPr>
                    <w:drawing>
                      <wp:inline distT="0" distB="0" distL="0" distR="0" wp14:anchorId="148410C0" wp14:editId="29834A93">
                        <wp:extent cx="43815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0" cy="342900"/>
                                </a:xfrm>
                                <a:prstGeom prst="rect">
                                  <a:avLst/>
                                </a:prstGeom>
                                <a:noFill/>
                                <a:ln>
                                  <a:noFill/>
                                </a:ln>
                              </pic:spPr>
                            </pic:pic>
                          </a:graphicData>
                        </a:graphic>
                      </wp:inline>
                    </w:drawing>
                  </w:r>
                  <w:r w:rsidRPr="00D44758">
                    <w:t xml:space="preserve"> </w:t>
                  </w:r>
                </w:p>
                <w:p w:rsidR="00442A7D" w:rsidRPr="00D44758" w:rsidRDefault="00442A7D" w:rsidP="00596792">
                  <w:pPr>
                    <w:pStyle w:val="TableText"/>
                  </w:pPr>
                  <w:r w:rsidRPr="00D44758">
                    <w:t>Consideration should be given to exploring whether the applicant experiences pain at rest, when walking and after walking.</w:t>
                  </w:r>
                </w:p>
                <w:p w:rsidR="00442A7D" w:rsidRPr="00D44758" w:rsidRDefault="00442A7D" w:rsidP="00596792">
                  <w:pPr>
                    <w:pStyle w:val="TableText"/>
                  </w:pPr>
                  <w:r w:rsidRPr="00D44758">
                    <w:t xml:space="preserve">The applicant’s </w:t>
                  </w:r>
                  <w:r w:rsidR="00096C3D" w:rsidRPr="00D44758">
                    <w:t>self-reported</w:t>
                  </w:r>
                  <w:r w:rsidRPr="00D44758">
                    <w:t xml:space="preserve"> experience of pain can be accompanied by probing questions covering: pain clinic involvement and management strategies, the origin of pain (e.g. do they know the cause), where it hurts (location of pain), duration of pain (constant, occasional), description of pain (burning, aching, </w:t>
                  </w:r>
                  <w:proofErr w:type="gramStart"/>
                  <w:r w:rsidRPr="00D44758">
                    <w:t>stabbing</w:t>
                  </w:r>
                  <w:proofErr w:type="gramEnd"/>
                  <w:r w:rsidRPr="00D44758">
                    <w:t xml:space="preserve">), the type of medication the applicant uses (analgesics </w:t>
                  </w:r>
                  <w:proofErr w:type="spellStart"/>
                  <w:r w:rsidRPr="00D44758">
                    <w:t>etc</w:t>
                  </w:r>
                  <w:proofErr w:type="spellEnd"/>
                  <w:r w:rsidRPr="00D44758">
                    <w:t>) and whether they take them.</w:t>
                  </w:r>
                </w:p>
                <w:p w:rsidR="00442A7D" w:rsidRPr="00D44758" w:rsidRDefault="00442A7D" w:rsidP="00596792">
                  <w:pPr>
                    <w:pStyle w:val="TableText"/>
                  </w:pPr>
                  <w:r w:rsidRPr="00D44758">
                    <w:t>The applicant’s self-reported level of pain can be checked against visual signs of pain on an applicant’s face and in their demeanour (sweating, pallor, shaking, grimacing).</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Breathlessness</w:t>
                  </w:r>
                </w:p>
              </w:tc>
              <w:tc>
                <w:tcPr>
                  <w:tcW w:w="7187" w:type="dxa"/>
                </w:tcPr>
                <w:p w:rsidR="00442A7D" w:rsidRPr="00D44758" w:rsidRDefault="00442A7D" w:rsidP="00596792">
                  <w:pPr>
                    <w:pStyle w:val="TableText"/>
                  </w:pPr>
                  <w:r w:rsidRPr="00D44758">
                    <w:t>Breathlessness can be measured using</w:t>
                  </w:r>
                  <w:r>
                    <w:t xml:space="preserve"> a range of</w:t>
                  </w:r>
                  <w:r w:rsidRPr="00D44758">
                    <w:t xml:space="preserve"> tools</w:t>
                  </w:r>
                  <w:r>
                    <w:t>,</w:t>
                  </w:r>
                  <w:r w:rsidRPr="00D44758">
                    <w:t xml:space="preserve"> such as the Medical Research Council’s Dyspnoea Scale:</w:t>
                  </w:r>
                </w:p>
                <w:tbl>
                  <w:tblPr>
                    <w:tblW w:w="6818" w:type="dxa"/>
                    <w:tblLayout w:type="fixed"/>
                    <w:tblCellMar>
                      <w:left w:w="0" w:type="dxa"/>
                      <w:right w:w="0" w:type="dxa"/>
                    </w:tblCellMar>
                    <w:tblLook w:val="00A0" w:firstRow="1" w:lastRow="0" w:firstColumn="1" w:lastColumn="0" w:noHBand="0" w:noVBand="0"/>
                  </w:tblPr>
                  <w:tblGrid>
                    <w:gridCol w:w="4714"/>
                    <w:gridCol w:w="709"/>
                    <w:gridCol w:w="1395"/>
                  </w:tblGrid>
                  <w:tr w:rsidR="00442A7D" w:rsidRPr="00D44758" w:rsidTr="00596792">
                    <w:trPr>
                      <w:trHeight w:val="640"/>
                    </w:trPr>
                    <w:tc>
                      <w:tcPr>
                        <w:tcW w:w="47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Are you troubled by shortness of breath when hurrying on level ground or walking up a slight hill?  Yes / No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No </w:t>
                        </w:r>
                      </w:p>
                    </w:tc>
                    <w:tc>
                      <w:tcPr>
                        <w:tcW w:w="13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MRC Grade 1 </w:t>
                        </w:r>
                      </w:p>
                    </w:tc>
                  </w:tr>
                  <w:tr w:rsidR="00442A7D" w:rsidRPr="00D44758" w:rsidTr="00596792">
                    <w:trPr>
                      <w:trHeight w:val="737"/>
                    </w:trPr>
                    <w:tc>
                      <w:tcPr>
                        <w:tcW w:w="47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YES, do you get short of breath walking with other people of your own age on level ground? Yes / No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No </w:t>
                        </w:r>
                      </w:p>
                    </w:tc>
                    <w:tc>
                      <w:tcPr>
                        <w:tcW w:w="13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MRC Grade 2 </w:t>
                        </w:r>
                      </w:p>
                    </w:tc>
                  </w:tr>
                  <w:tr w:rsidR="00442A7D" w:rsidRPr="00D44758" w:rsidTr="00596792">
                    <w:trPr>
                      <w:trHeight w:val="552"/>
                    </w:trPr>
                    <w:tc>
                      <w:tcPr>
                        <w:tcW w:w="471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YES do you have to stop for breath when walking at your own pace on level ground?  Yes / No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No </w:t>
                        </w:r>
                      </w:p>
                    </w:tc>
                    <w:tc>
                      <w:tcPr>
                        <w:tcW w:w="13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MRC Grade 3 </w:t>
                        </w:r>
                      </w:p>
                    </w:tc>
                  </w:tr>
                  <w:tr w:rsidR="00442A7D" w:rsidRPr="00D44758" w:rsidTr="00596792">
                    <w:trPr>
                      <w:trHeight w:val="246"/>
                    </w:trPr>
                    <w:tc>
                      <w:tcPr>
                        <w:tcW w:w="471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YES do you get too breathless to leave your home, or do you get breathless after dressing?  Yes / No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No </w:t>
                        </w:r>
                      </w:p>
                    </w:tc>
                    <w:tc>
                      <w:tcPr>
                        <w:tcW w:w="13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MRC Grade 4 </w:t>
                        </w:r>
                      </w:p>
                    </w:tc>
                  </w:tr>
                  <w:tr w:rsidR="00442A7D" w:rsidRPr="00D44758" w:rsidTr="00596792">
                    <w:trPr>
                      <w:trHeight w:val="479"/>
                    </w:trPr>
                    <w:tc>
                      <w:tcPr>
                        <w:tcW w:w="4714" w:type="dxa"/>
                        <w:vMerge/>
                        <w:tcBorders>
                          <w:top w:val="single" w:sz="8" w:space="0" w:color="000000"/>
                          <w:left w:val="single" w:sz="8" w:space="0" w:color="000000"/>
                          <w:bottom w:val="single" w:sz="8" w:space="0" w:color="000000"/>
                          <w:right w:val="single" w:sz="8" w:space="0" w:color="000000"/>
                        </w:tcBorders>
                        <w:vAlign w:val="center"/>
                      </w:tcPr>
                      <w:p w:rsidR="00442A7D" w:rsidRPr="00D44758" w:rsidRDefault="00442A7D" w:rsidP="00596792">
                        <w:pPr>
                          <w:pStyle w:val="TableText"/>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If Yes </w:t>
                        </w:r>
                      </w:p>
                    </w:tc>
                    <w:tc>
                      <w:tcPr>
                        <w:tcW w:w="13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42A7D" w:rsidRPr="00D44758" w:rsidRDefault="00442A7D" w:rsidP="00596792">
                        <w:pPr>
                          <w:pStyle w:val="TableText"/>
                        </w:pPr>
                        <w:r w:rsidRPr="00D44758">
                          <w:t xml:space="preserve">MRC Grade 5 </w:t>
                        </w:r>
                      </w:p>
                    </w:tc>
                  </w:tr>
                </w:tbl>
                <w:p w:rsidR="00442A7D" w:rsidRPr="00D44758" w:rsidRDefault="00442A7D" w:rsidP="00596792">
                  <w:pPr>
                    <w:pStyle w:val="TableText"/>
                  </w:pPr>
                  <w:r w:rsidRPr="00D44758">
                    <w:lastRenderedPageBreak/>
                    <w:t>The applicant’s reported breathlessness should also be checked against visual signs of shortness of breath, and any difficulty maintaining conversation while walking or recovering from the effort of walking.</w:t>
                  </w:r>
                </w:p>
                <w:p w:rsidR="00442A7D" w:rsidRPr="00D44758" w:rsidRDefault="00442A7D" w:rsidP="00596792">
                  <w:pPr>
                    <w:pStyle w:val="TableText"/>
                  </w:pPr>
                  <w:r w:rsidRPr="00D44758">
                    <w:t xml:space="preserve">An applicant rated at MRC Grade 3 or above </w:t>
                  </w:r>
                  <w:r>
                    <w:t xml:space="preserve">may </w:t>
                  </w:r>
                  <w:r w:rsidRPr="00D44758">
                    <w:t xml:space="preserve">be considered </w:t>
                  </w:r>
                  <w:r>
                    <w:t xml:space="preserve">eligible </w:t>
                  </w:r>
                  <w:r w:rsidRPr="00D44758">
                    <w:t>for a Blue Badge if an assessor’s observations support the applicant’s self-reported degree of breathlessness.  An applicant rated at MRC Grade 1 or 2 may still qualify for a Blue Badge under the other aspects of the walking criteri</w:t>
                  </w:r>
                  <w:r>
                    <w:t>on.</w:t>
                  </w:r>
                </w:p>
              </w:tc>
            </w:tr>
            <w:tr w:rsidR="00442A7D" w:rsidRPr="00D44758" w:rsidTr="00596792">
              <w:trPr>
                <w:trHeight w:val="417"/>
              </w:trPr>
              <w:tc>
                <w:tcPr>
                  <w:tcW w:w="1547" w:type="dxa"/>
                </w:tcPr>
                <w:p w:rsidR="00442A7D" w:rsidRPr="00085E03" w:rsidRDefault="00442A7D" w:rsidP="00596792">
                  <w:pPr>
                    <w:pStyle w:val="TableText"/>
                    <w:rPr>
                      <w:rStyle w:val="Bold"/>
                    </w:rPr>
                  </w:pPr>
                  <w:r w:rsidRPr="00085E03">
                    <w:rPr>
                      <w:rStyle w:val="Bold"/>
                    </w:rPr>
                    <w:lastRenderedPageBreak/>
                    <w:t>Walking speed and distance</w:t>
                  </w:r>
                </w:p>
              </w:tc>
              <w:tc>
                <w:tcPr>
                  <w:tcW w:w="7187" w:type="dxa"/>
                </w:tcPr>
                <w:p w:rsidR="00442A7D" w:rsidRPr="00D44758" w:rsidRDefault="00442A7D" w:rsidP="00596792">
                  <w:pPr>
                    <w:pStyle w:val="TableText"/>
                  </w:pPr>
                  <w:r w:rsidRPr="00D44758">
                    <w:t>The applicant is observed and timed walking over a pre-measured distance as part of the assessment.  For example, assessors can observe the applicant mobilising to the interview/assessment room from a reception are</w:t>
                  </w:r>
                  <w:r>
                    <w:t>a and measure</w:t>
                  </w:r>
                  <w:r w:rsidRPr="00D44758">
                    <w:t xml:space="preserve"> </w:t>
                  </w:r>
                  <w:r>
                    <w:t>the time it takes them to c</w:t>
                  </w:r>
                  <w:r w:rsidRPr="00D44758">
                    <w:t>over this pre-measured distance for a quantitative measure of their walking pace.</w:t>
                  </w:r>
                </w:p>
                <w:p w:rsidR="00442A7D" w:rsidRPr="00D44758" w:rsidRDefault="00442A7D" w:rsidP="00596792">
                  <w:pPr>
                    <w:pStyle w:val="TableText"/>
                  </w:pPr>
                  <w:r w:rsidRPr="00D44758">
                    <w:t xml:space="preserve">If an applicant requires regular stops in order to manage severe discomfort (pain and/or breathlessness) and/or fatigue then the assessor can consider issues such as the duration of pauses, and the frequency with which they occur, when determining whether the applicant finds walking very difficult. </w:t>
                  </w:r>
                </w:p>
                <w:p w:rsidR="00442A7D" w:rsidRPr="00D44758" w:rsidRDefault="00442A7D" w:rsidP="00596792">
                  <w:pPr>
                    <w:pStyle w:val="TableText"/>
                  </w:pPr>
                  <w:r w:rsidRPr="00D44758">
                    <w:t xml:space="preserve">It may be helpful to consider the total distance and time that an applicant can walk for without severe discomfort and balance this against the amount of time they spend pausing or resting </w:t>
                  </w:r>
                </w:p>
                <w:p w:rsidR="00442A7D" w:rsidRPr="00D44758" w:rsidRDefault="00442A7D" w:rsidP="00596792">
                  <w:pPr>
                    <w:pStyle w:val="TableText"/>
                  </w:pPr>
                  <w:r w:rsidRPr="00D44758">
                    <w:t>If an applicant is unable to walk 30 metres (33 yards) in total, then their walking ability is not appreciable and they can be deemed as having very considerable difficulty in walking.</w:t>
                  </w:r>
                </w:p>
                <w:p w:rsidR="00442A7D" w:rsidRPr="00D44758" w:rsidRDefault="00442A7D" w:rsidP="00596792">
                  <w:pPr>
                    <w:pStyle w:val="TableText"/>
                  </w:pPr>
                  <w:r w:rsidRPr="00D44758">
                    <w:t>The applicant may be deemed eligible if they can walk 30-80 metres (33-87.5 yards) without pain or breathlessness, but demonstrate very considerable difficulty in walking through a combination of other factors (e.g. extremely slow pace and/or their manner of walking).</w:t>
                  </w:r>
                </w:p>
                <w:p w:rsidR="00442A7D" w:rsidRPr="00D44758" w:rsidRDefault="00442A7D" w:rsidP="00596792">
                  <w:pPr>
                    <w:pStyle w:val="TableText"/>
                  </w:pPr>
                  <w:r w:rsidRPr="00D44758">
                    <w:t>Applicants who can walk more than 80 metres (87.5 yards) and do not demonstrate very considerable difficulty in walking through any other factors would not be deemed as eligible.</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Use of walking aids</w:t>
                  </w:r>
                </w:p>
              </w:tc>
              <w:tc>
                <w:tcPr>
                  <w:tcW w:w="7187" w:type="dxa"/>
                </w:tcPr>
                <w:p w:rsidR="00442A7D" w:rsidRPr="00D44758" w:rsidRDefault="00442A7D" w:rsidP="00596792">
                  <w:pPr>
                    <w:pStyle w:val="TableText"/>
                  </w:pPr>
                  <w:r w:rsidRPr="00D44758">
                    <w:t xml:space="preserve">The fact that a walking aid is or is not used may be relevant to the eventual decision, but this alone should not determine whether or not a Blue Badge is issued. </w:t>
                  </w:r>
                </w:p>
                <w:p w:rsidR="00442A7D" w:rsidRPr="00D44758" w:rsidRDefault="00442A7D" w:rsidP="00596792">
                  <w:pPr>
                    <w:pStyle w:val="TableText"/>
                  </w:pPr>
                  <w:r w:rsidRPr="00D44758">
                    <w:t xml:space="preserve">For example, if a person can walk relatively normally with the use of an artificial leg or walking stick, then they should not be considered as eligible to receive a Blue Badge.  </w:t>
                  </w:r>
                </w:p>
                <w:p w:rsidR="00442A7D" w:rsidRPr="00D44758" w:rsidRDefault="00442A7D" w:rsidP="00596792">
                  <w:pPr>
                    <w:pStyle w:val="TableText"/>
                  </w:pPr>
                  <w:r w:rsidRPr="00D44758">
                    <w:t>It may be pertinent to consider whether an applicant is using any walking aids in a correct manner when determining whether they have very considerable difficulty in walking.</w:t>
                  </w:r>
                </w:p>
                <w:p w:rsidR="00442A7D" w:rsidRPr="00D44758" w:rsidRDefault="00442A7D" w:rsidP="00596792">
                  <w:pPr>
                    <w:pStyle w:val="TableText"/>
                  </w:pPr>
                  <w:r w:rsidRPr="00D44758">
                    <w:t>It may also be pertinent to consider whether an applicant who is not using any form of walking aid at the time of their application could improve their walking ability, to the extent that they would no longer demonstrate very considerable difficulty in walking, through the correct use of such an aid.</w:t>
                  </w:r>
                </w:p>
              </w:tc>
            </w:tr>
            <w:tr w:rsidR="00442A7D" w:rsidRPr="00D44758" w:rsidTr="00596792">
              <w:trPr>
                <w:trHeight w:val="1131"/>
              </w:trPr>
              <w:tc>
                <w:tcPr>
                  <w:tcW w:w="1547" w:type="dxa"/>
                </w:tcPr>
                <w:p w:rsidR="00442A7D" w:rsidRPr="00085E03" w:rsidRDefault="00442A7D" w:rsidP="00596792">
                  <w:pPr>
                    <w:pStyle w:val="TableText"/>
                    <w:rPr>
                      <w:rStyle w:val="Bold"/>
                    </w:rPr>
                  </w:pPr>
                  <w:r w:rsidRPr="00085E03">
                    <w:rPr>
                      <w:rStyle w:val="Bold"/>
                    </w:rPr>
                    <w:t>Decision-making</w:t>
                  </w:r>
                </w:p>
              </w:tc>
              <w:tc>
                <w:tcPr>
                  <w:tcW w:w="7187" w:type="dxa"/>
                </w:tcPr>
                <w:p w:rsidR="00442A7D" w:rsidRPr="00D44758" w:rsidRDefault="00442A7D" w:rsidP="00596792">
                  <w:pPr>
                    <w:pStyle w:val="TableText"/>
                  </w:pPr>
                  <w:r w:rsidRPr="00D44758">
                    <w:t>The assessor cross-references all of the information provided by the applicant during the assessment with the assessor’s observations on the day and other information derived from the application form and relevant local authority information systems prior to reaching their decision about whether the applicant is unable to walk or demonstrates very considerable difficulty in walking.</w:t>
                  </w:r>
                </w:p>
                <w:p w:rsidR="00442A7D" w:rsidRPr="00D44758" w:rsidRDefault="00442A7D" w:rsidP="00596792">
                  <w:pPr>
                    <w:pStyle w:val="TableText"/>
                  </w:pPr>
                  <w:r w:rsidRPr="00D44758">
                    <w:t>The assessor considers each aspect of walking (pain, breathlessness, speed, distance, use of walking aids and manner of walking) first in isolation, and then in combination, to reach a decision as to whether they combine to mean the applicant experiences very considerable difficulty in walking.</w:t>
                  </w:r>
                </w:p>
              </w:tc>
            </w:tr>
          </w:tbl>
          <w:p w:rsidR="00442A7D" w:rsidRDefault="00442A7D" w:rsidP="00442A7D">
            <w:pPr>
              <w:spacing w:after="0"/>
              <w:rPr>
                <w:rFonts w:cs="Helvetica"/>
                <w:b/>
                <w:color w:val="76923C" w:themeColor="accent3" w:themeShade="BF"/>
              </w:rPr>
            </w:pPr>
          </w:p>
          <w:p w:rsidR="000160C7" w:rsidRDefault="00784BE5" w:rsidP="001714CB">
            <w:pPr>
              <w:pStyle w:val="NoSpacing"/>
              <w:rPr>
                <w:rFonts w:ascii="Verdana" w:hAnsi="Verdana"/>
              </w:rPr>
            </w:pPr>
            <w:r>
              <w:rPr>
                <w:rFonts w:ascii="Verdana" w:hAnsi="Verdana"/>
              </w:rPr>
              <w:t>At the end of the assessment and before any decision is communicated to the applicant</w:t>
            </w:r>
            <w:r w:rsidR="005D4582">
              <w:rPr>
                <w:rFonts w:ascii="Verdana" w:hAnsi="Verdana"/>
              </w:rPr>
              <w:t xml:space="preserve"> either by the </w:t>
            </w:r>
            <w:r w:rsidR="00D827F3">
              <w:rPr>
                <w:rFonts w:ascii="Verdana" w:hAnsi="Verdana"/>
              </w:rPr>
              <w:t>supplier</w:t>
            </w:r>
            <w:r w:rsidR="005D4582">
              <w:rPr>
                <w:rFonts w:ascii="Verdana" w:hAnsi="Verdana"/>
              </w:rPr>
              <w:t xml:space="preserve"> or the Council</w:t>
            </w:r>
            <w:r>
              <w:rPr>
                <w:rFonts w:ascii="Verdana" w:hAnsi="Verdana"/>
              </w:rPr>
              <w:t>, a short customer satisfaction survey should be undertaken with the applicant.  This should cover as a minimum</w:t>
            </w:r>
            <w:r w:rsidR="000160C7">
              <w:rPr>
                <w:rFonts w:ascii="Verdana" w:hAnsi="Verdana"/>
              </w:rPr>
              <w:t xml:space="preserve">: </w:t>
            </w:r>
          </w:p>
          <w:p w:rsidR="00784BE5" w:rsidRDefault="00C65C1F" w:rsidP="001714CB">
            <w:pPr>
              <w:pStyle w:val="NoSpacing"/>
              <w:rPr>
                <w:rFonts w:ascii="Verdana" w:hAnsi="Verdana"/>
              </w:rPr>
            </w:pPr>
            <w:r>
              <w:rPr>
                <w:rFonts w:ascii="Verdana" w:hAnsi="Verdana"/>
              </w:rPr>
              <w:t xml:space="preserve"> </w:t>
            </w:r>
          </w:p>
          <w:p w:rsidR="00784BE5" w:rsidRDefault="00784BE5" w:rsidP="005D4582">
            <w:pPr>
              <w:pStyle w:val="NoSpacing"/>
              <w:numPr>
                <w:ilvl w:val="0"/>
                <w:numId w:val="38"/>
              </w:numPr>
              <w:rPr>
                <w:rFonts w:ascii="Verdana" w:hAnsi="Verdana"/>
              </w:rPr>
            </w:pPr>
            <w:r>
              <w:rPr>
                <w:rFonts w:ascii="Verdana" w:hAnsi="Verdana"/>
              </w:rPr>
              <w:t xml:space="preserve">Did the applicant understand any letters or phone calls they had received from </w:t>
            </w:r>
            <w:r>
              <w:rPr>
                <w:rFonts w:ascii="Verdana" w:hAnsi="Verdana"/>
              </w:rPr>
              <w:lastRenderedPageBreak/>
              <w:t xml:space="preserve">the </w:t>
            </w:r>
            <w:r w:rsidR="00A305D7">
              <w:rPr>
                <w:rFonts w:ascii="Verdana" w:hAnsi="Verdana"/>
              </w:rPr>
              <w:t>s</w:t>
            </w:r>
            <w:r w:rsidR="00D827F3">
              <w:rPr>
                <w:rFonts w:ascii="Verdana" w:hAnsi="Verdana"/>
              </w:rPr>
              <w:t>upplier</w:t>
            </w:r>
            <w:r>
              <w:rPr>
                <w:rFonts w:ascii="Verdana" w:hAnsi="Verdana"/>
              </w:rPr>
              <w:t xml:space="preserve"> pri</w:t>
            </w:r>
            <w:r w:rsidR="000160C7">
              <w:rPr>
                <w:rFonts w:ascii="Verdana" w:hAnsi="Verdana"/>
              </w:rPr>
              <w:t xml:space="preserve">or to attending the appointment; </w:t>
            </w:r>
          </w:p>
          <w:p w:rsidR="00784BE5" w:rsidRDefault="00784BE5" w:rsidP="005D4582">
            <w:pPr>
              <w:pStyle w:val="NoSpacing"/>
              <w:numPr>
                <w:ilvl w:val="0"/>
                <w:numId w:val="38"/>
              </w:numPr>
              <w:rPr>
                <w:rFonts w:ascii="Verdana" w:hAnsi="Verdana"/>
              </w:rPr>
            </w:pPr>
            <w:r>
              <w:rPr>
                <w:rFonts w:ascii="Verdana" w:hAnsi="Verdana"/>
              </w:rPr>
              <w:t>Did they find staff they spoke to in connection with their appointment helpful and polite</w:t>
            </w:r>
            <w:r w:rsidR="000160C7">
              <w:rPr>
                <w:rFonts w:ascii="Verdana" w:hAnsi="Verdana"/>
              </w:rPr>
              <w:t>;</w:t>
            </w:r>
          </w:p>
          <w:p w:rsidR="00784BE5" w:rsidRDefault="00784BE5" w:rsidP="005D4582">
            <w:pPr>
              <w:pStyle w:val="NoSpacing"/>
              <w:numPr>
                <w:ilvl w:val="0"/>
                <w:numId w:val="38"/>
              </w:numPr>
              <w:rPr>
                <w:rFonts w:ascii="Verdana" w:hAnsi="Verdana"/>
              </w:rPr>
            </w:pPr>
            <w:r>
              <w:rPr>
                <w:rFonts w:ascii="Verdana" w:hAnsi="Verdana"/>
              </w:rPr>
              <w:t>How long it took the applicant to travel to the venue</w:t>
            </w:r>
            <w:r w:rsidR="000160C7">
              <w:rPr>
                <w:rFonts w:ascii="Verdana" w:hAnsi="Verdana"/>
              </w:rPr>
              <w:t>;</w:t>
            </w:r>
          </w:p>
          <w:p w:rsidR="00784BE5" w:rsidRDefault="00784BE5" w:rsidP="005D4582">
            <w:pPr>
              <w:pStyle w:val="NoSpacing"/>
              <w:numPr>
                <w:ilvl w:val="0"/>
                <w:numId w:val="38"/>
              </w:numPr>
              <w:rPr>
                <w:rFonts w:ascii="Verdana" w:hAnsi="Verdana"/>
              </w:rPr>
            </w:pPr>
            <w:r>
              <w:rPr>
                <w:rFonts w:ascii="Verdana" w:hAnsi="Verdana"/>
              </w:rPr>
              <w:t>If the venue was easy to find and any directions provided</w:t>
            </w:r>
            <w:r w:rsidR="000160C7">
              <w:rPr>
                <w:rFonts w:ascii="Verdana" w:hAnsi="Verdana"/>
              </w:rPr>
              <w:t xml:space="preserve"> were clear and easy to follow;</w:t>
            </w:r>
          </w:p>
          <w:p w:rsidR="005D4582" w:rsidRDefault="005D4582" w:rsidP="005D4582">
            <w:pPr>
              <w:pStyle w:val="NoSpacing"/>
              <w:numPr>
                <w:ilvl w:val="0"/>
                <w:numId w:val="38"/>
              </w:numPr>
              <w:rPr>
                <w:rFonts w:ascii="Verdana" w:hAnsi="Verdana"/>
              </w:rPr>
            </w:pPr>
            <w:r>
              <w:rPr>
                <w:rFonts w:ascii="Verdana" w:hAnsi="Verdana"/>
              </w:rPr>
              <w:t>Was the venue easily accessible for the applicant</w:t>
            </w:r>
            <w:r w:rsidR="000160C7">
              <w:rPr>
                <w:rFonts w:ascii="Verdana" w:hAnsi="Verdana"/>
              </w:rPr>
              <w:t>;</w:t>
            </w:r>
          </w:p>
          <w:p w:rsidR="00B120FF" w:rsidRDefault="005D4582" w:rsidP="005D4582">
            <w:pPr>
              <w:pStyle w:val="NoSpacing"/>
              <w:numPr>
                <w:ilvl w:val="0"/>
                <w:numId w:val="38"/>
              </w:numPr>
              <w:rPr>
                <w:rFonts w:ascii="Verdana" w:hAnsi="Verdana"/>
              </w:rPr>
            </w:pPr>
            <w:r>
              <w:rPr>
                <w:rFonts w:ascii="Verdana" w:hAnsi="Verdana"/>
              </w:rPr>
              <w:t xml:space="preserve">Was the applicant </w:t>
            </w:r>
            <w:r w:rsidR="00784BE5">
              <w:rPr>
                <w:rFonts w:ascii="Verdana" w:hAnsi="Verdana"/>
              </w:rPr>
              <w:t>clear abo</w:t>
            </w:r>
            <w:r w:rsidR="000160C7">
              <w:rPr>
                <w:rFonts w:ascii="Verdana" w:hAnsi="Verdana"/>
              </w:rPr>
              <w:t>ut the purpose of the assessment;</w:t>
            </w:r>
            <w:r w:rsidR="00B120FF">
              <w:rPr>
                <w:rFonts w:ascii="Verdana" w:hAnsi="Verdana"/>
              </w:rPr>
              <w:t xml:space="preserve"> </w:t>
            </w:r>
          </w:p>
          <w:p w:rsidR="00784BE5" w:rsidRDefault="00B120FF" w:rsidP="005D4582">
            <w:pPr>
              <w:pStyle w:val="NoSpacing"/>
              <w:numPr>
                <w:ilvl w:val="0"/>
                <w:numId w:val="38"/>
              </w:numPr>
              <w:rPr>
                <w:rFonts w:ascii="Verdana" w:hAnsi="Verdana"/>
              </w:rPr>
            </w:pPr>
            <w:r>
              <w:rPr>
                <w:rFonts w:ascii="Verdana" w:hAnsi="Verdana"/>
              </w:rPr>
              <w:t>Did they feel the assessor treated them courteously and with respect</w:t>
            </w:r>
            <w:r w:rsidR="000160C7">
              <w:rPr>
                <w:rFonts w:ascii="Verdana" w:hAnsi="Verdana"/>
              </w:rPr>
              <w:t>;</w:t>
            </w:r>
            <w:r w:rsidR="00784BE5">
              <w:rPr>
                <w:rFonts w:ascii="Verdana" w:hAnsi="Verdana"/>
              </w:rPr>
              <w:t xml:space="preserve"> </w:t>
            </w:r>
          </w:p>
          <w:p w:rsidR="00A214B1" w:rsidRDefault="00A214B1" w:rsidP="005D4582">
            <w:pPr>
              <w:pStyle w:val="NoSpacing"/>
              <w:numPr>
                <w:ilvl w:val="0"/>
                <w:numId w:val="38"/>
              </w:numPr>
              <w:rPr>
                <w:rFonts w:ascii="Verdana" w:hAnsi="Verdana"/>
              </w:rPr>
            </w:pPr>
            <w:r>
              <w:rPr>
                <w:rFonts w:ascii="Verdana" w:hAnsi="Verdana"/>
              </w:rPr>
              <w:t xml:space="preserve">Overall, was the applicant satisfied with the </w:t>
            </w:r>
            <w:r w:rsidR="005D4582">
              <w:rPr>
                <w:rFonts w:ascii="Verdana" w:hAnsi="Verdana"/>
              </w:rPr>
              <w:t>I</w:t>
            </w:r>
            <w:r w:rsidR="000160C7">
              <w:rPr>
                <w:rFonts w:ascii="Verdana" w:hAnsi="Verdana"/>
              </w:rPr>
              <w:t xml:space="preserve">ndependent </w:t>
            </w:r>
            <w:r w:rsidR="005D4582">
              <w:rPr>
                <w:rFonts w:ascii="Verdana" w:hAnsi="Verdana"/>
              </w:rPr>
              <w:t>M</w:t>
            </w:r>
            <w:r w:rsidR="000160C7">
              <w:rPr>
                <w:rFonts w:ascii="Verdana" w:hAnsi="Verdana"/>
              </w:rPr>
              <w:t xml:space="preserve">obility </w:t>
            </w:r>
            <w:r w:rsidR="005D4582">
              <w:rPr>
                <w:rFonts w:ascii="Verdana" w:hAnsi="Verdana"/>
              </w:rPr>
              <w:t>A</w:t>
            </w:r>
            <w:r w:rsidR="000160C7">
              <w:rPr>
                <w:rFonts w:ascii="Verdana" w:hAnsi="Verdana"/>
              </w:rPr>
              <w:t xml:space="preserve">ssessment </w:t>
            </w:r>
            <w:proofErr w:type="gramStart"/>
            <w:r>
              <w:rPr>
                <w:rFonts w:ascii="Verdana" w:hAnsi="Verdana"/>
              </w:rPr>
              <w:t>process</w:t>
            </w:r>
            <w:r w:rsidR="000160C7">
              <w:rPr>
                <w:rFonts w:ascii="Verdana" w:hAnsi="Verdana"/>
              </w:rPr>
              <w:t>.</w:t>
            </w:r>
            <w:proofErr w:type="gramEnd"/>
          </w:p>
          <w:p w:rsidR="00B120FF" w:rsidRDefault="00B120FF" w:rsidP="001714CB">
            <w:pPr>
              <w:pStyle w:val="NoSpacing"/>
              <w:rPr>
                <w:rFonts w:ascii="Verdana" w:hAnsi="Verdana"/>
              </w:rPr>
            </w:pPr>
          </w:p>
          <w:p w:rsidR="005D4582" w:rsidRDefault="00442A7D" w:rsidP="00B120FF">
            <w:pPr>
              <w:pStyle w:val="NoSpacing"/>
              <w:rPr>
                <w:rFonts w:ascii="Verdana" w:hAnsi="Verdana"/>
              </w:rPr>
            </w:pPr>
            <w:r>
              <w:rPr>
                <w:rFonts w:ascii="Verdana" w:hAnsi="Verdana"/>
              </w:rPr>
              <w:t xml:space="preserve">The </w:t>
            </w:r>
            <w:r w:rsidR="00A305D7">
              <w:rPr>
                <w:rFonts w:ascii="Verdana" w:hAnsi="Verdana"/>
              </w:rPr>
              <w:t>s</w:t>
            </w:r>
            <w:r w:rsidR="00D827F3">
              <w:rPr>
                <w:rFonts w:ascii="Verdana" w:hAnsi="Verdana"/>
              </w:rPr>
              <w:t>upplier</w:t>
            </w:r>
            <w:r>
              <w:rPr>
                <w:rFonts w:ascii="Verdana" w:hAnsi="Verdana"/>
              </w:rPr>
              <w:t xml:space="preserve"> will provide the </w:t>
            </w:r>
            <w:r w:rsidR="00231E98">
              <w:rPr>
                <w:rFonts w:ascii="Verdana" w:hAnsi="Verdana"/>
              </w:rPr>
              <w:t>Council</w:t>
            </w:r>
            <w:r>
              <w:rPr>
                <w:rFonts w:ascii="Verdana" w:hAnsi="Verdana"/>
              </w:rPr>
              <w:t xml:space="preserve"> with a written report confirming the outcome of the mobility assessment within 2 working days and specifically will confirm whether or not the applicant meets the </w:t>
            </w:r>
            <w:r w:rsidR="00231E98">
              <w:rPr>
                <w:rFonts w:ascii="Verdana" w:hAnsi="Verdana"/>
              </w:rPr>
              <w:t xml:space="preserve">eligibility </w:t>
            </w:r>
            <w:r>
              <w:rPr>
                <w:rFonts w:ascii="Verdana" w:hAnsi="Verdana"/>
              </w:rPr>
              <w:t xml:space="preserve">criteria for a Blue Badge.  Where the </w:t>
            </w:r>
            <w:r w:rsidR="00A305D7">
              <w:rPr>
                <w:rFonts w:ascii="Verdana" w:hAnsi="Verdana"/>
              </w:rPr>
              <w:t>s</w:t>
            </w:r>
            <w:r w:rsidR="00D827F3">
              <w:rPr>
                <w:rFonts w:ascii="Verdana" w:hAnsi="Verdana"/>
              </w:rPr>
              <w:t>upplier</w:t>
            </w:r>
            <w:r w:rsidR="00231E98">
              <w:rPr>
                <w:rFonts w:ascii="Verdana" w:hAnsi="Verdana"/>
              </w:rPr>
              <w:t xml:space="preserve"> </w:t>
            </w:r>
            <w:r>
              <w:rPr>
                <w:rFonts w:ascii="Verdana" w:hAnsi="Verdana"/>
              </w:rPr>
              <w:t>considers that following a</w:t>
            </w:r>
            <w:r w:rsidR="00FE7C58">
              <w:rPr>
                <w:rFonts w:ascii="Verdana" w:hAnsi="Verdana"/>
              </w:rPr>
              <w:t>n</w:t>
            </w:r>
            <w:r>
              <w:rPr>
                <w:rFonts w:ascii="Verdana" w:hAnsi="Verdana"/>
              </w:rPr>
              <w:t xml:space="preserve"> </w:t>
            </w:r>
            <w:r w:rsidR="00FE7C58">
              <w:rPr>
                <w:rFonts w:ascii="Verdana" w:hAnsi="Verdana"/>
              </w:rPr>
              <w:t>I</w:t>
            </w:r>
            <w:r w:rsidR="00231E98">
              <w:rPr>
                <w:rFonts w:ascii="Verdana" w:hAnsi="Verdana"/>
              </w:rPr>
              <w:t xml:space="preserve">ndependent </w:t>
            </w:r>
            <w:r w:rsidR="00FE7C58">
              <w:rPr>
                <w:rFonts w:ascii="Verdana" w:hAnsi="Verdana"/>
              </w:rPr>
              <w:t>Mobility A</w:t>
            </w:r>
            <w:r>
              <w:rPr>
                <w:rFonts w:ascii="Verdana" w:hAnsi="Verdana"/>
              </w:rPr>
              <w:t xml:space="preserve">ssessment the criteria have not been met, a detailed explanation will be provided to the </w:t>
            </w:r>
            <w:r w:rsidR="00231E98">
              <w:rPr>
                <w:rFonts w:ascii="Verdana" w:hAnsi="Verdana"/>
              </w:rPr>
              <w:t>Council</w:t>
            </w:r>
            <w:r>
              <w:rPr>
                <w:rFonts w:ascii="Verdana" w:hAnsi="Verdana"/>
              </w:rPr>
              <w:t>.  This in turn will be used to provide the applicant with a detailed explanation</w:t>
            </w:r>
            <w:r w:rsidR="005D4582">
              <w:rPr>
                <w:rFonts w:ascii="Verdana" w:hAnsi="Verdana"/>
              </w:rPr>
              <w:t xml:space="preserve"> by the Council</w:t>
            </w:r>
            <w:r>
              <w:rPr>
                <w:rFonts w:ascii="Verdana" w:hAnsi="Verdana"/>
              </w:rPr>
              <w:t xml:space="preserve"> outlining the reasons </w:t>
            </w:r>
            <w:r w:rsidR="00231E98">
              <w:rPr>
                <w:rFonts w:ascii="Verdana" w:hAnsi="Verdana"/>
              </w:rPr>
              <w:t xml:space="preserve">why </w:t>
            </w:r>
            <w:r>
              <w:rPr>
                <w:rFonts w:ascii="Verdana" w:hAnsi="Verdana"/>
              </w:rPr>
              <w:t xml:space="preserve">their application has been unsuccessful.  </w:t>
            </w:r>
          </w:p>
          <w:p w:rsidR="005D4582" w:rsidRDefault="005D4582" w:rsidP="00B120FF">
            <w:pPr>
              <w:pStyle w:val="NoSpacing"/>
              <w:rPr>
                <w:rFonts w:ascii="Verdana" w:hAnsi="Verdana"/>
              </w:rPr>
            </w:pPr>
          </w:p>
          <w:p w:rsidR="00702EE5" w:rsidRDefault="001714CB" w:rsidP="00231E98">
            <w:pPr>
              <w:pStyle w:val="NoSpacing"/>
              <w:rPr>
                <w:rFonts w:ascii="Verdana" w:hAnsi="Verdana"/>
              </w:rPr>
            </w:pPr>
            <w:r>
              <w:rPr>
                <w:rFonts w:ascii="Verdana" w:hAnsi="Verdana"/>
              </w:rPr>
              <w:t>The report will be returned to the Council electronically in un-editable PDF format.</w:t>
            </w:r>
            <w:r w:rsidR="00B120FF">
              <w:rPr>
                <w:rFonts w:ascii="Verdana" w:hAnsi="Verdana"/>
              </w:rPr>
              <w:t xml:space="preserve">  A copy of the customer satisfaction survey will also be returned with the </w:t>
            </w:r>
            <w:r w:rsidR="00231E98">
              <w:rPr>
                <w:rFonts w:ascii="Verdana" w:hAnsi="Verdana"/>
              </w:rPr>
              <w:t xml:space="preserve">assessment </w:t>
            </w:r>
            <w:r w:rsidR="00B120FF">
              <w:rPr>
                <w:rFonts w:ascii="Verdana" w:hAnsi="Verdana"/>
              </w:rPr>
              <w:t xml:space="preserve">outcome report.  </w:t>
            </w:r>
            <w:r>
              <w:rPr>
                <w:rFonts w:ascii="Verdana" w:hAnsi="Verdana"/>
              </w:rPr>
              <w:t>To ensure the security of sensitive cu</w:t>
            </w:r>
            <w:r w:rsidR="00FE7C58">
              <w:rPr>
                <w:rFonts w:ascii="Verdana" w:hAnsi="Verdana"/>
              </w:rPr>
              <w:t>stomer information, reports must</w:t>
            </w:r>
            <w:r>
              <w:rPr>
                <w:rFonts w:ascii="Verdana" w:hAnsi="Verdana"/>
              </w:rPr>
              <w:t xml:space="preserve"> be returned using the Council’s encryption service</w:t>
            </w:r>
            <w:r w:rsidR="00FE7C58">
              <w:rPr>
                <w:rFonts w:ascii="Verdana" w:hAnsi="Verdana"/>
              </w:rPr>
              <w:t>, Cryptshare</w:t>
            </w:r>
            <w:r>
              <w:rPr>
                <w:rFonts w:ascii="Verdana" w:hAnsi="Verdana"/>
              </w:rPr>
              <w:t xml:space="preserve">.   Reports will be returned to a </w:t>
            </w:r>
            <w:r w:rsidR="00231E98">
              <w:rPr>
                <w:rFonts w:ascii="Verdana" w:hAnsi="Verdana"/>
              </w:rPr>
              <w:t xml:space="preserve">specified email address </w:t>
            </w:r>
            <w:r>
              <w:rPr>
                <w:rFonts w:ascii="Verdana" w:hAnsi="Verdana"/>
              </w:rPr>
              <w:t>which will be agreed at the outset of the contract.</w:t>
            </w:r>
          </w:p>
          <w:p w:rsidR="00A53588" w:rsidRDefault="00A53588" w:rsidP="00231E98">
            <w:pPr>
              <w:pStyle w:val="NoSpacing"/>
              <w:rPr>
                <w:rFonts w:ascii="Verdana" w:hAnsi="Verdana"/>
              </w:rPr>
            </w:pPr>
          </w:p>
          <w:p w:rsidR="00A53588" w:rsidRPr="0048607E" w:rsidRDefault="00A53588" w:rsidP="00A53588">
            <w:pPr>
              <w:pStyle w:val="NoSpacing"/>
              <w:rPr>
                <w:rFonts w:ascii="Verdana" w:hAnsi="Verdana"/>
              </w:rPr>
            </w:pPr>
            <w:r>
              <w:rPr>
                <w:rFonts w:ascii="Verdana" w:hAnsi="Verdana"/>
              </w:rPr>
              <w:t xml:space="preserve">The Council is committed to maintaining a high level of service delivery in relation to its Blue Badge assessment process.  As part of this commitment, Council staff involved in the assessment process </w:t>
            </w:r>
            <w:r w:rsidR="00FE7C58">
              <w:rPr>
                <w:rFonts w:ascii="Verdana" w:hAnsi="Verdana"/>
              </w:rPr>
              <w:t xml:space="preserve">will </w:t>
            </w:r>
            <w:r>
              <w:rPr>
                <w:rFonts w:ascii="Verdana" w:hAnsi="Verdana"/>
              </w:rPr>
              <w:t xml:space="preserve">receive regular training. </w:t>
            </w:r>
            <w:r w:rsidRPr="00FE7C58">
              <w:rPr>
                <w:rFonts w:ascii="Verdana" w:hAnsi="Verdana"/>
                <w:b/>
                <w:color w:val="FF0000"/>
              </w:rPr>
              <w:t xml:space="preserve"> </w:t>
            </w:r>
            <w:r w:rsidRPr="00A305D7">
              <w:rPr>
                <w:rFonts w:ascii="Verdana" w:hAnsi="Verdana"/>
              </w:rPr>
              <w:t xml:space="preserve">The </w:t>
            </w:r>
            <w:r w:rsidR="00D827F3" w:rsidRPr="00A305D7">
              <w:rPr>
                <w:rFonts w:ascii="Verdana" w:hAnsi="Verdana"/>
              </w:rPr>
              <w:t>Supplier</w:t>
            </w:r>
            <w:r w:rsidRPr="00A305D7">
              <w:rPr>
                <w:rFonts w:ascii="Verdana" w:hAnsi="Verdana"/>
              </w:rPr>
              <w:t xml:space="preserve"> may wish to demonstrate how they can assist in the provision of ongoing training on issues relating to applicants mobility.  </w:t>
            </w:r>
          </w:p>
        </w:tc>
      </w:tr>
    </w:tbl>
    <w:p w:rsidR="00702EE5" w:rsidRDefault="00702EE5" w:rsidP="005D12E2"/>
    <w:p w:rsidR="00EF3974" w:rsidRPr="007733DB" w:rsidRDefault="00151BE1" w:rsidP="00EF3974">
      <w:pPr>
        <w:pStyle w:val="Heading1"/>
      </w:pPr>
      <w:bookmarkStart w:id="18" w:name="_Toc451437141"/>
      <w:r>
        <w:t>Implementation Timetable</w:t>
      </w:r>
      <w:bookmarkEnd w:id="18"/>
      <w:r>
        <w:t xml:space="preserve"> </w:t>
      </w:r>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151BE1"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151BE1" w:rsidRPr="008B5218" w:rsidRDefault="00151BE1" w:rsidP="00596792">
            <w:pPr>
              <w:pStyle w:val="Heading2"/>
            </w:pPr>
            <w:bookmarkStart w:id="19" w:name="_Toc451437142"/>
            <w:r>
              <w:t>Implementation Timetable</w:t>
            </w:r>
            <w:bookmarkEnd w:id="19"/>
          </w:p>
        </w:tc>
      </w:tr>
      <w:tr w:rsidR="00151BE1"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D15AA1" w:rsidRPr="005B3385" w:rsidRDefault="00F06564" w:rsidP="00151BE1">
            <w:pPr>
              <w:pStyle w:val="NoSpacing"/>
              <w:rPr>
                <w:rFonts w:ascii="Verdana" w:hAnsi="Verdana"/>
              </w:rPr>
            </w:pPr>
            <w:r w:rsidRPr="00A305D7">
              <w:rPr>
                <w:rFonts w:ascii="Verdana" w:hAnsi="Verdana"/>
              </w:rPr>
              <w:t>Within 1 week o</w:t>
            </w:r>
            <w:r w:rsidR="002E7F80" w:rsidRPr="00A305D7">
              <w:rPr>
                <w:rFonts w:ascii="Verdana" w:hAnsi="Verdana"/>
              </w:rPr>
              <w:t xml:space="preserve">f contract award the </w:t>
            </w:r>
            <w:r w:rsidR="00D827F3" w:rsidRPr="00A305D7">
              <w:rPr>
                <w:rFonts w:ascii="Verdana" w:hAnsi="Verdana"/>
              </w:rPr>
              <w:t>Supplier</w:t>
            </w:r>
            <w:r w:rsidR="002E7F80" w:rsidRPr="00A305D7">
              <w:rPr>
                <w:rFonts w:ascii="Verdana" w:hAnsi="Verdana"/>
              </w:rPr>
              <w:t xml:space="preserve"> shall make their best endeavour to attend the</w:t>
            </w:r>
            <w:r w:rsidRPr="00A305D7">
              <w:rPr>
                <w:rFonts w:ascii="Verdana" w:hAnsi="Verdana"/>
              </w:rPr>
              <w:t xml:space="preserve"> initial </w:t>
            </w:r>
            <w:r w:rsidR="002E7F80" w:rsidRPr="00A305D7">
              <w:rPr>
                <w:rFonts w:ascii="Verdana" w:hAnsi="Verdana"/>
              </w:rPr>
              <w:t xml:space="preserve">face to face </w:t>
            </w:r>
            <w:r w:rsidRPr="00A305D7">
              <w:rPr>
                <w:rFonts w:ascii="Verdana" w:hAnsi="Verdana"/>
              </w:rPr>
              <w:t>s</w:t>
            </w:r>
            <w:r w:rsidR="002E7F80" w:rsidRPr="00A305D7">
              <w:rPr>
                <w:rFonts w:ascii="Verdana" w:hAnsi="Verdana"/>
              </w:rPr>
              <w:t xml:space="preserve">et up meeting with the Council, at New County Hall, Truro. </w:t>
            </w:r>
          </w:p>
          <w:p w:rsidR="002E7F80" w:rsidRPr="005B3385" w:rsidRDefault="002E7F80" w:rsidP="002E7F80">
            <w:pPr>
              <w:pStyle w:val="NoSpacing"/>
              <w:rPr>
                <w:rFonts w:ascii="Verdana" w:hAnsi="Verdana"/>
              </w:rPr>
            </w:pPr>
          </w:p>
          <w:p w:rsidR="002E7F80" w:rsidRDefault="00D15AA1" w:rsidP="002E7F80">
            <w:pPr>
              <w:pStyle w:val="NoSpacing"/>
              <w:rPr>
                <w:rFonts w:ascii="Verdana" w:hAnsi="Verdana"/>
              </w:rPr>
            </w:pPr>
            <w:r w:rsidRPr="005B3385">
              <w:rPr>
                <w:rFonts w:ascii="Verdana" w:hAnsi="Verdana"/>
              </w:rPr>
              <w:t>Full implementation</w:t>
            </w:r>
            <w:r w:rsidR="002E7F80" w:rsidRPr="005B3385">
              <w:rPr>
                <w:rFonts w:ascii="Verdana" w:hAnsi="Verdana"/>
              </w:rPr>
              <w:t xml:space="preserve"> shall start no later than</w:t>
            </w:r>
            <w:r w:rsidR="005B3385" w:rsidRPr="005B3385">
              <w:rPr>
                <w:rFonts w:ascii="Verdana" w:hAnsi="Verdana"/>
              </w:rPr>
              <w:t xml:space="preserve"> 1</w:t>
            </w:r>
            <w:r w:rsidR="005B3385" w:rsidRPr="005B3385">
              <w:rPr>
                <w:rFonts w:ascii="Verdana" w:hAnsi="Verdana"/>
                <w:vertAlign w:val="superscript"/>
              </w:rPr>
              <w:t>st</w:t>
            </w:r>
            <w:r w:rsidR="005B3385" w:rsidRPr="005B3385">
              <w:rPr>
                <w:rFonts w:ascii="Verdana" w:hAnsi="Verdana"/>
              </w:rPr>
              <w:t xml:space="preserve"> October </w:t>
            </w:r>
            <w:r w:rsidRPr="005B3385">
              <w:rPr>
                <w:rFonts w:ascii="Verdana" w:hAnsi="Verdana"/>
              </w:rPr>
              <w:t>2016</w:t>
            </w:r>
            <w:r w:rsidR="002E7F80" w:rsidRPr="005B3385">
              <w:rPr>
                <w:rFonts w:ascii="Verdana" w:hAnsi="Verdana"/>
              </w:rPr>
              <w:t>.</w:t>
            </w:r>
          </w:p>
          <w:p w:rsidR="005B3385" w:rsidRPr="00C377E8" w:rsidRDefault="005B3385" w:rsidP="002E7F80">
            <w:pPr>
              <w:pStyle w:val="NoSpacing"/>
              <w:rPr>
                <w:rFonts w:ascii="Verdana" w:hAnsi="Verdana"/>
                <w:b/>
                <w:color w:val="FF0000"/>
              </w:rPr>
            </w:pPr>
          </w:p>
        </w:tc>
      </w:tr>
    </w:tbl>
    <w:p w:rsidR="00151BE1" w:rsidRDefault="00151BE1" w:rsidP="005D12E2"/>
    <w:p w:rsidR="00692DB8" w:rsidRDefault="00151BE1" w:rsidP="005D12E2">
      <w:pPr>
        <w:pStyle w:val="Heading1"/>
      </w:pPr>
      <w:bookmarkStart w:id="20" w:name="_Toc451437143"/>
      <w:r>
        <w:t>Security</w:t>
      </w:r>
      <w:bookmarkEnd w:id="20"/>
      <w:r>
        <w:t xml:space="preserve"> </w:t>
      </w:r>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151BE1"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151BE1" w:rsidRPr="008B5218" w:rsidRDefault="00151BE1" w:rsidP="00596792">
            <w:pPr>
              <w:pStyle w:val="Heading2"/>
            </w:pPr>
            <w:bookmarkStart w:id="21" w:name="_Toc451437144"/>
            <w:r>
              <w:t>Data Transfer</w:t>
            </w:r>
            <w:bookmarkEnd w:id="21"/>
          </w:p>
        </w:tc>
      </w:tr>
      <w:tr w:rsidR="00151BE1"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2E7F80" w:rsidRDefault="00290724" w:rsidP="00CA6B9E">
            <w:pPr>
              <w:pStyle w:val="NoSpacing"/>
              <w:rPr>
                <w:rFonts w:ascii="Verdana" w:hAnsi="Verdana"/>
              </w:rPr>
            </w:pPr>
            <w:r>
              <w:rPr>
                <w:rFonts w:ascii="Verdana" w:hAnsi="Verdana"/>
              </w:rPr>
              <w:t xml:space="preserve">The report will be returned to the Council electronically in un-editable PDF format.  </w:t>
            </w:r>
          </w:p>
          <w:p w:rsidR="002E7F80" w:rsidRDefault="002E7F80" w:rsidP="00CA6B9E">
            <w:pPr>
              <w:pStyle w:val="NoSpacing"/>
              <w:rPr>
                <w:rFonts w:ascii="Verdana" w:hAnsi="Verdana"/>
              </w:rPr>
            </w:pPr>
          </w:p>
          <w:p w:rsidR="002E7F80" w:rsidRDefault="00290724" w:rsidP="00CA6B9E">
            <w:pPr>
              <w:pStyle w:val="NoSpacing"/>
              <w:rPr>
                <w:rFonts w:ascii="Verdana" w:hAnsi="Verdana"/>
              </w:rPr>
            </w:pPr>
            <w:r>
              <w:rPr>
                <w:rFonts w:ascii="Verdana" w:hAnsi="Verdana"/>
              </w:rPr>
              <w:t xml:space="preserve">A copy of the customer satisfaction survey will also be returned with the </w:t>
            </w:r>
            <w:r w:rsidR="00CA6B9E">
              <w:rPr>
                <w:rFonts w:ascii="Verdana" w:hAnsi="Verdana"/>
              </w:rPr>
              <w:t xml:space="preserve">assessment </w:t>
            </w:r>
            <w:r>
              <w:rPr>
                <w:rFonts w:ascii="Verdana" w:hAnsi="Verdana"/>
              </w:rPr>
              <w:t>outcome report.  To ensure the security of sensitive customer information, reports will be returned using the Council’s encryption service</w:t>
            </w:r>
            <w:r w:rsidR="002E7F80">
              <w:rPr>
                <w:rFonts w:ascii="Verdana" w:hAnsi="Verdana"/>
              </w:rPr>
              <w:t>, Cryptshare</w:t>
            </w:r>
            <w:r>
              <w:rPr>
                <w:rFonts w:ascii="Verdana" w:hAnsi="Verdana"/>
              </w:rPr>
              <w:t xml:space="preserve">.   </w:t>
            </w:r>
          </w:p>
          <w:p w:rsidR="002E7F80" w:rsidRDefault="002E7F80" w:rsidP="00CA6B9E">
            <w:pPr>
              <w:pStyle w:val="NoSpacing"/>
              <w:rPr>
                <w:rFonts w:ascii="Verdana" w:hAnsi="Verdana"/>
              </w:rPr>
            </w:pPr>
          </w:p>
          <w:p w:rsidR="002E7F80" w:rsidRPr="00EF3974" w:rsidRDefault="00290724" w:rsidP="00CA6B9E">
            <w:pPr>
              <w:pStyle w:val="NoSpacing"/>
              <w:rPr>
                <w:rFonts w:ascii="Verdana" w:hAnsi="Verdana"/>
              </w:rPr>
            </w:pPr>
            <w:r>
              <w:rPr>
                <w:rFonts w:ascii="Verdana" w:hAnsi="Verdana"/>
              </w:rPr>
              <w:t xml:space="preserve">Reports will be returned to a </w:t>
            </w:r>
            <w:r w:rsidR="005D4582">
              <w:rPr>
                <w:rFonts w:ascii="Verdana" w:hAnsi="Verdana"/>
              </w:rPr>
              <w:t xml:space="preserve">specified </w:t>
            </w:r>
            <w:r w:rsidR="00CA6B9E">
              <w:rPr>
                <w:rFonts w:ascii="Verdana" w:hAnsi="Verdana"/>
              </w:rPr>
              <w:t xml:space="preserve">email address </w:t>
            </w:r>
            <w:r>
              <w:rPr>
                <w:rFonts w:ascii="Verdana" w:hAnsi="Verdana"/>
              </w:rPr>
              <w:t>wh</w:t>
            </w:r>
            <w:r w:rsidR="002E7F80">
              <w:rPr>
                <w:rFonts w:ascii="Verdana" w:hAnsi="Verdana"/>
              </w:rPr>
              <w:t>ich will be agreed at the initial set up meeting</w:t>
            </w:r>
            <w:r>
              <w:rPr>
                <w:rFonts w:ascii="Verdana" w:hAnsi="Verdana"/>
              </w:rPr>
              <w:t>.</w:t>
            </w:r>
          </w:p>
        </w:tc>
      </w:tr>
    </w:tbl>
    <w:p w:rsidR="00151BE1" w:rsidRDefault="00151BE1" w:rsidP="005D12E2"/>
    <w:p w:rsidR="00692DB8" w:rsidRDefault="00565B77" w:rsidP="00565B77">
      <w:pPr>
        <w:pStyle w:val="Heading1"/>
      </w:pPr>
      <w:bookmarkStart w:id="22" w:name="_Toc451437145"/>
      <w:r>
        <w:t>Safeguarding</w:t>
      </w:r>
      <w:bookmarkEnd w:id="22"/>
      <w:r>
        <w:t xml:space="preserve"> </w:t>
      </w:r>
    </w:p>
    <w:p w:rsidR="00C06A31" w:rsidRDefault="00C06A31" w:rsidP="00C06A3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565B77"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565B77" w:rsidRPr="008B5218" w:rsidRDefault="00692770" w:rsidP="00596792">
            <w:pPr>
              <w:pStyle w:val="Heading2"/>
            </w:pPr>
            <w:bookmarkStart w:id="23" w:name="_Toc451437146"/>
            <w:r>
              <w:t>Safeguarding Arrangements</w:t>
            </w:r>
            <w:bookmarkEnd w:id="23"/>
          </w:p>
        </w:tc>
      </w:tr>
      <w:tr w:rsidR="00565B77"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AC5167" w:rsidRPr="00D35CC4" w:rsidRDefault="00AC5167" w:rsidP="00AC5167">
            <w:pPr>
              <w:pStyle w:val="01BSCCParagraphbodystyle"/>
            </w:pPr>
            <w:r w:rsidRPr="00D35CC4">
              <w:t>Contractors shall ensure they have robust and well-managed safeg</w:t>
            </w:r>
            <w:r>
              <w:t xml:space="preserve">uarding arrangements in place. </w:t>
            </w:r>
            <w:r w:rsidRPr="00D35CC4">
              <w:t>The safeguarding arrangements must be compliant with the current and in-force regulations and legislation.  It is the Contractor’s responsibility to ensure all staff and volunteers employed, engaged or working under the directions of the Contractor (the “Employees”) are safely recruited, trained and managed to ensure compliance with the above mentioned requirements.</w:t>
            </w:r>
          </w:p>
          <w:p w:rsidR="00AC5167" w:rsidRPr="00AC5167" w:rsidRDefault="00AC5167" w:rsidP="00AC5167">
            <w:pPr>
              <w:ind w:right="-416"/>
              <w:rPr>
                <w:b/>
                <w:noProof/>
                <w:sz w:val="22"/>
                <w:szCs w:val="22"/>
                <w:lang w:eastAsia="en-GB"/>
              </w:rPr>
            </w:pPr>
            <w:r w:rsidRPr="00AC5167">
              <w:rPr>
                <w:b/>
                <w:noProof/>
                <w:sz w:val="22"/>
                <w:szCs w:val="22"/>
                <w:lang w:eastAsia="en-GB"/>
              </w:rPr>
              <w:t>Child Protection/Safeguarding Adults Policies</w:t>
            </w:r>
          </w:p>
          <w:p w:rsidR="00AC5167" w:rsidRPr="00D35CC4" w:rsidRDefault="00AC5167" w:rsidP="00AC5167">
            <w:pPr>
              <w:pStyle w:val="01BSCCParagraphbodystyle"/>
            </w:pPr>
            <w:r w:rsidRPr="00D35CC4">
              <w:t>Contractors shall have a Safeguarding Policy in place with detailed procedures, covering the protection / safeguarding of both children and adults, for:</w:t>
            </w:r>
          </w:p>
          <w:p w:rsidR="00AC5167" w:rsidRPr="00FA4FAF" w:rsidRDefault="00AC5167" w:rsidP="00AC5167">
            <w:pPr>
              <w:pStyle w:val="01B1CCBulletTextLevel1"/>
              <w:numPr>
                <w:ilvl w:val="0"/>
                <w:numId w:val="39"/>
              </w:numPr>
              <w:rPr>
                <w:b/>
              </w:rPr>
            </w:pPr>
            <w:r w:rsidRPr="00FA4FAF">
              <w:t xml:space="preserve">Safer recruitment </w:t>
            </w:r>
          </w:p>
          <w:p w:rsidR="00AC5167" w:rsidRPr="00FA4FAF" w:rsidRDefault="00AC5167" w:rsidP="00AC5167">
            <w:pPr>
              <w:pStyle w:val="01B1CCBulletTextLevel1"/>
              <w:numPr>
                <w:ilvl w:val="0"/>
                <w:numId w:val="39"/>
              </w:numPr>
              <w:rPr>
                <w:b/>
              </w:rPr>
            </w:pPr>
            <w:r w:rsidRPr="00FA4FAF">
              <w:t xml:space="preserve">Training, including induction </w:t>
            </w:r>
          </w:p>
          <w:p w:rsidR="00AC5167" w:rsidRPr="00FA4FAF" w:rsidRDefault="00AC5167" w:rsidP="00AC5167">
            <w:pPr>
              <w:pStyle w:val="01B1CCBulletTextLevel1"/>
              <w:numPr>
                <w:ilvl w:val="0"/>
                <w:numId w:val="39"/>
              </w:numPr>
              <w:rPr>
                <w:b/>
              </w:rPr>
            </w:pPr>
            <w:r w:rsidRPr="00FA4FAF">
              <w:t>Supervision and Safeguarding Procedure</w:t>
            </w:r>
          </w:p>
          <w:p w:rsidR="00AC5167" w:rsidRPr="00FA4FAF" w:rsidRDefault="00AC5167" w:rsidP="00AC5167">
            <w:pPr>
              <w:pStyle w:val="01B1CCBulletTextLevel1"/>
              <w:numPr>
                <w:ilvl w:val="0"/>
                <w:numId w:val="39"/>
              </w:numPr>
              <w:rPr>
                <w:b/>
              </w:rPr>
            </w:pPr>
            <w:r w:rsidRPr="00FA4FAF">
              <w:t xml:space="preserve">Management of allegations </w:t>
            </w:r>
          </w:p>
          <w:p w:rsidR="00AC5167" w:rsidRPr="00FA4FAF" w:rsidRDefault="00AC5167" w:rsidP="00AC5167">
            <w:pPr>
              <w:pStyle w:val="01B1CCBulletTextLevel1"/>
              <w:numPr>
                <w:ilvl w:val="0"/>
                <w:numId w:val="39"/>
              </w:numPr>
              <w:rPr>
                <w:b/>
              </w:rPr>
            </w:pPr>
            <w:r w:rsidRPr="00FA4FAF">
              <w:t>Whistle-blowing</w:t>
            </w:r>
          </w:p>
          <w:p w:rsidR="00AC5167" w:rsidRPr="00D35CC4" w:rsidRDefault="00AC5167" w:rsidP="00AC5167">
            <w:pPr>
              <w:pStyle w:val="Default"/>
              <w:tabs>
                <w:tab w:val="num" w:pos="900"/>
              </w:tabs>
              <w:ind w:hanging="257"/>
              <w:rPr>
                <w:szCs w:val="22"/>
              </w:rPr>
            </w:pPr>
          </w:p>
          <w:p w:rsidR="00AC5167" w:rsidRPr="00D35CC4" w:rsidRDefault="00AC5167" w:rsidP="00AC5167">
            <w:pPr>
              <w:pStyle w:val="01BSCCParagraphbodystyle"/>
            </w:pPr>
            <w:r w:rsidRPr="00D35CC4">
              <w:t xml:space="preserve">The Contractor shall ensure that all Employees have read and understood the policies that are in place.  </w:t>
            </w:r>
          </w:p>
          <w:p w:rsidR="00AC5167" w:rsidRPr="00D35CC4" w:rsidRDefault="00AC5167" w:rsidP="00AC5167">
            <w:pPr>
              <w:pStyle w:val="01BSCCParagraphbodystyle"/>
            </w:pPr>
            <w:r w:rsidRPr="00D35CC4">
              <w:t>The Contractor shall keep a register of all Employees, and against each Employee the Contractor shall record the policies which the Employee has been given copies of, and the date such policies were provided to the Employee.  The Contractor shall also ensure the Employee signs and dates the register to attest the fact that they have read and understood such policies.</w:t>
            </w:r>
          </w:p>
          <w:p w:rsidR="00AC5167" w:rsidRPr="00AC5167" w:rsidRDefault="00AC5167" w:rsidP="00AC5167">
            <w:pPr>
              <w:ind w:right="-416"/>
              <w:rPr>
                <w:b/>
                <w:noProof/>
                <w:sz w:val="22"/>
                <w:szCs w:val="22"/>
                <w:lang w:eastAsia="en-GB"/>
              </w:rPr>
            </w:pPr>
            <w:r w:rsidRPr="00AC5167">
              <w:rPr>
                <w:b/>
                <w:noProof/>
                <w:sz w:val="22"/>
                <w:szCs w:val="22"/>
                <w:lang w:eastAsia="en-GB"/>
              </w:rPr>
              <w:t>Safer Recruitment</w:t>
            </w:r>
          </w:p>
          <w:p w:rsidR="00AC5167" w:rsidRPr="00D35CC4" w:rsidRDefault="00AC5167" w:rsidP="00AC5167">
            <w:pPr>
              <w:pStyle w:val="01BSCCParagraphbodystyle"/>
            </w:pPr>
            <w:r w:rsidRPr="00D35CC4">
              <w:t xml:space="preserve">Safer recruitment is an important part of making sure someone is suitable for the role they are undertaking. </w:t>
            </w:r>
          </w:p>
          <w:p w:rsidR="00AC5167" w:rsidRPr="00D35CC4" w:rsidRDefault="00AC5167" w:rsidP="00AC5167">
            <w:pPr>
              <w:pStyle w:val="01BSCCParagraphbodystyle"/>
            </w:pPr>
            <w:r w:rsidRPr="00D35CC4">
              <w:t xml:space="preserve">Contractors shall ensure all the relevant safeguarding, recruitment and barring checks have been undertaken for all Employees and keep appropriate training records on a centralised register. </w:t>
            </w:r>
          </w:p>
          <w:p w:rsidR="00AC5167" w:rsidRPr="00D35CC4" w:rsidRDefault="00AC5167" w:rsidP="00AC5167">
            <w:pPr>
              <w:pStyle w:val="01BSCCParagraphbodystyle"/>
            </w:pPr>
            <w:r w:rsidRPr="00D35CC4">
              <w:t>These checks shall, without limitation, for all Employees include:</w:t>
            </w:r>
          </w:p>
          <w:p w:rsidR="00AC5167" w:rsidRPr="00FA4FAF" w:rsidRDefault="00AC5167" w:rsidP="00AC5167">
            <w:pPr>
              <w:pStyle w:val="01B1CCBulletTextLevel1"/>
              <w:numPr>
                <w:ilvl w:val="0"/>
                <w:numId w:val="40"/>
              </w:numPr>
              <w:rPr>
                <w:b/>
              </w:rPr>
            </w:pPr>
            <w:r w:rsidRPr="00FA4FAF">
              <w:t>Application forms</w:t>
            </w:r>
          </w:p>
          <w:p w:rsidR="00AC5167" w:rsidRPr="00FA4FAF" w:rsidRDefault="00AC5167" w:rsidP="00AC5167">
            <w:pPr>
              <w:pStyle w:val="01B1CCBulletTextLevel1"/>
              <w:numPr>
                <w:ilvl w:val="0"/>
                <w:numId w:val="40"/>
              </w:numPr>
              <w:rPr>
                <w:b/>
              </w:rPr>
            </w:pPr>
            <w:r w:rsidRPr="00FA4FAF">
              <w:t>Checking self-declaration forms for relevancy to role</w:t>
            </w:r>
          </w:p>
          <w:p w:rsidR="00AC5167" w:rsidRPr="00FA4FAF" w:rsidRDefault="00AC5167" w:rsidP="00AC5167">
            <w:pPr>
              <w:pStyle w:val="01B1CCBulletTextLevel1"/>
              <w:numPr>
                <w:ilvl w:val="0"/>
                <w:numId w:val="40"/>
              </w:numPr>
              <w:rPr>
                <w:b/>
              </w:rPr>
            </w:pPr>
            <w:r w:rsidRPr="00FA4FAF">
              <w:t xml:space="preserve">Face-to-face interviews </w:t>
            </w:r>
          </w:p>
          <w:p w:rsidR="00AC5167" w:rsidRPr="00FA4FAF" w:rsidRDefault="00AC5167" w:rsidP="00AC5167">
            <w:pPr>
              <w:pStyle w:val="01B1CCBulletTextLevel1"/>
              <w:numPr>
                <w:ilvl w:val="0"/>
                <w:numId w:val="40"/>
              </w:numPr>
              <w:rPr>
                <w:b/>
              </w:rPr>
            </w:pPr>
            <w:r w:rsidRPr="00FA4FAF">
              <w:lastRenderedPageBreak/>
              <w:t>Undertaking qualifications checks and ID checks</w:t>
            </w:r>
          </w:p>
          <w:p w:rsidR="00AC5167" w:rsidRPr="00FA4FAF" w:rsidRDefault="00AC5167" w:rsidP="00AC5167">
            <w:pPr>
              <w:pStyle w:val="01B1CCBulletTextLevel1"/>
              <w:numPr>
                <w:ilvl w:val="0"/>
                <w:numId w:val="40"/>
              </w:numPr>
              <w:rPr>
                <w:b/>
              </w:rPr>
            </w:pPr>
            <w:r w:rsidRPr="00FA4FAF">
              <w:t>Checking references before confirming appointment</w:t>
            </w:r>
          </w:p>
          <w:p w:rsidR="00AC5167" w:rsidRPr="00FA4FAF" w:rsidRDefault="00AC5167" w:rsidP="00AC5167">
            <w:pPr>
              <w:pStyle w:val="01B1CCBulletTextLevel1"/>
              <w:numPr>
                <w:ilvl w:val="0"/>
                <w:numId w:val="40"/>
              </w:numPr>
              <w:rPr>
                <w:b/>
              </w:rPr>
            </w:pPr>
            <w:r w:rsidRPr="00FA4FAF">
              <w:t>A probationary and supervision period for new staff</w:t>
            </w:r>
          </w:p>
          <w:p w:rsidR="00AC5167" w:rsidRPr="00FA4FAF" w:rsidRDefault="00AC5167" w:rsidP="00AC5167">
            <w:pPr>
              <w:pStyle w:val="01B1CCBulletTextLevel1"/>
              <w:numPr>
                <w:ilvl w:val="0"/>
                <w:numId w:val="40"/>
              </w:numPr>
              <w:rPr>
                <w:b/>
              </w:rPr>
            </w:pPr>
            <w:r w:rsidRPr="00FA4FAF">
              <w:t>Observation and peer feedback</w:t>
            </w:r>
          </w:p>
          <w:p w:rsidR="00AC5167" w:rsidRPr="00FA4FAF" w:rsidRDefault="00AC5167" w:rsidP="00AC5167">
            <w:pPr>
              <w:pStyle w:val="01B1CCBulletTextLevel1"/>
              <w:numPr>
                <w:ilvl w:val="0"/>
                <w:numId w:val="40"/>
              </w:numPr>
              <w:rPr>
                <w:b/>
              </w:rPr>
            </w:pPr>
            <w:r w:rsidRPr="00FA4FAF">
              <w:t>Conducting personal development reviews</w:t>
            </w:r>
          </w:p>
          <w:p w:rsidR="00AC5167" w:rsidRPr="00FA4FAF" w:rsidRDefault="00AC5167" w:rsidP="00AC5167">
            <w:pPr>
              <w:pStyle w:val="01B1CCBulletTextLevel1"/>
              <w:numPr>
                <w:ilvl w:val="0"/>
                <w:numId w:val="40"/>
              </w:numPr>
              <w:rPr>
                <w:b/>
              </w:rPr>
            </w:pPr>
            <w:r w:rsidRPr="00FA4FAF">
              <w:t>Monitoring conduct in the role</w:t>
            </w:r>
          </w:p>
          <w:p w:rsidR="00AC5167" w:rsidRPr="00FA4FAF" w:rsidRDefault="00AC5167" w:rsidP="00AC5167">
            <w:pPr>
              <w:pStyle w:val="01B1CCBulletTextLevel1"/>
              <w:numPr>
                <w:ilvl w:val="0"/>
                <w:numId w:val="40"/>
              </w:numPr>
              <w:rPr>
                <w:b/>
              </w:rPr>
            </w:pPr>
            <w:r w:rsidRPr="00FA4FAF">
              <w:t>Conducting in-role risk assessments</w:t>
            </w:r>
          </w:p>
          <w:p w:rsidR="00AC5167" w:rsidRPr="00D35CC4" w:rsidRDefault="00AC5167" w:rsidP="00AC5167">
            <w:pPr>
              <w:pStyle w:val="Default"/>
              <w:ind w:left="540"/>
              <w:rPr>
                <w:szCs w:val="22"/>
              </w:rPr>
            </w:pPr>
            <w:r w:rsidRPr="00D35CC4" w:rsidDel="00D343B4">
              <w:rPr>
                <w:color w:val="auto"/>
                <w:szCs w:val="22"/>
              </w:rPr>
              <w:t xml:space="preserve"> </w:t>
            </w:r>
          </w:p>
          <w:p w:rsidR="00AC5167" w:rsidRPr="00D35CC4" w:rsidRDefault="00AC5167" w:rsidP="00AC5167">
            <w:pPr>
              <w:pStyle w:val="01BSCCParagraphbodystyle"/>
            </w:pPr>
            <w:r w:rsidRPr="00D35CC4">
              <w:t xml:space="preserve">For all positions that come within the definition of Regulated Activity (summary found in Schedule 2.2) as currently set out within the Safeguarding Vulnerable Groups Act 2006 (and as amended by the Protection of Freedoms Act 2012), the Contractor shall be required to carry out an Enhanced Disclosure and Barring Service Check either, depending on the specific facts, with or without a check of the barred lists. </w:t>
            </w:r>
          </w:p>
          <w:p w:rsidR="00AC5167" w:rsidRPr="00D35CC4" w:rsidRDefault="00AC5167" w:rsidP="00AC5167">
            <w:pPr>
              <w:pStyle w:val="01BSCCParagraphbodystyle"/>
            </w:pPr>
            <w:r w:rsidRPr="00D35CC4">
              <w:t>The Disclosure and Barring Service (formerly the CRB) provides clear guidelines relating to posts that meet the definition of Regulated Activity and that are eligible for an Enhanced Disclosure.</w:t>
            </w:r>
          </w:p>
          <w:p w:rsidR="00AC5167" w:rsidRPr="00D35CC4" w:rsidRDefault="00AC5167" w:rsidP="00AC5167">
            <w:pPr>
              <w:pStyle w:val="01BSCCParagraphbodystyle"/>
            </w:pPr>
            <w:r w:rsidRPr="00D35CC4">
              <w:t>Unless specifically permitted under the terms of the Contractor’s employment, the Contractor shall not be entitled to any additional payment from the Employer for carrying out the additional checks.</w:t>
            </w:r>
          </w:p>
          <w:p w:rsidR="00AC5167" w:rsidRPr="00D35CC4" w:rsidRDefault="00AC5167" w:rsidP="00AC5167">
            <w:pPr>
              <w:pStyle w:val="01BSCCParagraphbodystyle"/>
            </w:pPr>
            <w:r w:rsidRPr="00D35CC4">
              <w:t>The Contractor shall carry out checks to a commensurate standard to the ones required for all UK nationals for Employees who are not UK nationals.  In circumstances where the Contractor is prevented, for reasons outside of their control, from obtaining commensurate checks, then the Contractor shall inform the Employer and carry out such checks as the Employer may reasonably require.</w:t>
            </w:r>
          </w:p>
          <w:p w:rsidR="00AC5167" w:rsidRPr="00D35CC4" w:rsidRDefault="00AC5167" w:rsidP="00AC5167">
            <w:pPr>
              <w:pStyle w:val="01BSCCParagraphbodystyle"/>
            </w:pPr>
            <w:r w:rsidRPr="00D35CC4">
              <w:t xml:space="preserve">Information, advice and guidance relating to criminal record checking; positive disclosures and suitability decisions; providing services prior to a </w:t>
            </w:r>
            <w:r w:rsidR="00D827F3">
              <w:t>Supplier</w:t>
            </w:r>
            <w:r w:rsidRPr="00D35CC4">
              <w:t xml:space="preserve"> receiving a disclosure and any legislative changes as a result of the Protection of Freedoms Act (2012) can be obtained from the HR Safeguarding Team on 01872 324130 or email </w:t>
            </w:r>
            <w:hyperlink r:id="rId10" w:history="1">
              <w:r w:rsidRPr="00D35CC4">
                <w:rPr>
                  <w:rStyle w:val="Hyperlink"/>
                  <w:szCs w:val="22"/>
                </w:rPr>
                <w:t>hrsafeguardingteam@cornwall.gov.uk</w:t>
              </w:r>
            </w:hyperlink>
            <w:r w:rsidRPr="00D35CC4">
              <w:rPr>
                <w:szCs w:val="22"/>
              </w:rPr>
              <w:t xml:space="preserve">. </w:t>
            </w:r>
          </w:p>
          <w:p w:rsidR="00AC5167" w:rsidRPr="00D35CC4" w:rsidRDefault="00AC5167" w:rsidP="00AC5167">
            <w:pPr>
              <w:pStyle w:val="01BSCCParagraphbodystyle"/>
            </w:pPr>
            <w:r w:rsidRPr="00D35CC4">
              <w:t>In addition, Contractors are required to liaise with and comply with any on-site policies that are in place.  Where such policies conflict with the requirements set out within this document, the Contractor shall notify the Employer.  The Employer shall inform the Contractor, in writing, which policy takes precedence.  The Contractor shall not be entitled to any additional payment from the Employer for compliance with the on-site policies.</w:t>
            </w:r>
          </w:p>
          <w:p w:rsidR="00AC5167" w:rsidRPr="00AC5167" w:rsidRDefault="00AC5167" w:rsidP="00AC5167">
            <w:pPr>
              <w:ind w:right="-416"/>
              <w:rPr>
                <w:b/>
                <w:noProof/>
                <w:sz w:val="22"/>
                <w:szCs w:val="22"/>
                <w:lang w:eastAsia="en-GB"/>
              </w:rPr>
            </w:pPr>
            <w:r w:rsidRPr="00AC5167">
              <w:rPr>
                <w:b/>
                <w:noProof/>
                <w:sz w:val="22"/>
                <w:szCs w:val="22"/>
                <w:lang w:eastAsia="en-GB"/>
              </w:rPr>
              <w:t>Training</w:t>
            </w:r>
          </w:p>
          <w:p w:rsidR="00AC5167" w:rsidRPr="00D35CC4" w:rsidRDefault="006F48D0" w:rsidP="00AC5167">
            <w:pPr>
              <w:pStyle w:val="01BSCCParagraphbodystyle"/>
            </w:pPr>
            <w:r>
              <w:t>As a minimum, training shall</w:t>
            </w:r>
            <w:r w:rsidR="00AC5167" w:rsidRPr="00D35CC4">
              <w:t xml:space="preserve"> always include an explanation of the organisation’s safeguarding policies, including the context and implementation; this will usually be carried out during staff induction and will be supported by regular refresher sessions.  Training for all staff and volunteers should cover: </w:t>
            </w:r>
          </w:p>
          <w:p w:rsidR="00AC5167" w:rsidRPr="00EA1BDA" w:rsidRDefault="00AC5167" w:rsidP="00AC5167">
            <w:pPr>
              <w:pStyle w:val="01B1CCBulletTextLevel1"/>
              <w:numPr>
                <w:ilvl w:val="0"/>
                <w:numId w:val="41"/>
              </w:numPr>
              <w:rPr>
                <w:b/>
              </w:rPr>
            </w:pPr>
            <w:r w:rsidRPr="00EA1BDA">
              <w:t>Being aware of the importance, and their responsibility in appropriately sharing their concern, where they are worried that a child, young person or vulnerable adult may be suffering, or at risk of, abuse;</w:t>
            </w:r>
          </w:p>
          <w:p w:rsidR="00AC5167" w:rsidRPr="00EA1BDA" w:rsidRDefault="00AC5167" w:rsidP="00AC5167">
            <w:pPr>
              <w:pStyle w:val="01B1CCBulletTextLevel1"/>
              <w:numPr>
                <w:ilvl w:val="0"/>
                <w:numId w:val="41"/>
              </w:numPr>
              <w:rPr>
                <w:b/>
              </w:rPr>
            </w:pPr>
            <w:r w:rsidRPr="00EA1BDA">
              <w:t>Being aware of how to report any concerns about the behaviour of a colleague/ member of staff;</w:t>
            </w:r>
          </w:p>
          <w:p w:rsidR="00AC5167" w:rsidRPr="00EA1BDA" w:rsidRDefault="00AC5167" w:rsidP="00AC5167">
            <w:pPr>
              <w:pStyle w:val="01B1CCBulletTextLevel1"/>
              <w:numPr>
                <w:ilvl w:val="0"/>
                <w:numId w:val="41"/>
              </w:numPr>
              <w:rPr>
                <w:b/>
              </w:rPr>
            </w:pPr>
            <w:r w:rsidRPr="00EA1BDA">
              <w:lastRenderedPageBreak/>
              <w:t>Understanding and being able to implement safe working practices for individual workers;</w:t>
            </w:r>
          </w:p>
          <w:p w:rsidR="00AC5167" w:rsidRPr="00EA1BDA" w:rsidRDefault="00AC5167" w:rsidP="00AC5167">
            <w:pPr>
              <w:pStyle w:val="01B1CCBulletTextLevel1"/>
              <w:numPr>
                <w:ilvl w:val="0"/>
                <w:numId w:val="41"/>
              </w:numPr>
              <w:rPr>
                <w:b/>
              </w:rPr>
            </w:pPr>
            <w:r w:rsidRPr="00EA1BDA">
              <w:t>Knowing who in the organisation has safeguarding lead responsibility.</w:t>
            </w:r>
            <w:r w:rsidRPr="00EA1BDA">
              <w:br/>
            </w:r>
          </w:p>
          <w:p w:rsidR="00AC5167" w:rsidRPr="00D35CC4" w:rsidRDefault="00AC5167" w:rsidP="00AC5167">
            <w:pPr>
              <w:pStyle w:val="01BSCCParagraphbodystyle"/>
            </w:pPr>
            <w:r w:rsidRPr="00D35CC4">
              <w:t>Contractors are required to ensure all personnel have undertaken appropriate and up–to-date training, including, where required, to comply with all relevant legislation.</w:t>
            </w:r>
          </w:p>
          <w:p w:rsidR="00AC5167" w:rsidRPr="00AC5167" w:rsidRDefault="00AC5167" w:rsidP="00AC5167">
            <w:pPr>
              <w:ind w:right="-416"/>
              <w:rPr>
                <w:b/>
                <w:noProof/>
                <w:sz w:val="22"/>
                <w:szCs w:val="22"/>
                <w:lang w:eastAsia="en-GB"/>
              </w:rPr>
            </w:pPr>
            <w:r w:rsidRPr="00AC5167">
              <w:rPr>
                <w:b/>
                <w:noProof/>
                <w:sz w:val="22"/>
                <w:szCs w:val="22"/>
                <w:lang w:eastAsia="en-GB"/>
              </w:rPr>
              <w:t>Supervision and Safeguarding Procedure</w:t>
            </w:r>
          </w:p>
          <w:p w:rsidR="00AC5167" w:rsidRPr="00D35CC4" w:rsidRDefault="00AC5167" w:rsidP="00AC5167">
            <w:pPr>
              <w:pStyle w:val="01BSCCParagraphbodystyle"/>
            </w:pPr>
            <w:r w:rsidRPr="00D35CC4">
              <w:t>When working on the delivery of this contract, the Contractor shall comply with all current and in-force statutory guidance for their sector, and any site-specific policies that are in place. The Contractor shall also comply with the Code of Conduct shown in Schedule 2.1 for all on-site works.</w:t>
            </w:r>
          </w:p>
          <w:p w:rsidR="00AC5167" w:rsidRPr="00AC5167" w:rsidRDefault="00AC5167" w:rsidP="00AC5167">
            <w:pPr>
              <w:ind w:right="-416"/>
              <w:rPr>
                <w:b/>
                <w:noProof/>
                <w:sz w:val="22"/>
                <w:szCs w:val="22"/>
                <w:lang w:eastAsia="en-GB"/>
              </w:rPr>
            </w:pPr>
            <w:r w:rsidRPr="00AC5167">
              <w:rPr>
                <w:b/>
                <w:noProof/>
                <w:sz w:val="22"/>
                <w:szCs w:val="22"/>
                <w:lang w:eastAsia="en-GB"/>
              </w:rPr>
              <w:t>Management of Allegations</w:t>
            </w:r>
          </w:p>
          <w:p w:rsidR="00AC5167" w:rsidRPr="00D35CC4" w:rsidRDefault="00AC5167" w:rsidP="00AC5167">
            <w:pPr>
              <w:pStyle w:val="01BSCCParagraphbodystyle"/>
            </w:pPr>
            <w:r w:rsidRPr="00D35CC4">
              <w:t>Contractors working in environments where children may be present must comply with the South West Safeguarding and Child Protection Procedures ‘managing allegations’ procedures, (</w:t>
            </w:r>
            <w:hyperlink r:id="rId11" w:history="1">
              <w:r w:rsidRPr="00D35CC4">
                <w:rPr>
                  <w:rStyle w:val="Hyperlink"/>
                </w:rPr>
                <w:t>www.swcpp.org.uk</w:t>
              </w:r>
            </w:hyperlink>
            <w:r w:rsidRPr="00D35CC4">
              <w:t xml:space="preserve">). Additionally, Managers involved in the delivery of the contract must be made aware of the </w:t>
            </w:r>
            <w:hyperlink r:id="rId12" w:history="1">
              <w:r w:rsidRPr="00D35CC4">
                <w:rPr>
                  <w:rStyle w:val="Hyperlink"/>
                  <w:szCs w:val="22"/>
                </w:rPr>
                <w:t>MARU service</w:t>
              </w:r>
            </w:hyperlink>
            <w:r w:rsidRPr="00D35CC4">
              <w:rPr>
                <w:szCs w:val="22"/>
              </w:rPr>
              <w:t xml:space="preserve"> </w:t>
            </w:r>
            <w:r w:rsidRPr="00D35CC4">
              <w:t xml:space="preserve">and the </w:t>
            </w:r>
            <w:hyperlink r:id="rId13" w:history="1">
              <w:r w:rsidRPr="00D35CC4">
                <w:rPr>
                  <w:rStyle w:val="Hyperlink"/>
                  <w:szCs w:val="22"/>
                </w:rPr>
                <w:t>Multi Agency Advice Team</w:t>
              </w:r>
            </w:hyperlink>
            <w:r w:rsidRPr="00D35CC4">
              <w:t xml:space="preserve"> and the Contractor shall keep a centralised register evidencing this fact. Information on these can be found at </w:t>
            </w:r>
            <w:hyperlink r:id="rId14" w:history="1">
              <w:r w:rsidRPr="00D35CC4">
                <w:rPr>
                  <w:rStyle w:val="Hyperlink"/>
                </w:rPr>
                <w:t>http://www.cornwall.gov.uk/health-and-social-care/children-and-family-care/children-schools-and-families-leaflets/</w:t>
              </w:r>
            </w:hyperlink>
            <w:r w:rsidRPr="00D35CC4">
              <w:t xml:space="preserve">. </w:t>
            </w:r>
          </w:p>
          <w:p w:rsidR="00AC5167" w:rsidRPr="00D35CC4" w:rsidRDefault="00AC5167" w:rsidP="00AC5167">
            <w:pPr>
              <w:pStyle w:val="01BSCCParagraphbodystyle"/>
            </w:pPr>
            <w:r w:rsidRPr="00D35CC4">
              <w:t xml:space="preserve">Contractors must have a clear procedure in place for handling concerns/allegations of abuse or neglect which is consistent with the multi-agency safeguarding adults policy and the Safeguarding Adults </w:t>
            </w:r>
            <w:proofErr w:type="spellStart"/>
            <w:r w:rsidRPr="00D35CC4">
              <w:t>Alerter's</w:t>
            </w:r>
            <w:proofErr w:type="spellEnd"/>
            <w:r w:rsidRPr="00D35CC4">
              <w:t xml:space="preserve"> Guide, ‘No to Abuse’ (</w:t>
            </w:r>
            <w:hyperlink r:id="rId15" w:history="1">
              <w:r w:rsidRPr="00D35CC4">
                <w:rPr>
                  <w:rStyle w:val="Hyperlink"/>
                </w:rPr>
                <w:t>http://www.cornwall.gov.uk/health-and-social-care/safeguarding-adults/</w:t>
              </w:r>
            </w:hyperlink>
            <w:r w:rsidRPr="00D35CC4">
              <w:t xml:space="preserve">).  </w:t>
            </w:r>
          </w:p>
          <w:p w:rsidR="00AC5167" w:rsidRPr="00D35CC4" w:rsidRDefault="00AC5167" w:rsidP="00AC5167">
            <w:pPr>
              <w:pStyle w:val="01BSCCParagraphbodystyle"/>
            </w:pPr>
            <w:r w:rsidRPr="00D35CC4">
              <w:t xml:space="preserve">Responsibility for compliance rests with the contracted organisation which should have a named senior manager, identified in the Safeguarding Policy, to whom all allegations should be initially referred. </w:t>
            </w:r>
          </w:p>
          <w:p w:rsidR="00AC5167" w:rsidRPr="00AC5167" w:rsidRDefault="00AC5167" w:rsidP="00AC5167">
            <w:pPr>
              <w:ind w:right="-416"/>
              <w:rPr>
                <w:b/>
                <w:noProof/>
                <w:sz w:val="22"/>
                <w:szCs w:val="22"/>
                <w:lang w:eastAsia="en-GB"/>
              </w:rPr>
            </w:pPr>
            <w:r w:rsidRPr="00AC5167">
              <w:rPr>
                <w:b/>
                <w:noProof/>
                <w:sz w:val="22"/>
                <w:szCs w:val="22"/>
                <w:lang w:eastAsia="en-GB"/>
              </w:rPr>
              <w:t>Whistle Blowing</w:t>
            </w:r>
          </w:p>
          <w:p w:rsidR="00AC5167" w:rsidRPr="00D35CC4" w:rsidRDefault="00AC5167" w:rsidP="00AC5167">
            <w:pPr>
              <w:pStyle w:val="01BSCCParagraphbodystyle"/>
            </w:pPr>
            <w:r w:rsidRPr="00D35CC4">
              <w:t xml:space="preserve">Safeguarding concerns about colleagues or managers may be difficult for staff to </w:t>
            </w:r>
            <w:proofErr w:type="gramStart"/>
            <w:r w:rsidRPr="00D35CC4">
              <w:t>raise</w:t>
            </w:r>
            <w:proofErr w:type="gramEnd"/>
            <w:r w:rsidRPr="00D35CC4">
              <w:t xml:space="preserve"> because of potential repercussions. External commissioned services shall have their own internal whistle blowing procedures in line with the Council’s own, and their staff should be aware of these procedures. </w:t>
            </w:r>
          </w:p>
          <w:p w:rsidR="00AC5167" w:rsidRPr="00AC5167" w:rsidRDefault="00AC5167" w:rsidP="00AC5167">
            <w:pPr>
              <w:ind w:right="-416"/>
              <w:rPr>
                <w:b/>
                <w:noProof/>
                <w:sz w:val="22"/>
                <w:szCs w:val="22"/>
                <w:lang w:eastAsia="en-GB"/>
              </w:rPr>
            </w:pPr>
            <w:r w:rsidRPr="00AC5167">
              <w:rPr>
                <w:b/>
                <w:noProof/>
                <w:sz w:val="22"/>
                <w:szCs w:val="22"/>
                <w:lang w:eastAsia="en-GB"/>
              </w:rPr>
              <w:t>Monitoring Arrangements</w:t>
            </w:r>
          </w:p>
          <w:p w:rsidR="00AC5167" w:rsidRPr="00847C3E" w:rsidRDefault="00AC5167" w:rsidP="00AC5167">
            <w:pPr>
              <w:pStyle w:val="01B1CCBulletTextLevel1"/>
              <w:rPr>
                <w:b/>
              </w:rPr>
            </w:pPr>
            <w:r w:rsidRPr="00847C3E">
              <w:t>The Commissioning Body may monitor the safeguarding arrangements of Contractors should it be felt necessary</w:t>
            </w:r>
          </w:p>
          <w:p w:rsidR="00AC5167" w:rsidRPr="00847C3E" w:rsidRDefault="00AC5167" w:rsidP="00AC5167">
            <w:pPr>
              <w:pStyle w:val="01B1CCBulletTextLevel1"/>
              <w:rPr>
                <w:b/>
              </w:rPr>
            </w:pPr>
            <w:r w:rsidRPr="00847C3E">
              <w:t>All Contractors’ policies shall be regularly reviewed and updated to ensure they capture the most recent and in-force guidance, compliance and legislative requirements</w:t>
            </w:r>
          </w:p>
          <w:p w:rsidR="00AC5167" w:rsidRDefault="00AC5167" w:rsidP="00AC5167">
            <w:pPr>
              <w:pStyle w:val="01B1CCBulletTextLevel1"/>
              <w:rPr>
                <w:b/>
              </w:rPr>
            </w:pPr>
            <w:r w:rsidRPr="00847C3E">
              <w:t xml:space="preserve">Further safeguarding checks may be undertaken and information requested from the </w:t>
            </w:r>
            <w:r w:rsidR="00D827F3">
              <w:t>Supplier</w:t>
            </w:r>
            <w:r w:rsidRPr="00847C3E">
              <w:t xml:space="preserve"> as the Commissioning Body deems appropriate</w:t>
            </w:r>
          </w:p>
          <w:p w:rsidR="0043474B" w:rsidRPr="00FD4874" w:rsidRDefault="00AC5167" w:rsidP="00FD4874">
            <w:pPr>
              <w:pStyle w:val="01B1CCBulletTextLevel1"/>
            </w:pPr>
            <w:r w:rsidRPr="00AC5167">
              <w:t>The Contractor shall forward any statutory safeguarding report[s] to the Commissioning Body within 48 hours of such a report being created and/or received by the Contractor.</w:t>
            </w:r>
          </w:p>
        </w:tc>
      </w:tr>
    </w:tbl>
    <w:p w:rsidR="00C06A31" w:rsidRDefault="00C06A31" w:rsidP="00C06A31"/>
    <w:p w:rsidR="00692DB8" w:rsidRDefault="00D5070E" w:rsidP="00D5070E">
      <w:pPr>
        <w:pStyle w:val="Heading1"/>
      </w:pPr>
      <w:bookmarkStart w:id="24" w:name="_Toc451437147"/>
      <w:r>
        <w:lastRenderedPageBreak/>
        <w:t>Contract Monitoring</w:t>
      </w:r>
      <w:bookmarkEnd w:id="24"/>
    </w:p>
    <w:p w:rsidR="00692DB8" w:rsidRDefault="00692DB8"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596792">
            <w:pPr>
              <w:pStyle w:val="Heading2"/>
            </w:pPr>
            <w:bookmarkStart w:id="25" w:name="_Toc451437148"/>
            <w:r>
              <w:t>Monitoring</w:t>
            </w:r>
            <w:bookmarkEnd w:id="25"/>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AE79B0" w:rsidRPr="00FD4874" w:rsidRDefault="00D5070E" w:rsidP="00AE79B0">
            <w:pPr>
              <w:pStyle w:val="Bullets"/>
              <w:numPr>
                <w:ilvl w:val="0"/>
                <w:numId w:val="0"/>
              </w:numPr>
              <w:spacing w:after="0" w:line="240" w:lineRule="auto"/>
              <w:jc w:val="both"/>
              <w:rPr>
                <w:rFonts w:ascii="Verdana" w:hAnsi="Verdana" w:cs="Arial"/>
                <w:sz w:val="22"/>
                <w:szCs w:val="22"/>
              </w:rPr>
            </w:pPr>
            <w:r w:rsidRPr="005B65E1">
              <w:rPr>
                <w:rFonts w:ascii="Verdana" w:hAnsi="Verdana" w:cs="Arial"/>
                <w:sz w:val="22"/>
                <w:szCs w:val="22"/>
              </w:rPr>
              <w:t xml:space="preserve">The </w:t>
            </w:r>
            <w:r>
              <w:rPr>
                <w:rFonts w:ascii="Verdana" w:hAnsi="Verdana" w:cs="Arial"/>
                <w:sz w:val="22"/>
                <w:szCs w:val="22"/>
              </w:rPr>
              <w:t>Service</w:t>
            </w:r>
            <w:r w:rsidRPr="005B65E1">
              <w:rPr>
                <w:rFonts w:ascii="Verdana" w:hAnsi="Verdana" w:cs="Arial"/>
                <w:sz w:val="22"/>
                <w:szCs w:val="22"/>
              </w:rPr>
              <w:t xml:space="preserve"> will be formally reviewed by </w:t>
            </w:r>
            <w:r w:rsidR="00186EE4">
              <w:rPr>
                <w:rFonts w:ascii="Verdana" w:hAnsi="Verdana" w:cs="Arial"/>
                <w:sz w:val="22"/>
                <w:szCs w:val="22"/>
              </w:rPr>
              <w:t>the Council</w:t>
            </w:r>
            <w:r>
              <w:rPr>
                <w:rFonts w:cs="Arial"/>
                <w:sz w:val="22"/>
                <w:szCs w:val="22"/>
              </w:rPr>
              <w:t xml:space="preserve"> </w:t>
            </w:r>
            <w:r>
              <w:rPr>
                <w:rFonts w:ascii="Verdana" w:hAnsi="Verdana" w:cs="Arial"/>
                <w:sz w:val="22"/>
                <w:szCs w:val="22"/>
              </w:rPr>
              <w:t>during the Contract P</w:t>
            </w:r>
            <w:r w:rsidR="00AE79B0">
              <w:rPr>
                <w:rFonts w:ascii="Verdana" w:hAnsi="Verdana" w:cs="Arial"/>
                <w:sz w:val="22"/>
                <w:szCs w:val="22"/>
              </w:rPr>
              <w:t xml:space="preserve">eriod and will include compliance, safeguarding, quality, performance, key performance indicators, performance outcomes, and service review. </w:t>
            </w:r>
          </w:p>
        </w:tc>
      </w:tr>
    </w:tbl>
    <w:p w:rsidR="00EF3974" w:rsidRDefault="00EF3974"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D5070E">
            <w:pPr>
              <w:pStyle w:val="Heading2"/>
            </w:pPr>
            <w:bookmarkStart w:id="26" w:name="_Toc451437149"/>
            <w:r>
              <w:t>Contract Compliance</w:t>
            </w:r>
            <w:bookmarkEnd w:id="26"/>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0121A3" w:rsidRPr="00FD4874" w:rsidRDefault="00AE79B0" w:rsidP="000121A3">
            <w:pPr>
              <w:spacing w:before="0" w:after="0"/>
              <w:jc w:val="both"/>
              <w:rPr>
                <w:rFonts w:cs="Arial"/>
                <w:sz w:val="22"/>
                <w:szCs w:val="22"/>
              </w:rPr>
            </w:pPr>
            <w:r>
              <w:rPr>
                <w:rFonts w:cs="Arial"/>
                <w:sz w:val="22"/>
                <w:szCs w:val="22"/>
              </w:rPr>
              <w:t>An a</w:t>
            </w:r>
            <w:r w:rsidR="00D5070E" w:rsidRPr="005B65E1">
              <w:rPr>
                <w:rFonts w:cs="Arial"/>
                <w:sz w:val="22"/>
                <w:szCs w:val="22"/>
              </w:rPr>
              <w:t>nnual check of all contract compliance requirements</w:t>
            </w:r>
            <w:r>
              <w:rPr>
                <w:rFonts w:cs="Arial"/>
                <w:sz w:val="22"/>
                <w:szCs w:val="22"/>
              </w:rPr>
              <w:t xml:space="preserve"> will be carried out by the Council.</w:t>
            </w:r>
          </w:p>
        </w:tc>
      </w:tr>
    </w:tbl>
    <w:p w:rsidR="00EF3974" w:rsidRDefault="00EF3974"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D5070E">
            <w:pPr>
              <w:pStyle w:val="Heading2"/>
            </w:pPr>
            <w:bookmarkStart w:id="27" w:name="_Toc451437150"/>
            <w:r>
              <w:t>Safeguarding</w:t>
            </w:r>
            <w:bookmarkEnd w:id="27"/>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AE79B0" w:rsidRDefault="00D5070E" w:rsidP="00596792">
            <w:pPr>
              <w:pStyle w:val="Bullets"/>
              <w:numPr>
                <w:ilvl w:val="0"/>
                <w:numId w:val="0"/>
              </w:numPr>
              <w:spacing w:after="0" w:line="240" w:lineRule="auto"/>
              <w:ind w:left="227" w:hanging="227"/>
              <w:jc w:val="both"/>
              <w:rPr>
                <w:rFonts w:cs="Arial"/>
                <w:sz w:val="22"/>
                <w:szCs w:val="22"/>
              </w:rPr>
            </w:pPr>
            <w:r w:rsidRPr="005B65E1">
              <w:rPr>
                <w:rFonts w:ascii="Verdana" w:hAnsi="Verdana" w:cs="Arial"/>
                <w:sz w:val="22"/>
                <w:szCs w:val="22"/>
              </w:rPr>
              <w:t>An annual audit of safeguarding practice plus quart</w:t>
            </w:r>
            <w:r>
              <w:rPr>
                <w:rFonts w:cs="Arial"/>
                <w:sz w:val="22"/>
                <w:szCs w:val="22"/>
              </w:rPr>
              <w:t>erly monitoring of safeguarding</w:t>
            </w:r>
            <w:r w:rsidR="00AE79B0">
              <w:rPr>
                <w:rFonts w:cs="Arial"/>
                <w:sz w:val="22"/>
                <w:szCs w:val="22"/>
              </w:rPr>
              <w:t xml:space="preserve"> will take</w:t>
            </w:r>
          </w:p>
          <w:p w:rsidR="00D5070E" w:rsidRPr="00FD4874" w:rsidRDefault="003B520B" w:rsidP="00FD4874">
            <w:pPr>
              <w:pStyle w:val="Bullets"/>
              <w:numPr>
                <w:ilvl w:val="0"/>
                <w:numId w:val="0"/>
              </w:numPr>
              <w:spacing w:after="0" w:line="240" w:lineRule="auto"/>
              <w:ind w:left="227" w:hanging="227"/>
              <w:jc w:val="both"/>
              <w:rPr>
                <w:rFonts w:ascii="Verdana" w:hAnsi="Verdana" w:cs="Arial"/>
                <w:sz w:val="22"/>
                <w:szCs w:val="22"/>
              </w:rPr>
            </w:pPr>
            <w:r>
              <w:rPr>
                <w:rFonts w:cs="Arial"/>
                <w:sz w:val="22"/>
                <w:szCs w:val="22"/>
              </w:rPr>
              <w:t>Place</w:t>
            </w:r>
            <w:r w:rsidR="00AE79B0">
              <w:rPr>
                <w:rFonts w:cs="Arial"/>
                <w:sz w:val="22"/>
                <w:szCs w:val="22"/>
              </w:rPr>
              <w:t xml:space="preserve"> by the Council. </w:t>
            </w:r>
            <w:r w:rsidR="00D5070E">
              <w:rPr>
                <w:rFonts w:ascii="Verdana" w:hAnsi="Verdana" w:cs="Arial"/>
                <w:sz w:val="22"/>
                <w:szCs w:val="22"/>
              </w:rPr>
              <w:t xml:space="preserve"> </w:t>
            </w:r>
          </w:p>
        </w:tc>
      </w:tr>
    </w:tbl>
    <w:p w:rsidR="00D5070E" w:rsidRDefault="00D5070E"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D5070E">
            <w:pPr>
              <w:pStyle w:val="Heading2"/>
            </w:pPr>
            <w:bookmarkStart w:id="28" w:name="_Toc451437151"/>
            <w:r>
              <w:t>Quality</w:t>
            </w:r>
            <w:r w:rsidR="00F350BD">
              <w:t xml:space="preserve"> Audit</w:t>
            </w:r>
            <w:bookmarkEnd w:id="28"/>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3B520B" w:rsidRPr="00FD4874" w:rsidRDefault="003B520B" w:rsidP="00D04AA6">
            <w:pPr>
              <w:spacing w:before="0" w:after="0"/>
              <w:jc w:val="both"/>
              <w:rPr>
                <w:rFonts w:cs="Arial"/>
                <w:sz w:val="22"/>
                <w:szCs w:val="22"/>
              </w:rPr>
            </w:pPr>
            <w:r>
              <w:rPr>
                <w:rFonts w:cs="Arial"/>
                <w:sz w:val="22"/>
                <w:szCs w:val="22"/>
              </w:rPr>
              <w:t>An a</w:t>
            </w:r>
            <w:r w:rsidR="00D5070E" w:rsidRPr="005B65E1">
              <w:rPr>
                <w:rFonts w:cs="Arial"/>
                <w:sz w:val="22"/>
                <w:szCs w:val="22"/>
              </w:rPr>
              <w:t xml:space="preserve">nnual quality audit of the provision of </w:t>
            </w:r>
            <w:r w:rsidR="00D5070E">
              <w:rPr>
                <w:rFonts w:cs="Arial"/>
                <w:sz w:val="22"/>
                <w:szCs w:val="22"/>
              </w:rPr>
              <w:t>the Service</w:t>
            </w:r>
            <w:r w:rsidR="00D5070E" w:rsidRPr="005B65E1">
              <w:rPr>
                <w:rFonts w:cs="Arial"/>
                <w:sz w:val="22"/>
                <w:szCs w:val="22"/>
              </w:rPr>
              <w:t xml:space="preserve">, to include how the </w:t>
            </w:r>
            <w:r w:rsidR="00D5070E">
              <w:rPr>
                <w:rFonts w:cs="Arial"/>
                <w:sz w:val="22"/>
                <w:szCs w:val="22"/>
              </w:rPr>
              <w:t>Service</w:t>
            </w:r>
            <w:r w:rsidR="00D5070E" w:rsidRPr="005B65E1">
              <w:rPr>
                <w:rFonts w:cs="Arial"/>
                <w:sz w:val="22"/>
                <w:szCs w:val="22"/>
              </w:rPr>
              <w:t xml:space="preserve"> has complied with the above </w:t>
            </w:r>
            <w:r w:rsidR="00D5070E">
              <w:rPr>
                <w:rFonts w:cs="Arial"/>
                <w:sz w:val="22"/>
                <w:szCs w:val="22"/>
              </w:rPr>
              <w:t>Quality Characteristics</w:t>
            </w:r>
            <w:r>
              <w:rPr>
                <w:rFonts w:cs="Arial"/>
                <w:sz w:val="22"/>
                <w:szCs w:val="22"/>
              </w:rPr>
              <w:t xml:space="preserve">. </w:t>
            </w:r>
          </w:p>
        </w:tc>
      </w:tr>
    </w:tbl>
    <w:p w:rsidR="00D5070E" w:rsidRDefault="00D5070E" w:rsidP="005D12E2"/>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D5070E">
            <w:pPr>
              <w:pStyle w:val="Heading2"/>
            </w:pPr>
            <w:bookmarkStart w:id="29" w:name="_Toc451437152"/>
            <w:r>
              <w:t>Performance</w:t>
            </w:r>
            <w:bookmarkEnd w:id="29"/>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3B520B" w:rsidRDefault="003B520B" w:rsidP="003B520B">
            <w:pPr>
              <w:spacing w:before="0" w:after="0"/>
              <w:jc w:val="both"/>
              <w:rPr>
                <w:rFonts w:cs="Arial"/>
                <w:b/>
                <w:sz w:val="22"/>
                <w:szCs w:val="22"/>
              </w:rPr>
            </w:pPr>
            <w:r>
              <w:rPr>
                <w:rFonts w:cs="Arial"/>
                <w:sz w:val="22"/>
                <w:szCs w:val="22"/>
              </w:rPr>
              <w:t>The Council and the</w:t>
            </w:r>
            <w:r w:rsidR="00D5070E" w:rsidRPr="0054149C">
              <w:rPr>
                <w:rFonts w:cs="Arial"/>
                <w:sz w:val="22"/>
                <w:szCs w:val="22"/>
              </w:rPr>
              <w:t xml:space="preserve"> </w:t>
            </w:r>
            <w:r w:rsidR="00D5070E">
              <w:rPr>
                <w:rFonts w:cs="Arial"/>
                <w:sz w:val="22"/>
                <w:szCs w:val="22"/>
              </w:rPr>
              <w:t>Service Provider</w:t>
            </w:r>
            <w:r w:rsidR="00D5070E" w:rsidRPr="0054149C">
              <w:rPr>
                <w:rFonts w:cs="Arial"/>
                <w:sz w:val="22"/>
                <w:szCs w:val="22"/>
              </w:rPr>
              <w:t xml:space="preserve"> will work in partnership to assess the quality and performance of the </w:t>
            </w:r>
            <w:r w:rsidR="00D5070E">
              <w:rPr>
                <w:rFonts w:cs="Arial"/>
                <w:sz w:val="22"/>
                <w:szCs w:val="22"/>
              </w:rPr>
              <w:t>Service</w:t>
            </w:r>
            <w:r w:rsidR="00D5070E" w:rsidRPr="0054149C">
              <w:rPr>
                <w:rFonts w:cs="Arial"/>
                <w:sz w:val="22"/>
                <w:szCs w:val="22"/>
              </w:rPr>
              <w:t xml:space="preserve"> on </w:t>
            </w:r>
            <w:r w:rsidR="00D5070E" w:rsidRPr="00205BCF">
              <w:rPr>
                <w:rFonts w:cs="Arial"/>
                <w:sz w:val="22"/>
                <w:szCs w:val="22"/>
              </w:rPr>
              <w:t xml:space="preserve">a </w:t>
            </w:r>
            <w:r w:rsidR="00205BCF" w:rsidRPr="00205BCF">
              <w:rPr>
                <w:rFonts w:cs="Arial"/>
                <w:sz w:val="22"/>
                <w:szCs w:val="22"/>
              </w:rPr>
              <w:t xml:space="preserve">quarterly </w:t>
            </w:r>
            <w:r w:rsidR="00D5070E" w:rsidRPr="0054149C">
              <w:rPr>
                <w:rFonts w:cs="Arial"/>
                <w:sz w:val="22"/>
                <w:szCs w:val="22"/>
              </w:rPr>
              <w:t xml:space="preserve">basis. This will be achieved through quarterly contract monitoring meetings, agreed between </w:t>
            </w:r>
            <w:r w:rsidR="00D5070E">
              <w:rPr>
                <w:rFonts w:cs="Arial"/>
                <w:sz w:val="22"/>
                <w:szCs w:val="22"/>
              </w:rPr>
              <w:t xml:space="preserve">the </w:t>
            </w:r>
            <w:r>
              <w:rPr>
                <w:rFonts w:cs="Arial"/>
                <w:sz w:val="22"/>
                <w:szCs w:val="22"/>
              </w:rPr>
              <w:t xml:space="preserve">Council </w:t>
            </w:r>
            <w:r w:rsidR="00D5070E" w:rsidRPr="0054149C">
              <w:rPr>
                <w:rFonts w:cs="Arial"/>
                <w:sz w:val="22"/>
                <w:szCs w:val="22"/>
              </w:rPr>
              <w:t xml:space="preserve">and the </w:t>
            </w:r>
            <w:r w:rsidR="00D5070E">
              <w:rPr>
                <w:rFonts w:cs="Arial"/>
                <w:sz w:val="22"/>
                <w:szCs w:val="22"/>
              </w:rPr>
              <w:t>Service Provider</w:t>
            </w:r>
            <w:r w:rsidR="00D5070E" w:rsidRPr="0054149C">
              <w:rPr>
                <w:rFonts w:cs="Arial"/>
                <w:sz w:val="22"/>
                <w:szCs w:val="22"/>
              </w:rPr>
              <w:t xml:space="preserve">. </w:t>
            </w:r>
          </w:p>
          <w:p w:rsidR="003B520B" w:rsidRDefault="003B520B" w:rsidP="003B520B">
            <w:pPr>
              <w:spacing w:before="0" w:after="0"/>
              <w:jc w:val="both"/>
              <w:rPr>
                <w:rFonts w:cs="Arial"/>
                <w:b/>
                <w:sz w:val="22"/>
                <w:szCs w:val="22"/>
              </w:rPr>
            </w:pPr>
          </w:p>
          <w:p w:rsidR="00D5070E" w:rsidRDefault="00D5070E" w:rsidP="003B520B">
            <w:pPr>
              <w:spacing w:before="0" w:after="0"/>
              <w:jc w:val="both"/>
              <w:rPr>
                <w:rFonts w:cs="Arial"/>
                <w:sz w:val="22"/>
                <w:szCs w:val="22"/>
              </w:rPr>
            </w:pPr>
            <w:r w:rsidRPr="005B65E1">
              <w:rPr>
                <w:rFonts w:cs="Arial"/>
                <w:sz w:val="22"/>
                <w:szCs w:val="22"/>
              </w:rPr>
              <w:t xml:space="preserve">The </w:t>
            </w:r>
            <w:r>
              <w:rPr>
                <w:rFonts w:cs="Arial"/>
                <w:sz w:val="22"/>
                <w:szCs w:val="22"/>
              </w:rPr>
              <w:t>Service Provider</w:t>
            </w:r>
            <w:r w:rsidRPr="005B65E1">
              <w:rPr>
                <w:rFonts w:cs="Arial"/>
                <w:sz w:val="22"/>
                <w:szCs w:val="22"/>
              </w:rPr>
              <w:t xml:space="preserve"> will undertake a quarterly assessment of performance including:</w:t>
            </w:r>
          </w:p>
          <w:p w:rsidR="003B520B" w:rsidRPr="003B520B" w:rsidRDefault="003B520B" w:rsidP="003B520B">
            <w:pPr>
              <w:spacing w:before="0" w:after="0"/>
              <w:jc w:val="both"/>
              <w:rPr>
                <w:rFonts w:cs="Arial"/>
                <w:b/>
                <w:sz w:val="22"/>
                <w:szCs w:val="22"/>
              </w:rPr>
            </w:pPr>
          </w:p>
          <w:p w:rsidR="00D5070E" w:rsidRPr="00E67C41" w:rsidRDefault="00D5070E" w:rsidP="00D5070E">
            <w:pPr>
              <w:pStyle w:val="ListParagraph"/>
              <w:numPr>
                <w:ilvl w:val="0"/>
                <w:numId w:val="26"/>
              </w:numPr>
              <w:spacing w:after="120" w:line="240" w:lineRule="auto"/>
              <w:jc w:val="both"/>
              <w:rPr>
                <w:rFonts w:ascii="Verdana" w:hAnsi="Verdana" w:cs="Arial"/>
              </w:rPr>
            </w:pPr>
            <w:r w:rsidRPr="005B65E1">
              <w:rPr>
                <w:rFonts w:ascii="Verdana" w:hAnsi="Verdana" w:cs="Arial"/>
              </w:rPr>
              <w:t xml:space="preserve">Outputs delivered in accordance with the Key Performance Indicators set out in </w:t>
            </w:r>
            <w:r>
              <w:rPr>
                <w:rFonts w:ascii="Verdana" w:hAnsi="Verdana" w:cs="Arial"/>
              </w:rPr>
              <w:t>Service</w:t>
            </w:r>
            <w:r w:rsidRPr="005B65E1">
              <w:rPr>
                <w:rFonts w:ascii="Verdana" w:hAnsi="Verdana" w:cs="Arial"/>
              </w:rPr>
              <w:t xml:space="preserve"> Specification </w:t>
            </w:r>
            <w:r w:rsidRPr="00E67C41">
              <w:rPr>
                <w:rFonts w:ascii="Verdana" w:hAnsi="Verdana" w:cs="Arial"/>
              </w:rPr>
              <w:t xml:space="preserve">Condition </w:t>
            </w:r>
            <w:r w:rsidR="00E67C41" w:rsidRPr="00BC49B8">
              <w:rPr>
                <w:rFonts w:ascii="Verdana" w:hAnsi="Verdana" w:cs="Arial"/>
              </w:rPr>
              <w:t>9.6</w:t>
            </w:r>
            <w:r w:rsidRPr="00BC49B8">
              <w:rPr>
                <w:rFonts w:ascii="Verdana" w:hAnsi="Verdana" w:cs="Arial"/>
              </w:rPr>
              <w:t xml:space="preserve"> </w:t>
            </w:r>
          </w:p>
          <w:p w:rsidR="000121A3" w:rsidRPr="00904736" w:rsidRDefault="00D5070E" w:rsidP="00904736">
            <w:pPr>
              <w:pStyle w:val="ListParagraph"/>
              <w:numPr>
                <w:ilvl w:val="0"/>
                <w:numId w:val="26"/>
              </w:numPr>
              <w:spacing w:after="120" w:line="240" w:lineRule="auto"/>
              <w:jc w:val="both"/>
              <w:rPr>
                <w:rFonts w:ascii="Verdana" w:hAnsi="Verdana" w:cs="Arial"/>
              </w:rPr>
            </w:pPr>
            <w:r w:rsidRPr="00E67C41">
              <w:rPr>
                <w:rFonts w:ascii="Verdana" w:hAnsi="Verdana" w:cs="Arial"/>
              </w:rPr>
              <w:t xml:space="preserve">Outcomes delivered in accordance with the Key Performance Indicators set out in Service Specification Condition </w:t>
            </w:r>
            <w:r w:rsidR="00E67C41" w:rsidRPr="00BC49B8">
              <w:rPr>
                <w:rFonts w:ascii="Verdana" w:hAnsi="Verdana" w:cs="Arial"/>
              </w:rPr>
              <w:t>9.6</w:t>
            </w:r>
            <w:r w:rsidR="00904736">
              <w:rPr>
                <w:rFonts w:ascii="Verdana" w:hAnsi="Verdana" w:cs="Arial"/>
              </w:rPr>
              <w:t>.</w:t>
            </w:r>
          </w:p>
        </w:tc>
      </w:tr>
      <w:bookmarkEnd w:id="9"/>
    </w:tbl>
    <w:p w:rsidR="00E67C41" w:rsidRDefault="00E67C41" w:rsidP="00D5070E">
      <w:pPr>
        <w:spacing w:before="0" w:after="0"/>
        <w:jc w:val="both"/>
        <w:rPr>
          <w:rFonts w:cs="Arial"/>
          <w:bCs/>
          <w:sz w:val="22"/>
          <w:szCs w:val="22"/>
        </w:rPr>
        <w:sectPr w:rsidR="00E67C41">
          <w:headerReference w:type="default" r:id="rId16"/>
          <w:footerReference w:type="default" r:id="rId17"/>
          <w:pgSz w:w="11906" w:h="16838"/>
          <w:pgMar w:top="1440" w:right="1440" w:bottom="1440" w:left="1440" w:header="708" w:footer="708" w:gutter="0"/>
          <w:cols w:space="708"/>
          <w:docGrid w:linePitch="360"/>
        </w:sectPr>
      </w:pPr>
    </w:p>
    <w:p w:rsidR="00D5070E" w:rsidRDefault="00D5070E" w:rsidP="00D5070E">
      <w:pPr>
        <w:spacing w:before="0" w:after="0"/>
        <w:jc w:val="both"/>
        <w:rPr>
          <w:rFonts w:cs="Arial"/>
          <w:bCs/>
          <w:sz w:val="22"/>
          <w:szCs w:val="22"/>
        </w:rPr>
      </w:pP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66"/>
      </w:tblGrid>
      <w:tr w:rsidR="00D5070E" w:rsidRPr="00316A37" w:rsidTr="00BC49B8">
        <w:trPr>
          <w:trHeight w:val="57"/>
        </w:trPr>
        <w:tc>
          <w:tcPr>
            <w:tcW w:w="13466"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D5070E">
            <w:pPr>
              <w:pStyle w:val="Heading2"/>
            </w:pPr>
            <w:bookmarkStart w:id="30" w:name="_Toc451437153"/>
            <w:r>
              <w:t>Key Performance Indicators</w:t>
            </w:r>
            <w:bookmarkEnd w:id="30"/>
            <w:r w:rsidR="006D308C">
              <w:t xml:space="preserve"> / Performance Measures</w:t>
            </w:r>
          </w:p>
        </w:tc>
      </w:tr>
      <w:tr w:rsidR="00D5070E" w:rsidRPr="00CF4B4B" w:rsidTr="00BC49B8">
        <w:trPr>
          <w:trHeight w:val="57"/>
        </w:trPr>
        <w:tc>
          <w:tcPr>
            <w:tcW w:w="13466"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6D308C" w:rsidRDefault="006D308C" w:rsidP="00D5070E">
            <w:pPr>
              <w:spacing w:before="0" w:after="0"/>
              <w:jc w:val="both"/>
              <w:rPr>
                <w:rFonts w:cs="Arial"/>
                <w:sz w:val="22"/>
                <w:szCs w:val="22"/>
              </w:rPr>
            </w:pPr>
          </w:p>
          <w:p w:rsidR="006D308C" w:rsidRDefault="003B520B" w:rsidP="006D308C">
            <w:pPr>
              <w:spacing w:before="0" w:after="0"/>
              <w:jc w:val="both"/>
              <w:rPr>
                <w:rFonts w:cs="Arial"/>
                <w:b/>
                <w:sz w:val="22"/>
                <w:szCs w:val="22"/>
              </w:rPr>
            </w:pPr>
            <w:r>
              <w:rPr>
                <w:rFonts w:cs="Arial"/>
                <w:sz w:val="22"/>
                <w:szCs w:val="22"/>
              </w:rPr>
              <w:t xml:space="preserve">The Council </w:t>
            </w:r>
            <w:r w:rsidR="00D5070E" w:rsidRPr="005B65E1">
              <w:rPr>
                <w:rFonts w:cs="Arial"/>
                <w:sz w:val="22"/>
                <w:szCs w:val="22"/>
              </w:rPr>
              <w:t xml:space="preserve">will monitor the performance of the </w:t>
            </w:r>
            <w:r w:rsidR="00D5070E">
              <w:rPr>
                <w:rFonts w:cs="Arial"/>
                <w:sz w:val="22"/>
                <w:szCs w:val="22"/>
              </w:rPr>
              <w:t>Service</w:t>
            </w:r>
            <w:r w:rsidR="00D5070E" w:rsidRPr="005B65E1">
              <w:rPr>
                <w:rFonts w:cs="Arial"/>
                <w:sz w:val="22"/>
                <w:szCs w:val="22"/>
              </w:rPr>
              <w:t xml:space="preserve"> by evaluating the </w:t>
            </w:r>
            <w:r w:rsidR="00D5070E">
              <w:rPr>
                <w:rFonts w:cs="Arial"/>
                <w:sz w:val="22"/>
                <w:szCs w:val="22"/>
              </w:rPr>
              <w:t>input, output and outcomes</w:t>
            </w:r>
            <w:r w:rsidR="00D5070E" w:rsidRPr="005B65E1">
              <w:rPr>
                <w:rFonts w:cs="Arial"/>
                <w:sz w:val="22"/>
                <w:szCs w:val="22"/>
              </w:rPr>
              <w:t xml:space="preserve"> data presented through key performance indicators. </w:t>
            </w:r>
          </w:p>
          <w:p w:rsidR="006D308C" w:rsidRPr="006D308C" w:rsidRDefault="006D308C" w:rsidP="006D308C">
            <w:pPr>
              <w:spacing w:before="0" w:after="0"/>
              <w:jc w:val="both"/>
              <w:rPr>
                <w:rFonts w:cs="Arial"/>
                <w:b/>
                <w:sz w:val="22"/>
                <w:szCs w:val="22"/>
              </w:rPr>
            </w:pPr>
          </w:p>
          <w:tbl>
            <w:tblPr>
              <w:tblStyle w:val="TableGrid"/>
              <w:tblW w:w="0" w:type="auto"/>
              <w:tblLayout w:type="fixed"/>
              <w:tblLook w:val="04A0" w:firstRow="1" w:lastRow="0" w:firstColumn="1" w:lastColumn="0" w:noHBand="0" w:noVBand="1"/>
            </w:tblPr>
            <w:tblGrid>
              <w:gridCol w:w="7087"/>
              <w:gridCol w:w="4928"/>
            </w:tblGrid>
            <w:tr w:rsidR="005E25EA" w:rsidRPr="00A36AD0" w:rsidTr="00161E8D">
              <w:tc>
                <w:tcPr>
                  <w:tcW w:w="7087" w:type="dxa"/>
                </w:tcPr>
                <w:p w:rsidR="005E25EA" w:rsidRPr="00A36AD0" w:rsidRDefault="005E25EA" w:rsidP="00161E8D">
                  <w:pPr>
                    <w:rPr>
                      <w:szCs w:val="22"/>
                      <w:u w:val="single"/>
                    </w:rPr>
                  </w:pPr>
                  <w:r w:rsidRPr="00A36AD0">
                    <w:rPr>
                      <w:szCs w:val="22"/>
                      <w:u w:val="single"/>
                    </w:rPr>
                    <w:t>Key Performance Indicator</w:t>
                  </w:r>
                </w:p>
              </w:tc>
              <w:tc>
                <w:tcPr>
                  <w:tcW w:w="4928" w:type="dxa"/>
                </w:tcPr>
                <w:p w:rsidR="005E25EA" w:rsidRPr="00A36AD0" w:rsidRDefault="005E25EA" w:rsidP="005E25EA">
                  <w:pPr>
                    <w:pStyle w:val="ListParagraph"/>
                    <w:numPr>
                      <w:ilvl w:val="0"/>
                      <w:numId w:val="43"/>
                    </w:numPr>
                    <w:spacing w:before="120" w:after="240" w:line="360" w:lineRule="auto"/>
                    <w:jc w:val="both"/>
                    <w:rPr>
                      <w:rFonts w:ascii="Verdana" w:hAnsi="Verdana"/>
                    </w:rPr>
                  </w:pPr>
                  <w:r w:rsidRPr="00A36AD0">
                    <w:rPr>
                      <w:rFonts w:ascii="Verdana" w:hAnsi="Verdana"/>
                    </w:rPr>
                    <w:t>Customer Satisfaction Surveys</w:t>
                  </w:r>
                </w:p>
              </w:tc>
            </w:tr>
            <w:tr w:rsidR="005E25EA" w:rsidRPr="00A36AD0" w:rsidTr="00161E8D">
              <w:tc>
                <w:tcPr>
                  <w:tcW w:w="12015" w:type="dxa"/>
                  <w:gridSpan w:val="2"/>
                </w:tcPr>
                <w:p w:rsidR="005E25EA" w:rsidRPr="00A36AD0" w:rsidRDefault="005E25EA" w:rsidP="00161E8D">
                  <w:pPr>
                    <w:autoSpaceDE w:val="0"/>
                    <w:autoSpaceDN w:val="0"/>
                    <w:adjustRightInd w:val="0"/>
                    <w:spacing w:before="0" w:after="0"/>
                    <w:rPr>
                      <w:rFonts w:eastAsiaTheme="minorHAnsi" w:cs="TTBC16A5A8t00"/>
                      <w:color w:val="000000"/>
                      <w:szCs w:val="22"/>
                    </w:rPr>
                  </w:pPr>
                </w:p>
                <w:p w:rsidR="005E25EA" w:rsidRPr="00397AC9" w:rsidRDefault="005E25EA" w:rsidP="00161E8D">
                  <w:pPr>
                    <w:autoSpaceDE w:val="0"/>
                    <w:autoSpaceDN w:val="0"/>
                    <w:adjustRightInd w:val="0"/>
                    <w:spacing w:before="0" w:after="0"/>
                    <w:rPr>
                      <w:rFonts w:eastAsiaTheme="minorHAnsi" w:cs="TTBC16A5A8t00"/>
                      <w:b/>
                      <w:color w:val="000000"/>
                      <w:szCs w:val="22"/>
                      <w:u w:val="single"/>
                    </w:rPr>
                  </w:pPr>
                  <w:r w:rsidRPr="00397AC9">
                    <w:rPr>
                      <w:rFonts w:eastAsiaTheme="minorHAnsi" w:cs="TTBC16A5A8t00"/>
                      <w:b/>
                      <w:color w:val="000000"/>
                      <w:szCs w:val="22"/>
                      <w:u w:val="single"/>
                    </w:rPr>
                    <w:t>Outcome</w:t>
                  </w:r>
                </w:p>
                <w:p w:rsidR="005E25EA" w:rsidRPr="00427DB2" w:rsidRDefault="005E25EA" w:rsidP="00161E8D">
                  <w:pPr>
                    <w:autoSpaceDE w:val="0"/>
                    <w:autoSpaceDN w:val="0"/>
                    <w:adjustRightInd w:val="0"/>
                    <w:spacing w:before="0" w:after="0"/>
                    <w:rPr>
                      <w:rFonts w:eastAsiaTheme="minorHAnsi" w:cs="TTBC16A5A8t00"/>
                      <w:color w:val="000000"/>
                      <w:szCs w:val="22"/>
                      <w:u w:val="single"/>
                    </w:rPr>
                  </w:pPr>
                </w:p>
                <w:p w:rsidR="005E25EA" w:rsidRPr="00A36AD0" w:rsidRDefault="005E25EA" w:rsidP="00161E8D">
                  <w:pPr>
                    <w:autoSpaceDE w:val="0"/>
                    <w:autoSpaceDN w:val="0"/>
                    <w:adjustRightInd w:val="0"/>
                    <w:spacing w:before="0" w:after="0"/>
                    <w:rPr>
                      <w:rFonts w:eastAsiaTheme="minorHAnsi" w:cs="TTBC16ADB8t00"/>
                      <w:color w:val="000000"/>
                      <w:szCs w:val="22"/>
                    </w:rPr>
                  </w:pPr>
                  <w:r>
                    <w:rPr>
                      <w:rFonts w:eastAsiaTheme="minorHAnsi" w:cs="TTBC16ADB8t00"/>
                      <w:color w:val="000000"/>
                      <w:szCs w:val="22"/>
                    </w:rPr>
                    <w:t xml:space="preserve">The </w:t>
                  </w:r>
                  <w:r w:rsidR="00D827F3">
                    <w:rPr>
                      <w:rFonts w:eastAsiaTheme="minorHAnsi" w:cs="TTBC16ADB8t00"/>
                      <w:color w:val="000000"/>
                      <w:szCs w:val="22"/>
                    </w:rPr>
                    <w:t>Supplier</w:t>
                  </w:r>
                  <w:r>
                    <w:rPr>
                      <w:rFonts w:eastAsiaTheme="minorHAnsi" w:cs="TTBC16ADB8t00"/>
                      <w:color w:val="000000"/>
                      <w:szCs w:val="22"/>
                    </w:rPr>
                    <w:t xml:space="preserve"> offers all applicants</w:t>
                  </w:r>
                  <w:r w:rsidRPr="00A36AD0">
                    <w:rPr>
                      <w:rFonts w:eastAsiaTheme="minorHAnsi" w:cs="TTBC16ADB8t00"/>
                      <w:color w:val="000000"/>
                      <w:szCs w:val="22"/>
                    </w:rPr>
                    <w:t xml:space="preserve"> to wh</w:t>
                  </w:r>
                  <w:r>
                    <w:rPr>
                      <w:rFonts w:eastAsiaTheme="minorHAnsi" w:cs="TTBC16ADB8t00"/>
                      <w:color w:val="000000"/>
                      <w:szCs w:val="22"/>
                    </w:rPr>
                    <w:t>om it is delivering the Service to</w:t>
                  </w:r>
                  <w:r w:rsidRPr="00A36AD0">
                    <w:rPr>
                      <w:rFonts w:eastAsiaTheme="minorHAnsi" w:cs="TTBC16ADB8t00"/>
                      <w:color w:val="000000"/>
                      <w:szCs w:val="22"/>
                    </w:rPr>
                    <w:t xml:space="preserve"> with an opportuni</w:t>
                  </w:r>
                  <w:r>
                    <w:rPr>
                      <w:rFonts w:eastAsiaTheme="minorHAnsi" w:cs="TTBC16ADB8t00"/>
                      <w:color w:val="000000"/>
                      <w:szCs w:val="22"/>
                    </w:rPr>
                    <w:t>ty to feedback on the provision of the Service</w:t>
                  </w:r>
                  <w:r w:rsidRPr="00A36AD0">
                    <w:rPr>
                      <w:rFonts w:eastAsiaTheme="minorHAnsi" w:cs="TTBC16ADB8t00"/>
                      <w:color w:val="000000"/>
                      <w:szCs w:val="22"/>
                    </w:rPr>
                    <w:t xml:space="preserve"> by being encour</w:t>
                  </w:r>
                  <w:r>
                    <w:rPr>
                      <w:rFonts w:eastAsiaTheme="minorHAnsi" w:cs="TTBC16ADB8t00"/>
                      <w:color w:val="000000"/>
                      <w:szCs w:val="22"/>
                    </w:rPr>
                    <w:t>aged to complete a Survey at the end of their Independent Mobility Assessment.</w:t>
                  </w:r>
                </w:p>
                <w:p w:rsidR="005E25EA" w:rsidRPr="00A36AD0" w:rsidRDefault="005E25EA" w:rsidP="00161E8D">
                  <w:pPr>
                    <w:autoSpaceDE w:val="0"/>
                    <w:autoSpaceDN w:val="0"/>
                    <w:adjustRightInd w:val="0"/>
                    <w:spacing w:before="0" w:after="0"/>
                    <w:rPr>
                      <w:rFonts w:eastAsiaTheme="minorHAnsi" w:cs="TTBC16ADB8t00"/>
                      <w:color w:val="000000"/>
                      <w:szCs w:val="22"/>
                    </w:rPr>
                  </w:pPr>
                </w:p>
                <w:p w:rsidR="005E25EA" w:rsidRPr="00397AC9" w:rsidRDefault="005E25EA" w:rsidP="00161E8D">
                  <w:pPr>
                    <w:autoSpaceDE w:val="0"/>
                    <w:autoSpaceDN w:val="0"/>
                    <w:adjustRightInd w:val="0"/>
                    <w:spacing w:before="0" w:after="0"/>
                    <w:rPr>
                      <w:rFonts w:eastAsiaTheme="minorHAnsi" w:cs="TTBC16A5A8t00"/>
                      <w:b/>
                      <w:color w:val="000000"/>
                      <w:szCs w:val="22"/>
                      <w:u w:val="single"/>
                    </w:rPr>
                  </w:pPr>
                  <w:r w:rsidRPr="00397AC9">
                    <w:rPr>
                      <w:rFonts w:eastAsiaTheme="minorHAnsi" w:cs="TTBC16A5A8t00"/>
                      <w:b/>
                      <w:color w:val="000000"/>
                      <w:szCs w:val="22"/>
                      <w:u w:val="single"/>
                    </w:rPr>
                    <w:t>Measure Definition</w:t>
                  </w:r>
                </w:p>
                <w:p w:rsidR="005E25EA" w:rsidRPr="00427DB2" w:rsidRDefault="005E25EA" w:rsidP="00161E8D">
                  <w:pPr>
                    <w:autoSpaceDE w:val="0"/>
                    <w:autoSpaceDN w:val="0"/>
                    <w:adjustRightInd w:val="0"/>
                    <w:spacing w:before="0" w:after="0"/>
                    <w:rPr>
                      <w:rFonts w:eastAsiaTheme="minorHAnsi" w:cs="TTBC16A5A8t00"/>
                      <w:color w:val="000000"/>
                      <w:szCs w:val="22"/>
                      <w:u w:val="single"/>
                    </w:rPr>
                  </w:pPr>
                </w:p>
                <w:p w:rsidR="005E25EA" w:rsidRPr="00A36AD0" w:rsidRDefault="005E25EA" w:rsidP="00161E8D">
                  <w:pPr>
                    <w:autoSpaceDE w:val="0"/>
                    <w:autoSpaceDN w:val="0"/>
                    <w:adjustRightInd w:val="0"/>
                    <w:spacing w:before="0" w:after="0"/>
                    <w:rPr>
                      <w:rFonts w:eastAsiaTheme="minorHAnsi" w:cs="TTBC16ADB8t00"/>
                      <w:color w:val="000000"/>
                      <w:szCs w:val="22"/>
                    </w:rPr>
                  </w:pPr>
                  <w:r>
                    <w:rPr>
                      <w:rFonts w:eastAsiaTheme="minorHAnsi" w:cs="TTBC16ADB8t00"/>
                      <w:color w:val="000000"/>
                      <w:szCs w:val="22"/>
                    </w:rPr>
                    <w:t>After the first 12 months from the contract start date, the percentage of applicants</w:t>
                  </w:r>
                  <w:r w:rsidRPr="00A36AD0">
                    <w:rPr>
                      <w:rFonts w:eastAsiaTheme="minorHAnsi" w:cs="TTBC16ADB8t00"/>
                      <w:color w:val="000000"/>
                      <w:szCs w:val="22"/>
                    </w:rPr>
                    <w:t xml:space="preserve"> to whom th</w:t>
                  </w:r>
                  <w:r>
                    <w:rPr>
                      <w:rFonts w:eastAsiaTheme="minorHAnsi" w:cs="TTBC16ADB8t00"/>
                      <w:color w:val="000000"/>
                      <w:szCs w:val="22"/>
                    </w:rPr>
                    <w:t xml:space="preserve">e </w:t>
                  </w:r>
                  <w:r w:rsidR="00D827F3">
                    <w:rPr>
                      <w:rFonts w:eastAsiaTheme="minorHAnsi" w:cs="TTBC16ADB8t00"/>
                      <w:color w:val="000000"/>
                      <w:szCs w:val="22"/>
                    </w:rPr>
                    <w:t>Supplier</w:t>
                  </w:r>
                  <w:r w:rsidRPr="00A36AD0">
                    <w:rPr>
                      <w:rFonts w:eastAsiaTheme="minorHAnsi" w:cs="TTBC16ADB8t00"/>
                      <w:color w:val="000000"/>
                      <w:szCs w:val="22"/>
                    </w:rPr>
                    <w:t xml:space="preserve"> is delivering the Services who ha</w:t>
                  </w:r>
                  <w:r>
                    <w:rPr>
                      <w:rFonts w:eastAsiaTheme="minorHAnsi" w:cs="TTBC16ADB8t00"/>
                      <w:color w:val="000000"/>
                      <w:szCs w:val="22"/>
                    </w:rPr>
                    <w:t xml:space="preserve">ve been given an opportunity </w:t>
                  </w:r>
                  <w:r w:rsidRPr="00A36AD0">
                    <w:rPr>
                      <w:rFonts w:eastAsiaTheme="minorHAnsi" w:cs="TTBC16ADB8t00"/>
                      <w:color w:val="000000"/>
                      <w:szCs w:val="22"/>
                    </w:rPr>
                    <w:t>to provide feedback on the provision of the Services by com</w:t>
                  </w:r>
                  <w:r>
                    <w:rPr>
                      <w:rFonts w:eastAsiaTheme="minorHAnsi" w:cs="TTBC16ADB8t00"/>
                      <w:color w:val="000000"/>
                      <w:szCs w:val="22"/>
                    </w:rPr>
                    <w:t xml:space="preserve">pleting a Survey after each Independent Mobility Assessment. </w:t>
                  </w:r>
                </w:p>
                <w:p w:rsidR="005E25EA" w:rsidRPr="00A36AD0" w:rsidRDefault="005E25EA" w:rsidP="00161E8D">
                  <w:pPr>
                    <w:autoSpaceDE w:val="0"/>
                    <w:autoSpaceDN w:val="0"/>
                    <w:adjustRightInd w:val="0"/>
                    <w:spacing w:before="0" w:after="0"/>
                    <w:rPr>
                      <w:rFonts w:eastAsiaTheme="minorHAnsi" w:cs="TTBC16ADB8t00"/>
                      <w:color w:val="000000"/>
                      <w:szCs w:val="22"/>
                    </w:rPr>
                  </w:pPr>
                </w:p>
                <w:p w:rsidR="005E25EA" w:rsidRPr="00397AC9" w:rsidRDefault="005E25EA" w:rsidP="00161E8D">
                  <w:pPr>
                    <w:autoSpaceDE w:val="0"/>
                    <w:autoSpaceDN w:val="0"/>
                    <w:adjustRightInd w:val="0"/>
                    <w:spacing w:before="0" w:after="0"/>
                    <w:rPr>
                      <w:rFonts w:eastAsiaTheme="minorHAnsi" w:cs="TTBC16A5A8t00"/>
                      <w:b/>
                      <w:color w:val="000000"/>
                      <w:szCs w:val="22"/>
                      <w:u w:val="single"/>
                    </w:rPr>
                  </w:pPr>
                  <w:r w:rsidRPr="00397AC9">
                    <w:rPr>
                      <w:rFonts w:eastAsiaTheme="minorHAnsi" w:cs="TTBC16A5A8t00"/>
                      <w:b/>
                      <w:color w:val="000000"/>
                      <w:szCs w:val="22"/>
                      <w:u w:val="single"/>
                    </w:rPr>
                    <w:t>Target for Good Performance</w:t>
                  </w:r>
                </w:p>
                <w:p w:rsidR="005E25EA" w:rsidRPr="00427DB2" w:rsidRDefault="005E25EA" w:rsidP="00161E8D">
                  <w:pPr>
                    <w:autoSpaceDE w:val="0"/>
                    <w:autoSpaceDN w:val="0"/>
                    <w:adjustRightInd w:val="0"/>
                    <w:spacing w:before="0" w:after="0"/>
                    <w:rPr>
                      <w:rFonts w:eastAsiaTheme="minorHAnsi" w:cs="TTBC16A5A8t00"/>
                      <w:color w:val="000000"/>
                      <w:szCs w:val="22"/>
                      <w:u w:val="single"/>
                    </w:rPr>
                  </w:pPr>
                </w:p>
                <w:p w:rsidR="005E25EA" w:rsidRPr="00A36AD0" w:rsidRDefault="005E25EA" w:rsidP="00161E8D">
                  <w:pPr>
                    <w:autoSpaceDE w:val="0"/>
                    <w:autoSpaceDN w:val="0"/>
                    <w:adjustRightInd w:val="0"/>
                    <w:spacing w:before="0" w:after="0"/>
                    <w:rPr>
                      <w:rFonts w:eastAsiaTheme="minorHAnsi" w:cs="TTBC16ADB8t00"/>
                      <w:color w:val="000000"/>
                      <w:szCs w:val="22"/>
                    </w:rPr>
                  </w:pPr>
                  <w:r>
                    <w:rPr>
                      <w:rFonts w:eastAsiaTheme="minorHAnsi" w:cs="TTBC16ADB8t00"/>
                      <w:color w:val="000000"/>
                      <w:szCs w:val="22"/>
                    </w:rPr>
                    <w:t xml:space="preserve">The first 12 months of the contract shall be data collection and benchmarking purposes. There will be no targets set until the annual review. During that review, a target for good performance will be set by the Council, for the duration of the contract. </w:t>
                  </w:r>
                </w:p>
                <w:p w:rsidR="005E25EA" w:rsidRPr="00A36AD0" w:rsidRDefault="005E25EA" w:rsidP="00161E8D">
                  <w:pPr>
                    <w:autoSpaceDE w:val="0"/>
                    <w:autoSpaceDN w:val="0"/>
                    <w:adjustRightInd w:val="0"/>
                    <w:spacing w:before="0" w:after="0"/>
                    <w:rPr>
                      <w:rFonts w:eastAsiaTheme="minorHAnsi" w:cs="TTBC16ADB8t00"/>
                      <w:color w:val="000000"/>
                      <w:szCs w:val="22"/>
                    </w:rPr>
                  </w:pPr>
                </w:p>
                <w:p w:rsidR="005E25EA" w:rsidRPr="00397AC9" w:rsidRDefault="005E25EA" w:rsidP="00161E8D">
                  <w:pPr>
                    <w:autoSpaceDE w:val="0"/>
                    <w:autoSpaceDN w:val="0"/>
                    <w:adjustRightInd w:val="0"/>
                    <w:spacing w:before="0" w:after="0"/>
                    <w:rPr>
                      <w:rFonts w:eastAsiaTheme="minorHAnsi" w:cs="TTBC16A5A8t00"/>
                      <w:b/>
                      <w:color w:val="000000"/>
                      <w:szCs w:val="22"/>
                      <w:u w:val="single"/>
                    </w:rPr>
                  </w:pPr>
                  <w:r w:rsidRPr="00397AC9">
                    <w:rPr>
                      <w:rFonts w:eastAsiaTheme="minorHAnsi" w:cs="TTBC16A5A8t00"/>
                      <w:b/>
                      <w:color w:val="000000"/>
                      <w:szCs w:val="22"/>
                      <w:u w:val="single"/>
                    </w:rPr>
                    <w:t>Data Source</w:t>
                  </w:r>
                </w:p>
                <w:p w:rsidR="005E25EA" w:rsidRPr="00427DB2" w:rsidRDefault="005E25EA" w:rsidP="00161E8D">
                  <w:pPr>
                    <w:autoSpaceDE w:val="0"/>
                    <w:autoSpaceDN w:val="0"/>
                    <w:adjustRightInd w:val="0"/>
                    <w:spacing w:before="0" w:after="0"/>
                    <w:rPr>
                      <w:rFonts w:eastAsiaTheme="minorHAnsi" w:cs="TTBC16A5A8t00"/>
                      <w:color w:val="000000"/>
                      <w:szCs w:val="22"/>
                      <w:u w:val="single"/>
                    </w:rPr>
                  </w:pPr>
                </w:p>
                <w:p w:rsidR="005E25EA" w:rsidRPr="00A36AD0" w:rsidRDefault="005E25EA" w:rsidP="00161E8D">
                  <w:pPr>
                    <w:autoSpaceDE w:val="0"/>
                    <w:autoSpaceDN w:val="0"/>
                    <w:adjustRightInd w:val="0"/>
                    <w:spacing w:before="0" w:after="0"/>
                    <w:rPr>
                      <w:rFonts w:eastAsiaTheme="minorHAnsi" w:cs="TTBC16ADB8t00"/>
                      <w:color w:val="000000"/>
                      <w:szCs w:val="22"/>
                    </w:rPr>
                  </w:pPr>
                  <w:r>
                    <w:rPr>
                      <w:rFonts w:eastAsiaTheme="minorHAnsi" w:cs="TTBC16ADB8t00"/>
                      <w:color w:val="000000"/>
                      <w:szCs w:val="22"/>
                    </w:rPr>
                    <w:t xml:space="preserve">The </w:t>
                  </w:r>
                  <w:r w:rsidR="00D827F3">
                    <w:rPr>
                      <w:rFonts w:eastAsiaTheme="minorHAnsi" w:cs="TTBC16ADB8t00"/>
                      <w:color w:val="000000"/>
                      <w:szCs w:val="22"/>
                    </w:rPr>
                    <w:t>Supplier</w:t>
                  </w:r>
                  <w:r>
                    <w:rPr>
                      <w:rFonts w:eastAsiaTheme="minorHAnsi" w:cs="TTBC16ADB8t00"/>
                      <w:color w:val="000000"/>
                      <w:szCs w:val="22"/>
                    </w:rPr>
                    <w:t>’s</w:t>
                  </w:r>
                  <w:r w:rsidRPr="00A36AD0">
                    <w:rPr>
                      <w:rFonts w:eastAsiaTheme="minorHAnsi" w:cs="TTBC16ADB8t00"/>
                      <w:color w:val="000000"/>
                      <w:szCs w:val="22"/>
                    </w:rPr>
                    <w:t xml:space="preserve"> compliance with this KPI will be measured using data supp</w:t>
                  </w:r>
                  <w:r>
                    <w:rPr>
                      <w:rFonts w:eastAsiaTheme="minorHAnsi" w:cs="TTBC16ADB8t00"/>
                      <w:color w:val="000000"/>
                      <w:szCs w:val="22"/>
                    </w:rPr>
                    <w:t xml:space="preserve">lied by the </w:t>
                  </w:r>
                  <w:r w:rsidR="00D827F3">
                    <w:rPr>
                      <w:rFonts w:eastAsiaTheme="minorHAnsi" w:cs="TTBC16ADB8t00"/>
                      <w:color w:val="000000"/>
                      <w:szCs w:val="22"/>
                    </w:rPr>
                    <w:t>Supplier</w:t>
                  </w:r>
                  <w:r>
                    <w:rPr>
                      <w:rFonts w:eastAsiaTheme="minorHAnsi" w:cs="TTBC16ADB8t00"/>
                      <w:color w:val="000000"/>
                      <w:szCs w:val="22"/>
                    </w:rPr>
                    <w:t xml:space="preserve"> </w:t>
                  </w:r>
                  <w:r w:rsidRPr="00A36AD0">
                    <w:rPr>
                      <w:rFonts w:eastAsiaTheme="minorHAnsi" w:cs="TTBC16ADB8t00"/>
                      <w:color w:val="000000"/>
                      <w:szCs w:val="22"/>
                    </w:rPr>
                    <w:t xml:space="preserve">in the </w:t>
                  </w:r>
                  <w:r>
                    <w:rPr>
                      <w:rFonts w:eastAsiaTheme="minorHAnsi" w:cs="TTBC16ADB8t00"/>
                      <w:color w:val="000000"/>
                      <w:szCs w:val="22"/>
                    </w:rPr>
                    <w:t xml:space="preserve">Monitoring </w:t>
                  </w:r>
                  <w:r w:rsidRPr="00A36AD0">
                    <w:rPr>
                      <w:rFonts w:eastAsiaTheme="minorHAnsi" w:cs="TTBC16ADB8t00"/>
                      <w:color w:val="000000"/>
                      <w:szCs w:val="22"/>
                    </w:rPr>
                    <w:t>Workbook which it is required to complete and submit to the Council each Quarter.</w:t>
                  </w:r>
                </w:p>
                <w:p w:rsidR="005E25EA" w:rsidRPr="00A36AD0" w:rsidRDefault="005E25EA" w:rsidP="00161E8D">
                  <w:pPr>
                    <w:autoSpaceDE w:val="0"/>
                    <w:autoSpaceDN w:val="0"/>
                    <w:adjustRightInd w:val="0"/>
                    <w:spacing w:before="0" w:after="0"/>
                    <w:rPr>
                      <w:rFonts w:eastAsiaTheme="minorHAnsi" w:cs="TTBC16ADB8t00"/>
                      <w:color w:val="000000"/>
                      <w:szCs w:val="22"/>
                    </w:rPr>
                  </w:pPr>
                </w:p>
                <w:p w:rsidR="005E25EA" w:rsidRPr="00397AC9" w:rsidRDefault="005E25EA" w:rsidP="00161E8D">
                  <w:pPr>
                    <w:autoSpaceDE w:val="0"/>
                    <w:autoSpaceDN w:val="0"/>
                    <w:adjustRightInd w:val="0"/>
                    <w:spacing w:before="0" w:after="0"/>
                    <w:rPr>
                      <w:rFonts w:eastAsiaTheme="minorHAnsi" w:cs="TTBC16A5A8t00"/>
                      <w:b/>
                      <w:color w:val="000000"/>
                      <w:szCs w:val="22"/>
                      <w:u w:val="single"/>
                    </w:rPr>
                  </w:pPr>
                  <w:r w:rsidRPr="00397AC9">
                    <w:rPr>
                      <w:rFonts w:eastAsiaTheme="minorHAnsi" w:cs="TTBC16A5A8t00"/>
                      <w:b/>
                      <w:color w:val="000000"/>
                      <w:szCs w:val="22"/>
                      <w:u w:val="single"/>
                    </w:rPr>
                    <w:t>Definitions</w:t>
                  </w:r>
                </w:p>
                <w:p w:rsidR="005E25EA" w:rsidRPr="00427DB2" w:rsidRDefault="005E25EA" w:rsidP="00161E8D">
                  <w:pPr>
                    <w:autoSpaceDE w:val="0"/>
                    <w:autoSpaceDN w:val="0"/>
                    <w:adjustRightInd w:val="0"/>
                    <w:spacing w:before="0" w:after="0"/>
                    <w:rPr>
                      <w:rFonts w:eastAsiaTheme="minorHAnsi" w:cs="TTBC16A5A8t00"/>
                      <w:color w:val="000000"/>
                      <w:szCs w:val="22"/>
                      <w:u w:val="single"/>
                    </w:rPr>
                  </w:pPr>
                </w:p>
                <w:p w:rsidR="005E25EA" w:rsidRPr="00330546" w:rsidRDefault="005E25EA" w:rsidP="00161E8D">
                  <w:pPr>
                    <w:autoSpaceDE w:val="0"/>
                    <w:autoSpaceDN w:val="0"/>
                    <w:adjustRightInd w:val="0"/>
                    <w:spacing w:before="0" w:after="0"/>
                    <w:rPr>
                      <w:rFonts w:eastAsiaTheme="minorHAnsi" w:cs="TTBC16ADB8t00"/>
                      <w:szCs w:val="22"/>
                    </w:rPr>
                  </w:pPr>
                  <w:r w:rsidRPr="00427DB2">
                    <w:rPr>
                      <w:rFonts w:eastAsiaTheme="minorHAnsi" w:cs="TTBC16A5A8t00"/>
                      <w:szCs w:val="22"/>
                    </w:rPr>
                    <w:t xml:space="preserve">Survey - </w:t>
                  </w:r>
                  <w:r w:rsidRPr="00427DB2">
                    <w:rPr>
                      <w:rFonts w:eastAsiaTheme="minorHAnsi" w:cs="TTBC16ADB8t00"/>
                      <w:szCs w:val="22"/>
                    </w:rPr>
                    <w:t>means a</w:t>
                  </w:r>
                  <w:r>
                    <w:rPr>
                      <w:rFonts w:eastAsiaTheme="minorHAnsi" w:cs="TTBC16ADB8t00"/>
                      <w:szCs w:val="22"/>
                    </w:rPr>
                    <w:t>n</w:t>
                  </w:r>
                  <w:r w:rsidRPr="00427DB2">
                    <w:rPr>
                      <w:rFonts w:eastAsiaTheme="minorHAnsi" w:cs="TTBC16ADB8t00"/>
                      <w:szCs w:val="22"/>
                    </w:rPr>
                    <w:t xml:space="preserve"> </w:t>
                  </w:r>
                  <w:r>
                    <w:rPr>
                      <w:rFonts w:eastAsiaTheme="minorHAnsi" w:cs="TTBC16ADB8t00"/>
                      <w:szCs w:val="22"/>
                    </w:rPr>
                    <w:t>applicant</w:t>
                  </w:r>
                  <w:r w:rsidRPr="00427DB2">
                    <w:rPr>
                      <w:rFonts w:eastAsiaTheme="minorHAnsi" w:cs="TTBC16ADB8t00"/>
                      <w:szCs w:val="22"/>
                    </w:rPr>
                    <w:t xml:space="preserve"> survey set out in an easily accessible range of communication formats used to identif</w:t>
                  </w:r>
                  <w:r>
                    <w:rPr>
                      <w:rFonts w:eastAsiaTheme="minorHAnsi" w:cs="TTBC16ADB8t00"/>
                      <w:szCs w:val="22"/>
                    </w:rPr>
                    <w:t>y an Applicant</w:t>
                  </w:r>
                  <w:r w:rsidRPr="00427DB2">
                    <w:rPr>
                      <w:rFonts w:eastAsiaTheme="minorHAnsi" w:cs="TTBC16ADB8t00"/>
                      <w:szCs w:val="22"/>
                    </w:rPr>
                    <w:t>'s level of satisfaction with the provi</w:t>
                  </w:r>
                  <w:r>
                    <w:rPr>
                      <w:rFonts w:eastAsiaTheme="minorHAnsi" w:cs="TTBC16ADB8t00"/>
                      <w:szCs w:val="22"/>
                    </w:rPr>
                    <w:t>sion of the Services.</w:t>
                  </w:r>
                </w:p>
                <w:p w:rsidR="005E25EA" w:rsidRPr="00427DB2" w:rsidRDefault="005E25EA" w:rsidP="00161E8D">
                  <w:pPr>
                    <w:autoSpaceDE w:val="0"/>
                    <w:autoSpaceDN w:val="0"/>
                    <w:adjustRightInd w:val="0"/>
                    <w:spacing w:before="0" w:after="0"/>
                    <w:rPr>
                      <w:rFonts w:eastAsiaTheme="minorHAnsi" w:cs="TTBC16ADB8t00"/>
                      <w:color w:val="000000"/>
                      <w:szCs w:val="22"/>
                    </w:rPr>
                  </w:pPr>
                </w:p>
              </w:tc>
            </w:tr>
          </w:tbl>
          <w:p w:rsidR="005E25EA" w:rsidRDefault="005E25EA" w:rsidP="005E25EA">
            <w:pPr>
              <w:rPr>
                <w:szCs w:val="22"/>
              </w:rPr>
            </w:pPr>
          </w:p>
          <w:p w:rsidR="006D308C" w:rsidRPr="00A36AD0" w:rsidRDefault="006D308C" w:rsidP="005E25EA">
            <w:pPr>
              <w:rPr>
                <w:szCs w:val="22"/>
              </w:rPr>
            </w:pPr>
          </w:p>
          <w:tbl>
            <w:tblPr>
              <w:tblStyle w:val="TableGrid"/>
              <w:tblW w:w="0" w:type="auto"/>
              <w:tblLayout w:type="fixed"/>
              <w:tblLook w:val="04A0" w:firstRow="1" w:lastRow="0" w:firstColumn="1" w:lastColumn="0" w:noHBand="0" w:noVBand="1"/>
            </w:tblPr>
            <w:tblGrid>
              <w:gridCol w:w="7087"/>
              <w:gridCol w:w="4928"/>
            </w:tblGrid>
            <w:tr w:rsidR="005E25EA" w:rsidRPr="00A36AD0" w:rsidTr="00161E8D">
              <w:tc>
                <w:tcPr>
                  <w:tcW w:w="7087" w:type="dxa"/>
                </w:tcPr>
                <w:p w:rsidR="005E25EA" w:rsidRPr="00A36AD0" w:rsidRDefault="005E25EA" w:rsidP="00161E8D">
                  <w:pPr>
                    <w:rPr>
                      <w:szCs w:val="22"/>
                      <w:u w:val="single"/>
                    </w:rPr>
                  </w:pPr>
                  <w:r w:rsidRPr="00A36AD0">
                    <w:rPr>
                      <w:szCs w:val="22"/>
                      <w:u w:val="single"/>
                    </w:rPr>
                    <w:t>Key Performance Indicator</w:t>
                  </w:r>
                </w:p>
              </w:tc>
              <w:tc>
                <w:tcPr>
                  <w:tcW w:w="4928" w:type="dxa"/>
                </w:tcPr>
                <w:p w:rsidR="005E25EA" w:rsidRPr="00A36AD0" w:rsidRDefault="005E25EA" w:rsidP="005E25EA">
                  <w:pPr>
                    <w:pStyle w:val="ListParagraph"/>
                    <w:numPr>
                      <w:ilvl w:val="0"/>
                      <w:numId w:val="43"/>
                    </w:numPr>
                    <w:spacing w:before="120" w:after="240" w:line="360" w:lineRule="auto"/>
                    <w:jc w:val="both"/>
                    <w:rPr>
                      <w:rFonts w:ascii="Verdana" w:hAnsi="Verdana"/>
                    </w:rPr>
                  </w:pPr>
                  <w:r w:rsidRPr="00A36AD0">
                    <w:rPr>
                      <w:rFonts w:ascii="Verdana" w:hAnsi="Verdana"/>
                    </w:rPr>
                    <w:t>Data Breaches</w:t>
                  </w:r>
                </w:p>
              </w:tc>
            </w:tr>
            <w:tr w:rsidR="005E25EA" w:rsidRPr="00A36AD0" w:rsidTr="00161E8D">
              <w:tc>
                <w:tcPr>
                  <w:tcW w:w="12015" w:type="dxa"/>
                  <w:gridSpan w:val="2"/>
                </w:tcPr>
                <w:p w:rsidR="005E25EA" w:rsidRPr="00A36AD0" w:rsidRDefault="005E25EA" w:rsidP="00161E8D">
                  <w:pPr>
                    <w:autoSpaceDE w:val="0"/>
                    <w:autoSpaceDN w:val="0"/>
                    <w:adjustRightInd w:val="0"/>
                    <w:spacing w:before="0" w:after="0"/>
                    <w:rPr>
                      <w:rFonts w:eastAsiaTheme="minorHAnsi" w:cs="TTBC16A5A8t00"/>
                      <w:color w:val="0000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Outcome</w:t>
                  </w:r>
                </w:p>
                <w:p w:rsidR="005E25EA" w:rsidRPr="001E322F" w:rsidRDefault="005E25EA" w:rsidP="00161E8D">
                  <w:pPr>
                    <w:autoSpaceDE w:val="0"/>
                    <w:autoSpaceDN w:val="0"/>
                    <w:adjustRightInd w:val="0"/>
                    <w:spacing w:before="0" w:after="0"/>
                    <w:rPr>
                      <w:rFonts w:eastAsiaTheme="minorHAnsi" w:cs="TTBC16A5A8t00"/>
                      <w:szCs w:val="22"/>
                      <w:u w:val="single"/>
                    </w:rPr>
                  </w:pPr>
                </w:p>
                <w:p w:rsidR="005E25EA" w:rsidRPr="00A36AD0" w:rsidRDefault="005E25EA" w:rsidP="00161E8D">
                  <w:pPr>
                    <w:autoSpaceDE w:val="0"/>
                    <w:autoSpaceDN w:val="0"/>
                    <w:adjustRightInd w:val="0"/>
                    <w:spacing w:before="0" w:after="0"/>
                    <w:rPr>
                      <w:rFonts w:eastAsiaTheme="minorHAnsi" w:cs="TTBC16ADB8t00"/>
                      <w:szCs w:val="22"/>
                    </w:rPr>
                  </w:pPr>
                  <w:r>
                    <w:rPr>
                      <w:rFonts w:eastAsiaTheme="minorHAnsi" w:cs="TTBC16ADB8t00"/>
                      <w:szCs w:val="22"/>
                    </w:rPr>
                    <w:t xml:space="preserve">The </w:t>
                  </w:r>
                  <w:r w:rsidR="00D827F3">
                    <w:rPr>
                      <w:rFonts w:eastAsiaTheme="minorHAnsi" w:cs="TTBC16ADB8t00"/>
                      <w:szCs w:val="22"/>
                    </w:rPr>
                    <w:t>Supplier</w:t>
                  </w:r>
                  <w:r>
                    <w:rPr>
                      <w:rFonts w:eastAsiaTheme="minorHAnsi" w:cs="TTBC16ADB8t00"/>
                      <w:szCs w:val="22"/>
                    </w:rPr>
                    <w:t xml:space="preserve"> </w:t>
                  </w:r>
                  <w:r w:rsidRPr="00A36AD0">
                    <w:rPr>
                      <w:rFonts w:eastAsiaTheme="minorHAnsi" w:cs="TTBC16ADB8t00"/>
                      <w:szCs w:val="22"/>
                    </w:rPr>
                    <w:t>implements appropriate measures to protect Personal Information (as defined in the Data Protection</w:t>
                  </w:r>
                </w:p>
                <w:p w:rsidR="005E25EA" w:rsidRPr="00A36AD0" w:rsidRDefault="005E25EA" w:rsidP="00161E8D">
                  <w:pPr>
                    <w:autoSpaceDE w:val="0"/>
                    <w:autoSpaceDN w:val="0"/>
                    <w:adjustRightInd w:val="0"/>
                    <w:spacing w:before="0" w:after="0"/>
                    <w:rPr>
                      <w:rFonts w:eastAsiaTheme="minorHAnsi" w:cs="TTBC16ADB8t00"/>
                      <w:szCs w:val="22"/>
                    </w:rPr>
                  </w:pPr>
                  <w:r w:rsidRPr="00A36AD0">
                    <w:rPr>
                      <w:rFonts w:eastAsiaTheme="minorHAnsi" w:cs="TTBC16ADB8t00"/>
                      <w:szCs w:val="22"/>
                    </w:rPr>
                    <w:t>Legislation) so as t</w:t>
                  </w:r>
                  <w:r>
                    <w:rPr>
                      <w:rFonts w:eastAsiaTheme="minorHAnsi" w:cs="TTBC16ADB8t00"/>
                      <w:szCs w:val="22"/>
                    </w:rPr>
                    <w:t xml:space="preserve">o ensure that all applicants </w:t>
                  </w:r>
                  <w:r w:rsidRPr="00A36AD0">
                    <w:rPr>
                      <w:rFonts w:eastAsiaTheme="minorHAnsi" w:cs="TTBC16ADB8t00"/>
                      <w:szCs w:val="22"/>
                    </w:rPr>
                    <w:t>are safeguarded.</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Measure Definition</w:t>
                  </w:r>
                </w:p>
                <w:p w:rsidR="005E25EA" w:rsidRPr="001E322F" w:rsidRDefault="005E25EA" w:rsidP="00161E8D">
                  <w:pPr>
                    <w:autoSpaceDE w:val="0"/>
                    <w:autoSpaceDN w:val="0"/>
                    <w:adjustRightInd w:val="0"/>
                    <w:spacing w:before="0" w:after="0"/>
                    <w:rPr>
                      <w:rFonts w:eastAsiaTheme="minorHAnsi" w:cs="TTBC16A5A8t00"/>
                      <w:szCs w:val="22"/>
                      <w:u w:val="single"/>
                    </w:rPr>
                  </w:pPr>
                </w:p>
                <w:p w:rsidR="005E25EA" w:rsidRPr="00A36AD0" w:rsidRDefault="005E25EA" w:rsidP="00161E8D">
                  <w:pPr>
                    <w:autoSpaceDE w:val="0"/>
                    <w:autoSpaceDN w:val="0"/>
                    <w:adjustRightInd w:val="0"/>
                    <w:spacing w:before="0" w:after="0"/>
                    <w:rPr>
                      <w:rFonts w:eastAsiaTheme="minorHAnsi" w:cs="TTBC16ADB8t00"/>
                      <w:szCs w:val="22"/>
                    </w:rPr>
                  </w:pPr>
                  <w:r w:rsidRPr="00A36AD0">
                    <w:rPr>
                      <w:rFonts w:eastAsiaTheme="minorHAnsi" w:cs="TTBC16ADB8t00"/>
                      <w:szCs w:val="22"/>
                    </w:rPr>
                    <w:t>The total number of reported Data Breaches in each Quarter.</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Target for Good Performance</w:t>
                  </w:r>
                </w:p>
                <w:p w:rsidR="005E25EA" w:rsidRPr="001E322F" w:rsidRDefault="005E25EA" w:rsidP="00161E8D">
                  <w:pPr>
                    <w:autoSpaceDE w:val="0"/>
                    <w:autoSpaceDN w:val="0"/>
                    <w:adjustRightInd w:val="0"/>
                    <w:spacing w:before="0" w:after="0"/>
                    <w:rPr>
                      <w:rFonts w:eastAsiaTheme="minorHAnsi" w:cs="TTBC16A5A8t00"/>
                      <w:szCs w:val="22"/>
                      <w:u w:val="single"/>
                    </w:rPr>
                  </w:pPr>
                </w:p>
                <w:p w:rsidR="005E25EA" w:rsidRPr="00A36AD0" w:rsidRDefault="005E25EA" w:rsidP="00161E8D">
                  <w:pPr>
                    <w:autoSpaceDE w:val="0"/>
                    <w:autoSpaceDN w:val="0"/>
                    <w:adjustRightInd w:val="0"/>
                    <w:spacing w:before="0" w:after="0"/>
                    <w:rPr>
                      <w:rFonts w:eastAsiaTheme="minorHAnsi" w:cs="TTBC16ADB8t00"/>
                      <w:szCs w:val="22"/>
                    </w:rPr>
                  </w:pPr>
                  <w:r>
                    <w:rPr>
                      <w:rFonts w:eastAsiaTheme="minorHAnsi" w:cs="TTBC16ADB8t00"/>
                      <w:szCs w:val="22"/>
                    </w:rPr>
                    <w:t xml:space="preserve">The </w:t>
                  </w:r>
                  <w:r w:rsidR="00D827F3">
                    <w:rPr>
                      <w:rFonts w:eastAsiaTheme="minorHAnsi" w:cs="TTBC16ADB8t00"/>
                      <w:szCs w:val="22"/>
                    </w:rPr>
                    <w:t>Supplier</w:t>
                  </w:r>
                  <w:r w:rsidRPr="00A36AD0">
                    <w:rPr>
                      <w:rFonts w:eastAsiaTheme="minorHAnsi" w:cs="TTBC16ADB8t00"/>
                      <w:szCs w:val="22"/>
                    </w:rPr>
                    <w:t xml:space="preserve"> has zero (0) Data Breaches in any Quarter.</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Data Source</w:t>
                  </w:r>
                </w:p>
                <w:p w:rsidR="005E25EA" w:rsidRPr="001E322F" w:rsidRDefault="005E25EA" w:rsidP="00161E8D">
                  <w:pPr>
                    <w:autoSpaceDE w:val="0"/>
                    <w:autoSpaceDN w:val="0"/>
                    <w:adjustRightInd w:val="0"/>
                    <w:spacing w:before="0" w:after="0"/>
                    <w:rPr>
                      <w:rFonts w:eastAsiaTheme="minorHAnsi" w:cs="TTBC16A5A8t00"/>
                      <w:szCs w:val="22"/>
                      <w:u w:val="single"/>
                    </w:rPr>
                  </w:pPr>
                </w:p>
                <w:p w:rsidR="005E25EA" w:rsidRPr="00A36AD0" w:rsidRDefault="005E25EA" w:rsidP="00161E8D">
                  <w:pPr>
                    <w:autoSpaceDE w:val="0"/>
                    <w:autoSpaceDN w:val="0"/>
                    <w:adjustRightInd w:val="0"/>
                    <w:spacing w:before="0" w:after="0"/>
                    <w:rPr>
                      <w:rFonts w:eastAsiaTheme="minorHAnsi" w:cs="TTBC16ADB8t00"/>
                      <w:szCs w:val="22"/>
                    </w:rPr>
                  </w:pPr>
                  <w:r>
                    <w:rPr>
                      <w:rFonts w:eastAsiaTheme="minorHAnsi" w:cs="TTBC16ADB8t00"/>
                      <w:szCs w:val="22"/>
                    </w:rPr>
                    <w:t xml:space="preserve">The </w:t>
                  </w:r>
                  <w:r w:rsidR="00D827F3">
                    <w:rPr>
                      <w:rFonts w:eastAsiaTheme="minorHAnsi" w:cs="TTBC16ADB8t00"/>
                      <w:szCs w:val="22"/>
                    </w:rPr>
                    <w:t>Supplier</w:t>
                  </w:r>
                  <w:r w:rsidRPr="00A36AD0">
                    <w:rPr>
                      <w:rFonts w:eastAsiaTheme="minorHAnsi" w:cs="TTBC16ADB8t00"/>
                      <w:szCs w:val="22"/>
                    </w:rPr>
                    <w:t xml:space="preserve">'s compliance with this KPI will be measured </w:t>
                  </w:r>
                  <w:r>
                    <w:rPr>
                      <w:rFonts w:eastAsiaTheme="minorHAnsi" w:cs="TTBC16ADB8t00"/>
                      <w:szCs w:val="22"/>
                    </w:rPr>
                    <w:t xml:space="preserve">using data supplied by the </w:t>
                  </w:r>
                  <w:r w:rsidR="00D827F3">
                    <w:rPr>
                      <w:rFonts w:eastAsiaTheme="minorHAnsi" w:cs="TTBC16ADB8t00"/>
                      <w:szCs w:val="22"/>
                    </w:rPr>
                    <w:t>Supplier</w:t>
                  </w:r>
                  <w:r w:rsidRPr="00A36AD0">
                    <w:rPr>
                      <w:rFonts w:eastAsiaTheme="minorHAnsi" w:cs="TTBC16ADB8t00"/>
                      <w:szCs w:val="22"/>
                    </w:rPr>
                    <w:t xml:space="preserve"> in the</w:t>
                  </w:r>
                </w:p>
                <w:p w:rsidR="005E25EA" w:rsidRPr="00A36AD0" w:rsidRDefault="005E25EA" w:rsidP="00161E8D">
                  <w:pPr>
                    <w:autoSpaceDE w:val="0"/>
                    <w:autoSpaceDN w:val="0"/>
                    <w:adjustRightInd w:val="0"/>
                    <w:spacing w:before="0" w:after="0"/>
                    <w:rPr>
                      <w:rFonts w:eastAsiaTheme="minorHAnsi" w:cs="TTBC16ADB8t00"/>
                      <w:szCs w:val="22"/>
                    </w:rPr>
                  </w:pPr>
                  <w:r w:rsidRPr="00A36AD0">
                    <w:rPr>
                      <w:rFonts w:eastAsiaTheme="minorHAnsi" w:cs="TTBC16ADB8t00"/>
                      <w:szCs w:val="22"/>
                    </w:rPr>
                    <w:t>Monitoring Workbook which it is required to complete and submit to the Council each Qu</w:t>
                  </w:r>
                  <w:r>
                    <w:rPr>
                      <w:rFonts w:eastAsiaTheme="minorHAnsi" w:cs="TTBC16ADB8t00"/>
                      <w:szCs w:val="22"/>
                    </w:rPr>
                    <w:t xml:space="preserve">arter. </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tabs>
                      <w:tab w:val="left" w:pos="1770"/>
                    </w:tabs>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Definitions</w:t>
                  </w:r>
                </w:p>
                <w:p w:rsidR="005E25EA" w:rsidRPr="001E322F" w:rsidRDefault="005E25EA" w:rsidP="00161E8D">
                  <w:pPr>
                    <w:tabs>
                      <w:tab w:val="left" w:pos="1770"/>
                    </w:tabs>
                    <w:autoSpaceDE w:val="0"/>
                    <w:autoSpaceDN w:val="0"/>
                    <w:adjustRightInd w:val="0"/>
                    <w:spacing w:before="0" w:after="0"/>
                    <w:rPr>
                      <w:rFonts w:eastAsiaTheme="minorHAnsi" w:cs="TTBC16A5A8t00"/>
                      <w:szCs w:val="22"/>
                      <w:u w:val="single"/>
                    </w:rPr>
                  </w:pPr>
                </w:p>
                <w:p w:rsidR="005E25EA" w:rsidRPr="001E322F" w:rsidRDefault="005E25EA" w:rsidP="00161E8D">
                  <w:pPr>
                    <w:autoSpaceDE w:val="0"/>
                    <w:autoSpaceDN w:val="0"/>
                    <w:adjustRightInd w:val="0"/>
                    <w:spacing w:before="0" w:after="0"/>
                    <w:rPr>
                      <w:rFonts w:eastAsiaTheme="minorHAnsi" w:cs="TTBC16ADB8t00"/>
                      <w:szCs w:val="22"/>
                    </w:rPr>
                  </w:pPr>
                  <w:r w:rsidRPr="00A36AD0">
                    <w:rPr>
                      <w:rFonts w:eastAsiaTheme="minorHAnsi" w:cs="TTBC16A5A8t00"/>
                      <w:szCs w:val="22"/>
                    </w:rPr>
                    <w:t xml:space="preserve">Data Breach - </w:t>
                  </w:r>
                  <w:r w:rsidRPr="00A36AD0">
                    <w:rPr>
                      <w:rFonts w:eastAsiaTheme="minorHAnsi" w:cs="TTBC16ADB8t00"/>
                      <w:szCs w:val="22"/>
                    </w:rPr>
                    <w:t>means an incident in which sensitive, protected or confidential inform</w:t>
                  </w:r>
                  <w:r>
                    <w:rPr>
                      <w:rFonts w:eastAsiaTheme="minorHAnsi" w:cs="TTBC16ADB8t00"/>
                      <w:szCs w:val="22"/>
                    </w:rPr>
                    <w:t xml:space="preserve">ation has not been sufficiently </w:t>
                  </w:r>
                  <w:r w:rsidRPr="00A36AD0">
                    <w:rPr>
                      <w:rFonts w:eastAsiaTheme="minorHAnsi" w:cs="TTBC16ADB8t00"/>
                      <w:szCs w:val="22"/>
                    </w:rPr>
                    <w:t>p</w:t>
                  </w:r>
                  <w:r>
                    <w:rPr>
                      <w:rFonts w:eastAsiaTheme="minorHAnsi" w:cs="TTBC16ADB8t00"/>
                      <w:szCs w:val="22"/>
                    </w:rPr>
                    <w:t xml:space="preserve">rotected by the </w:t>
                  </w:r>
                  <w:r w:rsidR="00D827F3">
                    <w:rPr>
                      <w:rFonts w:eastAsiaTheme="minorHAnsi" w:cs="TTBC16ADB8t00"/>
                      <w:szCs w:val="22"/>
                    </w:rPr>
                    <w:t>Supplier</w:t>
                  </w:r>
                  <w:r w:rsidRPr="00A36AD0">
                    <w:rPr>
                      <w:rFonts w:eastAsiaTheme="minorHAnsi" w:cs="TTBC16ADB8t00"/>
                      <w:szCs w:val="22"/>
                    </w:rPr>
                    <w:t xml:space="preserve"> and that there is a risk such information has be</w:t>
                  </w:r>
                  <w:r>
                    <w:rPr>
                      <w:rFonts w:eastAsiaTheme="minorHAnsi" w:cs="TTBC16ADB8t00"/>
                      <w:szCs w:val="22"/>
                    </w:rPr>
                    <w:t xml:space="preserve">en viewed, stolen or used by an </w:t>
                  </w:r>
                  <w:r w:rsidRPr="00A36AD0">
                    <w:rPr>
                      <w:rFonts w:eastAsiaTheme="minorHAnsi" w:cs="TTBC16ADB8t00"/>
                      <w:szCs w:val="22"/>
                    </w:rPr>
                    <w:t>individual unauthorised to do so. For the avoidance of doubt, any Data Breaches may i</w:t>
                  </w:r>
                  <w:r>
                    <w:rPr>
                      <w:rFonts w:eastAsiaTheme="minorHAnsi" w:cs="TTBC16ADB8t00"/>
                      <w:szCs w:val="22"/>
                    </w:rPr>
                    <w:t xml:space="preserve">nvolve any Personal Information relating to an Applicant, such as </w:t>
                  </w:r>
                  <w:r w:rsidRPr="00A36AD0">
                    <w:rPr>
                      <w:rFonts w:eastAsiaTheme="minorHAnsi" w:cs="TTBC16ADB8t00"/>
                      <w:szCs w:val="22"/>
                    </w:rPr>
                    <w:t>health</w:t>
                  </w:r>
                  <w:r>
                    <w:rPr>
                      <w:rFonts w:eastAsiaTheme="minorHAnsi" w:cs="TTBC16ADB8t00"/>
                      <w:szCs w:val="22"/>
                    </w:rPr>
                    <w:t xml:space="preserve"> i</w:t>
                  </w:r>
                  <w:r w:rsidRPr="002C53FE">
                    <w:rPr>
                      <w:rFonts w:eastAsiaTheme="minorHAnsi" w:cs="TTBC16ADB8t00"/>
                      <w:szCs w:val="22"/>
                    </w:rPr>
                    <w:t xml:space="preserve">nformation, any information which personally </w:t>
                  </w:r>
                  <w:r>
                    <w:rPr>
                      <w:rFonts w:eastAsiaTheme="minorHAnsi" w:cs="TTBC16ADB8t00"/>
                      <w:szCs w:val="22"/>
                    </w:rPr>
                    <w:t xml:space="preserve">identifies an individual or any </w:t>
                  </w:r>
                  <w:r w:rsidRPr="002C53FE">
                    <w:rPr>
                      <w:rFonts w:eastAsiaTheme="minorHAnsi" w:cs="TTBC16ADB8t00"/>
                      <w:szCs w:val="22"/>
                    </w:rPr>
                    <w:t>trade secrets or intellectual property.</w:t>
                  </w:r>
                </w:p>
                <w:p w:rsidR="005E25EA" w:rsidRPr="00A36AD0" w:rsidRDefault="005E25EA" w:rsidP="00161E8D">
                  <w:pPr>
                    <w:autoSpaceDE w:val="0"/>
                    <w:autoSpaceDN w:val="0"/>
                    <w:adjustRightInd w:val="0"/>
                    <w:spacing w:before="0" w:after="0"/>
                    <w:rPr>
                      <w:i/>
                      <w:szCs w:val="22"/>
                    </w:rPr>
                  </w:pPr>
                </w:p>
              </w:tc>
            </w:tr>
          </w:tbl>
          <w:p w:rsidR="006D308C" w:rsidRPr="00A36AD0" w:rsidRDefault="006D308C" w:rsidP="005E25EA">
            <w:pPr>
              <w:rPr>
                <w:szCs w:val="22"/>
              </w:rPr>
            </w:pPr>
          </w:p>
          <w:tbl>
            <w:tblPr>
              <w:tblStyle w:val="TableGrid"/>
              <w:tblW w:w="0" w:type="auto"/>
              <w:tblLayout w:type="fixed"/>
              <w:tblLook w:val="04A0" w:firstRow="1" w:lastRow="0" w:firstColumn="1" w:lastColumn="0" w:noHBand="0" w:noVBand="1"/>
            </w:tblPr>
            <w:tblGrid>
              <w:gridCol w:w="7087"/>
              <w:gridCol w:w="4928"/>
            </w:tblGrid>
            <w:tr w:rsidR="005E25EA" w:rsidRPr="00A36AD0" w:rsidTr="00161E8D">
              <w:tc>
                <w:tcPr>
                  <w:tcW w:w="7087" w:type="dxa"/>
                </w:tcPr>
                <w:p w:rsidR="005E25EA" w:rsidRPr="00A36AD0" w:rsidRDefault="005E25EA" w:rsidP="00161E8D">
                  <w:pPr>
                    <w:rPr>
                      <w:szCs w:val="22"/>
                      <w:u w:val="single"/>
                    </w:rPr>
                  </w:pPr>
                  <w:r w:rsidRPr="00A36AD0">
                    <w:rPr>
                      <w:szCs w:val="22"/>
                      <w:u w:val="single"/>
                    </w:rPr>
                    <w:t>Key Performance Indicator</w:t>
                  </w:r>
                </w:p>
              </w:tc>
              <w:tc>
                <w:tcPr>
                  <w:tcW w:w="4928" w:type="dxa"/>
                </w:tcPr>
                <w:p w:rsidR="005E25EA" w:rsidRPr="00A36AD0" w:rsidRDefault="005E25EA" w:rsidP="005E25EA">
                  <w:pPr>
                    <w:pStyle w:val="ListParagraph"/>
                    <w:numPr>
                      <w:ilvl w:val="0"/>
                      <w:numId w:val="43"/>
                    </w:numPr>
                    <w:spacing w:before="120" w:after="240" w:line="360" w:lineRule="auto"/>
                    <w:jc w:val="both"/>
                    <w:rPr>
                      <w:rFonts w:ascii="Verdana" w:hAnsi="Verdana"/>
                    </w:rPr>
                  </w:pPr>
                  <w:r w:rsidRPr="00A36AD0">
                    <w:rPr>
                      <w:rFonts w:ascii="Verdana" w:hAnsi="Verdana"/>
                    </w:rPr>
                    <w:t>Record Keeping and Reporting</w:t>
                  </w:r>
                </w:p>
              </w:tc>
            </w:tr>
            <w:tr w:rsidR="005E25EA" w:rsidRPr="00A36AD0" w:rsidTr="00161E8D">
              <w:tc>
                <w:tcPr>
                  <w:tcW w:w="12015" w:type="dxa"/>
                  <w:gridSpan w:val="2"/>
                </w:tcPr>
                <w:p w:rsidR="005E25EA" w:rsidRPr="00A36AD0" w:rsidRDefault="005E25EA" w:rsidP="00161E8D">
                  <w:pPr>
                    <w:autoSpaceDE w:val="0"/>
                    <w:autoSpaceDN w:val="0"/>
                    <w:adjustRightInd w:val="0"/>
                    <w:spacing w:before="0" w:after="0"/>
                    <w:rPr>
                      <w:rFonts w:eastAsiaTheme="minorHAnsi" w:cs="TTBC16A5A8t00"/>
                      <w:color w:val="0000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Outcome</w:t>
                  </w:r>
                </w:p>
                <w:p w:rsidR="005E25EA" w:rsidRPr="002C53FE" w:rsidRDefault="005E25EA" w:rsidP="00161E8D">
                  <w:pPr>
                    <w:autoSpaceDE w:val="0"/>
                    <w:autoSpaceDN w:val="0"/>
                    <w:adjustRightInd w:val="0"/>
                    <w:spacing w:before="0" w:after="0"/>
                    <w:rPr>
                      <w:rFonts w:eastAsiaTheme="minorHAnsi" w:cs="TTBC16A5A8t00"/>
                      <w:szCs w:val="22"/>
                      <w:u w:val="single"/>
                    </w:rPr>
                  </w:pPr>
                </w:p>
                <w:p w:rsidR="005E25EA" w:rsidRPr="00A36AD0" w:rsidRDefault="005E25EA" w:rsidP="00161E8D">
                  <w:pPr>
                    <w:autoSpaceDE w:val="0"/>
                    <w:autoSpaceDN w:val="0"/>
                    <w:adjustRightInd w:val="0"/>
                    <w:spacing w:before="0" w:after="0"/>
                    <w:rPr>
                      <w:rFonts w:eastAsiaTheme="minorHAnsi" w:cs="TTBC16ADB8t00"/>
                      <w:szCs w:val="22"/>
                    </w:rPr>
                  </w:pPr>
                  <w:r>
                    <w:rPr>
                      <w:rFonts w:eastAsiaTheme="minorHAnsi" w:cs="TTBC16ADB8t00"/>
                      <w:szCs w:val="22"/>
                    </w:rPr>
                    <w:t xml:space="preserve">The </w:t>
                  </w:r>
                  <w:r w:rsidR="00D827F3">
                    <w:rPr>
                      <w:rFonts w:eastAsiaTheme="minorHAnsi" w:cs="TTBC16ADB8t00"/>
                      <w:szCs w:val="22"/>
                    </w:rPr>
                    <w:t>Supplier</w:t>
                  </w:r>
                  <w:r w:rsidRPr="00A36AD0">
                    <w:rPr>
                      <w:rFonts w:eastAsiaTheme="minorHAnsi" w:cs="TTBC16ADB8t00"/>
                      <w:szCs w:val="22"/>
                    </w:rPr>
                    <w:t xml:space="preserve"> provides accurate and true data to the Council in a timely manner so </w:t>
                  </w:r>
                  <w:r>
                    <w:rPr>
                      <w:rFonts w:eastAsiaTheme="minorHAnsi" w:cs="TTBC16ADB8t00"/>
                      <w:szCs w:val="22"/>
                    </w:rPr>
                    <w:t xml:space="preserve">as to ensure that it is working </w:t>
                  </w:r>
                  <w:r w:rsidRPr="00A36AD0">
                    <w:rPr>
                      <w:rFonts w:eastAsiaTheme="minorHAnsi" w:cs="TTBC16ADB8t00"/>
                      <w:szCs w:val="22"/>
                    </w:rPr>
                    <w:t>with the Council to improve the quality of the Services being delivered.</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Measure Definition</w:t>
                  </w:r>
                </w:p>
                <w:p w:rsidR="005E25EA" w:rsidRPr="002C53FE" w:rsidRDefault="005E25EA" w:rsidP="00161E8D">
                  <w:pPr>
                    <w:autoSpaceDE w:val="0"/>
                    <w:autoSpaceDN w:val="0"/>
                    <w:adjustRightInd w:val="0"/>
                    <w:spacing w:before="0" w:after="0"/>
                    <w:rPr>
                      <w:rFonts w:eastAsiaTheme="minorHAnsi" w:cs="TTBC16A5A8t00"/>
                      <w:szCs w:val="22"/>
                      <w:u w:val="single"/>
                    </w:rPr>
                  </w:pPr>
                </w:p>
                <w:p w:rsidR="005E25EA" w:rsidRPr="00A36AD0" w:rsidRDefault="007A0A12" w:rsidP="00161E8D">
                  <w:pPr>
                    <w:autoSpaceDE w:val="0"/>
                    <w:autoSpaceDN w:val="0"/>
                    <w:adjustRightInd w:val="0"/>
                    <w:spacing w:before="0" w:after="0"/>
                    <w:rPr>
                      <w:rFonts w:eastAsiaTheme="minorHAnsi" w:cs="TTBC16ADB8t00"/>
                      <w:szCs w:val="22"/>
                    </w:rPr>
                  </w:pPr>
                  <w:r>
                    <w:rPr>
                      <w:rFonts w:eastAsiaTheme="minorHAnsi" w:cs="TTBC16ADB8t00"/>
                      <w:szCs w:val="22"/>
                    </w:rPr>
                    <w:t>Completed w</w:t>
                  </w:r>
                  <w:r w:rsidR="005E25EA" w:rsidRPr="00A36AD0">
                    <w:rPr>
                      <w:rFonts w:eastAsiaTheme="minorHAnsi" w:cs="TTBC16ADB8t00"/>
                      <w:szCs w:val="22"/>
                    </w:rPr>
                    <w:t>orkbooks submitted after the dea</w:t>
                  </w:r>
                  <w:r>
                    <w:rPr>
                      <w:rFonts w:eastAsiaTheme="minorHAnsi" w:cs="TTBC16ADB8t00"/>
                      <w:szCs w:val="22"/>
                    </w:rPr>
                    <w:t xml:space="preserve">dlines, agreed at the initial set-up meeting(s), of the specification. </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Target for Good Performance</w:t>
                  </w:r>
                </w:p>
                <w:p w:rsidR="005E25EA" w:rsidRDefault="005E25EA" w:rsidP="00161E8D">
                  <w:pPr>
                    <w:autoSpaceDE w:val="0"/>
                    <w:autoSpaceDN w:val="0"/>
                    <w:adjustRightInd w:val="0"/>
                    <w:spacing w:before="0" w:after="0"/>
                    <w:rPr>
                      <w:rFonts w:eastAsiaTheme="minorHAnsi" w:cs="TTBC16ADB8t00"/>
                      <w:szCs w:val="22"/>
                    </w:rPr>
                  </w:pPr>
                </w:p>
                <w:p w:rsidR="005E25EA" w:rsidRPr="002C53FE" w:rsidRDefault="007A0A12" w:rsidP="00161E8D">
                  <w:pPr>
                    <w:autoSpaceDE w:val="0"/>
                    <w:autoSpaceDN w:val="0"/>
                    <w:adjustRightInd w:val="0"/>
                    <w:spacing w:before="0" w:after="0"/>
                    <w:rPr>
                      <w:rFonts w:eastAsiaTheme="minorHAnsi" w:cs="TTBC16A5A8t00"/>
                      <w:szCs w:val="22"/>
                    </w:rPr>
                  </w:pPr>
                  <w:r>
                    <w:rPr>
                      <w:rFonts w:eastAsiaTheme="minorHAnsi" w:cs="TTBC16ADB8t00"/>
                      <w:szCs w:val="22"/>
                    </w:rPr>
                    <w:t>There are zero (0) w</w:t>
                  </w:r>
                  <w:r w:rsidR="005E25EA" w:rsidRPr="00A36AD0">
                    <w:rPr>
                      <w:rFonts w:eastAsiaTheme="minorHAnsi" w:cs="TTBC16ADB8t00"/>
                      <w:szCs w:val="22"/>
                    </w:rPr>
                    <w:t>orkbooks submitted after the deadlines</w:t>
                  </w:r>
                  <w:r>
                    <w:rPr>
                      <w:rFonts w:eastAsiaTheme="minorHAnsi" w:cs="TTBC16ADB8t00"/>
                      <w:szCs w:val="22"/>
                    </w:rPr>
                    <w:t xml:space="preserve"> set out and agreed during the initial set-up meeting, </w:t>
                  </w:r>
                  <w:r w:rsidR="005E25EA" w:rsidRPr="00A36AD0">
                    <w:rPr>
                      <w:rFonts w:eastAsiaTheme="minorHAnsi" w:cs="TTBC16ADB8t00"/>
                      <w:szCs w:val="22"/>
                    </w:rPr>
                    <w:t>of the Specification</w:t>
                  </w:r>
                  <w:r w:rsidR="005E25EA">
                    <w:rPr>
                      <w:rFonts w:eastAsiaTheme="minorHAnsi" w:cs="TTBC16A5A8t00"/>
                      <w:szCs w:val="22"/>
                    </w:rPr>
                    <w:t xml:space="preserve"> </w:t>
                  </w:r>
                  <w:r w:rsidR="005E25EA" w:rsidRPr="00A36AD0">
                    <w:rPr>
                      <w:rFonts w:eastAsiaTheme="minorHAnsi" w:cs="TTBC16ADB8t00"/>
                      <w:szCs w:val="22"/>
                    </w:rPr>
                    <w:t>or not at all.</w:t>
                  </w:r>
                </w:p>
                <w:p w:rsidR="005E25EA" w:rsidRDefault="005E25EA" w:rsidP="00161E8D">
                  <w:pPr>
                    <w:autoSpaceDE w:val="0"/>
                    <w:autoSpaceDN w:val="0"/>
                    <w:adjustRightInd w:val="0"/>
                    <w:spacing w:before="0" w:after="0"/>
                    <w:rPr>
                      <w:rFonts w:eastAsiaTheme="minorHAnsi" w:cs="TTBC16A5A8t00"/>
                      <w:szCs w:val="22"/>
                    </w:rPr>
                  </w:pPr>
                </w:p>
                <w:p w:rsidR="005E25EA" w:rsidRPr="00CD2A60" w:rsidRDefault="005E25EA" w:rsidP="00161E8D">
                  <w:pPr>
                    <w:autoSpaceDE w:val="0"/>
                    <w:autoSpaceDN w:val="0"/>
                    <w:adjustRightInd w:val="0"/>
                    <w:spacing w:before="0" w:after="0"/>
                    <w:rPr>
                      <w:rFonts w:eastAsiaTheme="minorHAnsi" w:cs="TTBC16A5A8t00"/>
                      <w:b/>
                      <w:szCs w:val="22"/>
                      <w:u w:val="single"/>
                    </w:rPr>
                  </w:pPr>
                  <w:r w:rsidRPr="00CD2A60">
                    <w:rPr>
                      <w:rFonts w:eastAsiaTheme="minorHAnsi" w:cs="TTBC16A5A8t00"/>
                      <w:b/>
                      <w:szCs w:val="22"/>
                      <w:u w:val="single"/>
                    </w:rPr>
                    <w:t>Data Source</w:t>
                  </w:r>
                </w:p>
                <w:p w:rsidR="005E25EA" w:rsidRPr="00A36AD0" w:rsidRDefault="005E25EA" w:rsidP="00161E8D">
                  <w:pPr>
                    <w:rPr>
                      <w:i/>
                      <w:szCs w:val="22"/>
                    </w:rPr>
                  </w:pPr>
                  <w:r>
                    <w:rPr>
                      <w:rFonts w:eastAsiaTheme="minorHAnsi" w:cs="TTBC16ADB8t00"/>
                      <w:szCs w:val="22"/>
                    </w:rPr>
                    <w:t xml:space="preserve">The </w:t>
                  </w:r>
                  <w:r w:rsidR="00D827F3">
                    <w:rPr>
                      <w:rFonts w:eastAsiaTheme="minorHAnsi" w:cs="TTBC16ADB8t00"/>
                      <w:szCs w:val="22"/>
                    </w:rPr>
                    <w:t>Supplier</w:t>
                  </w:r>
                  <w:r w:rsidRPr="00A36AD0">
                    <w:rPr>
                      <w:rFonts w:eastAsiaTheme="minorHAnsi" w:cs="TTBC16ADB8t00"/>
                      <w:szCs w:val="22"/>
                    </w:rPr>
                    <w:t xml:space="preserve">'s compliance with this KPI will be measured using data supplied </w:t>
                  </w:r>
                  <w:r w:rsidR="007A0A12">
                    <w:rPr>
                      <w:rFonts w:eastAsiaTheme="minorHAnsi" w:cs="TTBC16ADB8t00"/>
                      <w:szCs w:val="22"/>
                    </w:rPr>
                    <w:t xml:space="preserve">and agreed at the initial set-up meeting between the Supplier and the Council. </w:t>
                  </w:r>
                </w:p>
              </w:tc>
            </w:tr>
          </w:tbl>
          <w:p w:rsidR="009401B1" w:rsidRPr="006D308C" w:rsidRDefault="009401B1" w:rsidP="006D308C">
            <w:pPr>
              <w:spacing w:after="120"/>
              <w:jc w:val="both"/>
              <w:rPr>
                <w:rFonts w:cs="Arial"/>
                <w:b/>
              </w:rPr>
            </w:pPr>
          </w:p>
          <w:tbl>
            <w:tblPr>
              <w:tblStyle w:val="TableGrid"/>
              <w:tblW w:w="0" w:type="auto"/>
              <w:tblLayout w:type="fixed"/>
              <w:tblLook w:val="04A0" w:firstRow="1" w:lastRow="0" w:firstColumn="1" w:lastColumn="0" w:noHBand="0" w:noVBand="1"/>
            </w:tblPr>
            <w:tblGrid>
              <w:gridCol w:w="6691"/>
              <w:gridCol w:w="2693"/>
              <w:gridCol w:w="2552"/>
            </w:tblGrid>
            <w:tr w:rsidR="006D308C" w:rsidRPr="007B5E1F" w:rsidTr="006D308C">
              <w:tc>
                <w:tcPr>
                  <w:tcW w:w="6691" w:type="dxa"/>
                </w:tcPr>
                <w:p w:rsidR="009401B1" w:rsidRPr="006D308C" w:rsidRDefault="006D308C" w:rsidP="006D308C">
                  <w:pPr>
                    <w:spacing w:after="120"/>
                    <w:jc w:val="both"/>
                    <w:rPr>
                      <w:rFonts w:cs="Arial"/>
                      <w:b/>
                    </w:rPr>
                  </w:pPr>
                  <w:r>
                    <w:rPr>
                      <w:rFonts w:cs="Arial"/>
                      <w:b/>
                    </w:rPr>
                    <w:t>Data requirements</w:t>
                  </w:r>
                </w:p>
              </w:tc>
              <w:tc>
                <w:tcPr>
                  <w:tcW w:w="2693" w:type="dxa"/>
                </w:tcPr>
                <w:p w:rsidR="009401B1" w:rsidRPr="007B5E1F" w:rsidRDefault="009401B1" w:rsidP="006D308C">
                  <w:pPr>
                    <w:jc w:val="both"/>
                    <w:rPr>
                      <w:b/>
                    </w:rPr>
                  </w:pPr>
                  <w:r>
                    <w:rPr>
                      <w:b/>
                    </w:rPr>
                    <w:t>Frequency</w:t>
                  </w:r>
                </w:p>
              </w:tc>
              <w:tc>
                <w:tcPr>
                  <w:tcW w:w="2552" w:type="dxa"/>
                </w:tcPr>
                <w:p w:rsidR="009401B1" w:rsidRPr="007B5E1F" w:rsidRDefault="009401B1" w:rsidP="006D308C">
                  <w:pPr>
                    <w:jc w:val="both"/>
                    <w:rPr>
                      <w:b/>
                    </w:rPr>
                  </w:pPr>
                  <w:r>
                    <w:rPr>
                      <w:b/>
                    </w:rPr>
                    <w:t>Target</w:t>
                  </w:r>
                </w:p>
              </w:tc>
            </w:tr>
            <w:tr w:rsidR="006D308C" w:rsidTr="006D308C">
              <w:tc>
                <w:tcPr>
                  <w:tcW w:w="6691" w:type="dxa"/>
                </w:tcPr>
                <w:p w:rsidR="009401B1" w:rsidRDefault="009401B1" w:rsidP="006D308C">
                  <w:pPr>
                    <w:jc w:val="both"/>
                    <w:rPr>
                      <w:color w:val="000000"/>
                      <w:szCs w:val="22"/>
                      <w:lang w:eastAsia="en-GB"/>
                    </w:rPr>
                  </w:pPr>
                  <w:r w:rsidRPr="005B65E1">
                    <w:rPr>
                      <w:color w:val="000000"/>
                      <w:szCs w:val="22"/>
                      <w:lang w:eastAsia="en-GB"/>
                    </w:rPr>
                    <w:t>Number o</w:t>
                  </w:r>
                  <w:r>
                    <w:rPr>
                      <w:color w:val="000000"/>
                      <w:szCs w:val="22"/>
                      <w:lang w:eastAsia="en-GB"/>
                    </w:rPr>
                    <w:t xml:space="preserve">f Direct Delivery Hours: </w:t>
                  </w:r>
                </w:p>
                <w:p w:rsidR="009401B1" w:rsidRDefault="009401B1" w:rsidP="006D308C">
                  <w:pPr>
                    <w:jc w:val="both"/>
                  </w:pPr>
                  <w:r>
                    <w:rPr>
                      <w:color w:val="000000"/>
                      <w:szCs w:val="22"/>
                      <w:lang w:eastAsia="en-GB"/>
                    </w:rPr>
                    <w:t>Based on 10 appointments per day inclusive of admin time</w:t>
                  </w:r>
                </w:p>
              </w:tc>
              <w:tc>
                <w:tcPr>
                  <w:tcW w:w="2693" w:type="dxa"/>
                </w:tcPr>
                <w:p w:rsidR="009401B1" w:rsidRDefault="009401B1" w:rsidP="006D308C">
                  <w:pPr>
                    <w:jc w:val="both"/>
                  </w:pPr>
                  <w:r>
                    <w:t>Quarterly</w:t>
                  </w:r>
                </w:p>
                <w:p w:rsidR="009401B1" w:rsidRDefault="009401B1" w:rsidP="006D308C">
                  <w:pPr>
                    <w:jc w:val="both"/>
                  </w:pPr>
                </w:p>
              </w:tc>
              <w:tc>
                <w:tcPr>
                  <w:tcW w:w="2552" w:type="dxa"/>
                </w:tcPr>
                <w:p w:rsidR="009401B1" w:rsidRPr="00566EED" w:rsidRDefault="009401B1" w:rsidP="007A0A12">
                  <w:r>
                    <w:t>Monitor only</w:t>
                  </w:r>
                  <w:r w:rsidR="006D308C">
                    <w:t xml:space="preserve"> (benchmarking)</w:t>
                  </w:r>
                </w:p>
              </w:tc>
            </w:tr>
            <w:tr w:rsidR="006D308C" w:rsidTr="006D308C">
              <w:tc>
                <w:tcPr>
                  <w:tcW w:w="6691" w:type="dxa"/>
                </w:tcPr>
                <w:p w:rsidR="009401B1" w:rsidRDefault="009401B1" w:rsidP="006D308C">
                  <w:pPr>
                    <w:jc w:val="both"/>
                  </w:pPr>
                  <w:r>
                    <w:rPr>
                      <w:color w:val="000000"/>
                      <w:szCs w:val="22"/>
                      <w:lang w:eastAsia="en-GB"/>
                    </w:rPr>
                    <w:t>Number of appointments Offered within 2 working Day</w:t>
                  </w:r>
                </w:p>
              </w:tc>
              <w:tc>
                <w:tcPr>
                  <w:tcW w:w="2693" w:type="dxa"/>
                </w:tcPr>
                <w:p w:rsidR="009401B1" w:rsidRDefault="009401B1" w:rsidP="006D308C">
                  <w:pPr>
                    <w:jc w:val="both"/>
                  </w:pPr>
                  <w:r>
                    <w:t>Quarterly</w:t>
                  </w:r>
                </w:p>
              </w:tc>
              <w:tc>
                <w:tcPr>
                  <w:tcW w:w="2552" w:type="dxa"/>
                </w:tcPr>
                <w:p w:rsidR="009401B1" w:rsidRDefault="009401B1" w:rsidP="007A0A12">
                  <w:r>
                    <w:t>95%</w:t>
                  </w:r>
                </w:p>
              </w:tc>
            </w:tr>
            <w:tr w:rsidR="006D308C" w:rsidTr="006D308C">
              <w:tc>
                <w:tcPr>
                  <w:tcW w:w="6691" w:type="dxa"/>
                </w:tcPr>
                <w:p w:rsidR="009401B1" w:rsidRPr="007B5E1F" w:rsidRDefault="009401B1" w:rsidP="006D308C">
                  <w:pPr>
                    <w:jc w:val="both"/>
                  </w:pPr>
                  <w:r>
                    <w:rPr>
                      <w:color w:val="000000"/>
                      <w:szCs w:val="22"/>
                      <w:lang w:eastAsia="en-GB"/>
                    </w:rPr>
                    <w:t>Number of appointments offered outside the timeframe</w:t>
                  </w:r>
                </w:p>
              </w:tc>
              <w:tc>
                <w:tcPr>
                  <w:tcW w:w="2693" w:type="dxa"/>
                </w:tcPr>
                <w:p w:rsidR="009401B1" w:rsidRDefault="006D308C" w:rsidP="006D308C">
                  <w:pPr>
                    <w:jc w:val="both"/>
                  </w:pPr>
                  <w:r>
                    <w:t>Quarterly</w:t>
                  </w:r>
                </w:p>
              </w:tc>
              <w:tc>
                <w:tcPr>
                  <w:tcW w:w="2552" w:type="dxa"/>
                </w:tcPr>
                <w:p w:rsidR="009401B1" w:rsidRDefault="009401B1" w:rsidP="007A0A12">
                  <w:r>
                    <w:t>Monitor only</w:t>
                  </w:r>
                  <w:r w:rsidR="006D308C">
                    <w:t xml:space="preserve"> (benchmarking)</w:t>
                  </w:r>
                </w:p>
              </w:tc>
            </w:tr>
            <w:tr w:rsidR="006D308C" w:rsidTr="006D308C">
              <w:tc>
                <w:tcPr>
                  <w:tcW w:w="6691" w:type="dxa"/>
                </w:tcPr>
                <w:p w:rsidR="009401B1" w:rsidRDefault="009401B1" w:rsidP="006D308C">
                  <w:pPr>
                    <w:jc w:val="both"/>
                    <w:rPr>
                      <w:color w:val="000000"/>
                      <w:szCs w:val="22"/>
                      <w:lang w:eastAsia="en-GB"/>
                    </w:rPr>
                  </w:pPr>
                  <w:r>
                    <w:rPr>
                      <w:color w:val="000000"/>
                      <w:szCs w:val="22"/>
                      <w:lang w:eastAsia="en-GB"/>
                    </w:rPr>
                    <w:t>Assessments to be undertaken within 20 working days</w:t>
                  </w:r>
                </w:p>
                <w:p w:rsidR="009401B1" w:rsidRPr="008A7616" w:rsidRDefault="009401B1" w:rsidP="006D308C">
                  <w:pPr>
                    <w:jc w:val="both"/>
                  </w:pPr>
                </w:p>
              </w:tc>
              <w:tc>
                <w:tcPr>
                  <w:tcW w:w="2693" w:type="dxa"/>
                </w:tcPr>
                <w:p w:rsidR="009401B1" w:rsidRDefault="006D308C" w:rsidP="006D308C">
                  <w:pPr>
                    <w:jc w:val="both"/>
                  </w:pPr>
                  <w:r>
                    <w:t>Quarterly</w:t>
                  </w:r>
                </w:p>
              </w:tc>
              <w:tc>
                <w:tcPr>
                  <w:tcW w:w="2552" w:type="dxa"/>
                </w:tcPr>
                <w:p w:rsidR="009401B1" w:rsidRDefault="009401B1" w:rsidP="007A0A12">
                  <w:r>
                    <w:t>95%</w:t>
                  </w:r>
                </w:p>
              </w:tc>
            </w:tr>
          </w:tbl>
          <w:p w:rsidR="00D5070E" w:rsidRPr="00EF3974" w:rsidRDefault="00D5070E" w:rsidP="006F48D0">
            <w:pPr>
              <w:spacing w:after="120"/>
              <w:jc w:val="both"/>
            </w:pPr>
          </w:p>
        </w:tc>
      </w:tr>
    </w:tbl>
    <w:p w:rsidR="00E67C41" w:rsidRDefault="00E67C41" w:rsidP="00D5070E">
      <w:pPr>
        <w:spacing w:before="0" w:after="0"/>
        <w:jc w:val="both"/>
        <w:rPr>
          <w:rFonts w:cs="Arial"/>
          <w:bCs/>
          <w:sz w:val="22"/>
          <w:szCs w:val="22"/>
        </w:rPr>
        <w:sectPr w:rsidR="00E67C41" w:rsidSect="00BC49B8">
          <w:pgSz w:w="16838" w:h="11906" w:orient="landscape"/>
          <w:pgMar w:top="1440" w:right="1440" w:bottom="1440" w:left="1440" w:header="709" w:footer="709" w:gutter="0"/>
          <w:cols w:space="708"/>
          <w:docGrid w:linePitch="360"/>
        </w:sectPr>
      </w:pPr>
    </w:p>
    <w:p w:rsidR="00D5070E" w:rsidRPr="00D5070E" w:rsidRDefault="00D5070E" w:rsidP="00D5070E">
      <w:pPr>
        <w:spacing w:after="120"/>
        <w:jc w:val="both"/>
        <w:rPr>
          <w:rFonts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596792">
            <w:pPr>
              <w:pStyle w:val="Heading2"/>
            </w:pPr>
            <w:bookmarkStart w:id="31" w:name="_Toc451437154"/>
            <w:r>
              <w:t>Performance Outcomes</w:t>
            </w:r>
            <w:bookmarkEnd w:id="31"/>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24652F" w:rsidRDefault="0024652F" w:rsidP="00D5070E">
            <w:pPr>
              <w:jc w:val="both"/>
              <w:rPr>
                <w:rFonts w:cs="Arial"/>
                <w:sz w:val="22"/>
                <w:szCs w:val="22"/>
              </w:rPr>
            </w:pPr>
            <w:r>
              <w:rPr>
                <w:rFonts w:cs="Arial"/>
                <w:sz w:val="22"/>
                <w:szCs w:val="22"/>
              </w:rPr>
              <w:t>The Service Provider will provide the Council</w:t>
            </w:r>
            <w:r w:rsidRPr="0024652F">
              <w:rPr>
                <w:rFonts w:cs="Arial"/>
                <w:sz w:val="22"/>
                <w:szCs w:val="22"/>
              </w:rPr>
              <w:t xml:space="preserve"> with a written report confirming the outcome of the mobility a</w:t>
            </w:r>
            <w:r>
              <w:rPr>
                <w:rFonts w:cs="Arial"/>
                <w:sz w:val="22"/>
                <w:szCs w:val="22"/>
              </w:rPr>
              <w:t xml:space="preserve">ssessment within 2 working days. </w:t>
            </w:r>
          </w:p>
          <w:p w:rsidR="0024652F" w:rsidRDefault="0024652F" w:rsidP="00D5070E">
            <w:pPr>
              <w:jc w:val="both"/>
              <w:rPr>
                <w:rFonts w:cs="Arial"/>
                <w:sz w:val="22"/>
                <w:szCs w:val="22"/>
              </w:rPr>
            </w:pPr>
          </w:p>
          <w:p w:rsidR="00D5070E" w:rsidRPr="0024652F" w:rsidRDefault="00D5070E" w:rsidP="00D5070E">
            <w:pPr>
              <w:jc w:val="both"/>
              <w:rPr>
                <w:rFonts w:cs="Arial"/>
                <w:b/>
                <w:sz w:val="22"/>
                <w:szCs w:val="22"/>
              </w:rPr>
            </w:pPr>
            <w:r w:rsidRPr="00672477">
              <w:rPr>
                <w:rFonts w:cs="Arial"/>
                <w:sz w:val="22"/>
                <w:szCs w:val="22"/>
              </w:rPr>
              <w:t xml:space="preserve">The </w:t>
            </w:r>
            <w:r>
              <w:rPr>
                <w:rFonts w:cs="Arial"/>
                <w:sz w:val="22"/>
                <w:szCs w:val="22"/>
              </w:rPr>
              <w:t>Service Provider</w:t>
            </w:r>
            <w:r w:rsidR="0024652F">
              <w:rPr>
                <w:rFonts w:cs="Arial"/>
                <w:sz w:val="22"/>
                <w:szCs w:val="22"/>
              </w:rPr>
              <w:t xml:space="preserve"> will</w:t>
            </w:r>
            <w:r w:rsidRPr="00672477">
              <w:rPr>
                <w:rFonts w:cs="Arial"/>
                <w:sz w:val="22"/>
                <w:szCs w:val="22"/>
              </w:rPr>
              <w:t xml:space="preserve"> provide any other additional information requested by </w:t>
            </w:r>
            <w:r w:rsidR="0024652F">
              <w:rPr>
                <w:rFonts w:cs="Arial"/>
                <w:sz w:val="22"/>
                <w:szCs w:val="22"/>
              </w:rPr>
              <w:t>the Council</w:t>
            </w:r>
            <w:r w:rsidR="003B520B">
              <w:rPr>
                <w:rFonts w:cs="Arial"/>
                <w:sz w:val="22"/>
                <w:szCs w:val="22"/>
              </w:rPr>
              <w:t xml:space="preserve"> </w:t>
            </w:r>
            <w:r w:rsidRPr="00672477">
              <w:rPr>
                <w:rFonts w:cs="Arial"/>
                <w:sz w:val="22"/>
                <w:szCs w:val="22"/>
              </w:rPr>
              <w:t xml:space="preserve">during the Contract Period. </w:t>
            </w:r>
          </w:p>
          <w:p w:rsidR="00D5070E" w:rsidRPr="00EF3974" w:rsidRDefault="00D5070E" w:rsidP="00D5070E">
            <w:pPr>
              <w:spacing w:before="0" w:after="0"/>
              <w:jc w:val="both"/>
            </w:pPr>
          </w:p>
        </w:tc>
      </w:tr>
    </w:tbl>
    <w:p w:rsidR="00D5070E" w:rsidRDefault="00D5070E" w:rsidP="00D5070E">
      <w:pPr>
        <w:tabs>
          <w:tab w:val="left" w:pos="9639"/>
        </w:tabs>
        <w:ind w:right="640"/>
        <w:rPr>
          <w:rFonts w:cs="Arial"/>
          <w:b/>
          <w:sz w:val="22"/>
          <w:szCs w:val="22"/>
        </w:rPr>
      </w:pPr>
    </w:p>
    <w:p w:rsidR="00D5070E" w:rsidRDefault="00D5070E" w:rsidP="00D5070E">
      <w:pPr>
        <w:tabs>
          <w:tab w:val="left" w:pos="9639"/>
        </w:tabs>
        <w:ind w:right="640"/>
        <w:rPr>
          <w:rFonts w:cs="Arial"/>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D5070E" w:rsidRPr="00316A37" w:rsidTr="00596792">
        <w:trPr>
          <w:trHeight w:val="57"/>
        </w:trPr>
        <w:tc>
          <w:tcPr>
            <w:tcW w:w="9923" w:type="dxa"/>
            <w:tcBorders>
              <w:top w:val="single" w:sz="4" w:space="0" w:color="808080"/>
              <w:left w:val="single" w:sz="4" w:space="0" w:color="808080"/>
              <w:bottom w:val="single" w:sz="4" w:space="0" w:color="808080"/>
              <w:right w:val="single" w:sz="4" w:space="0" w:color="808080"/>
            </w:tcBorders>
            <w:shd w:val="pct50" w:color="99CC00" w:fill="339966"/>
            <w:vAlign w:val="center"/>
          </w:tcPr>
          <w:p w:rsidR="00D5070E" w:rsidRPr="008B5218" w:rsidRDefault="00D5070E" w:rsidP="00596792">
            <w:pPr>
              <w:pStyle w:val="Heading2"/>
            </w:pPr>
            <w:bookmarkStart w:id="32" w:name="_Toc451437155"/>
            <w:r>
              <w:t>Service Review</w:t>
            </w:r>
            <w:bookmarkEnd w:id="32"/>
          </w:p>
        </w:tc>
      </w:tr>
      <w:tr w:rsidR="00D5070E" w:rsidRPr="00CF4B4B" w:rsidTr="00596792">
        <w:trPr>
          <w:trHeight w:val="57"/>
        </w:trPr>
        <w:tc>
          <w:tcPr>
            <w:tcW w:w="9923" w:type="dxa"/>
            <w:tcBorders>
              <w:top w:val="single" w:sz="4" w:space="0" w:color="808080"/>
              <w:left w:val="single" w:sz="8" w:space="0" w:color="808080"/>
              <w:bottom w:val="single" w:sz="4" w:space="0" w:color="808080"/>
              <w:right w:val="single" w:sz="8" w:space="0" w:color="808080"/>
            </w:tcBorders>
            <w:shd w:val="clear" w:color="789327" w:fill="auto"/>
            <w:vAlign w:val="center"/>
          </w:tcPr>
          <w:p w:rsidR="00D5070E" w:rsidRPr="005B65E1" w:rsidRDefault="003B520B" w:rsidP="003B520B">
            <w:pPr>
              <w:rPr>
                <w:sz w:val="22"/>
                <w:szCs w:val="22"/>
              </w:rPr>
            </w:pPr>
            <w:r>
              <w:rPr>
                <w:sz w:val="22"/>
                <w:szCs w:val="22"/>
              </w:rPr>
              <w:t xml:space="preserve">The Council will </w:t>
            </w:r>
            <w:r w:rsidR="00D5070E" w:rsidRPr="005B65E1">
              <w:rPr>
                <w:sz w:val="22"/>
                <w:szCs w:val="22"/>
              </w:rPr>
              <w:t xml:space="preserve">work with the </w:t>
            </w:r>
            <w:r w:rsidR="00D5070E">
              <w:rPr>
                <w:sz w:val="22"/>
                <w:szCs w:val="22"/>
              </w:rPr>
              <w:t>Service Provider</w:t>
            </w:r>
            <w:r w:rsidR="00D5070E" w:rsidRPr="005B65E1">
              <w:rPr>
                <w:sz w:val="22"/>
                <w:szCs w:val="22"/>
              </w:rPr>
              <w:t xml:space="preserve"> to develop an approach to </w:t>
            </w:r>
            <w:r>
              <w:rPr>
                <w:sz w:val="22"/>
                <w:szCs w:val="22"/>
              </w:rPr>
              <w:t xml:space="preserve">the </w:t>
            </w:r>
            <w:r w:rsidR="00D5070E">
              <w:rPr>
                <w:sz w:val="22"/>
                <w:szCs w:val="22"/>
              </w:rPr>
              <w:t>Service</w:t>
            </w:r>
            <w:r w:rsidR="00D5070E" w:rsidRPr="005B65E1">
              <w:rPr>
                <w:sz w:val="22"/>
                <w:szCs w:val="22"/>
              </w:rPr>
              <w:t xml:space="preserve"> Review during the first 12 months of the Contract Period. This will include but is not limited to:</w:t>
            </w:r>
          </w:p>
          <w:p w:rsidR="00D5070E" w:rsidRPr="005B65E1" w:rsidRDefault="00D5070E" w:rsidP="00D5070E">
            <w:pPr>
              <w:numPr>
                <w:ilvl w:val="0"/>
                <w:numId w:val="29"/>
              </w:numPr>
              <w:spacing w:before="0" w:after="0"/>
              <w:ind w:left="1440"/>
              <w:contextualSpacing/>
              <w:rPr>
                <w:sz w:val="22"/>
                <w:szCs w:val="22"/>
              </w:rPr>
            </w:pPr>
            <w:r w:rsidRPr="005B65E1">
              <w:rPr>
                <w:sz w:val="22"/>
                <w:szCs w:val="22"/>
              </w:rPr>
              <w:t xml:space="preserve">Annual delivery plan </w:t>
            </w:r>
          </w:p>
          <w:p w:rsidR="00D5070E" w:rsidRPr="005B65E1" w:rsidRDefault="00D5070E" w:rsidP="00D5070E">
            <w:pPr>
              <w:numPr>
                <w:ilvl w:val="0"/>
                <w:numId w:val="29"/>
              </w:numPr>
              <w:spacing w:before="0" w:after="0"/>
              <w:ind w:left="1440"/>
              <w:contextualSpacing/>
              <w:rPr>
                <w:sz w:val="22"/>
                <w:szCs w:val="22"/>
              </w:rPr>
            </w:pPr>
            <w:r w:rsidRPr="005B65E1">
              <w:rPr>
                <w:sz w:val="22"/>
                <w:szCs w:val="22"/>
              </w:rPr>
              <w:t xml:space="preserve">Comprehensive impact assessment </w:t>
            </w:r>
          </w:p>
          <w:p w:rsidR="00D5070E" w:rsidRPr="005B65E1" w:rsidRDefault="00D5070E" w:rsidP="00D5070E">
            <w:pPr>
              <w:numPr>
                <w:ilvl w:val="0"/>
                <w:numId w:val="29"/>
              </w:numPr>
              <w:spacing w:before="0" w:after="0"/>
              <w:ind w:left="1440"/>
              <w:contextualSpacing/>
              <w:rPr>
                <w:sz w:val="22"/>
                <w:szCs w:val="22"/>
              </w:rPr>
            </w:pPr>
            <w:r>
              <w:rPr>
                <w:sz w:val="22"/>
                <w:szCs w:val="22"/>
              </w:rPr>
              <w:t>Self-assessment against the Quality C</w:t>
            </w:r>
            <w:r w:rsidRPr="005B65E1">
              <w:rPr>
                <w:sz w:val="22"/>
                <w:szCs w:val="22"/>
              </w:rPr>
              <w:t xml:space="preserve">haracteristics </w:t>
            </w:r>
          </w:p>
          <w:p w:rsidR="00D5070E" w:rsidRPr="003B520B" w:rsidRDefault="00D5070E" w:rsidP="003B520B">
            <w:pPr>
              <w:numPr>
                <w:ilvl w:val="0"/>
                <w:numId w:val="29"/>
              </w:numPr>
              <w:spacing w:before="0" w:after="0"/>
              <w:ind w:left="1440"/>
              <w:contextualSpacing/>
              <w:rPr>
                <w:sz w:val="22"/>
                <w:szCs w:val="22"/>
              </w:rPr>
            </w:pPr>
            <w:r w:rsidRPr="005B65E1">
              <w:rPr>
                <w:sz w:val="22"/>
                <w:szCs w:val="22"/>
              </w:rPr>
              <w:t xml:space="preserve">Improvement plan </w:t>
            </w:r>
            <w:r w:rsidR="00140075">
              <w:rPr>
                <w:sz w:val="22"/>
                <w:szCs w:val="22"/>
              </w:rPr>
              <w:t>are based on results of customer feedback PI</w:t>
            </w:r>
          </w:p>
          <w:p w:rsidR="00D5070E" w:rsidRPr="00EF3974" w:rsidRDefault="00D5070E" w:rsidP="00D5070E">
            <w:pPr>
              <w:jc w:val="both"/>
            </w:pPr>
          </w:p>
        </w:tc>
      </w:tr>
    </w:tbl>
    <w:p w:rsidR="00D5070E" w:rsidRPr="005B65E1" w:rsidRDefault="00D5070E" w:rsidP="0024652F">
      <w:pPr>
        <w:rPr>
          <w:sz w:val="22"/>
          <w:szCs w:val="22"/>
        </w:rPr>
      </w:pPr>
    </w:p>
    <w:sectPr w:rsidR="00D5070E" w:rsidRPr="005B6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85" w:rsidRDefault="005B3385" w:rsidP="000A703A">
      <w:pPr>
        <w:spacing w:before="0" w:after="0"/>
      </w:pPr>
      <w:r>
        <w:separator/>
      </w:r>
    </w:p>
  </w:endnote>
  <w:endnote w:type="continuationSeparator" w:id="0">
    <w:p w:rsidR="005B3385" w:rsidRDefault="005B3385" w:rsidP="000A70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TBC16A5A8t00">
    <w:panose1 w:val="00000000000000000000"/>
    <w:charset w:val="00"/>
    <w:family w:val="auto"/>
    <w:notTrueType/>
    <w:pitch w:val="default"/>
    <w:sig w:usb0="00000003" w:usb1="00000000" w:usb2="00000000" w:usb3="00000000" w:csb0="00000001" w:csb1="00000000"/>
  </w:font>
  <w:font w:name="TTBC16ADB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551905"/>
      <w:docPartObj>
        <w:docPartGallery w:val="Page Numbers (Bottom of Page)"/>
        <w:docPartUnique/>
      </w:docPartObj>
    </w:sdtPr>
    <w:sdtEndPr>
      <w:rPr>
        <w:noProof/>
      </w:rPr>
    </w:sdtEndPr>
    <w:sdtContent>
      <w:p w:rsidR="005B3385" w:rsidRDefault="005B3385">
        <w:pPr>
          <w:pStyle w:val="Footer"/>
          <w:jc w:val="right"/>
        </w:pPr>
        <w:r>
          <w:fldChar w:fldCharType="begin"/>
        </w:r>
        <w:r>
          <w:instrText xml:space="preserve"> PAGE   \* MERGEFORMAT </w:instrText>
        </w:r>
        <w:r>
          <w:fldChar w:fldCharType="separate"/>
        </w:r>
        <w:r w:rsidR="00C50388">
          <w:rPr>
            <w:noProof/>
          </w:rPr>
          <w:t>1</w:t>
        </w:r>
        <w:r>
          <w:rPr>
            <w:noProof/>
          </w:rPr>
          <w:fldChar w:fldCharType="end"/>
        </w:r>
      </w:p>
    </w:sdtContent>
  </w:sdt>
  <w:p w:rsidR="005B3385" w:rsidRDefault="005B3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85" w:rsidRDefault="005B3385" w:rsidP="000A703A">
      <w:pPr>
        <w:spacing w:before="0" w:after="0"/>
      </w:pPr>
      <w:r>
        <w:separator/>
      </w:r>
    </w:p>
  </w:footnote>
  <w:footnote w:type="continuationSeparator" w:id="0">
    <w:p w:rsidR="005B3385" w:rsidRDefault="005B3385" w:rsidP="000A703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85" w:rsidRPr="001124D5" w:rsidRDefault="005B3385" w:rsidP="00596792">
    <w:pPr>
      <w:spacing w:before="0" w:after="0"/>
      <w:rPr>
        <w:sz w:val="16"/>
        <w:szCs w:val="16"/>
        <w:lang w:eastAsia="en-GB"/>
      </w:rPr>
    </w:pPr>
    <w:r>
      <w:rPr>
        <w:noProof/>
        <w:sz w:val="16"/>
        <w:szCs w:val="16"/>
        <w:lang w:eastAsia="en-GB"/>
      </w:rPr>
      <w:drawing>
        <wp:anchor distT="0" distB="0" distL="114300" distR="114300" simplePos="0" relativeHeight="251659264" behindDoc="0" locked="0" layoutInCell="1" allowOverlap="0" wp14:anchorId="2F7DF5D4" wp14:editId="0E4C8FD3">
          <wp:simplePos x="0" y="0"/>
          <wp:positionH relativeFrom="column">
            <wp:posOffset>5035550</wp:posOffset>
          </wp:positionH>
          <wp:positionV relativeFrom="paragraph">
            <wp:posOffset>-472440</wp:posOffset>
          </wp:positionV>
          <wp:extent cx="882650" cy="882650"/>
          <wp:effectExtent l="0" t="0" r="0" b="0"/>
          <wp:wrapSquare wrapText="bothSides"/>
          <wp:docPr id="3" name="Picture 3"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388">
      <w:rPr>
        <w:noProof/>
        <w:sz w:val="16"/>
        <w:szCs w:val="16"/>
      </w:rPr>
      <w:t>Version 1</w:t>
    </w:r>
  </w:p>
  <w:p w:rsidR="005B3385" w:rsidRDefault="005B3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07A"/>
    <w:multiLevelType w:val="hybridMultilevel"/>
    <w:tmpl w:val="805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31798"/>
    <w:multiLevelType w:val="hybridMultilevel"/>
    <w:tmpl w:val="B7C22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DD69BA"/>
    <w:multiLevelType w:val="hybridMultilevel"/>
    <w:tmpl w:val="987C3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096E71"/>
    <w:multiLevelType w:val="hybridMultilevel"/>
    <w:tmpl w:val="8930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2417E"/>
    <w:multiLevelType w:val="hybridMultilevel"/>
    <w:tmpl w:val="812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536A07"/>
    <w:multiLevelType w:val="hybridMultilevel"/>
    <w:tmpl w:val="9A6E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762206"/>
    <w:multiLevelType w:val="hybridMultilevel"/>
    <w:tmpl w:val="11A4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2B0A99"/>
    <w:multiLevelType w:val="hybridMultilevel"/>
    <w:tmpl w:val="72E2B83E"/>
    <w:lvl w:ilvl="0" w:tplc="930A9026">
      <w:start w:val="1"/>
      <w:numFmt w:val="bullet"/>
      <w:pStyle w:val="01B1CCBulletTex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9E48F3"/>
    <w:multiLevelType w:val="hybridMultilevel"/>
    <w:tmpl w:val="AAE81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872AA6"/>
    <w:multiLevelType w:val="multilevel"/>
    <w:tmpl w:val="38882A62"/>
    <w:lvl w:ilvl="0">
      <w:start w:val="1"/>
      <w:numFmt w:val="decimal"/>
      <w:pStyle w:val="Heading1"/>
      <w:lvlText w:val="%1."/>
      <w:lvlJc w:val="left"/>
      <w:pPr>
        <w:tabs>
          <w:tab w:val="num" w:pos="1276"/>
        </w:tabs>
        <w:ind w:left="142" w:firstLine="0"/>
      </w:pPr>
      <w:rPr>
        <w:rFonts w:cs="Times New Roman" w:hint="default"/>
      </w:rPr>
    </w:lvl>
    <w:lvl w:ilvl="1">
      <w:start w:val="1"/>
      <w:numFmt w:val="decimal"/>
      <w:pStyle w:val="Heading2"/>
      <w:lvlText w:val="%1.%2"/>
      <w:lvlJc w:val="left"/>
      <w:pPr>
        <w:tabs>
          <w:tab w:val="num" w:pos="1134"/>
        </w:tabs>
        <w:ind w:left="1134" w:hanging="1021"/>
      </w:pPr>
      <w:rPr>
        <w:rFonts w:ascii="Verdana" w:hAnsi="Verdana" w:cs="Times New Roman" w:hint="default"/>
        <w:b w:val="0"/>
        <w:bCs w:val="0"/>
        <w:i w:val="0"/>
        <w:sz w:val="24"/>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1FFA7010"/>
    <w:multiLevelType w:val="hybridMultilevel"/>
    <w:tmpl w:val="EBC0C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8B201A1"/>
    <w:multiLevelType w:val="hybridMultilevel"/>
    <w:tmpl w:val="780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EA671C"/>
    <w:multiLevelType w:val="hybridMultilevel"/>
    <w:tmpl w:val="BA82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A27079"/>
    <w:multiLevelType w:val="hybridMultilevel"/>
    <w:tmpl w:val="4C94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492D30"/>
    <w:multiLevelType w:val="hybridMultilevel"/>
    <w:tmpl w:val="95C09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082A96"/>
    <w:multiLevelType w:val="hybridMultilevel"/>
    <w:tmpl w:val="FF6A3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47B7F84"/>
    <w:multiLevelType w:val="hybridMultilevel"/>
    <w:tmpl w:val="DEEC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295C0E"/>
    <w:multiLevelType w:val="multilevel"/>
    <w:tmpl w:val="DC8ECF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86B18B9"/>
    <w:multiLevelType w:val="hybridMultilevel"/>
    <w:tmpl w:val="77F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62386D"/>
    <w:multiLevelType w:val="hybridMultilevel"/>
    <w:tmpl w:val="15C46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220789"/>
    <w:multiLevelType w:val="hybridMultilevel"/>
    <w:tmpl w:val="717AD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DBA2A1A"/>
    <w:multiLevelType w:val="hybridMultilevel"/>
    <w:tmpl w:val="DEA0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D33F87"/>
    <w:multiLevelType w:val="hybridMultilevel"/>
    <w:tmpl w:val="9B9AF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227582"/>
    <w:multiLevelType w:val="hybridMultilevel"/>
    <w:tmpl w:val="ABA464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10E2B17"/>
    <w:multiLevelType w:val="hybridMultilevel"/>
    <w:tmpl w:val="BDBE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84F65BE"/>
    <w:multiLevelType w:val="hybridMultilevel"/>
    <w:tmpl w:val="E87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5173C0"/>
    <w:multiLevelType w:val="hybridMultilevel"/>
    <w:tmpl w:val="CDE6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717A371E"/>
    <w:multiLevelType w:val="hybridMultilevel"/>
    <w:tmpl w:val="0CAA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032862"/>
    <w:multiLevelType w:val="hybridMultilevel"/>
    <w:tmpl w:val="D3BECB3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nsid w:val="76EF00C5"/>
    <w:multiLevelType w:val="hybridMultilevel"/>
    <w:tmpl w:val="DEEC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4F2F21"/>
    <w:multiLevelType w:val="hybridMultilevel"/>
    <w:tmpl w:val="A2AC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3F1DC2"/>
    <w:multiLevelType w:val="hybridMultilevel"/>
    <w:tmpl w:val="8D5E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555ED0"/>
    <w:multiLevelType w:val="hybridMultilevel"/>
    <w:tmpl w:val="2A96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102DFF"/>
    <w:multiLevelType w:val="hybridMultilevel"/>
    <w:tmpl w:val="A4FCE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5"/>
  </w:num>
  <w:num w:numId="4">
    <w:abstractNumId w:val="23"/>
  </w:num>
  <w:num w:numId="5">
    <w:abstractNumId w:val="6"/>
  </w:num>
  <w:num w:numId="6">
    <w:abstractNumId w:val="5"/>
  </w:num>
  <w:num w:numId="7">
    <w:abstractNumId w:val="33"/>
  </w:num>
  <w:num w:numId="8">
    <w:abstractNumId w:val="14"/>
  </w:num>
  <w:num w:numId="9">
    <w:abstractNumId w:val="34"/>
  </w:num>
  <w:num w:numId="10">
    <w:abstractNumId w:val="4"/>
  </w:num>
  <w:num w:numId="11">
    <w:abstractNumId w:val="26"/>
  </w:num>
  <w:num w:numId="12">
    <w:abstractNumId w:val="32"/>
  </w:num>
  <w:num w:numId="13">
    <w:abstractNumId w:val="12"/>
  </w:num>
  <w:num w:numId="14">
    <w:abstractNumId w:val="18"/>
  </w:num>
  <w:num w:numId="15">
    <w:abstractNumId w:val="25"/>
  </w:num>
  <w:num w:numId="16">
    <w:abstractNumId w:val="29"/>
  </w:num>
  <w:num w:numId="17">
    <w:abstractNumId w:val="2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1"/>
  </w:num>
  <w:num w:numId="27">
    <w:abstractNumId w:val="24"/>
  </w:num>
  <w:num w:numId="28">
    <w:abstractNumId w:val="2"/>
  </w:num>
  <w:num w:numId="29">
    <w:abstractNumId w:val="0"/>
  </w:num>
  <w:num w:numId="30">
    <w:abstractNumId w:val="11"/>
  </w:num>
  <w:num w:numId="31">
    <w:abstractNumId w:val="22"/>
  </w:num>
  <w:num w:numId="32">
    <w:abstractNumId w:val="31"/>
  </w:num>
  <w:num w:numId="33">
    <w:abstractNumId w:val="9"/>
  </w:num>
  <w:num w:numId="34">
    <w:abstractNumId w:val="9"/>
  </w:num>
  <w:num w:numId="35">
    <w:abstractNumId w:val="9"/>
  </w:num>
  <w:num w:numId="36">
    <w:abstractNumId w:val="9"/>
  </w:num>
  <w:num w:numId="37">
    <w:abstractNumId w:val="9"/>
  </w:num>
  <w:num w:numId="38">
    <w:abstractNumId w:val="28"/>
  </w:num>
  <w:num w:numId="39">
    <w:abstractNumId w:val="19"/>
  </w:num>
  <w:num w:numId="40">
    <w:abstractNumId w:val="3"/>
  </w:num>
  <w:num w:numId="41">
    <w:abstractNumId w:val="13"/>
  </w:num>
  <w:num w:numId="42">
    <w:abstractNumId w:val="7"/>
  </w:num>
  <w:num w:numId="43">
    <w:abstractNumId w:val="16"/>
  </w:num>
  <w:num w:numId="44">
    <w:abstractNumId w:val="30"/>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E2"/>
    <w:rsid w:val="00007B0F"/>
    <w:rsid w:val="000121A3"/>
    <w:rsid w:val="00015785"/>
    <w:rsid w:val="000160C7"/>
    <w:rsid w:val="00016A60"/>
    <w:rsid w:val="000375E7"/>
    <w:rsid w:val="000619BB"/>
    <w:rsid w:val="0006413D"/>
    <w:rsid w:val="0008724C"/>
    <w:rsid w:val="00096C3D"/>
    <w:rsid w:val="000A431D"/>
    <w:rsid w:val="000A703A"/>
    <w:rsid w:val="00104288"/>
    <w:rsid w:val="001060ED"/>
    <w:rsid w:val="00116E3E"/>
    <w:rsid w:val="00140075"/>
    <w:rsid w:val="00141810"/>
    <w:rsid w:val="00146D14"/>
    <w:rsid w:val="00151BE1"/>
    <w:rsid w:val="00161E8D"/>
    <w:rsid w:val="001714CB"/>
    <w:rsid w:val="00172279"/>
    <w:rsid w:val="00186EE4"/>
    <w:rsid w:val="00192870"/>
    <w:rsid w:val="00193F53"/>
    <w:rsid w:val="001A36FE"/>
    <w:rsid w:val="001C53F5"/>
    <w:rsid w:val="001F1984"/>
    <w:rsid w:val="00205BCF"/>
    <w:rsid w:val="002060E7"/>
    <w:rsid w:val="00222694"/>
    <w:rsid w:val="002231DB"/>
    <w:rsid w:val="00231E98"/>
    <w:rsid w:val="00240562"/>
    <w:rsid w:val="0024652F"/>
    <w:rsid w:val="002537E9"/>
    <w:rsid w:val="00264AB9"/>
    <w:rsid w:val="002809B3"/>
    <w:rsid w:val="00285D60"/>
    <w:rsid w:val="0028722F"/>
    <w:rsid w:val="00290724"/>
    <w:rsid w:val="002A6D56"/>
    <w:rsid w:val="002B43C9"/>
    <w:rsid w:val="002E4F0C"/>
    <w:rsid w:val="002E51AD"/>
    <w:rsid w:val="002E5454"/>
    <w:rsid w:val="002E7F80"/>
    <w:rsid w:val="003235BC"/>
    <w:rsid w:val="0033488B"/>
    <w:rsid w:val="00342C74"/>
    <w:rsid w:val="00343841"/>
    <w:rsid w:val="00374437"/>
    <w:rsid w:val="00387CDC"/>
    <w:rsid w:val="003A3947"/>
    <w:rsid w:val="003A56DD"/>
    <w:rsid w:val="003A57B8"/>
    <w:rsid w:val="003B520B"/>
    <w:rsid w:val="003D5372"/>
    <w:rsid w:val="003E4119"/>
    <w:rsid w:val="0043474B"/>
    <w:rsid w:val="00442A7D"/>
    <w:rsid w:val="00463DA5"/>
    <w:rsid w:val="00475892"/>
    <w:rsid w:val="0048607E"/>
    <w:rsid w:val="004A0FCF"/>
    <w:rsid w:val="004B2397"/>
    <w:rsid w:val="004D2476"/>
    <w:rsid w:val="004D5F56"/>
    <w:rsid w:val="004E0785"/>
    <w:rsid w:val="004F022E"/>
    <w:rsid w:val="00502C14"/>
    <w:rsid w:val="00505839"/>
    <w:rsid w:val="00514DDF"/>
    <w:rsid w:val="00541749"/>
    <w:rsid w:val="00541ED1"/>
    <w:rsid w:val="00565B77"/>
    <w:rsid w:val="00590CF0"/>
    <w:rsid w:val="00596792"/>
    <w:rsid w:val="005A40E8"/>
    <w:rsid w:val="005B3385"/>
    <w:rsid w:val="005D12E2"/>
    <w:rsid w:val="005D4582"/>
    <w:rsid w:val="005E25EA"/>
    <w:rsid w:val="0061113B"/>
    <w:rsid w:val="0065155D"/>
    <w:rsid w:val="00664748"/>
    <w:rsid w:val="00677E17"/>
    <w:rsid w:val="00692770"/>
    <w:rsid w:val="00692DB8"/>
    <w:rsid w:val="006C47CC"/>
    <w:rsid w:val="006D308C"/>
    <w:rsid w:val="006D3EE6"/>
    <w:rsid w:val="006F0099"/>
    <w:rsid w:val="006F48D0"/>
    <w:rsid w:val="00702EE5"/>
    <w:rsid w:val="00715B79"/>
    <w:rsid w:val="00722057"/>
    <w:rsid w:val="00726C55"/>
    <w:rsid w:val="00765E70"/>
    <w:rsid w:val="00772B02"/>
    <w:rsid w:val="00775275"/>
    <w:rsid w:val="00784BE5"/>
    <w:rsid w:val="007A0A12"/>
    <w:rsid w:val="007C0FD9"/>
    <w:rsid w:val="007D04FC"/>
    <w:rsid w:val="007D16EF"/>
    <w:rsid w:val="007E0F13"/>
    <w:rsid w:val="007E272F"/>
    <w:rsid w:val="00800273"/>
    <w:rsid w:val="008178FF"/>
    <w:rsid w:val="0088374D"/>
    <w:rsid w:val="008E5BDA"/>
    <w:rsid w:val="00904736"/>
    <w:rsid w:val="00911909"/>
    <w:rsid w:val="00916C60"/>
    <w:rsid w:val="009401B1"/>
    <w:rsid w:val="0095462E"/>
    <w:rsid w:val="00971D80"/>
    <w:rsid w:val="009930DA"/>
    <w:rsid w:val="009C3275"/>
    <w:rsid w:val="009D68E0"/>
    <w:rsid w:val="009E7A25"/>
    <w:rsid w:val="009F1105"/>
    <w:rsid w:val="009F43CE"/>
    <w:rsid w:val="009F643D"/>
    <w:rsid w:val="00A00150"/>
    <w:rsid w:val="00A214B1"/>
    <w:rsid w:val="00A305D7"/>
    <w:rsid w:val="00A53588"/>
    <w:rsid w:val="00AA206B"/>
    <w:rsid w:val="00AB4819"/>
    <w:rsid w:val="00AC5167"/>
    <w:rsid w:val="00AE33B1"/>
    <w:rsid w:val="00AE79B0"/>
    <w:rsid w:val="00AF1757"/>
    <w:rsid w:val="00B120FF"/>
    <w:rsid w:val="00B14D0B"/>
    <w:rsid w:val="00B20D32"/>
    <w:rsid w:val="00B22EE1"/>
    <w:rsid w:val="00B552CA"/>
    <w:rsid w:val="00B57C29"/>
    <w:rsid w:val="00B71DBC"/>
    <w:rsid w:val="00BC49B8"/>
    <w:rsid w:val="00C023C2"/>
    <w:rsid w:val="00C02DC8"/>
    <w:rsid w:val="00C045F1"/>
    <w:rsid w:val="00C06A31"/>
    <w:rsid w:val="00C37457"/>
    <w:rsid w:val="00C377E8"/>
    <w:rsid w:val="00C41390"/>
    <w:rsid w:val="00C50388"/>
    <w:rsid w:val="00C65C1F"/>
    <w:rsid w:val="00C705E3"/>
    <w:rsid w:val="00C71783"/>
    <w:rsid w:val="00C96EFF"/>
    <w:rsid w:val="00CA6B9E"/>
    <w:rsid w:val="00CB2010"/>
    <w:rsid w:val="00CB42FE"/>
    <w:rsid w:val="00CC6680"/>
    <w:rsid w:val="00CD7BAE"/>
    <w:rsid w:val="00CE277A"/>
    <w:rsid w:val="00D005C5"/>
    <w:rsid w:val="00D04AA6"/>
    <w:rsid w:val="00D07368"/>
    <w:rsid w:val="00D15AA1"/>
    <w:rsid w:val="00D22AEA"/>
    <w:rsid w:val="00D24280"/>
    <w:rsid w:val="00D276DA"/>
    <w:rsid w:val="00D41D8D"/>
    <w:rsid w:val="00D5070E"/>
    <w:rsid w:val="00D5111D"/>
    <w:rsid w:val="00D53B03"/>
    <w:rsid w:val="00D669AF"/>
    <w:rsid w:val="00D827F3"/>
    <w:rsid w:val="00E21F43"/>
    <w:rsid w:val="00E22D35"/>
    <w:rsid w:val="00E27E0E"/>
    <w:rsid w:val="00E3071D"/>
    <w:rsid w:val="00E4517D"/>
    <w:rsid w:val="00E54CD7"/>
    <w:rsid w:val="00E67C41"/>
    <w:rsid w:val="00E87AE0"/>
    <w:rsid w:val="00E9380E"/>
    <w:rsid w:val="00EA2186"/>
    <w:rsid w:val="00ED5276"/>
    <w:rsid w:val="00ED7B5A"/>
    <w:rsid w:val="00EF3974"/>
    <w:rsid w:val="00F05DD6"/>
    <w:rsid w:val="00F06564"/>
    <w:rsid w:val="00F31187"/>
    <w:rsid w:val="00F350BD"/>
    <w:rsid w:val="00F60FF7"/>
    <w:rsid w:val="00F75390"/>
    <w:rsid w:val="00F753C3"/>
    <w:rsid w:val="00F76F98"/>
    <w:rsid w:val="00F81703"/>
    <w:rsid w:val="00F830CB"/>
    <w:rsid w:val="00FC06BA"/>
    <w:rsid w:val="00FD4874"/>
    <w:rsid w:val="00FE7C58"/>
    <w:rsid w:val="00FF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31"/>
    <w:pPr>
      <w:spacing w:before="40" w:after="40" w:line="240" w:lineRule="auto"/>
    </w:pPr>
    <w:rPr>
      <w:rFonts w:ascii="Verdana" w:eastAsia="Times New Roman" w:hAnsi="Verdana" w:cs="Times New Roman"/>
      <w:sz w:val="18"/>
      <w:szCs w:val="20"/>
    </w:rPr>
  </w:style>
  <w:style w:type="paragraph" w:styleId="Heading1">
    <w:name w:val="heading 1"/>
    <w:basedOn w:val="Normal"/>
    <w:next w:val="Normal"/>
    <w:link w:val="Heading1Char"/>
    <w:autoRedefine/>
    <w:qFormat/>
    <w:rsid w:val="005D12E2"/>
    <w:pPr>
      <w:keepNext/>
      <w:numPr>
        <w:numId w:val="1"/>
      </w:numPr>
      <w:pBdr>
        <w:bottom w:val="single" w:sz="12" w:space="1" w:color="99CC00"/>
      </w:pBdr>
      <w:tabs>
        <w:tab w:val="left" w:pos="851"/>
      </w:tabs>
      <w:spacing w:before="240" w:after="60"/>
      <w:outlineLvl w:val="0"/>
    </w:pPr>
    <w:rPr>
      <w:b/>
      <w:kern w:val="32"/>
      <w:sz w:val="28"/>
      <w:szCs w:val="32"/>
    </w:rPr>
  </w:style>
  <w:style w:type="paragraph" w:styleId="Heading2">
    <w:name w:val="heading 2"/>
    <w:basedOn w:val="Normal"/>
    <w:next w:val="Normal"/>
    <w:link w:val="Heading2Char"/>
    <w:autoRedefine/>
    <w:qFormat/>
    <w:rsid w:val="005D12E2"/>
    <w:pPr>
      <w:keepNext/>
      <w:numPr>
        <w:ilvl w:val="1"/>
        <w:numId w:val="1"/>
      </w:numPr>
      <w:tabs>
        <w:tab w:val="left" w:pos="851"/>
      </w:tabs>
      <w:spacing w:before="60" w:after="60"/>
      <w:outlineLvl w:val="1"/>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2E2"/>
    <w:rPr>
      <w:rFonts w:ascii="Verdana" w:eastAsia="Times New Roman" w:hAnsi="Verdana" w:cs="Times New Roman"/>
      <w:b/>
      <w:kern w:val="32"/>
      <w:sz w:val="28"/>
      <w:szCs w:val="32"/>
    </w:rPr>
  </w:style>
  <w:style w:type="character" w:customStyle="1" w:styleId="Heading2Char">
    <w:name w:val="Heading 2 Char"/>
    <w:basedOn w:val="DefaultParagraphFont"/>
    <w:link w:val="Heading2"/>
    <w:rsid w:val="005D12E2"/>
    <w:rPr>
      <w:rFonts w:ascii="Verdana" w:eastAsia="Times New Roman" w:hAnsi="Verdana" w:cs="Times New Roman"/>
      <w:bCs/>
      <w:sz w:val="24"/>
      <w:szCs w:val="28"/>
    </w:rPr>
  </w:style>
  <w:style w:type="paragraph" w:styleId="TOC1">
    <w:name w:val="toc 1"/>
    <w:basedOn w:val="Heading1"/>
    <w:next w:val="Normal"/>
    <w:autoRedefine/>
    <w:uiPriority w:val="39"/>
    <w:rsid w:val="005D12E2"/>
    <w:pPr>
      <w:keepNext w:val="0"/>
      <w:numPr>
        <w:numId w:val="0"/>
      </w:numPr>
      <w:pBdr>
        <w:bottom w:val="none" w:sz="0" w:space="0" w:color="auto"/>
      </w:pBdr>
      <w:tabs>
        <w:tab w:val="clear" w:pos="851"/>
      </w:tabs>
      <w:spacing w:before="120" w:after="40"/>
      <w:outlineLvl w:val="9"/>
    </w:pPr>
    <w:rPr>
      <w:rFonts w:cs="Arial"/>
      <w:bCs/>
      <w:caps/>
      <w:kern w:val="0"/>
      <w:sz w:val="24"/>
      <w:szCs w:val="24"/>
    </w:rPr>
  </w:style>
  <w:style w:type="paragraph" w:customStyle="1" w:styleId="02S1CCContentsSubhead">
    <w:name w:val="02S1 CC Contents Subhead"/>
    <w:basedOn w:val="Normal"/>
    <w:next w:val="Normal"/>
    <w:autoRedefine/>
    <w:rsid w:val="004A0FCF"/>
    <w:pPr>
      <w:suppressAutoHyphens/>
      <w:spacing w:before="240"/>
      <w:outlineLvl w:val="0"/>
    </w:pPr>
    <w:rPr>
      <w:b/>
      <w:sz w:val="22"/>
      <w:szCs w:val="22"/>
    </w:rPr>
  </w:style>
  <w:style w:type="paragraph" w:styleId="TOC2">
    <w:name w:val="toc 2"/>
    <w:basedOn w:val="Heading2"/>
    <w:next w:val="Normal"/>
    <w:autoRedefine/>
    <w:uiPriority w:val="39"/>
    <w:rsid w:val="005D12E2"/>
    <w:pPr>
      <w:keepNext w:val="0"/>
      <w:numPr>
        <w:ilvl w:val="0"/>
        <w:numId w:val="0"/>
      </w:numPr>
      <w:tabs>
        <w:tab w:val="clear" w:pos="851"/>
      </w:tabs>
      <w:spacing w:before="0" w:after="40"/>
      <w:ind w:left="567"/>
      <w:outlineLvl w:val="9"/>
    </w:pPr>
    <w:rPr>
      <w:bCs w:val="0"/>
      <w:sz w:val="20"/>
      <w:szCs w:val="20"/>
    </w:rPr>
  </w:style>
  <w:style w:type="paragraph" w:customStyle="1" w:styleId="04THCCTablehead">
    <w:name w:val="04TH CC Table head"/>
    <w:basedOn w:val="Normal"/>
    <w:autoRedefine/>
    <w:rsid w:val="008178FF"/>
    <w:pPr>
      <w:suppressAutoHyphens/>
      <w:spacing w:before="60" w:after="60"/>
    </w:pPr>
    <w:rPr>
      <w:bCs/>
      <w:sz w:val="24"/>
      <w:szCs w:val="24"/>
    </w:rPr>
  </w:style>
  <w:style w:type="paragraph" w:customStyle="1" w:styleId="04TCCCTableCentresubhead">
    <w:name w:val="04TC CC Table Centre subhead"/>
    <w:basedOn w:val="Normal"/>
    <w:autoRedefine/>
    <w:rsid w:val="005D12E2"/>
    <w:pPr>
      <w:suppressAutoHyphens/>
    </w:pPr>
    <w:rPr>
      <w:b/>
      <w:szCs w:val="18"/>
    </w:rPr>
  </w:style>
  <w:style w:type="paragraph" w:customStyle="1" w:styleId="Default">
    <w:name w:val="Default"/>
    <w:rsid w:val="005D12E2"/>
    <w:pPr>
      <w:autoSpaceDE w:val="0"/>
      <w:autoSpaceDN w:val="0"/>
      <w:adjustRightInd w:val="0"/>
      <w:spacing w:after="0" w:line="240" w:lineRule="auto"/>
    </w:pPr>
    <w:rPr>
      <w:rFonts w:ascii="Arial" w:eastAsia="Times New Roman" w:hAnsi="Arial" w:cs="Arial"/>
      <w:color w:val="000000"/>
      <w:szCs w:val="24"/>
      <w:lang w:eastAsia="en-GB"/>
    </w:rPr>
  </w:style>
  <w:style w:type="paragraph" w:styleId="Header">
    <w:name w:val="header"/>
    <w:basedOn w:val="Normal"/>
    <w:link w:val="HeaderChar"/>
    <w:unhideWhenUsed/>
    <w:rsid w:val="005D12E2"/>
    <w:pPr>
      <w:tabs>
        <w:tab w:val="center" w:pos="4513"/>
        <w:tab w:val="right" w:pos="9026"/>
      </w:tabs>
      <w:spacing w:before="0" w:after="0"/>
    </w:pPr>
  </w:style>
  <w:style w:type="character" w:customStyle="1" w:styleId="HeaderChar">
    <w:name w:val="Header Char"/>
    <w:basedOn w:val="DefaultParagraphFont"/>
    <w:link w:val="Header"/>
    <w:uiPriority w:val="99"/>
    <w:rsid w:val="005D12E2"/>
    <w:rPr>
      <w:rFonts w:ascii="Verdana" w:eastAsia="Times New Roman" w:hAnsi="Verdana" w:cs="Times New Roman"/>
      <w:sz w:val="18"/>
      <w:szCs w:val="20"/>
    </w:rPr>
  </w:style>
  <w:style w:type="paragraph" w:styleId="Footer">
    <w:name w:val="footer"/>
    <w:basedOn w:val="Normal"/>
    <w:link w:val="FooterChar"/>
    <w:uiPriority w:val="99"/>
    <w:unhideWhenUsed/>
    <w:rsid w:val="000A703A"/>
    <w:pPr>
      <w:tabs>
        <w:tab w:val="center" w:pos="4513"/>
        <w:tab w:val="right" w:pos="9026"/>
      </w:tabs>
      <w:spacing w:before="0" w:after="0"/>
    </w:pPr>
  </w:style>
  <w:style w:type="character" w:customStyle="1" w:styleId="FooterChar">
    <w:name w:val="Footer Char"/>
    <w:basedOn w:val="DefaultParagraphFont"/>
    <w:link w:val="Footer"/>
    <w:uiPriority w:val="99"/>
    <w:rsid w:val="000A703A"/>
    <w:rPr>
      <w:rFonts w:ascii="Verdana" w:eastAsia="Times New Roman" w:hAnsi="Verdana" w:cs="Times New Roman"/>
      <w:sz w:val="18"/>
      <w:szCs w:val="20"/>
    </w:rPr>
  </w:style>
  <w:style w:type="paragraph" w:styleId="NormalWeb">
    <w:name w:val="Normal (Web)"/>
    <w:basedOn w:val="Normal"/>
    <w:uiPriority w:val="99"/>
    <w:rsid w:val="000A703A"/>
    <w:pPr>
      <w:spacing w:before="100" w:beforeAutospacing="1" w:after="100" w:afterAutospacing="1"/>
    </w:pPr>
    <w:rPr>
      <w:rFonts w:ascii="Arial Unicode MS" w:eastAsia="Arial Unicode MS" w:hAnsi="Arial Unicode MS" w:cs="Arial Unicode MS"/>
      <w:color w:val="000000"/>
      <w:sz w:val="24"/>
      <w:szCs w:val="24"/>
      <w:lang w:val="en-AU"/>
    </w:rPr>
  </w:style>
  <w:style w:type="paragraph" w:styleId="ListParagraph">
    <w:name w:val="List Paragraph"/>
    <w:basedOn w:val="Normal"/>
    <w:link w:val="ListParagraphChar"/>
    <w:uiPriority w:val="34"/>
    <w:qFormat/>
    <w:rsid w:val="000A703A"/>
    <w:pPr>
      <w:spacing w:before="0"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92DB8"/>
    <w:pPr>
      <w:spacing w:after="0" w:line="240" w:lineRule="auto"/>
    </w:pPr>
  </w:style>
  <w:style w:type="table" w:styleId="TableGrid">
    <w:name w:val="Table Grid"/>
    <w:basedOn w:val="TableNormal"/>
    <w:uiPriority w:val="59"/>
    <w:rsid w:val="007D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41ED1"/>
    <w:pPr>
      <w:spacing w:before="0" w:after="160" w:line="240" w:lineRule="exact"/>
    </w:pPr>
    <w:rPr>
      <w:rFonts w:ascii="Tahoma" w:hAnsi="Tahoma"/>
      <w:sz w:val="20"/>
      <w:lang w:val="en-US"/>
    </w:rPr>
  </w:style>
  <w:style w:type="character" w:customStyle="1" w:styleId="Bold">
    <w:name w:val="Bold"/>
    <w:rsid w:val="00702EE5"/>
    <w:rPr>
      <w:b/>
    </w:rPr>
  </w:style>
  <w:style w:type="paragraph" w:customStyle="1" w:styleId="TableHeader">
    <w:name w:val="TableHeader"/>
    <w:basedOn w:val="Normal"/>
    <w:rsid w:val="00702EE5"/>
    <w:pPr>
      <w:keepLines/>
      <w:tabs>
        <w:tab w:val="left" w:pos="1080"/>
      </w:tabs>
      <w:spacing w:before="120" w:after="120"/>
    </w:pPr>
    <w:rPr>
      <w:rFonts w:ascii="Arial" w:hAnsi="Arial" w:cs="Arial"/>
      <w:b/>
      <w:bCs/>
      <w:color w:val="FFFFFF"/>
      <w:sz w:val="24"/>
    </w:rPr>
  </w:style>
  <w:style w:type="paragraph" w:customStyle="1" w:styleId="TableText">
    <w:name w:val="TableText"/>
    <w:basedOn w:val="Normal"/>
    <w:rsid w:val="00702EE5"/>
    <w:pPr>
      <w:keepLines/>
      <w:tabs>
        <w:tab w:val="left" w:pos="1080"/>
      </w:tabs>
      <w:spacing w:before="120" w:after="120"/>
    </w:pPr>
    <w:rPr>
      <w:rFonts w:ascii="Arial" w:hAnsi="Arial" w:cs="Arial"/>
      <w:color w:val="000000"/>
    </w:rPr>
  </w:style>
  <w:style w:type="paragraph" w:styleId="BalloonText">
    <w:name w:val="Balloon Text"/>
    <w:basedOn w:val="Normal"/>
    <w:link w:val="BalloonTextChar"/>
    <w:uiPriority w:val="99"/>
    <w:semiHidden/>
    <w:unhideWhenUsed/>
    <w:rsid w:val="00702EE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EE5"/>
    <w:rPr>
      <w:rFonts w:ascii="Tahoma" w:eastAsia="Times New Roman" w:hAnsi="Tahoma" w:cs="Tahoma"/>
      <w:sz w:val="16"/>
      <w:szCs w:val="16"/>
    </w:rPr>
  </w:style>
  <w:style w:type="paragraph" w:customStyle="1" w:styleId="Bullets">
    <w:name w:val="Bullets"/>
    <w:basedOn w:val="Normal"/>
    <w:rsid w:val="00971D80"/>
    <w:pPr>
      <w:numPr>
        <w:numId w:val="20"/>
      </w:numPr>
      <w:spacing w:before="0" w:after="80" w:line="260" w:lineRule="exact"/>
    </w:pPr>
    <w:rPr>
      <w:rFonts w:ascii="Arial" w:eastAsia="MS Mincho" w:hAnsi="Arial"/>
      <w:sz w:val="20"/>
      <w:szCs w:val="24"/>
      <w:lang w:eastAsia="ja-JP"/>
    </w:rPr>
  </w:style>
  <w:style w:type="character" w:styleId="CommentReference">
    <w:name w:val="annotation reference"/>
    <w:basedOn w:val="DefaultParagraphFont"/>
    <w:uiPriority w:val="99"/>
    <w:semiHidden/>
    <w:unhideWhenUsed/>
    <w:rsid w:val="00146D14"/>
    <w:rPr>
      <w:sz w:val="16"/>
      <w:szCs w:val="16"/>
    </w:rPr>
  </w:style>
  <w:style w:type="paragraph" w:styleId="CommentText">
    <w:name w:val="annotation text"/>
    <w:basedOn w:val="Normal"/>
    <w:link w:val="CommentTextChar"/>
    <w:uiPriority w:val="99"/>
    <w:semiHidden/>
    <w:unhideWhenUsed/>
    <w:rsid w:val="00146D14"/>
    <w:rPr>
      <w:sz w:val="20"/>
    </w:rPr>
  </w:style>
  <w:style w:type="character" w:customStyle="1" w:styleId="CommentTextChar">
    <w:name w:val="Comment Text Char"/>
    <w:basedOn w:val="DefaultParagraphFont"/>
    <w:link w:val="CommentText"/>
    <w:uiPriority w:val="99"/>
    <w:semiHidden/>
    <w:rsid w:val="00146D1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46D14"/>
    <w:rPr>
      <w:b/>
      <w:bCs/>
    </w:rPr>
  </w:style>
  <w:style w:type="character" w:customStyle="1" w:styleId="CommentSubjectChar">
    <w:name w:val="Comment Subject Char"/>
    <w:basedOn w:val="CommentTextChar"/>
    <w:link w:val="CommentSubject"/>
    <w:uiPriority w:val="99"/>
    <w:semiHidden/>
    <w:rsid w:val="00146D14"/>
    <w:rPr>
      <w:rFonts w:ascii="Verdana" w:eastAsia="Times New Roman" w:hAnsi="Verdana" w:cs="Times New Roman"/>
      <w:b/>
      <w:bCs/>
      <w:sz w:val="20"/>
      <w:szCs w:val="20"/>
    </w:rPr>
  </w:style>
  <w:style w:type="paragraph" w:customStyle="1" w:styleId="CharCharChar0">
    <w:name w:val="Char Char Char"/>
    <w:basedOn w:val="Normal"/>
    <w:rsid w:val="00565B77"/>
    <w:pPr>
      <w:spacing w:before="0" w:after="160" w:line="240" w:lineRule="exact"/>
    </w:pPr>
    <w:rPr>
      <w:rFonts w:ascii="Tahoma" w:hAnsi="Tahoma"/>
      <w:sz w:val="20"/>
      <w:lang w:val="en-US"/>
    </w:rPr>
  </w:style>
  <w:style w:type="paragraph" w:customStyle="1" w:styleId="ColorfulList-Accent11">
    <w:name w:val="Colorful List - Accent 11"/>
    <w:basedOn w:val="Normal"/>
    <w:rsid w:val="00D5070E"/>
    <w:pPr>
      <w:spacing w:before="0"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D5070E"/>
  </w:style>
  <w:style w:type="paragraph" w:customStyle="1" w:styleId="01BSCCParagraphbodystyle">
    <w:name w:val="01BS CC Paragraph body style"/>
    <w:link w:val="01BSCCParagraphbodystyleChar"/>
    <w:rsid w:val="00AC516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AC5167"/>
    <w:pPr>
      <w:numPr>
        <w:numId w:val="42"/>
      </w:numPr>
      <w:spacing w:after="0"/>
      <w:ind w:right="284"/>
    </w:pPr>
    <w:rPr>
      <w:szCs w:val="22"/>
    </w:rPr>
  </w:style>
  <w:style w:type="paragraph" w:customStyle="1" w:styleId="01S2CCSubhead2">
    <w:name w:val="01S2 CC Subhead 2"/>
    <w:basedOn w:val="Normal"/>
    <w:next w:val="01BSCCParagraphbodystyle"/>
    <w:autoRedefine/>
    <w:rsid w:val="00AC5167"/>
    <w:pPr>
      <w:widowControl w:val="0"/>
      <w:spacing w:before="56" w:after="0" w:line="278" w:lineRule="auto"/>
      <w:ind w:right="176"/>
    </w:pPr>
    <w:rPr>
      <w:rFonts w:eastAsia="Arial"/>
      <w:b/>
      <w:bCs/>
      <w:color w:val="000000" w:themeColor="text1"/>
      <w:sz w:val="22"/>
      <w:szCs w:val="22"/>
      <w:lang w:val="en-US"/>
    </w:rPr>
  </w:style>
  <w:style w:type="character" w:styleId="Hyperlink">
    <w:name w:val="Hyperlink"/>
    <w:uiPriority w:val="99"/>
    <w:rsid w:val="00AC5167"/>
    <w:rPr>
      <w:color w:val="0000FF"/>
      <w:u w:val="single"/>
    </w:rPr>
  </w:style>
  <w:style w:type="character" w:customStyle="1" w:styleId="01BSCCParagraphbodystyleChar">
    <w:name w:val="01BS CC Paragraph body style Char"/>
    <w:link w:val="01BSCCParagraphbodystyle"/>
    <w:rsid w:val="00AC5167"/>
    <w:rPr>
      <w:rFonts w:ascii="Verdana" w:eastAsia="Times New Roman" w:hAnsi="Verdana" w:cs="Times New Roman"/>
      <w:szCs w:val="20"/>
    </w:rPr>
  </w:style>
  <w:style w:type="paragraph" w:styleId="Revision">
    <w:name w:val="Revision"/>
    <w:hidden/>
    <w:uiPriority w:val="99"/>
    <w:semiHidden/>
    <w:rsid w:val="009F643D"/>
    <w:pPr>
      <w:spacing w:after="0" w:line="240" w:lineRule="auto"/>
    </w:pPr>
    <w:rPr>
      <w:rFonts w:ascii="Verdana" w:eastAsia="Times New Roman" w:hAnsi="Verdana"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31"/>
    <w:pPr>
      <w:spacing w:before="40" w:after="40" w:line="240" w:lineRule="auto"/>
    </w:pPr>
    <w:rPr>
      <w:rFonts w:ascii="Verdana" w:eastAsia="Times New Roman" w:hAnsi="Verdana" w:cs="Times New Roman"/>
      <w:sz w:val="18"/>
      <w:szCs w:val="20"/>
    </w:rPr>
  </w:style>
  <w:style w:type="paragraph" w:styleId="Heading1">
    <w:name w:val="heading 1"/>
    <w:basedOn w:val="Normal"/>
    <w:next w:val="Normal"/>
    <w:link w:val="Heading1Char"/>
    <w:autoRedefine/>
    <w:qFormat/>
    <w:rsid w:val="005D12E2"/>
    <w:pPr>
      <w:keepNext/>
      <w:numPr>
        <w:numId w:val="1"/>
      </w:numPr>
      <w:pBdr>
        <w:bottom w:val="single" w:sz="12" w:space="1" w:color="99CC00"/>
      </w:pBdr>
      <w:tabs>
        <w:tab w:val="left" w:pos="851"/>
      </w:tabs>
      <w:spacing w:before="240" w:after="60"/>
      <w:outlineLvl w:val="0"/>
    </w:pPr>
    <w:rPr>
      <w:b/>
      <w:kern w:val="32"/>
      <w:sz w:val="28"/>
      <w:szCs w:val="32"/>
    </w:rPr>
  </w:style>
  <w:style w:type="paragraph" w:styleId="Heading2">
    <w:name w:val="heading 2"/>
    <w:basedOn w:val="Normal"/>
    <w:next w:val="Normal"/>
    <w:link w:val="Heading2Char"/>
    <w:autoRedefine/>
    <w:qFormat/>
    <w:rsid w:val="005D12E2"/>
    <w:pPr>
      <w:keepNext/>
      <w:numPr>
        <w:ilvl w:val="1"/>
        <w:numId w:val="1"/>
      </w:numPr>
      <w:tabs>
        <w:tab w:val="left" w:pos="851"/>
      </w:tabs>
      <w:spacing w:before="60" w:after="60"/>
      <w:outlineLvl w:val="1"/>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2E2"/>
    <w:rPr>
      <w:rFonts w:ascii="Verdana" w:eastAsia="Times New Roman" w:hAnsi="Verdana" w:cs="Times New Roman"/>
      <w:b/>
      <w:kern w:val="32"/>
      <w:sz w:val="28"/>
      <w:szCs w:val="32"/>
    </w:rPr>
  </w:style>
  <w:style w:type="character" w:customStyle="1" w:styleId="Heading2Char">
    <w:name w:val="Heading 2 Char"/>
    <w:basedOn w:val="DefaultParagraphFont"/>
    <w:link w:val="Heading2"/>
    <w:rsid w:val="005D12E2"/>
    <w:rPr>
      <w:rFonts w:ascii="Verdana" w:eastAsia="Times New Roman" w:hAnsi="Verdana" w:cs="Times New Roman"/>
      <w:bCs/>
      <w:sz w:val="24"/>
      <w:szCs w:val="28"/>
    </w:rPr>
  </w:style>
  <w:style w:type="paragraph" w:styleId="TOC1">
    <w:name w:val="toc 1"/>
    <w:basedOn w:val="Heading1"/>
    <w:next w:val="Normal"/>
    <w:autoRedefine/>
    <w:uiPriority w:val="39"/>
    <w:rsid w:val="005D12E2"/>
    <w:pPr>
      <w:keepNext w:val="0"/>
      <w:numPr>
        <w:numId w:val="0"/>
      </w:numPr>
      <w:pBdr>
        <w:bottom w:val="none" w:sz="0" w:space="0" w:color="auto"/>
      </w:pBdr>
      <w:tabs>
        <w:tab w:val="clear" w:pos="851"/>
      </w:tabs>
      <w:spacing w:before="120" w:after="40"/>
      <w:outlineLvl w:val="9"/>
    </w:pPr>
    <w:rPr>
      <w:rFonts w:cs="Arial"/>
      <w:bCs/>
      <w:caps/>
      <w:kern w:val="0"/>
      <w:sz w:val="24"/>
      <w:szCs w:val="24"/>
    </w:rPr>
  </w:style>
  <w:style w:type="paragraph" w:customStyle="1" w:styleId="02S1CCContentsSubhead">
    <w:name w:val="02S1 CC Contents Subhead"/>
    <w:basedOn w:val="Normal"/>
    <w:next w:val="Normal"/>
    <w:autoRedefine/>
    <w:rsid w:val="004A0FCF"/>
    <w:pPr>
      <w:suppressAutoHyphens/>
      <w:spacing w:before="240"/>
      <w:outlineLvl w:val="0"/>
    </w:pPr>
    <w:rPr>
      <w:b/>
      <w:sz w:val="22"/>
      <w:szCs w:val="22"/>
    </w:rPr>
  </w:style>
  <w:style w:type="paragraph" w:styleId="TOC2">
    <w:name w:val="toc 2"/>
    <w:basedOn w:val="Heading2"/>
    <w:next w:val="Normal"/>
    <w:autoRedefine/>
    <w:uiPriority w:val="39"/>
    <w:rsid w:val="005D12E2"/>
    <w:pPr>
      <w:keepNext w:val="0"/>
      <w:numPr>
        <w:ilvl w:val="0"/>
        <w:numId w:val="0"/>
      </w:numPr>
      <w:tabs>
        <w:tab w:val="clear" w:pos="851"/>
      </w:tabs>
      <w:spacing w:before="0" w:after="40"/>
      <w:ind w:left="567"/>
      <w:outlineLvl w:val="9"/>
    </w:pPr>
    <w:rPr>
      <w:bCs w:val="0"/>
      <w:sz w:val="20"/>
      <w:szCs w:val="20"/>
    </w:rPr>
  </w:style>
  <w:style w:type="paragraph" w:customStyle="1" w:styleId="04THCCTablehead">
    <w:name w:val="04TH CC Table head"/>
    <w:basedOn w:val="Normal"/>
    <w:autoRedefine/>
    <w:rsid w:val="008178FF"/>
    <w:pPr>
      <w:suppressAutoHyphens/>
      <w:spacing w:before="60" w:after="60"/>
    </w:pPr>
    <w:rPr>
      <w:bCs/>
      <w:sz w:val="24"/>
      <w:szCs w:val="24"/>
    </w:rPr>
  </w:style>
  <w:style w:type="paragraph" w:customStyle="1" w:styleId="04TCCCTableCentresubhead">
    <w:name w:val="04TC CC Table Centre subhead"/>
    <w:basedOn w:val="Normal"/>
    <w:autoRedefine/>
    <w:rsid w:val="005D12E2"/>
    <w:pPr>
      <w:suppressAutoHyphens/>
    </w:pPr>
    <w:rPr>
      <w:b/>
      <w:szCs w:val="18"/>
    </w:rPr>
  </w:style>
  <w:style w:type="paragraph" w:customStyle="1" w:styleId="Default">
    <w:name w:val="Default"/>
    <w:rsid w:val="005D12E2"/>
    <w:pPr>
      <w:autoSpaceDE w:val="0"/>
      <w:autoSpaceDN w:val="0"/>
      <w:adjustRightInd w:val="0"/>
      <w:spacing w:after="0" w:line="240" w:lineRule="auto"/>
    </w:pPr>
    <w:rPr>
      <w:rFonts w:ascii="Arial" w:eastAsia="Times New Roman" w:hAnsi="Arial" w:cs="Arial"/>
      <w:color w:val="000000"/>
      <w:szCs w:val="24"/>
      <w:lang w:eastAsia="en-GB"/>
    </w:rPr>
  </w:style>
  <w:style w:type="paragraph" w:styleId="Header">
    <w:name w:val="header"/>
    <w:basedOn w:val="Normal"/>
    <w:link w:val="HeaderChar"/>
    <w:unhideWhenUsed/>
    <w:rsid w:val="005D12E2"/>
    <w:pPr>
      <w:tabs>
        <w:tab w:val="center" w:pos="4513"/>
        <w:tab w:val="right" w:pos="9026"/>
      </w:tabs>
      <w:spacing w:before="0" w:after="0"/>
    </w:pPr>
  </w:style>
  <w:style w:type="character" w:customStyle="1" w:styleId="HeaderChar">
    <w:name w:val="Header Char"/>
    <w:basedOn w:val="DefaultParagraphFont"/>
    <w:link w:val="Header"/>
    <w:uiPriority w:val="99"/>
    <w:rsid w:val="005D12E2"/>
    <w:rPr>
      <w:rFonts w:ascii="Verdana" w:eastAsia="Times New Roman" w:hAnsi="Verdana" w:cs="Times New Roman"/>
      <w:sz w:val="18"/>
      <w:szCs w:val="20"/>
    </w:rPr>
  </w:style>
  <w:style w:type="paragraph" w:styleId="Footer">
    <w:name w:val="footer"/>
    <w:basedOn w:val="Normal"/>
    <w:link w:val="FooterChar"/>
    <w:uiPriority w:val="99"/>
    <w:unhideWhenUsed/>
    <w:rsid w:val="000A703A"/>
    <w:pPr>
      <w:tabs>
        <w:tab w:val="center" w:pos="4513"/>
        <w:tab w:val="right" w:pos="9026"/>
      </w:tabs>
      <w:spacing w:before="0" w:after="0"/>
    </w:pPr>
  </w:style>
  <w:style w:type="character" w:customStyle="1" w:styleId="FooterChar">
    <w:name w:val="Footer Char"/>
    <w:basedOn w:val="DefaultParagraphFont"/>
    <w:link w:val="Footer"/>
    <w:uiPriority w:val="99"/>
    <w:rsid w:val="000A703A"/>
    <w:rPr>
      <w:rFonts w:ascii="Verdana" w:eastAsia="Times New Roman" w:hAnsi="Verdana" w:cs="Times New Roman"/>
      <w:sz w:val="18"/>
      <w:szCs w:val="20"/>
    </w:rPr>
  </w:style>
  <w:style w:type="paragraph" w:styleId="NormalWeb">
    <w:name w:val="Normal (Web)"/>
    <w:basedOn w:val="Normal"/>
    <w:uiPriority w:val="99"/>
    <w:rsid w:val="000A703A"/>
    <w:pPr>
      <w:spacing w:before="100" w:beforeAutospacing="1" w:after="100" w:afterAutospacing="1"/>
    </w:pPr>
    <w:rPr>
      <w:rFonts w:ascii="Arial Unicode MS" w:eastAsia="Arial Unicode MS" w:hAnsi="Arial Unicode MS" w:cs="Arial Unicode MS"/>
      <w:color w:val="000000"/>
      <w:sz w:val="24"/>
      <w:szCs w:val="24"/>
      <w:lang w:val="en-AU"/>
    </w:rPr>
  </w:style>
  <w:style w:type="paragraph" w:styleId="ListParagraph">
    <w:name w:val="List Paragraph"/>
    <w:basedOn w:val="Normal"/>
    <w:link w:val="ListParagraphChar"/>
    <w:uiPriority w:val="34"/>
    <w:qFormat/>
    <w:rsid w:val="000A703A"/>
    <w:pPr>
      <w:spacing w:before="0"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92DB8"/>
    <w:pPr>
      <w:spacing w:after="0" w:line="240" w:lineRule="auto"/>
    </w:pPr>
  </w:style>
  <w:style w:type="table" w:styleId="TableGrid">
    <w:name w:val="Table Grid"/>
    <w:basedOn w:val="TableNormal"/>
    <w:uiPriority w:val="59"/>
    <w:rsid w:val="007D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41ED1"/>
    <w:pPr>
      <w:spacing w:before="0" w:after="160" w:line="240" w:lineRule="exact"/>
    </w:pPr>
    <w:rPr>
      <w:rFonts w:ascii="Tahoma" w:hAnsi="Tahoma"/>
      <w:sz w:val="20"/>
      <w:lang w:val="en-US"/>
    </w:rPr>
  </w:style>
  <w:style w:type="character" w:customStyle="1" w:styleId="Bold">
    <w:name w:val="Bold"/>
    <w:rsid w:val="00702EE5"/>
    <w:rPr>
      <w:b/>
    </w:rPr>
  </w:style>
  <w:style w:type="paragraph" w:customStyle="1" w:styleId="TableHeader">
    <w:name w:val="TableHeader"/>
    <w:basedOn w:val="Normal"/>
    <w:rsid w:val="00702EE5"/>
    <w:pPr>
      <w:keepLines/>
      <w:tabs>
        <w:tab w:val="left" w:pos="1080"/>
      </w:tabs>
      <w:spacing w:before="120" w:after="120"/>
    </w:pPr>
    <w:rPr>
      <w:rFonts w:ascii="Arial" w:hAnsi="Arial" w:cs="Arial"/>
      <w:b/>
      <w:bCs/>
      <w:color w:val="FFFFFF"/>
      <w:sz w:val="24"/>
    </w:rPr>
  </w:style>
  <w:style w:type="paragraph" w:customStyle="1" w:styleId="TableText">
    <w:name w:val="TableText"/>
    <w:basedOn w:val="Normal"/>
    <w:rsid w:val="00702EE5"/>
    <w:pPr>
      <w:keepLines/>
      <w:tabs>
        <w:tab w:val="left" w:pos="1080"/>
      </w:tabs>
      <w:spacing w:before="120" w:after="120"/>
    </w:pPr>
    <w:rPr>
      <w:rFonts w:ascii="Arial" w:hAnsi="Arial" w:cs="Arial"/>
      <w:color w:val="000000"/>
    </w:rPr>
  </w:style>
  <w:style w:type="paragraph" w:styleId="BalloonText">
    <w:name w:val="Balloon Text"/>
    <w:basedOn w:val="Normal"/>
    <w:link w:val="BalloonTextChar"/>
    <w:uiPriority w:val="99"/>
    <w:semiHidden/>
    <w:unhideWhenUsed/>
    <w:rsid w:val="00702EE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EE5"/>
    <w:rPr>
      <w:rFonts w:ascii="Tahoma" w:eastAsia="Times New Roman" w:hAnsi="Tahoma" w:cs="Tahoma"/>
      <w:sz w:val="16"/>
      <w:szCs w:val="16"/>
    </w:rPr>
  </w:style>
  <w:style w:type="paragraph" w:customStyle="1" w:styleId="Bullets">
    <w:name w:val="Bullets"/>
    <w:basedOn w:val="Normal"/>
    <w:rsid w:val="00971D80"/>
    <w:pPr>
      <w:numPr>
        <w:numId w:val="20"/>
      </w:numPr>
      <w:spacing w:before="0" w:after="80" w:line="260" w:lineRule="exact"/>
    </w:pPr>
    <w:rPr>
      <w:rFonts w:ascii="Arial" w:eastAsia="MS Mincho" w:hAnsi="Arial"/>
      <w:sz w:val="20"/>
      <w:szCs w:val="24"/>
      <w:lang w:eastAsia="ja-JP"/>
    </w:rPr>
  </w:style>
  <w:style w:type="character" w:styleId="CommentReference">
    <w:name w:val="annotation reference"/>
    <w:basedOn w:val="DefaultParagraphFont"/>
    <w:uiPriority w:val="99"/>
    <w:semiHidden/>
    <w:unhideWhenUsed/>
    <w:rsid w:val="00146D14"/>
    <w:rPr>
      <w:sz w:val="16"/>
      <w:szCs w:val="16"/>
    </w:rPr>
  </w:style>
  <w:style w:type="paragraph" w:styleId="CommentText">
    <w:name w:val="annotation text"/>
    <w:basedOn w:val="Normal"/>
    <w:link w:val="CommentTextChar"/>
    <w:uiPriority w:val="99"/>
    <w:semiHidden/>
    <w:unhideWhenUsed/>
    <w:rsid w:val="00146D14"/>
    <w:rPr>
      <w:sz w:val="20"/>
    </w:rPr>
  </w:style>
  <w:style w:type="character" w:customStyle="1" w:styleId="CommentTextChar">
    <w:name w:val="Comment Text Char"/>
    <w:basedOn w:val="DefaultParagraphFont"/>
    <w:link w:val="CommentText"/>
    <w:uiPriority w:val="99"/>
    <w:semiHidden/>
    <w:rsid w:val="00146D1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46D14"/>
    <w:rPr>
      <w:b/>
      <w:bCs/>
    </w:rPr>
  </w:style>
  <w:style w:type="character" w:customStyle="1" w:styleId="CommentSubjectChar">
    <w:name w:val="Comment Subject Char"/>
    <w:basedOn w:val="CommentTextChar"/>
    <w:link w:val="CommentSubject"/>
    <w:uiPriority w:val="99"/>
    <w:semiHidden/>
    <w:rsid w:val="00146D14"/>
    <w:rPr>
      <w:rFonts w:ascii="Verdana" w:eastAsia="Times New Roman" w:hAnsi="Verdana" w:cs="Times New Roman"/>
      <w:b/>
      <w:bCs/>
      <w:sz w:val="20"/>
      <w:szCs w:val="20"/>
    </w:rPr>
  </w:style>
  <w:style w:type="paragraph" w:customStyle="1" w:styleId="CharCharChar0">
    <w:name w:val="Char Char Char"/>
    <w:basedOn w:val="Normal"/>
    <w:rsid w:val="00565B77"/>
    <w:pPr>
      <w:spacing w:before="0" w:after="160" w:line="240" w:lineRule="exact"/>
    </w:pPr>
    <w:rPr>
      <w:rFonts w:ascii="Tahoma" w:hAnsi="Tahoma"/>
      <w:sz w:val="20"/>
      <w:lang w:val="en-US"/>
    </w:rPr>
  </w:style>
  <w:style w:type="paragraph" w:customStyle="1" w:styleId="ColorfulList-Accent11">
    <w:name w:val="Colorful List - Accent 11"/>
    <w:basedOn w:val="Normal"/>
    <w:rsid w:val="00D5070E"/>
    <w:pPr>
      <w:spacing w:before="0"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D5070E"/>
  </w:style>
  <w:style w:type="paragraph" w:customStyle="1" w:styleId="01BSCCParagraphbodystyle">
    <w:name w:val="01BS CC Paragraph body style"/>
    <w:link w:val="01BSCCParagraphbodystyleChar"/>
    <w:rsid w:val="00AC516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AC5167"/>
    <w:pPr>
      <w:numPr>
        <w:numId w:val="42"/>
      </w:numPr>
      <w:spacing w:after="0"/>
      <w:ind w:right="284"/>
    </w:pPr>
    <w:rPr>
      <w:szCs w:val="22"/>
    </w:rPr>
  </w:style>
  <w:style w:type="paragraph" w:customStyle="1" w:styleId="01S2CCSubhead2">
    <w:name w:val="01S2 CC Subhead 2"/>
    <w:basedOn w:val="Normal"/>
    <w:next w:val="01BSCCParagraphbodystyle"/>
    <w:autoRedefine/>
    <w:rsid w:val="00AC5167"/>
    <w:pPr>
      <w:widowControl w:val="0"/>
      <w:spacing w:before="56" w:after="0" w:line="278" w:lineRule="auto"/>
      <w:ind w:right="176"/>
    </w:pPr>
    <w:rPr>
      <w:rFonts w:eastAsia="Arial"/>
      <w:b/>
      <w:bCs/>
      <w:color w:val="000000" w:themeColor="text1"/>
      <w:sz w:val="22"/>
      <w:szCs w:val="22"/>
      <w:lang w:val="en-US"/>
    </w:rPr>
  </w:style>
  <w:style w:type="character" w:styleId="Hyperlink">
    <w:name w:val="Hyperlink"/>
    <w:uiPriority w:val="99"/>
    <w:rsid w:val="00AC5167"/>
    <w:rPr>
      <w:color w:val="0000FF"/>
      <w:u w:val="single"/>
    </w:rPr>
  </w:style>
  <w:style w:type="character" w:customStyle="1" w:styleId="01BSCCParagraphbodystyleChar">
    <w:name w:val="01BS CC Paragraph body style Char"/>
    <w:link w:val="01BSCCParagraphbodystyle"/>
    <w:rsid w:val="00AC5167"/>
    <w:rPr>
      <w:rFonts w:ascii="Verdana" w:eastAsia="Times New Roman" w:hAnsi="Verdana" w:cs="Times New Roman"/>
      <w:szCs w:val="20"/>
    </w:rPr>
  </w:style>
  <w:style w:type="paragraph" w:styleId="Revision">
    <w:name w:val="Revision"/>
    <w:hidden/>
    <w:uiPriority w:val="99"/>
    <w:semiHidden/>
    <w:rsid w:val="009F643D"/>
    <w:pPr>
      <w:spacing w:after="0" w:line="240" w:lineRule="auto"/>
    </w:pPr>
    <w:rPr>
      <w:rFonts w:ascii="Verdana" w:eastAsia="Times New Roman" w:hAnsi="Verdana"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nwall.gov.uk/idoc.ashx?docid=13f38f93-380a-4240-9681-9401c05ff2c3&amp;version=-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nwall.gov.uk/idoc.ashx?docid=6f051472-2160-4436-9e5b-2feee2b504b9&amp;version=-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line-procedures.co.uk/swcpp/" TargetMode="External"/><Relationship Id="rId5" Type="http://schemas.openxmlformats.org/officeDocument/2006/relationships/settings" Target="settings.xml"/><Relationship Id="rId15" Type="http://schemas.openxmlformats.org/officeDocument/2006/relationships/hyperlink" Target="http://www.cornwall.gov.uk/health-and-social-care/safeguarding-adults/" TargetMode="External"/><Relationship Id="rId10" Type="http://schemas.openxmlformats.org/officeDocument/2006/relationships/hyperlink" Target="mailto:hrsafeguardingteam@cornwall.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rnwall.gov.uk/health-and-social-care/children-and-family-care/children-schools-and-families-leafl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4636-6315-4A3B-B614-549812C5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4F719ED3</Template>
  <TotalTime>12</TotalTime>
  <Pages>18</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McKibben Jennifer</dc:creator>
  <cp:lastModifiedBy>McKibben Jennifer</cp:lastModifiedBy>
  <cp:revision>5</cp:revision>
  <cp:lastPrinted>2016-05-13T12:22:00Z</cp:lastPrinted>
  <dcterms:created xsi:type="dcterms:W3CDTF">2016-05-24T11:13:00Z</dcterms:created>
  <dcterms:modified xsi:type="dcterms:W3CDTF">2016-06-27T09:53:00Z</dcterms:modified>
</cp:coreProperties>
</file>