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38771110" w14:textId="413250C2" w:rsidR="008E53C7" w:rsidRDefault="0038043C" w:rsidP="00B042F6">
      <w:pPr>
        <w:pStyle w:val="ReporttitlePurple"/>
      </w:pPr>
      <w:r>
        <w:t>Bat Literature Review Project – Specifications</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5AC5743B" w14:textId="77777777" w:rsidR="0038043C" w:rsidRPr="00C23D6C" w:rsidRDefault="0038043C" w:rsidP="0038043C">
      <w:pPr>
        <w:pStyle w:val="Blockheading"/>
      </w:pPr>
      <w:r w:rsidRPr="00C23D6C">
        <w:lastRenderedPageBreak/>
        <w:t xml:space="preserve">Background to </w:t>
      </w:r>
      <w:r>
        <w:t>Natural England</w:t>
      </w:r>
    </w:p>
    <w:p w14:paraId="6408D379" w14:textId="77777777" w:rsidR="0038043C" w:rsidRPr="005E36A8" w:rsidRDefault="0038043C" w:rsidP="0038043C">
      <w:pPr>
        <w:pStyle w:val="NormalWeb"/>
        <w:rPr>
          <w:rStyle w:val="Text"/>
        </w:rPr>
      </w:pPr>
      <w:r w:rsidRPr="006B482F">
        <w:rPr>
          <w:rStyle w:val="Text"/>
        </w:rPr>
        <w:t>Our vision is of Thriving nature for people and planet.</w:t>
      </w:r>
      <w:r>
        <w:rPr>
          <w:rStyle w:val="Text"/>
        </w:rPr>
        <w:t xml:space="preserve"> </w:t>
      </w:r>
      <w:r w:rsidRPr="005E36A8">
        <w:rPr>
          <w:rStyle w:val="Text"/>
        </w:rPr>
        <w:t xml:space="preserve">Our ambition is not just to improve nature, but to see it thriving everywhere. This is because we recognise that a healthy natural environment is fundamental to everyone’s wealth, </w:t>
      </w:r>
      <w:proofErr w:type="gramStart"/>
      <w:r w:rsidRPr="005E36A8">
        <w:rPr>
          <w:rStyle w:val="Text"/>
        </w:rPr>
        <w:t>health</w:t>
      </w:r>
      <w:proofErr w:type="gramEnd"/>
      <w:r w:rsidRPr="005E36A8">
        <w:rPr>
          <w:rStyle w:val="Text"/>
        </w:rPr>
        <w:t xml:space="preserve"> and happiness.</w:t>
      </w:r>
    </w:p>
    <w:p w14:paraId="41A5B335" w14:textId="77777777" w:rsidR="0038043C" w:rsidRDefault="0038043C" w:rsidP="0038043C">
      <w:pPr>
        <w:rPr>
          <w:rStyle w:val="Text"/>
        </w:rPr>
      </w:pPr>
      <w:bookmarkStart w:id="0" w:name="_Hlk142640271"/>
      <w:r w:rsidRPr="006B482F">
        <w:rPr>
          <w:rStyle w:val="Text"/>
        </w:rPr>
        <w:t xml:space="preserve">Assessing migration of bat species and interactions with Offshore </w:t>
      </w:r>
      <w:r>
        <w:rPr>
          <w:rStyle w:val="Text"/>
        </w:rPr>
        <w:t>W</w:t>
      </w:r>
      <w:r w:rsidRPr="006B482F">
        <w:rPr>
          <w:rStyle w:val="Text"/>
        </w:rPr>
        <w:t xml:space="preserve">ind </w:t>
      </w:r>
      <w:r>
        <w:rPr>
          <w:rStyle w:val="Text"/>
        </w:rPr>
        <w:t>F</w:t>
      </w:r>
      <w:r w:rsidRPr="006B482F">
        <w:rPr>
          <w:rStyle w:val="Text"/>
        </w:rPr>
        <w:t>arms </w:t>
      </w:r>
      <w:r>
        <w:rPr>
          <w:rStyle w:val="Text"/>
        </w:rPr>
        <w:t>in English Waters</w:t>
      </w:r>
      <w:r w:rsidRPr="006B482F">
        <w:rPr>
          <w:rStyle w:val="Text"/>
        </w:rPr>
        <w:t xml:space="preserve"> </w:t>
      </w:r>
    </w:p>
    <w:bookmarkEnd w:id="0"/>
    <w:p w14:paraId="0CD8C176" w14:textId="77777777" w:rsidR="0038043C" w:rsidRPr="006B482F" w:rsidRDefault="0038043C" w:rsidP="0038043C">
      <w:pPr>
        <w:rPr>
          <w:rStyle w:val="Text"/>
        </w:rPr>
      </w:pPr>
      <w:r w:rsidRPr="006B482F">
        <w:rPr>
          <w:rStyle w:val="Text"/>
        </w:rPr>
        <w:t>SGA-CAPERM008-13</w:t>
      </w:r>
    </w:p>
    <w:p w14:paraId="72829119" w14:textId="77777777" w:rsidR="0038043C" w:rsidRPr="00C23D6C" w:rsidRDefault="0038043C" w:rsidP="0038043C">
      <w:pPr>
        <w:pStyle w:val="Blockheading"/>
      </w:pPr>
      <w:r w:rsidRPr="00C23D6C">
        <w:t xml:space="preserve">Background to the specific work area relevant to this purchase </w:t>
      </w:r>
    </w:p>
    <w:p w14:paraId="160565FE" w14:textId="77777777" w:rsidR="0038043C" w:rsidRPr="006B482F" w:rsidRDefault="0038043C" w:rsidP="0038043C">
      <w:pPr>
        <w:rPr>
          <w:rStyle w:val="Text"/>
        </w:rPr>
      </w:pPr>
      <w:r w:rsidRPr="006B482F">
        <w:rPr>
          <w:rStyle w:val="Text"/>
        </w:rPr>
        <w:t>Natural England's Strategy and Government Advice Team are seeking bat specialists to undertake a literature</w:t>
      </w:r>
      <w:r>
        <w:rPr>
          <w:rStyle w:val="Text"/>
        </w:rPr>
        <w:t xml:space="preserve"> and evidence </w:t>
      </w:r>
      <w:r w:rsidRPr="006B482F">
        <w:rPr>
          <w:rStyle w:val="Text"/>
        </w:rPr>
        <w:t>review</w:t>
      </w:r>
      <w:r>
        <w:rPr>
          <w:rStyle w:val="Text"/>
        </w:rPr>
        <w:t xml:space="preserve"> and provide a report</w:t>
      </w:r>
      <w:r w:rsidRPr="006B482F">
        <w:rPr>
          <w:rStyle w:val="Text"/>
        </w:rPr>
        <w:t xml:space="preserve"> in relation to impacts of Offshore Wind on migrating bat species. Project is to run from October and be completed by March 2024.</w:t>
      </w:r>
    </w:p>
    <w:p w14:paraId="68268921" w14:textId="77777777" w:rsidR="0038043C" w:rsidRPr="00C23D6C" w:rsidRDefault="0038043C" w:rsidP="0038043C">
      <w:pPr>
        <w:pStyle w:val="Blockheading"/>
      </w:pPr>
      <w:r w:rsidRPr="00C23D6C">
        <w:t>Requirement</w:t>
      </w:r>
    </w:p>
    <w:p w14:paraId="2967983F" w14:textId="77777777" w:rsidR="0038043C" w:rsidRPr="006B482F" w:rsidRDefault="0038043C" w:rsidP="0038043C">
      <w:pPr>
        <w:rPr>
          <w:rStyle w:val="Text"/>
        </w:rPr>
      </w:pPr>
      <w:bookmarkStart w:id="1" w:name="_Hlk142643371"/>
      <w:r w:rsidRPr="006B482F">
        <w:rPr>
          <w:rStyle w:val="Text"/>
        </w:rPr>
        <w:t xml:space="preserve">Offshore wind projects in English waters are developing at pace as we move towards Net Zero Targets and ambitions to deliver 50 GW by 2030. It is Natural England duty to provide evidence-based advice as the government's statutory advisers. Potential impacts of Offshore wind farms on migrating species </w:t>
      </w:r>
      <w:proofErr w:type="gramStart"/>
      <w:r w:rsidRPr="006B482F">
        <w:rPr>
          <w:rStyle w:val="Text"/>
        </w:rPr>
        <w:t>is</w:t>
      </w:r>
      <w:proofErr w:type="gramEnd"/>
      <w:r w:rsidRPr="006B482F">
        <w:rPr>
          <w:rStyle w:val="Text"/>
        </w:rPr>
        <w:t xml:space="preserve"> moving up the international agenda. </w:t>
      </w:r>
    </w:p>
    <w:p w14:paraId="064879E3" w14:textId="77777777" w:rsidR="0038043C" w:rsidRPr="00F70B71" w:rsidRDefault="0038043C" w:rsidP="0038043C">
      <w:pPr>
        <w:rPr>
          <w:rStyle w:val="Text"/>
          <w:lang w:eastAsia="en-GB"/>
        </w:rPr>
      </w:pPr>
      <w:r w:rsidRPr="00F70B71">
        <w:rPr>
          <w:rStyle w:val="Text"/>
          <w:lang w:eastAsia="en-GB"/>
        </w:rPr>
        <w:t>Understanding the evidence base for the effect of offshore wind development and operation upon different environmental receptors is an integral component which underpins Natural England’s offshore wind work. Focal receptors are currently seabirds, marine mammals, benthic receptors (seafloor habitats and species) and designated fish. However, there is a current lack of evidence as to the effects of offshore wind farm development upon bat populations in English waters. This represents an evidence gap which needs to be addressed.   </w:t>
      </w:r>
    </w:p>
    <w:p w14:paraId="2578BA81" w14:textId="77777777" w:rsidR="0038043C" w:rsidRPr="00F70B71" w:rsidRDefault="0038043C" w:rsidP="0038043C">
      <w:pPr>
        <w:rPr>
          <w:rStyle w:val="Text"/>
          <w:lang w:eastAsia="en-GB"/>
        </w:rPr>
      </w:pPr>
      <w:r w:rsidRPr="00F70B71">
        <w:rPr>
          <w:rStyle w:val="Text"/>
          <w:lang w:eastAsia="en-GB"/>
        </w:rPr>
        <w:t> Bats are a relatively poorly understood receptor for marine offshore developments in English waters. Evidence gaps remain on the occurrence of bats in the offshore environment, including migration, and their potential interactions with renewable developments. Little is known about bat migration ecology, the number of individuals migrating over sea, and the risk of mortality from interactions with offshore wind turbines (</w:t>
      </w:r>
      <w:proofErr w:type="spellStart"/>
      <w:r w:rsidRPr="00F70B71">
        <w:rPr>
          <w:rStyle w:val="Text"/>
          <w:lang w:eastAsia="en-GB"/>
        </w:rPr>
        <w:t>Lagerveld</w:t>
      </w:r>
      <w:proofErr w:type="spellEnd"/>
      <w:r w:rsidRPr="00F70B71">
        <w:rPr>
          <w:rStyle w:val="Text"/>
          <w:lang w:eastAsia="en-GB"/>
        </w:rPr>
        <w:t xml:space="preserve"> et al. 2017).  </w:t>
      </w:r>
    </w:p>
    <w:p w14:paraId="2397B3D1" w14:textId="77777777" w:rsidR="0038043C" w:rsidRPr="00F70B71" w:rsidRDefault="0038043C" w:rsidP="0038043C">
      <w:pPr>
        <w:rPr>
          <w:rStyle w:val="Text"/>
          <w:lang w:eastAsia="en-GB"/>
        </w:rPr>
      </w:pPr>
      <w:r w:rsidRPr="00F70B71">
        <w:rPr>
          <w:rStyle w:val="Text"/>
          <w:lang w:eastAsia="en-GB"/>
        </w:rPr>
        <w:t xml:space="preserve">Migration periods are understood to be between late March to June, and from late August until October. For offshore regions, such as the North Sea, the most frequently recorded bats are </w:t>
      </w:r>
      <w:proofErr w:type="spellStart"/>
      <w:r w:rsidRPr="00F70B71">
        <w:rPr>
          <w:rStyle w:val="Text"/>
          <w:lang w:eastAsia="en-GB"/>
        </w:rPr>
        <w:t>Nathusius</w:t>
      </w:r>
      <w:proofErr w:type="spellEnd"/>
      <w:r w:rsidRPr="00F70B71">
        <w:rPr>
          <w:rStyle w:val="Text"/>
          <w:lang w:eastAsia="en-GB"/>
        </w:rPr>
        <w:t xml:space="preserve">’ pipistrelle (Pipistrellus </w:t>
      </w:r>
      <w:proofErr w:type="spellStart"/>
      <w:r w:rsidRPr="00F70B71">
        <w:rPr>
          <w:rStyle w:val="Text"/>
          <w:lang w:eastAsia="en-GB"/>
        </w:rPr>
        <w:t>nathusii</w:t>
      </w:r>
      <w:proofErr w:type="spellEnd"/>
      <w:r w:rsidRPr="00F70B71">
        <w:rPr>
          <w:rStyle w:val="Text"/>
          <w:lang w:eastAsia="en-GB"/>
        </w:rPr>
        <w:t>). However, other bat species have also been recorded, including common pipistrelle (P. pipistrellus), common noctule (</w:t>
      </w:r>
      <w:proofErr w:type="spellStart"/>
      <w:r w:rsidRPr="00F70B71">
        <w:rPr>
          <w:rStyle w:val="Text"/>
          <w:lang w:eastAsia="en-GB"/>
        </w:rPr>
        <w:t>Nyctalus</w:t>
      </w:r>
      <w:proofErr w:type="spellEnd"/>
      <w:r w:rsidRPr="00F70B71">
        <w:rPr>
          <w:rStyle w:val="Text"/>
          <w:lang w:eastAsia="en-GB"/>
        </w:rPr>
        <w:t xml:space="preserve"> </w:t>
      </w:r>
      <w:proofErr w:type="spellStart"/>
      <w:r w:rsidRPr="00F70B71">
        <w:rPr>
          <w:rStyle w:val="Text"/>
          <w:lang w:eastAsia="en-GB"/>
        </w:rPr>
        <w:t>noctula</w:t>
      </w:r>
      <w:proofErr w:type="spellEnd"/>
      <w:r w:rsidRPr="00F70B71">
        <w:rPr>
          <w:rStyle w:val="Text"/>
          <w:lang w:eastAsia="en-GB"/>
        </w:rPr>
        <w:t xml:space="preserve">), Leisler’s bat (N. </w:t>
      </w:r>
      <w:proofErr w:type="spellStart"/>
      <w:r w:rsidRPr="00F70B71">
        <w:rPr>
          <w:rStyle w:val="Text"/>
          <w:lang w:eastAsia="en-GB"/>
        </w:rPr>
        <w:t>leisleri</w:t>
      </w:r>
      <w:proofErr w:type="spellEnd"/>
      <w:r w:rsidRPr="00F70B71">
        <w:rPr>
          <w:rStyle w:val="Text"/>
          <w:lang w:eastAsia="en-GB"/>
        </w:rPr>
        <w:t>), particolored bat (</w:t>
      </w:r>
      <w:proofErr w:type="spellStart"/>
      <w:r w:rsidRPr="00F70B71">
        <w:rPr>
          <w:rStyle w:val="Text"/>
          <w:lang w:eastAsia="en-GB"/>
        </w:rPr>
        <w:t>Vespertilio</w:t>
      </w:r>
      <w:proofErr w:type="spellEnd"/>
      <w:r w:rsidRPr="00F70B71">
        <w:rPr>
          <w:rStyle w:val="Text"/>
          <w:lang w:eastAsia="en-GB"/>
        </w:rPr>
        <w:t xml:space="preserve"> murinus), Northern bat (Eptesicus </w:t>
      </w:r>
      <w:proofErr w:type="spellStart"/>
      <w:r w:rsidRPr="00F70B71">
        <w:rPr>
          <w:rStyle w:val="Text"/>
          <w:lang w:eastAsia="en-GB"/>
        </w:rPr>
        <w:t>nilssonii</w:t>
      </w:r>
      <w:proofErr w:type="spellEnd"/>
      <w:r w:rsidRPr="00F70B71">
        <w:rPr>
          <w:rStyle w:val="Text"/>
          <w:lang w:eastAsia="en-GB"/>
        </w:rPr>
        <w:t xml:space="preserve">), and Serotine bat (E. serotinus) (Boshamer et al. 2008, </w:t>
      </w:r>
      <w:proofErr w:type="spellStart"/>
      <w:r w:rsidRPr="00F70B71">
        <w:rPr>
          <w:rStyle w:val="Text"/>
          <w:lang w:eastAsia="en-GB"/>
        </w:rPr>
        <w:t>Lagerveld</w:t>
      </w:r>
      <w:proofErr w:type="spellEnd"/>
      <w:r w:rsidRPr="00F70B71">
        <w:rPr>
          <w:rStyle w:val="Text"/>
          <w:lang w:eastAsia="en-GB"/>
        </w:rPr>
        <w:t xml:space="preserve"> et al. 2012, </w:t>
      </w:r>
      <w:proofErr w:type="spellStart"/>
      <w:r w:rsidRPr="00F70B71">
        <w:rPr>
          <w:rStyle w:val="Text"/>
          <w:lang w:eastAsia="en-GB"/>
        </w:rPr>
        <w:t>Hüppop</w:t>
      </w:r>
      <w:proofErr w:type="spellEnd"/>
      <w:r w:rsidRPr="00F70B71">
        <w:rPr>
          <w:rStyle w:val="Text"/>
          <w:lang w:eastAsia="en-GB"/>
        </w:rPr>
        <w:t xml:space="preserve"> et al. 2016, </w:t>
      </w:r>
      <w:proofErr w:type="spellStart"/>
      <w:r w:rsidRPr="00F70B71">
        <w:rPr>
          <w:rStyle w:val="Text"/>
          <w:lang w:eastAsia="en-GB"/>
        </w:rPr>
        <w:t>Hüppop</w:t>
      </w:r>
      <w:proofErr w:type="spellEnd"/>
      <w:r w:rsidRPr="00F70B71">
        <w:rPr>
          <w:rStyle w:val="Text"/>
          <w:lang w:eastAsia="en-GB"/>
        </w:rPr>
        <w:t xml:space="preserve"> et al. 2019).   </w:t>
      </w:r>
    </w:p>
    <w:p w14:paraId="0DDA214F" w14:textId="77777777" w:rsidR="0038043C" w:rsidRPr="00F70B71" w:rsidRDefault="0038043C" w:rsidP="0038043C">
      <w:pPr>
        <w:rPr>
          <w:rStyle w:val="Text"/>
          <w:lang w:eastAsia="en-GB"/>
        </w:rPr>
      </w:pPr>
      <w:r w:rsidRPr="00F70B71">
        <w:rPr>
          <w:rStyle w:val="Text"/>
          <w:lang w:eastAsia="en-GB"/>
        </w:rPr>
        <w:lastRenderedPageBreak/>
        <w:t xml:space="preserve">Through engagement with international projects, such as WOZEP and the national </w:t>
      </w:r>
      <w:proofErr w:type="spellStart"/>
      <w:r w:rsidRPr="00F70B71">
        <w:rPr>
          <w:rStyle w:val="Text"/>
          <w:lang w:eastAsia="en-GB"/>
        </w:rPr>
        <w:t>Nathusisus</w:t>
      </w:r>
      <w:proofErr w:type="spellEnd"/>
      <w:r w:rsidRPr="00F70B71">
        <w:rPr>
          <w:rStyle w:val="Text"/>
          <w:lang w:eastAsia="en-GB"/>
        </w:rPr>
        <w:t xml:space="preserve"> Pipistrelle project and academics, the study aims to identify cutting edge international best practice and lessons learnt to inform </w:t>
      </w:r>
      <w:r>
        <w:rPr>
          <w:rStyle w:val="Text"/>
        </w:rPr>
        <w:t xml:space="preserve">Natural </w:t>
      </w:r>
      <w:r w:rsidRPr="00F70B71">
        <w:rPr>
          <w:rStyle w:val="Text"/>
          <w:lang w:eastAsia="en-GB"/>
        </w:rPr>
        <w:t>England's approach.  </w:t>
      </w:r>
    </w:p>
    <w:p w14:paraId="043C9903" w14:textId="77777777" w:rsidR="0038043C" w:rsidRPr="00F70B71" w:rsidRDefault="0038043C" w:rsidP="0038043C">
      <w:pPr>
        <w:rPr>
          <w:rStyle w:val="Text"/>
          <w:lang w:eastAsia="en-GB"/>
        </w:rPr>
      </w:pPr>
      <w:r w:rsidRPr="00F70B71">
        <w:rPr>
          <w:rStyle w:val="Text"/>
          <w:lang w:eastAsia="en-GB"/>
        </w:rPr>
        <w:t xml:space="preserve">Improving our understanding of bat ecology, </w:t>
      </w:r>
      <w:proofErr w:type="gramStart"/>
      <w:r w:rsidRPr="00F70B71">
        <w:rPr>
          <w:rStyle w:val="Text"/>
          <w:lang w:eastAsia="en-GB"/>
        </w:rPr>
        <w:t>migration</w:t>
      </w:r>
      <w:proofErr w:type="gramEnd"/>
      <w:r w:rsidRPr="00F70B71">
        <w:rPr>
          <w:rStyle w:val="Text"/>
          <w:lang w:eastAsia="en-GB"/>
        </w:rPr>
        <w:t xml:space="preserve"> and the interaction of bats with offshore wind farms would help to improve the advice Natural England provides to offshore wind developers and regulators regarding environmental impact assessments and monitoring and the development of industry best practice.  </w:t>
      </w:r>
    </w:p>
    <w:p w14:paraId="23C6BC3E" w14:textId="77777777" w:rsidR="0038043C" w:rsidRPr="001B74DB" w:rsidRDefault="0038043C" w:rsidP="0038043C">
      <w:pPr>
        <w:rPr>
          <w:rStyle w:val="Text"/>
          <w:lang w:eastAsia="en-GB"/>
        </w:rPr>
      </w:pPr>
      <w:r w:rsidRPr="001B74DB">
        <w:rPr>
          <w:rStyle w:val="Text"/>
          <w:lang w:eastAsia="en-GB"/>
        </w:rPr>
        <w:t>Task 1: Literature review (desk-based) </w:t>
      </w:r>
    </w:p>
    <w:p w14:paraId="1A305A30" w14:textId="77777777" w:rsidR="0038043C" w:rsidRPr="001B74DB" w:rsidRDefault="0038043C" w:rsidP="0038043C">
      <w:pPr>
        <w:rPr>
          <w:rStyle w:val="Text"/>
          <w:lang w:eastAsia="en-GB"/>
        </w:rPr>
      </w:pPr>
      <w:r w:rsidRPr="001B74DB">
        <w:rPr>
          <w:rStyle w:val="Text"/>
          <w:lang w:eastAsia="en-GB"/>
        </w:rPr>
        <w:t xml:space="preserve"> The contractor will undertake an evidence review of the available reports, scientific </w:t>
      </w:r>
      <w:proofErr w:type="gramStart"/>
      <w:r w:rsidRPr="001B74DB">
        <w:rPr>
          <w:rStyle w:val="Text"/>
          <w:lang w:eastAsia="en-GB"/>
        </w:rPr>
        <w:t>publications</w:t>
      </w:r>
      <w:proofErr w:type="gramEnd"/>
      <w:r w:rsidRPr="001B74DB">
        <w:rPr>
          <w:rStyle w:val="Text"/>
          <w:lang w:eastAsia="en-GB"/>
        </w:rPr>
        <w:t xml:space="preserve"> and other relevant literature.  </w:t>
      </w:r>
    </w:p>
    <w:p w14:paraId="4C0097BD" w14:textId="77777777" w:rsidR="0038043C" w:rsidRPr="001B74DB" w:rsidRDefault="0038043C" w:rsidP="0038043C">
      <w:pPr>
        <w:rPr>
          <w:rStyle w:val="Text"/>
          <w:lang w:eastAsia="en-GB"/>
        </w:rPr>
      </w:pPr>
      <w:r w:rsidRPr="001B74DB">
        <w:rPr>
          <w:rStyle w:val="Text"/>
          <w:lang w:eastAsia="en-GB"/>
        </w:rPr>
        <w:t> </w:t>
      </w:r>
      <w:r w:rsidRPr="001B74DB">
        <w:rPr>
          <w:rStyle w:val="Text"/>
          <w:lang w:eastAsia="en-GB"/>
        </w:rPr>
        <w:br/>
        <w:t>The literature / evidence review will include an assessment of: </w:t>
      </w:r>
    </w:p>
    <w:p w14:paraId="4DC9FF42" w14:textId="77777777" w:rsidR="0038043C" w:rsidRPr="001B74DB" w:rsidRDefault="0038043C" w:rsidP="0038043C">
      <w:pPr>
        <w:rPr>
          <w:rStyle w:val="Text"/>
          <w:lang w:eastAsia="en-GB"/>
        </w:rPr>
      </w:pPr>
      <w:r w:rsidRPr="001B74DB">
        <w:rPr>
          <w:rStyle w:val="Text"/>
          <w:lang w:eastAsia="en-GB"/>
        </w:rPr>
        <w:t xml:space="preserve">Bat migration to the UK from Europe, and from England to Ireland, Wales and Ilse of </w:t>
      </w:r>
      <w:proofErr w:type="gramStart"/>
      <w:r w:rsidRPr="001B74DB">
        <w:rPr>
          <w:rStyle w:val="Text"/>
          <w:lang w:eastAsia="en-GB"/>
        </w:rPr>
        <w:t>Mann;</w:t>
      </w:r>
      <w:proofErr w:type="gramEnd"/>
      <w:r w:rsidRPr="001B74DB">
        <w:rPr>
          <w:rStyle w:val="Text"/>
          <w:lang w:eastAsia="en-GB"/>
        </w:rPr>
        <w:t> </w:t>
      </w:r>
    </w:p>
    <w:p w14:paraId="59525965" w14:textId="77777777" w:rsidR="0038043C" w:rsidRPr="001B74DB" w:rsidRDefault="0038043C" w:rsidP="0038043C">
      <w:pPr>
        <w:rPr>
          <w:rStyle w:val="Text"/>
          <w:lang w:eastAsia="en-GB"/>
        </w:rPr>
      </w:pPr>
      <w:r w:rsidRPr="001B74DB">
        <w:rPr>
          <w:rStyle w:val="Text"/>
          <w:lang w:eastAsia="en-GB"/>
        </w:rPr>
        <w:t>Collision risk for bat spp. from offshore wind infrastructure (including consideration of flight heights and avoidance behaviour</w:t>
      </w:r>
      <w:proofErr w:type="gramStart"/>
      <w:r w:rsidRPr="001B74DB">
        <w:rPr>
          <w:rStyle w:val="Text"/>
          <w:lang w:eastAsia="en-GB"/>
        </w:rPr>
        <w:t>);</w:t>
      </w:r>
      <w:proofErr w:type="gramEnd"/>
      <w:r w:rsidRPr="001B74DB">
        <w:rPr>
          <w:rStyle w:val="Text"/>
          <w:lang w:eastAsia="en-GB"/>
        </w:rPr>
        <w:t> </w:t>
      </w:r>
    </w:p>
    <w:p w14:paraId="473C7067" w14:textId="77777777" w:rsidR="0038043C" w:rsidRPr="001B74DB" w:rsidRDefault="0038043C" w:rsidP="0038043C">
      <w:pPr>
        <w:rPr>
          <w:rStyle w:val="Text"/>
          <w:lang w:eastAsia="en-GB"/>
        </w:rPr>
      </w:pPr>
      <w:r w:rsidRPr="001B74DB">
        <w:rPr>
          <w:rStyle w:val="Text"/>
          <w:lang w:eastAsia="en-GB"/>
        </w:rPr>
        <w:t xml:space="preserve">Barrier effects or other possible impacts upon bat populations and </w:t>
      </w:r>
      <w:proofErr w:type="gramStart"/>
      <w:r w:rsidRPr="001B74DB">
        <w:rPr>
          <w:rStyle w:val="Text"/>
          <w:lang w:eastAsia="en-GB"/>
        </w:rPr>
        <w:t>migration;</w:t>
      </w:r>
      <w:proofErr w:type="gramEnd"/>
      <w:r w:rsidRPr="001B74DB">
        <w:rPr>
          <w:rStyle w:val="Text"/>
          <w:lang w:eastAsia="en-GB"/>
        </w:rPr>
        <w:t>   </w:t>
      </w:r>
    </w:p>
    <w:p w14:paraId="74B0EACB" w14:textId="77777777" w:rsidR="0038043C" w:rsidRPr="001B74DB" w:rsidRDefault="0038043C" w:rsidP="0038043C">
      <w:pPr>
        <w:rPr>
          <w:rStyle w:val="Text"/>
          <w:lang w:eastAsia="en-GB"/>
        </w:rPr>
      </w:pPr>
      <w:r w:rsidRPr="001B74DB">
        <w:rPr>
          <w:rStyle w:val="Text"/>
          <w:lang w:eastAsia="en-GB"/>
        </w:rPr>
        <w:t>Lessons learnt from terrestrial evidence, reports and case studies – consideration of applicability to offshore environments</w:t>
      </w:r>
      <w:r>
        <w:rPr>
          <w:rStyle w:val="Text"/>
        </w:rPr>
        <w:t>.</w:t>
      </w:r>
      <w:r w:rsidRPr="001B74DB">
        <w:rPr>
          <w:rStyle w:val="Text"/>
          <w:lang w:eastAsia="en-GB"/>
        </w:rPr>
        <w:t> </w:t>
      </w:r>
    </w:p>
    <w:p w14:paraId="422C639C" w14:textId="77777777" w:rsidR="0038043C" w:rsidRPr="001B74DB" w:rsidRDefault="0038043C" w:rsidP="0038043C">
      <w:pPr>
        <w:rPr>
          <w:rStyle w:val="Text"/>
          <w:lang w:eastAsia="en-GB"/>
        </w:rPr>
      </w:pPr>
      <w:r w:rsidRPr="001B74DB">
        <w:rPr>
          <w:rStyle w:val="Text"/>
          <w:lang w:eastAsia="en-GB"/>
        </w:rPr>
        <w:t>Task 2: Evidence Review </w:t>
      </w:r>
    </w:p>
    <w:p w14:paraId="3BF626DF" w14:textId="77777777" w:rsidR="0038043C" w:rsidRPr="001B74DB" w:rsidRDefault="0038043C" w:rsidP="0038043C">
      <w:pPr>
        <w:rPr>
          <w:rStyle w:val="Text"/>
          <w:lang w:eastAsia="en-GB"/>
        </w:rPr>
      </w:pPr>
      <w:proofErr w:type="gramStart"/>
      <w:r w:rsidRPr="001B74DB">
        <w:rPr>
          <w:rStyle w:val="Text"/>
          <w:lang w:eastAsia="en-GB"/>
        </w:rPr>
        <w:t>A number of</w:t>
      </w:r>
      <w:proofErr w:type="gramEnd"/>
      <w:r w:rsidRPr="001B74DB">
        <w:rPr>
          <w:rStyle w:val="Text"/>
          <w:lang w:eastAsia="en-GB"/>
        </w:rPr>
        <w:t xml:space="preserve"> bird observatories on headlands record bats as well as birds. Explore whether existing data sets for bats could be collated and used to inform an assessment of bat migration (species and locations). </w:t>
      </w:r>
    </w:p>
    <w:p w14:paraId="6D3E12A0" w14:textId="77777777" w:rsidR="0038043C" w:rsidRPr="001B74DB" w:rsidRDefault="0038043C" w:rsidP="0038043C">
      <w:pPr>
        <w:rPr>
          <w:rStyle w:val="Text"/>
          <w:lang w:eastAsia="en-GB"/>
        </w:rPr>
      </w:pPr>
      <w:proofErr w:type="gramStart"/>
      <w:r w:rsidRPr="001B74DB">
        <w:rPr>
          <w:rStyle w:val="Text"/>
          <w:lang w:eastAsia="en-GB"/>
        </w:rPr>
        <w:t>A number of</w:t>
      </w:r>
      <w:proofErr w:type="gramEnd"/>
      <w:r w:rsidRPr="001B74DB">
        <w:rPr>
          <w:rStyle w:val="Text"/>
          <w:lang w:eastAsia="en-GB"/>
        </w:rPr>
        <w:t xml:space="preserve"> ringing and tracking studies in relation to bat migration have been completed. Explore whether existing data sets for bats could be collated and used to inform an assessment of bat migration (species and locations). </w:t>
      </w:r>
    </w:p>
    <w:p w14:paraId="015D6742" w14:textId="77777777" w:rsidR="0038043C" w:rsidRPr="001B74DB" w:rsidRDefault="0038043C" w:rsidP="0038043C">
      <w:pPr>
        <w:rPr>
          <w:rStyle w:val="Text"/>
          <w:lang w:eastAsia="en-GB"/>
        </w:rPr>
      </w:pPr>
      <w:r w:rsidRPr="001B74DB">
        <w:rPr>
          <w:rStyle w:val="Text"/>
          <w:lang w:eastAsia="en-GB"/>
        </w:rPr>
        <w:t xml:space="preserve">Task </w:t>
      </w:r>
      <w:r>
        <w:rPr>
          <w:rStyle w:val="Text"/>
        </w:rPr>
        <w:t>3</w:t>
      </w:r>
      <w:r w:rsidRPr="001B74DB">
        <w:rPr>
          <w:rStyle w:val="Text"/>
          <w:lang w:eastAsia="en-GB"/>
        </w:rPr>
        <w:t>: Engagement with projects </w:t>
      </w:r>
    </w:p>
    <w:p w14:paraId="774F0E70" w14:textId="77777777" w:rsidR="0038043C" w:rsidRPr="001B74DB" w:rsidRDefault="0038043C" w:rsidP="0038043C">
      <w:pPr>
        <w:rPr>
          <w:rStyle w:val="Text"/>
          <w:lang w:eastAsia="en-GB"/>
        </w:rPr>
      </w:pPr>
      <w:r w:rsidRPr="001B74DB">
        <w:rPr>
          <w:rStyle w:val="Text"/>
          <w:lang w:eastAsia="en-GB"/>
        </w:rPr>
        <w:t xml:space="preserve">Engage with WOZEP, </w:t>
      </w:r>
      <w:hyperlink r:id="rId13" w:tgtFrame="_blank" w:history="1">
        <w:r w:rsidRPr="001B74DB">
          <w:rPr>
            <w:rStyle w:val="Text"/>
            <w:lang w:eastAsia="en-GB"/>
          </w:rPr>
          <w:t xml:space="preserve">National </w:t>
        </w:r>
        <w:proofErr w:type="spellStart"/>
        <w:r w:rsidRPr="001B74DB">
          <w:rPr>
            <w:rStyle w:val="Text"/>
            <w:lang w:eastAsia="en-GB"/>
          </w:rPr>
          <w:t>Nathusius</w:t>
        </w:r>
        <w:proofErr w:type="spellEnd"/>
        <w:r w:rsidRPr="001B74DB">
          <w:rPr>
            <w:rStyle w:val="Text"/>
            <w:lang w:eastAsia="en-GB"/>
          </w:rPr>
          <w:t>' Pipistrelle Project</w:t>
        </w:r>
      </w:hyperlink>
      <w:r w:rsidRPr="001B74DB">
        <w:rPr>
          <w:rStyle w:val="Text"/>
          <w:lang w:eastAsia="en-GB"/>
        </w:rPr>
        <w:t xml:space="preserve"> and other relevant projects identified during the literature review to identify and present data that is currently available, and present examples of international lessons learnt and best practice in relation to bats and Offshore Wind Farm development. Engage with relevant academics, such as Professor Fiona Matthews (Exeter University). </w:t>
      </w:r>
    </w:p>
    <w:p w14:paraId="2EE9D91F" w14:textId="77777777" w:rsidR="0038043C" w:rsidRPr="001B74DB" w:rsidRDefault="0038043C" w:rsidP="0038043C">
      <w:pPr>
        <w:rPr>
          <w:rStyle w:val="Text"/>
          <w:lang w:eastAsia="en-GB"/>
        </w:rPr>
      </w:pPr>
      <w:r w:rsidRPr="001B74DB">
        <w:rPr>
          <w:rStyle w:val="Text"/>
          <w:lang w:eastAsia="en-GB"/>
        </w:rPr>
        <w:t xml:space="preserve">The review should explore the applicability of whether offshore wind farm ‘curtailment’ (temporary </w:t>
      </w:r>
      <w:proofErr w:type="gramStart"/>
      <w:r w:rsidRPr="001B74DB">
        <w:rPr>
          <w:rStyle w:val="Text"/>
          <w:lang w:eastAsia="en-GB"/>
        </w:rPr>
        <w:t>shut-downs</w:t>
      </w:r>
      <w:proofErr w:type="gramEnd"/>
      <w:r w:rsidRPr="001B74DB">
        <w:rPr>
          <w:rStyle w:val="Text"/>
          <w:lang w:eastAsia="en-GB"/>
        </w:rPr>
        <w:t>) would be appropriate for English offshore wind farms. </w:t>
      </w:r>
    </w:p>
    <w:p w14:paraId="5C3B57FF" w14:textId="77777777" w:rsidR="0038043C" w:rsidRPr="001B74DB" w:rsidRDefault="0038043C" w:rsidP="0038043C">
      <w:pPr>
        <w:rPr>
          <w:rStyle w:val="Text"/>
          <w:lang w:eastAsia="en-GB"/>
        </w:rPr>
      </w:pPr>
      <w:r w:rsidRPr="001B74DB">
        <w:rPr>
          <w:rStyle w:val="Text"/>
          <w:lang w:eastAsia="en-GB"/>
        </w:rPr>
        <w:lastRenderedPageBreak/>
        <w:t>Task 4: Production of a report </w:t>
      </w:r>
    </w:p>
    <w:p w14:paraId="6BABB464" w14:textId="77777777" w:rsidR="0038043C" w:rsidRPr="001B74DB" w:rsidRDefault="0038043C" w:rsidP="0038043C">
      <w:pPr>
        <w:rPr>
          <w:rStyle w:val="Text"/>
          <w:lang w:eastAsia="en-GB"/>
        </w:rPr>
      </w:pPr>
      <w:r w:rsidRPr="001B74DB">
        <w:rPr>
          <w:rStyle w:val="Text"/>
          <w:lang w:eastAsia="en-GB"/>
        </w:rPr>
        <w:t>The contractor will produce a report detailing the outcome of the evidence and literature review, including engagement with projects. The findings will be presented in a final report. The report should address each of the evidence gaps identified above, identify species of concern, impact pressure pathways and possible mitigation measures, with recommendations for next steps. </w:t>
      </w:r>
    </w:p>
    <w:bookmarkEnd w:id="1"/>
    <w:p w14:paraId="3534499A" w14:textId="77777777" w:rsidR="0038043C" w:rsidRPr="006B482F" w:rsidRDefault="0038043C" w:rsidP="0038043C">
      <w:pPr>
        <w:rPr>
          <w:rStyle w:val="Text"/>
        </w:rPr>
      </w:pPr>
      <w:r w:rsidRPr="001B74DB">
        <w:rPr>
          <w:rStyle w:val="Text"/>
          <w:lang w:eastAsia="en-GB"/>
        </w:rPr>
        <w:t> </w:t>
      </w:r>
      <w:r w:rsidRPr="006B482F">
        <w:rPr>
          <w:rStyle w:val="Text"/>
        </w:rPr>
        <w:t xml:space="preserve">Sustainability </w:t>
      </w:r>
    </w:p>
    <w:p w14:paraId="31F87ABA" w14:textId="77777777" w:rsidR="0038043C" w:rsidRPr="00C23D6C" w:rsidRDefault="0038043C" w:rsidP="0038043C">
      <w:r w:rsidRPr="006B482F">
        <w:rPr>
          <w:rStyle w:val="Text"/>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6B482F">
        <w:rPr>
          <w:rStyle w:val="Text"/>
        </w:rPr>
        <w:t>yr</w:t>
      </w:r>
      <w:proofErr w:type="spellEnd"/>
      <w:r w:rsidRPr="006B482F">
        <w:rPr>
          <w:rStyle w:val="Text"/>
        </w:rPr>
        <w:t xml:space="preserve"> environmental plan/our commitments compliant with all applicable legislation. This includes understanding and reducing direct and indirect sustainability impacts and realising opportunities, including but not restricted to; resilience to climate</w:t>
      </w:r>
      <w:r w:rsidRPr="00C23D6C">
        <w:t xml:space="preserve"> change, reducing greenhouse gas emissions, water use and quality, biosecurity, resource efficiency and waste, reducing the risk of pollution, biodiversity, modern slavery and equality, diversity &amp; inclusion, negative community impacts.</w:t>
      </w:r>
    </w:p>
    <w:p w14:paraId="24890CFC" w14:textId="77777777" w:rsidR="0038043C" w:rsidRPr="00C23D6C" w:rsidRDefault="0038043C" w:rsidP="0038043C">
      <w:r w:rsidRPr="00C23D6C">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C23D6C">
        <w:t>project</w:t>
      </w:r>
      <w:proofErr w:type="gramEnd"/>
    </w:p>
    <w:p w14:paraId="38C3EA1A" w14:textId="77777777" w:rsidR="0038043C" w:rsidRPr="00C23D6C" w:rsidRDefault="0038043C" w:rsidP="0038043C">
      <w:pPr>
        <w:pStyle w:val="Blockheading"/>
      </w:pPr>
      <w:r w:rsidRPr="00C23D6C">
        <w:t>Outputs and Contract Management</w:t>
      </w:r>
    </w:p>
    <w:p w14:paraId="4EF8B705" w14:textId="77777777" w:rsidR="0038043C" w:rsidRPr="00C23D6C" w:rsidRDefault="0038043C" w:rsidP="0038043C">
      <w:pPr>
        <w:rPr>
          <w:rStyle w:val="Important"/>
        </w:rPr>
      </w:pPr>
    </w:p>
    <w:tbl>
      <w:tblPr>
        <w:tblStyle w:val="Table"/>
        <w:tblW w:w="0" w:type="auto"/>
        <w:tblLook w:val="04A0" w:firstRow="1" w:lastRow="0" w:firstColumn="1" w:lastColumn="0" w:noHBand="0" w:noVBand="1"/>
      </w:tblPr>
      <w:tblGrid>
        <w:gridCol w:w="1555"/>
        <w:gridCol w:w="2763"/>
        <w:gridCol w:w="2159"/>
        <w:gridCol w:w="2160"/>
      </w:tblGrid>
      <w:tr w:rsidR="0038043C" w14:paraId="517CB367" w14:textId="77777777" w:rsidTr="009834CB">
        <w:trPr>
          <w:cnfStyle w:val="100000000000" w:firstRow="1" w:lastRow="0" w:firstColumn="0" w:lastColumn="0" w:oddVBand="0" w:evenVBand="0" w:oddHBand="0" w:evenHBand="0" w:firstRowFirstColumn="0" w:firstRowLastColumn="0" w:lastRowFirstColumn="0" w:lastRowLastColumn="0"/>
        </w:trPr>
        <w:tc>
          <w:tcPr>
            <w:tcW w:w="1555" w:type="dxa"/>
          </w:tcPr>
          <w:p w14:paraId="369210E9" w14:textId="77777777" w:rsidR="0038043C" w:rsidRPr="00C23D6C" w:rsidRDefault="0038043C" w:rsidP="009834CB">
            <w:pPr>
              <w:rPr>
                <w:rStyle w:val="Text"/>
              </w:rPr>
            </w:pPr>
            <w:r w:rsidRPr="00FA5780">
              <w:rPr>
                <w:rStyle w:val="Text"/>
              </w:rPr>
              <w:t>Reference</w:t>
            </w:r>
          </w:p>
        </w:tc>
        <w:tc>
          <w:tcPr>
            <w:tcW w:w="2763" w:type="dxa"/>
          </w:tcPr>
          <w:p w14:paraId="1C9F892C" w14:textId="77777777" w:rsidR="0038043C" w:rsidRPr="00C23D6C" w:rsidRDefault="0038043C" w:rsidP="009834CB">
            <w:pPr>
              <w:rPr>
                <w:rStyle w:val="Text"/>
              </w:rPr>
            </w:pPr>
            <w:r w:rsidRPr="00FA5780">
              <w:rPr>
                <w:rStyle w:val="Text"/>
              </w:rPr>
              <w:t>Deliverable</w:t>
            </w:r>
          </w:p>
        </w:tc>
        <w:tc>
          <w:tcPr>
            <w:tcW w:w="2159" w:type="dxa"/>
          </w:tcPr>
          <w:p w14:paraId="2F5E1E40" w14:textId="77777777" w:rsidR="0038043C" w:rsidRPr="00C23D6C" w:rsidRDefault="0038043C" w:rsidP="009834CB">
            <w:pPr>
              <w:rPr>
                <w:rStyle w:val="Text"/>
              </w:rPr>
            </w:pPr>
            <w:r w:rsidRPr="00FA5780">
              <w:rPr>
                <w:rStyle w:val="Text"/>
              </w:rPr>
              <w:t>Responsible Party</w:t>
            </w:r>
          </w:p>
        </w:tc>
        <w:tc>
          <w:tcPr>
            <w:tcW w:w="2160" w:type="dxa"/>
          </w:tcPr>
          <w:p w14:paraId="48BB38BE" w14:textId="77777777" w:rsidR="0038043C" w:rsidRPr="00C23D6C" w:rsidRDefault="0038043C" w:rsidP="009834CB">
            <w:pPr>
              <w:rPr>
                <w:rStyle w:val="Text"/>
              </w:rPr>
            </w:pPr>
            <w:r w:rsidRPr="00FA5780">
              <w:rPr>
                <w:rStyle w:val="Text"/>
              </w:rPr>
              <w:t>Date of completion</w:t>
            </w:r>
          </w:p>
        </w:tc>
      </w:tr>
      <w:tr w:rsidR="0038043C" w14:paraId="58003B03" w14:textId="77777777" w:rsidTr="009834CB">
        <w:tc>
          <w:tcPr>
            <w:tcW w:w="1555" w:type="dxa"/>
          </w:tcPr>
          <w:p w14:paraId="37FB6337" w14:textId="77777777" w:rsidR="0038043C" w:rsidRPr="006B482F" w:rsidRDefault="0038043C" w:rsidP="009834CB">
            <w:pPr>
              <w:rPr>
                <w:rStyle w:val="Text"/>
              </w:rPr>
            </w:pPr>
          </w:p>
        </w:tc>
        <w:tc>
          <w:tcPr>
            <w:tcW w:w="2763" w:type="dxa"/>
          </w:tcPr>
          <w:p w14:paraId="421A04EE" w14:textId="77777777" w:rsidR="0038043C" w:rsidRPr="006B482F" w:rsidRDefault="0038043C" w:rsidP="009834CB">
            <w:pPr>
              <w:rPr>
                <w:rStyle w:val="Text"/>
              </w:rPr>
            </w:pPr>
            <w:r w:rsidRPr="006B482F">
              <w:rPr>
                <w:rStyle w:val="Text"/>
              </w:rPr>
              <w:t>Project Tender publication</w:t>
            </w:r>
          </w:p>
        </w:tc>
        <w:tc>
          <w:tcPr>
            <w:tcW w:w="2159" w:type="dxa"/>
          </w:tcPr>
          <w:p w14:paraId="7B3BF107" w14:textId="77777777" w:rsidR="0038043C" w:rsidRPr="006B482F" w:rsidRDefault="0038043C" w:rsidP="009834CB">
            <w:pPr>
              <w:rPr>
                <w:rStyle w:val="Text"/>
              </w:rPr>
            </w:pPr>
            <w:r w:rsidRPr="006B482F">
              <w:rPr>
                <w:rStyle w:val="Text"/>
              </w:rPr>
              <w:t>Natural England</w:t>
            </w:r>
          </w:p>
        </w:tc>
        <w:tc>
          <w:tcPr>
            <w:tcW w:w="2160" w:type="dxa"/>
          </w:tcPr>
          <w:p w14:paraId="459AA030" w14:textId="77777777" w:rsidR="0038043C" w:rsidRPr="006B482F" w:rsidRDefault="0038043C" w:rsidP="009834CB">
            <w:pPr>
              <w:rPr>
                <w:rStyle w:val="Text"/>
              </w:rPr>
            </w:pPr>
            <w:r w:rsidRPr="006B482F">
              <w:rPr>
                <w:rStyle w:val="Text"/>
              </w:rPr>
              <w:t>1</w:t>
            </w:r>
            <w:r>
              <w:rPr>
                <w:rStyle w:val="Text"/>
              </w:rPr>
              <w:t>4</w:t>
            </w:r>
            <w:r w:rsidRPr="006B482F">
              <w:rPr>
                <w:rStyle w:val="Text"/>
              </w:rPr>
              <w:t>/08/23</w:t>
            </w:r>
          </w:p>
        </w:tc>
      </w:tr>
      <w:tr w:rsidR="0038043C" w14:paraId="4A710C16" w14:textId="77777777" w:rsidTr="009834CB">
        <w:tc>
          <w:tcPr>
            <w:tcW w:w="1555" w:type="dxa"/>
          </w:tcPr>
          <w:p w14:paraId="1BE4B94F" w14:textId="77777777" w:rsidR="0038043C" w:rsidRPr="006B482F" w:rsidRDefault="0038043C" w:rsidP="009834CB">
            <w:pPr>
              <w:rPr>
                <w:rStyle w:val="Text"/>
              </w:rPr>
            </w:pPr>
          </w:p>
        </w:tc>
        <w:tc>
          <w:tcPr>
            <w:tcW w:w="2763" w:type="dxa"/>
          </w:tcPr>
          <w:p w14:paraId="30A5CFA9" w14:textId="77777777" w:rsidR="0038043C" w:rsidRPr="006B482F" w:rsidRDefault="0038043C" w:rsidP="009834CB">
            <w:pPr>
              <w:rPr>
                <w:rStyle w:val="Text"/>
              </w:rPr>
            </w:pPr>
            <w:r w:rsidRPr="006B482F">
              <w:rPr>
                <w:rStyle w:val="Text"/>
              </w:rPr>
              <w:t>Project Start</w:t>
            </w:r>
          </w:p>
        </w:tc>
        <w:tc>
          <w:tcPr>
            <w:tcW w:w="2159" w:type="dxa"/>
          </w:tcPr>
          <w:p w14:paraId="641C5691" w14:textId="77777777" w:rsidR="0038043C" w:rsidRPr="006B482F" w:rsidRDefault="0038043C" w:rsidP="009834CB">
            <w:pPr>
              <w:rPr>
                <w:rStyle w:val="Text"/>
              </w:rPr>
            </w:pPr>
          </w:p>
        </w:tc>
        <w:tc>
          <w:tcPr>
            <w:tcW w:w="2160" w:type="dxa"/>
          </w:tcPr>
          <w:p w14:paraId="2E31E027" w14:textId="77777777" w:rsidR="0038043C" w:rsidRPr="006B482F" w:rsidRDefault="0038043C" w:rsidP="009834CB">
            <w:pPr>
              <w:rPr>
                <w:rStyle w:val="Text"/>
              </w:rPr>
            </w:pPr>
            <w:r w:rsidRPr="006B482F">
              <w:rPr>
                <w:rStyle w:val="Text"/>
              </w:rPr>
              <w:t>02/10/23</w:t>
            </w:r>
          </w:p>
        </w:tc>
      </w:tr>
      <w:tr w:rsidR="0038043C" w14:paraId="159D4708" w14:textId="77777777" w:rsidTr="009834CB">
        <w:tc>
          <w:tcPr>
            <w:tcW w:w="1555" w:type="dxa"/>
          </w:tcPr>
          <w:p w14:paraId="6DE9929D" w14:textId="77777777" w:rsidR="0038043C" w:rsidRPr="006B482F" w:rsidRDefault="0038043C" w:rsidP="009834CB">
            <w:pPr>
              <w:rPr>
                <w:rStyle w:val="Text"/>
              </w:rPr>
            </w:pPr>
          </w:p>
        </w:tc>
        <w:tc>
          <w:tcPr>
            <w:tcW w:w="2763" w:type="dxa"/>
          </w:tcPr>
          <w:p w14:paraId="34AA7D15" w14:textId="77777777" w:rsidR="0038043C" w:rsidRPr="006B482F" w:rsidRDefault="0038043C" w:rsidP="009834CB">
            <w:pPr>
              <w:rPr>
                <w:rStyle w:val="Text"/>
              </w:rPr>
            </w:pPr>
            <w:r w:rsidRPr="006B482F">
              <w:rPr>
                <w:rStyle w:val="Text"/>
              </w:rPr>
              <w:t>Kick off meeting</w:t>
            </w:r>
          </w:p>
        </w:tc>
        <w:tc>
          <w:tcPr>
            <w:tcW w:w="2159" w:type="dxa"/>
          </w:tcPr>
          <w:p w14:paraId="0B8D65C6" w14:textId="77777777" w:rsidR="0038043C" w:rsidRPr="006B482F" w:rsidRDefault="0038043C" w:rsidP="009834CB">
            <w:pPr>
              <w:rPr>
                <w:rStyle w:val="Text"/>
              </w:rPr>
            </w:pPr>
          </w:p>
        </w:tc>
        <w:tc>
          <w:tcPr>
            <w:tcW w:w="2160" w:type="dxa"/>
          </w:tcPr>
          <w:p w14:paraId="4A8619EC" w14:textId="77777777" w:rsidR="0038043C" w:rsidRPr="006B482F" w:rsidRDefault="0038043C" w:rsidP="009834CB">
            <w:pPr>
              <w:rPr>
                <w:rStyle w:val="Text"/>
              </w:rPr>
            </w:pPr>
            <w:r w:rsidRPr="006B482F">
              <w:rPr>
                <w:rStyle w:val="Text"/>
              </w:rPr>
              <w:t>02/10/23</w:t>
            </w:r>
          </w:p>
        </w:tc>
      </w:tr>
      <w:tr w:rsidR="0038043C" w14:paraId="55927604" w14:textId="77777777" w:rsidTr="009834CB">
        <w:tc>
          <w:tcPr>
            <w:tcW w:w="1555" w:type="dxa"/>
          </w:tcPr>
          <w:p w14:paraId="4DBABEA5" w14:textId="77777777" w:rsidR="0038043C" w:rsidRPr="006B482F" w:rsidRDefault="0038043C" w:rsidP="009834CB">
            <w:pPr>
              <w:rPr>
                <w:rStyle w:val="Text"/>
              </w:rPr>
            </w:pPr>
          </w:p>
        </w:tc>
        <w:tc>
          <w:tcPr>
            <w:tcW w:w="2763" w:type="dxa"/>
          </w:tcPr>
          <w:p w14:paraId="10309763" w14:textId="77777777" w:rsidR="0038043C" w:rsidRPr="006B482F" w:rsidRDefault="0038043C" w:rsidP="009834CB">
            <w:pPr>
              <w:rPr>
                <w:rStyle w:val="Text"/>
              </w:rPr>
            </w:pPr>
            <w:r w:rsidRPr="006B482F">
              <w:rPr>
                <w:rStyle w:val="Text"/>
              </w:rPr>
              <w:t>Monthly update</w:t>
            </w:r>
            <w:r>
              <w:rPr>
                <w:rStyle w:val="Text"/>
              </w:rPr>
              <w:t>s</w:t>
            </w:r>
          </w:p>
        </w:tc>
        <w:tc>
          <w:tcPr>
            <w:tcW w:w="2159" w:type="dxa"/>
          </w:tcPr>
          <w:p w14:paraId="332C6378" w14:textId="77777777" w:rsidR="0038043C" w:rsidRPr="006B482F" w:rsidRDefault="0038043C" w:rsidP="009834CB">
            <w:pPr>
              <w:rPr>
                <w:rStyle w:val="Text"/>
              </w:rPr>
            </w:pPr>
          </w:p>
        </w:tc>
        <w:tc>
          <w:tcPr>
            <w:tcW w:w="2160" w:type="dxa"/>
          </w:tcPr>
          <w:p w14:paraId="48F0B667" w14:textId="77777777" w:rsidR="0038043C" w:rsidRPr="006B482F" w:rsidRDefault="0038043C" w:rsidP="009834CB">
            <w:pPr>
              <w:rPr>
                <w:rStyle w:val="Text"/>
              </w:rPr>
            </w:pPr>
          </w:p>
        </w:tc>
      </w:tr>
      <w:tr w:rsidR="0038043C" w14:paraId="1DD45575" w14:textId="77777777" w:rsidTr="009834CB">
        <w:tc>
          <w:tcPr>
            <w:tcW w:w="1555" w:type="dxa"/>
          </w:tcPr>
          <w:p w14:paraId="6EC6672B" w14:textId="77777777" w:rsidR="0038043C" w:rsidRPr="006B482F" w:rsidRDefault="0038043C" w:rsidP="009834CB">
            <w:pPr>
              <w:rPr>
                <w:rStyle w:val="Text"/>
              </w:rPr>
            </w:pPr>
          </w:p>
        </w:tc>
        <w:tc>
          <w:tcPr>
            <w:tcW w:w="2763" w:type="dxa"/>
          </w:tcPr>
          <w:p w14:paraId="4C70D628" w14:textId="77777777" w:rsidR="0038043C" w:rsidRPr="006B482F" w:rsidRDefault="0038043C" w:rsidP="009834CB">
            <w:pPr>
              <w:rPr>
                <w:rStyle w:val="Text"/>
              </w:rPr>
            </w:pPr>
            <w:r w:rsidRPr="006B482F">
              <w:rPr>
                <w:rStyle w:val="Text"/>
              </w:rPr>
              <w:t>Project complete</w:t>
            </w:r>
          </w:p>
        </w:tc>
        <w:tc>
          <w:tcPr>
            <w:tcW w:w="2159" w:type="dxa"/>
          </w:tcPr>
          <w:p w14:paraId="1FD487FD" w14:textId="77777777" w:rsidR="0038043C" w:rsidRPr="006B482F" w:rsidRDefault="0038043C" w:rsidP="009834CB">
            <w:pPr>
              <w:rPr>
                <w:rStyle w:val="Text"/>
              </w:rPr>
            </w:pPr>
          </w:p>
        </w:tc>
        <w:tc>
          <w:tcPr>
            <w:tcW w:w="2160" w:type="dxa"/>
          </w:tcPr>
          <w:p w14:paraId="3771A504" w14:textId="77777777" w:rsidR="0038043C" w:rsidRPr="006B482F" w:rsidRDefault="0038043C" w:rsidP="009834CB">
            <w:pPr>
              <w:rPr>
                <w:rStyle w:val="Text"/>
              </w:rPr>
            </w:pPr>
            <w:r w:rsidRPr="006B482F">
              <w:rPr>
                <w:rStyle w:val="Text"/>
              </w:rPr>
              <w:t>04/03/24</w:t>
            </w:r>
          </w:p>
        </w:tc>
      </w:tr>
      <w:tr w:rsidR="0038043C" w14:paraId="19CC8D02" w14:textId="77777777" w:rsidTr="009834CB">
        <w:tc>
          <w:tcPr>
            <w:tcW w:w="1555" w:type="dxa"/>
          </w:tcPr>
          <w:p w14:paraId="75DF3C86" w14:textId="77777777" w:rsidR="0038043C" w:rsidRPr="006B482F" w:rsidRDefault="0038043C" w:rsidP="009834CB">
            <w:pPr>
              <w:rPr>
                <w:rStyle w:val="Text"/>
              </w:rPr>
            </w:pPr>
          </w:p>
        </w:tc>
        <w:tc>
          <w:tcPr>
            <w:tcW w:w="2763" w:type="dxa"/>
          </w:tcPr>
          <w:p w14:paraId="1021C46A" w14:textId="77777777" w:rsidR="0038043C" w:rsidRPr="006B482F" w:rsidRDefault="0038043C" w:rsidP="009834CB">
            <w:pPr>
              <w:rPr>
                <w:rStyle w:val="Text"/>
              </w:rPr>
            </w:pPr>
          </w:p>
        </w:tc>
        <w:tc>
          <w:tcPr>
            <w:tcW w:w="2159" w:type="dxa"/>
          </w:tcPr>
          <w:p w14:paraId="7A78C0FD" w14:textId="77777777" w:rsidR="0038043C" w:rsidRPr="006B482F" w:rsidRDefault="0038043C" w:rsidP="009834CB">
            <w:pPr>
              <w:rPr>
                <w:rStyle w:val="Text"/>
              </w:rPr>
            </w:pPr>
          </w:p>
        </w:tc>
        <w:tc>
          <w:tcPr>
            <w:tcW w:w="2160" w:type="dxa"/>
          </w:tcPr>
          <w:p w14:paraId="0590A9BE" w14:textId="77777777" w:rsidR="0038043C" w:rsidRPr="006B482F" w:rsidRDefault="0038043C" w:rsidP="009834CB">
            <w:pPr>
              <w:rPr>
                <w:rStyle w:val="Text"/>
              </w:rPr>
            </w:pPr>
          </w:p>
        </w:tc>
      </w:tr>
    </w:tbl>
    <w:p w14:paraId="574A34EE" w14:textId="77777777" w:rsidR="0038043C" w:rsidRDefault="0038043C" w:rsidP="0038043C"/>
    <w:p w14:paraId="54DD78EF" w14:textId="77777777" w:rsidR="0038043C" w:rsidRPr="006B482F" w:rsidRDefault="0038043C" w:rsidP="0038043C">
      <w:pPr>
        <w:rPr>
          <w:rStyle w:val="Text"/>
        </w:rPr>
      </w:pPr>
      <w:r w:rsidRPr="006B482F">
        <w:rPr>
          <w:rStyle w:val="Text"/>
        </w:rPr>
        <w:t>W/C 2nd October 2023– Start up meeting between project officer and supplier.</w:t>
      </w:r>
    </w:p>
    <w:p w14:paraId="4F7546EF" w14:textId="77777777" w:rsidR="0038043C" w:rsidRPr="006B482F" w:rsidRDefault="0038043C" w:rsidP="0038043C">
      <w:pPr>
        <w:rPr>
          <w:rStyle w:val="Text"/>
        </w:rPr>
      </w:pPr>
      <w:r w:rsidRPr="006B482F">
        <w:rPr>
          <w:rStyle w:val="Text"/>
        </w:rPr>
        <w:t>Monthly teleconferences thereafter</w:t>
      </w:r>
    </w:p>
    <w:p w14:paraId="612F1E0E" w14:textId="77777777" w:rsidR="0038043C" w:rsidRPr="006B482F" w:rsidRDefault="0038043C" w:rsidP="0038043C">
      <w:pPr>
        <w:pStyle w:val="BulletText1"/>
        <w:rPr>
          <w:rStyle w:val="Text"/>
        </w:rPr>
      </w:pPr>
      <w:r w:rsidRPr="006B482F">
        <w:rPr>
          <w:rStyle w:val="Text"/>
        </w:rPr>
        <w:t>W/C 5th February 2023 – Draft report due in digital format (word) via e-mail</w:t>
      </w:r>
    </w:p>
    <w:p w14:paraId="67A0FA1E" w14:textId="77777777" w:rsidR="0038043C" w:rsidRPr="006B482F" w:rsidRDefault="0038043C" w:rsidP="0038043C">
      <w:pPr>
        <w:pStyle w:val="BulletText1"/>
        <w:rPr>
          <w:rStyle w:val="Text"/>
        </w:rPr>
      </w:pPr>
      <w:r w:rsidRPr="006B482F">
        <w:rPr>
          <w:rStyle w:val="Text"/>
        </w:rPr>
        <w:t>W/C 4th March 2023 – Final report due digital format via e-mail</w:t>
      </w:r>
    </w:p>
    <w:p w14:paraId="25A8347B" w14:textId="77777777" w:rsidR="0038043C" w:rsidRPr="006B482F" w:rsidRDefault="0038043C" w:rsidP="0038043C">
      <w:pPr>
        <w:pStyle w:val="BulletText1"/>
        <w:rPr>
          <w:rStyle w:val="Text"/>
        </w:rPr>
      </w:pPr>
      <w:r w:rsidRPr="006B482F">
        <w:rPr>
          <w:rStyle w:val="Text"/>
        </w:rPr>
        <w:t>Contract to be completed by 4th March 2023</w:t>
      </w:r>
    </w:p>
    <w:p w14:paraId="40F21585" w14:textId="77777777" w:rsidR="0038043C" w:rsidRPr="006B482F" w:rsidRDefault="0038043C" w:rsidP="0038043C">
      <w:pPr>
        <w:pStyle w:val="BulletText1"/>
        <w:numPr>
          <w:ilvl w:val="0"/>
          <w:numId w:val="0"/>
        </w:numPr>
        <w:rPr>
          <w:rStyle w:val="Text"/>
        </w:rPr>
      </w:pPr>
    </w:p>
    <w:p w14:paraId="22306A0F" w14:textId="77777777" w:rsidR="0038043C" w:rsidRPr="006B482F" w:rsidRDefault="0038043C" w:rsidP="0038043C">
      <w:pPr>
        <w:pStyle w:val="BulletText1"/>
        <w:numPr>
          <w:ilvl w:val="0"/>
          <w:numId w:val="0"/>
        </w:numPr>
        <w:rPr>
          <w:rStyle w:val="Text"/>
        </w:rPr>
      </w:pPr>
      <w:r w:rsidRPr="006B482F">
        <w:rPr>
          <w:rStyle w:val="Text"/>
        </w:rPr>
        <w:t>Report to be provided within Natural England template document and must adhere to publishing requirements.</w:t>
      </w:r>
    </w:p>
    <w:p w14:paraId="387711A4" w14:textId="23C5150E" w:rsidR="00DB646E" w:rsidRDefault="00DB646E" w:rsidP="00DB646E">
      <w:r>
        <w:br w:type="page"/>
      </w:r>
    </w:p>
    <w:p w14:paraId="387711A5" w14:textId="77777777" w:rsidR="00510CC5" w:rsidRDefault="00510CC5" w:rsidP="00510CC5">
      <w:pPr>
        <w:spacing w:before="12000"/>
      </w:pPr>
    </w:p>
    <w:p w14:paraId="387711A6" w14:textId="77777777" w:rsidR="00A37D09" w:rsidRDefault="00A37D09" w:rsidP="00A529EC">
      <w:pPr>
        <w:spacing w:before="6840"/>
        <w:sectPr w:rsidR="00A37D09" w:rsidSect="00EB0BC6">
          <w:footerReference w:type="default" r:id="rId14"/>
          <w:headerReference w:type="first" r:id="rId15"/>
          <w:type w:val="continuous"/>
          <w:pgSz w:w="11899" w:h="16838" w:code="9"/>
          <w:pgMar w:top="1134" w:right="1134" w:bottom="1134" w:left="1134" w:header="340" w:footer="340" w:gutter="0"/>
          <w:cols w:space="708"/>
          <w:titlePg/>
          <w:docGrid w:linePitch="326"/>
        </w:sectPr>
      </w:pPr>
    </w:p>
    <w:p w14:paraId="387711A7" w14:textId="77777777" w:rsidR="00510CC5" w:rsidRPr="00510CC5" w:rsidRDefault="00510CC5" w:rsidP="00795734">
      <w:pPr>
        <w:spacing w:before="3480"/>
        <w:rPr>
          <w:color w:val="78004F"/>
        </w:rPr>
      </w:pPr>
      <w:r w:rsidRPr="003224A5">
        <w:t>Natural England is here to secure a healthy natural environment for people to enjoy, where wildlife is protected and England’s traditional landscapes are safeguarded for future generations.</w:t>
      </w:r>
    </w:p>
    <w:p w14:paraId="387711A8" w14:textId="77777777" w:rsidR="00510CC5" w:rsidRPr="00477707" w:rsidRDefault="00510CC5" w:rsidP="009C22C7">
      <w:pPr>
        <w:spacing w:after="0"/>
      </w:pPr>
      <w:r w:rsidRPr="00477707">
        <w:t>Natural England publications are</w:t>
      </w:r>
      <w:r w:rsidRPr="00477707">
        <w:rPr>
          <w:rStyle w:val="apple-converted-space"/>
          <w:rFonts w:cs="Arial"/>
          <w:color w:val="000000"/>
          <w:spacing w:val="-2"/>
          <w:szCs w:val="24"/>
        </w:rPr>
        <w:t> </w:t>
      </w:r>
      <w:r w:rsidRPr="00477707">
        <w:t>available as accessible pdfs from</w:t>
      </w:r>
      <w:r w:rsidRPr="00477707">
        <w:rPr>
          <w:rStyle w:val="apple-converted-space"/>
          <w:rFonts w:cs="Arial"/>
          <w:color w:val="000000"/>
          <w:spacing w:val="-2"/>
          <w:szCs w:val="24"/>
        </w:rPr>
        <w:t> </w:t>
      </w:r>
    </w:p>
    <w:p w14:paraId="387711A9" w14:textId="77777777" w:rsidR="00510CC5" w:rsidRDefault="0038043C" w:rsidP="009C22C7">
      <w:pPr>
        <w:spacing w:before="0"/>
        <w:rPr>
          <w:rStyle w:val="apple-converted-space"/>
          <w:rFonts w:cs="Arial"/>
          <w:color w:val="000000"/>
          <w:spacing w:val="-2"/>
        </w:rPr>
      </w:pPr>
      <w:hyperlink r:id="rId16" w:history="1">
        <w:r w:rsidR="00510CC5" w:rsidRPr="00477707">
          <w:rPr>
            <w:rStyle w:val="Hyperlink"/>
            <w:rFonts w:cs="Arial"/>
            <w:spacing w:val="-2"/>
            <w:szCs w:val="24"/>
          </w:rPr>
          <w:t>www.gov.uk/natural-england</w:t>
        </w:r>
      </w:hyperlink>
      <w:r w:rsidR="00510CC5" w:rsidRPr="00477707">
        <w:t>.</w:t>
      </w:r>
      <w:r w:rsidR="00510CC5" w:rsidRPr="00477707">
        <w:rPr>
          <w:rStyle w:val="apple-converted-space"/>
          <w:rFonts w:cs="Arial"/>
          <w:color w:val="000000"/>
          <w:spacing w:val="-2"/>
          <w:szCs w:val="24"/>
        </w:rPr>
        <w:t> </w:t>
      </w:r>
    </w:p>
    <w:p w14:paraId="387711AA" w14:textId="77777777" w:rsidR="00510CC5" w:rsidRPr="00477707" w:rsidRDefault="00510CC5" w:rsidP="00510CC5">
      <w:r w:rsidRPr="00477707">
        <w:t xml:space="preserve">Should an alternative format of this publication be required, please contact our enquiries line for more information: 0300 060 3900 or email </w:t>
      </w:r>
      <w:hyperlink r:id="rId17" w:history="1">
        <w:r w:rsidRPr="00477707">
          <w:rPr>
            <w:rStyle w:val="Hyperlink"/>
            <w:rFonts w:cs="Arial"/>
            <w:spacing w:val="-2"/>
            <w:szCs w:val="24"/>
          </w:rPr>
          <w:t>enquiries@naturalengland.org.uk</w:t>
        </w:r>
      </w:hyperlink>
      <w:r w:rsidRPr="00477707">
        <w:t>.</w:t>
      </w:r>
    </w:p>
    <w:p w14:paraId="387711AB" w14:textId="77777777" w:rsidR="00510CC5" w:rsidRDefault="00510CC5" w:rsidP="00510CC5">
      <w:r w:rsidRPr="00477707">
        <w:t>ISBN 978-1-84754-xxx-x</w:t>
      </w:r>
    </w:p>
    <w:p w14:paraId="387711AC" w14:textId="77777777" w:rsidR="00510CC5" w:rsidRDefault="00510CC5" w:rsidP="00795734">
      <w:pPr>
        <w:spacing w:before="0" w:after="3960"/>
      </w:pPr>
      <w:r>
        <w:t xml:space="preserve">Catalogue code: </w:t>
      </w:r>
      <w:proofErr w:type="spellStart"/>
      <w:r>
        <w:t>NExx</w:t>
      </w:r>
      <w:proofErr w:type="spellEnd"/>
    </w:p>
    <w:p w14:paraId="387711AD" w14:textId="77777777" w:rsidR="00510CC5" w:rsidRPr="00A37D09" w:rsidRDefault="00510CC5" w:rsidP="007F239E">
      <w:pPr>
        <w:spacing w:before="7320"/>
        <w:rPr>
          <w:szCs w:val="24"/>
        </w:rPr>
      </w:pPr>
      <w:r w:rsidRPr="00A37D09">
        <w:rPr>
          <w:szCs w:val="24"/>
        </w:rPr>
        <w:t xml:space="preserve">This publication is published by Natural England under the Open Government Licence v3.0 for public sector information. You are encouraged to use, and reuse, information subject to certain conditions. For details of the licence visit </w:t>
      </w:r>
      <w:hyperlink r:id="rId18" w:history="1">
        <w:r w:rsidRPr="00A37D09">
          <w:rPr>
            <w:rStyle w:val="Hyperlink"/>
            <w:rFonts w:cs="Arial"/>
            <w:spacing w:val="-2"/>
            <w:szCs w:val="24"/>
          </w:rPr>
          <w:t>www.nationalarchives.gov.uk/doc/open-government-licence/version/3</w:t>
        </w:r>
      </w:hyperlink>
      <w:r w:rsidRPr="00A37D09">
        <w:rPr>
          <w:szCs w:val="24"/>
        </w:rPr>
        <w:t>.</w:t>
      </w:r>
    </w:p>
    <w:p w14:paraId="387711AE" w14:textId="77777777" w:rsidR="00510CC5" w:rsidRPr="00A37D09" w:rsidRDefault="00510CC5" w:rsidP="00510CC5">
      <w:pPr>
        <w:rPr>
          <w:szCs w:val="24"/>
        </w:rPr>
      </w:pPr>
      <w:r w:rsidRPr="00A37D09">
        <w:rPr>
          <w:szCs w:val="24"/>
        </w:rPr>
        <w:t xml:space="preserve">Please note: Natural England photographs are only available for non-commercial purposes. For information regarding the use of maps or data visit </w:t>
      </w:r>
      <w:hyperlink r:id="rId19" w:history="1">
        <w:r w:rsidRPr="00A37D09">
          <w:rPr>
            <w:rStyle w:val="Hyperlink"/>
            <w:rFonts w:cs="Arial"/>
            <w:spacing w:val="-2"/>
            <w:szCs w:val="24"/>
          </w:rPr>
          <w:t>www.gov.uk/how-to-access-natural-englands-maps-and-data</w:t>
        </w:r>
      </w:hyperlink>
      <w:r w:rsidRPr="00A37D09">
        <w:rPr>
          <w:szCs w:val="24"/>
        </w:rPr>
        <w:t>.</w:t>
      </w:r>
    </w:p>
    <w:p w14:paraId="387711AF" w14:textId="77777777" w:rsidR="00510CC5" w:rsidRPr="00A37D09" w:rsidRDefault="00510CC5" w:rsidP="00DB646E">
      <w:pPr>
        <w:rPr>
          <w:szCs w:val="24"/>
        </w:rPr>
      </w:pPr>
      <w:r w:rsidRPr="00A37D09">
        <w:rPr>
          <w:szCs w:val="24"/>
        </w:rPr>
        <w:t>© Natural England 2020</w:t>
      </w:r>
      <w:r w:rsidR="00795734">
        <w:rPr>
          <w:noProof/>
          <w:lang w:eastAsia="en-GB"/>
        </w:rPr>
        <w:drawing>
          <wp:anchor distT="0" distB="0" distL="114300" distR="114300" simplePos="0" relativeHeight="251660288" behindDoc="1" locked="1" layoutInCell="1" allowOverlap="1" wp14:anchorId="387711B2" wp14:editId="2254A184">
            <wp:simplePos x="0" y="0"/>
            <wp:positionH relativeFrom="column">
              <wp:posOffset>-4082415</wp:posOffset>
            </wp:positionH>
            <wp:positionV relativeFrom="page">
              <wp:posOffset>6122035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C924" w14:textId="77777777" w:rsidR="00782343" w:rsidRDefault="00782343" w:rsidP="002F321C">
      <w:r>
        <w:separator/>
      </w:r>
    </w:p>
    <w:p w14:paraId="73B02498" w14:textId="77777777" w:rsidR="00782343" w:rsidRDefault="00782343"/>
  </w:endnote>
  <w:endnote w:type="continuationSeparator" w:id="0">
    <w:p w14:paraId="01BA7918" w14:textId="77777777" w:rsidR="00782343" w:rsidRDefault="00782343" w:rsidP="002F321C">
      <w:r>
        <w:continuationSeparator/>
      </w:r>
    </w:p>
    <w:p w14:paraId="69C4326E" w14:textId="77777777" w:rsidR="00782343" w:rsidRDefault="0078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ECB5" w14:textId="77777777" w:rsidR="00782343" w:rsidRDefault="00782343" w:rsidP="002F321C">
      <w:r>
        <w:separator/>
      </w:r>
    </w:p>
    <w:p w14:paraId="672581D1" w14:textId="77777777" w:rsidR="00782343" w:rsidRDefault="00782343"/>
  </w:footnote>
  <w:footnote w:type="continuationSeparator" w:id="0">
    <w:p w14:paraId="75D9923B" w14:textId="77777777" w:rsidR="00782343" w:rsidRDefault="00782343" w:rsidP="002F321C">
      <w:r>
        <w:continuationSeparator/>
      </w:r>
    </w:p>
    <w:p w14:paraId="36CBD7AC" w14:textId="77777777" w:rsidR="00782343" w:rsidRDefault="00782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4988602">
    <w:abstractNumId w:val="7"/>
  </w:num>
  <w:num w:numId="2" w16cid:durableId="1132095252">
    <w:abstractNumId w:val="11"/>
  </w:num>
  <w:num w:numId="3" w16cid:durableId="1328248629">
    <w:abstractNumId w:val="5"/>
  </w:num>
  <w:num w:numId="4" w16cid:durableId="1526557389">
    <w:abstractNumId w:val="4"/>
  </w:num>
  <w:num w:numId="5" w16cid:durableId="108934631">
    <w:abstractNumId w:val="12"/>
  </w:num>
  <w:num w:numId="6" w16cid:durableId="914051010">
    <w:abstractNumId w:val="13"/>
  </w:num>
  <w:num w:numId="7" w16cid:durableId="554507392">
    <w:abstractNumId w:val="1"/>
  </w:num>
  <w:num w:numId="8" w16cid:durableId="408699668">
    <w:abstractNumId w:val="3"/>
  </w:num>
  <w:num w:numId="9" w16cid:durableId="1104500159">
    <w:abstractNumId w:val="6"/>
  </w:num>
  <w:num w:numId="10" w16cid:durableId="1477331870">
    <w:abstractNumId w:val="10"/>
  </w:num>
  <w:num w:numId="11" w16cid:durableId="1390376958">
    <w:abstractNumId w:val="14"/>
  </w:num>
  <w:num w:numId="12" w16cid:durableId="1969892277">
    <w:abstractNumId w:val="2"/>
  </w:num>
  <w:num w:numId="13" w16cid:durableId="524444114">
    <w:abstractNumId w:val="8"/>
  </w:num>
  <w:num w:numId="14" w16cid:durableId="502354776">
    <w:abstractNumId w:val="0"/>
  </w:num>
  <w:num w:numId="15" w16cid:durableId="29294974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043C"/>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204EE"/>
    <w:rsid w:val="00624575"/>
    <w:rsid w:val="00625411"/>
    <w:rsid w:val="0063049D"/>
    <w:rsid w:val="00635AFC"/>
    <w:rsid w:val="00640EF5"/>
    <w:rsid w:val="00642E9F"/>
    <w:rsid w:val="00646B20"/>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BlockheadingChar">
    <w:name w:val="Block heading Char"/>
    <w:link w:val="Blockheading"/>
    <w:locked/>
    <w:rsid w:val="0038043C"/>
    <w:rPr>
      <w:rFonts w:eastAsiaTheme="majorEastAsia" w:cstheme="majorBidi"/>
      <w:b/>
      <w:iCs/>
      <w:sz w:val="26"/>
    </w:rPr>
  </w:style>
  <w:style w:type="paragraph" w:customStyle="1" w:styleId="Blockheading">
    <w:name w:val="Block heading"/>
    <w:basedOn w:val="Heading4"/>
    <w:next w:val="Normal"/>
    <w:link w:val="BlockheadingChar"/>
    <w:qFormat/>
    <w:rsid w:val="0038043C"/>
    <w:pPr>
      <w:spacing w:before="0" w:after="240"/>
      <w:outlineLvl w:val="2"/>
    </w:pPr>
    <w:rPr>
      <w:rFonts w:eastAsiaTheme="majorEastAsia" w:cstheme="majorBidi"/>
      <w:bCs w:val="0"/>
      <w:sz w:val="26"/>
      <w:szCs w:val="20"/>
      <w:lang w:eastAsia="en-GB"/>
    </w:rPr>
  </w:style>
  <w:style w:type="character" w:customStyle="1" w:styleId="Text">
    <w:name w:val="Text"/>
    <w:qFormat/>
    <w:rsid w:val="0038043C"/>
    <w:rPr>
      <w:rFonts w:ascii="Arial" w:hAnsi="Arial"/>
      <w:sz w:val="24"/>
    </w:rPr>
  </w:style>
  <w:style w:type="character" w:customStyle="1" w:styleId="BulletText1Char">
    <w:name w:val="Bullet Text 1 Char"/>
    <w:link w:val="BulletText1"/>
    <w:locked/>
    <w:rsid w:val="0038043C"/>
  </w:style>
  <w:style w:type="paragraph" w:customStyle="1" w:styleId="BulletText1">
    <w:name w:val="Bullet Text 1"/>
    <w:basedOn w:val="Normal"/>
    <w:link w:val="BulletText1Char"/>
    <w:qFormat/>
    <w:rsid w:val="0038043C"/>
    <w:pPr>
      <w:numPr>
        <w:numId w:val="15"/>
      </w:numPr>
      <w:spacing w:before="60" w:after="240" w:line="259" w:lineRule="auto"/>
      <w:ind w:left="641" w:hanging="357"/>
      <w:contextualSpacing/>
    </w:pPr>
    <w:rPr>
      <w:sz w:val="20"/>
      <w:szCs w:val="20"/>
      <w:lang w:eastAsia="en-GB"/>
    </w:rPr>
  </w:style>
  <w:style w:type="character" w:customStyle="1" w:styleId="Important">
    <w:name w:val="! Important"/>
    <w:uiPriority w:val="1"/>
    <w:qFormat/>
    <w:rsid w:val="0038043C"/>
    <w:rPr>
      <w:rFonts w:ascii="Arial" w:hAnsi="Arial" w:cs="Arial" w:hint="default"/>
      <w:b/>
      <w:bCs w:val="0"/>
      <w:i w:val="0"/>
      <w:iCs w:val="0"/>
      <w:color w:val="D9262E"/>
      <w:sz w:val="24"/>
    </w:rPr>
  </w:style>
  <w:style w:type="table" w:customStyle="1" w:styleId="Table">
    <w:name w:val="Table"/>
    <w:basedOn w:val="TableNormal"/>
    <w:uiPriority w:val="99"/>
    <w:rsid w:val="0038043C"/>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ts.org.uk/our-work/national-bat-monitoring-programme/surveys/national-nathusius-pipistrelle-survey" TargetMode="External"/><Relationship Id="rId18" Type="http://schemas.openxmlformats.org/officeDocument/2006/relationships/hyperlink" Target="http://www.nationalarchives.gov.uk/doc/open-government-licence/version/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nquiries@naturalengland.org.uk" TargetMode="External"/><Relationship Id="rId2" Type="http://schemas.openxmlformats.org/officeDocument/2006/relationships/customXml" Target="../customXml/item2.xml"/><Relationship Id="rId16" Type="http://schemas.openxmlformats.org/officeDocument/2006/relationships/hyperlink" Target="http://www.gov.uk/natural-england"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gov.uk/how-to-access-natural-englands-maps-and-dat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2</TotalTime>
  <Pages>6</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8708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Hughes, Jessica</cp:lastModifiedBy>
  <cp:revision>2</cp:revision>
  <cp:lastPrinted>2018-08-21T14:39:00Z</cp:lastPrinted>
  <dcterms:created xsi:type="dcterms:W3CDTF">2023-08-11T14:11:00Z</dcterms:created>
  <dcterms:modified xsi:type="dcterms:W3CDTF">2023-08-11T14:11:00Z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