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Framework Schedule 7 (Call-Off Award Procedure)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1: Order Procedure</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a Call-Off Contract is awarded</w:t>
      </w:r>
    </w:p>
    <w:p w:rsidR="00000000" w:rsidDel="00000000" w:rsidP="00000000" w:rsidRDefault="00000000" w:rsidRPr="00000000" w14:paraId="0000000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i w:val="0"/>
          <w:smallCaps w:val="0"/>
          <w:strike w:val="0"/>
          <w:color w:val="000000"/>
          <w:sz w:val="24"/>
          <w:szCs w:val="24"/>
          <w:shd w:fill="auto" w:val="clear"/>
          <w:vertAlign w:val="baseline"/>
        </w:rPr>
      </w:pPr>
      <w:bookmarkStart w:colFirst="0" w:colLast="0" w:name="_heading=h.30j0zll"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potential Buyer decides to source Deliverables through this Contract then it will award its Deliverables in accordance with the procedure in this Schedule and the requirements of the Regulations.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Lot 1 and 2 a potential Buyer may choose to award a Call-Off Contract by either:</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award when the conditions set out under paragraph </w:t>
      </w:r>
      <w:sdt>
        <w:sdtPr>
          <w:tag w:val="goog_rdk_0"/>
        </w:sdtPr>
        <w:sdtContent>
          <w:ins w:author="Angela Critchley" w:id="0" w:date="2023-12-15T10:50:56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  </w:t>
            </w:r>
          </w:ins>
        </w:sdtContent>
      </w:sdt>
      <w:sdt>
        <w:sdtPr>
          <w:tag w:val="goog_rdk_1"/>
        </w:sdtPr>
        <w:sdtContent>
          <w:del w:author="Angela Critchley" w:id="0" w:date="2023-12-15T10:50:56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delText xml:space="preserve">1.4 </w:delText>
            </w:r>
          </w:del>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or</w:t>
      </w:r>
    </w:p>
    <w:p w:rsidR="00000000" w:rsidDel="00000000" w:rsidP="00000000" w:rsidRDefault="00000000" w:rsidRPr="00000000" w14:paraId="0000000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competition when the conditions set out under paragraph </w:t>
      </w:r>
      <w:sdt>
        <w:sdtPr>
          <w:tag w:val="goog_rdk_2"/>
        </w:sdtPr>
        <w:sdtContent>
          <w:ins w:author="Angela Critchley" w:id="1" w:date="2023-12-15T10:54:03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1.4</w:t>
            </w:r>
          </w:ins>
        </w:sdtContent>
      </w:sdt>
      <w:sdt>
        <w:sdtPr>
          <w:tag w:val="goog_rdk_3"/>
        </w:sdtPr>
        <w:sdtContent>
          <w:del w:author="Angela Critchley" w:id="1" w:date="2023-12-15T10:54:03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delText xml:space="preserve">1.5 </w:delText>
            </w:r>
          </w:del>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w:t>
      </w:r>
    </w:p>
    <w:p w:rsidR="00000000" w:rsidDel="00000000" w:rsidP="00000000" w:rsidRDefault="00000000" w:rsidRPr="00000000" w14:paraId="00000008">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potential Buyer can determine that: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Deliverables can be met by the Suppliers’ catalogues and description of the Deliverables and the most economical advantageous as set out in Framework Schedule 1 (Specification) and Framework Schedule 2 (Framework Tender); and</w:t>
      </w:r>
    </w:p>
    <w:p w:rsidR="00000000" w:rsidDel="00000000" w:rsidP="00000000" w:rsidRDefault="00000000" w:rsidRPr="00000000" w14:paraId="0000000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of the terms of the proposed Call-Off Contract are laid down in this Contract and do not require amendment or any supplementary terms and conditions;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w:t>
      </w:r>
      <w:r w:rsidDel="00000000" w:rsidR="00000000" w:rsidRPr="00000000">
        <w:rPr>
          <w:rFonts w:ascii="Arial" w:cs="Arial" w:eastAsia="Arial" w:hAnsi="Arial"/>
          <w:sz w:val="24"/>
          <w:szCs w:val="24"/>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award a Call-Off Contract in accordance with the procedure set out in Paragraph 2 below.</w:t>
      </w:r>
    </w:p>
    <w:p w:rsidR="00000000" w:rsidDel="00000000" w:rsidP="00000000" w:rsidRDefault="00000000" w:rsidRPr="00000000" w14:paraId="0000000C">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all of the terms of the proposed Call-Off Contract are not laid down in this Contract and the potential Buyer: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requires the Supplier to develop proposals or a solution in respect of such Deliverables; and/or</w:t>
      </w:r>
    </w:p>
    <w:p w:rsidR="00000000" w:rsidDel="00000000" w:rsidP="00000000" w:rsidRDefault="00000000" w:rsidRPr="00000000" w14:paraId="0000000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w:t>
      </w:r>
      <w:r w:rsidDel="00000000" w:rsidR="00000000" w:rsidRPr="00000000">
        <w:rPr>
          <w:rFonts w:ascii="Arial" w:cs="Arial" w:eastAsia="Arial" w:hAnsi="Arial"/>
          <w:sz w:val="24"/>
          <w:szCs w:val="24"/>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award a Call-Off Contract in accordance with the Further Competition Procedure set out in Paragraph 3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a direct award works</w:t>
      </w:r>
    </w:p>
    <w:p w:rsidR="00000000" w:rsidDel="00000000" w:rsidP="00000000" w:rsidRDefault="00000000" w:rsidRPr="00000000" w14:paraId="00000012">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1.2 above the Buyer awarding a Call-Off Contract under this Contract without holding a further competition shall: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a clear Statement of Requirements;</w:t>
      </w:r>
    </w:p>
    <w:p w:rsidR="00000000" w:rsidDel="00000000" w:rsidP="00000000" w:rsidRDefault="00000000" w:rsidRPr="00000000" w14:paraId="0000001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the direct award criteria as per paragraph </w:t>
      </w:r>
      <w:sdt>
        <w:sdtPr>
          <w:tag w:val="goog_rdk_4"/>
        </w:sdtPr>
        <w:sdtContent>
          <w:del w:author="Angela Critchley" w:id="2" w:date="2023-12-15T10:54:39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delText xml:space="preserve">1.4</w:delText>
            </w:r>
          </w:del>
        </w:sdtContent>
      </w:sdt>
      <w:sdt>
        <w:sdtPr>
          <w:tag w:val="goog_rdk_5"/>
        </w:sdtPr>
        <w:sdtContent>
          <w:ins w:author="Angela Critchley" w:id="2" w:date="2023-12-15T10:54:39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 </w:t>
            </w:r>
          </w:ins>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000000" w:rsidDel="00000000" w:rsidP="00000000" w:rsidRDefault="00000000" w:rsidRPr="00000000" w14:paraId="0000001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basis set out above, award the Call-Off Contract with the successful Supplier in accordance with Paragraph 6 below.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98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a further competition works</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1134" w:right="0" w:hanging="77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Buyer has to do</w:t>
      </w:r>
    </w:p>
    <w:p w:rsidR="00000000" w:rsidDel="00000000" w:rsidP="00000000" w:rsidRDefault="00000000" w:rsidRPr="00000000" w14:paraId="00000019">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awarding a Call-Off Contract under this Contract through a Further Competition Procedure shall: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a Statement of Requirements setting out its requirements for the Deliverables and identify the Suppliers capable of supplying the them;</w:t>
      </w:r>
    </w:p>
    <w:p w:rsidR="00000000" w:rsidDel="00000000" w:rsidP="00000000" w:rsidRDefault="00000000" w:rsidRPr="00000000" w14:paraId="0000001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 or refine the Deliverables to reflect its requirements by using the Order Form only to the extent permitted by and in accordance with the requirements of the Regulations;</w:t>
      </w:r>
    </w:p>
    <w:p w:rsidR="00000000" w:rsidDel="00000000" w:rsidP="00000000" w:rsidRDefault="00000000" w:rsidRPr="00000000" w14:paraId="0000001C">
      <w:pPr>
        <w:keepNext w:val="1"/>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invite tenders by conducting a Further Competition Procedure for its Deliverables in accordance with the Regulations and in particular:</w:t>
      </w:r>
    </w:p>
    <w:p w:rsidR="00000000" w:rsidDel="00000000" w:rsidP="00000000" w:rsidRDefault="00000000" w:rsidRPr="00000000" w14:paraId="0000001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000000" w:rsidDel="00000000" w:rsidP="00000000" w:rsidRDefault="00000000" w:rsidRPr="00000000" w14:paraId="0000001E">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Electronic Reverse Auction is not used, the Buyer shall:</w:t>
      </w:r>
    </w:p>
    <w:p w:rsidR="00000000" w:rsidDel="00000000" w:rsidP="00000000" w:rsidRDefault="00000000" w:rsidRPr="00000000" w14:paraId="0000001F">
      <w:pPr>
        <w:keepNext w:val="0"/>
        <w:keepLines w:val="0"/>
        <w:pageBreakBefore w:val="0"/>
        <w:widowControl w:val="1"/>
        <w:numPr>
          <w:ilvl w:val="4"/>
          <w:numId w:val="5"/>
        </w:numPr>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invite the Suppliers identified in accordance with Paragraph 3.1.1 to submit a tender in writing for each proposed Call-Off Contract to be awarded by giving written notice by email to the relevant Supplier Representative of each Supplier;</w:t>
      </w:r>
    </w:p>
    <w:p w:rsidR="00000000" w:rsidDel="00000000" w:rsidP="00000000" w:rsidRDefault="00000000" w:rsidRPr="00000000" w14:paraId="00000020">
      <w:pPr>
        <w:keepNext w:val="0"/>
        <w:keepLines w:val="0"/>
        <w:pageBreakBefore w:val="0"/>
        <w:widowControl w:val="1"/>
        <w:numPr>
          <w:ilvl w:val="4"/>
          <w:numId w:val="5"/>
        </w:numPr>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a time limit for the receipt by it of the tenders which takes into account factors such as the complexity of the subject matter of the proposed Call-Off Contract and the time needed to submit tenders; and</w:t>
      </w:r>
    </w:p>
    <w:p w:rsidR="00000000" w:rsidDel="00000000" w:rsidP="00000000" w:rsidRDefault="00000000" w:rsidRPr="00000000" w14:paraId="00000021">
      <w:pPr>
        <w:keepNext w:val="0"/>
        <w:keepLines w:val="0"/>
        <w:pageBreakBefore w:val="0"/>
        <w:widowControl w:val="1"/>
        <w:numPr>
          <w:ilvl w:val="4"/>
          <w:numId w:val="5"/>
        </w:numPr>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each tender confidential until the time limit set out for the return of tenders has expired.</w:t>
      </w:r>
    </w:p>
    <w:p w:rsidR="00000000" w:rsidDel="00000000" w:rsidP="00000000" w:rsidRDefault="00000000" w:rsidRPr="00000000" w14:paraId="0000002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the further competition award criteria to the Suppliers' compliant tenders submitted through the Further Competition Procedure as the basis of its decision to award a Call-Off Contract for its Deliverables;</w:t>
      </w:r>
    </w:p>
    <w:p w:rsidR="00000000" w:rsidDel="00000000" w:rsidP="00000000" w:rsidRDefault="00000000" w:rsidRPr="00000000" w14:paraId="00000023">
      <w:pPr>
        <w:keepNext w:val="1"/>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basis set out above, award its Call-Off Contract to the successful Supplier in accordance with Paragraph 6. The Call-Off Contract shall:</w:t>
      </w:r>
    </w:p>
    <w:p w:rsidR="00000000" w:rsidDel="00000000" w:rsidP="00000000" w:rsidRDefault="00000000" w:rsidRPr="00000000" w14:paraId="0000002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Deliverables;</w:t>
      </w:r>
    </w:p>
    <w:p w:rsidR="00000000" w:rsidDel="00000000" w:rsidP="00000000" w:rsidRDefault="00000000" w:rsidRPr="00000000" w14:paraId="0000002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tender submitted by the successful Supplier;</w:t>
      </w:r>
    </w:p>
    <w:p w:rsidR="00000000" w:rsidDel="00000000" w:rsidP="00000000" w:rsidRDefault="00000000" w:rsidRPr="00000000" w14:paraId="0000002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charges payable for the Deliverables in accordance with the tender submitted by the successful Supplier; and</w:t>
      </w:r>
    </w:p>
    <w:p w:rsidR="00000000" w:rsidDel="00000000" w:rsidP="00000000" w:rsidRDefault="00000000" w:rsidRPr="00000000" w14:paraId="00000027">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the terms [of the Order Form and Contract] (as may be amended or refined by the Buyer in accordance with Paragraph 3.1.2. above) applicable to the Deliverables,</w:t>
      </w:r>
    </w:p>
    <w:p w:rsidR="00000000" w:rsidDel="00000000" w:rsidP="00000000" w:rsidRDefault="00000000" w:rsidRPr="00000000" w14:paraId="0000002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unsuccessful Suppliers with written feedback in relation to the reasons why their tenders were unsuccessful.</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Supplier has to do</w:t>
      </w:r>
    </w:p>
    <w:p w:rsidR="00000000" w:rsidDel="00000000" w:rsidP="00000000" w:rsidRDefault="00000000" w:rsidRPr="00000000" w14:paraId="0000002A">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 writing, by the time and date by the time and date specified by the Buyer following an invitation to tender pursuant to Paragraph 3.1.3 above, provide CCS and the Buyer with either: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to the effect that it does not wish to tender in relation to the Deliverables; or</w:t>
      </w:r>
    </w:p>
    <w:p w:rsidR="00000000" w:rsidDel="00000000" w:rsidP="00000000" w:rsidRDefault="00000000" w:rsidRPr="00000000" w14:paraId="0000002C">
      <w:pPr>
        <w:keepNext w:val="1"/>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2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email response subject line to comprise unique reference number and Supplier name, so as to clearly identify the Supplier;</w:t>
      </w:r>
    </w:p>
    <w:p w:rsidR="00000000" w:rsidDel="00000000" w:rsidP="00000000" w:rsidRDefault="00000000" w:rsidRPr="00000000" w14:paraId="0000002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2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proposal covering the Deliverables;</w:t>
      </w:r>
    </w:p>
    <w:p w:rsidR="00000000" w:rsidDel="00000000" w:rsidP="00000000" w:rsidRDefault="00000000" w:rsidRPr="00000000" w14:paraId="0000003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CVs of key staff – as a minimum any lead consultant, with others, as considered appropriate along with required staff levels (if necessary); and</w:t>
      </w:r>
    </w:p>
    <w:p w:rsidR="00000000" w:rsidDel="00000000" w:rsidP="00000000" w:rsidRDefault="00000000" w:rsidRPr="00000000" w14:paraId="0000003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confirmation of discounts applicable to the Deliverables, as referenced in Framework Schedule 3 (Framework Prices) (if applicable).</w:t>
      </w:r>
    </w:p>
    <w:p w:rsidR="00000000" w:rsidDel="00000000" w:rsidP="00000000" w:rsidRDefault="00000000" w:rsidRPr="00000000" w14:paraId="0000003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000000" w:rsidDel="00000000" w:rsidP="00000000" w:rsidRDefault="00000000" w:rsidRPr="00000000" w14:paraId="00000033">
      <w:pPr>
        <w:keepNext w:val="1"/>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w:t>
      </w:r>
    </w:p>
    <w:p w:rsidR="00000000" w:rsidDel="00000000" w:rsidP="00000000" w:rsidRDefault="00000000" w:rsidRPr="00000000" w14:paraId="0000003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3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36">
      <w:pPr>
        <w:keepNext w:val="0"/>
        <w:keepLines w:val="0"/>
        <w:pageBreakBefore w:val="0"/>
        <w:widowControl w:val="1"/>
        <w:numPr>
          <w:ilvl w:val="4"/>
          <w:numId w:val="5"/>
        </w:numPr>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37">
      <w:pPr>
        <w:keepNext w:val="0"/>
        <w:keepLines w:val="0"/>
        <w:pageBreakBefore w:val="0"/>
        <w:widowControl w:val="1"/>
        <w:numPr>
          <w:ilvl w:val="4"/>
          <w:numId w:val="5"/>
        </w:numPr>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8"/>
        </w:tabs>
        <w:spacing w:after="120" w:before="120" w:line="240" w:lineRule="auto"/>
        <w:ind w:left="2880.0000000000005"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No requirement to award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Who is responsible for the award</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Buyer in relation to this Contract; or</w:t>
      </w:r>
    </w:p>
    <w:p w:rsidR="00000000" w:rsidDel="00000000" w:rsidP="00000000" w:rsidRDefault="00000000" w:rsidRPr="00000000" w14:paraId="0000003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or non-performance of any Call-Off Contracts between the Supplier and Buyer entered into pursuant to this Contract.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Awarding and creating a Call-Off contract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bookmarkStart w:colFirst="0" w:colLast="0" w:name="_heading=h.3dy6vkm"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document or communication (including any document or communication in the apparent form of a Call-Off Contract) which is not as described in this Paragraph 6 shall not constitute a Call-Off Contract under this Contract.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bookmarkStart w:colFirst="0" w:colLast="0" w:name="_heading=h.1t3h5sf"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receipt of an order form as described in Paragraph 6.1 from a Buyer the Supplier shall accept the Call-Off Contract by promptly signing and returning (including by electronic means) a copy of the order form to the Buyer concerned.</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e-auctions work</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to include a reverse auction in the Further Competition Procedure in accordance with the rules laid down by the Buyer and the Regulations.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bookmarkStart w:colFirst="0" w:colLast="0" w:name="_heading=h.4d34og8"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Buyer wishes to undertake an electronic reverse auction, where Suppliers compete in real time by bidding as the auction unfolds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"Electronic Reverse Auction"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r w:rsidDel="00000000" w:rsidR="00000000" w:rsidRPr="00000000">
        <w:rPr>
          <w:rtl w:val="0"/>
        </w:rPr>
      </w:r>
    </w:p>
    <w:p w:rsidR="00000000" w:rsidDel="00000000" w:rsidP="00000000" w:rsidRDefault="00000000" w:rsidRPr="00000000" w14:paraId="0000004A">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inform the Suppliers of the specification for the Electronic Reverse Auction which shall include: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to be provided at auction, which must be expressed in figures or percentages of the specified quantifiable features;</w:t>
      </w:r>
    </w:p>
    <w:p w:rsidR="00000000" w:rsidDel="00000000" w:rsidP="00000000" w:rsidRDefault="00000000" w:rsidRPr="00000000" w14:paraId="0000004C">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mathematical formula to be used to determine automatic ranking of bids on the basis of new prices and/or new values submitted;  </w:t>
      </w:r>
    </w:p>
    <w:p w:rsidR="00000000" w:rsidDel="00000000" w:rsidP="00000000" w:rsidRDefault="00000000" w:rsidRPr="00000000" w14:paraId="0000004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limits on the values which may be submitted;</w:t>
      </w:r>
    </w:p>
    <w:p w:rsidR="00000000" w:rsidDel="00000000" w:rsidP="00000000" w:rsidRDefault="00000000" w:rsidRPr="00000000" w14:paraId="0000004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any information which will be made available to Suppliers in the course of the Electronic Reverse Auction, and when it will be made available to them;</w:t>
      </w:r>
    </w:p>
    <w:p w:rsidR="00000000" w:rsidDel="00000000" w:rsidP="00000000" w:rsidRDefault="00000000" w:rsidRPr="00000000" w14:paraId="0000004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conditions under which Suppliers will be able to bid and, in particular, the minimum differences which will, where appropriate, be required when bidding;</w:t>
      </w:r>
    </w:p>
    <w:p w:rsidR="00000000" w:rsidDel="00000000" w:rsidP="00000000" w:rsidRDefault="00000000" w:rsidRPr="00000000" w14:paraId="0000005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information concerning the electronic equipment used and the arrangements and technical specification for connection;</w:t>
      </w:r>
    </w:p>
    <w:p w:rsidR="00000000" w:rsidDel="00000000" w:rsidP="00000000" w:rsidRDefault="00000000" w:rsidRPr="00000000" w14:paraId="0000005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7.5, the date and time of the start of the Electronic Reverse Auction; and</w:t>
      </w:r>
    </w:p>
    <w:p w:rsidR="00000000" w:rsidDel="00000000" w:rsidP="00000000" w:rsidRDefault="00000000" w:rsidRPr="00000000" w14:paraId="0000005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when and how the Electronic Reverse Auction will close.</w:t>
      </w:r>
    </w:p>
    <w:p w:rsidR="00000000" w:rsidDel="00000000" w:rsidP="00000000" w:rsidRDefault="00000000" w:rsidRPr="00000000" w14:paraId="0000005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bookmarkStart w:colFirst="0" w:colLast="0" w:name="_heading=h.17dp8vu"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Electronic Reverse Auction may not start sooner than two (2) Working Days after the date on which the specification for the Electronic Reverse Auction has been issued.</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each phase of the Electronic Reverse Auction the Buyer will communicate to all Suppliers sufficient information to enable them to ascertain their relative ranking.</w:t>
      </w: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its officers, servants, agents, group companies, assignees and customers (including CCS) do not guarantee that its access to the Electronic Reverse Auction will be uninterrupted or error-free;</w:t>
      </w:r>
    </w:p>
    <w:p w:rsidR="00000000" w:rsidDel="00000000" w:rsidP="00000000" w:rsidRDefault="00000000" w:rsidRPr="00000000" w14:paraId="00000057">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access to the Electronic Reverse Auction may occasionally be restricted to allow for repairs or maintenance; and</w:t>
      </w:r>
    </w:p>
    <w:p w:rsidR="00000000" w:rsidDel="00000000" w:rsidP="00000000" w:rsidRDefault="00000000" w:rsidRPr="00000000" w14:paraId="00000058">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will comply with all such rules that may be imposed by the Buyer in relation to the operation of the Electronic Reverse Auction.</w:t>
      </w:r>
    </w:p>
    <w:p w:rsidR="00000000" w:rsidDel="00000000" w:rsidP="00000000" w:rsidRDefault="00000000" w:rsidRPr="00000000" w14:paraId="00000059">
      <w:pPr>
        <w:keepNext w:val="1"/>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720.0000000000001" w:right="0" w:hanging="720.0000000000001"/>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close the Electronic Reverse Auction on the basis of:</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date and time fixed in advance;</w:t>
      </w:r>
    </w:p>
    <w:p w:rsidR="00000000" w:rsidDel="00000000" w:rsidP="00000000" w:rsidRDefault="00000000" w:rsidRPr="00000000" w14:paraId="0000005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2160.0000000000005" w:right="0" w:hanging="72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no new prices or values meeting the minimum differences required pursuant to Paragraph 7.3 have been received within the prescribed elapsed time period; or</w:t>
      </w:r>
    </w:p>
    <w:p w:rsidR="00000000" w:rsidDel="00000000" w:rsidP="00000000" w:rsidRDefault="00000000" w:rsidRPr="00000000" w14:paraId="0000005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3641"/>
        </w:tabs>
        <w:spacing w:after="120" w:before="120" w:line="240" w:lineRule="auto"/>
        <w:ind w:left="1440.0000000000002" w:right="0" w:hanging="720.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all the phases have been completed.</w:t>
      </w:r>
    </w:p>
    <w:p w:rsidR="00000000" w:rsidDel="00000000" w:rsidP="00000000" w:rsidRDefault="00000000" w:rsidRPr="00000000" w14:paraId="0000005D">
      <w:pPr>
        <w:spacing w:after="120" w:before="12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2: Award Criteria</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Part 2 lays out award criteria for direct award (Annex A) and for further competition (Annex B) in accordance with the Call-Off Procedure.</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54"/>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Call-Off Contract may be awarded on the basis </w:t>
      </w:r>
      <w:r w:rsidDel="00000000" w:rsidR="00000000" w:rsidRPr="00000000">
        <w:rPr>
          <w:rFonts w:ascii="Arial" w:cs="Arial" w:eastAsia="Arial" w:hAnsi="Arial"/>
          <w:sz w:val="24"/>
          <w:szCs w:val="24"/>
          <w:rtl w:val="0"/>
        </w:rPr>
        <w:t xml:space="preserve">of the 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economically advantageous tender ("MEAT").</w:t>
      </w:r>
    </w:p>
    <w:p w:rsidR="00000000" w:rsidDel="00000000" w:rsidP="00000000" w:rsidRDefault="00000000" w:rsidRPr="00000000" w14:paraId="00000061">
      <w:pPr>
        <w:spacing w:after="120" w:before="120" w:line="240" w:lineRule="auto"/>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Direct award criteria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criteria and weightings shall apply to the evaluation for direct award of each Call-Off.</w:t>
      </w:r>
    </w:p>
    <w:tbl>
      <w:tblPr>
        <w:tblStyle w:val="Table1"/>
        <w:tblW w:w="92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7695"/>
        <w:tblGridChange w:id="0">
          <w:tblGrid>
            <w:gridCol w:w="1515"/>
            <w:gridCol w:w="7695"/>
          </w:tblGrid>
        </w:tblGridChange>
      </w:tblGrid>
      <w:tr>
        <w:trPr>
          <w:cantSplit w:val="0"/>
          <w:tblHeader w:val="0"/>
        </w:trPr>
        <w:tc>
          <w:tcPr>
            <w:shd w:fill="e7e6e6"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 </w:t>
            </w:r>
          </w:p>
        </w:tc>
        <w:tc>
          <w:tcPr>
            <w:shd w:fill="e7e6e6" w:val="clear"/>
          </w:tcPr>
          <w:p w:rsidR="00000000" w:rsidDel="00000000" w:rsidP="00000000" w:rsidRDefault="00000000" w:rsidRPr="00000000" w14:paraId="00000065">
            <w:pPr>
              <w:widowControl w:val="1"/>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w:t>
            </w:r>
          </w:p>
        </w:tc>
      </w:tr>
      <w:tr>
        <w:trPr>
          <w:cantSplit w:val="0"/>
          <w:tblHeader w:val="0"/>
        </w:trPr>
        <w:tc>
          <w:tcPr/>
          <w:p w:rsidR="00000000" w:rsidDel="00000000" w:rsidP="00000000" w:rsidRDefault="00000000" w:rsidRPr="00000000" w14:paraId="00000066">
            <w:pPr>
              <w:keepNext w:val="1"/>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50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 </w:t>
            </w:r>
          </w:p>
        </w:tc>
        <w:tc>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w:t>
            </w:r>
          </w:p>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accepts the Framework Price for the products on their Core List</w:t>
            </w:r>
          </w:p>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The Non-Core pricing discount cannot be negotiated during the Call Off Procedure when undertaking a direct award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Price includes the choice of Delivery Options as required by the Buyer</w:t>
            </w:r>
          </w:p>
        </w:tc>
      </w:tr>
    </w:tbl>
    <w:p w:rsidR="00000000" w:rsidDel="00000000" w:rsidP="00000000" w:rsidRDefault="00000000" w:rsidRPr="00000000" w14:paraId="0000006B">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B: Further Competition Award Criteria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criteria and weightings shall apply to the evaluation of tenders received through the Further Competition Procedure:</w:t>
      </w:r>
    </w:p>
    <w:tbl>
      <w:tblPr>
        <w:tblStyle w:val="Table2"/>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0"/>
        <w:gridCol w:w="3870"/>
        <w:tblGridChange w:id="0">
          <w:tblGrid>
            <w:gridCol w:w="5160"/>
            <w:gridCol w:w="3870"/>
          </w:tblGrid>
        </w:tblGridChange>
      </w:tblGrid>
      <w:tr>
        <w:trPr>
          <w:cantSplit w:val="0"/>
          <w:tblHeader w:val="0"/>
        </w:trPr>
        <w:tc>
          <w:tcPr>
            <w:shd w:fill="e7e6e6"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tc>
        <w:tc>
          <w:tcPr>
            <w:shd w:fill="e7e6e6" w:val="clear"/>
          </w:tcPr>
          <w:p w:rsidR="00000000" w:rsidDel="00000000" w:rsidP="00000000" w:rsidRDefault="00000000" w:rsidRPr="00000000" w14:paraId="0000006E">
            <w:pPr>
              <w:widowControl w:val="1"/>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Which may include the following criteria:</w:t>
            </w:r>
            <w:r w:rsidDel="00000000" w:rsidR="00000000" w:rsidRPr="00000000">
              <w:rPr>
                <w:rtl w:val="0"/>
              </w:rPr>
            </w:r>
          </w:p>
          <w:p w:rsidR="00000000" w:rsidDel="00000000" w:rsidP="00000000" w:rsidRDefault="00000000" w:rsidRPr="00000000" w14:paraId="00000071">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Added Value / Innovation</w:t>
            </w:r>
          </w:p>
          <w:p w:rsidR="00000000" w:rsidDel="00000000" w:rsidP="00000000" w:rsidRDefault="00000000" w:rsidRPr="00000000" w14:paraId="00000072">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Approach to Delivery of the Services</w:t>
            </w:r>
          </w:p>
          <w:p w:rsidR="00000000" w:rsidDel="00000000" w:rsidP="00000000" w:rsidRDefault="00000000" w:rsidRPr="00000000" w14:paraId="00000073">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Implementation</w:t>
            </w:r>
          </w:p>
          <w:p w:rsidR="00000000" w:rsidDel="00000000" w:rsidP="00000000" w:rsidRDefault="00000000" w:rsidRPr="00000000" w14:paraId="00000074">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Account Management</w:t>
            </w:r>
          </w:p>
          <w:p w:rsidR="00000000" w:rsidDel="00000000" w:rsidP="00000000" w:rsidRDefault="00000000" w:rsidRPr="00000000" w14:paraId="00000075">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 Integration</w:t>
            </w:r>
          </w:p>
          <w:p w:rsidR="00000000" w:rsidDel="00000000" w:rsidP="00000000" w:rsidRDefault="00000000" w:rsidRPr="00000000" w14:paraId="00000076">
            <w:pPr>
              <w:keepNext w:val="1"/>
              <w:widowControl w:val="1"/>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Use of Supply Chain / Partners</w:t>
            </w:r>
            <w:r w:rsidDel="00000000" w:rsidR="00000000" w:rsidRPr="00000000">
              <w:rPr>
                <w:rtl w:val="0"/>
              </w:rPr>
            </w:r>
          </w:p>
        </w:tc>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with a tolerance of +/- 20%</w:t>
            </w:r>
          </w:p>
        </w:tc>
      </w:tr>
      <w:tr>
        <w:trPr>
          <w:cantSplit w:val="0"/>
          <w:tblHeader w:val="0"/>
        </w:trPr>
        <w:tc>
          <w:tcPr>
            <w:shd w:fill="auto" w:val="cle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Price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Which will include the following criteria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A">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Core List products</w:t>
            </w:r>
          </w:p>
          <w:p w:rsidR="00000000" w:rsidDel="00000000" w:rsidP="00000000" w:rsidRDefault="00000000" w:rsidRPr="00000000" w14:paraId="0000007B">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Delivery options</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 with a tolerance of  +/- 20 % </w:t>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Which may include the following criteria:</w:t>
            </w:r>
            <w:r w:rsidDel="00000000" w:rsidR="00000000" w:rsidRPr="00000000">
              <w:rPr>
                <w:rtl w:val="0"/>
              </w:rPr>
            </w:r>
          </w:p>
          <w:p w:rsidR="00000000" w:rsidDel="00000000" w:rsidP="00000000" w:rsidRDefault="00000000" w:rsidRPr="00000000" w14:paraId="0000007F">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Carbon Net Zero</w:t>
            </w:r>
          </w:p>
          <w:p w:rsidR="00000000" w:rsidDel="00000000" w:rsidP="00000000" w:rsidRDefault="00000000" w:rsidRPr="00000000" w14:paraId="00000080">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Plastic reduction</w:t>
            </w:r>
          </w:p>
          <w:p w:rsidR="00000000" w:rsidDel="00000000" w:rsidP="00000000" w:rsidRDefault="00000000" w:rsidRPr="00000000" w14:paraId="00000081">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Green products</w:t>
            </w:r>
          </w:p>
          <w:p w:rsidR="00000000" w:rsidDel="00000000" w:rsidP="00000000" w:rsidRDefault="00000000" w:rsidRPr="00000000" w14:paraId="00000082">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Sustainable delivery</w:t>
            </w:r>
          </w:p>
        </w:tc>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with a tolerance of + 20%</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08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RM6299 Office Solutions Framework</w:t>
      <w:tab/>
      <w:t xml:space="preserve">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v2.0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v3.1</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Framework Schedule 7 (Call-Off Award Procedure)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2018</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7 (Call-Off Award Procedure)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0000000000001" w:hanging="720.0000000000001"/>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5">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720.0000000000001" w:hanging="720.0000000000001"/>
      </w:pPr>
      <w:rPr>
        <w:b w:val="0"/>
        <w:i w:val="0"/>
        <w:smallCaps w:val="0"/>
        <w:strike w:val="0"/>
        <w:color w:val="00000a"/>
        <w:sz w:val="24"/>
        <w:szCs w:val="24"/>
        <w:u w:val="none"/>
        <w:vertAlign w:val="baseline"/>
      </w:rPr>
    </w:lvl>
    <w:lvl w:ilvl="2">
      <w:start w:val="1"/>
      <w:numFmt w:val="decimal"/>
      <w:lvlText w:val="%1.%2.%3"/>
      <w:lvlJc w:val="left"/>
      <w:pPr>
        <w:ind w:left="1440.0000000000002" w:hanging="720.0000000000001"/>
      </w:pPr>
      <w:rPr>
        <w:b w:val="0"/>
        <w:i w:val="0"/>
        <w:smallCaps w:val="0"/>
        <w:strike w:val="0"/>
        <w:color w:val="00000a"/>
        <w:sz w:val="24"/>
        <w:szCs w:val="24"/>
        <w:u w:val="none"/>
        <w:vertAlign w:val="baseline"/>
      </w:rPr>
    </w:lvl>
    <w:lvl w:ilvl="3">
      <w:start w:val="1"/>
      <w:numFmt w:val="lowerLetter"/>
      <w:lvlText w:val="(%4)"/>
      <w:lvlJc w:val="left"/>
      <w:pPr>
        <w:ind w:left="2160.0000000000005" w:hanging="720.0000000000002"/>
      </w:pPr>
      <w:rPr>
        <w:b w:val="0"/>
        <w:i w:val="0"/>
        <w:smallCaps w:val="0"/>
        <w:strike w:val="0"/>
        <w:color w:val="00000a"/>
        <w:sz w:val="24"/>
        <w:szCs w:val="24"/>
        <w:u w:val="none"/>
        <w:vertAlign w:val="baseline"/>
      </w:rPr>
    </w:lvl>
    <w:lvl w:ilvl="4">
      <w:start w:val="1"/>
      <w:numFmt w:val="lowerRoman"/>
      <w:lvlText w:val="(%5)"/>
      <w:lvlJc w:val="left"/>
      <w:pPr>
        <w:ind w:left="2880.000000000000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WU1PGDaxm2sXRWY/S9jqJQogw==">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